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387" w:rsidRDefault="00695BB3">
      <w:pPr>
        <w:ind w:left="7820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sz w:val="26"/>
          <w:szCs w:val="26"/>
        </w:rPr>
        <w:t>ISSN 2307-3373</w:t>
      </w:r>
    </w:p>
    <w:p w:rsidR="00514387" w:rsidRDefault="00514387">
      <w:pPr>
        <w:spacing w:line="278" w:lineRule="exact"/>
        <w:rPr>
          <w:sz w:val="24"/>
          <w:szCs w:val="24"/>
        </w:rPr>
      </w:pPr>
    </w:p>
    <w:p w:rsidR="00514387" w:rsidRDefault="00695BB3">
      <w:pPr>
        <w:spacing w:line="257" w:lineRule="auto"/>
        <w:ind w:left="1320" w:right="7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 xml:space="preserve">НАЦІОНАЛЬНА АКАДЕМІЯ МЕДИЧНИХ НАУК УКРАЇНИ ДЕРЖАВНА УСТАНОВА «НАЦІОНАЛЬНИЙ ІНСТИТУТ ФТИЗІАТРІЇ І ПУЛЬМОНОЛОГІЇ ІМ. Ф.Г. ЯНОВСЬКОГО НАЦІОНАЛЬНОЇ АКАДЕМІЇ МЕДИЧНИХ НАУК УКРАЇНИ» АСОЦІАЦІЯ СПЕЦІАЛІСТІВ З ПРОБЛЕМ БРОНХІАЛЬНОЇ АСТМИ ТА АЛЕРГІЇ </w:t>
      </w:r>
      <w:r>
        <w:rPr>
          <w:rFonts w:eastAsia="Times New Roman"/>
          <w:b/>
          <w:bCs/>
          <w:sz w:val="19"/>
          <w:szCs w:val="19"/>
        </w:rPr>
        <w:t>УКРАЇНИ МІНІСТЕРСТВО ОХОРОНИ ЗДОРОВ’Я УКРАЇНИ</w:t>
      </w:r>
    </w:p>
    <w:p w:rsidR="00514387" w:rsidRDefault="0051438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" o:spid="_x0000_s1026" style="position:absolute;z-index:251622912;visibility:visible;mso-wrap-distance-left:0;mso-wrap-distance-right:0" from="-.3pt,7.1pt" to="481.55pt,7.1pt" o:allowincell="f" strokeweight="2pt"/>
        </w:pict>
      </w:r>
      <w:r>
        <w:rPr>
          <w:sz w:val="24"/>
          <w:szCs w:val="24"/>
        </w:rPr>
        <w:pict>
          <v:line id="Shape 2" o:spid="_x0000_s1027" style="position:absolute;z-index:251623936;visibility:visible;mso-wrap-distance-left:0;mso-wrap-distance-right:0" from="-.3pt,9.75pt" to="481.55pt,9.75pt" o:allowincell="f" strokeweight=".23567mm"/>
        </w:pict>
      </w:r>
    </w:p>
    <w:p w:rsidR="00514387" w:rsidRDefault="00514387">
      <w:pPr>
        <w:spacing w:line="247" w:lineRule="exact"/>
        <w:rPr>
          <w:sz w:val="24"/>
          <w:szCs w:val="24"/>
        </w:rPr>
      </w:pPr>
    </w:p>
    <w:p w:rsidR="00514387" w:rsidRDefault="00695BB3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АСТМА ТА АЛЕРГІЯ</w:t>
      </w:r>
    </w:p>
    <w:p w:rsidR="00514387" w:rsidRDefault="00695BB3">
      <w:pPr>
        <w:tabs>
          <w:tab w:val="left" w:pos="7220"/>
        </w:tabs>
        <w:ind w:left="20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Науково-практичний журнал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8"/>
          <w:szCs w:val="18"/>
        </w:rPr>
        <w:t>Січень–Березень № 1 • 2018</w:t>
      </w:r>
    </w:p>
    <w:p w:rsidR="00514387" w:rsidRDefault="00514387">
      <w:pPr>
        <w:spacing w:line="19" w:lineRule="exact"/>
        <w:rPr>
          <w:sz w:val="24"/>
          <w:szCs w:val="24"/>
        </w:rPr>
      </w:pPr>
    </w:p>
    <w:p w:rsidR="00514387" w:rsidRDefault="00695BB3">
      <w:pPr>
        <w:ind w:left="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Рекомендовано Президією ВАК України, протокол №1–05/6 від 12.06.2002 р.</w:t>
      </w:r>
    </w:p>
    <w:p w:rsidR="00514387" w:rsidRDefault="00514387">
      <w:pPr>
        <w:spacing w:line="81" w:lineRule="exact"/>
        <w:rPr>
          <w:sz w:val="24"/>
          <w:szCs w:val="24"/>
        </w:rPr>
      </w:pPr>
    </w:p>
    <w:p w:rsidR="00514387" w:rsidRDefault="00695BB3">
      <w:pPr>
        <w:spacing w:line="242" w:lineRule="auto"/>
        <w:ind w:left="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Включений до Переліку наукових фахових видань України відповід</w:t>
      </w:r>
      <w:r>
        <w:rPr>
          <w:rFonts w:eastAsia="Times New Roman"/>
          <w:sz w:val="18"/>
          <w:szCs w:val="18"/>
        </w:rPr>
        <w:t>но до наказу Міністерства освіти і науки України від 15.04.2014 р. № 455.</w:t>
      </w:r>
    </w:p>
    <w:p w:rsidR="00514387" w:rsidRDefault="0051438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3" o:spid="_x0000_s1028" style="position:absolute;z-index:251624960;visibility:visible;mso-wrap-distance-left:0;mso-wrap-distance-right:0" from="-.3pt,7.55pt" to="481.55pt,7.55pt" o:allowincell="f" strokeweight="2pt"/>
        </w:pict>
      </w:r>
      <w:r>
        <w:rPr>
          <w:sz w:val="24"/>
          <w:szCs w:val="24"/>
        </w:rPr>
        <w:pict>
          <v:line id="Shape 4" o:spid="_x0000_s1029" style="position:absolute;z-index:251625984;visibility:visible;mso-wrap-distance-left:0;mso-wrap-distance-right:0" from="-.3pt,10.2pt" to="481.55pt,10.2pt" o:allowincell="f" strokeweight=".23567mm"/>
        </w:pict>
      </w:r>
    </w:p>
    <w:p w:rsidR="00514387" w:rsidRDefault="00514387">
      <w:pPr>
        <w:spacing w:line="392" w:lineRule="exact"/>
        <w:rPr>
          <w:sz w:val="24"/>
          <w:szCs w:val="24"/>
        </w:rPr>
      </w:pPr>
    </w:p>
    <w:p w:rsidR="00514387" w:rsidRDefault="00695BB3">
      <w:pPr>
        <w:spacing w:line="248" w:lineRule="auto"/>
        <w:ind w:left="2720" w:right="2480" w:hanging="2711"/>
        <w:rPr>
          <w:sz w:val="20"/>
          <w:szCs w:val="20"/>
        </w:rPr>
      </w:pPr>
      <w:r>
        <w:rPr>
          <w:rFonts w:eastAsia="Times New Roman"/>
          <w:b/>
          <w:bCs/>
          <w:sz w:val="17"/>
          <w:szCs w:val="17"/>
        </w:rPr>
        <w:t xml:space="preserve">Головний редактор – </w:t>
      </w:r>
      <w:r>
        <w:rPr>
          <w:rFonts w:eastAsia="Times New Roman"/>
          <w:b/>
          <w:bCs/>
          <w:sz w:val="16"/>
          <w:szCs w:val="16"/>
        </w:rPr>
        <w:t>Яшина Л.О.</w:t>
      </w:r>
      <w:r>
        <w:rPr>
          <w:rFonts w:eastAsia="Times New Roman"/>
          <w:i/>
          <w:iCs/>
          <w:sz w:val="16"/>
          <w:szCs w:val="16"/>
        </w:rPr>
        <w:t>, д-р мед. наук, професор, завідувач відділенням діагностики,</w:t>
      </w:r>
      <w:r>
        <w:rPr>
          <w:rFonts w:eastAsia="Times New Roman"/>
          <w:b/>
          <w:bCs/>
          <w:sz w:val="17"/>
          <w:szCs w:val="17"/>
        </w:rPr>
        <w:t xml:space="preserve"> </w:t>
      </w:r>
      <w:r>
        <w:rPr>
          <w:rFonts w:eastAsia="Times New Roman"/>
          <w:i/>
          <w:iCs/>
          <w:sz w:val="16"/>
          <w:szCs w:val="16"/>
        </w:rPr>
        <w:t>терапії і клінічної фармакології захворювань легень</w:t>
      </w:r>
    </w:p>
    <w:p w:rsidR="00514387" w:rsidRDefault="00695BB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8816" behindDoc="1" locked="0" layoutInCell="0" allowOverlap="1">
            <wp:simplePos x="0" y="0"/>
            <wp:positionH relativeFrom="column">
              <wp:posOffset>4737735</wp:posOffset>
            </wp:positionH>
            <wp:positionV relativeFrom="paragraph">
              <wp:posOffset>-61595</wp:posOffset>
            </wp:positionV>
            <wp:extent cx="1617980" cy="101536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015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4387" w:rsidRDefault="00514387">
      <w:pPr>
        <w:spacing w:line="75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Редакційна колегія:</w:t>
      </w:r>
    </w:p>
    <w:p w:rsidR="00514387" w:rsidRDefault="00514387">
      <w:pPr>
        <w:spacing w:line="29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Горовенко Н.Г. (Київ) — </w:t>
      </w:r>
      <w:r>
        <w:rPr>
          <w:rFonts w:eastAsia="Times New Roman"/>
          <w:i/>
          <w:iCs/>
          <w:sz w:val="18"/>
          <w:szCs w:val="18"/>
        </w:rPr>
        <w:t>заступник головного редактора</w:t>
      </w:r>
    </w:p>
    <w:p w:rsidR="00514387" w:rsidRDefault="00514387">
      <w:pPr>
        <w:spacing w:line="33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Заболотний Д.І. (Київ) — </w:t>
      </w:r>
      <w:r>
        <w:rPr>
          <w:rFonts w:eastAsia="Times New Roman"/>
          <w:i/>
          <w:iCs/>
          <w:sz w:val="18"/>
          <w:szCs w:val="18"/>
        </w:rPr>
        <w:t>заступник головного редактора</w:t>
      </w:r>
    </w:p>
    <w:p w:rsidR="00514387" w:rsidRDefault="00514387">
      <w:pPr>
        <w:spacing w:line="33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Гуменюк Г.Л. (Київ) — </w:t>
      </w:r>
      <w:r>
        <w:rPr>
          <w:rFonts w:eastAsia="Times New Roman"/>
          <w:i/>
          <w:iCs/>
          <w:sz w:val="18"/>
          <w:szCs w:val="18"/>
        </w:rPr>
        <w:t>відповідальний секретар</w:t>
      </w:r>
    </w:p>
    <w:p w:rsidR="00514387" w:rsidRDefault="00514387">
      <w:pPr>
        <w:spacing w:line="147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Антипкін Ю.Г. </w:t>
      </w:r>
      <w:r>
        <w:rPr>
          <w:rFonts w:eastAsia="Times New Roman"/>
          <w:i/>
          <w:iCs/>
          <w:sz w:val="18"/>
          <w:szCs w:val="18"/>
        </w:rPr>
        <w:t>(Київ)</w:t>
      </w:r>
      <w:r>
        <w:rPr>
          <w:rFonts w:eastAsia="Times New Roman"/>
          <w:sz w:val="18"/>
          <w:szCs w:val="18"/>
        </w:rPr>
        <w:t xml:space="preserve">, Бандрівська А.З. </w:t>
      </w:r>
      <w:r>
        <w:rPr>
          <w:rFonts w:eastAsia="Times New Roman"/>
          <w:i/>
          <w:iCs/>
          <w:sz w:val="18"/>
          <w:szCs w:val="18"/>
        </w:rPr>
        <w:t>(Львів)</w:t>
      </w:r>
      <w:r>
        <w:rPr>
          <w:rFonts w:eastAsia="Times New Roman"/>
          <w:sz w:val="18"/>
          <w:szCs w:val="18"/>
        </w:rPr>
        <w:t xml:space="preserve">, Барнс П. </w:t>
      </w:r>
      <w:r>
        <w:rPr>
          <w:rFonts w:eastAsia="Times New Roman"/>
          <w:i/>
          <w:iCs/>
          <w:sz w:val="18"/>
          <w:szCs w:val="18"/>
        </w:rPr>
        <w:t>(Лондон, Велика Британія)</w:t>
      </w:r>
      <w:r>
        <w:rPr>
          <w:rFonts w:eastAsia="Times New Roman"/>
          <w:sz w:val="18"/>
          <w:szCs w:val="18"/>
        </w:rPr>
        <w:t>,</w:t>
      </w:r>
    </w:p>
    <w:p w:rsidR="00514387" w:rsidRDefault="00514387">
      <w:pPr>
        <w:spacing w:line="13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Бойко Д.М. </w:t>
      </w:r>
      <w:r>
        <w:rPr>
          <w:rFonts w:eastAsia="Times New Roman"/>
          <w:i/>
          <w:iCs/>
          <w:sz w:val="18"/>
          <w:szCs w:val="18"/>
        </w:rPr>
        <w:t>(П</w:t>
      </w:r>
      <w:r>
        <w:rPr>
          <w:rFonts w:eastAsia="Times New Roman"/>
          <w:i/>
          <w:iCs/>
          <w:sz w:val="18"/>
          <w:szCs w:val="18"/>
        </w:rPr>
        <w:t>олтава)</w:t>
      </w:r>
      <w:r>
        <w:rPr>
          <w:rFonts w:eastAsia="Times New Roman"/>
          <w:sz w:val="18"/>
          <w:szCs w:val="18"/>
        </w:rPr>
        <w:t xml:space="preserve">, Гаврисюк В.К. </w:t>
      </w:r>
      <w:r>
        <w:rPr>
          <w:rFonts w:eastAsia="Times New Roman"/>
          <w:i/>
          <w:iCs/>
          <w:sz w:val="18"/>
          <w:szCs w:val="18"/>
        </w:rPr>
        <w:t>(Київ)</w:t>
      </w:r>
      <w:r>
        <w:rPr>
          <w:rFonts w:eastAsia="Times New Roman"/>
          <w:sz w:val="18"/>
          <w:szCs w:val="18"/>
        </w:rPr>
        <w:t xml:space="preserve">, Геппе Н.А. </w:t>
      </w:r>
      <w:r>
        <w:rPr>
          <w:rFonts w:eastAsia="Times New Roman"/>
          <w:i/>
          <w:iCs/>
          <w:sz w:val="18"/>
          <w:szCs w:val="18"/>
        </w:rPr>
        <w:t>(Москва, РФ)</w:t>
      </w:r>
      <w:r>
        <w:rPr>
          <w:rFonts w:eastAsia="Times New Roman"/>
          <w:sz w:val="18"/>
          <w:szCs w:val="18"/>
        </w:rPr>
        <w:t>,</w:t>
      </w:r>
    </w:p>
    <w:p w:rsidR="00514387" w:rsidRDefault="00514387">
      <w:pPr>
        <w:spacing w:line="24" w:lineRule="exact"/>
        <w:rPr>
          <w:sz w:val="24"/>
          <w:szCs w:val="24"/>
        </w:rPr>
      </w:pPr>
    </w:p>
    <w:p w:rsidR="00514387" w:rsidRDefault="00695BB3">
      <w:pPr>
        <w:spacing w:line="251" w:lineRule="auto"/>
        <w:ind w:right="116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Горячкіна Л.О. </w:t>
      </w:r>
      <w:r>
        <w:rPr>
          <w:rFonts w:eastAsia="Times New Roman"/>
          <w:i/>
          <w:iCs/>
          <w:sz w:val="18"/>
          <w:szCs w:val="18"/>
        </w:rPr>
        <w:t>(Москва, РФ)</w:t>
      </w:r>
      <w:r>
        <w:rPr>
          <w:rFonts w:eastAsia="Times New Roman"/>
          <w:sz w:val="18"/>
          <w:szCs w:val="18"/>
        </w:rPr>
        <w:t xml:space="preserve">, Гуменюк М.І. </w:t>
      </w:r>
      <w:r>
        <w:rPr>
          <w:rFonts w:eastAsia="Times New Roman"/>
          <w:i/>
          <w:iCs/>
          <w:sz w:val="18"/>
          <w:szCs w:val="18"/>
        </w:rPr>
        <w:t>(Київ)</w:t>
      </w:r>
      <w:r>
        <w:rPr>
          <w:rFonts w:eastAsia="Times New Roman"/>
          <w:sz w:val="18"/>
          <w:szCs w:val="18"/>
        </w:rPr>
        <w:t xml:space="preserve">, Дзюблик О.Я. </w:t>
      </w:r>
      <w:r>
        <w:rPr>
          <w:rFonts w:eastAsia="Times New Roman"/>
          <w:i/>
          <w:iCs/>
          <w:sz w:val="18"/>
          <w:szCs w:val="18"/>
        </w:rPr>
        <w:t>(Київ)</w:t>
      </w:r>
      <w:r>
        <w:rPr>
          <w:rFonts w:eastAsia="Times New Roman"/>
          <w:sz w:val="18"/>
          <w:szCs w:val="18"/>
        </w:rPr>
        <w:t xml:space="preserve">, Дитятківська Є.М. </w:t>
      </w:r>
      <w:r>
        <w:rPr>
          <w:rFonts w:eastAsia="Times New Roman"/>
          <w:i/>
          <w:iCs/>
          <w:sz w:val="18"/>
          <w:szCs w:val="18"/>
        </w:rPr>
        <w:t>(Дніпро)</w:t>
      </w:r>
      <w:r>
        <w:rPr>
          <w:rFonts w:eastAsia="Times New Roman"/>
          <w:sz w:val="18"/>
          <w:szCs w:val="18"/>
        </w:rPr>
        <w:t xml:space="preserve">, Зайков С.В. </w:t>
      </w:r>
      <w:r>
        <w:rPr>
          <w:rFonts w:eastAsia="Times New Roman"/>
          <w:i/>
          <w:iCs/>
          <w:sz w:val="18"/>
          <w:szCs w:val="18"/>
        </w:rPr>
        <w:t>(Київ)</w:t>
      </w:r>
      <w:r>
        <w:rPr>
          <w:rFonts w:eastAsia="Times New Roman"/>
          <w:sz w:val="18"/>
          <w:szCs w:val="18"/>
        </w:rPr>
        <w:t xml:space="preserve">, Калюжна Л.Д. </w:t>
      </w:r>
      <w:r>
        <w:rPr>
          <w:rFonts w:eastAsia="Times New Roman"/>
          <w:i/>
          <w:iCs/>
          <w:sz w:val="18"/>
          <w:szCs w:val="18"/>
        </w:rPr>
        <w:t>(Київ)</w:t>
      </w:r>
      <w:r>
        <w:rPr>
          <w:rFonts w:eastAsia="Times New Roman"/>
          <w:sz w:val="18"/>
          <w:szCs w:val="18"/>
        </w:rPr>
        <w:t xml:space="preserve">, Кужко М.М. </w:t>
      </w:r>
      <w:r>
        <w:rPr>
          <w:rFonts w:eastAsia="Times New Roman"/>
          <w:i/>
          <w:iCs/>
          <w:sz w:val="18"/>
          <w:szCs w:val="18"/>
        </w:rPr>
        <w:t>(Київ)</w:t>
      </w:r>
      <w:r>
        <w:rPr>
          <w:rFonts w:eastAsia="Times New Roman"/>
          <w:sz w:val="18"/>
          <w:szCs w:val="18"/>
        </w:rPr>
        <w:t xml:space="preserve">, Лемко І.С. </w:t>
      </w:r>
      <w:r>
        <w:rPr>
          <w:rFonts w:eastAsia="Times New Roman"/>
          <w:i/>
          <w:iCs/>
          <w:sz w:val="18"/>
          <w:szCs w:val="18"/>
        </w:rPr>
        <w:t>(Ужгород)</w:t>
      </w:r>
      <w:r>
        <w:rPr>
          <w:rFonts w:eastAsia="Times New Roman"/>
          <w:sz w:val="18"/>
          <w:szCs w:val="18"/>
        </w:rPr>
        <w:t xml:space="preserve">, Мельник В.М. </w:t>
      </w:r>
      <w:r>
        <w:rPr>
          <w:rFonts w:eastAsia="Times New Roman"/>
          <w:i/>
          <w:iCs/>
          <w:sz w:val="18"/>
          <w:szCs w:val="18"/>
        </w:rPr>
        <w:t>(Київ)</w:t>
      </w:r>
      <w:r>
        <w:rPr>
          <w:rFonts w:eastAsia="Times New Roman"/>
          <w:sz w:val="18"/>
          <w:szCs w:val="18"/>
        </w:rPr>
        <w:t xml:space="preserve">, Недєльська С.М. </w:t>
      </w:r>
      <w:r>
        <w:rPr>
          <w:rFonts w:eastAsia="Times New Roman"/>
          <w:i/>
          <w:iCs/>
          <w:sz w:val="18"/>
          <w:szCs w:val="18"/>
        </w:rPr>
        <w:t>(Запоріжжя)</w:t>
      </w:r>
      <w:r>
        <w:rPr>
          <w:rFonts w:eastAsia="Times New Roman"/>
          <w:sz w:val="18"/>
          <w:szCs w:val="18"/>
        </w:rPr>
        <w:t xml:space="preserve">, Охотнікова О.М. </w:t>
      </w:r>
      <w:r>
        <w:rPr>
          <w:rFonts w:eastAsia="Times New Roman"/>
          <w:i/>
          <w:iCs/>
          <w:sz w:val="18"/>
          <w:szCs w:val="18"/>
        </w:rPr>
        <w:t>(Київ)</w:t>
      </w:r>
      <w:r>
        <w:rPr>
          <w:rFonts w:eastAsia="Times New Roman"/>
          <w:sz w:val="18"/>
          <w:szCs w:val="18"/>
        </w:rPr>
        <w:t xml:space="preserve">, Перцева Т.О. </w:t>
      </w:r>
      <w:r>
        <w:rPr>
          <w:rFonts w:eastAsia="Times New Roman"/>
          <w:i/>
          <w:iCs/>
          <w:sz w:val="18"/>
          <w:szCs w:val="18"/>
        </w:rPr>
        <w:t>(Дніпро)</w:t>
      </w:r>
      <w:r>
        <w:rPr>
          <w:rFonts w:eastAsia="Times New Roman"/>
          <w:sz w:val="18"/>
          <w:szCs w:val="18"/>
        </w:rPr>
        <w:t xml:space="preserve">, Пухлик Б.М. </w:t>
      </w:r>
      <w:r>
        <w:rPr>
          <w:rFonts w:eastAsia="Times New Roman"/>
          <w:i/>
          <w:iCs/>
          <w:sz w:val="18"/>
          <w:szCs w:val="18"/>
        </w:rPr>
        <w:t>(Вінниця)</w:t>
      </w:r>
      <w:r>
        <w:rPr>
          <w:rFonts w:eastAsia="Times New Roman"/>
          <w:sz w:val="18"/>
          <w:szCs w:val="18"/>
        </w:rPr>
        <w:t xml:space="preserve">, Романюк Л.І. </w:t>
      </w:r>
      <w:r>
        <w:rPr>
          <w:rFonts w:eastAsia="Times New Roman"/>
          <w:i/>
          <w:iCs/>
          <w:sz w:val="18"/>
          <w:szCs w:val="18"/>
        </w:rPr>
        <w:t>(Київ)</w:t>
      </w:r>
      <w:r>
        <w:rPr>
          <w:rFonts w:eastAsia="Times New Roman"/>
          <w:sz w:val="18"/>
          <w:szCs w:val="18"/>
        </w:rPr>
        <w:t xml:space="preserve">, Рекалова О.М. </w:t>
      </w:r>
      <w:r>
        <w:rPr>
          <w:rFonts w:eastAsia="Times New Roman"/>
          <w:i/>
          <w:iCs/>
          <w:sz w:val="18"/>
          <w:szCs w:val="18"/>
        </w:rPr>
        <w:t>(Київ)</w:t>
      </w:r>
      <w:r>
        <w:rPr>
          <w:rFonts w:eastAsia="Times New Roman"/>
          <w:sz w:val="18"/>
          <w:szCs w:val="18"/>
        </w:rPr>
        <w:t xml:space="preserve">, Фещенко Ю.І. </w:t>
      </w:r>
      <w:r>
        <w:rPr>
          <w:rFonts w:eastAsia="Times New Roman"/>
          <w:i/>
          <w:iCs/>
          <w:sz w:val="18"/>
          <w:szCs w:val="18"/>
        </w:rPr>
        <w:t>(Київ)</w:t>
      </w:r>
      <w:r>
        <w:rPr>
          <w:rFonts w:eastAsia="Times New Roman"/>
          <w:sz w:val="18"/>
          <w:szCs w:val="18"/>
        </w:rPr>
        <w:t xml:space="preserve">, Харитонов С. </w:t>
      </w:r>
      <w:r>
        <w:rPr>
          <w:rFonts w:eastAsia="Times New Roman"/>
          <w:i/>
          <w:iCs/>
          <w:sz w:val="18"/>
          <w:szCs w:val="18"/>
        </w:rPr>
        <w:t>(Лондон, Велика Британія),</w:t>
      </w:r>
      <w:r>
        <w:rPr>
          <w:rFonts w:eastAsia="Times New Roman"/>
          <w:sz w:val="18"/>
          <w:szCs w:val="18"/>
        </w:rPr>
        <w:t xml:space="preserve"> Чопяк В.В. </w:t>
      </w:r>
      <w:r>
        <w:rPr>
          <w:rFonts w:eastAsia="Times New Roman"/>
          <w:i/>
          <w:iCs/>
          <w:sz w:val="18"/>
          <w:szCs w:val="18"/>
        </w:rPr>
        <w:t>(Львів)</w:t>
      </w:r>
      <w:r>
        <w:rPr>
          <w:rFonts w:eastAsia="Times New Roman"/>
          <w:sz w:val="18"/>
          <w:szCs w:val="18"/>
        </w:rPr>
        <w:t xml:space="preserve">, Чумак А.А. </w:t>
      </w:r>
      <w:r>
        <w:rPr>
          <w:rFonts w:eastAsia="Times New Roman"/>
          <w:i/>
          <w:iCs/>
          <w:sz w:val="18"/>
          <w:szCs w:val="18"/>
        </w:rPr>
        <w:t>(Київ)</w:t>
      </w:r>
      <w:r>
        <w:rPr>
          <w:rFonts w:eastAsia="Times New Roman"/>
          <w:sz w:val="18"/>
          <w:szCs w:val="18"/>
        </w:rPr>
        <w:t>, Юхимец</w:t>
      </w:r>
      <w:r>
        <w:rPr>
          <w:rFonts w:eastAsia="Times New Roman"/>
          <w:sz w:val="18"/>
          <w:szCs w:val="18"/>
        </w:rPr>
        <w:t xml:space="preserve">ь В.О. </w:t>
      </w:r>
      <w:r>
        <w:rPr>
          <w:rFonts w:eastAsia="Times New Roman"/>
          <w:i/>
          <w:iCs/>
          <w:sz w:val="18"/>
          <w:szCs w:val="18"/>
        </w:rPr>
        <w:t>(Київ)</w:t>
      </w:r>
    </w:p>
    <w:p w:rsidR="00514387" w:rsidRDefault="00514387">
      <w:pPr>
        <w:spacing w:line="117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Редакційна рада:</w:t>
      </w:r>
    </w:p>
    <w:p w:rsidR="00514387" w:rsidRDefault="00514387">
      <w:pPr>
        <w:spacing w:line="20" w:lineRule="exact"/>
        <w:rPr>
          <w:sz w:val="24"/>
          <w:szCs w:val="24"/>
        </w:rPr>
      </w:pPr>
    </w:p>
    <w:p w:rsidR="00514387" w:rsidRDefault="00695BB3">
      <w:pPr>
        <w:spacing w:line="248" w:lineRule="auto"/>
        <w:ind w:right="6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Агафонова І.O. </w:t>
      </w:r>
      <w:r>
        <w:rPr>
          <w:rFonts w:eastAsia="Times New Roman"/>
          <w:i/>
          <w:iCs/>
          <w:sz w:val="18"/>
          <w:szCs w:val="18"/>
        </w:rPr>
        <w:t>(Дніпро)</w:t>
      </w:r>
      <w:r>
        <w:rPr>
          <w:rFonts w:eastAsia="Times New Roman"/>
          <w:sz w:val="18"/>
          <w:szCs w:val="18"/>
        </w:rPr>
        <w:t xml:space="preserve">, Бездєтко Т.В. </w:t>
      </w:r>
      <w:r>
        <w:rPr>
          <w:rFonts w:eastAsia="Times New Roman"/>
          <w:i/>
          <w:iCs/>
          <w:sz w:val="18"/>
          <w:szCs w:val="18"/>
        </w:rPr>
        <w:t>(Харків)</w:t>
      </w:r>
      <w:r>
        <w:rPr>
          <w:rFonts w:eastAsia="Times New Roman"/>
          <w:sz w:val="18"/>
          <w:szCs w:val="18"/>
        </w:rPr>
        <w:t xml:space="preserve">, Беш Л.В. </w:t>
      </w:r>
      <w:r>
        <w:rPr>
          <w:rFonts w:eastAsia="Times New Roman"/>
          <w:i/>
          <w:iCs/>
          <w:sz w:val="18"/>
          <w:szCs w:val="18"/>
        </w:rPr>
        <w:t>(Львів)</w:t>
      </w:r>
      <w:r>
        <w:rPr>
          <w:rFonts w:eastAsia="Times New Roman"/>
          <w:sz w:val="18"/>
          <w:szCs w:val="18"/>
        </w:rPr>
        <w:t xml:space="preserve">, Коваленко В.М. </w:t>
      </w:r>
      <w:r>
        <w:rPr>
          <w:rFonts w:eastAsia="Times New Roman"/>
          <w:i/>
          <w:iCs/>
          <w:sz w:val="18"/>
          <w:szCs w:val="18"/>
        </w:rPr>
        <w:t>(Київ)</w:t>
      </w:r>
      <w:r>
        <w:rPr>
          <w:rFonts w:eastAsia="Times New Roman"/>
          <w:sz w:val="18"/>
          <w:szCs w:val="18"/>
        </w:rPr>
        <w:t xml:space="preserve">, Косенкова А.С. </w:t>
      </w:r>
      <w:r>
        <w:rPr>
          <w:rFonts w:eastAsia="Times New Roman"/>
          <w:i/>
          <w:iCs/>
          <w:sz w:val="18"/>
          <w:szCs w:val="18"/>
        </w:rPr>
        <w:t>(Одеса)</w:t>
      </w:r>
      <w:r>
        <w:rPr>
          <w:rFonts w:eastAsia="Times New Roman"/>
          <w:sz w:val="18"/>
          <w:szCs w:val="18"/>
        </w:rPr>
        <w:t xml:space="preserve">, Крахмалова О.О. </w:t>
      </w:r>
      <w:r>
        <w:rPr>
          <w:rFonts w:eastAsia="Times New Roman"/>
          <w:i/>
          <w:iCs/>
          <w:sz w:val="18"/>
          <w:szCs w:val="18"/>
        </w:rPr>
        <w:t>(Харків)</w:t>
      </w:r>
      <w:r>
        <w:rPr>
          <w:rFonts w:eastAsia="Times New Roman"/>
          <w:sz w:val="18"/>
          <w:szCs w:val="18"/>
        </w:rPr>
        <w:t xml:space="preserve">, Кусс Е.Л. </w:t>
      </w:r>
      <w:r>
        <w:rPr>
          <w:rFonts w:eastAsia="Times New Roman"/>
          <w:i/>
          <w:iCs/>
          <w:sz w:val="18"/>
          <w:szCs w:val="18"/>
        </w:rPr>
        <w:t>(Миколаїв)</w:t>
      </w:r>
      <w:r>
        <w:rPr>
          <w:rFonts w:eastAsia="Times New Roman"/>
          <w:sz w:val="18"/>
          <w:szCs w:val="18"/>
        </w:rPr>
        <w:t xml:space="preserve">, Лисенко І.В. </w:t>
      </w:r>
      <w:r>
        <w:rPr>
          <w:rFonts w:eastAsia="Times New Roman"/>
          <w:i/>
          <w:iCs/>
          <w:sz w:val="18"/>
          <w:szCs w:val="18"/>
        </w:rPr>
        <w:t>(Запоріжжя)</w:t>
      </w:r>
      <w:r>
        <w:rPr>
          <w:rFonts w:eastAsia="Times New Roman"/>
          <w:sz w:val="18"/>
          <w:szCs w:val="18"/>
        </w:rPr>
        <w:t xml:space="preserve">, Мостовий Ю.М. </w:t>
      </w:r>
      <w:r>
        <w:rPr>
          <w:rFonts w:eastAsia="Times New Roman"/>
          <w:i/>
          <w:iCs/>
          <w:sz w:val="18"/>
          <w:szCs w:val="18"/>
        </w:rPr>
        <w:t>(Вінниця)</w:t>
      </w:r>
      <w:r>
        <w:rPr>
          <w:rFonts w:eastAsia="Times New Roman"/>
          <w:sz w:val="18"/>
          <w:szCs w:val="18"/>
        </w:rPr>
        <w:t>, Пухлик С.М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/>
          <w:i/>
          <w:iCs/>
          <w:sz w:val="18"/>
          <w:szCs w:val="18"/>
        </w:rPr>
        <w:t>(Одеса)</w:t>
      </w:r>
      <w:r>
        <w:rPr>
          <w:rFonts w:eastAsia="Times New Roman"/>
          <w:sz w:val="18"/>
          <w:szCs w:val="18"/>
        </w:rPr>
        <w:t xml:space="preserve">, Речкіна О.О. </w:t>
      </w:r>
      <w:r>
        <w:rPr>
          <w:rFonts w:eastAsia="Times New Roman"/>
          <w:i/>
          <w:iCs/>
          <w:sz w:val="18"/>
          <w:szCs w:val="18"/>
        </w:rPr>
        <w:t>(Київ)</w:t>
      </w:r>
      <w:r>
        <w:rPr>
          <w:rFonts w:eastAsia="Times New Roman"/>
          <w:sz w:val="18"/>
          <w:szCs w:val="18"/>
        </w:rPr>
        <w:t xml:space="preserve">, Садовник О.М. </w:t>
      </w:r>
      <w:r>
        <w:rPr>
          <w:rFonts w:eastAsia="Times New Roman"/>
          <w:i/>
          <w:iCs/>
          <w:sz w:val="18"/>
          <w:szCs w:val="18"/>
        </w:rPr>
        <w:t>(Полтава)</w:t>
      </w:r>
    </w:p>
    <w:p w:rsidR="00514387" w:rsidRDefault="00514387">
      <w:pPr>
        <w:spacing w:line="154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>Адреса редколегії:</w:t>
      </w:r>
    </w:p>
    <w:p w:rsidR="00514387" w:rsidRDefault="00514387">
      <w:pPr>
        <w:spacing w:line="22" w:lineRule="exact"/>
        <w:rPr>
          <w:sz w:val="24"/>
          <w:szCs w:val="24"/>
        </w:rPr>
      </w:pPr>
    </w:p>
    <w:p w:rsidR="00514387" w:rsidRDefault="00695BB3">
      <w:pPr>
        <w:spacing w:line="242" w:lineRule="auto"/>
        <w:ind w:right="2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 xml:space="preserve">вул. М. Амосова, 10, м. Київ, 03038; ДУ «Національний інститут фтизіатрії і пульмонології ім. Ф.Г. Яновського НАМН України», журнал «Астма та алергія»; тел.: +38 (044) 275-62-42, </w:t>
      </w:r>
      <w:r>
        <w:rPr>
          <w:rFonts w:eastAsia="Times New Roman"/>
          <w:sz w:val="16"/>
          <w:szCs w:val="16"/>
        </w:rPr>
        <w:t>тел./факс: +38 (044) 275-05-68; e-mail: gumenuk@ifp.kiev.ua, diagnost@ifp.kiev.ua</w:t>
      </w:r>
    </w:p>
    <w:p w:rsidR="00514387" w:rsidRDefault="00514387">
      <w:pPr>
        <w:spacing w:line="75" w:lineRule="exact"/>
        <w:rPr>
          <w:sz w:val="24"/>
          <w:szCs w:val="24"/>
        </w:rPr>
      </w:pPr>
    </w:p>
    <w:p w:rsidR="00514387" w:rsidRDefault="00695BB3">
      <w:pPr>
        <w:spacing w:line="245" w:lineRule="auto"/>
        <w:ind w:right="2240"/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Засновники: </w:t>
      </w:r>
      <w:r>
        <w:rPr>
          <w:rFonts w:eastAsia="Times New Roman"/>
          <w:sz w:val="16"/>
          <w:szCs w:val="16"/>
        </w:rPr>
        <w:t>ДУ «Національний інститут фтизіатрії і пульмонології ім. Ф.Г. Яновського НАМН України»;</w:t>
      </w:r>
      <w:r>
        <w:rPr>
          <w:rFonts w:eastAsia="Times New Roman"/>
          <w:b/>
          <w:bCs/>
          <w:sz w:val="16"/>
          <w:szCs w:val="16"/>
        </w:rPr>
        <w:t xml:space="preserve"> </w:t>
      </w:r>
      <w:r>
        <w:rPr>
          <w:rFonts w:eastAsia="Times New Roman"/>
          <w:sz w:val="16"/>
          <w:szCs w:val="16"/>
        </w:rPr>
        <w:t>Асоціація спеціалістів з проблем бронхіальної астми та алергії України.</w:t>
      </w:r>
    </w:p>
    <w:p w:rsidR="00514387" w:rsidRDefault="00514387">
      <w:pPr>
        <w:spacing w:line="65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Видавець: </w:t>
      </w:r>
      <w:r>
        <w:rPr>
          <w:rFonts w:eastAsia="Times New Roman"/>
          <w:sz w:val="16"/>
          <w:szCs w:val="16"/>
        </w:rPr>
        <w:t>ТОВ «Медичний журнал «Клінічна імунологія. Алергологія. Інфектологія»</w:t>
      </w:r>
    </w:p>
    <w:p w:rsidR="00514387" w:rsidRDefault="00514387">
      <w:pPr>
        <w:spacing w:line="80" w:lineRule="exact"/>
        <w:rPr>
          <w:sz w:val="24"/>
          <w:szCs w:val="24"/>
        </w:rPr>
      </w:pPr>
    </w:p>
    <w:tbl>
      <w:tblPr>
        <w:tblW w:w="0" w:type="auto"/>
        <w:tblInd w:w="10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40"/>
        <w:gridCol w:w="4600"/>
      </w:tblGrid>
      <w:tr w:rsidR="00514387">
        <w:trPr>
          <w:trHeight w:val="184"/>
        </w:trPr>
        <w:tc>
          <w:tcPr>
            <w:tcW w:w="3740" w:type="dxa"/>
            <w:vAlign w:val="bottom"/>
          </w:tcPr>
          <w:p w:rsidR="00514387" w:rsidRDefault="00695BB3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 xml:space="preserve">Генеральний директор: </w:t>
            </w:r>
            <w:r>
              <w:rPr>
                <w:rFonts w:eastAsia="Times New Roman"/>
                <w:sz w:val="16"/>
                <w:szCs w:val="16"/>
              </w:rPr>
              <w:t>Анастасія Чаплиженко</w:t>
            </w:r>
          </w:p>
        </w:tc>
        <w:tc>
          <w:tcPr>
            <w:tcW w:w="4600" w:type="dxa"/>
            <w:vAlign w:val="bottom"/>
          </w:tcPr>
          <w:p w:rsidR="00514387" w:rsidRDefault="00695BB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 xml:space="preserve">Відповідальний секретар: </w:t>
            </w:r>
            <w:r>
              <w:rPr>
                <w:rFonts w:eastAsia="Times New Roman"/>
                <w:sz w:val="16"/>
                <w:szCs w:val="16"/>
              </w:rPr>
              <w:t>Олена Білоконь</w:t>
            </w:r>
          </w:p>
        </w:tc>
      </w:tr>
      <w:tr w:rsidR="00514387">
        <w:trPr>
          <w:trHeight w:val="196"/>
        </w:trPr>
        <w:tc>
          <w:tcPr>
            <w:tcW w:w="3740" w:type="dxa"/>
            <w:vAlign w:val="bottom"/>
          </w:tcPr>
          <w:p w:rsidR="00514387" w:rsidRDefault="00695BB3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6"/>
                <w:sz w:val="16"/>
                <w:szCs w:val="16"/>
              </w:rPr>
              <w:t xml:space="preserve">Шеф-редактор: </w:t>
            </w:r>
            <w:r>
              <w:rPr>
                <w:rFonts w:eastAsia="Times New Roman"/>
                <w:w w:val="96"/>
                <w:sz w:val="16"/>
                <w:szCs w:val="16"/>
              </w:rPr>
              <w:t>Анна Артюх</w:t>
            </w:r>
            <w:r>
              <w:rPr>
                <w:rFonts w:eastAsia="Times New Roman"/>
                <w:i/>
                <w:iCs/>
                <w:w w:val="96"/>
                <w:sz w:val="16"/>
                <w:szCs w:val="16"/>
              </w:rPr>
              <w:t>, artyukh.kiai@gmail.com</w:t>
            </w:r>
          </w:p>
        </w:tc>
        <w:tc>
          <w:tcPr>
            <w:tcW w:w="4600" w:type="dxa"/>
            <w:vAlign w:val="bottom"/>
          </w:tcPr>
          <w:p w:rsidR="00514387" w:rsidRDefault="00695BB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 xml:space="preserve">Дизайн/комп’ютерна верстка: </w:t>
            </w:r>
            <w:r>
              <w:rPr>
                <w:rFonts w:eastAsia="Times New Roman"/>
                <w:sz w:val="16"/>
                <w:szCs w:val="16"/>
              </w:rPr>
              <w:t>Тамара Музика</w:t>
            </w:r>
          </w:p>
        </w:tc>
      </w:tr>
      <w:tr w:rsidR="00514387">
        <w:trPr>
          <w:trHeight w:val="196"/>
        </w:trPr>
        <w:tc>
          <w:tcPr>
            <w:tcW w:w="3740" w:type="dxa"/>
            <w:vAlign w:val="bottom"/>
          </w:tcPr>
          <w:p w:rsidR="00514387" w:rsidRDefault="00695BB3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 xml:space="preserve">Медичний редактор: </w:t>
            </w:r>
            <w:r>
              <w:rPr>
                <w:rFonts w:eastAsia="Times New Roman"/>
                <w:sz w:val="16"/>
                <w:szCs w:val="16"/>
              </w:rPr>
              <w:t>Галина Гуменюк</w:t>
            </w:r>
          </w:p>
        </w:tc>
        <w:tc>
          <w:tcPr>
            <w:tcW w:w="4600" w:type="dxa"/>
            <w:vAlign w:val="bottom"/>
          </w:tcPr>
          <w:p w:rsidR="00514387" w:rsidRDefault="00695BB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7"/>
                <w:sz w:val="16"/>
                <w:szCs w:val="16"/>
              </w:rPr>
              <w:t xml:space="preserve">Менеджер з реклами: </w:t>
            </w:r>
            <w:r>
              <w:rPr>
                <w:rFonts w:eastAsia="Times New Roman"/>
                <w:w w:val="97"/>
                <w:sz w:val="16"/>
                <w:szCs w:val="16"/>
              </w:rPr>
              <w:t>Катерина Панасевич</w:t>
            </w:r>
            <w:r>
              <w:rPr>
                <w:rFonts w:eastAsia="Times New Roman"/>
                <w:i/>
                <w:iCs/>
                <w:w w:val="97"/>
                <w:sz w:val="16"/>
                <w:szCs w:val="16"/>
              </w:rPr>
              <w:t>, panasevich@id-zu.com</w:t>
            </w:r>
          </w:p>
        </w:tc>
      </w:tr>
    </w:tbl>
    <w:p w:rsidR="00514387" w:rsidRDefault="00514387">
      <w:pPr>
        <w:spacing w:line="92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Фінансовий відділ: </w:t>
      </w:r>
      <w:r>
        <w:rPr>
          <w:rFonts w:eastAsia="Times New Roman"/>
          <w:sz w:val="16"/>
          <w:szCs w:val="16"/>
        </w:rPr>
        <w:t>+38 (044) 364-40-25</w:t>
      </w:r>
    </w:p>
    <w:p w:rsidR="00514387" w:rsidRDefault="00514387">
      <w:pPr>
        <w:spacing w:line="56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Відділ передплати та розповсюдження: </w:t>
      </w:r>
      <w:r>
        <w:rPr>
          <w:rFonts w:eastAsia="Times New Roman"/>
          <w:sz w:val="16"/>
          <w:szCs w:val="16"/>
        </w:rPr>
        <w:t>+38 (044) 364-40-29, peredplata.zu@gmail.com</w:t>
      </w:r>
    </w:p>
    <w:p w:rsidR="00514387" w:rsidRDefault="00514387">
      <w:pPr>
        <w:spacing w:line="56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Реєстраційне свідоцтво: </w:t>
      </w:r>
      <w:r>
        <w:rPr>
          <w:rFonts w:eastAsia="Times New Roman"/>
          <w:sz w:val="16"/>
          <w:szCs w:val="16"/>
        </w:rPr>
        <w:t xml:space="preserve">КВ № </w:t>
      </w:r>
      <w:r>
        <w:rPr>
          <w:rFonts w:eastAsia="Times New Roman"/>
          <w:sz w:val="16"/>
          <w:szCs w:val="16"/>
        </w:rPr>
        <w:t>2050910309ПР­ від 17.01.2014 р.</w:t>
      </w:r>
    </w:p>
    <w:p w:rsidR="00514387" w:rsidRDefault="00514387">
      <w:pPr>
        <w:spacing w:line="52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5"/>
          <w:szCs w:val="15"/>
        </w:rPr>
        <w:t>Статті прорецензовано.</w:t>
      </w:r>
    </w:p>
    <w:p w:rsidR="00514387" w:rsidRDefault="00514387">
      <w:pPr>
        <w:spacing w:line="7" w:lineRule="exact"/>
        <w:rPr>
          <w:sz w:val="24"/>
          <w:szCs w:val="24"/>
        </w:rPr>
      </w:pPr>
    </w:p>
    <w:p w:rsidR="00514387" w:rsidRDefault="00695BB3">
      <w:pPr>
        <w:spacing w:line="231" w:lineRule="auto"/>
        <w:ind w:right="94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 xml:space="preserve">Рекомендовано до друку Вченою радою Державної установи «Національний інститут фтизіатрії і пульмонології ім. Ф.Г. Яновського Національної академії медичних наук України». Протокол № 4 від 27.03.2018 </w:t>
      </w:r>
      <w:r>
        <w:rPr>
          <w:rFonts w:eastAsia="Times New Roman"/>
          <w:sz w:val="15"/>
          <w:szCs w:val="15"/>
        </w:rPr>
        <w:t>р.</w:t>
      </w:r>
    </w:p>
    <w:p w:rsidR="00514387" w:rsidRDefault="00514387">
      <w:pPr>
        <w:spacing w:line="72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Підписано до друку 06.04.2018 р.</w:t>
      </w:r>
    </w:p>
    <w:p w:rsidR="00514387" w:rsidRDefault="00514387">
      <w:pPr>
        <w:spacing w:line="69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ТОВ «Прінтінг Індастрі». 01033, м. Київ, вул. Короленківська, 4.</w:t>
      </w:r>
    </w:p>
    <w:p w:rsidR="00514387" w:rsidRDefault="00514387">
      <w:pPr>
        <w:spacing w:line="69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Наклад – 2500 прим.</w:t>
      </w:r>
    </w:p>
    <w:p w:rsidR="00514387" w:rsidRDefault="00514387">
      <w:pPr>
        <w:spacing w:line="69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Адреса редакції: </w:t>
      </w:r>
      <w:r>
        <w:rPr>
          <w:rFonts w:eastAsia="Times New Roman"/>
          <w:sz w:val="16"/>
          <w:szCs w:val="16"/>
        </w:rPr>
        <w:t>вул. Механізаторів, 2, м. Київ, 03035; тел.: +38 (044) 364-40-­11</w:t>
      </w:r>
    </w:p>
    <w:p w:rsidR="00514387" w:rsidRDefault="00514387">
      <w:pPr>
        <w:spacing w:line="125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Електронна версія журналу </w:t>
      </w:r>
      <w:r>
        <w:rPr>
          <w:rFonts w:eastAsia="Times New Roman"/>
          <w:sz w:val="16"/>
          <w:szCs w:val="16"/>
        </w:rPr>
        <w:t xml:space="preserve">розміщується на </w:t>
      </w:r>
      <w:r>
        <w:rPr>
          <w:rFonts w:eastAsia="Times New Roman"/>
          <w:sz w:val="16"/>
          <w:szCs w:val="16"/>
        </w:rPr>
        <w:t>http://www.nbuv.gov.ua/portal/chem_biol/ata/index.html,</w:t>
      </w:r>
    </w:p>
    <w:p w:rsidR="00514387" w:rsidRDefault="00514387">
      <w:pPr>
        <w:spacing w:line="12" w:lineRule="exact"/>
        <w:rPr>
          <w:sz w:val="24"/>
          <w:szCs w:val="24"/>
        </w:rPr>
      </w:pPr>
    </w:p>
    <w:p w:rsidR="00514387" w:rsidRDefault="00695BB3">
      <w:pPr>
        <w:numPr>
          <w:ilvl w:val="0"/>
          <w:numId w:val="1"/>
        </w:numPr>
        <w:tabs>
          <w:tab w:val="left" w:pos="120"/>
        </w:tabs>
        <w:ind w:left="120" w:hanging="120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також на офіційному webсайті­ НІФП НАМН: http://www.ifp.kiev.ua/doc/journals/aa_ukr.htm</w:t>
      </w:r>
    </w:p>
    <w:p w:rsidR="00514387" w:rsidRDefault="00514387">
      <w:pPr>
        <w:spacing w:line="19" w:lineRule="exact"/>
        <w:rPr>
          <w:rFonts w:eastAsia="Times New Roman"/>
          <w:sz w:val="16"/>
          <w:szCs w:val="16"/>
        </w:rPr>
      </w:pPr>
    </w:p>
    <w:p w:rsidR="00514387" w:rsidRDefault="00695BB3">
      <w:pPr>
        <w:spacing w:line="278" w:lineRule="auto"/>
        <w:ind w:right="4200"/>
        <w:rPr>
          <w:rFonts w:eastAsia="Times New Roman"/>
          <w:sz w:val="16"/>
          <w:szCs w:val="16"/>
        </w:rPr>
      </w:pPr>
      <w:r>
        <w:rPr>
          <w:rFonts w:eastAsia="Times New Roman"/>
          <w:b/>
          <w:bCs/>
          <w:sz w:val="15"/>
          <w:szCs w:val="15"/>
        </w:rPr>
        <w:t>Журнал зареєстровано у Міжнародній наукометричній системі Index Copernicus, індексується науковою інформаційно</w:t>
      </w:r>
      <w:r>
        <w:rPr>
          <w:rFonts w:eastAsia="Times New Roman"/>
          <w:b/>
          <w:bCs/>
          <w:sz w:val="15"/>
          <w:szCs w:val="15"/>
        </w:rPr>
        <w:t>ю системою Google Scholar.</w:t>
      </w:r>
    </w:p>
    <w:p w:rsidR="00514387" w:rsidRDefault="00695BB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9840" behindDoc="1" locked="0" layoutInCell="0" allowOverlap="1">
            <wp:simplePos x="0" y="0"/>
            <wp:positionH relativeFrom="column">
              <wp:posOffset>5490845</wp:posOffset>
            </wp:positionH>
            <wp:positionV relativeFrom="paragraph">
              <wp:posOffset>-50165</wp:posOffset>
            </wp:positionV>
            <wp:extent cx="1311275" cy="13112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31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4387" w:rsidRDefault="00514387">
      <w:pPr>
        <w:spacing w:line="13" w:lineRule="exact"/>
        <w:rPr>
          <w:sz w:val="24"/>
          <w:szCs w:val="24"/>
        </w:rPr>
      </w:pPr>
    </w:p>
    <w:p w:rsidR="00514387" w:rsidRDefault="00695BB3">
      <w:pPr>
        <w:spacing w:line="237" w:lineRule="auto"/>
        <w:ind w:right="92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Цілковите або часткове розмножування у будь-який спосіб матеріалів, опублікованих у цьому виданні, допускається лише з письмового дозволу редакції. Матеріали з позначкою</w:t>
      </w:r>
      <w:r>
        <w:rPr>
          <w:noProof/>
          <w:sz w:val="1"/>
          <w:szCs w:val="1"/>
        </w:rPr>
        <w:drawing>
          <wp:inline distT="0" distB="0" distL="0" distR="0">
            <wp:extent cx="84455" cy="666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14"/>
          <w:szCs w:val="14"/>
        </w:rPr>
        <w:t>публікуються на правах реклами. Позначка</w:t>
      </w:r>
      <w:r>
        <w:rPr>
          <w:noProof/>
          <w:sz w:val="1"/>
          <w:szCs w:val="1"/>
        </w:rPr>
        <w:drawing>
          <wp:inline distT="0" distB="0" distL="0" distR="0">
            <wp:extent cx="84455" cy="666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14"/>
          <w:szCs w:val="14"/>
        </w:rPr>
        <w:t>використовується для публікацій рекламного характеру, які містять інформацію про медичні лабораторії, послуги медичних клінік, медичну апаратуру, інше, у тому числі лікарські засоби, які не занесені до переліку заборонених для рекламування. Публікації з по</w:t>
      </w:r>
      <w:r>
        <w:rPr>
          <w:rFonts w:eastAsia="Times New Roman"/>
          <w:sz w:val="14"/>
          <w:szCs w:val="14"/>
        </w:rPr>
        <w:t xml:space="preserve">значкою </w:t>
      </w:r>
      <w:r>
        <w:rPr>
          <w:noProof/>
          <w:sz w:val="1"/>
          <w:szCs w:val="1"/>
        </w:rPr>
        <w:drawing>
          <wp:inline distT="0" distB="0" distL="0" distR="0">
            <wp:extent cx="60325" cy="603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14"/>
          <w:szCs w:val="14"/>
        </w:rPr>
        <w:t xml:space="preserve"> містять інформацію про лікарські засоби і призначені для медичних та фармацевтичних працівників. Правовий режим інформації, викладеної у цьому виданні або наданої для розповсюдження на спеціалізованих заходах з медичної тематики, у першу чергу ви</w:t>
      </w:r>
      <w:r>
        <w:rPr>
          <w:rFonts w:eastAsia="Times New Roman"/>
          <w:sz w:val="14"/>
          <w:szCs w:val="14"/>
        </w:rPr>
        <w:t>значається Законом України від 04.04.1996 р. №123/96ВР­ «Про лікарські засоби». Відповідальність за зміст рекламних та інформаційних матеріалів несуть особи, які подали матеріали для розміщення у журналі. Передрук матеріалів дозволяється лише з дозволу ред</w:t>
      </w:r>
      <w:r>
        <w:rPr>
          <w:rFonts w:eastAsia="Times New Roman"/>
          <w:sz w:val="14"/>
          <w:szCs w:val="14"/>
        </w:rPr>
        <w:t>акції.</w:t>
      </w:r>
    </w:p>
    <w:p w:rsidR="00514387" w:rsidRDefault="00514387">
      <w:pPr>
        <w:spacing w:line="113" w:lineRule="exact"/>
        <w:rPr>
          <w:sz w:val="24"/>
          <w:szCs w:val="24"/>
        </w:rPr>
      </w:pPr>
    </w:p>
    <w:p w:rsidR="00514387" w:rsidRDefault="00695BB3">
      <w:pPr>
        <w:numPr>
          <w:ilvl w:val="0"/>
          <w:numId w:val="2"/>
        </w:numPr>
        <w:tabs>
          <w:tab w:val="left" w:pos="160"/>
        </w:tabs>
        <w:spacing w:line="224" w:lineRule="auto"/>
        <w:ind w:left="160" w:right="3500" w:hanging="160"/>
        <w:rPr>
          <w:rFonts w:eastAsia="Times New Roman"/>
          <w:sz w:val="15"/>
          <w:szCs w:val="15"/>
        </w:rPr>
      </w:pPr>
      <w:r>
        <w:rPr>
          <w:rFonts w:eastAsia="Times New Roman"/>
          <w:sz w:val="15"/>
          <w:szCs w:val="15"/>
        </w:rPr>
        <w:t>Державна установа «Національний інститут фтизіатрії і пульмонології ім. Ф.Г. Яновського Національної академії медичних наук України», 2018</w:t>
      </w:r>
    </w:p>
    <w:p w:rsidR="00514387" w:rsidRDefault="00514387">
      <w:pPr>
        <w:spacing w:line="46" w:lineRule="exact"/>
        <w:rPr>
          <w:sz w:val="24"/>
          <w:szCs w:val="24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5"/>
          <w:szCs w:val="15"/>
        </w:rPr>
        <w:t>© Асоціація спеціалістів з проблем бронхіальної астми та алергії України, 2018</w:t>
      </w:r>
    </w:p>
    <w:p w:rsidR="00514387" w:rsidRDefault="00514387">
      <w:pPr>
        <w:sectPr w:rsidR="00514387">
          <w:pgSz w:w="11900" w:h="16838"/>
          <w:pgMar w:top="555" w:right="1146" w:bottom="110" w:left="1140" w:header="0" w:footer="0" w:gutter="0"/>
          <w:cols w:space="720" w:equalWidth="0">
            <w:col w:w="9620"/>
          </w:cols>
        </w:sectPr>
      </w:pPr>
    </w:p>
    <w:p w:rsidR="00514387" w:rsidRDefault="00514387">
      <w:pPr>
        <w:spacing w:line="285" w:lineRule="exact"/>
        <w:rPr>
          <w:sz w:val="24"/>
          <w:szCs w:val="24"/>
        </w:rPr>
      </w:pPr>
    </w:p>
    <w:p w:rsidR="00514387" w:rsidRDefault="00695BB3">
      <w:pPr>
        <w:ind w:left="952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3</w:t>
      </w:r>
    </w:p>
    <w:p w:rsidR="00514387" w:rsidRDefault="00514387">
      <w:pPr>
        <w:sectPr w:rsidR="00514387">
          <w:type w:val="continuous"/>
          <w:pgSz w:w="11900" w:h="16838"/>
          <w:pgMar w:top="555" w:right="1146" w:bottom="110" w:left="1140" w:header="0" w:footer="0" w:gutter="0"/>
          <w:cols w:space="720" w:equalWidth="0">
            <w:col w:w="9620"/>
          </w:cols>
        </w:sectPr>
      </w:pPr>
    </w:p>
    <w:p w:rsidR="00514387" w:rsidRDefault="00695BB3">
      <w:pPr>
        <w:tabs>
          <w:tab w:val="left" w:pos="4940"/>
        </w:tabs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sz w:val="36"/>
          <w:szCs w:val="36"/>
        </w:rPr>
        <w:lastRenderedPageBreak/>
        <w:t>ЗМІСТ</w:t>
      </w:r>
      <w:r>
        <w:rPr>
          <w:sz w:val="20"/>
          <w:szCs w:val="20"/>
        </w:rPr>
        <w:tab/>
      </w:r>
      <w:r>
        <w:rPr>
          <w:rFonts w:eastAsia="Times New Roman"/>
          <w:sz w:val="36"/>
          <w:szCs w:val="36"/>
        </w:rPr>
        <w:t>CONTENTS</w:t>
      </w:r>
    </w:p>
    <w:p w:rsidR="00514387" w:rsidRDefault="00514387">
      <w:pPr>
        <w:sectPr w:rsidR="00514387">
          <w:pgSz w:w="11900" w:h="16838"/>
          <w:pgMar w:top="1350" w:right="1126" w:bottom="110" w:left="1140" w:header="0" w:footer="0" w:gutter="0"/>
          <w:cols w:space="720" w:equalWidth="0">
            <w:col w:w="9640"/>
          </w:cols>
        </w:sect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82" w:lineRule="exact"/>
        <w:rPr>
          <w:sz w:val="20"/>
          <w:szCs w:val="20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ОРИГІНАЛЬНІ СТАТТІ</w:t>
      </w:r>
    </w:p>
    <w:p w:rsidR="00514387" w:rsidRDefault="00514387">
      <w:pPr>
        <w:spacing w:line="177" w:lineRule="exact"/>
        <w:rPr>
          <w:sz w:val="20"/>
          <w:szCs w:val="20"/>
        </w:rPr>
      </w:pPr>
    </w:p>
    <w:p w:rsidR="00514387" w:rsidRDefault="00695BB3">
      <w:pPr>
        <w:spacing w:line="287" w:lineRule="auto"/>
        <w:ind w:right="1080"/>
        <w:rPr>
          <w:sz w:val="20"/>
          <w:szCs w:val="20"/>
        </w:rPr>
      </w:pPr>
      <w:r>
        <w:rPr>
          <w:rFonts w:eastAsia="Times New Roman"/>
          <w:i/>
          <w:iCs/>
          <w:sz w:val="19"/>
          <w:szCs w:val="19"/>
        </w:rPr>
        <w:t>Ю. І. Фещенко, Л. О. Яшина, К. В. Назаренко, М. О. Полянська</w:t>
      </w:r>
    </w:p>
    <w:p w:rsidR="00514387" w:rsidRDefault="00514387">
      <w:pPr>
        <w:spacing w:line="68" w:lineRule="exact"/>
        <w:rPr>
          <w:sz w:val="20"/>
          <w:szCs w:val="20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Функціональна ефективність комплексної терапії</w:t>
      </w:r>
    </w:p>
    <w:p w:rsidR="00514387" w:rsidRDefault="00514387">
      <w:pPr>
        <w:spacing w:line="64" w:lineRule="exact"/>
        <w:rPr>
          <w:sz w:val="20"/>
          <w:szCs w:val="20"/>
        </w:rPr>
      </w:pPr>
    </w:p>
    <w:p w:rsidR="00514387" w:rsidRDefault="00695BB3">
      <w:pPr>
        <w:spacing w:line="251" w:lineRule="exact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 xml:space="preserve">із включенням тіотропію броміду у хворих на поєднану патологію бронхіальної астми та хронічного обструктивного захворювання легень </w:t>
      </w:r>
      <w:r>
        <w:rPr>
          <w:rFonts w:ascii="Arial Unicode MS" w:eastAsia="Arial Unicode MS" w:hAnsi="Arial Unicode MS" w:cs="Arial Unicode MS"/>
          <w:sz w:val="15"/>
          <w:szCs w:val="15"/>
        </w:rPr>
        <w:t>���������������������������</w:t>
      </w:r>
      <w:r>
        <w:rPr>
          <w:rFonts w:eastAsia="Times New Roman"/>
          <w:sz w:val="15"/>
          <w:szCs w:val="15"/>
        </w:rPr>
        <w:t xml:space="preserve"> 7</w:t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88" w:lineRule="exact"/>
        <w:rPr>
          <w:sz w:val="20"/>
          <w:szCs w:val="20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i/>
          <w:iCs/>
          <w:sz w:val="19"/>
          <w:szCs w:val="19"/>
        </w:rPr>
        <w:t>Г. В. Єрьоменко</w:t>
      </w:r>
    </w:p>
    <w:p w:rsidR="00514387" w:rsidRDefault="00514387">
      <w:pPr>
        <w:spacing w:line="120" w:lineRule="exact"/>
        <w:rPr>
          <w:sz w:val="20"/>
          <w:szCs w:val="20"/>
        </w:rPr>
      </w:pPr>
    </w:p>
    <w:p w:rsidR="00514387" w:rsidRDefault="00695BB3">
      <w:pPr>
        <w:spacing w:line="288" w:lineRule="auto"/>
        <w:ind w:right="162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Клініко-патогенетичні особливості цукрового діабету 2-го типу у хворих</w:t>
      </w:r>
    </w:p>
    <w:p w:rsidR="00514387" w:rsidRDefault="00514387">
      <w:pPr>
        <w:spacing w:line="20" w:lineRule="exact"/>
        <w:rPr>
          <w:sz w:val="20"/>
          <w:szCs w:val="20"/>
        </w:rPr>
      </w:pPr>
    </w:p>
    <w:p w:rsidR="00514387" w:rsidRDefault="00695BB3">
      <w:pPr>
        <w:spacing w:line="94" w:lineRule="exact"/>
        <w:rPr>
          <w:sz w:val="20"/>
          <w:szCs w:val="20"/>
        </w:rPr>
      </w:pPr>
      <w:r>
        <w:rPr>
          <w:rFonts w:eastAsia="Times New Roman"/>
          <w:sz w:val="7"/>
          <w:szCs w:val="7"/>
        </w:rPr>
        <w:t xml:space="preserve">на бронхіальну астму </w:t>
      </w:r>
      <w:r>
        <w:rPr>
          <w:rFonts w:ascii="Arial Unicode MS" w:eastAsia="Arial Unicode MS" w:hAnsi="Arial Unicode MS" w:cs="Arial Unicode MS"/>
          <w:sz w:val="7"/>
          <w:szCs w:val="7"/>
        </w:rPr>
        <w:t>����������������������������������������������������</w:t>
      </w:r>
      <w:r>
        <w:rPr>
          <w:rFonts w:eastAsia="Times New Roman"/>
          <w:sz w:val="7"/>
          <w:szCs w:val="7"/>
        </w:rPr>
        <w:t>15</w:t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13" w:lineRule="exact"/>
        <w:rPr>
          <w:sz w:val="20"/>
          <w:szCs w:val="20"/>
        </w:rPr>
      </w:pPr>
    </w:p>
    <w:p w:rsidR="00514387" w:rsidRDefault="00695BB3">
      <w:pPr>
        <w:spacing w:line="317" w:lineRule="auto"/>
        <w:ind w:right="760"/>
        <w:rPr>
          <w:sz w:val="20"/>
          <w:szCs w:val="20"/>
        </w:rPr>
      </w:pPr>
      <w:r>
        <w:rPr>
          <w:rFonts w:eastAsia="Times New Roman"/>
          <w:i/>
          <w:iCs/>
          <w:sz w:val="18"/>
          <w:szCs w:val="18"/>
        </w:rPr>
        <w:t>І.В. Баранова, І. А. Ільюк, С. І. Лещенко, О. В. Солєйко, К. П. Постовітенко, О.В. Долинна</w:t>
      </w:r>
    </w:p>
    <w:p w:rsidR="00514387" w:rsidRDefault="00514387">
      <w:pPr>
        <w:spacing w:line="44" w:lineRule="exact"/>
        <w:rPr>
          <w:sz w:val="20"/>
          <w:szCs w:val="20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Сухий кашель: сучасний підхід</w:t>
      </w:r>
    </w:p>
    <w:p w:rsidR="00514387" w:rsidRDefault="00514387">
      <w:pPr>
        <w:spacing w:line="64" w:lineRule="exact"/>
        <w:rPr>
          <w:sz w:val="20"/>
          <w:szCs w:val="20"/>
        </w:rPr>
      </w:pPr>
    </w:p>
    <w:p w:rsidR="00514387" w:rsidRDefault="00695BB3">
      <w:pPr>
        <w:spacing w:line="81" w:lineRule="exact"/>
        <w:rPr>
          <w:sz w:val="20"/>
          <w:szCs w:val="20"/>
        </w:rPr>
      </w:pPr>
      <w:r>
        <w:rPr>
          <w:rFonts w:eastAsia="Times New Roman"/>
          <w:sz w:val="6"/>
          <w:szCs w:val="6"/>
        </w:rPr>
        <w:t xml:space="preserve">до лікування </w:t>
      </w:r>
      <w:r>
        <w:rPr>
          <w:rFonts w:ascii="Arial Unicode MS" w:eastAsia="Arial Unicode MS" w:hAnsi="Arial Unicode MS" w:cs="Arial Unicode MS"/>
          <w:sz w:val="6"/>
          <w:szCs w:val="6"/>
        </w:rPr>
        <w:t>��������������������������������������</w:t>
      </w:r>
      <w:r>
        <w:rPr>
          <w:rFonts w:ascii="Arial Unicode MS" w:eastAsia="Arial Unicode MS" w:hAnsi="Arial Unicode MS" w:cs="Arial Unicode MS"/>
          <w:sz w:val="6"/>
          <w:szCs w:val="6"/>
        </w:rPr>
        <w:t>����������������������������</w:t>
      </w:r>
      <w:r>
        <w:rPr>
          <w:rFonts w:eastAsia="Times New Roman"/>
          <w:sz w:val="6"/>
          <w:szCs w:val="6"/>
        </w:rPr>
        <w:t>20</w:t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16" w:lineRule="exact"/>
        <w:rPr>
          <w:sz w:val="20"/>
          <w:szCs w:val="20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i/>
          <w:iCs/>
          <w:sz w:val="19"/>
          <w:szCs w:val="19"/>
        </w:rPr>
        <w:t>O. P. Pakholchuk</w:t>
      </w:r>
    </w:p>
    <w:p w:rsidR="00514387" w:rsidRDefault="00514387">
      <w:pPr>
        <w:spacing w:line="110" w:lineRule="exact"/>
        <w:rPr>
          <w:sz w:val="20"/>
          <w:szCs w:val="20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Assessment of the role of the mucosal</w:t>
      </w:r>
    </w:p>
    <w:p w:rsidR="00514387" w:rsidRDefault="00514387">
      <w:pPr>
        <w:spacing w:line="64" w:lineRule="exact"/>
        <w:rPr>
          <w:sz w:val="20"/>
          <w:szCs w:val="20"/>
        </w:rPr>
      </w:pPr>
    </w:p>
    <w:p w:rsidR="00514387" w:rsidRDefault="00695BB3">
      <w:pPr>
        <w:spacing w:line="241" w:lineRule="exact"/>
        <w:rPr>
          <w:sz w:val="20"/>
          <w:szCs w:val="20"/>
        </w:rPr>
      </w:pPr>
      <w:r>
        <w:rPr>
          <w:rFonts w:eastAsia="Times New Roman"/>
          <w:sz w:val="8"/>
          <w:szCs w:val="8"/>
        </w:rPr>
        <w:t xml:space="preserve">barrier dysfunction in pathogenesis of the food hypersensitivity in children </w:t>
      </w:r>
      <w:r>
        <w:rPr>
          <w:rFonts w:ascii="Arial Unicode MS" w:eastAsia="Arial Unicode MS" w:hAnsi="Arial Unicode MS" w:cs="Arial Unicode MS"/>
          <w:sz w:val="8"/>
          <w:szCs w:val="8"/>
        </w:rPr>
        <w:t>����������������������������������������������</w:t>
      </w:r>
      <w:r>
        <w:rPr>
          <w:rFonts w:eastAsia="Times New Roman"/>
          <w:sz w:val="8"/>
          <w:szCs w:val="8"/>
        </w:rPr>
        <w:t>27</w:t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98" w:lineRule="exact"/>
        <w:rPr>
          <w:sz w:val="20"/>
          <w:szCs w:val="20"/>
        </w:rPr>
      </w:pPr>
    </w:p>
    <w:p w:rsidR="00514387" w:rsidRDefault="00695BB3">
      <w:pPr>
        <w:spacing w:line="287" w:lineRule="auto"/>
        <w:ind w:right="2000"/>
        <w:rPr>
          <w:sz w:val="20"/>
          <w:szCs w:val="20"/>
        </w:rPr>
      </w:pPr>
      <w:r>
        <w:rPr>
          <w:rFonts w:eastAsia="Times New Roman"/>
          <w:i/>
          <w:iCs/>
          <w:sz w:val="19"/>
          <w:szCs w:val="19"/>
        </w:rPr>
        <w:t xml:space="preserve">В. І. Ігнатьєва, </w:t>
      </w:r>
      <w:r>
        <w:rPr>
          <w:rFonts w:eastAsia="Times New Roman"/>
          <w:i/>
          <w:iCs/>
          <w:sz w:val="19"/>
          <w:szCs w:val="19"/>
        </w:rPr>
        <w:t>Ю. О. Матвієнко, С. Г. Опімах, С. М. Москаленко</w:t>
      </w:r>
    </w:p>
    <w:p w:rsidR="00514387" w:rsidRDefault="00514387">
      <w:pPr>
        <w:spacing w:line="78" w:lineRule="exact"/>
        <w:rPr>
          <w:sz w:val="20"/>
          <w:szCs w:val="20"/>
        </w:rPr>
      </w:pPr>
    </w:p>
    <w:p w:rsidR="00514387" w:rsidRDefault="00695BB3">
      <w:pPr>
        <w:spacing w:line="295" w:lineRule="auto"/>
        <w:ind w:right="104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Діагностика алергічних захворювань верхніх дихальних шляхів та уточнення фенотипів алергічної та неалергічної бронхіальної астми на етапі спеціалізованої</w:t>
      </w:r>
    </w:p>
    <w:p w:rsidR="00514387" w:rsidRDefault="00514387">
      <w:pPr>
        <w:spacing w:line="15" w:lineRule="exact"/>
        <w:rPr>
          <w:sz w:val="20"/>
          <w:szCs w:val="20"/>
        </w:rPr>
      </w:pPr>
    </w:p>
    <w:p w:rsidR="00514387" w:rsidRDefault="00695BB3">
      <w:pPr>
        <w:spacing w:line="94" w:lineRule="exact"/>
        <w:rPr>
          <w:sz w:val="20"/>
          <w:szCs w:val="20"/>
        </w:rPr>
      </w:pPr>
      <w:r>
        <w:rPr>
          <w:rFonts w:eastAsia="Times New Roman"/>
          <w:sz w:val="7"/>
          <w:szCs w:val="7"/>
        </w:rPr>
        <w:t xml:space="preserve">медичної допомоги </w:t>
      </w:r>
      <w:r>
        <w:rPr>
          <w:rFonts w:ascii="Arial Unicode MS" w:eastAsia="Arial Unicode MS" w:hAnsi="Arial Unicode MS" w:cs="Arial Unicode MS"/>
          <w:sz w:val="7"/>
          <w:szCs w:val="7"/>
        </w:rPr>
        <w:t>����������������������������������</w:t>
      </w:r>
      <w:r>
        <w:rPr>
          <w:rFonts w:ascii="Arial Unicode MS" w:eastAsia="Arial Unicode MS" w:hAnsi="Arial Unicode MS" w:cs="Arial Unicode MS"/>
          <w:sz w:val="7"/>
          <w:szCs w:val="7"/>
        </w:rPr>
        <w:t>���������������������</w:t>
      </w:r>
      <w:r>
        <w:rPr>
          <w:rFonts w:eastAsia="Times New Roman"/>
          <w:sz w:val="7"/>
          <w:szCs w:val="7"/>
        </w:rPr>
        <w:t>32</w:t>
      </w:r>
    </w:p>
    <w:p w:rsidR="00514387" w:rsidRDefault="00695B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32" w:lineRule="exact"/>
        <w:rPr>
          <w:sz w:val="20"/>
          <w:szCs w:val="20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>ORIGINAL PUBLICATIONS</w:t>
      </w:r>
    </w:p>
    <w:p w:rsidR="00514387" w:rsidRDefault="00514387">
      <w:pPr>
        <w:spacing w:line="179" w:lineRule="exact"/>
        <w:rPr>
          <w:sz w:val="20"/>
          <w:szCs w:val="20"/>
        </w:rPr>
      </w:pPr>
    </w:p>
    <w:p w:rsidR="00514387" w:rsidRDefault="00695BB3">
      <w:pPr>
        <w:spacing w:line="289" w:lineRule="auto"/>
        <w:ind w:right="880"/>
        <w:rPr>
          <w:sz w:val="20"/>
          <w:szCs w:val="20"/>
        </w:rPr>
      </w:pPr>
      <w:r>
        <w:rPr>
          <w:rFonts w:eastAsia="Times New Roman"/>
          <w:i/>
          <w:iCs/>
          <w:sz w:val="19"/>
          <w:szCs w:val="19"/>
        </w:rPr>
        <w:t>Yu. I. Feshchenko, L. O. Iashyna, K. V. Nazarenko, M. O. Polianska</w:t>
      </w:r>
    </w:p>
    <w:p w:rsidR="00514387" w:rsidRDefault="00514387">
      <w:pPr>
        <w:spacing w:line="77" w:lineRule="exact"/>
        <w:rPr>
          <w:sz w:val="20"/>
          <w:szCs w:val="20"/>
        </w:rPr>
      </w:pPr>
    </w:p>
    <w:p w:rsidR="00514387" w:rsidRDefault="00695BB3">
      <w:pPr>
        <w:spacing w:line="320" w:lineRule="exact"/>
        <w:rPr>
          <w:sz w:val="20"/>
          <w:szCs w:val="20"/>
        </w:rPr>
      </w:pPr>
      <w:r>
        <w:rPr>
          <w:rFonts w:eastAsia="Times New Roman"/>
          <w:sz w:val="10"/>
          <w:szCs w:val="10"/>
        </w:rPr>
        <w:t xml:space="preserve">Functional efficiency of complex therapy with the inclusion of thiotropium bromide in patients with combined pathology of asthma and chronic obstructive pulmonary disease </w:t>
      </w:r>
      <w:r>
        <w:rPr>
          <w:rFonts w:ascii="Arial Unicode MS" w:eastAsia="Arial Unicode MS" w:hAnsi="Arial Unicode MS" w:cs="Arial Unicode MS"/>
          <w:sz w:val="10"/>
          <w:szCs w:val="10"/>
        </w:rPr>
        <w:t>�������������������������������������������</w:t>
      </w:r>
      <w:r>
        <w:rPr>
          <w:rFonts w:eastAsia="Times New Roman"/>
          <w:sz w:val="10"/>
          <w:szCs w:val="10"/>
        </w:rPr>
        <w:t xml:space="preserve"> 7</w:t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58" w:lineRule="exact"/>
        <w:rPr>
          <w:sz w:val="20"/>
          <w:szCs w:val="20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i/>
          <w:iCs/>
          <w:sz w:val="19"/>
          <w:szCs w:val="19"/>
        </w:rPr>
        <w:t>G. V. Yeryomenko</w:t>
      </w:r>
    </w:p>
    <w:p w:rsidR="00514387" w:rsidRDefault="00514387">
      <w:pPr>
        <w:spacing w:line="121" w:lineRule="exact"/>
        <w:rPr>
          <w:sz w:val="20"/>
          <w:szCs w:val="20"/>
        </w:rPr>
      </w:pPr>
    </w:p>
    <w:p w:rsidR="00514387" w:rsidRDefault="00695BB3">
      <w:pPr>
        <w:spacing w:line="289" w:lineRule="auto"/>
        <w:ind w:right="184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Clinical and pa</w:t>
      </w:r>
      <w:r>
        <w:rPr>
          <w:rFonts w:eastAsia="Times New Roman"/>
          <w:sz w:val="19"/>
          <w:szCs w:val="19"/>
        </w:rPr>
        <w:t>thogenetic peculiarities of diabetes mellitus type</w:t>
      </w:r>
    </w:p>
    <w:p w:rsidR="00514387" w:rsidRDefault="00514387">
      <w:pPr>
        <w:spacing w:line="21" w:lineRule="exact"/>
        <w:rPr>
          <w:sz w:val="20"/>
          <w:szCs w:val="20"/>
        </w:rPr>
      </w:pPr>
    </w:p>
    <w:p w:rsidR="00514387" w:rsidRDefault="00695BB3">
      <w:pPr>
        <w:spacing w:line="94" w:lineRule="exact"/>
        <w:rPr>
          <w:sz w:val="20"/>
          <w:szCs w:val="20"/>
        </w:rPr>
      </w:pPr>
      <w:r>
        <w:rPr>
          <w:rFonts w:eastAsia="Times New Roman"/>
          <w:sz w:val="7"/>
          <w:szCs w:val="7"/>
        </w:rPr>
        <w:t xml:space="preserve">2 in patients with asthma  </w:t>
      </w:r>
      <w:r>
        <w:rPr>
          <w:rFonts w:ascii="Arial Unicode MS" w:eastAsia="Arial Unicode MS" w:hAnsi="Arial Unicode MS" w:cs="Arial Unicode MS"/>
          <w:sz w:val="7"/>
          <w:szCs w:val="7"/>
        </w:rPr>
        <w:t>������������������������������������������������</w:t>
      </w:r>
      <w:r>
        <w:rPr>
          <w:rFonts w:eastAsia="Times New Roman"/>
          <w:sz w:val="7"/>
          <w:szCs w:val="7"/>
        </w:rPr>
        <w:t>15</w:t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14" w:lineRule="exact"/>
        <w:rPr>
          <w:sz w:val="20"/>
          <w:szCs w:val="20"/>
        </w:rPr>
      </w:pPr>
    </w:p>
    <w:p w:rsidR="00514387" w:rsidRDefault="00695BB3">
      <w:pPr>
        <w:spacing w:line="318" w:lineRule="auto"/>
        <w:ind w:right="900"/>
        <w:rPr>
          <w:sz w:val="20"/>
          <w:szCs w:val="20"/>
        </w:rPr>
      </w:pPr>
      <w:r>
        <w:rPr>
          <w:rFonts w:eastAsia="Times New Roman"/>
          <w:i/>
          <w:iCs/>
          <w:sz w:val="18"/>
          <w:szCs w:val="18"/>
        </w:rPr>
        <w:t>I. V. Baranova, I. A. Iliuk, S. I. Leshchenko, O. V. Solyeyko, K. P. Postovitenko, E.V. Dolynnaya</w:t>
      </w:r>
    </w:p>
    <w:p w:rsidR="00514387" w:rsidRDefault="00514387">
      <w:pPr>
        <w:spacing w:line="45" w:lineRule="exact"/>
        <w:rPr>
          <w:sz w:val="20"/>
          <w:szCs w:val="20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Dry cough: a modern </w:t>
      </w:r>
      <w:r>
        <w:rPr>
          <w:rFonts w:eastAsia="Times New Roman"/>
          <w:sz w:val="19"/>
          <w:szCs w:val="19"/>
        </w:rPr>
        <w:t>approach</w:t>
      </w:r>
    </w:p>
    <w:p w:rsidR="00514387" w:rsidRDefault="00514387">
      <w:pPr>
        <w:spacing w:line="65" w:lineRule="exact"/>
        <w:rPr>
          <w:sz w:val="20"/>
          <w:szCs w:val="20"/>
        </w:rPr>
      </w:pPr>
    </w:p>
    <w:p w:rsidR="00514387" w:rsidRDefault="00695BB3">
      <w:pPr>
        <w:spacing w:line="81" w:lineRule="exact"/>
        <w:rPr>
          <w:sz w:val="20"/>
          <w:szCs w:val="20"/>
        </w:rPr>
      </w:pPr>
      <w:r>
        <w:rPr>
          <w:rFonts w:eastAsia="Times New Roman"/>
          <w:sz w:val="6"/>
          <w:szCs w:val="6"/>
        </w:rPr>
        <w:t xml:space="preserve">to the treatment </w:t>
      </w:r>
      <w:r>
        <w:rPr>
          <w:rFonts w:ascii="Arial Unicode MS" w:eastAsia="Arial Unicode MS" w:hAnsi="Arial Unicode MS" w:cs="Arial Unicode MS"/>
          <w:sz w:val="6"/>
          <w:szCs w:val="6"/>
        </w:rPr>
        <w:t>���������������������������������������������������������������</w:t>
      </w:r>
      <w:r>
        <w:rPr>
          <w:rFonts w:eastAsia="Times New Roman"/>
          <w:sz w:val="6"/>
          <w:szCs w:val="6"/>
        </w:rPr>
        <w:t>20</w:t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17" w:lineRule="exact"/>
        <w:rPr>
          <w:sz w:val="20"/>
          <w:szCs w:val="20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i/>
          <w:iCs/>
          <w:sz w:val="19"/>
          <w:szCs w:val="19"/>
        </w:rPr>
        <w:t>О. П. Пахольчук</w:t>
      </w:r>
    </w:p>
    <w:p w:rsidR="00514387" w:rsidRDefault="00514387">
      <w:pPr>
        <w:spacing w:line="112" w:lineRule="exact"/>
        <w:rPr>
          <w:sz w:val="20"/>
          <w:szCs w:val="20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Оцінка ролі дисфункції</w:t>
      </w:r>
    </w:p>
    <w:p w:rsidR="00514387" w:rsidRDefault="00514387">
      <w:pPr>
        <w:spacing w:line="65" w:lineRule="exact"/>
        <w:rPr>
          <w:sz w:val="20"/>
          <w:szCs w:val="20"/>
        </w:rPr>
      </w:pPr>
    </w:p>
    <w:p w:rsidR="00514387" w:rsidRDefault="00695BB3">
      <w:pPr>
        <w:spacing w:line="241" w:lineRule="exact"/>
        <w:ind w:right="20"/>
        <w:rPr>
          <w:sz w:val="20"/>
          <w:szCs w:val="20"/>
        </w:rPr>
      </w:pPr>
      <w:r>
        <w:rPr>
          <w:rFonts w:eastAsia="Times New Roman"/>
          <w:sz w:val="8"/>
          <w:szCs w:val="8"/>
        </w:rPr>
        <w:t xml:space="preserve">мукозального бар’єра у формуванні харчової гіперчутливості у дітей </w:t>
      </w:r>
      <w:r>
        <w:rPr>
          <w:rFonts w:ascii="Arial Unicode MS" w:eastAsia="Arial Unicode MS" w:hAnsi="Arial Unicode MS" w:cs="Arial Unicode MS"/>
          <w:sz w:val="8"/>
          <w:szCs w:val="8"/>
        </w:rPr>
        <w:t>��������������������������������������������������</w:t>
      </w:r>
      <w:r>
        <w:rPr>
          <w:rFonts w:eastAsia="Times New Roman"/>
          <w:sz w:val="8"/>
          <w:szCs w:val="8"/>
        </w:rPr>
        <w:t>27</w:t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400" w:lineRule="exact"/>
        <w:rPr>
          <w:sz w:val="20"/>
          <w:szCs w:val="20"/>
        </w:rPr>
      </w:pPr>
    </w:p>
    <w:p w:rsidR="00514387" w:rsidRDefault="00695BB3">
      <w:pPr>
        <w:spacing w:line="289" w:lineRule="auto"/>
        <w:ind w:right="2180"/>
        <w:rPr>
          <w:sz w:val="20"/>
          <w:szCs w:val="20"/>
        </w:rPr>
      </w:pPr>
      <w:r>
        <w:rPr>
          <w:rFonts w:eastAsia="Times New Roman"/>
          <w:i/>
          <w:iCs/>
          <w:sz w:val="19"/>
          <w:szCs w:val="19"/>
        </w:rPr>
        <w:t>V. І. Іgnatieva, Y. О. Matvienko, S. G. Opimakh, S. M. Moskalenko</w:t>
      </w:r>
    </w:p>
    <w:p w:rsidR="00514387" w:rsidRDefault="00514387">
      <w:pPr>
        <w:spacing w:line="67" w:lineRule="exact"/>
        <w:rPr>
          <w:sz w:val="20"/>
          <w:szCs w:val="20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Upper airway allergic diseases</w:t>
      </w:r>
    </w:p>
    <w:p w:rsidR="00514387" w:rsidRDefault="00514387">
      <w:pPr>
        <w:spacing w:line="65" w:lineRule="exact"/>
        <w:rPr>
          <w:sz w:val="20"/>
          <w:szCs w:val="20"/>
        </w:rPr>
      </w:pPr>
    </w:p>
    <w:p w:rsidR="00514387" w:rsidRDefault="00695BB3">
      <w:pPr>
        <w:spacing w:line="294" w:lineRule="auto"/>
        <w:ind w:right="210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diagnostics and allergic and non-allergic bronchial asthma phenotype clarification at</w:t>
      </w:r>
    </w:p>
    <w:p w:rsidR="00514387" w:rsidRDefault="00514387">
      <w:pPr>
        <w:spacing w:line="17" w:lineRule="exact"/>
        <w:rPr>
          <w:sz w:val="20"/>
          <w:szCs w:val="20"/>
        </w:rPr>
      </w:pPr>
    </w:p>
    <w:p w:rsidR="00514387" w:rsidRDefault="00695BB3">
      <w:pPr>
        <w:spacing w:line="108" w:lineRule="exact"/>
        <w:rPr>
          <w:sz w:val="20"/>
          <w:szCs w:val="20"/>
        </w:rPr>
      </w:pPr>
      <w:r>
        <w:rPr>
          <w:rFonts w:eastAsia="Times New Roman"/>
          <w:sz w:val="8"/>
          <w:szCs w:val="8"/>
        </w:rPr>
        <w:t>the speciali</w:t>
      </w:r>
      <w:r>
        <w:rPr>
          <w:rFonts w:eastAsia="Times New Roman"/>
          <w:sz w:val="8"/>
          <w:szCs w:val="8"/>
        </w:rPr>
        <w:t xml:space="preserve">zed medical care level </w:t>
      </w:r>
      <w:r>
        <w:rPr>
          <w:rFonts w:ascii="Arial Unicode MS" w:eastAsia="Arial Unicode MS" w:hAnsi="Arial Unicode MS" w:cs="Arial Unicode MS"/>
          <w:sz w:val="8"/>
          <w:szCs w:val="8"/>
        </w:rPr>
        <w:t>�������������������������������������</w:t>
      </w:r>
      <w:r>
        <w:rPr>
          <w:rFonts w:eastAsia="Times New Roman"/>
          <w:sz w:val="8"/>
          <w:szCs w:val="8"/>
        </w:rPr>
        <w:t>32</w:t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ectPr w:rsidR="00514387">
          <w:type w:val="continuous"/>
          <w:pgSz w:w="11900" w:h="16838"/>
          <w:pgMar w:top="1350" w:right="1126" w:bottom="110" w:left="1140" w:header="0" w:footer="0" w:gutter="0"/>
          <w:cols w:num="2" w:space="720" w:equalWidth="0">
            <w:col w:w="4680" w:space="280"/>
            <w:col w:w="4680"/>
          </w:cols>
        </w:sect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45" w:lineRule="exact"/>
        <w:rPr>
          <w:sz w:val="20"/>
          <w:szCs w:val="20"/>
        </w:rPr>
      </w:pPr>
    </w:p>
    <w:p w:rsidR="00514387" w:rsidRDefault="00695BB3">
      <w:pPr>
        <w:ind w:left="952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5</w:t>
      </w:r>
    </w:p>
    <w:p w:rsidR="00514387" w:rsidRDefault="00514387">
      <w:pPr>
        <w:sectPr w:rsidR="00514387">
          <w:type w:val="continuous"/>
          <w:pgSz w:w="11900" w:h="16838"/>
          <w:pgMar w:top="1350" w:right="1126" w:bottom="110" w:left="1140" w:header="0" w:footer="0" w:gutter="0"/>
          <w:cols w:space="720" w:equalWidth="0">
            <w:col w:w="9640"/>
          </w:cols>
        </w:sectPr>
      </w:pPr>
    </w:p>
    <w:p w:rsidR="00514387" w:rsidRDefault="00514387">
      <w:pPr>
        <w:ind w:left="960"/>
        <w:rPr>
          <w:sz w:val="20"/>
          <w:szCs w:val="20"/>
        </w:rPr>
      </w:pPr>
      <w:bookmarkStart w:id="2" w:name="page3"/>
      <w:bookmarkEnd w:id="2"/>
      <w:r w:rsidRPr="00514387">
        <w:rPr>
          <w:rFonts w:ascii="Arial" w:eastAsia="Arial" w:hAnsi="Arial" w:cs="Arial"/>
          <w:sz w:val="24"/>
          <w:szCs w:val="24"/>
        </w:rPr>
        <w:lastRenderedPageBreak/>
        <w:pict>
          <v:rect id="Shape 10" o:spid="_x0000_s1035" style="position:absolute;left:0;text-align:left;margin-left:518.75pt;margin-top:17pt;width:28.35pt;height:28.35pt;z-index:-251634176;visibility:visible;mso-wrap-distance-left:0;mso-wrap-distance-right:0;mso-position-horizontal-relative:page;mso-position-vertical-relative:page" o:allowincell="f" fillcolor="#c5c6c6" stroked="f">
            <w10:wrap anchorx="page" anchory="page"/>
          </v:rect>
        </w:pict>
      </w:r>
      <w:r w:rsidR="00695BB3">
        <w:rPr>
          <w:rFonts w:ascii="Arial" w:eastAsia="Arial" w:hAnsi="Arial" w:cs="Arial"/>
          <w:sz w:val="24"/>
          <w:szCs w:val="24"/>
        </w:rPr>
        <w:t xml:space="preserve">ОРИГІНАЛЬНІ СТАТТІ </w:t>
      </w:r>
      <w:r w:rsidR="00695BB3">
        <w:rPr>
          <w:noProof/>
          <w:sz w:val="1"/>
          <w:szCs w:val="1"/>
        </w:rPr>
        <w:drawing>
          <wp:inline distT="0" distB="0" distL="0" distR="0">
            <wp:extent cx="3130550" cy="76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5BB3">
        <w:rPr>
          <w:rFonts w:ascii="Arial" w:eastAsia="Arial" w:hAnsi="Arial" w:cs="Arial"/>
          <w:b/>
          <w:bCs/>
          <w:color w:val="FFFFFF"/>
          <w:sz w:val="48"/>
          <w:szCs w:val="48"/>
          <w:vertAlign w:val="superscript"/>
        </w:rPr>
        <w:t xml:space="preserve">   15</w:t>
      </w:r>
    </w:p>
    <w:p w:rsidR="00514387" w:rsidRDefault="0051438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" o:spid="_x0000_s1037" style="position:absolute;z-index:251627008;visibility:visible;mso-wrap-distance-left:0;mso-wrap-distance-right:0" from=".15pt,-19.65pt" to="39.85pt,-19.65pt" o:allowincell="f" strokeweight=".30269mm"/>
        </w:pict>
      </w:r>
      <w:r>
        <w:rPr>
          <w:sz w:val="20"/>
          <w:szCs w:val="20"/>
        </w:rPr>
        <w:pict>
          <v:line id="Shape 13" o:spid="_x0000_s1038" style="position:absolute;z-index:251628032;visibility:visible;mso-wrap-distance-left:0;mso-wrap-distance-right:0" from=".15pt,-17.05pt" to="39.85pt,-17.05pt" o:allowincell="f" strokeweight=".60536mm"/>
        </w:pict>
      </w:r>
      <w:r>
        <w:rPr>
          <w:sz w:val="20"/>
          <w:szCs w:val="20"/>
        </w:rPr>
        <w:pict>
          <v:line id="Shape 14" o:spid="_x0000_s1039" style="position:absolute;z-index:251629056;visibility:visible;mso-wrap-distance-left:0;mso-wrap-distance-right:0" from=".15pt,-14.5pt" to="39.85pt,-14.5pt" o:allowincell="f" strokeweight=".30269mm"/>
        </w:pict>
      </w:r>
      <w:r>
        <w:rPr>
          <w:sz w:val="20"/>
          <w:szCs w:val="20"/>
        </w:rPr>
        <w:pict>
          <v:rect id="Shape 15" o:spid="_x0000_s1040" style="position:absolute;margin-left:39.85pt;margin-top:-22.15pt;width:156.85pt;height:9.35pt;z-index:-251633152;visibility:visible;mso-wrap-distance-left:0;mso-wrap-distance-right:0" o:allowincell="f" stroked="f"/>
        </w:pict>
      </w:r>
    </w:p>
    <w:p w:rsidR="00514387" w:rsidRDefault="00514387">
      <w:pPr>
        <w:spacing w:line="277" w:lineRule="exact"/>
        <w:rPr>
          <w:sz w:val="20"/>
          <w:szCs w:val="20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УДК 616.379–008.64–036–092–07:616.248</w:t>
      </w:r>
    </w:p>
    <w:p w:rsidR="00514387" w:rsidRDefault="00514387">
      <w:pPr>
        <w:spacing w:line="378" w:lineRule="exact"/>
        <w:rPr>
          <w:sz w:val="20"/>
          <w:szCs w:val="20"/>
        </w:rPr>
      </w:pPr>
    </w:p>
    <w:p w:rsidR="00514387" w:rsidRDefault="00695BB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19"/>
          <w:szCs w:val="19"/>
        </w:rPr>
        <w:t>Г. В. Єрьоменко</w:t>
      </w:r>
    </w:p>
    <w:p w:rsidR="00514387" w:rsidRDefault="00695BB3">
      <w:pPr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9"/>
          <w:szCs w:val="19"/>
        </w:rPr>
        <w:t>Харківський національний медичний університет</w:t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80" w:lineRule="exact"/>
        <w:rPr>
          <w:sz w:val="20"/>
          <w:szCs w:val="20"/>
        </w:rPr>
      </w:pPr>
    </w:p>
    <w:p w:rsidR="00514387" w:rsidRDefault="00695BB3">
      <w:pPr>
        <w:spacing w:line="247" w:lineRule="auto"/>
        <w:ind w:left="12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60"/>
          <w:szCs w:val="60"/>
        </w:rPr>
        <w:t>Клініко-патогенетичні особливості цукрового діабету 2-го типу у хворих на бронхіальну астму</w:t>
      </w:r>
    </w:p>
    <w:p w:rsidR="00514387" w:rsidRDefault="00514387">
      <w:pPr>
        <w:spacing w:line="363" w:lineRule="exact"/>
        <w:rPr>
          <w:sz w:val="20"/>
          <w:szCs w:val="20"/>
        </w:rPr>
      </w:pPr>
    </w:p>
    <w:p w:rsidR="00514387" w:rsidRDefault="00695BB3">
      <w:pPr>
        <w:spacing w:line="228" w:lineRule="exact"/>
        <w:ind w:right="7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 xml:space="preserve">Ключові слова: </w:t>
      </w:r>
      <w:r>
        <w:rPr>
          <w:rFonts w:ascii="Arial" w:eastAsia="Arial" w:hAnsi="Arial" w:cs="Arial"/>
          <w:i/>
          <w:iCs/>
          <w:sz w:val="19"/>
          <w:szCs w:val="19"/>
        </w:rPr>
        <w:t>бронхіальна астма, цукровий діабет 2-го типу, цитокіни, матриксна металопротеїназа</w:t>
      </w:r>
      <w:r>
        <w:rPr>
          <w:rFonts w:ascii="Arial Unicode MS" w:eastAsia="Arial Unicode MS" w:hAnsi="Arial Unicode MS" w:cs="Arial Unicode MS"/>
          <w:i/>
          <w:iCs/>
          <w:sz w:val="19"/>
          <w:szCs w:val="19"/>
        </w:rPr>
        <w:t>‑</w:t>
      </w:r>
      <w:r>
        <w:rPr>
          <w:rFonts w:ascii="Arial" w:eastAsia="Arial" w:hAnsi="Arial" w:cs="Arial"/>
          <w:i/>
          <w:iCs/>
          <w:sz w:val="19"/>
          <w:szCs w:val="19"/>
        </w:rPr>
        <w:t>9,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i/>
          <w:iCs/>
          <w:sz w:val="19"/>
          <w:szCs w:val="19"/>
        </w:rPr>
        <w:t>моноцитарний хемоатрактантний протеїн</w:t>
      </w:r>
      <w:r>
        <w:rPr>
          <w:rFonts w:ascii="Arial Unicode MS" w:eastAsia="Arial Unicode MS" w:hAnsi="Arial Unicode MS" w:cs="Arial Unicode MS"/>
          <w:i/>
          <w:iCs/>
          <w:sz w:val="19"/>
          <w:szCs w:val="19"/>
        </w:rPr>
        <w:t>‑</w:t>
      </w:r>
      <w:r>
        <w:rPr>
          <w:rFonts w:ascii="Arial" w:eastAsia="Arial" w:hAnsi="Arial" w:cs="Arial"/>
          <w:i/>
          <w:iCs/>
          <w:sz w:val="19"/>
          <w:szCs w:val="19"/>
        </w:rPr>
        <w:t>1.</w:t>
      </w:r>
    </w:p>
    <w:p w:rsidR="00514387" w:rsidRDefault="0051438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" o:spid="_x0000_s1041" style="position:absolute;z-index:251630080;visibility:visible;mso-wrap-distance-left:0;mso-wrap-distance-right:0" from=".15pt,18.5pt" to="482.05pt,18.5pt" o:allowincell="f" strokecolor="#c5c6c6" strokeweight="2pt"/>
        </w:pict>
      </w:r>
    </w:p>
    <w:p w:rsidR="00514387" w:rsidRDefault="00514387">
      <w:pPr>
        <w:sectPr w:rsidR="00514387">
          <w:pgSz w:w="11900" w:h="16838"/>
          <w:pgMar w:top="491" w:right="966" w:bottom="0" w:left="1300" w:header="0" w:footer="0" w:gutter="0"/>
          <w:cols w:space="720" w:equalWidth="0">
            <w:col w:w="9640"/>
          </w:cols>
        </w:sect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400" w:lineRule="exact"/>
        <w:rPr>
          <w:sz w:val="20"/>
          <w:szCs w:val="20"/>
        </w:rPr>
      </w:pPr>
    </w:p>
    <w:p w:rsidR="00514387" w:rsidRDefault="00695BB3">
      <w:pPr>
        <w:ind w:left="18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Проблема коморбідності є однією з найважливіших</w:t>
      </w:r>
    </w:p>
    <w:p w:rsidR="00514387" w:rsidRDefault="00514387">
      <w:pPr>
        <w:spacing w:line="27" w:lineRule="exact"/>
        <w:rPr>
          <w:sz w:val="20"/>
          <w:szCs w:val="20"/>
        </w:rPr>
      </w:pPr>
    </w:p>
    <w:p w:rsidR="00514387" w:rsidRDefault="00695BB3">
      <w:pPr>
        <w:numPr>
          <w:ilvl w:val="0"/>
          <w:numId w:val="3"/>
        </w:numPr>
        <w:tabs>
          <w:tab w:val="left" w:pos="143"/>
        </w:tabs>
        <w:spacing w:line="273" w:lineRule="auto"/>
        <w:ind w:firstLine="4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внутрішній медицині [11]. Співіснування декількох за-хворювань змінює перебіг кожного з них, сприяє більш ранньому формуванню ускладнень і створює труднощі для терапії [2]. Значну</w:t>
      </w:r>
      <w:r>
        <w:rPr>
          <w:rFonts w:eastAsia="Times New Roman"/>
          <w:sz w:val="18"/>
          <w:szCs w:val="18"/>
        </w:rPr>
        <w:t xml:space="preserve"> поширеність у світі і в Україні має бронхіальна астма (БА) [3]. Чисельність хворих на БА не-впинно зростає, також збільшується кількість пацієнтів, які мають поєднання БА і цукрового діабету 2-го типу (ЦД2Т) [10, 14, 19]. Необхідно відмітити, що деякі енд</w:t>
      </w:r>
      <w:r>
        <w:rPr>
          <w:rFonts w:eastAsia="Times New Roman"/>
          <w:sz w:val="18"/>
          <w:szCs w:val="18"/>
        </w:rPr>
        <w:t>о-кринні порушення, такі як ЦД2Т і ожиріння, ймовірно, можуть впливати на перебіг і ускладнення БА [5, 9]. Ризик розвитку ЦД2Т у хворих на БА варіює від 1,3 до 2,1 [16, 18, 22]. Проведені дослідження на предмет вивчення асо-ціації БА, ЦД2Т та ожиріння прод</w:t>
      </w:r>
      <w:r>
        <w:rPr>
          <w:rFonts w:eastAsia="Times New Roman"/>
          <w:sz w:val="18"/>
          <w:szCs w:val="18"/>
        </w:rPr>
        <w:t>емонстрували тісний зв’язок між цими захворюваннями [8, 19].</w:t>
      </w:r>
    </w:p>
    <w:p w:rsidR="00514387" w:rsidRDefault="00514387">
      <w:pPr>
        <w:spacing w:line="7" w:lineRule="exact"/>
        <w:rPr>
          <w:rFonts w:eastAsia="Times New Roman"/>
          <w:sz w:val="18"/>
          <w:szCs w:val="18"/>
        </w:rPr>
      </w:pPr>
    </w:p>
    <w:p w:rsidR="00514387" w:rsidRDefault="00695BB3">
      <w:pPr>
        <w:spacing w:line="253" w:lineRule="auto"/>
        <w:ind w:firstLine="170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9"/>
          <w:szCs w:val="19"/>
        </w:rPr>
        <w:t>ЦД часто асоціюється не лише з абдомінальним ожирінням, артеріальною гіпертензією, різними кар-діоваскулярними захворюваннями, але й з редук-</w:t>
      </w:r>
    </w:p>
    <w:p w:rsidR="00514387" w:rsidRDefault="00514387">
      <w:pPr>
        <w:spacing w:line="17" w:lineRule="exact"/>
        <w:rPr>
          <w:rFonts w:eastAsia="Times New Roman"/>
          <w:sz w:val="18"/>
          <w:szCs w:val="18"/>
        </w:rPr>
      </w:pPr>
    </w:p>
    <w:p w:rsidR="00514387" w:rsidRDefault="00695BB3">
      <w:pPr>
        <w:spacing w:line="254" w:lineRule="auto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9"/>
          <w:szCs w:val="19"/>
        </w:rPr>
        <w:t>цією легеневої функції і зниженням об’єму форсо-ван</w:t>
      </w:r>
      <w:r>
        <w:rPr>
          <w:rFonts w:eastAsia="Times New Roman"/>
          <w:sz w:val="19"/>
          <w:szCs w:val="19"/>
        </w:rPr>
        <w:t>ого видиху за 1-шу секунду (FEV</w:t>
      </w:r>
      <w:r>
        <w:rPr>
          <w:rFonts w:eastAsia="Times New Roman"/>
          <w:vertAlign w:val="subscript"/>
        </w:rPr>
        <w:t>1</w:t>
      </w:r>
      <w:r>
        <w:rPr>
          <w:rFonts w:eastAsia="Times New Roman"/>
          <w:sz w:val="19"/>
          <w:szCs w:val="19"/>
        </w:rPr>
        <w:t>) [12, 13, 18]. Метаболічний синдром і ЦД2Т, з одного боку, пору-шення бронхіальної прохідності і зниження легене-вої функції, з іншого, можуть взаємно потенціювати один одного [11, 20]. Поєднання порушень вуглевод-ного обмі</w:t>
      </w:r>
      <w:r>
        <w:rPr>
          <w:rFonts w:eastAsia="Times New Roman"/>
          <w:sz w:val="19"/>
          <w:szCs w:val="19"/>
        </w:rPr>
        <w:t>ну і БА може бути обумовлено як генетич-ними механізмами, розвитком запалення, формуван-ням енергетичного дефіциту тканин, так і базисною терапією бронхообструктивного синдрому глюкокор-тикостероїдами (ГКС) [4, 17].</w:t>
      </w:r>
    </w:p>
    <w:p w:rsidR="00514387" w:rsidRDefault="00514387">
      <w:pPr>
        <w:spacing w:line="16" w:lineRule="exact"/>
        <w:rPr>
          <w:rFonts w:eastAsia="Times New Roman"/>
          <w:sz w:val="18"/>
          <w:szCs w:val="18"/>
        </w:rPr>
      </w:pPr>
    </w:p>
    <w:p w:rsidR="00514387" w:rsidRDefault="00695BB3">
      <w:pPr>
        <w:spacing w:line="253" w:lineRule="auto"/>
        <w:ind w:firstLine="170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9"/>
          <w:szCs w:val="19"/>
        </w:rPr>
        <w:t>Значна роль у розвитку персистуючого за</w:t>
      </w:r>
      <w:r>
        <w:rPr>
          <w:rFonts w:eastAsia="Times New Roman"/>
          <w:sz w:val="19"/>
          <w:szCs w:val="19"/>
        </w:rPr>
        <w:t>палення дихальних шляхів у хворих на БА і розвиток гіпер-плазії гладенької мускулатури визначається станом</w:t>
      </w:r>
    </w:p>
    <w:p w:rsidR="00514387" w:rsidRDefault="00514387">
      <w:pPr>
        <w:spacing w:line="202" w:lineRule="exact"/>
        <w:rPr>
          <w:sz w:val="20"/>
          <w:szCs w:val="20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sz w:val="12"/>
          <w:szCs w:val="12"/>
        </w:rPr>
        <w:t>© Г.В. Єрьоменко, 2018</w:t>
      </w:r>
    </w:p>
    <w:p w:rsidR="00514387" w:rsidRDefault="00695B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90" w:lineRule="exact"/>
        <w:rPr>
          <w:sz w:val="20"/>
          <w:szCs w:val="20"/>
        </w:rPr>
      </w:pPr>
    </w:p>
    <w:p w:rsidR="00514387" w:rsidRDefault="00695BB3">
      <w:pPr>
        <w:spacing w:line="233" w:lineRule="exact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імунної системи. Поряд з тим у розвитку і підтримці запалення в бронхіальній стінці певну роль відігра-ють епітеліальн</w:t>
      </w:r>
      <w:r>
        <w:rPr>
          <w:rFonts w:eastAsia="Times New Roman"/>
          <w:sz w:val="19"/>
          <w:szCs w:val="19"/>
        </w:rPr>
        <w:t>і клітини, фібробласти, клітини су-динного ендотелію. Всі ці клітини в процесі актива-ції виділяють цілу низку біологічно активних речовин (лейкотрієни, цитокіни, хемотаксичні фактори, фак-тор активації тромбоцитів та ін.). Дуже жваво обгово-рюється поруше</w:t>
      </w:r>
      <w:r>
        <w:rPr>
          <w:rFonts w:eastAsia="Times New Roman"/>
          <w:sz w:val="19"/>
          <w:szCs w:val="19"/>
        </w:rPr>
        <w:t>ння системи інтерлейкінів (IL), роль матриксної металопротеїнази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9 (ММР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9) та моноци-тарного хемоатрактантного протеїну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1 (МСР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1) у про-цесі ремоделювання дихальних шляхів при поєднанні БА та ендокринної патології [1, 22].</w:t>
      </w:r>
    </w:p>
    <w:p w:rsidR="00514387" w:rsidRDefault="00514387">
      <w:pPr>
        <w:spacing w:line="34" w:lineRule="exact"/>
        <w:rPr>
          <w:sz w:val="20"/>
          <w:szCs w:val="20"/>
        </w:rPr>
      </w:pPr>
    </w:p>
    <w:p w:rsidR="00514387" w:rsidRDefault="00695BB3">
      <w:pPr>
        <w:spacing w:line="255" w:lineRule="auto"/>
        <w:ind w:firstLine="17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 xml:space="preserve">Мета дослідження: </w:t>
      </w:r>
      <w:r>
        <w:rPr>
          <w:rFonts w:eastAsia="Times New Roman"/>
          <w:sz w:val="19"/>
          <w:szCs w:val="19"/>
        </w:rPr>
        <w:t xml:space="preserve">виявити </w:t>
      </w:r>
      <w:r>
        <w:rPr>
          <w:rFonts w:eastAsia="Times New Roman"/>
          <w:sz w:val="19"/>
          <w:szCs w:val="19"/>
        </w:rPr>
        <w:t>особливості клініко-па-тогенетичних проявів БА з неконтрольованим перебі-гом в поєднанні з ЦД2Т.</w:t>
      </w:r>
    </w:p>
    <w:p w:rsidR="00514387" w:rsidRDefault="00514387">
      <w:pPr>
        <w:spacing w:line="232" w:lineRule="exact"/>
        <w:rPr>
          <w:sz w:val="20"/>
          <w:szCs w:val="20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Матеріали та методи дослідження</w:t>
      </w:r>
    </w:p>
    <w:p w:rsidR="00514387" w:rsidRDefault="00514387">
      <w:pPr>
        <w:spacing w:line="25" w:lineRule="exact"/>
        <w:rPr>
          <w:sz w:val="20"/>
          <w:szCs w:val="20"/>
        </w:rPr>
      </w:pPr>
    </w:p>
    <w:p w:rsidR="00514387" w:rsidRDefault="00695BB3">
      <w:pPr>
        <w:spacing w:line="235" w:lineRule="exact"/>
        <w:ind w:firstLine="170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Досліджено 55 пацієнтів, які були розподілені на 2 групи. До І групи увійшли хворі на ізольовану БА (n = 20), до ІІ групи – ​</w:t>
      </w:r>
      <w:r>
        <w:rPr>
          <w:rFonts w:eastAsia="Times New Roman"/>
          <w:sz w:val="19"/>
          <w:szCs w:val="19"/>
        </w:rPr>
        <w:t xml:space="preserve">на БА з ЦД2Т (n = 35). Пацієнтам було проведено загальноклінічне дослі-дження, загальний огляд, визначення антропоме-тричних даних: ​вимір ваги, обчислювання індексу маси тіла (ІМТ), вимір окружності талії (ОТ) та ок-ружності стегон (ОС). Проведено оцінку </w:t>
      </w:r>
      <w:r>
        <w:rPr>
          <w:rFonts w:eastAsia="Times New Roman"/>
          <w:sz w:val="19"/>
          <w:szCs w:val="19"/>
        </w:rPr>
        <w:t>функ-ції зовнішнього дихання (ФЗД). Всім хворим було визначено рівень глюкози крові натщесерце, рі-вень інсуліну та індексу НОМА-IR. Визначення вмісту ММР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9 та МСР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1 у сироватці крові прово-дилось методом імуноферментного аналізу за до-помогою наборів HUMA</w:t>
      </w:r>
      <w:r>
        <w:rPr>
          <w:rFonts w:eastAsia="Times New Roman"/>
          <w:sz w:val="19"/>
          <w:szCs w:val="19"/>
        </w:rPr>
        <w:t>N ММР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9 і HUMAN МСР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1 (eBioscience, Австрія). Для кількісного</w:t>
      </w:r>
    </w:p>
    <w:p w:rsidR="00514387" w:rsidRDefault="00514387">
      <w:pPr>
        <w:spacing w:line="775" w:lineRule="exact"/>
        <w:rPr>
          <w:sz w:val="20"/>
          <w:szCs w:val="20"/>
        </w:rPr>
      </w:pPr>
    </w:p>
    <w:p w:rsidR="00514387" w:rsidRDefault="00514387">
      <w:pPr>
        <w:sectPr w:rsidR="00514387">
          <w:type w:val="continuous"/>
          <w:pgSz w:w="11900" w:h="16838"/>
          <w:pgMar w:top="491" w:right="966" w:bottom="0" w:left="1300" w:header="0" w:footer="0" w:gutter="0"/>
          <w:cols w:num="2" w:space="720" w:equalWidth="0">
            <w:col w:w="4700" w:space="260"/>
            <w:col w:w="4680"/>
          </w:cols>
        </w:sectPr>
      </w:pPr>
    </w:p>
    <w:p w:rsidR="00514387" w:rsidRDefault="00514387">
      <w:pPr>
        <w:spacing w:line="15" w:lineRule="exact"/>
        <w:rPr>
          <w:sz w:val="20"/>
          <w:szCs w:val="20"/>
        </w:rPr>
      </w:pPr>
    </w:p>
    <w:p w:rsidR="00514387" w:rsidRDefault="00695BB3">
      <w:pPr>
        <w:ind w:left="9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АСТМА ТА АЛЕРГІЯ, № 1 </w:t>
      </w:r>
      <w:r>
        <w:rPr>
          <w:rFonts w:ascii="Arial" w:eastAsia="Arial" w:hAnsi="Arial" w:cs="Arial"/>
          <w:sz w:val="16"/>
          <w:szCs w:val="16"/>
        </w:rPr>
        <w:t>•</w:t>
      </w:r>
      <w:r>
        <w:rPr>
          <w:rFonts w:ascii="Arial" w:eastAsia="Arial" w:hAnsi="Arial" w:cs="Arial"/>
          <w:sz w:val="24"/>
          <w:szCs w:val="24"/>
        </w:rPr>
        <w:t xml:space="preserve"> 2018</w:t>
      </w:r>
    </w:p>
    <w:p w:rsidR="00514387" w:rsidRDefault="0051438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" o:spid="_x0000_s1042" style="position:absolute;z-index:251631104;visibility:visible;mso-wrap-distance-left:0;mso-wrap-distance-right:0" from="263.8pt,-9.1pt" to="482.05pt,-9.1pt" o:allowincell="f" strokeweight=".46981mm"/>
        </w:pict>
      </w:r>
      <w:r>
        <w:rPr>
          <w:sz w:val="20"/>
          <w:szCs w:val="20"/>
        </w:rPr>
        <w:pict>
          <v:line id="Shape 18" o:spid="_x0000_s1043" style="position:absolute;z-index:251632128;visibility:visible;mso-wrap-distance-left:0;mso-wrap-distance-right:0" from="263.8pt,-6.75pt" to="482.05pt,-6.75pt" o:allowincell="f" strokecolor="white" strokeweight="6pt"/>
        </w:pict>
      </w:r>
      <w:r>
        <w:rPr>
          <w:sz w:val="20"/>
          <w:szCs w:val="20"/>
        </w:rPr>
        <w:pict>
          <v:line id="Shape 19" o:spid="_x0000_s1044" style="position:absolute;z-index:251633152;visibility:visible;mso-wrap-distance-left:0;mso-wrap-distance-right:0" from="263.8pt,-6.75pt" to="482.05pt,-6.75pt" o:allowincell="f" strokeweight=".60536mm"/>
        </w:pict>
      </w:r>
      <w:r>
        <w:rPr>
          <w:sz w:val="20"/>
          <w:szCs w:val="20"/>
        </w:rPr>
        <w:pict>
          <v:line id="Shape 20" o:spid="_x0000_s1045" style="position:absolute;z-index:251634176;visibility:visible;mso-wrap-distance-left:0;mso-wrap-distance-right:0" from=".15pt,-9.1pt" to="31.35pt,-9.1pt" o:allowincell="f" strokeweight=".46981mm"/>
        </w:pict>
      </w:r>
      <w:r>
        <w:rPr>
          <w:sz w:val="20"/>
          <w:szCs w:val="20"/>
        </w:rPr>
        <w:pict>
          <v:line id="Shape 21" o:spid="_x0000_s1046" style="position:absolute;z-index:251635200;visibility:visible;mso-wrap-distance-left:0;mso-wrap-distance-right:0" from=".15pt,-6.75pt" to="31.35pt,-6.75pt" o:allowincell="f" strokecolor="white" strokeweight="6pt"/>
        </w:pict>
      </w:r>
      <w:r>
        <w:rPr>
          <w:sz w:val="20"/>
          <w:szCs w:val="20"/>
        </w:rPr>
        <w:pict>
          <v:line id="Shape 22" o:spid="_x0000_s1047" style="position:absolute;z-index:251636224;visibility:visible;mso-wrap-distance-left:0;mso-wrap-distance-right:0" from=".15pt,-6.75pt" to="31.35pt,-6.75pt" o:allowincell="f" strokeweight=".60536mm"/>
        </w:pict>
      </w:r>
      <w:r>
        <w:rPr>
          <w:sz w:val="20"/>
          <w:szCs w:val="20"/>
        </w:rPr>
        <w:pict>
          <v:line id="Shape 23" o:spid="_x0000_s1048" style="position:absolute;z-index:251637248;visibility:visible;mso-wrap-distance-left:0;mso-wrap-distance-right:0" from=".15pt,-4.2pt" to="31.35pt,-4.2pt" o:allowincell="f" strokeweight=".30269mm"/>
        </w:pict>
      </w:r>
      <w:r>
        <w:rPr>
          <w:sz w:val="20"/>
          <w:szCs w:val="20"/>
        </w:rPr>
        <w:pict>
          <v:line id="Shape 24" o:spid="_x0000_s1049" style="position:absolute;z-index:251638272;visibility:visible;mso-wrap-distance-left:0;mso-wrap-distance-right:0" from="263.8pt,-4.2pt" to="482.05pt,-4.2pt" o:allowincell="f" strokeweight=".30269mm"/>
        </w:pict>
      </w:r>
      <w:r>
        <w:rPr>
          <w:sz w:val="20"/>
          <w:szCs w:val="20"/>
        </w:rPr>
        <w:pict>
          <v:rect id="Shape 25" o:spid="_x0000_s1050" style="position:absolute;margin-left:31.4pt;margin-top:-11.7pt;width:232.4pt;height:22.9pt;z-index:-251632128;visibility:visible;mso-wrap-distance-left:0;mso-wrap-distance-right:0" o:allowincell="f" stroked="f"/>
        </w:pict>
      </w:r>
    </w:p>
    <w:p w:rsidR="00514387" w:rsidRDefault="00514387">
      <w:pPr>
        <w:sectPr w:rsidR="00514387">
          <w:type w:val="continuous"/>
          <w:pgSz w:w="11900" w:h="16838"/>
          <w:pgMar w:top="491" w:right="966" w:bottom="0" w:left="1300" w:header="0" w:footer="0" w:gutter="0"/>
          <w:cols w:space="720" w:equalWidth="0">
            <w:col w:w="9640"/>
          </w:cols>
        </w:sectPr>
      </w:pPr>
    </w:p>
    <w:p w:rsidR="00514387" w:rsidRDefault="00514387">
      <w:pPr>
        <w:spacing w:line="54" w:lineRule="exact"/>
        <w:rPr>
          <w:sz w:val="20"/>
          <w:szCs w:val="20"/>
        </w:rPr>
      </w:pPr>
    </w:p>
    <w:p w:rsidR="00514387" w:rsidRDefault="00695BB3">
      <w:pPr>
        <w:ind w:left="92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ISSN 2307-3373</w:t>
      </w:r>
    </w:p>
    <w:p w:rsidR="00514387" w:rsidRDefault="00514387">
      <w:pPr>
        <w:sectPr w:rsidR="00514387">
          <w:type w:val="continuous"/>
          <w:pgSz w:w="11900" w:h="16838"/>
          <w:pgMar w:top="491" w:right="966" w:bottom="0" w:left="1300" w:header="0" w:footer="0" w:gutter="0"/>
          <w:cols w:space="720" w:equalWidth="0">
            <w:col w:w="9640"/>
          </w:cols>
        </w:sectPr>
      </w:pPr>
    </w:p>
    <w:p w:rsidR="00514387" w:rsidRDefault="00514387">
      <w:pPr>
        <w:tabs>
          <w:tab w:val="left" w:pos="733"/>
        </w:tabs>
        <w:ind w:left="160"/>
        <w:rPr>
          <w:sz w:val="20"/>
          <w:szCs w:val="20"/>
        </w:rPr>
      </w:pPr>
      <w:bookmarkStart w:id="3" w:name="page4"/>
      <w:bookmarkEnd w:id="3"/>
      <w:r w:rsidRPr="00514387">
        <w:rPr>
          <w:rFonts w:ascii="Arial" w:eastAsia="Arial" w:hAnsi="Arial" w:cs="Arial"/>
          <w:b/>
          <w:bCs/>
          <w:color w:val="FFFFFF"/>
          <w:sz w:val="48"/>
          <w:szCs w:val="48"/>
          <w:vertAlign w:val="superscript"/>
        </w:rPr>
        <w:lastRenderedPageBreak/>
        <w:pict>
          <v:rect id="Shape 26" o:spid="_x0000_s1051" style="position:absolute;left:0;text-align:left;margin-left:48.2pt;margin-top:17pt;width:28.35pt;height:28.35pt;z-index:-251631104;visibility:visible;mso-wrap-distance-left:0;mso-wrap-distance-right:0;mso-position-horizontal-relative:page;mso-position-vertical-relative:page" o:allowincell="f" fillcolor="#c5c6c6" stroked="f">
            <w10:wrap anchorx="page" anchory="page"/>
          </v:rect>
        </w:pict>
      </w:r>
      <w:r w:rsidR="00695BB3">
        <w:rPr>
          <w:rFonts w:ascii="Arial" w:eastAsia="Arial" w:hAnsi="Arial" w:cs="Arial"/>
          <w:b/>
          <w:bCs/>
          <w:color w:val="FFFFFF"/>
          <w:sz w:val="48"/>
          <w:szCs w:val="48"/>
          <w:vertAlign w:val="superscript"/>
        </w:rPr>
        <w:t>16</w:t>
      </w:r>
      <w:r w:rsidR="00695BB3">
        <w:rPr>
          <w:sz w:val="20"/>
          <w:szCs w:val="20"/>
        </w:rPr>
        <w:tab/>
      </w:r>
      <w:r w:rsidR="00695BB3">
        <w:rPr>
          <w:noProof/>
          <w:sz w:val="1"/>
          <w:szCs w:val="1"/>
        </w:rPr>
        <w:drawing>
          <wp:inline distT="0" distB="0" distL="0" distR="0">
            <wp:extent cx="3147695" cy="762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5BB3">
        <w:rPr>
          <w:rFonts w:ascii="Arial" w:eastAsia="Arial" w:hAnsi="Arial" w:cs="Arial"/>
          <w:sz w:val="24"/>
          <w:szCs w:val="24"/>
        </w:rPr>
        <w:t xml:space="preserve"> ОРИГІНАЛЬНІ СТАТТІ</w:t>
      </w:r>
    </w:p>
    <w:p w:rsidR="00514387" w:rsidRDefault="0051438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8" o:spid="_x0000_s1053" style="position:absolute;z-index:251639296;visibility:visible;mso-wrap-distance-left:0;mso-wrap-distance-right:0" from="442.35pt,-6pt" to="482.05pt,-6pt" o:allowincell="f" strokeweight=".30269mm"/>
        </w:pict>
      </w:r>
      <w:r>
        <w:rPr>
          <w:sz w:val="20"/>
          <w:szCs w:val="20"/>
        </w:rPr>
        <w:pict>
          <v:line id="Shape 29" o:spid="_x0000_s1054" style="position:absolute;z-index:251640320;visibility:visible;mso-wrap-distance-left:0;mso-wrap-distance-right:0" from="442.35pt,-3.45pt" to="482.05pt,-3.45pt" o:allowincell="f" strokeweight=".60536mm"/>
        </w:pict>
      </w:r>
      <w:r>
        <w:rPr>
          <w:sz w:val="20"/>
          <w:szCs w:val="20"/>
        </w:rPr>
        <w:pict>
          <v:line id="Shape 30" o:spid="_x0000_s1055" style="position:absolute;z-index:251641344;visibility:visible;mso-wrap-distance-left:0;mso-wrap-distance-right:0" from="442.35pt,-.9pt" to="482.05pt,-.9pt" o:allowincell="f" strokeweight=".30269mm"/>
        </w:pict>
      </w:r>
      <w:r>
        <w:rPr>
          <w:sz w:val="20"/>
          <w:szCs w:val="20"/>
        </w:rPr>
        <w:pict>
          <v:rect id="Shape 31" o:spid="_x0000_s1056" style="position:absolute;margin-left:285.5pt;margin-top:-8.55pt;width:156.85pt;height:9.3pt;z-index:-251630080;visibility:visible;mso-wrap-distance-left:0;mso-wrap-distance-right:0" o:allowincell="f" stroked="f"/>
        </w:pict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1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60"/>
        <w:gridCol w:w="900"/>
        <w:gridCol w:w="180"/>
        <w:gridCol w:w="840"/>
        <w:gridCol w:w="860"/>
        <w:gridCol w:w="880"/>
        <w:gridCol w:w="180"/>
        <w:gridCol w:w="860"/>
        <w:gridCol w:w="840"/>
        <w:gridCol w:w="1420"/>
        <w:gridCol w:w="1420"/>
        <w:gridCol w:w="30"/>
      </w:tblGrid>
      <w:tr w:rsidR="00514387">
        <w:trPr>
          <w:trHeight w:val="255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spacing w:line="255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визначення ІL</w:t>
            </w:r>
            <w:r>
              <w:rPr>
                <w:rFonts w:ascii="Arial Unicode MS" w:eastAsia="Arial Unicode MS" w:hAnsi="Arial Unicode MS" w:cs="Arial Unicode MS"/>
                <w:sz w:val="19"/>
                <w:szCs w:val="19"/>
              </w:rPr>
              <w:t>‑</w:t>
            </w:r>
            <w:r>
              <w:rPr>
                <w:rFonts w:eastAsia="Times New Roman"/>
                <w:sz w:val="19"/>
                <w:szCs w:val="19"/>
              </w:rPr>
              <w:t>8 та ІL</w:t>
            </w:r>
            <w:r>
              <w:rPr>
                <w:rFonts w:ascii="Arial Unicode MS" w:eastAsia="Arial Unicode MS" w:hAnsi="Arial Unicode MS" w:cs="Arial Unicode MS"/>
                <w:sz w:val="19"/>
                <w:szCs w:val="19"/>
              </w:rPr>
              <w:t>‑</w:t>
            </w:r>
            <w:r>
              <w:rPr>
                <w:rFonts w:eastAsia="Times New Roman"/>
                <w:sz w:val="19"/>
                <w:szCs w:val="19"/>
              </w:rPr>
              <w:t xml:space="preserve">12 </w:t>
            </w:r>
            <w:r>
              <w:rPr>
                <w:rFonts w:eastAsia="Times New Roman"/>
                <w:sz w:val="19"/>
                <w:szCs w:val="19"/>
              </w:rPr>
              <w:t>застосовували комерційні</w:t>
            </w:r>
          </w:p>
        </w:tc>
        <w:tc>
          <w:tcPr>
            <w:tcW w:w="180" w:type="dxa"/>
            <w:vAlign w:val="bottom"/>
          </w:tcPr>
          <w:p w:rsidR="00514387" w:rsidRDefault="00514387"/>
        </w:tc>
        <w:tc>
          <w:tcPr>
            <w:tcW w:w="4540" w:type="dxa"/>
            <w:gridSpan w:val="4"/>
            <w:vAlign w:val="bottom"/>
          </w:tcPr>
          <w:p w:rsidR="00514387" w:rsidRDefault="00695BB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Згідно з отриманими даними при дослідженні ІМТ,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36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імуноферментні  тест-системи  БЕСТ-ІФА  фірми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хворі I групи були з нормальною вагою – ​ІМТ в се-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36"/>
        </w:trPr>
        <w:tc>
          <w:tcPr>
            <w:tcW w:w="1260" w:type="dxa"/>
            <w:vAlign w:val="bottom"/>
          </w:tcPr>
          <w:p w:rsidR="00514387" w:rsidRDefault="00695BB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Вектор-Бест.</w:t>
            </w:r>
          </w:p>
        </w:tc>
        <w:tc>
          <w:tcPr>
            <w:tcW w:w="900" w:type="dxa"/>
            <w:vAlign w:val="bottom"/>
          </w:tcPr>
          <w:p w:rsidR="00514387" w:rsidRDefault="00514387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514387" w:rsidRDefault="00514387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514387" w:rsidRDefault="00514387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514387" w:rsidRDefault="0051438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514387" w:rsidRDefault="00514387">
            <w:pPr>
              <w:rPr>
                <w:sz w:val="20"/>
                <w:szCs w:val="20"/>
              </w:rPr>
            </w:pP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редньому становив 22,0 [21, 22, 7], в ІІ групі 15 (42,8%)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36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Статистична обробка даних проводилася за допо-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хворих мали надлишкову вагу і 20 (57,2%) – ​ожи-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36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могою програмного продукту SPSS19 (IBM, США).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ріння I ступеня, що в середньому становило по групі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36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Кількісні перемінні описували за допомогою наступ-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28,5 </w:t>
            </w:r>
            <w:r>
              <w:rPr>
                <w:rFonts w:eastAsia="Times New Roman"/>
                <w:sz w:val="19"/>
                <w:szCs w:val="19"/>
              </w:rPr>
              <w:t>(див. таблицю) [26, 7, 32, 15]. Проведений кореля-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36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spacing w:line="236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них параметрів: медіани (Ме), 25</w:t>
            </w:r>
            <w:r>
              <w:rPr>
                <w:rFonts w:ascii="Arial Unicode MS" w:eastAsia="Arial Unicode MS" w:hAnsi="Arial Unicode MS" w:cs="Arial Unicode MS"/>
                <w:sz w:val="19"/>
                <w:szCs w:val="19"/>
              </w:rPr>
              <w:t>‑</w:t>
            </w:r>
            <w:r>
              <w:rPr>
                <w:rFonts w:eastAsia="Times New Roman"/>
                <w:sz w:val="19"/>
                <w:szCs w:val="19"/>
              </w:rPr>
              <w:t>м і 75</w:t>
            </w:r>
            <w:r>
              <w:rPr>
                <w:rFonts w:ascii="Arial Unicode MS" w:eastAsia="Arial Unicode MS" w:hAnsi="Arial Unicode MS" w:cs="Arial Unicode MS"/>
                <w:sz w:val="19"/>
                <w:szCs w:val="19"/>
              </w:rPr>
              <w:t>‑</w:t>
            </w:r>
            <w:r>
              <w:rPr>
                <w:rFonts w:eastAsia="Times New Roman"/>
                <w:sz w:val="19"/>
                <w:szCs w:val="19"/>
              </w:rPr>
              <w:t>м процен-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ційний аналіз у хворих ІІ групи виявив помітну значущу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36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тилями (M [25%, 75%]). Для визначення відміннос-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кореляцію між віком та співвідношенням ОТ/ОС (r</w:t>
            </w:r>
            <w:r>
              <w:rPr>
                <w:rFonts w:eastAsia="Times New Roman"/>
                <w:sz w:val="19"/>
                <w:szCs w:val="19"/>
              </w:rPr>
              <w:t xml:space="preserve"> =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36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тей між незалежними вибірками використовували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0,52, p &lt; 0,001), що вказує на збільшення абдоміналь-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36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U-критерій Манна – Уітні. Для аналізу нормально-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них жирових депо впродовж життя у хворих цієї групи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63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сті розподілу даних застосовували критерій Шап</w:t>
            </w:r>
            <w:r>
              <w:rPr>
                <w:rFonts w:eastAsia="Times New Roman"/>
                <w:sz w:val="19"/>
                <w:szCs w:val="19"/>
              </w:rPr>
              <w:t>іро –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та між FEV</w:t>
            </w:r>
            <w:r>
              <w:rPr>
                <w:rFonts w:eastAsia="Times New Roman"/>
                <w:vertAlign w:val="subscript"/>
              </w:rPr>
              <w:t>1</w:t>
            </w:r>
            <w:r>
              <w:rPr>
                <w:rFonts w:eastAsia="Times New Roman"/>
                <w:sz w:val="19"/>
                <w:szCs w:val="19"/>
              </w:rPr>
              <w:t xml:space="preserve"> і ІМТ r = –0,63 (р &lt; 0,001), що вказує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09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spacing w:line="20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Уїлка. Для оцінки зв’язків між показниками прове-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spacing w:line="2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на негативний вплив ожиріння на функцію легень [6].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36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дено кореляційний аналіз з використанням критерію</w:t>
            </w:r>
          </w:p>
        </w:tc>
        <w:tc>
          <w:tcPr>
            <w:tcW w:w="180" w:type="dxa"/>
            <w:vAlign w:val="bottom"/>
          </w:tcPr>
          <w:p w:rsidR="00514387" w:rsidRDefault="00514387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4"/>
            <w:vAlign w:val="bottom"/>
          </w:tcPr>
          <w:p w:rsidR="00514387" w:rsidRDefault="00695BB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Відомо, що розвиток різноманітних </w:t>
            </w:r>
            <w:r>
              <w:rPr>
                <w:rFonts w:eastAsia="Times New Roman"/>
                <w:sz w:val="19"/>
                <w:szCs w:val="19"/>
              </w:rPr>
              <w:t>ускладнень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36"/>
        </w:trPr>
        <w:tc>
          <w:tcPr>
            <w:tcW w:w="3180" w:type="dxa"/>
            <w:gridSpan w:val="4"/>
            <w:vAlign w:val="bottom"/>
          </w:tcPr>
          <w:p w:rsidR="00514387" w:rsidRDefault="00695BB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Спірмена (г) і шкали Чеддока.</w:t>
            </w:r>
          </w:p>
        </w:tc>
        <w:tc>
          <w:tcPr>
            <w:tcW w:w="860" w:type="dxa"/>
            <w:vAlign w:val="bottom"/>
          </w:tcPr>
          <w:p w:rsidR="00514387" w:rsidRDefault="0051438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514387" w:rsidRDefault="00514387">
            <w:pPr>
              <w:rPr>
                <w:sz w:val="20"/>
                <w:szCs w:val="20"/>
              </w:rPr>
            </w:pP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ЦД2Т пов’язаний з його тривалістю [15]. Для вияв-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36"/>
        </w:trPr>
        <w:tc>
          <w:tcPr>
            <w:tcW w:w="1260" w:type="dxa"/>
            <w:vAlign w:val="bottom"/>
          </w:tcPr>
          <w:p w:rsidR="00514387" w:rsidRDefault="0051438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514387" w:rsidRDefault="00514387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514387" w:rsidRDefault="00514387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514387" w:rsidRDefault="00514387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514387" w:rsidRDefault="0051438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514387" w:rsidRDefault="00514387">
            <w:pPr>
              <w:rPr>
                <w:sz w:val="20"/>
                <w:szCs w:val="20"/>
              </w:rPr>
            </w:pP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лення можливих взаємозв’язків між тривалістю ЦД2Т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38"/>
        </w:trPr>
        <w:tc>
          <w:tcPr>
            <w:tcW w:w="3180" w:type="dxa"/>
            <w:gridSpan w:val="4"/>
            <w:vAlign w:val="bottom"/>
          </w:tcPr>
          <w:p w:rsidR="00514387" w:rsidRDefault="00695BB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Результати та їх обговорення</w:t>
            </w:r>
          </w:p>
        </w:tc>
        <w:tc>
          <w:tcPr>
            <w:tcW w:w="860" w:type="dxa"/>
            <w:vAlign w:val="bottom"/>
          </w:tcPr>
          <w:p w:rsidR="00514387" w:rsidRDefault="0051438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514387" w:rsidRDefault="00514387">
            <w:pPr>
              <w:rPr>
                <w:sz w:val="20"/>
                <w:szCs w:val="20"/>
              </w:rPr>
            </w:pP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та розвитком порушень ФЗД був проведений кореля-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34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Проводячи </w:t>
            </w:r>
            <w:r>
              <w:rPr>
                <w:rFonts w:eastAsia="Times New Roman"/>
                <w:sz w:val="19"/>
                <w:szCs w:val="19"/>
              </w:rPr>
              <w:t>інтерпретацію різних механізмів по-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ційний аналіз. Було встановлено зниження форсованої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36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рушення легеневої функції, виявили, що в I групі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життєвої ємності легень (FVС) в залежності від трива-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63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у 20 (100%) хворих було діагностовано лише обструк-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лості </w:t>
            </w:r>
            <w:r>
              <w:rPr>
                <w:rFonts w:eastAsia="Times New Roman"/>
                <w:sz w:val="19"/>
                <w:szCs w:val="19"/>
              </w:rPr>
              <w:t>захворювання та FEV</w:t>
            </w:r>
            <w:r>
              <w:rPr>
                <w:rFonts w:eastAsia="Times New Roman"/>
                <w:vertAlign w:val="subscript"/>
              </w:rPr>
              <w:t>1</w:t>
            </w:r>
            <w:r>
              <w:rPr>
                <w:rFonts w:eastAsia="Times New Roman"/>
                <w:sz w:val="19"/>
                <w:szCs w:val="19"/>
              </w:rPr>
              <w:t xml:space="preserve"> у хворих на БА з ЦД2Т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09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spacing w:line="20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тивний тип порушення. У ІІ групі у 6 (19,3%) хворих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spacing w:line="2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r = –0,38 (р &lt; 0,001) і r = –0,54 (р &lt; 0,05) відповідно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63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було виявлено рестриктивний тип, 13 (41,9%) – ​об-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з індексом FEV</w:t>
            </w:r>
            <w:r>
              <w:rPr>
                <w:rFonts w:eastAsia="Times New Roman"/>
                <w:vertAlign w:val="subscript"/>
              </w:rPr>
              <w:t>1</w:t>
            </w:r>
            <w:r>
              <w:rPr>
                <w:rFonts w:eastAsia="Times New Roman"/>
                <w:sz w:val="19"/>
                <w:szCs w:val="19"/>
              </w:rPr>
              <w:t xml:space="preserve">/ FVC r = –0,43 (р &lt; 0,05). В І </w:t>
            </w:r>
            <w:r>
              <w:rPr>
                <w:rFonts w:eastAsia="Times New Roman"/>
                <w:sz w:val="19"/>
                <w:szCs w:val="19"/>
              </w:rPr>
              <w:t>групі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09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spacing w:line="20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структивний, 12 (38,8%) – ​змішаний тип порушення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spacing w:line="2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відсутній статистично значущий зв’язок – кореляція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63"/>
        </w:trPr>
        <w:tc>
          <w:tcPr>
            <w:tcW w:w="1260" w:type="dxa"/>
            <w:vAlign w:val="bottom"/>
          </w:tcPr>
          <w:p w:rsidR="00514387" w:rsidRDefault="00695BB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ФЗД.</w:t>
            </w:r>
          </w:p>
        </w:tc>
        <w:tc>
          <w:tcPr>
            <w:tcW w:w="900" w:type="dxa"/>
            <w:vAlign w:val="bottom"/>
          </w:tcPr>
          <w:p w:rsidR="00514387" w:rsidRDefault="00514387"/>
        </w:tc>
        <w:tc>
          <w:tcPr>
            <w:tcW w:w="180" w:type="dxa"/>
            <w:vAlign w:val="bottom"/>
          </w:tcPr>
          <w:p w:rsidR="00514387" w:rsidRDefault="00514387"/>
        </w:tc>
        <w:tc>
          <w:tcPr>
            <w:tcW w:w="840" w:type="dxa"/>
            <w:vAlign w:val="bottom"/>
          </w:tcPr>
          <w:p w:rsidR="00514387" w:rsidRDefault="00514387"/>
        </w:tc>
        <w:tc>
          <w:tcPr>
            <w:tcW w:w="860" w:type="dxa"/>
            <w:vAlign w:val="bottom"/>
          </w:tcPr>
          <w:p w:rsidR="00514387" w:rsidRDefault="00514387"/>
        </w:tc>
        <w:tc>
          <w:tcPr>
            <w:tcW w:w="880" w:type="dxa"/>
            <w:vAlign w:val="bottom"/>
          </w:tcPr>
          <w:p w:rsidR="00514387" w:rsidRDefault="00514387"/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між FEV</w:t>
            </w:r>
            <w:r>
              <w:rPr>
                <w:rFonts w:eastAsia="Times New Roman"/>
                <w:vertAlign w:val="subscript"/>
              </w:rPr>
              <w:t>1</w:t>
            </w:r>
            <w:r>
              <w:rPr>
                <w:rFonts w:eastAsia="Times New Roman"/>
                <w:sz w:val="19"/>
                <w:szCs w:val="19"/>
              </w:rPr>
              <w:t xml:space="preserve"> та тривалістю захворювання була відсутня.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09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spacing w:line="20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Таким чином, вірогідна перевага обструктивного</w:t>
            </w:r>
          </w:p>
        </w:tc>
        <w:tc>
          <w:tcPr>
            <w:tcW w:w="180" w:type="dxa"/>
            <w:vAlign w:val="bottom"/>
          </w:tcPr>
          <w:p w:rsidR="00514387" w:rsidRDefault="00514387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4"/>
            <w:vAlign w:val="bottom"/>
          </w:tcPr>
          <w:p w:rsidR="00514387" w:rsidRDefault="00695BB3">
            <w:pPr>
              <w:spacing w:line="2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Нами був виявлений статистично </w:t>
            </w:r>
            <w:r>
              <w:rPr>
                <w:rFonts w:eastAsia="Times New Roman"/>
                <w:sz w:val="19"/>
                <w:szCs w:val="19"/>
              </w:rPr>
              <w:t>значущий ко-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63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(р &lt; 0,001) та змішаного (р &lt; 0,001) типів вентиляцій-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реляційний зв’язок між показником FEV</w:t>
            </w:r>
            <w:r>
              <w:rPr>
                <w:rFonts w:eastAsia="Times New Roman"/>
                <w:vertAlign w:val="subscript"/>
              </w:rPr>
              <w:t>1</w:t>
            </w:r>
            <w:r>
              <w:rPr>
                <w:rFonts w:eastAsia="Times New Roman"/>
                <w:sz w:val="19"/>
                <w:szCs w:val="19"/>
              </w:rPr>
              <w:t xml:space="preserve">  та рів-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09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spacing w:line="20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них порушень у хворих порівняно з І групою може бути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spacing w:line="2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нем НbА1с. У I групі коефіцієнт кореляції становив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36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обумовлена не лише спазмом </w:t>
            </w:r>
            <w:r>
              <w:rPr>
                <w:rFonts w:eastAsia="Times New Roman"/>
                <w:sz w:val="19"/>
                <w:szCs w:val="19"/>
              </w:rPr>
              <w:t>гладенької мускулатури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r = –0,12 (р &lt; 0,08), в II групі – ​r = –0,49 (р &lt; 0,001).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63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бронхів, їх деформацією, експіраторним колапсом,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Зміни показника FEV</w:t>
            </w:r>
            <w:r>
              <w:rPr>
                <w:rFonts w:eastAsia="Times New Roman"/>
                <w:vertAlign w:val="subscript"/>
              </w:rPr>
              <w:t>1</w:t>
            </w:r>
            <w:r>
              <w:rPr>
                <w:rFonts w:eastAsia="Times New Roman"/>
                <w:sz w:val="19"/>
                <w:szCs w:val="19"/>
              </w:rPr>
              <w:t xml:space="preserve"> в залежності від рівня глюкози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09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spacing w:line="20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а також, за думкою деяких авторів, механічними ефек-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spacing w:line="2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крові у хворих </w:t>
            </w:r>
            <w:r>
              <w:rPr>
                <w:rFonts w:eastAsia="Times New Roman"/>
                <w:sz w:val="19"/>
                <w:szCs w:val="19"/>
              </w:rPr>
              <w:t>на ЦД також були виявлені в дослі-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36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тами абдомінального ожиріння, що пов’язані зі зни-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дженні Framingham Offspring Cohort [22]. Водночас,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81"/>
        </w:trPr>
        <w:tc>
          <w:tcPr>
            <w:tcW w:w="4920" w:type="dxa"/>
            <w:gridSpan w:val="6"/>
            <w:vAlign w:val="bottom"/>
          </w:tcPr>
          <w:p w:rsidR="00514387" w:rsidRDefault="00695BB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женням екскурсії діафрагми та грудної клітки [9].</w:t>
            </w:r>
          </w:p>
        </w:tc>
        <w:tc>
          <w:tcPr>
            <w:tcW w:w="4720" w:type="dxa"/>
            <w:gridSpan w:val="5"/>
            <w:vAlign w:val="bottom"/>
          </w:tcPr>
          <w:p w:rsidR="00514387" w:rsidRDefault="00695BB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деякі дослідники не виявили суттєвих змін FEV</w:t>
            </w:r>
            <w:r>
              <w:rPr>
                <w:rFonts w:eastAsia="Times New Roman"/>
                <w:vertAlign w:val="subscript"/>
              </w:rPr>
              <w:t>1</w:t>
            </w:r>
            <w:r>
              <w:rPr>
                <w:rFonts w:eastAsia="Times New Roman"/>
                <w:sz w:val="19"/>
                <w:szCs w:val="19"/>
              </w:rPr>
              <w:t xml:space="preserve"> при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131"/>
        </w:trPr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58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514387" w:rsidRDefault="00514387"/>
        </w:tc>
        <w:tc>
          <w:tcPr>
            <w:tcW w:w="900" w:type="dxa"/>
            <w:vAlign w:val="bottom"/>
          </w:tcPr>
          <w:p w:rsidR="00514387" w:rsidRDefault="00514387"/>
        </w:tc>
        <w:tc>
          <w:tcPr>
            <w:tcW w:w="180" w:type="dxa"/>
            <w:vAlign w:val="bottom"/>
          </w:tcPr>
          <w:p w:rsidR="00514387" w:rsidRDefault="00514387"/>
        </w:tc>
        <w:tc>
          <w:tcPr>
            <w:tcW w:w="840" w:type="dxa"/>
            <w:vAlign w:val="bottom"/>
          </w:tcPr>
          <w:p w:rsidR="00514387" w:rsidRDefault="00514387"/>
        </w:tc>
        <w:tc>
          <w:tcPr>
            <w:tcW w:w="860" w:type="dxa"/>
            <w:vAlign w:val="bottom"/>
          </w:tcPr>
          <w:p w:rsidR="00514387" w:rsidRDefault="00514387"/>
        </w:tc>
        <w:tc>
          <w:tcPr>
            <w:tcW w:w="880" w:type="dxa"/>
            <w:vAlign w:val="bottom"/>
          </w:tcPr>
          <w:p w:rsidR="00514387" w:rsidRDefault="00514387"/>
        </w:tc>
        <w:tc>
          <w:tcPr>
            <w:tcW w:w="180" w:type="dxa"/>
            <w:vAlign w:val="bottom"/>
          </w:tcPr>
          <w:p w:rsidR="00514387" w:rsidRDefault="00514387"/>
        </w:tc>
        <w:tc>
          <w:tcPr>
            <w:tcW w:w="860" w:type="dxa"/>
            <w:vAlign w:val="bottom"/>
          </w:tcPr>
          <w:p w:rsidR="00514387" w:rsidRDefault="00514387"/>
        </w:tc>
        <w:tc>
          <w:tcPr>
            <w:tcW w:w="840" w:type="dxa"/>
            <w:vAlign w:val="bottom"/>
          </w:tcPr>
          <w:p w:rsidR="00514387" w:rsidRDefault="00514387"/>
        </w:tc>
        <w:tc>
          <w:tcPr>
            <w:tcW w:w="1420" w:type="dxa"/>
            <w:vAlign w:val="bottom"/>
          </w:tcPr>
          <w:p w:rsidR="00514387" w:rsidRDefault="00514387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Таблиця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190"/>
        </w:trPr>
        <w:tc>
          <w:tcPr>
            <w:tcW w:w="9640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695BB3">
            <w:pPr>
              <w:ind w:left="5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Результати досліджуваних показників (медіана [Ме], процентилі [25%, 75%]) у хворих на БА та БА + ЦД2Т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7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5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900" w:type="dxa"/>
            <w:vAlign w:val="bottom"/>
          </w:tcPr>
          <w:p w:rsidR="00514387" w:rsidRDefault="00514387"/>
        </w:tc>
        <w:tc>
          <w:tcPr>
            <w:tcW w:w="1020" w:type="dxa"/>
            <w:gridSpan w:val="2"/>
            <w:vAlign w:val="bottom"/>
          </w:tcPr>
          <w:p w:rsidR="00514387" w:rsidRDefault="00695BB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БА (n = 20)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2760" w:type="dxa"/>
            <w:gridSpan w:val="4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БА + ЦД2Т (n = 31)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74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U-критерій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162"/>
        </w:trPr>
        <w:tc>
          <w:tcPr>
            <w:tcW w:w="1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695BB3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Показаники</w:t>
            </w:r>
          </w:p>
        </w:tc>
        <w:tc>
          <w:tcPr>
            <w:tcW w:w="900" w:type="dxa"/>
            <w:vAlign w:val="bottom"/>
          </w:tcPr>
          <w:p w:rsidR="00514387" w:rsidRDefault="00514387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ind w:left="3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Процентилі</w:t>
            </w:r>
          </w:p>
        </w:tc>
        <w:tc>
          <w:tcPr>
            <w:tcW w:w="880" w:type="dxa"/>
            <w:vAlign w:val="bottom"/>
          </w:tcPr>
          <w:p w:rsidR="00514387" w:rsidRDefault="00514387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Процентилі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Значимість, р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94"/>
        </w:trPr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Merge w:val="restart"/>
            <w:vAlign w:val="bottom"/>
          </w:tcPr>
          <w:p w:rsidR="00514387" w:rsidRDefault="00695BB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Медіана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 w:val="restart"/>
            <w:vAlign w:val="bottom"/>
          </w:tcPr>
          <w:p w:rsidR="00514387" w:rsidRDefault="00695BB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Медіана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Манна – Уітні​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74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vMerge/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vMerge/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83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vMerge/>
            <w:vAlign w:val="bottom"/>
          </w:tcPr>
          <w:p w:rsidR="00514387" w:rsidRDefault="00514387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880" w:type="dxa"/>
            <w:vMerge/>
            <w:vAlign w:val="bottom"/>
          </w:tcPr>
          <w:p w:rsidR="00514387" w:rsidRDefault="00514387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175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vAlign w:val="bottom"/>
          </w:tcPr>
          <w:p w:rsidR="00514387" w:rsidRDefault="00514387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15"/>
                <w:szCs w:val="15"/>
              </w:rPr>
            </w:pPr>
          </w:p>
        </w:tc>
        <w:tc>
          <w:tcPr>
            <w:tcW w:w="880" w:type="dxa"/>
            <w:vAlign w:val="bottom"/>
          </w:tcPr>
          <w:p w:rsidR="00514387" w:rsidRDefault="00514387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72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5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695BB3">
            <w:pPr>
              <w:spacing w:line="215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ІL</w:t>
            </w: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‑</w:t>
            </w:r>
            <w:r>
              <w:rPr>
                <w:rFonts w:ascii="Arial" w:eastAsia="Arial" w:hAnsi="Arial" w:cs="Arial"/>
                <w:sz w:val="16"/>
                <w:szCs w:val="16"/>
              </w:rPr>
              <w:t>8, пг/мл</w:t>
            </w:r>
          </w:p>
        </w:tc>
        <w:tc>
          <w:tcPr>
            <w:tcW w:w="900" w:type="dxa"/>
            <w:vAlign w:val="bottom"/>
          </w:tcPr>
          <w:p w:rsidR="00514387" w:rsidRDefault="00695BB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4,11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3,83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4,63</w:t>
            </w:r>
          </w:p>
        </w:tc>
        <w:tc>
          <w:tcPr>
            <w:tcW w:w="880" w:type="dxa"/>
            <w:vAlign w:val="bottom"/>
          </w:tcPr>
          <w:p w:rsidR="00514387" w:rsidRDefault="00695BB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134,80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132,05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146,65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0,001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7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5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695BB3">
            <w:pPr>
              <w:spacing w:line="215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ІL</w:t>
            </w: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‑</w:t>
            </w:r>
            <w:r>
              <w:rPr>
                <w:rFonts w:ascii="Arial" w:eastAsia="Arial" w:hAnsi="Arial" w:cs="Arial"/>
                <w:sz w:val="16"/>
                <w:szCs w:val="16"/>
              </w:rPr>
              <w:t>12, пг/мл</w:t>
            </w:r>
          </w:p>
        </w:tc>
        <w:tc>
          <w:tcPr>
            <w:tcW w:w="900" w:type="dxa"/>
            <w:vAlign w:val="bottom"/>
          </w:tcPr>
          <w:p w:rsidR="00514387" w:rsidRDefault="00695BB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9,99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9,40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10,39</w:t>
            </w:r>
          </w:p>
        </w:tc>
        <w:tc>
          <w:tcPr>
            <w:tcW w:w="880" w:type="dxa"/>
            <w:vAlign w:val="bottom"/>
          </w:tcPr>
          <w:p w:rsidR="00514387" w:rsidRDefault="00695BB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255,60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234,55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305,55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0,001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7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5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695BB3">
            <w:pPr>
              <w:spacing w:line="215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МСР</w:t>
            </w: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‑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1, </w:t>
            </w:r>
            <w:r>
              <w:rPr>
                <w:rFonts w:ascii="Arial" w:eastAsia="Arial" w:hAnsi="Arial" w:cs="Arial"/>
                <w:sz w:val="16"/>
                <w:szCs w:val="16"/>
              </w:rPr>
              <w:t>нг/мл</w:t>
            </w:r>
          </w:p>
        </w:tc>
        <w:tc>
          <w:tcPr>
            <w:tcW w:w="900" w:type="dxa"/>
            <w:vAlign w:val="bottom"/>
          </w:tcPr>
          <w:p w:rsidR="00514387" w:rsidRDefault="00695BB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51,83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49,89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53,61</w:t>
            </w:r>
          </w:p>
        </w:tc>
        <w:tc>
          <w:tcPr>
            <w:tcW w:w="880" w:type="dxa"/>
            <w:vAlign w:val="bottom"/>
          </w:tcPr>
          <w:p w:rsidR="00514387" w:rsidRDefault="00695BB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3"/>
                <w:sz w:val="16"/>
                <w:szCs w:val="16"/>
              </w:rPr>
              <w:t>806,14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768,36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904,37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0,001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7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5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695BB3">
            <w:pPr>
              <w:spacing w:line="215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MMP</w:t>
            </w: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‑</w:t>
            </w:r>
            <w:r>
              <w:rPr>
                <w:rFonts w:ascii="Arial" w:eastAsia="Arial" w:hAnsi="Arial" w:cs="Arial"/>
                <w:sz w:val="16"/>
                <w:szCs w:val="16"/>
              </w:rPr>
              <w:t>9, нг/мл</w:t>
            </w:r>
          </w:p>
        </w:tc>
        <w:tc>
          <w:tcPr>
            <w:tcW w:w="900" w:type="dxa"/>
            <w:vAlign w:val="bottom"/>
          </w:tcPr>
          <w:p w:rsidR="00514387" w:rsidRDefault="00695BB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35,35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32,84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37,62</w:t>
            </w:r>
          </w:p>
        </w:tc>
        <w:tc>
          <w:tcPr>
            <w:tcW w:w="880" w:type="dxa"/>
            <w:vAlign w:val="bottom"/>
          </w:tcPr>
          <w:p w:rsidR="00514387" w:rsidRDefault="00695BB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786,50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3"/>
                <w:sz w:val="16"/>
                <w:szCs w:val="16"/>
              </w:rPr>
              <w:t>386,14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933,31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0,001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7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5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695BB3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FVC, %</w:t>
            </w:r>
          </w:p>
        </w:tc>
        <w:tc>
          <w:tcPr>
            <w:tcW w:w="900" w:type="dxa"/>
            <w:vAlign w:val="bottom"/>
          </w:tcPr>
          <w:p w:rsidR="00514387" w:rsidRDefault="00695BB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98,00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97,00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99,00</w:t>
            </w:r>
          </w:p>
        </w:tc>
        <w:tc>
          <w:tcPr>
            <w:tcW w:w="880" w:type="dxa"/>
            <w:vAlign w:val="bottom"/>
          </w:tcPr>
          <w:p w:rsidR="00514387" w:rsidRDefault="00695BB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66,54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54,25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73,75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16"/>
                <w:szCs w:val="16"/>
              </w:rPr>
              <w:t>255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0,001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7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9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695BB3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FEV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, %</w:t>
            </w:r>
          </w:p>
        </w:tc>
        <w:tc>
          <w:tcPr>
            <w:tcW w:w="900" w:type="dxa"/>
            <w:vAlign w:val="bottom"/>
          </w:tcPr>
          <w:p w:rsidR="00514387" w:rsidRDefault="00695BB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95,00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94,00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95,00</w:t>
            </w:r>
          </w:p>
        </w:tc>
        <w:tc>
          <w:tcPr>
            <w:tcW w:w="880" w:type="dxa"/>
            <w:vAlign w:val="bottom"/>
          </w:tcPr>
          <w:p w:rsidR="00514387" w:rsidRDefault="00695BB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56,72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43,50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61,75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310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0,001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3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9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695BB3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FEV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/FVC</w:t>
            </w:r>
          </w:p>
        </w:tc>
        <w:tc>
          <w:tcPr>
            <w:tcW w:w="900" w:type="dxa"/>
            <w:vAlign w:val="bottom"/>
          </w:tcPr>
          <w:p w:rsidR="00514387" w:rsidRDefault="00695BB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82,00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81,00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83,00</w:t>
            </w:r>
          </w:p>
        </w:tc>
        <w:tc>
          <w:tcPr>
            <w:tcW w:w="880" w:type="dxa"/>
            <w:vAlign w:val="bottom"/>
          </w:tcPr>
          <w:p w:rsidR="00514387" w:rsidRDefault="00695BB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70,13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62,00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78,62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16"/>
                <w:szCs w:val="16"/>
              </w:rPr>
              <w:t>482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0,001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3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5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695BB3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НbА1с, %</w:t>
            </w:r>
          </w:p>
        </w:tc>
        <w:tc>
          <w:tcPr>
            <w:tcW w:w="900" w:type="dxa"/>
            <w:vAlign w:val="bottom"/>
          </w:tcPr>
          <w:p w:rsidR="00514387" w:rsidRDefault="00695BB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4,24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3,85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4,56</w:t>
            </w:r>
          </w:p>
        </w:tc>
        <w:tc>
          <w:tcPr>
            <w:tcW w:w="880" w:type="dxa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7,41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6,81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9,23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0,001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74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5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695BB3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Інсулін,</w:t>
            </w:r>
          </w:p>
        </w:tc>
        <w:tc>
          <w:tcPr>
            <w:tcW w:w="900" w:type="dxa"/>
            <w:vMerge w:val="restart"/>
            <w:vAlign w:val="bottom"/>
          </w:tcPr>
          <w:p w:rsidR="00514387" w:rsidRDefault="00695BB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8,23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6,90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10,17</w:t>
            </w:r>
          </w:p>
        </w:tc>
        <w:tc>
          <w:tcPr>
            <w:tcW w:w="880" w:type="dxa"/>
            <w:vMerge w:val="restart"/>
            <w:vAlign w:val="bottom"/>
          </w:tcPr>
          <w:p w:rsidR="00514387" w:rsidRDefault="00695BB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17,57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14,63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20,20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0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0,001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96"/>
        </w:trPr>
        <w:tc>
          <w:tcPr>
            <w:tcW w:w="1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695BB3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мОд/л</w:t>
            </w:r>
          </w:p>
        </w:tc>
        <w:tc>
          <w:tcPr>
            <w:tcW w:w="900" w:type="dxa"/>
            <w:vMerge/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/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96"/>
        </w:trPr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7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5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695BB3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Глюкоза,</w:t>
            </w:r>
          </w:p>
        </w:tc>
        <w:tc>
          <w:tcPr>
            <w:tcW w:w="900" w:type="dxa"/>
            <w:vMerge w:val="restart"/>
            <w:vAlign w:val="bottom"/>
          </w:tcPr>
          <w:p w:rsidR="00514387" w:rsidRDefault="00695BB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4,30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4,09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4,54</w:t>
            </w:r>
          </w:p>
        </w:tc>
        <w:tc>
          <w:tcPr>
            <w:tcW w:w="880" w:type="dxa"/>
            <w:vMerge w:val="restart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8,62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7,32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10,20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0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0,001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96"/>
        </w:trPr>
        <w:tc>
          <w:tcPr>
            <w:tcW w:w="1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695BB3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ммоль/л</w:t>
            </w:r>
          </w:p>
        </w:tc>
        <w:tc>
          <w:tcPr>
            <w:tcW w:w="900" w:type="dxa"/>
            <w:vMerge/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/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96"/>
        </w:trPr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7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5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695BB3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Індекс</w:t>
            </w:r>
          </w:p>
        </w:tc>
        <w:tc>
          <w:tcPr>
            <w:tcW w:w="900" w:type="dxa"/>
            <w:vMerge w:val="restart"/>
            <w:vAlign w:val="bottom"/>
          </w:tcPr>
          <w:p w:rsidR="00514387" w:rsidRDefault="00695BB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1,48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6"/>
                <w:sz w:val="16"/>
                <w:szCs w:val="16"/>
              </w:rPr>
              <w:t>1,27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2,11</w:t>
            </w:r>
          </w:p>
        </w:tc>
        <w:tc>
          <w:tcPr>
            <w:tcW w:w="880" w:type="dxa"/>
            <w:vMerge w:val="restart"/>
            <w:vAlign w:val="bottom"/>
          </w:tcPr>
          <w:p w:rsidR="00514387" w:rsidRDefault="00695BB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6,91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5,11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8,15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0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0,001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96"/>
        </w:trPr>
        <w:tc>
          <w:tcPr>
            <w:tcW w:w="1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695BB3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НОМА-IR</w:t>
            </w:r>
          </w:p>
        </w:tc>
        <w:tc>
          <w:tcPr>
            <w:tcW w:w="900" w:type="dxa"/>
            <w:vMerge/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Merge/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96"/>
        </w:trPr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7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5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14387" w:rsidRDefault="00695BB3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ІМТ</w:t>
            </w:r>
          </w:p>
        </w:tc>
        <w:tc>
          <w:tcPr>
            <w:tcW w:w="900" w:type="dxa"/>
            <w:vAlign w:val="bottom"/>
          </w:tcPr>
          <w:p w:rsidR="00514387" w:rsidRDefault="00695BB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22,00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21,00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22,75</w:t>
            </w:r>
          </w:p>
        </w:tc>
        <w:tc>
          <w:tcPr>
            <w:tcW w:w="880" w:type="dxa"/>
            <w:vAlign w:val="bottom"/>
          </w:tcPr>
          <w:p w:rsidR="00514387" w:rsidRDefault="00695BB3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28,50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514387" w:rsidRDefault="00514387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26,70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32,15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14387" w:rsidRDefault="00695BB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0,001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7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387" w:rsidRDefault="0051438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</w:tbl>
    <w:p w:rsidR="00514387" w:rsidRDefault="00695BB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0864" behindDoc="1" locked="0" layoutInCell="0" allowOverlap="1">
            <wp:simplePos x="0" y="0"/>
            <wp:positionH relativeFrom="column">
              <wp:posOffset>-6350</wp:posOffset>
            </wp:positionH>
            <wp:positionV relativeFrom="paragraph">
              <wp:posOffset>-4070350</wp:posOffset>
            </wp:positionV>
            <wp:extent cx="6130925" cy="408051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25" cy="408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81" w:lineRule="exact"/>
        <w:rPr>
          <w:sz w:val="20"/>
          <w:szCs w:val="20"/>
        </w:rPr>
      </w:pPr>
    </w:p>
    <w:p w:rsidR="00514387" w:rsidRDefault="00695BB3">
      <w:pPr>
        <w:ind w:left="46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АСТМА ТА АЛЕРГІЯ, № 1 </w:t>
      </w:r>
      <w:r>
        <w:rPr>
          <w:rFonts w:ascii="Arial" w:eastAsia="Arial" w:hAnsi="Arial" w:cs="Arial"/>
          <w:sz w:val="16"/>
          <w:szCs w:val="16"/>
        </w:rPr>
        <w:t>•</w:t>
      </w:r>
      <w:r>
        <w:rPr>
          <w:rFonts w:ascii="Arial" w:eastAsia="Arial" w:hAnsi="Arial" w:cs="Arial"/>
          <w:sz w:val="24"/>
          <w:szCs w:val="24"/>
        </w:rPr>
        <w:t xml:space="preserve"> 2018</w:t>
      </w:r>
    </w:p>
    <w:p w:rsidR="00514387" w:rsidRDefault="0051438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3" o:spid="_x0000_s1058" style="position:absolute;z-index:251642368;visibility:visible;mso-wrap-distance-left:0;mso-wrap-distance-right:0" from=".15pt,-9.35pt" to="217.9pt,-9.35pt" o:allowincell="f" strokeweight=".30269mm"/>
        </w:pict>
      </w:r>
      <w:r>
        <w:rPr>
          <w:sz w:val="20"/>
          <w:szCs w:val="20"/>
        </w:rPr>
        <w:pict>
          <v:line id="Shape 34" o:spid="_x0000_s1059" style="position:absolute;z-index:251643392;visibility:visible;mso-wrap-distance-left:0;mso-wrap-distance-right:0" from="450.35pt,-9.35pt" to="482.05pt,-9.35pt" o:allowincell="f" strokeweight=".30269mm"/>
        </w:pict>
      </w:r>
      <w:r>
        <w:rPr>
          <w:sz w:val="20"/>
          <w:szCs w:val="20"/>
        </w:rPr>
        <w:pict>
          <v:line id="Shape 35" o:spid="_x0000_s1060" style="position:absolute;z-index:251644416;visibility:visible;mso-wrap-distance-left:0;mso-wrap-distance-right:0" from=".15pt,-6.75pt" to="217.9pt,-6.75pt" o:allowincell="f" strokeweight=".60536mm"/>
        </w:pict>
      </w:r>
      <w:r>
        <w:rPr>
          <w:sz w:val="20"/>
          <w:szCs w:val="20"/>
        </w:rPr>
        <w:pict>
          <v:line id="Shape 36" o:spid="_x0000_s1061" style="position:absolute;z-index:251645440;visibility:visible;mso-wrap-distance-left:0;mso-wrap-distance-right:0" from="450.35pt,-6.75pt" to="482.05pt,-6.75pt" o:allowincell="f" strokeweight=".60536mm"/>
        </w:pict>
      </w:r>
      <w:r>
        <w:rPr>
          <w:sz w:val="20"/>
          <w:szCs w:val="20"/>
        </w:rPr>
        <w:pict>
          <v:line id="Shape 37" o:spid="_x0000_s1062" style="position:absolute;z-index:251646464;visibility:visible;mso-wrap-distance-left:0;mso-wrap-distance-right:0" from=".15pt,-4.2pt" to="217.9pt,-4.2pt" o:allowincell="f" strokeweight=".30269mm"/>
        </w:pict>
      </w:r>
      <w:r>
        <w:rPr>
          <w:sz w:val="20"/>
          <w:szCs w:val="20"/>
        </w:rPr>
        <w:pict>
          <v:line id="Shape 38" o:spid="_x0000_s1063" style="position:absolute;z-index:251647488;visibility:visible;mso-wrap-distance-left:0;mso-wrap-distance-right:0" from="450.35pt,-4.2pt" to="482.05pt,-4.2pt" o:allowincell="f" strokeweight=".30269mm"/>
        </w:pict>
      </w:r>
      <w:r>
        <w:rPr>
          <w:sz w:val="20"/>
          <w:szCs w:val="20"/>
        </w:rPr>
        <w:pict>
          <v:rect id="Shape 39" o:spid="_x0000_s1064" style="position:absolute;margin-left:217.95pt;margin-top:-11.7pt;width:232.4pt;height:22.9pt;z-index:-251629056;visibility:visible;mso-wrap-distance-left:0;mso-wrap-distance-right:0" o:allowincell="f" stroked="f"/>
        </w:pict>
      </w:r>
    </w:p>
    <w:p w:rsidR="00514387" w:rsidRDefault="00514387">
      <w:pPr>
        <w:sectPr w:rsidR="00514387">
          <w:pgSz w:w="11900" w:h="16838"/>
          <w:pgMar w:top="219" w:right="1306" w:bottom="0" w:left="960" w:header="0" w:footer="0" w:gutter="0"/>
          <w:cols w:space="720" w:equalWidth="0">
            <w:col w:w="9640"/>
          </w:cols>
        </w:sectPr>
      </w:pPr>
    </w:p>
    <w:p w:rsidR="00514387" w:rsidRDefault="00514387">
      <w:pPr>
        <w:spacing w:line="54" w:lineRule="exact"/>
        <w:rPr>
          <w:sz w:val="20"/>
          <w:szCs w:val="20"/>
        </w:rPr>
      </w:pPr>
    </w:p>
    <w:p w:rsidR="00514387" w:rsidRDefault="00695BB3">
      <w:pPr>
        <w:ind w:left="722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ISSN 2307-3373</w:t>
      </w:r>
    </w:p>
    <w:p w:rsidR="00514387" w:rsidRDefault="00514387">
      <w:pPr>
        <w:sectPr w:rsidR="00514387">
          <w:type w:val="continuous"/>
          <w:pgSz w:w="11900" w:h="16838"/>
          <w:pgMar w:top="219" w:right="1306" w:bottom="0" w:left="960" w:header="0" w:footer="0" w:gutter="0"/>
          <w:cols w:space="720" w:equalWidth="0">
            <w:col w:w="9640"/>
          </w:cols>
        </w:sectPr>
      </w:pPr>
    </w:p>
    <w:p w:rsidR="00514387" w:rsidRDefault="00514387">
      <w:pPr>
        <w:ind w:right="140"/>
        <w:jc w:val="right"/>
        <w:rPr>
          <w:sz w:val="20"/>
          <w:szCs w:val="20"/>
        </w:rPr>
      </w:pPr>
      <w:bookmarkStart w:id="4" w:name="page5"/>
      <w:bookmarkEnd w:id="4"/>
      <w:r w:rsidRPr="00514387">
        <w:rPr>
          <w:rFonts w:ascii="Arial" w:eastAsia="Arial" w:hAnsi="Arial" w:cs="Arial"/>
          <w:sz w:val="24"/>
          <w:szCs w:val="24"/>
        </w:rPr>
        <w:lastRenderedPageBreak/>
        <w:pict>
          <v:rect id="Shape 40" o:spid="_x0000_s1065" style="position:absolute;left:0;text-align:left;margin-left:518.75pt;margin-top:17pt;width:28.35pt;height:28.35pt;z-index:-251628032;visibility:visible;mso-wrap-distance-left:0;mso-wrap-distance-right:0;mso-position-horizontal-relative:page;mso-position-vertical-relative:page" o:allowincell="f" fillcolor="#c5c6c6" stroked="f">
            <w10:wrap anchorx="page" anchory="page"/>
          </v:rect>
        </w:pict>
      </w:r>
      <w:r w:rsidR="00695BB3">
        <w:rPr>
          <w:rFonts w:ascii="Arial" w:eastAsia="Arial" w:hAnsi="Arial" w:cs="Arial"/>
          <w:sz w:val="24"/>
          <w:szCs w:val="24"/>
        </w:rPr>
        <w:t xml:space="preserve">ОРИГІНАЛЬНІ СТАТТІ </w:t>
      </w:r>
      <w:r w:rsidR="00695BB3">
        <w:rPr>
          <w:noProof/>
          <w:sz w:val="1"/>
          <w:szCs w:val="1"/>
        </w:rPr>
        <w:drawing>
          <wp:inline distT="0" distB="0" distL="0" distR="0">
            <wp:extent cx="3130550" cy="762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5BB3">
        <w:rPr>
          <w:rFonts w:ascii="Arial" w:eastAsia="Arial" w:hAnsi="Arial" w:cs="Arial"/>
          <w:b/>
          <w:bCs/>
          <w:color w:val="FFFFFF"/>
          <w:sz w:val="48"/>
          <w:szCs w:val="48"/>
          <w:vertAlign w:val="superscript"/>
        </w:rPr>
        <w:t xml:space="preserve">   17</w:t>
      </w:r>
    </w:p>
    <w:p w:rsidR="00514387" w:rsidRDefault="0051438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2" o:spid="_x0000_s1067" style="position:absolute;z-index:251648512;visibility:visible;mso-wrap-distance-left:0;mso-wrap-distance-right:0" from=".15pt,-19.65pt" to="39.85pt,-19.65pt" o:allowincell="f" strokeweight=".30269mm"/>
        </w:pict>
      </w:r>
      <w:r>
        <w:rPr>
          <w:sz w:val="20"/>
          <w:szCs w:val="20"/>
        </w:rPr>
        <w:pict>
          <v:line id="Shape 43" o:spid="_x0000_s1068" style="position:absolute;z-index:251649536;visibility:visible;mso-wrap-distance-left:0;mso-wrap-distance-right:0" from=".15pt,-17.05pt" to="39.85pt,-17.05pt" o:allowincell="f" strokeweight=".60536mm"/>
        </w:pict>
      </w:r>
      <w:r>
        <w:rPr>
          <w:sz w:val="20"/>
          <w:szCs w:val="20"/>
        </w:rPr>
        <w:pict>
          <v:line id="Shape 44" o:spid="_x0000_s1069" style="position:absolute;z-index:251650560;visibility:visible;mso-wrap-distance-left:0;mso-wrap-distance-right:0" from=".15pt,-14.5pt" to="39.85pt,-14.5pt" o:allowincell="f" strokeweight=".30269mm"/>
        </w:pict>
      </w:r>
      <w:r w:rsidR="00695BB3">
        <w:rPr>
          <w:noProof/>
          <w:sz w:val="20"/>
          <w:szCs w:val="20"/>
        </w:rPr>
        <w:drawing>
          <wp:anchor distT="0" distB="0" distL="114300" distR="114300" simplePos="0" relativeHeight="251621888" behindDoc="1" locked="0" layoutInCell="0" allowOverlap="1">
            <wp:simplePos x="0" y="0"/>
            <wp:positionH relativeFrom="column">
              <wp:posOffset>537210</wp:posOffset>
            </wp:positionH>
            <wp:positionV relativeFrom="paragraph">
              <wp:posOffset>344170</wp:posOffset>
            </wp:positionV>
            <wp:extent cx="5016500" cy="160845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1608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pict>
          <v:rect id="Shape 46" o:spid="_x0000_s1071" style="position:absolute;margin-left:39.85pt;margin-top:-22.15pt;width:156.85pt;height:9.35pt;z-index:-251627008;visibility:visible;mso-wrap-distance-left:0;mso-wrap-distance-right:0;mso-position-horizontal-relative:text;mso-position-vertical-relative:text" o:allowincell="f" stroked="f"/>
        </w:pict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1" w:lineRule="exact"/>
        <w:rPr>
          <w:sz w:val="20"/>
          <w:szCs w:val="20"/>
        </w:rPr>
      </w:pPr>
    </w:p>
    <w:tbl>
      <w:tblPr>
        <w:tblW w:w="0" w:type="auto"/>
        <w:tblInd w:w="1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20"/>
        <w:gridCol w:w="3940"/>
        <w:gridCol w:w="20"/>
      </w:tblGrid>
      <w:tr w:rsidR="00514387">
        <w:trPr>
          <w:trHeight w:val="234"/>
        </w:trPr>
        <w:tc>
          <w:tcPr>
            <w:tcW w:w="2620" w:type="dxa"/>
            <w:vAlign w:val="bottom"/>
          </w:tcPr>
          <w:p w:rsidR="00514387" w:rsidRDefault="00695BB3">
            <w:pPr>
              <w:ind w:left="1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r=0,73</w:t>
            </w:r>
          </w:p>
        </w:tc>
        <w:tc>
          <w:tcPr>
            <w:tcW w:w="3940" w:type="dxa"/>
            <w:vMerge w:val="restart"/>
            <w:vAlign w:val="bottom"/>
          </w:tcPr>
          <w:p w:rsidR="00514387" w:rsidRDefault="00695BB3">
            <w:pPr>
              <w:ind w:right="1148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r=0,51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181"/>
        </w:trPr>
        <w:tc>
          <w:tcPr>
            <w:tcW w:w="2620" w:type="dxa"/>
            <w:vAlign w:val="bottom"/>
          </w:tcPr>
          <w:p w:rsidR="00514387" w:rsidRDefault="00514387">
            <w:pPr>
              <w:rPr>
                <w:sz w:val="15"/>
                <w:szCs w:val="15"/>
              </w:rPr>
            </w:pPr>
          </w:p>
        </w:tc>
        <w:tc>
          <w:tcPr>
            <w:tcW w:w="3940" w:type="dxa"/>
            <w:vMerge/>
            <w:vAlign w:val="bottom"/>
          </w:tcPr>
          <w:p w:rsidR="00514387" w:rsidRDefault="0051438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249"/>
        </w:trPr>
        <w:tc>
          <w:tcPr>
            <w:tcW w:w="2620" w:type="dxa"/>
            <w:vAlign w:val="bottom"/>
          </w:tcPr>
          <w:p w:rsidR="00514387" w:rsidRDefault="00514387">
            <w:pPr>
              <w:rPr>
                <w:sz w:val="21"/>
                <w:szCs w:val="21"/>
              </w:rPr>
            </w:pPr>
          </w:p>
        </w:tc>
        <w:tc>
          <w:tcPr>
            <w:tcW w:w="3940" w:type="dxa"/>
            <w:vAlign w:val="bottom"/>
          </w:tcPr>
          <w:p w:rsidR="00514387" w:rsidRDefault="00695BB3">
            <w:pPr>
              <w:ind w:right="2868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MCP-1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771"/>
        </w:trPr>
        <w:tc>
          <w:tcPr>
            <w:tcW w:w="2620" w:type="dxa"/>
            <w:vAlign w:val="bottom"/>
          </w:tcPr>
          <w:p w:rsidR="00514387" w:rsidRDefault="00695BB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MMP-9</w:t>
            </w:r>
          </w:p>
        </w:tc>
        <w:tc>
          <w:tcPr>
            <w:tcW w:w="3940" w:type="dxa"/>
            <w:vAlign w:val="bottom"/>
          </w:tcPr>
          <w:p w:rsidR="00514387" w:rsidRDefault="00695BB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FEV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  <w:vertAlign w:val="subscript"/>
              </w:rPr>
              <w:t>1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  <w:tr w:rsidR="00514387">
        <w:trPr>
          <w:trHeight w:val="649"/>
        </w:trPr>
        <w:tc>
          <w:tcPr>
            <w:tcW w:w="2620" w:type="dxa"/>
            <w:vAlign w:val="bottom"/>
          </w:tcPr>
          <w:p w:rsidR="00514387" w:rsidRDefault="00695BB3">
            <w:pPr>
              <w:ind w:left="15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Примітка:</w:t>
            </w:r>
          </w:p>
        </w:tc>
        <w:tc>
          <w:tcPr>
            <w:tcW w:w="3940" w:type="dxa"/>
            <w:vAlign w:val="bottom"/>
          </w:tcPr>
          <w:p w:rsidR="00514387" w:rsidRDefault="00695BB3">
            <w:pPr>
              <w:ind w:right="1168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позитивна кореляція</w:t>
            </w:r>
          </w:p>
        </w:tc>
        <w:tc>
          <w:tcPr>
            <w:tcW w:w="0" w:type="dxa"/>
            <w:vAlign w:val="bottom"/>
          </w:tcPr>
          <w:p w:rsidR="00514387" w:rsidRDefault="00514387">
            <w:pPr>
              <w:rPr>
                <w:sz w:val="1"/>
                <w:szCs w:val="1"/>
              </w:rPr>
            </w:pPr>
          </w:p>
        </w:tc>
      </w:tr>
    </w:tbl>
    <w:p w:rsidR="00514387" w:rsidRDefault="00514387">
      <w:pPr>
        <w:spacing w:line="281" w:lineRule="exact"/>
        <w:rPr>
          <w:sz w:val="20"/>
          <w:szCs w:val="20"/>
        </w:rPr>
      </w:pPr>
    </w:p>
    <w:p w:rsidR="00514387" w:rsidRDefault="00695BB3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>Рисунок. Кореляційні зв’язки</w:t>
      </w:r>
      <w:r>
        <w:rPr>
          <w:rFonts w:ascii="Arial" w:eastAsia="Arial" w:hAnsi="Arial" w:cs="Arial"/>
          <w:b/>
          <w:bCs/>
          <w:sz w:val="13"/>
          <w:szCs w:val="13"/>
        </w:rPr>
        <w:t xml:space="preserve"> між рівнем МСР-1, вираженістю обструктивного синдрому та рівнем ММР-9 у хворих на БА та ЦД2Т</w:t>
      </w:r>
    </w:p>
    <w:p w:rsidR="00514387" w:rsidRDefault="00514387">
      <w:pPr>
        <w:sectPr w:rsidR="00514387">
          <w:pgSz w:w="11900" w:h="16838"/>
          <w:pgMar w:top="491" w:right="966" w:bottom="0" w:left="1300" w:header="0" w:footer="0" w:gutter="0"/>
          <w:cols w:space="720" w:equalWidth="0">
            <w:col w:w="9640"/>
          </w:cols>
        </w:sectPr>
      </w:pPr>
    </w:p>
    <w:p w:rsidR="00514387" w:rsidRDefault="00514387">
      <w:pPr>
        <w:spacing w:line="276" w:lineRule="exact"/>
        <w:rPr>
          <w:sz w:val="20"/>
          <w:szCs w:val="20"/>
        </w:rPr>
      </w:pPr>
    </w:p>
    <w:p w:rsidR="00514387" w:rsidRDefault="00695BB3">
      <w:pPr>
        <w:spacing w:line="256" w:lineRule="auto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порівнянні хворих на ЦД та без нього [6]. Але вплив патологічно високого рівня глюкози поза сумнівів. Ми встановили статистично вірогідний </w:t>
      </w:r>
      <w:r>
        <w:rPr>
          <w:rFonts w:eastAsia="Times New Roman"/>
          <w:sz w:val="19"/>
          <w:szCs w:val="19"/>
        </w:rPr>
        <w:t>взаємозв’язок між показником FVC і рівнем НbА1с у хворих ІІ групи (r = –0,50, р &lt; 0,05).</w:t>
      </w:r>
    </w:p>
    <w:p w:rsidR="00514387" w:rsidRDefault="00695BB3">
      <w:pPr>
        <w:spacing w:line="223" w:lineRule="exact"/>
        <w:ind w:left="18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Вміст ІL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8 і ІL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12 був підвищеним у хворих</w:t>
      </w:r>
    </w:p>
    <w:p w:rsidR="00514387" w:rsidRDefault="00514387">
      <w:pPr>
        <w:spacing w:line="28" w:lineRule="exact"/>
        <w:rPr>
          <w:sz w:val="20"/>
          <w:szCs w:val="20"/>
        </w:rPr>
      </w:pPr>
    </w:p>
    <w:p w:rsidR="00514387" w:rsidRDefault="00695BB3">
      <w:pPr>
        <w:numPr>
          <w:ilvl w:val="0"/>
          <w:numId w:val="4"/>
        </w:numPr>
        <w:tabs>
          <w:tab w:val="left" w:pos="235"/>
        </w:tabs>
        <w:spacing w:line="235" w:lineRule="exact"/>
        <w:ind w:firstLine="4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групи в 30,6 і 33,2 раза відповідно в порівнянні з І групою. Високий рівень прозапальних цитокі-нів ІL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8, ІL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12 (Ме = 134,8</w:t>
      </w:r>
      <w:r>
        <w:rPr>
          <w:rFonts w:eastAsia="Times New Roman"/>
          <w:sz w:val="19"/>
          <w:szCs w:val="19"/>
        </w:rPr>
        <w:t xml:space="preserve"> пг/мл і 255,6 пг/мл від-повідно) при неконтрольованому перебігу у хворих на БА у поєднанні з ЦД2Т у фазу загострення свід-чить про персистування хронічного запального про-цесу, яким є за своєю суттю і БА, і ЦД2Т. Участь у запальному процесі маркерів запал</w:t>
      </w:r>
      <w:r>
        <w:rPr>
          <w:rFonts w:eastAsia="Times New Roman"/>
          <w:sz w:val="19"/>
          <w:szCs w:val="19"/>
        </w:rPr>
        <w:t>ення, таких як МСР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1 і ММР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9, в осіб цієї групи формує не-сприятливий фон для прогресування захворювання і розвитку ремоделювання бронхів. Це підтверджує виявлений зв’язок між МСР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1 з медіатором системи антифіброзу ММР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9 (r = 0,73, р &lt; 0,05), що бере участ</w:t>
      </w:r>
      <w:r>
        <w:rPr>
          <w:rFonts w:eastAsia="Times New Roman"/>
          <w:sz w:val="19"/>
          <w:szCs w:val="19"/>
        </w:rPr>
        <w:t>ь у каскаді механізмів, результатом яких є ди-фузне хронічне запалення, потовщення і гіаліноз базальної мембрани, склероз міжальвеолярних пе-</w:t>
      </w:r>
    </w:p>
    <w:p w:rsidR="00514387" w:rsidRDefault="00514387">
      <w:pPr>
        <w:spacing w:line="260" w:lineRule="exact"/>
        <w:rPr>
          <w:rFonts w:eastAsia="Times New Roman"/>
          <w:sz w:val="19"/>
          <w:szCs w:val="19"/>
        </w:rPr>
      </w:pPr>
    </w:p>
    <w:p w:rsidR="00514387" w:rsidRDefault="00695BB3">
      <w:pPr>
        <w:spacing w:line="230" w:lineRule="exact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регородок. У хворих ІІ групи знайдено прямий зв’я-зок між МСР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1 та сумарним FEV</w:t>
      </w:r>
      <w:r>
        <w:rPr>
          <w:rFonts w:eastAsia="Times New Roman"/>
          <w:vertAlign w:val="subscript"/>
        </w:rPr>
        <w:t>1</w:t>
      </w:r>
      <w:r>
        <w:rPr>
          <w:rFonts w:eastAsia="Times New Roman"/>
          <w:sz w:val="19"/>
          <w:szCs w:val="19"/>
        </w:rPr>
        <w:t xml:space="preserve"> (r = 0,51, р &lt; 0,05) (див. рисун</w:t>
      </w:r>
      <w:r>
        <w:rPr>
          <w:rFonts w:eastAsia="Times New Roman"/>
          <w:sz w:val="19"/>
          <w:szCs w:val="19"/>
        </w:rPr>
        <w:t>ок). Тобто прогресування обструктив-ного синдрому у хворих на БА в поєднанні з ЦД2Т</w:t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56" w:lineRule="exact"/>
        <w:rPr>
          <w:sz w:val="20"/>
          <w:szCs w:val="20"/>
        </w:rPr>
      </w:pPr>
    </w:p>
    <w:p w:rsidR="00514387" w:rsidRDefault="00695BB3">
      <w:pPr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Список літератури</w:t>
      </w:r>
    </w:p>
    <w:p w:rsidR="00514387" w:rsidRDefault="00695BB3">
      <w:pPr>
        <w:numPr>
          <w:ilvl w:val="0"/>
          <w:numId w:val="5"/>
        </w:numPr>
        <w:tabs>
          <w:tab w:val="left" w:pos="345"/>
        </w:tabs>
        <w:spacing w:line="226" w:lineRule="auto"/>
        <w:ind w:firstLine="174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Бабайлов М.С. Цитохимическая характеристика альвеолярных ма-крофагов у детей с легкой персистирующей бронхиальной астмой. II Материалы II </w:t>
      </w:r>
      <w:r>
        <w:rPr>
          <w:rFonts w:ascii="Arial" w:eastAsia="Arial" w:hAnsi="Arial" w:cs="Arial"/>
          <w:sz w:val="12"/>
          <w:szCs w:val="12"/>
        </w:rPr>
        <w:t>международной (IX итоговой) научно-практической конфе-ренции молодых ученых. Челябинск: ЧелГМА, 2011. С. 9–13.</w:t>
      </w:r>
    </w:p>
    <w:p w:rsidR="00514387" w:rsidRDefault="00695BB3">
      <w:pPr>
        <w:numPr>
          <w:ilvl w:val="0"/>
          <w:numId w:val="5"/>
        </w:numPr>
        <w:tabs>
          <w:tab w:val="left" w:pos="318"/>
        </w:tabs>
        <w:spacing w:line="226" w:lineRule="auto"/>
        <w:ind w:firstLine="174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Фещенко Ю.И.,  Яшина Л.А., Опимах С. Г. Особенности бронхиальной астмы у больных с метаболическим синдромом. Здоров’я України. 2014. № 9 (334). С</w:t>
      </w:r>
      <w:r>
        <w:rPr>
          <w:rFonts w:ascii="Arial" w:eastAsia="Arial" w:hAnsi="Arial" w:cs="Arial"/>
          <w:sz w:val="12"/>
          <w:szCs w:val="12"/>
        </w:rPr>
        <w:t>. 27–29.</w:t>
      </w:r>
    </w:p>
    <w:p w:rsidR="00514387" w:rsidRDefault="00695BB3">
      <w:pPr>
        <w:numPr>
          <w:ilvl w:val="0"/>
          <w:numId w:val="5"/>
        </w:numPr>
        <w:tabs>
          <w:tab w:val="left" w:pos="317"/>
        </w:tabs>
        <w:spacing w:line="226" w:lineRule="auto"/>
        <w:ind w:firstLine="174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Яшина Л. А.,  Ищук С. Г. Бронхиальная астма у больных с ожирением – особый фенотип заболевания. Астма та алергія. 2011. № 4. С. 46–49.</w:t>
      </w:r>
    </w:p>
    <w:p w:rsidR="00514387" w:rsidRDefault="00695BB3">
      <w:pPr>
        <w:numPr>
          <w:ilvl w:val="0"/>
          <w:numId w:val="5"/>
        </w:numPr>
        <w:tabs>
          <w:tab w:val="left" w:pos="323"/>
        </w:tabs>
        <w:spacing w:line="226" w:lineRule="auto"/>
        <w:ind w:firstLine="174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Ahmad T.,  Kumar M., Mabalirajan U.  et al. Hypoxia response in asthma: differential modulation on inflammation </w:t>
      </w:r>
      <w:r>
        <w:rPr>
          <w:rFonts w:ascii="Arial" w:eastAsia="Arial" w:hAnsi="Arial" w:cs="Arial"/>
          <w:sz w:val="12"/>
          <w:szCs w:val="12"/>
        </w:rPr>
        <w:t>and epithelial injury. American Journal of Respiratory Cell and Molecular Biology. 2012. Vol. 47, No. 1. P. 1–10.</w:t>
      </w:r>
    </w:p>
    <w:p w:rsidR="00514387" w:rsidRDefault="00695BB3">
      <w:pPr>
        <w:numPr>
          <w:ilvl w:val="0"/>
          <w:numId w:val="5"/>
        </w:numPr>
        <w:tabs>
          <w:tab w:val="left" w:pos="313"/>
        </w:tabs>
        <w:spacing w:line="226" w:lineRule="auto"/>
        <w:ind w:firstLine="174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Bel E. H. Clinical phenotypes of asthma. Current opinion in pulmonary med-icine. 2004. Vol. 10. P. 44–50.</w:t>
      </w:r>
    </w:p>
    <w:p w:rsidR="00514387" w:rsidRDefault="00695BB3">
      <w:pPr>
        <w:numPr>
          <w:ilvl w:val="0"/>
          <w:numId w:val="5"/>
        </w:numPr>
        <w:tabs>
          <w:tab w:val="left" w:pos="323"/>
        </w:tabs>
        <w:spacing w:line="226" w:lineRule="auto"/>
        <w:ind w:firstLine="174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Boulet L. P. Asthma and obesity. Cli</w:t>
      </w:r>
      <w:r>
        <w:rPr>
          <w:rFonts w:ascii="Arial" w:eastAsia="Arial" w:hAnsi="Arial" w:cs="Arial"/>
          <w:sz w:val="12"/>
          <w:szCs w:val="12"/>
        </w:rPr>
        <w:t>nical and Experimental Allergy. 2013. Vol. 43, No. 1. P. 8–21.</w:t>
      </w:r>
    </w:p>
    <w:p w:rsidR="00514387" w:rsidRDefault="00695BB3">
      <w:pPr>
        <w:numPr>
          <w:ilvl w:val="0"/>
          <w:numId w:val="5"/>
        </w:numPr>
        <w:tabs>
          <w:tab w:val="left" w:pos="344"/>
        </w:tabs>
        <w:ind w:firstLine="174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Chen W.,  Thomas J., Sadatsafavi M., FitzGerald J. M. Risk of cardio-vascular comorbidity in patients with chronic obstructive pulmonary disease: a systematic review and meta-analysis. The Lanc</w:t>
      </w:r>
      <w:r>
        <w:rPr>
          <w:rFonts w:ascii="Arial" w:eastAsia="Arial" w:hAnsi="Arial" w:cs="Arial"/>
          <w:sz w:val="12"/>
          <w:szCs w:val="12"/>
        </w:rPr>
        <w:t>et Respiratory Medicine. 2015. Vol. 3, No. 8. P. 631–639.</w:t>
      </w:r>
    </w:p>
    <w:p w:rsidR="00514387" w:rsidRDefault="00514387">
      <w:pPr>
        <w:spacing w:line="106" w:lineRule="exact"/>
        <w:rPr>
          <w:rFonts w:ascii="Arial" w:eastAsia="Arial" w:hAnsi="Arial" w:cs="Arial"/>
          <w:sz w:val="12"/>
          <w:szCs w:val="12"/>
        </w:rPr>
      </w:pPr>
    </w:p>
    <w:p w:rsidR="00514387" w:rsidRDefault="00695BB3">
      <w:pPr>
        <w:numPr>
          <w:ilvl w:val="0"/>
          <w:numId w:val="5"/>
        </w:numPr>
        <w:tabs>
          <w:tab w:val="left" w:pos="329"/>
        </w:tabs>
        <w:spacing w:line="227" w:lineRule="auto"/>
        <w:ind w:firstLine="174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Ehrlich S.,  Quesenberry C. P., van den Eeden S.K., et al. Patients diag-nosed with diabetes are at increased risk for asthma, chronic obstructive pulmo-nary disease, pulmonary fibrosis, and pneumo</w:t>
      </w:r>
      <w:r>
        <w:rPr>
          <w:rFonts w:ascii="Arial" w:eastAsia="Arial" w:hAnsi="Arial" w:cs="Arial"/>
          <w:sz w:val="12"/>
          <w:szCs w:val="12"/>
        </w:rPr>
        <w:t>nia but not lung cancer. Diabetes Care. 2010. Vol. 33, No. 1. P. 55–60.</w:t>
      </w:r>
    </w:p>
    <w:p w:rsidR="00514387" w:rsidRDefault="00695B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14387" w:rsidRDefault="00514387">
      <w:pPr>
        <w:spacing w:line="256" w:lineRule="exact"/>
        <w:rPr>
          <w:sz w:val="20"/>
          <w:szCs w:val="20"/>
        </w:rPr>
      </w:pPr>
    </w:p>
    <w:p w:rsidR="00514387" w:rsidRDefault="00695BB3">
      <w:pPr>
        <w:spacing w:line="222" w:lineRule="exact"/>
        <w:ind w:left="10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асоціюється з пропорційним підвищенням рівня фібротичного маркера МСР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1.</w:t>
      </w:r>
    </w:p>
    <w:p w:rsidR="00514387" w:rsidRDefault="00514387">
      <w:pPr>
        <w:spacing w:line="28" w:lineRule="exact"/>
        <w:rPr>
          <w:sz w:val="20"/>
          <w:szCs w:val="20"/>
        </w:rPr>
      </w:pPr>
    </w:p>
    <w:p w:rsidR="00514387" w:rsidRDefault="00695BB3">
      <w:pPr>
        <w:spacing w:line="231" w:lineRule="exact"/>
        <w:ind w:left="10" w:firstLine="170"/>
        <w:jc w:val="both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Отримані результати свідчать про те, що у пацієн-тів з БА в поєднанні з ЦД2Т надмірна концентрація МСР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1 як</w:t>
      </w:r>
      <w:r>
        <w:rPr>
          <w:rFonts w:eastAsia="Times New Roman"/>
          <w:sz w:val="19"/>
          <w:szCs w:val="19"/>
        </w:rPr>
        <w:t xml:space="preserve"> маркера фіброзу при прогресуванні ознак об-структивного синдрому стримується пропорційним зрос-танням індикатора фібролізу ММР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9, що свідчить на ко-ристь адаптаційних реакцій у даної категорії хворих.</w:t>
      </w:r>
    </w:p>
    <w:p w:rsidR="00514387" w:rsidRDefault="00514387">
      <w:pPr>
        <w:spacing w:line="250" w:lineRule="exact"/>
        <w:rPr>
          <w:sz w:val="20"/>
          <w:szCs w:val="20"/>
        </w:rPr>
      </w:pPr>
    </w:p>
    <w:p w:rsidR="00514387" w:rsidRDefault="00695BB3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Висновки</w:t>
      </w:r>
    </w:p>
    <w:p w:rsidR="00514387" w:rsidRDefault="00514387">
      <w:pPr>
        <w:spacing w:line="16" w:lineRule="exact"/>
        <w:rPr>
          <w:sz w:val="20"/>
          <w:szCs w:val="20"/>
        </w:rPr>
      </w:pPr>
    </w:p>
    <w:p w:rsidR="00514387" w:rsidRDefault="00695BB3">
      <w:pPr>
        <w:numPr>
          <w:ilvl w:val="1"/>
          <w:numId w:val="6"/>
        </w:numPr>
        <w:tabs>
          <w:tab w:val="left" w:pos="390"/>
        </w:tabs>
        <w:ind w:left="390" w:hanging="220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Встановлено, що наявність ознак надмірної в</w:t>
      </w:r>
      <w:r>
        <w:rPr>
          <w:rFonts w:eastAsia="Times New Roman"/>
          <w:sz w:val="19"/>
          <w:szCs w:val="19"/>
        </w:rPr>
        <w:t>аги</w:t>
      </w:r>
    </w:p>
    <w:p w:rsidR="00514387" w:rsidRDefault="00514387">
      <w:pPr>
        <w:spacing w:line="27" w:lineRule="exact"/>
        <w:rPr>
          <w:rFonts w:eastAsia="Times New Roman"/>
          <w:sz w:val="19"/>
          <w:szCs w:val="19"/>
        </w:rPr>
      </w:pPr>
    </w:p>
    <w:p w:rsidR="00514387" w:rsidRDefault="00695BB3">
      <w:pPr>
        <w:numPr>
          <w:ilvl w:val="0"/>
          <w:numId w:val="6"/>
        </w:numPr>
        <w:tabs>
          <w:tab w:val="left" w:pos="168"/>
        </w:tabs>
        <w:spacing w:line="255" w:lineRule="auto"/>
        <w:ind w:left="10" w:hanging="10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ожиріння у хворих на БА та ЦД2Т призводить до по-гіршення стану респіраторної функції легень порів-няно з відповідними показниками у хворих на БА без коморбідності.</w:t>
      </w:r>
    </w:p>
    <w:p w:rsidR="00514387" w:rsidRDefault="00514387">
      <w:pPr>
        <w:spacing w:line="5" w:lineRule="exact"/>
        <w:rPr>
          <w:rFonts w:eastAsia="Times New Roman"/>
          <w:sz w:val="19"/>
          <w:szCs w:val="19"/>
        </w:rPr>
      </w:pPr>
    </w:p>
    <w:p w:rsidR="00514387" w:rsidRDefault="00695BB3">
      <w:pPr>
        <w:numPr>
          <w:ilvl w:val="1"/>
          <w:numId w:val="7"/>
        </w:numPr>
        <w:tabs>
          <w:tab w:val="left" w:pos="410"/>
        </w:tabs>
        <w:ind w:left="410" w:hanging="240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У хворих на БА в поєднанні з ЦД2Т відміча-</w:t>
      </w:r>
    </w:p>
    <w:p w:rsidR="00514387" w:rsidRDefault="00514387">
      <w:pPr>
        <w:spacing w:line="27" w:lineRule="exact"/>
        <w:rPr>
          <w:rFonts w:eastAsia="Times New Roman"/>
          <w:sz w:val="19"/>
          <w:szCs w:val="19"/>
        </w:rPr>
      </w:pPr>
    </w:p>
    <w:p w:rsidR="00514387" w:rsidRDefault="00695BB3">
      <w:pPr>
        <w:spacing w:line="236" w:lineRule="auto"/>
        <w:ind w:left="10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 xml:space="preserve">ється порушення ФЗД у вигляді зниження </w:t>
      </w:r>
      <w:r>
        <w:rPr>
          <w:rFonts w:eastAsia="Times New Roman"/>
          <w:sz w:val="19"/>
          <w:szCs w:val="19"/>
        </w:rPr>
        <w:t>показни-ків FEV</w:t>
      </w:r>
      <w:r>
        <w:rPr>
          <w:rFonts w:eastAsia="Times New Roman"/>
          <w:vertAlign w:val="subscript"/>
        </w:rPr>
        <w:t>1</w:t>
      </w:r>
      <w:r>
        <w:rPr>
          <w:rFonts w:eastAsia="Times New Roman"/>
          <w:sz w:val="19"/>
          <w:szCs w:val="19"/>
        </w:rPr>
        <w:t>/FVC, FEV</w:t>
      </w:r>
      <w:r>
        <w:rPr>
          <w:rFonts w:eastAsia="Times New Roman"/>
          <w:vertAlign w:val="subscript"/>
        </w:rPr>
        <w:t>1</w:t>
      </w:r>
      <w:r>
        <w:rPr>
          <w:rFonts w:eastAsia="Times New Roman"/>
          <w:sz w:val="19"/>
          <w:szCs w:val="19"/>
        </w:rPr>
        <w:t xml:space="preserve"> порівняно з відповідними показ-никами у хворих на БА без коморбідності.</w:t>
      </w:r>
    </w:p>
    <w:p w:rsidR="00514387" w:rsidRDefault="00514387">
      <w:pPr>
        <w:spacing w:line="29" w:lineRule="exact"/>
        <w:rPr>
          <w:rFonts w:eastAsia="Times New Roman"/>
          <w:sz w:val="19"/>
          <w:szCs w:val="19"/>
        </w:rPr>
      </w:pPr>
    </w:p>
    <w:p w:rsidR="00514387" w:rsidRDefault="00695BB3">
      <w:pPr>
        <w:numPr>
          <w:ilvl w:val="1"/>
          <w:numId w:val="7"/>
        </w:numPr>
        <w:tabs>
          <w:tab w:val="left" w:pos="377"/>
        </w:tabs>
        <w:spacing w:line="222" w:lineRule="exact"/>
        <w:ind w:left="10" w:firstLine="160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Виявлено взаємозв’язки між рівнем прозапальних цитокінів (ІL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8, ІL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12) та рівнем ММР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9 і МСР</w:t>
      </w:r>
      <w:r>
        <w:rPr>
          <w:rFonts w:ascii="Arial Unicode MS" w:eastAsia="Arial Unicode MS" w:hAnsi="Arial Unicode MS" w:cs="Arial Unicode MS"/>
          <w:sz w:val="19"/>
          <w:szCs w:val="19"/>
        </w:rPr>
        <w:t>‑</w:t>
      </w:r>
      <w:r>
        <w:rPr>
          <w:rFonts w:eastAsia="Times New Roman"/>
          <w:sz w:val="19"/>
          <w:szCs w:val="19"/>
        </w:rPr>
        <w:t>1.</w:t>
      </w:r>
    </w:p>
    <w:p w:rsidR="00514387" w:rsidRDefault="00514387">
      <w:pPr>
        <w:spacing w:line="28" w:lineRule="exact"/>
        <w:rPr>
          <w:rFonts w:eastAsia="Times New Roman"/>
          <w:sz w:val="19"/>
          <w:szCs w:val="19"/>
        </w:rPr>
      </w:pPr>
    </w:p>
    <w:p w:rsidR="00514387" w:rsidRDefault="00695BB3">
      <w:pPr>
        <w:spacing w:line="256" w:lineRule="auto"/>
        <w:ind w:left="10" w:firstLine="170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 xml:space="preserve">Погляд на БА та ЦД2Т як на хронічне автоімунне запалення </w:t>
      </w:r>
      <w:r>
        <w:rPr>
          <w:rFonts w:eastAsia="Times New Roman"/>
          <w:sz w:val="19"/>
          <w:szCs w:val="19"/>
        </w:rPr>
        <w:t>створює підстави для більш ретельного ви-вчення спільних ланок патогенезу БА та ЦД2Т, що мо-жуть обумовлювати їх співіснування та формування синдрому взаємного обтяження.</w:t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43" w:lineRule="exact"/>
        <w:rPr>
          <w:sz w:val="20"/>
          <w:szCs w:val="20"/>
        </w:rPr>
      </w:pPr>
    </w:p>
    <w:p w:rsidR="00514387" w:rsidRDefault="00695BB3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References</w:t>
      </w:r>
    </w:p>
    <w:p w:rsidR="00514387" w:rsidRDefault="00695BB3">
      <w:pPr>
        <w:numPr>
          <w:ilvl w:val="0"/>
          <w:numId w:val="8"/>
        </w:numPr>
        <w:tabs>
          <w:tab w:val="left" w:pos="319"/>
        </w:tabs>
        <w:spacing w:line="226" w:lineRule="auto"/>
        <w:ind w:left="10" w:firstLine="160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Babaylov MS. Tsitokhimicheskaya kharakteristika al’veolyarnykh makrofa</w:t>
      </w:r>
      <w:r>
        <w:rPr>
          <w:rFonts w:ascii="Arial" w:eastAsia="Arial" w:hAnsi="Arial" w:cs="Arial"/>
          <w:sz w:val="12"/>
          <w:szCs w:val="12"/>
        </w:rPr>
        <w:t xml:space="preserve">gov u detey s legkoy persistiruyushchey bronkhial’noy astmoy (Cytochemical charac-teristics of alveolar macrophages in children with mild persistent bronchial asthma). II Materialy II mezhdunarodnoy (IX itogovoy) nauchnoprakticheskoy konferentsii molodykh </w:t>
      </w:r>
      <w:r>
        <w:rPr>
          <w:rFonts w:ascii="Arial" w:eastAsia="Arial" w:hAnsi="Arial" w:cs="Arial"/>
          <w:sz w:val="12"/>
          <w:szCs w:val="12"/>
        </w:rPr>
        <w:t>uchenykh. Chelyabinsk: ChelGMA, 2011. Р. 9–13.</w:t>
      </w:r>
    </w:p>
    <w:p w:rsidR="00514387" w:rsidRDefault="00695BB3">
      <w:pPr>
        <w:numPr>
          <w:ilvl w:val="0"/>
          <w:numId w:val="8"/>
        </w:numPr>
        <w:tabs>
          <w:tab w:val="left" w:pos="318"/>
        </w:tabs>
        <w:spacing w:line="226" w:lineRule="auto"/>
        <w:ind w:left="10" w:firstLine="161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Feshchenko YuI,  Yashina LA, Opimakh SG. Osobennosti bronkhial’noy astmy u bol’nykh s metabolicheskim sindromom (Features of bronchial asthma in patients with metabolic syndrome). Zdorov’ya Ukraїni. 2014;9(334</w:t>
      </w:r>
      <w:r>
        <w:rPr>
          <w:rFonts w:ascii="Arial" w:eastAsia="Arial" w:hAnsi="Arial" w:cs="Arial"/>
          <w:sz w:val="12"/>
          <w:szCs w:val="12"/>
        </w:rPr>
        <w:t>):27–29.</w:t>
      </w:r>
    </w:p>
    <w:p w:rsidR="00514387" w:rsidRDefault="00695BB3">
      <w:pPr>
        <w:numPr>
          <w:ilvl w:val="0"/>
          <w:numId w:val="8"/>
        </w:numPr>
        <w:tabs>
          <w:tab w:val="left" w:pos="320"/>
        </w:tabs>
        <w:spacing w:line="226" w:lineRule="auto"/>
        <w:ind w:left="10" w:firstLine="161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Yashina LA,  Ishchuk SG. Bronkhial’naya astma u bol’nykh s ozhireniem – os-obyy fenotip zabolevaniya (Bronchial asthma in patients with obesity as a specific phenotype of the disease ). Astma ta alergіya. 2011;4:46–49.</w:t>
      </w:r>
    </w:p>
    <w:p w:rsidR="00514387" w:rsidRDefault="00695BB3">
      <w:pPr>
        <w:numPr>
          <w:ilvl w:val="0"/>
          <w:numId w:val="8"/>
        </w:numPr>
        <w:tabs>
          <w:tab w:val="left" w:pos="330"/>
        </w:tabs>
        <w:spacing w:line="226" w:lineRule="auto"/>
        <w:ind w:left="10" w:firstLine="161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Ahmad T,  Kumar M, </w:t>
      </w:r>
      <w:r>
        <w:rPr>
          <w:rFonts w:ascii="Arial" w:eastAsia="Arial" w:hAnsi="Arial" w:cs="Arial"/>
          <w:sz w:val="12"/>
          <w:szCs w:val="12"/>
        </w:rPr>
        <w:t>Mabalirajan U,  et al. Hypoxia response in asthma: dif-ferential modulation on inflammation and epithelial injury. American Journal of Respiratory Cell and Molecular Biology. 2012;47(1):1–10.</w:t>
      </w:r>
    </w:p>
    <w:p w:rsidR="00514387" w:rsidRDefault="00695BB3">
      <w:pPr>
        <w:numPr>
          <w:ilvl w:val="0"/>
          <w:numId w:val="8"/>
        </w:numPr>
        <w:tabs>
          <w:tab w:val="left" w:pos="332"/>
        </w:tabs>
        <w:spacing w:line="226" w:lineRule="auto"/>
        <w:ind w:left="10" w:firstLine="161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Bel EH. Clinical phenotypes of asthma. Current opinion in pulmon</w:t>
      </w:r>
      <w:r>
        <w:rPr>
          <w:rFonts w:ascii="Arial" w:eastAsia="Arial" w:hAnsi="Arial" w:cs="Arial"/>
          <w:sz w:val="12"/>
          <w:szCs w:val="12"/>
        </w:rPr>
        <w:t>ary medi-cine. 2004;10:44–50.</w:t>
      </w:r>
    </w:p>
    <w:p w:rsidR="00514387" w:rsidRDefault="00695BB3">
      <w:pPr>
        <w:numPr>
          <w:ilvl w:val="0"/>
          <w:numId w:val="8"/>
        </w:numPr>
        <w:tabs>
          <w:tab w:val="left" w:pos="404"/>
        </w:tabs>
        <w:spacing w:line="226" w:lineRule="auto"/>
        <w:ind w:left="10" w:firstLine="161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Boulet LP. Asthma and obesity. Clinical and Experimental Allergy. 2013;43(1):8–21.</w:t>
      </w:r>
    </w:p>
    <w:p w:rsidR="00514387" w:rsidRDefault="00695BB3">
      <w:pPr>
        <w:numPr>
          <w:ilvl w:val="0"/>
          <w:numId w:val="8"/>
        </w:numPr>
        <w:tabs>
          <w:tab w:val="left" w:pos="320"/>
        </w:tabs>
        <w:spacing w:line="226" w:lineRule="auto"/>
        <w:ind w:left="10" w:firstLine="161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Chen W,  Thomas J, Sadatsafavi M, FitzGerald JM. Risk of cardiovascular co-morbidity in patients with chronic obstructive pulmonary disease: a </w:t>
      </w:r>
      <w:r>
        <w:rPr>
          <w:rFonts w:ascii="Arial" w:eastAsia="Arial" w:hAnsi="Arial" w:cs="Arial"/>
          <w:sz w:val="12"/>
          <w:szCs w:val="12"/>
        </w:rPr>
        <w:t>systematic re-view and meta-analysis. The Lancet Respiratory Medicine. 2015;3(8):631–639.</w:t>
      </w:r>
    </w:p>
    <w:p w:rsidR="00514387" w:rsidRDefault="00695BB3">
      <w:pPr>
        <w:numPr>
          <w:ilvl w:val="0"/>
          <w:numId w:val="8"/>
        </w:numPr>
        <w:tabs>
          <w:tab w:val="left" w:pos="310"/>
        </w:tabs>
        <w:spacing w:line="253" w:lineRule="auto"/>
        <w:ind w:left="10" w:firstLine="161"/>
        <w:jc w:val="both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sz w:val="11"/>
          <w:szCs w:val="11"/>
        </w:rPr>
        <w:t>Ehrlich S,  Quesenberry CP, van den Eeden SK, et al. Patients diagnosed with dia-betes are at increased risk for asthma, chronic obstructive pulmonary disease, pulmo-</w:t>
      </w:r>
      <w:r>
        <w:rPr>
          <w:rFonts w:ascii="Arial" w:eastAsia="Arial" w:hAnsi="Arial" w:cs="Arial"/>
          <w:sz w:val="11"/>
          <w:szCs w:val="11"/>
        </w:rPr>
        <w:t>nary fibrosis, and pneumonia but not lung cancer. Diabetes Care. 2010;33(1):55–60.</w:t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ectPr w:rsidR="00514387">
          <w:type w:val="continuous"/>
          <w:pgSz w:w="11900" w:h="16838"/>
          <w:pgMar w:top="491" w:right="966" w:bottom="0" w:left="1300" w:header="0" w:footer="0" w:gutter="0"/>
          <w:cols w:num="2" w:space="720" w:equalWidth="0">
            <w:col w:w="4700" w:space="250"/>
            <w:col w:w="4690"/>
          </w:cols>
        </w:sect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57" w:lineRule="exact"/>
        <w:rPr>
          <w:sz w:val="20"/>
          <w:szCs w:val="20"/>
        </w:rPr>
      </w:pPr>
    </w:p>
    <w:p w:rsidR="00514387" w:rsidRDefault="00695BB3">
      <w:pPr>
        <w:ind w:left="9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АСТМА ТА АЛЕРГІЯ, № 1 </w:t>
      </w:r>
      <w:r>
        <w:rPr>
          <w:rFonts w:ascii="Arial" w:eastAsia="Arial" w:hAnsi="Arial" w:cs="Arial"/>
          <w:sz w:val="16"/>
          <w:szCs w:val="16"/>
        </w:rPr>
        <w:t>•</w:t>
      </w:r>
      <w:r>
        <w:rPr>
          <w:rFonts w:ascii="Arial" w:eastAsia="Arial" w:hAnsi="Arial" w:cs="Arial"/>
          <w:sz w:val="24"/>
          <w:szCs w:val="24"/>
        </w:rPr>
        <w:t xml:space="preserve"> 2018</w:t>
      </w:r>
    </w:p>
    <w:p w:rsidR="00514387" w:rsidRDefault="0051438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7" o:spid="_x0000_s1072" style="position:absolute;z-index:251651584;visibility:visible;mso-wrap-distance-left:0;mso-wrap-distance-right:0" from="263.8pt,-9.1pt" to="482.05pt,-9.1pt" o:allowincell="f" strokeweight=".46981mm"/>
        </w:pict>
      </w:r>
      <w:r>
        <w:rPr>
          <w:sz w:val="20"/>
          <w:szCs w:val="20"/>
        </w:rPr>
        <w:pict>
          <v:line id="Shape 48" o:spid="_x0000_s1073" style="position:absolute;z-index:251652608;visibility:visible;mso-wrap-distance-left:0;mso-wrap-distance-right:0" from="263.8pt,-6.75pt" to="482.05pt,-6.75pt" o:allowincell="f" strokecolor="white" strokeweight="6pt"/>
        </w:pict>
      </w:r>
      <w:r>
        <w:rPr>
          <w:sz w:val="20"/>
          <w:szCs w:val="20"/>
        </w:rPr>
        <w:pict>
          <v:line id="Shape 49" o:spid="_x0000_s1074" style="position:absolute;z-index:251653632;visibility:visible;mso-wrap-distance-left:0;mso-wrap-distance-right:0" from="263.8pt,-6.75pt" to="482.05pt,-6.75pt" o:allowincell="f" strokeweight=".60536mm"/>
        </w:pict>
      </w:r>
      <w:r>
        <w:rPr>
          <w:sz w:val="20"/>
          <w:szCs w:val="20"/>
        </w:rPr>
        <w:pict>
          <v:line id="Shape 50" o:spid="_x0000_s1075" style="position:absolute;z-index:251654656;visibility:visible;mso-wrap-distance-left:0;mso-wrap-distance-right:0" from=".15pt,-9.1pt" to="31.35pt,-9.1pt" o:allowincell="f" strokeweight=".46981mm"/>
        </w:pict>
      </w:r>
      <w:r>
        <w:rPr>
          <w:sz w:val="20"/>
          <w:szCs w:val="20"/>
        </w:rPr>
        <w:pict>
          <v:line id="Shape 51" o:spid="_x0000_s1076" style="position:absolute;z-index:251655680;visibility:visible;mso-wrap-distance-left:0;mso-wrap-distance-right:0" from=".15pt,-6.75pt" to="31.35pt,-6.75pt" o:allowincell="f" strokecolor="white" strokeweight="6pt"/>
        </w:pict>
      </w:r>
      <w:r>
        <w:rPr>
          <w:sz w:val="20"/>
          <w:szCs w:val="20"/>
        </w:rPr>
        <w:pict>
          <v:line id="Shape 52" o:spid="_x0000_s1077" style="position:absolute;z-index:251656704;visibility:visible;mso-wrap-distance-left:0;mso-wrap-distance-right:0" from=".15pt,-6.75pt" to="31.35pt,-6.75pt" o:allowincell="f" strokeweight=".60536mm"/>
        </w:pict>
      </w:r>
      <w:r>
        <w:rPr>
          <w:sz w:val="20"/>
          <w:szCs w:val="20"/>
        </w:rPr>
        <w:pict>
          <v:line id="Shape 53" o:spid="_x0000_s1078" style="position:absolute;z-index:251657728;visibility:visible;mso-wrap-distance-left:0;mso-wrap-distance-right:0" from=".15pt,-4.2pt" to="31.35pt,-4.2pt" o:allowincell="f" strokeweight=".30269mm"/>
        </w:pict>
      </w:r>
      <w:r>
        <w:rPr>
          <w:sz w:val="20"/>
          <w:szCs w:val="20"/>
        </w:rPr>
        <w:pict>
          <v:line id="Shape 54" o:spid="_x0000_s1079" style="position:absolute;z-index:251658752;visibility:visible;mso-wrap-distance-left:0;mso-wrap-distance-right:0" from="263.8pt,-4.2pt" to="482.05pt,-4.2pt" o:allowincell="f" strokeweight=".30269mm"/>
        </w:pict>
      </w:r>
      <w:r>
        <w:rPr>
          <w:sz w:val="20"/>
          <w:szCs w:val="20"/>
        </w:rPr>
        <w:pict>
          <v:rect id="Shape 55" o:spid="_x0000_s1080" style="position:absolute;margin-left:31.4pt;margin-top:-11.7pt;width:232.4pt;height:22.9pt;z-index:-251625984;visibility:visible;mso-wrap-distance-left:0;mso-wrap-distance-right:0" o:allowincell="f" stroked="f"/>
        </w:pict>
      </w:r>
    </w:p>
    <w:p w:rsidR="00514387" w:rsidRDefault="00514387">
      <w:pPr>
        <w:sectPr w:rsidR="00514387">
          <w:type w:val="continuous"/>
          <w:pgSz w:w="11900" w:h="16838"/>
          <w:pgMar w:top="491" w:right="966" w:bottom="0" w:left="1300" w:header="0" w:footer="0" w:gutter="0"/>
          <w:cols w:space="720" w:equalWidth="0">
            <w:col w:w="9640"/>
          </w:cols>
        </w:sectPr>
      </w:pPr>
    </w:p>
    <w:p w:rsidR="00514387" w:rsidRDefault="00514387">
      <w:pPr>
        <w:spacing w:line="54" w:lineRule="exact"/>
        <w:rPr>
          <w:sz w:val="20"/>
          <w:szCs w:val="20"/>
        </w:rPr>
      </w:pPr>
    </w:p>
    <w:p w:rsidR="00514387" w:rsidRDefault="00695BB3">
      <w:pPr>
        <w:ind w:left="92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ISSN 2307-3373</w:t>
      </w:r>
    </w:p>
    <w:p w:rsidR="00514387" w:rsidRDefault="00514387">
      <w:pPr>
        <w:sectPr w:rsidR="00514387">
          <w:type w:val="continuous"/>
          <w:pgSz w:w="11900" w:h="16838"/>
          <w:pgMar w:top="491" w:right="966" w:bottom="0" w:left="1300" w:header="0" w:footer="0" w:gutter="0"/>
          <w:cols w:space="720" w:equalWidth="0">
            <w:col w:w="9640"/>
          </w:cols>
        </w:sectPr>
      </w:pPr>
    </w:p>
    <w:p w:rsidR="00514387" w:rsidRDefault="00514387">
      <w:pPr>
        <w:tabs>
          <w:tab w:val="left" w:pos="733"/>
        </w:tabs>
        <w:ind w:left="160"/>
        <w:rPr>
          <w:sz w:val="20"/>
          <w:szCs w:val="20"/>
        </w:rPr>
      </w:pPr>
      <w:bookmarkStart w:id="5" w:name="page6"/>
      <w:bookmarkEnd w:id="5"/>
      <w:r w:rsidRPr="00514387">
        <w:rPr>
          <w:rFonts w:ascii="Arial" w:eastAsia="Arial" w:hAnsi="Arial" w:cs="Arial"/>
          <w:b/>
          <w:bCs/>
          <w:color w:val="FFFFFF"/>
          <w:sz w:val="48"/>
          <w:szCs w:val="48"/>
          <w:vertAlign w:val="superscript"/>
        </w:rPr>
        <w:lastRenderedPageBreak/>
        <w:pict>
          <v:rect id="Shape 56" o:spid="_x0000_s1081" style="position:absolute;left:0;text-align:left;margin-left:48.2pt;margin-top:17pt;width:28.35pt;height:28.35pt;z-index:-251624960;visibility:visible;mso-wrap-distance-left:0;mso-wrap-distance-right:0;mso-position-horizontal-relative:page;mso-position-vertical-relative:page" o:allowincell="f" fillcolor="#c5c6c6" stroked="f">
            <w10:wrap anchorx="page" anchory="page"/>
          </v:rect>
        </w:pict>
      </w:r>
      <w:r w:rsidR="00695BB3">
        <w:rPr>
          <w:rFonts w:ascii="Arial" w:eastAsia="Arial" w:hAnsi="Arial" w:cs="Arial"/>
          <w:b/>
          <w:bCs/>
          <w:color w:val="FFFFFF"/>
          <w:sz w:val="48"/>
          <w:szCs w:val="48"/>
          <w:vertAlign w:val="superscript"/>
        </w:rPr>
        <w:t>18</w:t>
      </w:r>
      <w:r w:rsidR="00695BB3">
        <w:rPr>
          <w:sz w:val="20"/>
          <w:szCs w:val="20"/>
        </w:rPr>
        <w:tab/>
      </w:r>
      <w:r w:rsidR="00695BB3">
        <w:rPr>
          <w:noProof/>
          <w:sz w:val="1"/>
          <w:szCs w:val="1"/>
        </w:rPr>
        <w:drawing>
          <wp:inline distT="0" distB="0" distL="0" distR="0">
            <wp:extent cx="3147695" cy="7620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5BB3">
        <w:rPr>
          <w:rFonts w:ascii="Arial" w:eastAsia="Arial" w:hAnsi="Arial" w:cs="Arial"/>
          <w:sz w:val="24"/>
          <w:szCs w:val="24"/>
        </w:rPr>
        <w:t xml:space="preserve"> ОРИГІНАЛЬНІ СТАТТІ</w:t>
      </w:r>
    </w:p>
    <w:p w:rsidR="00514387" w:rsidRDefault="0051438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8" o:spid="_x0000_s1083" style="position:absolute;z-index:251659776;visibility:visible;mso-wrap-distance-left:0;mso-wrap-distance-right:0" from="442.35pt,-6pt" to="482.05pt,-6pt" o:allowincell="f" strokeweight=".30269mm"/>
        </w:pict>
      </w:r>
      <w:r>
        <w:rPr>
          <w:sz w:val="20"/>
          <w:szCs w:val="20"/>
        </w:rPr>
        <w:pict>
          <v:line id="Shape 59" o:spid="_x0000_s1084" style="position:absolute;z-index:251660800;visibility:visible;mso-wrap-distance-left:0;mso-wrap-distance-right:0" from="442.35pt,-3.45pt" to="482.05pt,-3.45pt" o:allowincell="f" strokeweight=".60536mm"/>
        </w:pict>
      </w:r>
      <w:r>
        <w:rPr>
          <w:sz w:val="20"/>
          <w:szCs w:val="20"/>
        </w:rPr>
        <w:pict>
          <v:line id="Shape 60" o:spid="_x0000_s1085" style="position:absolute;z-index:251661824;visibility:visible;mso-wrap-distance-left:0;mso-wrap-distance-right:0" from="442.35pt,-.9pt" to="482.05pt,-.9pt" o:allowincell="f" strokeweight=".30269mm"/>
        </w:pict>
      </w:r>
      <w:r>
        <w:rPr>
          <w:sz w:val="20"/>
          <w:szCs w:val="20"/>
        </w:rPr>
        <w:pict>
          <v:rect id="Shape 61" o:spid="_x0000_s1086" style="position:absolute;margin-left:285.5pt;margin-top:-8.55pt;width:156.85pt;height:9.3pt;z-index:-251623936;visibility:visible;mso-wrap-distance-left:0;mso-wrap-distance-right:0" o:allowincell="f" stroked="f"/>
        </w:pict>
      </w:r>
    </w:p>
    <w:p w:rsidR="00514387" w:rsidRDefault="00514387">
      <w:pPr>
        <w:sectPr w:rsidR="00514387">
          <w:pgSz w:w="11900" w:h="16838"/>
          <w:pgMar w:top="219" w:right="1306" w:bottom="0" w:left="960" w:header="0" w:footer="0" w:gutter="0"/>
          <w:cols w:space="720" w:equalWidth="0">
            <w:col w:w="9640"/>
          </w:cols>
        </w:sect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74" w:lineRule="exact"/>
        <w:rPr>
          <w:sz w:val="20"/>
          <w:szCs w:val="20"/>
        </w:rPr>
      </w:pPr>
    </w:p>
    <w:p w:rsidR="00514387" w:rsidRDefault="00695BB3">
      <w:pPr>
        <w:numPr>
          <w:ilvl w:val="0"/>
          <w:numId w:val="9"/>
        </w:numPr>
        <w:tabs>
          <w:tab w:val="left" w:pos="295"/>
        </w:tabs>
        <w:spacing w:line="246" w:lineRule="auto"/>
        <w:ind w:firstLine="174"/>
        <w:jc w:val="both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sz w:val="11"/>
          <w:szCs w:val="11"/>
        </w:rPr>
        <w:t>Gibeon D.,  Batuwita K., Osmond M.  et al. Obesity-associated severe asthma repre-sents a distinct clinical phenotype: analysis of the british thoracic society difficult asthma registry patient cohort according to BMI. Chest. 2013.</w:t>
      </w:r>
      <w:r>
        <w:rPr>
          <w:rFonts w:ascii="Arial" w:eastAsia="Arial" w:hAnsi="Arial" w:cs="Arial"/>
          <w:sz w:val="11"/>
          <w:szCs w:val="11"/>
        </w:rPr>
        <w:t xml:space="preserve"> Vol. 143, No. 2. P. 406–414.</w:t>
      </w:r>
    </w:p>
    <w:p w:rsidR="00514387" w:rsidRDefault="00695BB3">
      <w:pPr>
        <w:numPr>
          <w:ilvl w:val="0"/>
          <w:numId w:val="9"/>
        </w:numPr>
        <w:tabs>
          <w:tab w:val="left" w:pos="410"/>
        </w:tabs>
        <w:spacing w:line="226" w:lineRule="auto"/>
        <w:ind w:firstLine="174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Hashemzadeh M.,  Movahed M. R. The occurrence of asthma in hospital-ized patients with type 2 diabetes mellitus. Internal Medicine Journal. 2009. Vol. 39, No. 10. P. 699–701.</w:t>
      </w:r>
    </w:p>
    <w:p w:rsidR="00514387" w:rsidRDefault="00695BB3">
      <w:pPr>
        <w:numPr>
          <w:ilvl w:val="0"/>
          <w:numId w:val="9"/>
        </w:numPr>
        <w:tabs>
          <w:tab w:val="left" w:pos="368"/>
        </w:tabs>
        <w:spacing w:line="226" w:lineRule="auto"/>
        <w:ind w:firstLine="174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Kankaanranta H.,  Kauppi P., Tuomisto L. E., Ilmari</w:t>
      </w:r>
      <w:r>
        <w:rPr>
          <w:rFonts w:ascii="Arial" w:eastAsia="Arial" w:hAnsi="Arial" w:cs="Arial"/>
          <w:sz w:val="12"/>
          <w:szCs w:val="12"/>
        </w:rPr>
        <w:t>nen P. Emerging comorbidities in adult asthma: risks, clinical associations, and mechanisms. Mediators of Inflammation. 2016. P. 1–23.</w:t>
      </w:r>
    </w:p>
    <w:p w:rsidR="00514387" w:rsidRDefault="00695BB3">
      <w:pPr>
        <w:numPr>
          <w:ilvl w:val="0"/>
          <w:numId w:val="9"/>
        </w:numPr>
        <w:tabs>
          <w:tab w:val="left" w:pos="392"/>
        </w:tabs>
        <w:spacing w:line="226" w:lineRule="auto"/>
        <w:ind w:firstLine="174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Lin P. J.,  Shaya F. T., Scharf S. M. Economic implications of comorbid condi-tions among Medicaid beneficiaries with COP</w:t>
      </w:r>
      <w:r>
        <w:rPr>
          <w:rFonts w:ascii="Arial" w:eastAsia="Arial" w:hAnsi="Arial" w:cs="Arial"/>
          <w:sz w:val="12"/>
          <w:szCs w:val="12"/>
        </w:rPr>
        <w:t>D. Respiratory Medicine. 2010. Vol. 104, No. 5. P. 697–704.</w:t>
      </w:r>
    </w:p>
    <w:p w:rsidR="00514387" w:rsidRDefault="00695BB3">
      <w:pPr>
        <w:numPr>
          <w:ilvl w:val="0"/>
          <w:numId w:val="9"/>
        </w:numPr>
        <w:tabs>
          <w:tab w:val="left" w:pos="382"/>
        </w:tabs>
        <w:spacing w:line="225" w:lineRule="auto"/>
        <w:ind w:firstLine="174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Lindberg A.,  Larsson L.-G., R</w:t>
      </w:r>
      <w:r>
        <w:rPr>
          <w:rFonts w:eastAsia="Times New Roman"/>
          <w:sz w:val="12"/>
          <w:szCs w:val="12"/>
        </w:rPr>
        <w:t>ö</w:t>
      </w:r>
      <w:r>
        <w:rPr>
          <w:rFonts w:ascii="Arial" w:eastAsia="Arial" w:hAnsi="Arial" w:cs="Arial"/>
          <w:sz w:val="12"/>
          <w:szCs w:val="12"/>
        </w:rPr>
        <w:t>nmark E., Lundb</w:t>
      </w:r>
      <w:r>
        <w:rPr>
          <w:rFonts w:eastAsia="Times New Roman"/>
          <w:sz w:val="12"/>
          <w:szCs w:val="12"/>
        </w:rPr>
        <w:t>ä</w:t>
      </w:r>
      <w:r>
        <w:rPr>
          <w:rFonts w:ascii="Arial" w:eastAsia="Arial" w:hAnsi="Arial" w:cs="Arial"/>
          <w:sz w:val="12"/>
          <w:szCs w:val="12"/>
        </w:rPr>
        <w:t xml:space="preserve">ck B. Co-morbidity in mild-to-moderate COPD: comparison to normal and restrictive lung function. COPD: Journal of Chronic Obstructive Pulmonary </w:t>
      </w:r>
      <w:r>
        <w:rPr>
          <w:rFonts w:ascii="Arial" w:eastAsia="Arial" w:hAnsi="Arial" w:cs="Arial"/>
          <w:sz w:val="12"/>
          <w:szCs w:val="12"/>
        </w:rPr>
        <w:t>Disease. 2011. Vol. 8, No. 6. P. 421–428.</w:t>
      </w:r>
    </w:p>
    <w:p w:rsidR="00514387" w:rsidRDefault="00514387">
      <w:pPr>
        <w:spacing w:line="1" w:lineRule="exact"/>
        <w:rPr>
          <w:rFonts w:ascii="Arial" w:eastAsia="Arial" w:hAnsi="Arial" w:cs="Arial"/>
          <w:sz w:val="12"/>
          <w:szCs w:val="12"/>
        </w:rPr>
      </w:pPr>
    </w:p>
    <w:p w:rsidR="00514387" w:rsidRDefault="00695BB3">
      <w:pPr>
        <w:numPr>
          <w:ilvl w:val="0"/>
          <w:numId w:val="9"/>
        </w:numPr>
        <w:tabs>
          <w:tab w:val="left" w:pos="375"/>
        </w:tabs>
        <w:spacing w:line="226" w:lineRule="auto"/>
        <w:ind w:firstLine="174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Mueller N. T.,  Koh W.-P., Odegaard A. O.  et al. Asthma and the risk of type 2 di-abetes in the singapore chinese health study. Diabetes Research and Clinical Practice. 2013. Vol. 99, No. 2. P. 192–199.</w:t>
      </w:r>
    </w:p>
    <w:p w:rsidR="00514387" w:rsidRDefault="00695BB3">
      <w:pPr>
        <w:numPr>
          <w:ilvl w:val="0"/>
          <w:numId w:val="9"/>
        </w:numPr>
        <w:tabs>
          <w:tab w:val="left" w:pos="367"/>
        </w:tabs>
        <w:spacing w:line="226" w:lineRule="auto"/>
        <w:ind w:firstLine="174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Nathan D. M. Prevention of long-term complications of non-insulin-dependent di-abetes mellitus. Clinical and investigative medicine. Medecine clinique et experimentale. 1995. Vol. 18, No. 4. P. 332–9.</w:t>
      </w:r>
    </w:p>
    <w:p w:rsidR="00514387" w:rsidRDefault="00695BB3">
      <w:pPr>
        <w:numPr>
          <w:ilvl w:val="0"/>
          <w:numId w:val="9"/>
        </w:numPr>
        <w:tabs>
          <w:tab w:val="left" w:pos="378"/>
        </w:tabs>
        <w:spacing w:line="226" w:lineRule="auto"/>
        <w:ind w:firstLine="174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O’Byrne P. M.,  Rennard S., Gerstein H.  et al. Risk of</w:t>
      </w:r>
      <w:r>
        <w:rPr>
          <w:rFonts w:ascii="Arial" w:eastAsia="Arial" w:hAnsi="Arial" w:cs="Arial"/>
          <w:sz w:val="12"/>
          <w:szCs w:val="12"/>
        </w:rPr>
        <w:t xml:space="preserve"> new onset diabetes melli-tus in patients with asthma or copd taking inhaled corticosteroids. Respiratory Medicine. 2012. Vol. 106, No. 11. P. 1487–1493.</w:t>
      </w:r>
    </w:p>
    <w:p w:rsidR="00514387" w:rsidRDefault="00695BB3">
      <w:pPr>
        <w:numPr>
          <w:ilvl w:val="0"/>
          <w:numId w:val="9"/>
        </w:numPr>
        <w:tabs>
          <w:tab w:val="left" w:pos="377"/>
        </w:tabs>
        <w:spacing w:line="226" w:lineRule="auto"/>
        <w:ind w:firstLine="174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Rana J. S.,  Mittleman M. A., Sheikh J.  et al. Chronic obstructive pulmonary dis-ease, asthma, and ri</w:t>
      </w:r>
      <w:r>
        <w:rPr>
          <w:rFonts w:ascii="Arial" w:eastAsia="Arial" w:hAnsi="Arial" w:cs="Arial"/>
          <w:sz w:val="12"/>
          <w:szCs w:val="12"/>
        </w:rPr>
        <w:t>sk of type 2 diabetes in women. Diabetes Care. 2004. Vol. 27, No. 10. P. 2478–2484.</w:t>
      </w:r>
    </w:p>
    <w:p w:rsidR="00514387" w:rsidRDefault="00695BB3">
      <w:pPr>
        <w:numPr>
          <w:ilvl w:val="0"/>
          <w:numId w:val="9"/>
        </w:numPr>
        <w:tabs>
          <w:tab w:val="left" w:pos="364"/>
        </w:tabs>
        <w:spacing w:line="226" w:lineRule="auto"/>
        <w:ind w:firstLine="174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Song Y.,  Klevak A., Manson J. E.  et al. Asthma, chronic obstructive pulmonary dis-ease, and type 2 diabetes in the women’s health study. Diabetes Research and Clinical Pr</w:t>
      </w:r>
      <w:r>
        <w:rPr>
          <w:rFonts w:ascii="Arial" w:eastAsia="Arial" w:hAnsi="Arial" w:cs="Arial"/>
          <w:sz w:val="12"/>
          <w:szCs w:val="12"/>
        </w:rPr>
        <w:t>actice. 2010. Vol. 90, No. 3. P. 365–371.</w:t>
      </w:r>
    </w:p>
    <w:p w:rsidR="00514387" w:rsidRDefault="00695BB3">
      <w:pPr>
        <w:numPr>
          <w:ilvl w:val="0"/>
          <w:numId w:val="9"/>
        </w:numPr>
        <w:tabs>
          <w:tab w:val="left" w:pos="368"/>
        </w:tabs>
        <w:spacing w:line="246" w:lineRule="auto"/>
        <w:ind w:firstLine="174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sz w:val="11"/>
          <w:szCs w:val="11"/>
        </w:rPr>
        <w:t>Thomsen S. F.,  Duffy D. L., Kyvik K. O.  et al. Risk of asthma in adult twins with type 2 diabetes and increased body mass index. Allergy. 2011. Vol. 66, No. 4. P. 562–568.</w:t>
      </w:r>
    </w:p>
    <w:p w:rsidR="00514387" w:rsidRDefault="00695BB3">
      <w:pPr>
        <w:numPr>
          <w:ilvl w:val="0"/>
          <w:numId w:val="9"/>
        </w:numPr>
        <w:tabs>
          <w:tab w:val="left" w:pos="377"/>
        </w:tabs>
        <w:spacing w:line="225" w:lineRule="auto"/>
        <w:ind w:firstLine="174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Vestbo J.,  Hurd S. S., Agust</w:t>
      </w:r>
      <w:r>
        <w:rPr>
          <w:rFonts w:eastAsia="Times New Roman"/>
          <w:sz w:val="12"/>
          <w:szCs w:val="12"/>
        </w:rPr>
        <w:t>í</w:t>
      </w:r>
      <w:r>
        <w:rPr>
          <w:rFonts w:ascii="Arial" w:eastAsia="Arial" w:hAnsi="Arial" w:cs="Arial"/>
          <w:sz w:val="12"/>
          <w:szCs w:val="12"/>
        </w:rPr>
        <w:t xml:space="preserve"> A. G.  et</w:t>
      </w:r>
      <w:r>
        <w:rPr>
          <w:rFonts w:ascii="Arial" w:eastAsia="Arial" w:hAnsi="Arial" w:cs="Arial"/>
          <w:sz w:val="12"/>
          <w:szCs w:val="12"/>
        </w:rPr>
        <w:t xml:space="preserve"> al. Global strategy for the diagnosis, man-agement, and prevention of chronic obstructive pulmonary disease GOLD executive summary. American Journal of Respiratory and Critical Care Medicine. 2013. Vol. 187, No. 4. P. 347–65.</w:t>
      </w:r>
    </w:p>
    <w:p w:rsidR="00514387" w:rsidRDefault="00514387">
      <w:pPr>
        <w:spacing w:line="2" w:lineRule="exact"/>
        <w:rPr>
          <w:rFonts w:ascii="Arial" w:eastAsia="Arial" w:hAnsi="Arial" w:cs="Arial"/>
          <w:sz w:val="12"/>
          <w:szCs w:val="12"/>
        </w:rPr>
      </w:pPr>
    </w:p>
    <w:p w:rsidR="00514387" w:rsidRDefault="00695BB3">
      <w:pPr>
        <w:numPr>
          <w:ilvl w:val="0"/>
          <w:numId w:val="9"/>
        </w:numPr>
        <w:tabs>
          <w:tab w:val="left" w:pos="380"/>
        </w:tabs>
        <w:spacing w:line="226" w:lineRule="auto"/>
        <w:ind w:firstLine="174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Walter R. E.,  Beiser A., Gi</w:t>
      </w:r>
      <w:r>
        <w:rPr>
          <w:rFonts w:ascii="Arial" w:eastAsia="Arial" w:hAnsi="Arial" w:cs="Arial"/>
          <w:sz w:val="12"/>
          <w:szCs w:val="12"/>
        </w:rPr>
        <w:t>velber R. J.  et al. Association between glycemic state and lung function. American Journal of Respiratory and Critical Care Medicine. 2003. Vol. 167, No. 6. P. 911–916.</w:t>
      </w:r>
    </w:p>
    <w:p w:rsidR="00514387" w:rsidRDefault="00695BB3">
      <w:pPr>
        <w:numPr>
          <w:ilvl w:val="0"/>
          <w:numId w:val="9"/>
        </w:numPr>
        <w:tabs>
          <w:tab w:val="left" w:pos="380"/>
        </w:tabs>
        <w:spacing w:line="228" w:lineRule="auto"/>
        <w:ind w:firstLine="174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Yun H. D.,  Knoebel E., Fenta Y.  et al. Asthma and proinflammatory conditions: a </w:t>
      </w:r>
      <w:r>
        <w:rPr>
          <w:rFonts w:ascii="Arial" w:eastAsia="Arial" w:hAnsi="Arial" w:cs="Arial"/>
          <w:sz w:val="12"/>
          <w:szCs w:val="12"/>
        </w:rPr>
        <w:t>population-based retrospective matched cohort study. Mayo Clinic Proceedings. 2012. Vol. 87, No. 10. P. 953–960.</w:t>
      </w:r>
    </w:p>
    <w:p w:rsidR="00514387" w:rsidRDefault="0051438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2" o:spid="_x0000_s1087" style="position:absolute;z-index:251662848;visibility:visible;mso-wrap-distance-left:0;mso-wrap-distance-right:0" from=".15pt,62.55pt" to="482.05pt,62.55pt" o:allowincell="f" strokeweight=".1175mm"/>
        </w:pict>
      </w:r>
      <w:r>
        <w:rPr>
          <w:sz w:val="20"/>
          <w:szCs w:val="20"/>
        </w:rPr>
        <w:pict>
          <v:line id="Shape 63" o:spid="_x0000_s1088" style="position:absolute;z-index:251663872;visibility:visible;mso-wrap-distance-left:0;mso-wrap-distance-right:0" from=".15pt,63.25pt" to="482.05pt,63.25pt" o:allowincell="f" strokeweight=".1175mm"/>
        </w:pict>
      </w:r>
    </w:p>
    <w:p w:rsidR="00514387" w:rsidRDefault="00695BB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54" w:lineRule="exact"/>
        <w:rPr>
          <w:sz w:val="20"/>
          <w:szCs w:val="20"/>
        </w:rPr>
      </w:pPr>
    </w:p>
    <w:p w:rsidR="00514387" w:rsidRDefault="00695BB3">
      <w:pPr>
        <w:numPr>
          <w:ilvl w:val="0"/>
          <w:numId w:val="10"/>
        </w:numPr>
        <w:tabs>
          <w:tab w:val="left" w:pos="155"/>
        </w:tabs>
        <w:spacing w:line="226" w:lineRule="auto"/>
        <w:ind w:left="-160" w:firstLine="160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Gibeon D,  Batuwita K, Osmond M,  et al. Obesity-associated severe asthma represents a distinct clinical phenotype: analysis of the brit</w:t>
      </w:r>
      <w:r>
        <w:rPr>
          <w:rFonts w:ascii="Arial" w:eastAsia="Arial" w:hAnsi="Arial" w:cs="Arial"/>
          <w:sz w:val="12"/>
          <w:szCs w:val="12"/>
        </w:rPr>
        <w:t>ish thoracic society diffi-cult asthma registry patient cohort according to BMI. Chest. 2013;143(2):406–414.</w:t>
      </w:r>
    </w:p>
    <w:p w:rsidR="00514387" w:rsidRDefault="00695BB3">
      <w:pPr>
        <w:numPr>
          <w:ilvl w:val="0"/>
          <w:numId w:val="10"/>
        </w:numPr>
        <w:tabs>
          <w:tab w:val="left" w:pos="214"/>
        </w:tabs>
        <w:spacing w:line="226" w:lineRule="auto"/>
        <w:ind w:left="-160" w:firstLine="160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Hashemzadeh M,  Movahed MR. The occurrence of asthma in hospitalized pa-tients with type 2 diabetes mellitus. Internal Medicine Journal. 2009;39(10</w:t>
      </w:r>
      <w:r>
        <w:rPr>
          <w:rFonts w:ascii="Arial" w:eastAsia="Arial" w:hAnsi="Arial" w:cs="Arial"/>
          <w:sz w:val="12"/>
          <w:szCs w:val="12"/>
        </w:rPr>
        <w:t>):699–701.</w:t>
      </w:r>
    </w:p>
    <w:p w:rsidR="00514387" w:rsidRDefault="00695BB3">
      <w:pPr>
        <w:numPr>
          <w:ilvl w:val="0"/>
          <w:numId w:val="10"/>
        </w:numPr>
        <w:tabs>
          <w:tab w:val="left" w:pos="245"/>
        </w:tabs>
        <w:spacing w:line="226" w:lineRule="auto"/>
        <w:ind w:left="-160" w:firstLine="160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Kankaanranta H,  Kauppi P, Tuomisto LE, Ilmarinen P. Emerging comor-bidities in adult asthma: risks, clinical associations, and mechanisms. Mediators of Inflammation. 2016;1–23.</w:t>
      </w:r>
    </w:p>
    <w:p w:rsidR="00514387" w:rsidRDefault="00695BB3">
      <w:pPr>
        <w:numPr>
          <w:ilvl w:val="0"/>
          <w:numId w:val="10"/>
        </w:numPr>
        <w:tabs>
          <w:tab w:val="left" w:pos="221"/>
        </w:tabs>
        <w:spacing w:line="226" w:lineRule="auto"/>
        <w:ind w:left="-160" w:firstLine="160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Lin PJ,  Shaya FT, Scharf SM. Economic implications of comorbid con</w:t>
      </w:r>
      <w:r>
        <w:rPr>
          <w:rFonts w:ascii="Arial" w:eastAsia="Arial" w:hAnsi="Arial" w:cs="Arial"/>
          <w:sz w:val="12"/>
          <w:szCs w:val="12"/>
        </w:rPr>
        <w:t>ditions among Medicaid beneficiaries with COPD. Respiratory Medicine. 2010;104(5):697– 704.</w:t>
      </w:r>
    </w:p>
    <w:p w:rsidR="00514387" w:rsidRDefault="00695BB3">
      <w:pPr>
        <w:numPr>
          <w:ilvl w:val="0"/>
          <w:numId w:val="10"/>
        </w:numPr>
        <w:tabs>
          <w:tab w:val="left" w:pos="226"/>
        </w:tabs>
        <w:spacing w:line="225" w:lineRule="auto"/>
        <w:ind w:left="-160" w:firstLine="160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Lindberg A,  Larsson L-G, R</w:t>
      </w:r>
      <w:r>
        <w:rPr>
          <w:rFonts w:eastAsia="Times New Roman"/>
          <w:sz w:val="12"/>
          <w:szCs w:val="12"/>
        </w:rPr>
        <w:t>ö</w:t>
      </w:r>
      <w:r>
        <w:rPr>
          <w:rFonts w:ascii="Arial" w:eastAsia="Arial" w:hAnsi="Arial" w:cs="Arial"/>
          <w:sz w:val="12"/>
          <w:szCs w:val="12"/>
        </w:rPr>
        <w:t>nmark E, Lundb</w:t>
      </w:r>
      <w:r>
        <w:rPr>
          <w:rFonts w:eastAsia="Times New Roman"/>
          <w:sz w:val="12"/>
          <w:szCs w:val="12"/>
        </w:rPr>
        <w:t>ä</w:t>
      </w:r>
      <w:r>
        <w:rPr>
          <w:rFonts w:ascii="Arial" w:eastAsia="Arial" w:hAnsi="Arial" w:cs="Arial"/>
          <w:sz w:val="12"/>
          <w:szCs w:val="12"/>
        </w:rPr>
        <w:t>ck B. Co-morbidity in mild-to-moderate COPD: comparison to normal and restrictive lung function. COPD: Journal of Chronic</w:t>
      </w:r>
      <w:r>
        <w:rPr>
          <w:rFonts w:ascii="Arial" w:eastAsia="Arial" w:hAnsi="Arial" w:cs="Arial"/>
          <w:sz w:val="12"/>
          <w:szCs w:val="12"/>
        </w:rPr>
        <w:t xml:space="preserve"> Obstructive Pulmonary Disease. 2011;8(6):421–428.</w:t>
      </w:r>
    </w:p>
    <w:p w:rsidR="00514387" w:rsidRDefault="00514387">
      <w:pPr>
        <w:spacing w:line="1" w:lineRule="exact"/>
        <w:rPr>
          <w:rFonts w:ascii="Arial" w:eastAsia="Arial" w:hAnsi="Arial" w:cs="Arial"/>
          <w:sz w:val="12"/>
          <w:szCs w:val="12"/>
        </w:rPr>
      </w:pPr>
    </w:p>
    <w:p w:rsidR="00514387" w:rsidRDefault="00695BB3">
      <w:pPr>
        <w:numPr>
          <w:ilvl w:val="0"/>
          <w:numId w:val="10"/>
        </w:numPr>
        <w:tabs>
          <w:tab w:val="left" w:pos="244"/>
        </w:tabs>
        <w:spacing w:line="226" w:lineRule="auto"/>
        <w:ind w:left="-160" w:firstLine="160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Mueller NT,  Koh W-P, Odegaard AO,  et al. Asthma and the risk of type 2 diabetes in the singapore chinese health study. Diabetes Research and Clinical Practice. 2013;99(2):192–199.</w:t>
      </w:r>
    </w:p>
    <w:p w:rsidR="00514387" w:rsidRDefault="00695BB3">
      <w:pPr>
        <w:numPr>
          <w:ilvl w:val="0"/>
          <w:numId w:val="10"/>
        </w:numPr>
        <w:tabs>
          <w:tab w:val="left" w:pos="218"/>
        </w:tabs>
        <w:spacing w:line="226" w:lineRule="auto"/>
        <w:ind w:left="-160" w:firstLine="160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Nathan DM. Prevention </w:t>
      </w:r>
      <w:r>
        <w:rPr>
          <w:rFonts w:ascii="Arial" w:eastAsia="Arial" w:hAnsi="Arial" w:cs="Arial"/>
          <w:sz w:val="12"/>
          <w:szCs w:val="12"/>
        </w:rPr>
        <w:t>of long-term complications of non-insulin-dependent diabetes mellitus. Clinical and investigative medicine. Medecine clinique et exper-imentale. 1995;18(4):332–9.</w:t>
      </w:r>
    </w:p>
    <w:p w:rsidR="00514387" w:rsidRDefault="00695BB3">
      <w:pPr>
        <w:numPr>
          <w:ilvl w:val="0"/>
          <w:numId w:val="10"/>
        </w:numPr>
        <w:tabs>
          <w:tab w:val="left" w:pos="225"/>
        </w:tabs>
        <w:spacing w:line="226" w:lineRule="auto"/>
        <w:ind w:left="-160" w:firstLine="160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O’Byrne PM,  Rennard S, Gerstein H,  et al. Risk of new onset diabetes mel-litus in patients </w:t>
      </w:r>
      <w:r>
        <w:rPr>
          <w:rFonts w:ascii="Arial" w:eastAsia="Arial" w:hAnsi="Arial" w:cs="Arial"/>
          <w:sz w:val="12"/>
          <w:szCs w:val="12"/>
        </w:rPr>
        <w:t>with asthma or copd taking inhaled corticosteroids. Respiratory Medicine. 2012;106(11):1487–1493.</w:t>
      </w:r>
    </w:p>
    <w:p w:rsidR="00514387" w:rsidRDefault="00695BB3">
      <w:pPr>
        <w:numPr>
          <w:ilvl w:val="0"/>
          <w:numId w:val="10"/>
        </w:numPr>
        <w:tabs>
          <w:tab w:val="left" w:pos="262"/>
        </w:tabs>
        <w:spacing w:line="226" w:lineRule="auto"/>
        <w:ind w:left="-160" w:firstLine="160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Rana JS,  Mittleman MA, Sheikh J,  et al. Chronic obstructive pulmo-nary disease, asthma, and risk of type 2 diabetes in women. Diabetes Care. 2004;27(10):247</w:t>
      </w:r>
      <w:r>
        <w:rPr>
          <w:rFonts w:ascii="Arial" w:eastAsia="Arial" w:hAnsi="Arial" w:cs="Arial"/>
          <w:sz w:val="12"/>
          <w:szCs w:val="12"/>
        </w:rPr>
        <w:t>8–2484.</w:t>
      </w:r>
    </w:p>
    <w:p w:rsidR="00514387" w:rsidRDefault="00695BB3">
      <w:pPr>
        <w:numPr>
          <w:ilvl w:val="0"/>
          <w:numId w:val="10"/>
        </w:numPr>
        <w:tabs>
          <w:tab w:val="left" w:pos="221"/>
        </w:tabs>
        <w:spacing w:line="226" w:lineRule="auto"/>
        <w:ind w:left="-160" w:firstLine="160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Song Y,  Klevak A, Manson JE,  et al. Asthma, chronic obstructive pulmonary disease, and type 2 diabetes in the women’s health study. Diabetes Research and Clinical Practice. 2010;90(3):365–371.</w:t>
      </w:r>
    </w:p>
    <w:p w:rsidR="00514387" w:rsidRDefault="00695BB3">
      <w:pPr>
        <w:numPr>
          <w:ilvl w:val="0"/>
          <w:numId w:val="10"/>
        </w:numPr>
        <w:tabs>
          <w:tab w:val="left" w:pos="217"/>
        </w:tabs>
        <w:spacing w:line="226" w:lineRule="auto"/>
        <w:ind w:left="-160" w:firstLine="16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Thomsen SF,  Duffy DL, Kyvik KO,  et al. Risk of asth</w:t>
      </w:r>
      <w:r>
        <w:rPr>
          <w:rFonts w:ascii="Arial" w:eastAsia="Arial" w:hAnsi="Arial" w:cs="Arial"/>
          <w:sz w:val="12"/>
          <w:szCs w:val="12"/>
        </w:rPr>
        <w:t>ma in adult twins with type 2 diabetes and increased body mass index. Allergy. 2011;66(4):562–568.</w:t>
      </w:r>
    </w:p>
    <w:p w:rsidR="00514387" w:rsidRDefault="00695BB3">
      <w:pPr>
        <w:numPr>
          <w:ilvl w:val="0"/>
          <w:numId w:val="10"/>
        </w:numPr>
        <w:tabs>
          <w:tab w:val="left" w:pos="222"/>
        </w:tabs>
        <w:spacing w:line="225" w:lineRule="auto"/>
        <w:ind w:left="-160" w:firstLine="160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Vestbo J,  Hurd SS, Agust</w:t>
      </w:r>
      <w:r>
        <w:rPr>
          <w:rFonts w:eastAsia="Times New Roman"/>
          <w:sz w:val="12"/>
          <w:szCs w:val="12"/>
        </w:rPr>
        <w:t>í</w:t>
      </w:r>
      <w:r>
        <w:rPr>
          <w:rFonts w:ascii="Arial" w:eastAsia="Arial" w:hAnsi="Arial" w:cs="Arial"/>
          <w:sz w:val="12"/>
          <w:szCs w:val="12"/>
        </w:rPr>
        <w:t xml:space="preserve"> AG,  et al. Global strategy for the diagnosis, man-agement, and prevention of chronic obstructive pulmonary disease GOLD ex-ecutive summary. American Journal of Respiratory and Critical Care Medicine. 2013;187(4):347–65.</w:t>
      </w:r>
    </w:p>
    <w:p w:rsidR="00514387" w:rsidRDefault="00514387">
      <w:pPr>
        <w:spacing w:line="2" w:lineRule="exact"/>
        <w:rPr>
          <w:rFonts w:ascii="Arial" w:eastAsia="Arial" w:hAnsi="Arial" w:cs="Arial"/>
          <w:sz w:val="12"/>
          <w:szCs w:val="12"/>
        </w:rPr>
      </w:pPr>
    </w:p>
    <w:p w:rsidR="00514387" w:rsidRDefault="00695BB3">
      <w:pPr>
        <w:numPr>
          <w:ilvl w:val="0"/>
          <w:numId w:val="10"/>
        </w:numPr>
        <w:tabs>
          <w:tab w:val="left" w:pos="224"/>
        </w:tabs>
        <w:spacing w:line="226" w:lineRule="auto"/>
        <w:ind w:left="-160" w:firstLine="160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Walter RE,  Beiser A, Givelber </w:t>
      </w:r>
      <w:r>
        <w:rPr>
          <w:rFonts w:ascii="Arial" w:eastAsia="Arial" w:hAnsi="Arial" w:cs="Arial"/>
          <w:sz w:val="12"/>
          <w:szCs w:val="12"/>
        </w:rPr>
        <w:t>RJ,  et al. Association between glycemic state and lung function. American Journal of Respiratory and Critical Care Medicine. 2003;167(6):911–916.</w:t>
      </w:r>
    </w:p>
    <w:p w:rsidR="00514387" w:rsidRDefault="00695BB3">
      <w:pPr>
        <w:numPr>
          <w:ilvl w:val="0"/>
          <w:numId w:val="10"/>
        </w:numPr>
        <w:tabs>
          <w:tab w:val="left" w:pos="222"/>
        </w:tabs>
        <w:spacing w:line="228" w:lineRule="auto"/>
        <w:ind w:left="-160" w:firstLine="160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Yun HD,  Knoebel E, Fenta Y,  et al. Asthma and proinflammatory conditions: a population-based retrospective </w:t>
      </w:r>
      <w:r>
        <w:rPr>
          <w:rFonts w:ascii="Arial" w:eastAsia="Arial" w:hAnsi="Arial" w:cs="Arial"/>
          <w:sz w:val="12"/>
          <w:szCs w:val="12"/>
        </w:rPr>
        <w:t>matched cohort study. Mayo Clinic Proceedings. 2012;87(10):953–960.</w:t>
      </w:r>
    </w:p>
    <w:p w:rsidR="00514387" w:rsidRDefault="00514387">
      <w:pPr>
        <w:spacing w:line="329" w:lineRule="exact"/>
        <w:rPr>
          <w:sz w:val="20"/>
          <w:szCs w:val="20"/>
        </w:rPr>
      </w:pPr>
    </w:p>
    <w:p w:rsidR="00514387" w:rsidRDefault="00514387">
      <w:pPr>
        <w:sectPr w:rsidR="00514387">
          <w:type w:val="continuous"/>
          <w:pgSz w:w="11900" w:h="16838"/>
          <w:pgMar w:top="219" w:right="1306" w:bottom="0" w:left="960" w:header="0" w:footer="0" w:gutter="0"/>
          <w:cols w:num="2" w:space="720" w:equalWidth="0">
            <w:col w:w="4700" w:space="420"/>
            <w:col w:w="4520"/>
          </w:cols>
        </w:sect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72" w:lineRule="exact"/>
        <w:rPr>
          <w:sz w:val="20"/>
          <w:szCs w:val="20"/>
        </w:rPr>
      </w:pPr>
    </w:p>
    <w:p w:rsidR="00514387" w:rsidRDefault="00695BB3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КЛИНИКО-ПАТОГЕНЕТИЧЕСКИЕ ОСОБЕННОСТИ САХАРНОГО ДИАБЕТА 2-го ТИПА</w:t>
      </w:r>
    </w:p>
    <w:p w:rsidR="00514387" w:rsidRDefault="00514387">
      <w:pPr>
        <w:spacing w:line="56" w:lineRule="exact"/>
        <w:rPr>
          <w:sz w:val="20"/>
          <w:szCs w:val="20"/>
        </w:rPr>
      </w:pPr>
    </w:p>
    <w:p w:rsidR="00514387" w:rsidRDefault="00695BB3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У БОЛЬНЫХ БРОНХИАЛЬНОЙ АСТМОЙ</w:t>
      </w:r>
    </w:p>
    <w:p w:rsidR="00514387" w:rsidRDefault="00514387">
      <w:pPr>
        <w:spacing w:line="92" w:lineRule="exact"/>
        <w:rPr>
          <w:sz w:val="20"/>
          <w:szCs w:val="20"/>
        </w:rPr>
      </w:pPr>
    </w:p>
    <w:p w:rsidR="00514387" w:rsidRDefault="00695BB3">
      <w:pPr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Г. В. Еременко</w:t>
      </w:r>
    </w:p>
    <w:p w:rsidR="00514387" w:rsidRDefault="00514387">
      <w:pPr>
        <w:spacing w:line="33" w:lineRule="exact"/>
        <w:rPr>
          <w:sz w:val="20"/>
          <w:szCs w:val="20"/>
        </w:rPr>
      </w:pPr>
    </w:p>
    <w:p w:rsidR="00514387" w:rsidRDefault="00695BB3">
      <w:pPr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Харьковский национальный медицинский </w:t>
      </w:r>
      <w:r>
        <w:rPr>
          <w:rFonts w:eastAsia="Times New Roman"/>
          <w:sz w:val="18"/>
          <w:szCs w:val="18"/>
        </w:rPr>
        <w:t>университет</w:t>
      </w:r>
    </w:p>
    <w:p w:rsidR="00514387" w:rsidRDefault="00514387">
      <w:pPr>
        <w:spacing w:line="89" w:lineRule="exact"/>
        <w:rPr>
          <w:sz w:val="20"/>
          <w:szCs w:val="20"/>
        </w:rPr>
      </w:pPr>
    </w:p>
    <w:p w:rsidR="00514387" w:rsidRDefault="00695BB3">
      <w:pPr>
        <w:ind w:left="180"/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>Резюме</w:t>
      </w:r>
    </w:p>
    <w:p w:rsidR="00514387" w:rsidRDefault="00514387">
      <w:pPr>
        <w:spacing w:line="46" w:lineRule="exact"/>
        <w:rPr>
          <w:sz w:val="20"/>
          <w:szCs w:val="20"/>
        </w:rPr>
      </w:pPr>
    </w:p>
    <w:p w:rsidR="00514387" w:rsidRDefault="00695BB3">
      <w:pPr>
        <w:spacing w:line="274" w:lineRule="auto"/>
        <w:ind w:firstLine="1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Численность больных бронхиальной астмой (БА) постоянно растет, увеличивается и количество пациентов, которые имеют со-четание БА с сахарным диабетом 2-го типа (СД2Т).</w:t>
      </w:r>
    </w:p>
    <w:p w:rsidR="00514387" w:rsidRDefault="00514387">
      <w:pPr>
        <w:spacing w:line="18" w:lineRule="exact"/>
        <w:rPr>
          <w:sz w:val="20"/>
          <w:szCs w:val="20"/>
        </w:rPr>
      </w:pPr>
    </w:p>
    <w:p w:rsidR="00514387" w:rsidRDefault="00695BB3">
      <w:pPr>
        <w:spacing w:line="277" w:lineRule="auto"/>
        <w:ind w:firstLine="17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Цель исследования: </w:t>
      </w:r>
      <w:r>
        <w:rPr>
          <w:rFonts w:eastAsia="Times New Roman"/>
          <w:sz w:val="16"/>
          <w:szCs w:val="16"/>
        </w:rPr>
        <w:t xml:space="preserve">выявить особенности клинико-патогенетических </w:t>
      </w:r>
      <w:r>
        <w:rPr>
          <w:rFonts w:eastAsia="Times New Roman"/>
          <w:sz w:val="16"/>
          <w:szCs w:val="16"/>
        </w:rPr>
        <w:t>проявлений БА с неконтролируемым течением заболева-ния в сочетании с СД2Т.</w:t>
      </w:r>
    </w:p>
    <w:p w:rsidR="00514387" w:rsidRDefault="00514387">
      <w:pPr>
        <w:spacing w:line="15" w:lineRule="exact"/>
        <w:rPr>
          <w:sz w:val="20"/>
          <w:szCs w:val="20"/>
        </w:rPr>
      </w:pPr>
    </w:p>
    <w:p w:rsidR="00514387" w:rsidRDefault="00695BB3">
      <w:pPr>
        <w:spacing w:line="209" w:lineRule="exact"/>
        <w:ind w:firstLine="17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>Материалы и методы</w:t>
      </w:r>
      <w:r>
        <w:rPr>
          <w:rFonts w:eastAsia="Times New Roman"/>
          <w:sz w:val="16"/>
          <w:szCs w:val="16"/>
        </w:rPr>
        <w:t>. Обследовано 55 больных, которые были разделены на 2 группы. В I группу вошли больные изолированной</w:t>
      </w:r>
      <w:r>
        <w:rPr>
          <w:rFonts w:eastAsia="Times New Roman"/>
          <w:b/>
          <w:bCs/>
          <w:sz w:val="16"/>
          <w:szCs w:val="16"/>
        </w:rPr>
        <w:t xml:space="preserve"> </w:t>
      </w:r>
      <w:r>
        <w:rPr>
          <w:rFonts w:eastAsia="Times New Roman"/>
          <w:sz w:val="16"/>
          <w:szCs w:val="16"/>
        </w:rPr>
        <w:t>БА (n = 20), во II группу – БА​ с СД2Т (n = 35). Проведены об</w:t>
      </w:r>
      <w:r>
        <w:rPr>
          <w:rFonts w:eastAsia="Times New Roman"/>
          <w:sz w:val="16"/>
          <w:szCs w:val="16"/>
        </w:rPr>
        <w:t>щеклинические исследования, определение антропометрических дан-ных, оценка функции внешнего дыхания (ФВД), определение уровня глюкозы в крови, инсулина и индекса НОМА-IR. Методом иммуноферментного анализа (ИФА) определены ММР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9, МСР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1, IL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8 и IL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12.</w:t>
      </w:r>
    </w:p>
    <w:p w:rsidR="00514387" w:rsidRDefault="00514387">
      <w:pPr>
        <w:spacing w:line="39" w:lineRule="exact"/>
        <w:rPr>
          <w:sz w:val="20"/>
          <w:szCs w:val="20"/>
        </w:rPr>
      </w:pPr>
    </w:p>
    <w:p w:rsidR="00514387" w:rsidRDefault="00695BB3">
      <w:pPr>
        <w:ind w:left="180"/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>Резул</w:t>
      </w:r>
      <w:r>
        <w:rPr>
          <w:rFonts w:eastAsia="Times New Roman"/>
          <w:b/>
          <w:bCs/>
          <w:sz w:val="16"/>
          <w:szCs w:val="16"/>
        </w:rPr>
        <w:t>ьтаты</w:t>
      </w:r>
      <w:r>
        <w:rPr>
          <w:rFonts w:eastAsia="Times New Roman"/>
          <w:sz w:val="16"/>
          <w:szCs w:val="16"/>
        </w:rPr>
        <w:t>. Установлено, что в I группе у 20 (100%) больных диагностирован обструктивный тип нарушения, во II группе</w:t>
      </w:r>
    </w:p>
    <w:p w:rsidR="00514387" w:rsidRDefault="00514387">
      <w:pPr>
        <w:spacing w:line="36" w:lineRule="exact"/>
        <w:rPr>
          <w:sz w:val="20"/>
          <w:szCs w:val="20"/>
        </w:rPr>
      </w:pPr>
    </w:p>
    <w:p w:rsidR="00514387" w:rsidRDefault="00695BB3">
      <w:pPr>
        <w:numPr>
          <w:ilvl w:val="0"/>
          <w:numId w:val="11"/>
        </w:numPr>
        <w:tabs>
          <w:tab w:val="left" w:pos="120"/>
        </w:tabs>
        <w:ind w:left="120" w:hanging="117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6 (19,3%) больных – рестриктивный тип, у 13 (41,9%) – обструктивный,​ у 12 (38,8%) – смешанный​ тип нарушения ФВД. Выявлена</w:t>
      </w:r>
    </w:p>
    <w:p w:rsidR="00514387" w:rsidRDefault="00514387">
      <w:pPr>
        <w:spacing w:line="34" w:lineRule="exact"/>
        <w:rPr>
          <w:rFonts w:eastAsia="Times New Roman"/>
          <w:sz w:val="16"/>
          <w:szCs w:val="16"/>
        </w:rPr>
      </w:pPr>
    </w:p>
    <w:p w:rsidR="00514387" w:rsidRDefault="00695BB3">
      <w:pPr>
        <w:spacing w:line="209" w:lineRule="exact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статистически </w:t>
      </w:r>
      <w:r>
        <w:rPr>
          <w:rFonts w:eastAsia="Times New Roman"/>
          <w:sz w:val="16"/>
          <w:szCs w:val="16"/>
        </w:rPr>
        <w:t>значимая корреляционная взаимосвязь между показателем форсированного выдоха за 1-ю секунду (FEV</w:t>
      </w:r>
      <w:r>
        <w:rPr>
          <w:rFonts w:eastAsia="Times New Roman"/>
          <w:sz w:val="18"/>
          <w:szCs w:val="18"/>
          <w:vertAlign w:val="subscript"/>
        </w:rPr>
        <w:t>1</w:t>
      </w:r>
      <w:r>
        <w:rPr>
          <w:rFonts w:eastAsia="Times New Roman"/>
          <w:sz w:val="16"/>
          <w:szCs w:val="16"/>
        </w:rPr>
        <w:t>) и уровнем НbА1с. Содержание IL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8 и IL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12 было повышено у больных II группы в 30,6 и 33,2 раза соответственно по сравнению с I груп-пой. Найдена связь между МС</w:t>
      </w:r>
      <w:r>
        <w:rPr>
          <w:rFonts w:eastAsia="Times New Roman"/>
          <w:sz w:val="16"/>
          <w:szCs w:val="16"/>
        </w:rPr>
        <w:t>Р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1 и ММР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9 (r = 0,73, р &lt; 0,05), у больных II группы раскрыта прямая связь между МСР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1 и сум-</w:t>
      </w:r>
    </w:p>
    <w:p w:rsidR="00514387" w:rsidRDefault="00514387">
      <w:pPr>
        <w:spacing w:line="34" w:lineRule="exact"/>
        <w:rPr>
          <w:rFonts w:eastAsia="Times New Roman"/>
          <w:sz w:val="16"/>
          <w:szCs w:val="16"/>
        </w:rPr>
      </w:pPr>
    </w:p>
    <w:p w:rsidR="00514387" w:rsidRDefault="00695BB3">
      <w:pPr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марным FEV</w:t>
      </w:r>
      <w:r>
        <w:rPr>
          <w:rFonts w:eastAsia="Times New Roman"/>
          <w:sz w:val="18"/>
          <w:szCs w:val="18"/>
          <w:vertAlign w:val="subscript"/>
        </w:rPr>
        <w:t>1</w:t>
      </w:r>
      <w:r>
        <w:rPr>
          <w:rFonts w:eastAsia="Times New Roman"/>
          <w:sz w:val="16"/>
          <w:szCs w:val="16"/>
        </w:rPr>
        <w:t xml:space="preserve"> (r = 0,51, р &lt; 0,05).</w:t>
      </w:r>
    </w:p>
    <w:p w:rsidR="00514387" w:rsidRDefault="00514387">
      <w:pPr>
        <w:spacing w:line="17" w:lineRule="exact"/>
        <w:rPr>
          <w:rFonts w:eastAsia="Times New Roman"/>
          <w:sz w:val="16"/>
          <w:szCs w:val="16"/>
        </w:rPr>
      </w:pPr>
    </w:p>
    <w:p w:rsidR="00514387" w:rsidRDefault="00695BB3">
      <w:pPr>
        <w:spacing w:line="236" w:lineRule="auto"/>
        <w:ind w:left="180"/>
        <w:rPr>
          <w:rFonts w:eastAsia="Times New Roman"/>
          <w:sz w:val="16"/>
          <w:szCs w:val="16"/>
        </w:rPr>
      </w:pPr>
      <w:r>
        <w:rPr>
          <w:rFonts w:eastAsia="Times New Roman"/>
          <w:b/>
          <w:bCs/>
          <w:sz w:val="16"/>
          <w:szCs w:val="16"/>
        </w:rPr>
        <w:t>Выводы</w:t>
      </w:r>
      <w:r>
        <w:rPr>
          <w:rFonts w:eastAsia="Times New Roman"/>
          <w:sz w:val="16"/>
          <w:szCs w:val="16"/>
        </w:rPr>
        <w:t>. Установлено, что наличие признаков избыточной массы тела и ожирения у больных БА и СД2Т приводит к ухудшению</w:t>
      </w:r>
    </w:p>
    <w:p w:rsidR="00514387" w:rsidRDefault="00514387">
      <w:pPr>
        <w:spacing w:line="35" w:lineRule="exact"/>
        <w:rPr>
          <w:rFonts w:eastAsia="Times New Roman"/>
          <w:sz w:val="16"/>
          <w:szCs w:val="16"/>
        </w:rPr>
      </w:pPr>
    </w:p>
    <w:p w:rsidR="00514387" w:rsidRDefault="00695BB3">
      <w:pPr>
        <w:spacing w:line="208" w:lineRule="exact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состояния респираторной функции легких, отмечаются нарушения ФВД в виде снижения показателей – FEV​</w:t>
      </w:r>
      <w:r>
        <w:rPr>
          <w:rFonts w:eastAsia="Times New Roman"/>
          <w:sz w:val="18"/>
          <w:szCs w:val="18"/>
          <w:vertAlign w:val="subscript"/>
        </w:rPr>
        <w:t>1</w:t>
      </w:r>
      <w:r>
        <w:rPr>
          <w:rFonts w:eastAsia="Times New Roman"/>
          <w:sz w:val="16"/>
          <w:szCs w:val="16"/>
        </w:rPr>
        <w:t>/FVC, FEV</w:t>
      </w:r>
      <w:r>
        <w:rPr>
          <w:rFonts w:eastAsia="Times New Roman"/>
          <w:sz w:val="18"/>
          <w:szCs w:val="18"/>
          <w:vertAlign w:val="subscript"/>
        </w:rPr>
        <w:t>1</w:t>
      </w:r>
      <w:r>
        <w:rPr>
          <w:rFonts w:eastAsia="Times New Roman"/>
          <w:sz w:val="16"/>
          <w:szCs w:val="16"/>
        </w:rPr>
        <w:t>. Выявлены взаимосвязи между уровнем провоспалительных цитокинов (IL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8, IL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12) и уровнем ММР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9 и МСР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1. Рассмотрение БА и СД2Т как хронического ау</w:t>
      </w:r>
      <w:r>
        <w:rPr>
          <w:rFonts w:eastAsia="Times New Roman"/>
          <w:sz w:val="16"/>
          <w:szCs w:val="16"/>
        </w:rPr>
        <w:t>тоиммунного воспаления создает основания для более тщательного изучения общих звеньев патогенеза БА и СД2Т.</w:t>
      </w:r>
    </w:p>
    <w:p w:rsidR="00514387" w:rsidRDefault="00514387">
      <w:pPr>
        <w:spacing w:line="45" w:lineRule="exact"/>
        <w:rPr>
          <w:rFonts w:eastAsia="Times New Roman"/>
          <w:sz w:val="16"/>
          <w:szCs w:val="16"/>
        </w:rPr>
      </w:pPr>
    </w:p>
    <w:p w:rsidR="00514387" w:rsidRDefault="00695BB3">
      <w:pPr>
        <w:spacing w:line="198" w:lineRule="exact"/>
        <w:ind w:firstLine="170"/>
        <w:rPr>
          <w:rFonts w:eastAsia="Times New Roman"/>
          <w:sz w:val="16"/>
          <w:szCs w:val="16"/>
        </w:rPr>
      </w:pPr>
      <w:r>
        <w:rPr>
          <w:rFonts w:eastAsia="Times New Roman"/>
          <w:b/>
          <w:bCs/>
          <w:sz w:val="16"/>
          <w:szCs w:val="16"/>
        </w:rPr>
        <w:t xml:space="preserve">Ключевые слова: </w:t>
      </w:r>
      <w:r>
        <w:rPr>
          <w:rFonts w:eastAsia="Times New Roman"/>
          <w:sz w:val="16"/>
          <w:szCs w:val="16"/>
        </w:rPr>
        <w:t>бронхиальная астма, сахарный диабет 2-го типа, цитокины, матриксная металлопротеиназа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9, моноцитарный</w:t>
      </w:r>
      <w:r>
        <w:rPr>
          <w:rFonts w:eastAsia="Times New Roman"/>
          <w:b/>
          <w:bCs/>
          <w:sz w:val="16"/>
          <w:szCs w:val="16"/>
        </w:rPr>
        <w:t xml:space="preserve"> </w:t>
      </w:r>
      <w:r>
        <w:rPr>
          <w:rFonts w:eastAsia="Times New Roman"/>
          <w:sz w:val="16"/>
          <w:szCs w:val="16"/>
        </w:rPr>
        <w:t>хемоаттрактантный протеин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1.</w:t>
      </w:r>
    </w:p>
    <w:p w:rsidR="00514387" w:rsidRDefault="00514387">
      <w:pPr>
        <w:spacing w:line="264" w:lineRule="exact"/>
        <w:rPr>
          <w:sz w:val="20"/>
          <w:szCs w:val="20"/>
        </w:rPr>
      </w:pPr>
    </w:p>
    <w:p w:rsidR="00514387" w:rsidRDefault="00695BB3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Научно-практический журнал «Астма и аллергия», 2018, № 1</w:t>
      </w:r>
    </w:p>
    <w:p w:rsidR="00514387" w:rsidRDefault="00514387">
      <w:pPr>
        <w:spacing w:line="36" w:lineRule="exact"/>
        <w:rPr>
          <w:sz w:val="20"/>
          <w:szCs w:val="20"/>
        </w:rPr>
      </w:pPr>
    </w:p>
    <w:p w:rsidR="00514387" w:rsidRDefault="00695BB3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Г.В. Еременко, канд. мед. наук, доцент</w:t>
      </w:r>
    </w:p>
    <w:p w:rsidR="00514387" w:rsidRDefault="00514387">
      <w:pPr>
        <w:spacing w:line="36" w:lineRule="exact"/>
        <w:rPr>
          <w:sz w:val="20"/>
          <w:szCs w:val="20"/>
        </w:rPr>
      </w:pPr>
    </w:p>
    <w:p w:rsidR="00514387" w:rsidRDefault="00695BB3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Харьковский национальный медицинский университет</w:t>
      </w:r>
    </w:p>
    <w:p w:rsidR="00514387" w:rsidRDefault="00514387">
      <w:pPr>
        <w:spacing w:line="36" w:lineRule="exact"/>
        <w:rPr>
          <w:sz w:val="20"/>
          <w:szCs w:val="20"/>
        </w:rPr>
      </w:pPr>
    </w:p>
    <w:p w:rsidR="00514387" w:rsidRDefault="00695BB3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пр-т Науки, 4, г. Харьков, Украина, 61022</w:t>
      </w:r>
    </w:p>
    <w:p w:rsidR="00514387" w:rsidRDefault="00514387">
      <w:pPr>
        <w:spacing w:line="46" w:lineRule="exact"/>
        <w:rPr>
          <w:sz w:val="20"/>
          <w:szCs w:val="20"/>
        </w:rPr>
      </w:pPr>
    </w:p>
    <w:p w:rsidR="00514387" w:rsidRDefault="00695BB3">
      <w:pPr>
        <w:ind w:left="6020"/>
        <w:rPr>
          <w:sz w:val="20"/>
          <w:szCs w:val="20"/>
        </w:rPr>
      </w:pPr>
      <w:r>
        <w:rPr>
          <w:rFonts w:eastAsia="Times New Roman"/>
          <w:i/>
          <w:iCs/>
          <w:sz w:val="15"/>
          <w:szCs w:val="15"/>
        </w:rPr>
        <w:t>тел.: +38 (066) 648-52-13; e-mail: galyna0512@ukr.net</w:t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71" w:lineRule="exact"/>
        <w:rPr>
          <w:sz w:val="20"/>
          <w:szCs w:val="20"/>
        </w:rPr>
      </w:pPr>
    </w:p>
    <w:p w:rsidR="00514387" w:rsidRDefault="00695BB3">
      <w:pPr>
        <w:ind w:left="46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АСТМА ТА АЛЕРГІЯ, № 1 </w:t>
      </w:r>
      <w:r>
        <w:rPr>
          <w:rFonts w:ascii="Arial" w:eastAsia="Arial" w:hAnsi="Arial" w:cs="Arial"/>
          <w:sz w:val="16"/>
          <w:szCs w:val="16"/>
        </w:rPr>
        <w:t>•</w:t>
      </w:r>
      <w:r>
        <w:rPr>
          <w:rFonts w:ascii="Arial" w:eastAsia="Arial" w:hAnsi="Arial" w:cs="Arial"/>
          <w:sz w:val="24"/>
          <w:szCs w:val="24"/>
        </w:rPr>
        <w:t xml:space="preserve"> 2018</w:t>
      </w:r>
    </w:p>
    <w:p w:rsidR="00514387" w:rsidRDefault="0051438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4" o:spid="_x0000_s1089" style="position:absolute;z-index:251664896;visibility:visible;mso-wrap-distance-left:0;mso-wrap-distance-right:0" from=".15pt,-9.35pt" to="217.9pt,-9.35pt" o:allowincell="f" strokeweight=".30269mm"/>
        </w:pict>
      </w:r>
      <w:r>
        <w:rPr>
          <w:sz w:val="20"/>
          <w:szCs w:val="20"/>
        </w:rPr>
        <w:pict>
          <v:line id="Shape 65" o:spid="_x0000_s1090" style="position:absolute;z-index:251665920;visibility:visible;mso-wrap-distance-left:0;mso-wrap-distance-right:0" from="450.35pt,-9.35pt" to="482.05pt,-9.35pt" o:allowincell="f" strokeweight=".30269mm"/>
        </w:pict>
      </w:r>
      <w:r>
        <w:rPr>
          <w:sz w:val="20"/>
          <w:szCs w:val="20"/>
        </w:rPr>
        <w:pict>
          <v:line id="Shape 66" o:spid="_x0000_s1091" style="position:absolute;z-index:251666944;visibility:visible;mso-wrap-distance-left:0;mso-wrap-distance-right:0" from=".15pt,-6.75pt" to="217.9pt,-6.75pt" o:allowincell="f" strokeweight=".60536mm"/>
        </w:pict>
      </w:r>
      <w:r>
        <w:rPr>
          <w:sz w:val="20"/>
          <w:szCs w:val="20"/>
        </w:rPr>
        <w:pict>
          <v:line id="Shape 67" o:spid="_x0000_s1092" style="position:absolute;z-index:251667968;visibility:visible;mso-wrap-distance-left:0;mso-wrap-distance-right:0" from="450.35pt,-6.75pt" to="482.05pt,-6.75pt" o:allowincell="f" strokeweight=".60536mm"/>
        </w:pict>
      </w:r>
      <w:r>
        <w:rPr>
          <w:sz w:val="20"/>
          <w:szCs w:val="20"/>
        </w:rPr>
        <w:pict>
          <v:line id="Shape 68" o:spid="_x0000_s1093" style="position:absolute;z-index:251668992;visibility:visible;mso-wrap-distance-left:0;mso-wrap-distance-right:0" from=".15pt,-4.2pt" to="217.9pt,-4.2pt" o:allowincell="f" strokeweight=".30269mm"/>
        </w:pict>
      </w:r>
      <w:r>
        <w:rPr>
          <w:sz w:val="20"/>
          <w:szCs w:val="20"/>
        </w:rPr>
        <w:pict>
          <v:line id="Shape 69" o:spid="_x0000_s1094" style="position:absolute;z-index:251670016;visibility:visible;mso-wrap-distance-left:0;mso-wrap-distance-right:0" from="450.35pt,-4.2pt" to="482.05pt,-4.2pt" o:allowincell="f" strokeweight=".30269mm"/>
        </w:pict>
      </w:r>
      <w:r>
        <w:rPr>
          <w:sz w:val="20"/>
          <w:szCs w:val="20"/>
        </w:rPr>
        <w:pict>
          <v:rect id="Shape 70" o:spid="_x0000_s1095" style="position:absolute;margin-left:217.95pt;margin-top:-11.7pt;width:232.4pt;height:22.9pt;z-index:-251622912;visibility:visible;mso-wrap-distance-left:0;mso-wrap-distance-right:0" o:allowincell="f" stroked="f"/>
        </w:pict>
      </w:r>
    </w:p>
    <w:p w:rsidR="00514387" w:rsidRDefault="00514387">
      <w:pPr>
        <w:sectPr w:rsidR="00514387">
          <w:type w:val="continuous"/>
          <w:pgSz w:w="11900" w:h="16838"/>
          <w:pgMar w:top="219" w:right="1306" w:bottom="0" w:left="960" w:header="0" w:footer="0" w:gutter="0"/>
          <w:cols w:space="720" w:equalWidth="0">
            <w:col w:w="9640"/>
          </w:cols>
        </w:sectPr>
      </w:pPr>
    </w:p>
    <w:p w:rsidR="00514387" w:rsidRDefault="00514387">
      <w:pPr>
        <w:spacing w:line="54" w:lineRule="exact"/>
        <w:rPr>
          <w:sz w:val="20"/>
          <w:szCs w:val="20"/>
        </w:rPr>
      </w:pPr>
    </w:p>
    <w:p w:rsidR="00514387" w:rsidRDefault="00695BB3">
      <w:pPr>
        <w:ind w:left="722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ISSN 2307-3373</w:t>
      </w:r>
    </w:p>
    <w:p w:rsidR="00514387" w:rsidRDefault="00514387">
      <w:pPr>
        <w:sectPr w:rsidR="00514387">
          <w:type w:val="continuous"/>
          <w:pgSz w:w="11900" w:h="16838"/>
          <w:pgMar w:top="219" w:right="1306" w:bottom="0" w:left="960" w:header="0" w:footer="0" w:gutter="0"/>
          <w:cols w:space="720" w:equalWidth="0">
            <w:col w:w="9640"/>
          </w:cols>
        </w:sectPr>
      </w:pPr>
    </w:p>
    <w:p w:rsidR="00514387" w:rsidRDefault="00514387">
      <w:pPr>
        <w:ind w:left="960"/>
        <w:rPr>
          <w:sz w:val="20"/>
          <w:szCs w:val="20"/>
        </w:rPr>
      </w:pPr>
      <w:bookmarkStart w:id="6" w:name="page7"/>
      <w:bookmarkEnd w:id="6"/>
      <w:r w:rsidRPr="00514387">
        <w:rPr>
          <w:rFonts w:ascii="Arial" w:eastAsia="Arial" w:hAnsi="Arial" w:cs="Arial"/>
          <w:sz w:val="24"/>
          <w:szCs w:val="24"/>
        </w:rPr>
        <w:lastRenderedPageBreak/>
        <w:pict>
          <v:rect id="Shape 71" o:spid="_x0000_s1096" style="position:absolute;left:0;text-align:left;margin-left:518.75pt;margin-top:17pt;width:28.35pt;height:28.35pt;z-index:-251621888;visibility:visible;mso-wrap-distance-left:0;mso-wrap-distance-right:0;mso-position-horizontal-relative:page;mso-position-vertical-relative:page" o:allowincell="f" fillcolor="#c5c6c6" stroked="f">
            <w10:wrap anchorx="page" anchory="page"/>
          </v:rect>
        </w:pict>
      </w:r>
      <w:r w:rsidR="00695BB3">
        <w:rPr>
          <w:rFonts w:ascii="Arial" w:eastAsia="Arial" w:hAnsi="Arial" w:cs="Arial"/>
          <w:sz w:val="24"/>
          <w:szCs w:val="24"/>
        </w:rPr>
        <w:t xml:space="preserve">ОРИГІНАЛЬНІ СТАТТІ </w:t>
      </w:r>
      <w:r w:rsidR="00695BB3">
        <w:rPr>
          <w:noProof/>
          <w:sz w:val="1"/>
          <w:szCs w:val="1"/>
        </w:rPr>
        <w:drawing>
          <wp:inline distT="0" distB="0" distL="0" distR="0">
            <wp:extent cx="3130550" cy="7620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5BB3">
        <w:rPr>
          <w:rFonts w:ascii="Arial" w:eastAsia="Arial" w:hAnsi="Arial" w:cs="Arial"/>
          <w:b/>
          <w:bCs/>
          <w:color w:val="FFFFFF"/>
          <w:sz w:val="48"/>
          <w:szCs w:val="48"/>
          <w:vertAlign w:val="superscript"/>
        </w:rPr>
        <w:t xml:space="preserve">   19</w:t>
      </w:r>
    </w:p>
    <w:p w:rsidR="00514387" w:rsidRDefault="0051438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3" o:spid="_x0000_s1098" style="position:absolute;z-index:251671040;visibility:visible;mso-wrap-distance-left:0;mso-wrap-distance-right:0" from=".15pt,-19.65pt" to="39.85pt,-19.65pt" o:allowincell="f" strokeweight=".30269mm"/>
        </w:pict>
      </w:r>
      <w:r>
        <w:rPr>
          <w:sz w:val="20"/>
          <w:szCs w:val="20"/>
        </w:rPr>
        <w:pict>
          <v:line id="Shape 74" o:spid="_x0000_s1099" style="position:absolute;z-index:251672064;visibility:visible;mso-wrap-distance-left:0;mso-wrap-distance-right:0" from=".15pt,-17.05pt" to="39.85pt,-17.05pt" o:allowincell="f" strokeweight=".60536mm"/>
        </w:pict>
      </w:r>
      <w:r>
        <w:rPr>
          <w:sz w:val="20"/>
          <w:szCs w:val="20"/>
        </w:rPr>
        <w:pict>
          <v:line id="Shape 75" o:spid="_x0000_s1100" style="position:absolute;z-index:251673088;visibility:visible;mso-wrap-distance-left:0;mso-wrap-distance-right:0" from=".15pt,-14.5pt" to="39.85pt,-14.5pt" o:allowincell="f" strokeweight=".30269mm"/>
        </w:pict>
      </w:r>
      <w:r>
        <w:rPr>
          <w:sz w:val="20"/>
          <w:szCs w:val="20"/>
        </w:rPr>
        <w:pict>
          <v:rect id="Shape 76" o:spid="_x0000_s1101" style="position:absolute;margin-left:39.85pt;margin-top:-22.15pt;width:156.85pt;height:9.35pt;z-index:-251620864;visibility:visible;mso-wrap-distance-left:0;mso-wrap-distance-right:0" o:allowincell="f" stroked="f"/>
        </w:pict>
      </w:r>
    </w:p>
    <w:p w:rsidR="00514387" w:rsidRDefault="00514387">
      <w:pPr>
        <w:spacing w:line="271" w:lineRule="exact"/>
        <w:rPr>
          <w:sz w:val="20"/>
          <w:szCs w:val="20"/>
        </w:rPr>
      </w:pPr>
    </w:p>
    <w:p w:rsidR="00514387" w:rsidRDefault="00695BB3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CLINICAL AND PATHOGENETIC PECULIARITIES OF DIABETES MELLITUS TYPE 2 IN PATIENTS WITH ASTHMA</w:t>
      </w:r>
    </w:p>
    <w:p w:rsidR="00514387" w:rsidRDefault="00514387">
      <w:pPr>
        <w:spacing w:line="92" w:lineRule="exact"/>
        <w:rPr>
          <w:sz w:val="20"/>
          <w:szCs w:val="20"/>
        </w:rPr>
      </w:pPr>
    </w:p>
    <w:p w:rsidR="00514387" w:rsidRDefault="00695BB3">
      <w:pPr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G. V. Yeryomenko</w:t>
      </w:r>
    </w:p>
    <w:p w:rsidR="00514387" w:rsidRDefault="00514387">
      <w:pPr>
        <w:spacing w:line="33" w:lineRule="exact"/>
        <w:rPr>
          <w:sz w:val="20"/>
          <w:szCs w:val="20"/>
        </w:rPr>
      </w:pPr>
    </w:p>
    <w:p w:rsidR="00514387" w:rsidRDefault="00695BB3">
      <w:pPr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Kharkiv </w:t>
      </w:r>
      <w:r>
        <w:rPr>
          <w:rFonts w:eastAsia="Times New Roman"/>
          <w:sz w:val="18"/>
          <w:szCs w:val="18"/>
        </w:rPr>
        <w:t>National Medical University</w:t>
      </w:r>
    </w:p>
    <w:p w:rsidR="00514387" w:rsidRDefault="00514387">
      <w:pPr>
        <w:spacing w:line="89" w:lineRule="exact"/>
        <w:rPr>
          <w:sz w:val="20"/>
          <w:szCs w:val="20"/>
        </w:rPr>
      </w:pPr>
    </w:p>
    <w:p w:rsidR="00514387" w:rsidRDefault="00695BB3">
      <w:pPr>
        <w:ind w:left="180"/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>Abstract</w:t>
      </w:r>
    </w:p>
    <w:p w:rsidR="00514387" w:rsidRDefault="00514387">
      <w:pPr>
        <w:spacing w:line="46" w:lineRule="exact"/>
        <w:rPr>
          <w:sz w:val="20"/>
          <w:szCs w:val="20"/>
        </w:rPr>
      </w:pPr>
    </w:p>
    <w:p w:rsidR="00514387" w:rsidRDefault="00695BB3">
      <w:pPr>
        <w:spacing w:line="274" w:lineRule="auto"/>
        <w:ind w:firstLine="170"/>
        <w:jc w:val="both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The number of patients with bronchial asthma (BA) is steadily rising, the number of patients with a combination of BA and diabetes mel-litus type 2 (DM2T) increasing.</w:t>
      </w:r>
    </w:p>
    <w:p w:rsidR="00514387" w:rsidRDefault="00514387">
      <w:pPr>
        <w:spacing w:line="18" w:lineRule="exact"/>
        <w:rPr>
          <w:sz w:val="20"/>
          <w:szCs w:val="20"/>
        </w:rPr>
      </w:pPr>
    </w:p>
    <w:p w:rsidR="00514387" w:rsidRDefault="00695BB3">
      <w:pPr>
        <w:spacing w:line="277" w:lineRule="auto"/>
        <w:ind w:firstLine="17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>The objective of the study</w:t>
      </w:r>
      <w:r>
        <w:rPr>
          <w:rFonts w:eastAsia="Times New Roman"/>
          <w:sz w:val="16"/>
          <w:szCs w:val="16"/>
        </w:rPr>
        <w:t>: revealing of clinical</w:t>
      </w:r>
      <w:r>
        <w:rPr>
          <w:rFonts w:eastAsia="Times New Roman"/>
          <w:sz w:val="16"/>
          <w:szCs w:val="16"/>
        </w:rPr>
        <w:t xml:space="preserve"> and pathogenetic manifestations of BA with an uncontrolled course of the disease in com-bination with DM2T.</w:t>
      </w:r>
    </w:p>
    <w:p w:rsidR="00514387" w:rsidRDefault="00514387">
      <w:pPr>
        <w:spacing w:line="15" w:lineRule="exact"/>
        <w:rPr>
          <w:sz w:val="20"/>
          <w:szCs w:val="20"/>
        </w:rPr>
      </w:pPr>
    </w:p>
    <w:p w:rsidR="00514387" w:rsidRDefault="00695BB3">
      <w:pPr>
        <w:spacing w:line="216" w:lineRule="exact"/>
        <w:ind w:firstLine="17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>Materials and methods</w:t>
      </w:r>
      <w:r>
        <w:rPr>
          <w:rFonts w:eastAsia="Times New Roman"/>
          <w:sz w:val="16"/>
          <w:szCs w:val="16"/>
        </w:rPr>
        <w:t>. The study involved 55 patients, who were divided into 2 groups. Group I included patients with isolated BA (n =</w:t>
      </w:r>
      <w:r>
        <w:rPr>
          <w:rFonts w:eastAsia="Times New Roman"/>
          <w:b/>
          <w:bCs/>
          <w:sz w:val="16"/>
          <w:szCs w:val="16"/>
        </w:rPr>
        <w:t xml:space="preserve"> </w:t>
      </w:r>
      <w:r>
        <w:rPr>
          <w:rFonts w:eastAsia="Times New Roman"/>
          <w:sz w:val="16"/>
          <w:szCs w:val="16"/>
        </w:rPr>
        <w:t xml:space="preserve">20), group </w:t>
      </w:r>
      <w:r>
        <w:rPr>
          <w:rFonts w:eastAsia="Times New Roman"/>
          <w:sz w:val="16"/>
          <w:szCs w:val="16"/>
        </w:rPr>
        <w:t>II had BA with DM2T (n = 35). General clinical trials, determination of anthropometric data, assessment of external respira-tion (ER), blood glucose level, insulin level and HOMA-IR index were carried out. The method of immunoassay (ELISA) revealed MMP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 xml:space="preserve">9, </w:t>
      </w:r>
      <w:r>
        <w:rPr>
          <w:rFonts w:eastAsia="Times New Roman"/>
          <w:sz w:val="16"/>
          <w:szCs w:val="16"/>
        </w:rPr>
        <w:t>MCP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1, IL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8 and IL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12.</w:t>
      </w:r>
    </w:p>
    <w:p w:rsidR="00514387" w:rsidRDefault="00514387">
      <w:pPr>
        <w:spacing w:line="232" w:lineRule="exact"/>
        <w:rPr>
          <w:sz w:val="20"/>
          <w:szCs w:val="20"/>
        </w:rPr>
      </w:pPr>
    </w:p>
    <w:p w:rsidR="00514387" w:rsidRDefault="00695BB3">
      <w:pPr>
        <w:spacing w:line="219" w:lineRule="exact"/>
        <w:ind w:firstLine="17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>Results</w:t>
      </w:r>
      <w:r>
        <w:rPr>
          <w:rFonts w:eastAsia="Times New Roman"/>
          <w:sz w:val="16"/>
          <w:szCs w:val="16"/>
        </w:rPr>
        <w:t>. It was found out that in 20 (100%) patients from group I the obstructive type of disturbance was diagnosed; in group II there were</w:t>
      </w:r>
      <w:r>
        <w:rPr>
          <w:rFonts w:eastAsia="Times New Roman"/>
          <w:b/>
          <w:bCs/>
          <w:sz w:val="16"/>
          <w:szCs w:val="16"/>
        </w:rPr>
        <w:t xml:space="preserve"> </w:t>
      </w:r>
      <w:r>
        <w:rPr>
          <w:rFonts w:eastAsia="Times New Roman"/>
          <w:sz w:val="16"/>
          <w:szCs w:val="16"/>
        </w:rPr>
        <w:t>6 (19.3%) cases with the restrictive type, 13 (41.9%) with the obstructive one and 12 (38.8%</w:t>
      </w:r>
      <w:r>
        <w:rPr>
          <w:rFonts w:eastAsia="Times New Roman"/>
          <w:sz w:val="16"/>
          <w:szCs w:val="16"/>
        </w:rPr>
        <w:t>) with a mixed type of expiratory dysfunction. A statistically significant correlation between FEV</w:t>
      </w:r>
      <w:r>
        <w:rPr>
          <w:rFonts w:eastAsia="Times New Roman"/>
          <w:sz w:val="18"/>
          <w:szCs w:val="18"/>
          <w:vertAlign w:val="subscript"/>
        </w:rPr>
        <w:t>1</w:t>
      </w:r>
      <w:r>
        <w:rPr>
          <w:rFonts w:eastAsia="Times New Roman"/>
          <w:sz w:val="16"/>
          <w:szCs w:val="16"/>
        </w:rPr>
        <w:t xml:space="preserve"> and the level of HbA1c was revealed. The content of IL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8 and IL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12 was increased in pa-tients from group II by 30.6 and 33.2 times, respectively, versus gro</w:t>
      </w:r>
      <w:r>
        <w:rPr>
          <w:rFonts w:eastAsia="Times New Roman"/>
          <w:sz w:val="16"/>
          <w:szCs w:val="16"/>
        </w:rPr>
        <w:t>up I. A relationship was found between MCP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1 and MMP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9 (r = 0.73, p &lt; 0.05), patients from group II demonstrated a direct relationship between MCP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1 and total FEV</w:t>
      </w:r>
      <w:r>
        <w:rPr>
          <w:rFonts w:eastAsia="Times New Roman"/>
          <w:sz w:val="18"/>
          <w:szCs w:val="18"/>
          <w:vertAlign w:val="subscript"/>
        </w:rPr>
        <w:t>1</w:t>
      </w:r>
      <w:r>
        <w:rPr>
          <w:rFonts w:eastAsia="Times New Roman"/>
          <w:sz w:val="16"/>
          <w:szCs w:val="16"/>
        </w:rPr>
        <w:t xml:space="preserve"> (r = 0.51, p &lt; 0.05).</w:t>
      </w:r>
    </w:p>
    <w:p w:rsidR="00514387" w:rsidRDefault="00514387">
      <w:pPr>
        <w:spacing w:line="9" w:lineRule="exact"/>
        <w:rPr>
          <w:sz w:val="20"/>
          <w:szCs w:val="20"/>
        </w:rPr>
      </w:pPr>
    </w:p>
    <w:p w:rsidR="00514387" w:rsidRDefault="00695BB3">
      <w:pPr>
        <w:spacing w:line="211" w:lineRule="exact"/>
        <w:ind w:firstLine="17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>Conclusions</w:t>
      </w:r>
      <w:r>
        <w:rPr>
          <w:rFonts w:eastAsia="Times New Roman"/>
          <w:sz w:val="16"/>
          <w:szCs w:val="16"/>
        </w:rPr>
        <w:t>. It has been revealed that the presence of signs of extra</w:t>
      </w:r>
      <w:r>
        <w:rPr>
          <w:rFonts w:eastAsia="Times New Roman"/>
          <w:sz w:val="16"/>
          <w:szCs w:val="16"/>
        </w:rPr>
        <w:t xml:space="preserve"> weight and obesity in patients with BA and DM2T leads to a deterio-ration of the respiratory function of the lungs, and external respiratory dysfunctions are observed in the form of lower values of FEV</w:t>
      </w:r>
      <w:r>
        <w:rPr>
          <w:rFonts w:eastAsia="Times New Roman"/>
          <w:sz w:val="18"/>
          <w:szCs w:val="18"/>
          <w:vertAlign w:val="subscript"/>
        </w:rPr>
        <w:t>1</w:t>
      </w:r>
      <w:r>
        <w:rPr>
          <w:rFonts w:eastAsia="Times New Roman"/>
          <w:sz w:val="16"/>
          <w:szCs w:val="16"/>
        </w:rPr>
        <w:t>/FVC, FEV</w:t>
      </w:r>
      <w:r>
        <w:rPr>
          <w:rFonts w:eastAsia="Times New Roman"/>
          <w:sz w:val="18"/>
          <w:szCs w:val="18"/>
          <w:vertAlign w:val="subscript"/>
        </w:rPr>
        <w:t>1</w:t>
      </w:r>
      <w:r>
        <w:rPr>
          <w:rFonts w:eastAsia="Times New Roman"/>
          <w:sz w:val="16"/>
          <w:szCs w:val="16"/>
        </w:rPr>
        <w:t>. Relationships between the level of proinf</w:t>
      </w:r>
      <w:r>
        <w:rPr>
          <w:rFonts w:eastAsia="Times New Roman"/>
          <w:sz w:val="16"/>
          <w:szCs w:val="16"/>
        </w:rPr>
        <w:t>lammatory cytokines (IL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8, IL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12) and that of MMP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9 and MCP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1 were revealed. The con-sideration of BA and DM2T as a chronic autoimmune inflammation creates the basis for a more thorough study of the common links in the pathogenesis of BA and DM2T.</w:t>
      </w:r>
    </w:p>
    <w:p w:rsidR="00514387" w:rsidRDefault="00514387">
      <w:pPr>
        <w:spacing w:line="8" w:lineRule="exact"/>
        <w:rPr>
          <w:sz w:val="20"/>
          <w:szCs w:val="20"/>
        </w:rPr>
      </w:pPr>
    </w:p>
    <w:p w:rsidR="00514387" w:rsidRDefault="00695BB3">
      <w:pPr>
        <w:spacing w:line="215" w:lineRule="exact"/>
        <w:ind w:left="180"/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>Key wor</w:t>
      </w:r>
      <w:r>
        <w:rPr>
          <w:rFonts w:eastAsia="Times New Roman"/>
          <w:b/>
          <w:bCs/>
          <w:sz w:val="16"/>
          <w:szCs w:val="16"/>
        </w:rPr>
        <w:t xml:space="preserve">ds: </w:t>
      </w:r>
      <w:r>
        <w:rPr>
          <w:rFonts w:eastAsia="Times New Roman"/>
          <w:sz w:val="16"/>
          <w:szCs w:val="16"/>
        </w:rPr>
        <w:t>bronchial asthma, diabetes mellitus type 2, cytokines, matrix metalloproteinase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9, monocyte chemoattractant protein</w:t>
      </w:r>
      <w:r>
        <w:rPr>
          <w:rFonts w:ascii="Arial Unicode MS" w:eastAsia="Arial Unicode MS" w:hAnsi="Arial Unicode MS" w:cs="Arial Unicode MS"/>
          <w:sz w:val="16"/>
          <w:szCs w:val="16"/>
        </w:rPr>
        <w:t>‑</w:t>
      </w:r>
      <w:r>
        <w:rPr>
          <w:rFonts w:eastAsia="Times New Roman"/>
          <w:sz w:val="16"/>
          <w:szCs w:val="16"/>
        </w:rPr>
        <w:t>1.</w:t>
      </w:r>
    </w:p>
    <w:p w:rsidR="00514387" w:rsidRDefault="00514387">
      <w:pPr>
        <w:spacing w:line="263" w:lineRule="exact"/>
        <w:rPr>
          <w:sz w:val="20"/>
          <w:szCs w:val="20"/>
        </w:rPr>
      </w:pPr>
    </w:p>
    <w:p w:rsidR="00514387" w:rsidRDefault="00695BB3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Theoretical and practical J. «Asthma and Allergy», 2018, 1</w:t>
      </w:r>
    </w:p>
    <w:p w:rsidR="00514387" w:rsidRDefault="00514387">
      <w:pPr>
        <w:spacing w:line="36" w:lineRule="exact"/>
        <w:rPr>
          <w:sz w:val="20"/>
          <w:szCs w:val="20"/>
        </w:rPr>
      </w:pPr>
    </w:p>
    <w:p w:rsidR="00514387" w:rsidRDefault="00695BB3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G.V. Yeryomenko,PhD, Associate Professor</w:t>
      </w:r>
    </w:p>
    <w:p w:rsidR="00514387" w:rsidRDefault="00514387">
      <w:pPr>
        <w:spacing w:line="36" w:lineRule="exact"/>
        <w:rPr>
          <w:sz w:val="20"/>
          <w:szCs w:val="20"/>
        </w:rPr>
      </w:pPr>
    </w:p>
    <w:p w:rsidR="00514387" w:rsidRDefault="00695BB3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 xml:space="preserve">Kharkiv National Medical </w:t>
      </w:r>
      <w:r>
        <w:rPr>
          <w:rFonts w:eastAsia="Times New Roman"/>
          <w:i/>
          <w:iCs/>
          <w:sz w:val="16"/>
          <w:szCs w:val="16"/>
        </w:rPr>
        <w:t>University</w:t>
      </w:r>
    </w:p>
    <w:p w:rsidR="00514387" w:rsidRDefault="00514387">
      <w:pPr>
        <w:spacing w:line="36" w:lineRule="exact"/>
        <w:rPr>
          <w:sz w:val="20"/>
          <w:szCs w:val="20"/>
        </w:rPr>
      </w:pPr>
    </w:p>
    <w:p w:rsidR="00514387" w:rsidRDefault="00695BB3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4, Nauky Avenue, Kharkiv, 61022, Ukraine</w:t>
      </w:r>
    </w:p>
    <w:p w:rsidR="00514387" w:rsidRDefault="00514387">
      <w:pPr>
        <w:spacing w:line="46" w:lineRule="exact"/>
        <w:rPr>
          <w:sz w:val="20"/>
          <w:szCs w:val="20"/>
        </w:rPr>
      </w:pPr>
    </w:p>
    <w:p w:rsidR="00514387" w:rsidRDefault="00695BB3">
      <w:pPr>
        <w:ind w:left="6120"/>
        <w:rPr>
          <w:sz w:val="20"/>
          <w:szCs w:val="20"/>
        </w:rPr>
      </w:pPr>
      <w:r>
        <w:rPr>
          <w:rFonts w:eastAsia="Times New Roman"/>
          <w:i/>
          <w:iCs/>
          <w:sz w:val="15"/>
          <w:szCs w:val="15"/>
        </w:rPr>
        <w:t>tel.: +38 (066) 648-52-13; e-mail: galyna0512@ukr.net</w:t>
      </w: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200" w:lineRule="exact"/>
        <w:rPr>
          <w:sz w:val="20"/>
          <w:szCs w:val="20"/>
        </w:rPr>
      </w:pPr>
    </w:p>
    <w:p w:rsidR="00514387" w:rsidRDefault="00514387">
      <w:pPr>
        <w:spacing w:line="376" w:lineRule="exact"/>
        <w:rPr>
          <w:sz w:val="20"/>
          <w:szCs w:val="20"/>
        </w:rPr>
      </w:pPr>
    </w:p>
    <w:p w:rsidR="00514387" w:rsidRDefault="00695BB3">
      <w:pPr>
        <w:ind w:left="9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АСТМА ТА АЛЕРГІЯ, № 1 </w:t>
      </w:r>
      <w:r>
        <w:rPr>
          <w:rFonts w:ascii="Arial" w:eastAsia="Arial" w:hAnsi="Arial" w:cs="Arial"/>
          <w:sz w:val="16"/>
          <w:szCs w:val="16"/>
        </w:rPr>
        <w:t>•</w:t>
      </w:r>
      <w:r>
        <w:rPr>
          <w:rFonts w:ascii="Arial" w:eastAsia="Arial" w:hAnsi="Arial" w:cs="Arial"/>
          <w:sz w:val="24"/>
          <w:szCs w:val="24"/>
        </w:rPr>
        <w:t xml:space="preserve"> 2018</w:t>
      </w:r>
    </w:p>
    <w:p w:rsidR="00514387" w:rsidRDefault="0051438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7" o:spid="_x0000_s1102" style="position:absolute;z-index:251674112;visibility:visible;mso-wrap-distance-left:0;mso-wrap-distance-right:0" from="263.8pt,-9.1pt" to="482.05pt,-9.1pt" o:allowincell="f" strokeweight=".46981mm"/>
        </w:pict>
      </w:r>
      <w:r>
        <w:rPr>
          <w:sz w:val="20"/>
          <w:szCs w:val="20"/>
        </w:rPr>
        <w:pict>
          <v:line id="Shape 78" o:spid="_x0000_s1103" style="position:absolute;z-index:251675136;visibility:visible;mso-wrap-distance-left:0;mso-wrap-distance-right:0" from="263.8pt,-6.75pt" to="482.05pt,-6.75pt" o:allowincell="f" strokecolor="white" strokeweight="6pt"/>
        </w:pict>
      </w:r>
      <w:r>
        <w:rPr>
          <w:sz w:val="20"/>
          <w:szCs w:val="20"/>
        </w:rPr>
        <w:pict>
          <v:line id="Shape 79" o:spid="_x0000_s1104" style="position:absolute;z-index:251676160;visibility:visible;mso-wrap-distance-left:0;mso-wrap-distance-right:0" from="263.8pt,-6.75pt" to="482.05pt,-6.75pt" o:allowincell="f" strokeweight=".60536mm"/>
        </w:pict>
      </w:r>
      <w:r>
        <w:rPr>
          <w:sz w:val="20"/>
          <w:szCs w:val="20"/>
        </w:rPr>
        <w:pict>
          <v:line id="Shape 80" o:spid="_x0000_s1105" style="position:absolute;z-index:251677184;visibility:visible;mso-wrap-distance-left:0;mso-wrap-distance-right:0" from=".15pt,-9.1pt" to="31.35pt,-9.1pt" o:allowincell="f" strokeweight=".46981mm"/>
        </w:pict>
      </w:r>
      <w:r>
        <w:rPr>
          <w:sz w:val="20"/>
          <w:szCs w:val="20"/>
        </w:rPr>
        <w:pict>
          <v:line id="Shape 81" o:spid="_x0000_s1106" style="position:absolute;z-index:251678208;visibility:visible;mso-wrap-distance-left:0;mso-wrap-distance-right:0" from=".15pt,-6.75pt" to="31.35pt,-6.75pt" o:allowincell="f" strokecolor="white" strokeweight="6pt"/>
        </w:pict>
      </w:r>
      <w:r>
        <w:rPr>
          <w:sz w:val="20"/>
          <w:szCs w:val="20"/>
        </w:rPr>
        <w:pict>
          <v:line id="Shape 82" o:spid="_x0000_s1107" style="position:absolute;z-index:251679232;visibility:visible;mso-wrap-distance-left:0;mso-wrap-distance-right:0" from=".15pt,-6.75pt" to="31.35pt,-6.75pt" o:allowincell="f" strokeweight=".60536mm"/>
        </w:pict>
      </w:r>
      <w:r>
        <w:rPr>
          <w:sz w:val="20"/>
          <w:szCs w:val="20"/>
        </w:rPr>
        <w:pict>
          <v:line id="Shape 83" o:spid="_x0000_s1108" style="position:absolute;z-index:251680256;visibility:visible;mso-wrap-distance-left:0;mso-wrap-distance-right:0" from=".15pt,-4.2pt" to="31.35pt,-4.2pt" o:allowincell="f" strokeweight=".30269mm"/>
        </w:pict>
      </w:r>
      <w:r>
        <w:rPr>
          <w:sz w:val="20"/>
          <w:szCs w:val="20"/>
        </w:rPr>
        <w:pict>
          <v:line id="Shape 84" o:spid="_x0000_s1109" style="position:absolute;z-index:251681280;visibility:visible;mso-wrap-distance-left:0;mso-wrap-distance-right:0" from="263.8pt,-4.2pt" to="482.05pt,-4.2pt" o:allowincell="f" strokeweight=".30269mm"/>
        </w:pict>
      </w:r>
      <w:r>
        <w:rPr>
          <w:sz w:val="20"/>
          <w:szCs w:val="20"/>
        </w:rPr>
        <w:pict>
          <v:rect id="Shape 85" o:spid="_x0000_s1110" style="position:absolute;margin-left:31.4pt;margin-top:-11.7pt;width:232.4pt;height:22.9pt;z-index:-251619840;visibility:visible;mso-wrap-distance-left:0;mso-wrap-distance-right:0" o:allowincell="f" stroked="f"/>
        </w:pict>
      </w:r>
    </w:p>
    <w:p w:rsidR="00514387" w:rsidRDefault="00514387">
      <w:pPr>
        <w:sectPr w:rsidR="00514387">
          <w:pgSz w:w="11900" w:h="16838"/>
          <w:pgMar w:top="491" w:right="966" w:bottom="0" w:left="1300" w:header="0" w:footer="0" w:gutter="0"/>
          <w:cols w:space="720" w:equalWidth="0">
            <w:col w:w="9640"/>
          </w:cols>
        </w:sectPr>
      </w:pPr>
    </w:p>
    <w:p w:rsidR="00514387" w:rsidRDefault="00514387">
      <w:pPr>
        <w:spacing w:line="54" w:lineRule="exact"/>
        <w:rPr>
          <w:sz w:val="20"/>
          <w:szCs w:val="20"/>
        </w:rPr>
      </w:pPr>
    </w:p>
    <w:p w:rsidR="00514387" w:rsidRDefault="00695BB3">
      <w:pPr>
        <w:ind w:left="92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ISSN 2307-3373</w:t>
      </w:r>
    </w:p>
    <w:sectPr w:rsidR="00514387" w:rsidSect="00514387">
      <w:type w:val="continuous"/>
      <w:pgSz w:w="11900" w:h="16838"/>
      <w:pgMar w:top="491" w:right="966" w:bottom="0" w:left="1300" w:header="0" w:footer="0" w:gutter="0"/>
      <w:cols w:space="720" w:equalWidth="0">
        <w:col w:w="9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5CE67C92"/>
    <w:lvl w:ilvl="0" w:tplc="8760DFE8">
      <w:start w:val="9"/>
      <w:numFmt w:val="decimal"/>
      <w:lvlText w:val="%1."/>
      <w:lvlJc w:val="left"/>
    </w:lvl>
    <w:lvl w:ilvl="1" w:tplc="79A4F4F4">
      <w:numFmt w:val="decimal"/>
      <w:lvlText w:val=""/>
      <w:lvlJc w:val="left"/>
    </w:lvl>
    <w:lvl w:ilvl="2" w:tplc="BC36D65E">
      <w:numFmt w:val="decimal"/>
      <w:lvlText w:val=""/>
      <w:lvlJc w:val="left"/>
    </w:lvl>
    <w:lvl w:ilvl="3" w:tplc="8C46CBD8">
      <w:numFmt w:val="decimal"/>
      <w:lvlText w:val=""/>
      <w:lvlJc w:val="left"/>
    </w:lvl>
    <w:lvl w:ilvl="4" w:tplc="AB242A1C">
      <w:numFmt w:val="decimal"/>
      <w:lvlText w:val=""/>
      <w:lvlJc w:val="left"/>
    </w:lvl>
    <w:lvl w:ilvl="5" w:tplc="D39238CC">
      <w:numFmt w:val="decimal"/>
      <w:lvlText w:val=""/>
      <w:lvlJc w:val="left"/>
    </w:lvl>
    <w:lvl w:ilvl="6" w:tplc="75EE8C60">
      <w:numFmt w:val="decimal"/>
      <w:lvlText w:val=""/>
      <w:lvlJc w:val="left"/>
    </w:lvl>
    <w:lvl w:ilvl="7" w:tplc="A7281B72">
      <w:numFmt w:val="decimal"/>
      <w:lvlText w:val=""/>
      <w:lvlJc w:val="left"/>
    </w:lvl>
    <w:lvl w:ilvl="8" w:tplc="46941706">
      <w:numFmt w:val="decimal"/>
      <w:lvlText w:val=""/>
      <w:lvlJc w:val="left"/>
    </w:lvl>
  </w:abstractNum>
  <w:abstractNum w:abstractNumId="1">
    <w:nsid w:val="12200854"/>
    <w:multiLevelType w:val="hybridMultilevel"/>
    <w:tmpl w:val="FD60FABE"/>
    <w:lvl w:ilvl="0" w:tplc="CEC295FA">
      <w:start w:val="1"/>
      <w:numFmt w:val="decimal"/>
      <w:lvlText w:val="%1."/>
      <w:lvlJc w:val="left"/>
    </w:lvl>
    <w:lvl w:ilvl="1" w:tplc="0486E4FE">
      <w:numFmt w:val="decimal"/>
      <w:lvlText w:val=""/>
      <w:lvlJc w:val="left"/>
    </w:lvl>
    <w:lvl w:ilvl="2" w:tplc="5F300EBC">
      <w:numFmt w:val="decimal"/>
      <w:lvlText w:val=""/>
      <w:lvlJc w:val="left"/>
    </w:lvl>
    <w:lvl w:ilvl="3" w:tplc="87821B32">
      <w:numFmt w:val="decimal"/>
      <w:lvlText w:val=""/>
      <w:lvlJc w:val="left"/>
    </w:lvl>
    <w:lvl w:ilvl="4" w:tplc="ABD47558">
      <w:numFmt w:val="decimal"/>
      <w:lvlText w:val=""/>
      <w:lvlJc w:val="left"/>
    </w:lvl>
    <w:lvl w:ilvl="5" w:tplc="390003D8">
      <w:numFmt w:val="decimal"/>
      <w:lvlText w:val=""/>
      <w:lvlJc w:val="left"/>
    </w:lvl>
    <w:lvl w:ilvl="6" w:tplc="B87CE3FA">
      <w:numFmt w:val="decimal"/>
      <w:lvlText w:val=""/>
      <w:lvlJc w:val="left"/>
    </w:lvl>
    <w:lvl w:ilvl="7" w:tplc="93DCFE88">
      <w:numFmt w:val="decimal"/>
      <w:lvlText w:val=""/>
      <w:lvlJc w:val="left"/>
    </w:lvl>
    <w:lvl w:ilvl="8" w:tplc="717888EC">
      <w:numFmt w:val="decimal"/>
      <w:lvlText w:val=""/>
      <w:lvlJc w:val="left"/>
    </w:lvl>
  </w:abstractNum>
  <w:abstractNum w:abstractNumId="2">
    <w:nsid w:val="1F16E9E8"/>
    <w:multiLevelType w:val="hybridMultilevel"/>
    <w:tmpl w:val="A2E4A41E"/>
    <w:lvl w:ilvl="0" w:tplc="C4F2FC8A">
      <w:start w:val="1"/>
      <w:numFmt w:val="bullet"/>
      <w:lvlText w:val="у"/>
      <w:lvlJc w:val="left"/>
    </w:lvl>
    <w:lvl w:ilvl="1" w:tplc="E7928480">
      <w:numFmt w:val="decimal"/>
      <w:lvlText w:val=""/>
      <w:lvlJc w:val="left"/>
    </w:lvl>
    <w:lvl w:ilvl="2" w:tplc="C9E4E130">
      <w:numFmt w:val="decimal"/>
      <w:lvlText w:val=""/>
      <w:lvlJc w:val="left"/>
    </w:lvl>
    <w:lvl w:ilvl="3" w:tplc="7F36CA78">
      <w:numFmt w:val="decimal"/>
      <w:lvlText w:val=""/>
      <w:lvlJc w:val="left"/>
    </w:lvl>
    <w:lvl w:ilvl="4" w:tplc="025CC432">
      <w:numFmt w:val="decimal"/>
      <w:lvlText w:val=""/>
      <w:lvlJc w:val="left"/>
    </w:lvl>
    <w:lvl w:ilvl="5" w:tplc="5D2E457C">
      <w:numFmt w:val="decimal"/>
      <w:lvlText w:val=""/>
      <w:lvlJc w:val="left"/>
    </w:lvl>
    <w:lvl w:ilvl="6" w:tplc="07886522">
      <w:numFmt w:val="decimal"/>
      <w:lvlText w:val=""/>
      <w:lvlJc w:val="left"/>
    </w:lvl>
    <w:lvl w:ilvl="7" w:tplc="1F102AC2">
      <w:numFmt w:val="decimal"/>
      <w:lvlText w:val=""/>
      <w:lvlJc w:val="left"/>
    </w:lvl>
    <w:lvl w:ilvl="8" w:tplc="D990EC02">
      <w:numFmt w:val="decimal"/>
      <w:lvlText w:val=""/>
      <w:lvlJc w:val="left"/>
    </w:lvl>
  </w:abstractNum>
  <w:abstractNum w:abstractNumId="3">
    <w:nsid w:val="2EB141F2"/>
    <w:multiLevelType w:val="hybridMultilevel"/>
    <w:tmpl w:val="EA7E7078"/>
    <w:lvl w:ilvl="0" w:tplc="3EF00668">
      <w:start w:val="1"/>
      <w:numFmt w:val="bullet"/>
      <w:lvlText w:val="©"/>
      <w:lvlJc w:val="left"/>
    </w:lvl>
    <w:lvl w:ilvl="1" w:tplc="45C04004">
      <w:numFmt w:val="decimal"/>
      <w:lvlText w:val=""/>
      <w:lvlJc w:val="left"/>
    </w:lvl>
    <w:lvl w:ilvl="2" w:tplc="61BE20B6">
      <w:numFmt w:val="decimal"/>
      <w:lvlText w:val=""/>
      <w:lvlJc w:val="left"/>
    </w:lvl>
    <w:lvl w:ilvl="3" w:tplc="6F629DC6">
      <w:numFmt w:val="decimal"/>
      <w:lvlText w:val=""/>
      <w:lvlJc w:val="left"/>
    </w:lvl>
    <w:lvl w:ilvl="4" w:tplc="374A7D60">
      <w:numFmt w:val="decimal"/>
      <w:lvlText w:val=""/>
      <w:lvlJc w:val="left"/>
    </w:lvl>
    <w:lvl w:ilvl="5" w:tplc="2FBCB904">
      <w:numFmt w:val="decimal"/>
      <w:lvlText w:val=""/>
      <w:lvlJc w:val="left"/>
    </w:lvl>
    <w:lvl w:ilvl="6" w:tplc="6936DAF8">
      <w:numFmt w:val="decimal"/>
      <w:lvlText w:val=""/>
      <w:lvlJc w:val="left"/>
    </w:lvl>
    <w:lvl w:ilvl="7" w:tplc="123CD4FC">
      <w:numFmt w:val="decimal"/>
      <w:lvlText w:val=""/>
      <w:lvlJc w:val="left"/>
    </w:lvl>
    <w:lvl w:ilvl="8" w:tplc="7ACAF26C">
      <w:numFmt w:val="decimal"/>
      <w:lvlText w:val=""/>
      <w:lvlJc w:val="left"/>
    </w:lvl>
  </w:abstractNum>
  <w:abstractNum w:abstractNumId="4">
    <w:nsid w:val="41B71EFB"/>
    <w:multiLevelType w:val="hybridMultilevel"/>
    <w:tmpl w:val="BBCC23EC"/>
    <w:lvl w:ilvl="0" w:tplc="74FA1908">
      <w:start w:val="1"/>
      <w:numFmt w:val="bullet"/>
      <w:lvlText w:val="у"/>
      <w:lvlJc w:val="left"/>
    </w:lvl>
    <w:lvl w:ilvl="1" w:tplc="D228CDE2">
      <w:numFmt w:val="decimal"/>
      <w:lvlText w:val=""/>
      <w:lvlJc w:val="left"/>
    </w:lvl>
    <w:lvl w:ilvl="2" w:tplc="DAA4651C">
      <w:numFmt w:val="decimal"/>
      <w:lvlText w:val=""/>
      <w:lvlJc w:val="left"/>
    </w:lvl>
    <w:lvl w:ilvl="3" w:tplc="56B007CE">
      <w:numFmt w:val="decimal"/>
      <w:lvlText w:val=""/>
      <w:lvlJc w:val="left"/>
    </w:lvl>
    <w:lvl w:ilvl="4" w:tplc="D1BC962C">
      <w:numFmt w:val="decimal"/>
      <w:lvlText w:val=""/>
      <w:lvlJc w:val="left"/>
    </w:lvl>
    <w:lvl w:ilvl="5" w:tplc="C1320F8C">
      <w:numFmt w:val="decimal"/>
      <w:lvlText w:val=""/>
      <w:lvlJc w:val="left"/>
    </w:lvl>
    <w:lvl w:ilvl="6" w:tplc="BA5CD2AC">
      <w:numFmt w:val="decimal"/>
      <w:lvlText w:val=""/>
      <w:lvlJc w:val="left"/>
    </w:lvl>
    <w:lvl w:ilvl="7" w:tplc="A412F44C">
      <w:numFmt w:val="decimal"/>
      <w:lvlText w:val=""/>
      <w:lvlJc w:val="left"/>
    </w:lvl>
    <w:lvl w:ilvl="8" w:tplc="D05250C0">
      <w:numFmt w:val="decimal"/>
      <w:lvlText w:val=""/>
      <w:lvlJc w:val="left"/>
    </w:lvl>
  </w:abstractNum>
  <w:abstractNum w:abstractNumId="5">
    <w:nsid w:val="4DB127F8"/>
    <w:multiLevelType w:val="hybridMultilevel"/>
    <w:tmpl w:val="5756F74E"/>
    <w:lvl w:ilvl="0" w:tplc="313AE3EA">
      <w:start w:val="9"/>
      <w:numFmt w:val="decimal"/>
      <w:lvlText w:val="%1."/>
      <w:lvlJc w:val="left"/>
    </w:lvl>
    <w:lvl w:ilvl="1" w:tplc="08867666">
      <w:numFmt w:val="decimal"/>
      <w:lvlText w:val=""/>
      <w:lvlJc w:val="left"/>
    </w:lvl>
    <w:lvl w:ilvl="2" w:tplc="B2749EA6">
      <w:numFmt w:val="decimal"/>
      <w:lvlText w:val=""/>
      <w:lvlJc w:val="left"/>
    </w:lvl>
    <w:lvl w:ilvl="3" w:tplc="B5587480">
      <w:numFmt w:val="decimal"/>
      <w:lvlText w:val=""/>
      <w:lvlJc w:val="left"/>
    </w:lvl>
    <w:lvl w:ilvl="4" w:tplc="E40C5A1C">
      <w:numFmt w:val="decimal"/>
      <w:lvlText w:val=""/>
      <w:lvlJc w:val="left"/>
    </w:lvl>
    <w:lvl w:ilvl="5" w:tplc="6712BE26">
      <w:numFmt w:val="decimal"/>
      <w:lvlText w:val=""/>
      <w:lvlJc w:val="left"/>
    </w:lvl>
    <w:lvl w:ilvl="6" w:tplc="5BD45870">
      <w:numFmt w:val="decimal"/>
      <w:lvlText w:val=""/>
      <w:lvlJc w:val="left"/>
    </w:lvl>
    <w:lvl w:ilvl="7" w:tplc="2494A642">
      <w:numFmt w:val="decimal"/>
      <w:lvlText w:val=""/>
      <w:lvlJc w:val="left"/>
    </w:lvl>
    <w:lvl w:ilvl="8" w:tplc="A26EE944">
      <w:numFmt w:val="decimal"/>
      <w:lvlText w:val=""/>
      <w:lvlJc w:val="left"/>
    </w:lvl>
  </w:abstractNum>
  <w:abstractNum w:abstractNumId="6">
    <w:nsid w:val="507ED7AB"/>
    <w:multiLevelType w:val="hybridMultilevel"/>
    <w:tmpl w:val="4BC67170"/>
    <w:lvl w:ilvl="0" w:tplc="57BA0D8E">
      <w:start w:val="1"/>
      <w:numFmt w:val="bullet"/>
      <w:lvlText w:val="а"/>
      <w:lvlJc w:val="left"/>
    </w:lvl>
    <w:lvl w:ilvl="1" w:tplc="6E38DD90">
      <w:numFmt w:val="decimal"/>
      <w:lvlText w:val=""/>
      <w:lvlJc w:val="left"/>
    </w:lvl>
    <w:lvl w:ilvl="2" w:tplc="69F8DACC">
      <w:numFmt w:val="decimal"/>
      <w:lvlText w:val=""/>
      <w:lvlJc w:val="left"/>
    </w:lvl>
    <w:lvl w:ilvl="3" w:tplc="813A2B58">
      <w:numFmt w:val="decimal"/>
      <w:lvlText w:val=""/>
      <w:lvlJc w:val="left"/>
    </w:lvl>
    <w:lvl w:ilvl="4" w:tplc="3FDE9AD0">
      <w:numFmt w:val="decimal"/>
      <w:lvlText w:val=""/>
      <w:lvlJc w:val="left"/>
    </w:lvl>
    <w:lvl w:ilvl="5" w:tplc="A22C057A">
      <w:numFmt w:val="decimal"/>
      <w:lvlText w:val=""/>
      <w:lvlJc w:val="left"/>
    </w:lvl>
    <w:lvl w:ilvl="6" w:tplc="6B0ADD1C">
      <w:numFmt w:val="decimal"/>
      <w:lvlText w:val=""/>
      <w:lvlJc w:val="left"/>
    </w:lvl>
    <w:lvl w:ilvl="7" w:tplc="34F02DB2">
      <w:numFmt w:val="decimal"/>
      <w:lvlText w:val=""/>
      <w:lvlJc w:val="left"/>
    </w:lvl>
    <w:lvl w:ilvl="8" w:tplc="50DEAAE6">
      <w:numFmt w:val="decimal"/>
      <w:lvlText w:val=""/>
      <w:lvlJc w:val="left"/>
    </w:lvl>
  </w:abstractNum>
  <w:abstractNum w:abstractNumId="7">
    <w:nsid w:val="515F007C"/>
    <w:multiLevelType w:val="hybridMultilevel"/>
    <w:tmpl w:val="212631FA"/>
    <w:lvl w:ilvl="0" w:tplc="A3B02B5C">
      <w:start w:val="1"/>
      <w:numFmt w:val="bullet"/>
      <w:lvlText w:val="й"/>
      <w:lvlJc w:val="left"/>
    </w:lvl>
    <w:lvl w:ilvl="1" w:tplc="C0AAC856">
      <w:start w:val="1"/>
      <w:numFmt w:val="decimal"/>
      <w:lvlText w:val="%2."/>
      <w:lvlJc w:val="left"/>
    </w:lvl>
    <w:lvl w:ilvl="2" w:tplc="063C6EA4">
      <w:numFmt w:val="decimal"/>
      <w:lvlText w:val=""/>
      <w:lvlJc w:val="left"/>
    </w:lvl>
    <w:lvl w:ilvl="3" w:tplc="15F233DC">
      <w:numFmt w:val="decimal"/>
      <w:lvlText w:val=""/>
      <w:lvlJc w:val="left"/>
    </w:lvl>
    <w:lvl w:ilvl="4" w:tplc="07C43086">
      <w:numFmt w:val="decimal"/>
      <w:lvlText w:val=""/>
      <w:lvlJc w:val="left"/>
    </w:lvl>
    <w:lvl w:ilvl="5" w:tplc="DFB83E4C">
      <w:numFmt w:val="decimal"/>
      <w:lvlText w:val=""/>
      <w:lvlJc w:val="left"/>
    </w:lvl>
    <w:lvl w:ilvl="6" w:tplc="48B837B6">
      <w:numFmt w:val="decimal"/>
      <w:lvlText w:val=""/>
      <w:lvlJc w:val="left"/>
    </w:lvl>
    <w:lvl w:ilvl="7" w:tplc="B2669006">
      <w:numFmt w:val="decimal"/>
      <w:lvlText w:val=""/>
      <w:lvlJc w:val="left"/>
    </w:lvl>
    <w:lvl w:ilvl="8" w:tplc="C34A8B90">
      <w:numFmt w:val="decimal"/>
      <w:lvlText w:val=""/>
      <w:lvlJc w:val="left"/>
    </w:lvl>
  </w:abstractNum>
  <w:abstractNum w:abstractNumId="8">
    <w:nsid w:val="5BD062C2"/>
    <w:multiLevelType w:val="hybridMultilevel"/>
    <w:tmpl w:val="8C60E6F0"/>
    <w:lvl w:ilvl="0" w:tplc="1E82CA20">
      <w:start w:val="1"/>
      <w:numFmt w:val="bullet"/>
      <w:lvlText w:val="й"/>
      <w:lvlJc w:val="left"/>
    </w:lvl>
    <w:lvl w:ilvl="1" w:tplc="A364A3AA">
      <w:start w:val="2"/>
      <w:numFmt w:val="decimal"/>
      <w:lvlText w:val="%2."/>
      <w:lvlJc w:val="left"/>
    </w:lvl>
    <w:lvl w:ilvl="2" w:tplc="239EBB40">
      <w:numFmt w:val="decimal"/>
      <w:lvlText w:val=""/>
      <w:lvlJc w:val="left"/>
    </w:lvl>
    <w:lvl w:ilvl="3" w:tplc="174C2A00">
      <w:numFmt w:val="decimal"/>
      <w:lvlText w:val=""/>
      <w:lvlJc w:val="left"/>
    </w:lvl>
    <w:lvl w:ilvl="4" w:tplc="898EB264">
      <w:numFmt w:val="decimal"/>
      <w:lvlText w:val=""/>
      <w:lvlJc w:val="left"/>
    </w:lvl>
    <w:lvl w:ilvl="5" w:tplc="30EE719E">
      <w:numFmt w:val="decimal"/>
      <w:lvlText w:val=""/>
      <w:lvlJc w:val="left"/>
    </w:lvl>
    <w:lvl w:ilvl="6" w:tplc="471A1E6E">
      <w:numFmt w:val="decimal"/>
      <w:lvlText w:val=""/>
      <w:lvlJc w:val="left"/>
    </w:lvl>
    <w:lvl w:ilvl="7" w:tplc="EA58C574">
      <w:numFmt w:val="decimal"/>
      <w:lvlText w:val=""/>
      <w:lvlJc w:val="left"/>
    </w:lvl>
    <w:lvl w:ilvl="8" w:tplc="98D00F22">
      <w:numFmt w:val="decimal"/>
      <w:lvlText w:val=""/>
      <w:lvlJc w:val="left"/>
    </w:lvl>
  </w:abstractNum>
  <w:abstractNum w:abstractNumId="9">
    <w:nsid w:val="7545E146"/>
    <w:multiLevelType w:val="hybridMultilevel"/>
    <w:tmpl w:val="61B0FC5C"/>
    <w:lvl w:ilvl="0" w:tplc="E3D8854C">
      <w:start w:val="1"/>
      <w:numFmt w:val="decimal"/>
      <w:lvlText w:val="%1."/>
      <w:lvlJc w:val="left"/>
    </w:lvl>
    <w:lvl w:ilvl="1" w:tplc="2DA465C4">
      <w:numFmt w:val="decimal"/>
      <w:lvlText w:val=""/>
      <w:lvlJc w:val="left"/>
    </w:lvl>
    <w:lvl w:ilvl="2" w:tplc="6CCC641C">
      <w:numFmt w:val="decimal"/>
      <w:lvlText w:val=""/>
      <w:lvlJc w:val="left"/>
    </w:lvl>
    <w:lvl w:ilvl="3" w:tplc="1A602056">
      <w:numFmt w:val="decimal"/>
      <w:lvlText w:val=""/>
      <w:lvlJc w:val="left"/>
    </w:lvl>
    <w:lvl w:ilvl="4" w:tplc="0780F7EA">
      <w:numFmt w:val="decimal"/>
      <w:lvlText w:val=""/>
      <w:lvlJc w:val="left"/>
    </w:lvl>
    <w:lvl w:ilvl="5" w:tplc="8DA0AD86">
      <w:numFmt w:val="decimal"/>
      <w:lvlText w:val=""/>
      <w:lvlJc w:val="left"/>
    </w:lvl>
    <w:lvl w:ilvl="6" w:tplc="83DADC12">
      <w:numFmt w:val="decimal"/>
      <w:lvlText w:val=""/>
      <w:lvlJc w:val="left"/>
    </w:lvl>
    <w:lvl w:ilvl="7" w:tplc="1BE8F560">
      <w:numFmt w:val="decimal"/>
      <w:lvlText w:val=""/>
      <w:lvlJc w:val="left"/>
    </w:lvl>
    <w:lvl w:ilvl="8" w:tplc="E44CFC7E">
      <w:numFmt w:val="decimal"/>
      <w:lvlText w:val=""/>
      <w:lvlJc w:val="left"/>
    </w:lvl>
  </w:abstractNum>
  <w:abstractNum w:abstractNumId="10">
    <w:nsid w:val="79E2A9E3"/>
    <w:multiLevelType w:val="hybridMultilevel"/>
    <w:tmpl w:val="623ACA8E"/>
    <w:lvl w:ilvl="0" w:tplc="5170BACC">
      <w:start w:val="1"/>
      <w:numFmt w:val="bullet"/>
      <w:lvlText w:val="ІІ"/>
      <w:lvlJc w:val="left"/>
    </w:lvl>
    <w:lvl w:ilvl="1" w:tplc="B7B2D24E">
      <w:numFmt w:val="decimal"/>
      <w:lvlText w:val=""/>
      <w:lvlJc w:val="left"/>
    </w:lvl>
    <w:lvl w:ilvl="2" w:tplc="987A1E02">
      <w:numFmt w:val="decimal"/>
      <w:lvlText w:val=""/>
      <w:lvlJc w:val="left"/>
    </w:lvl>
    <w:lvl w:ilvl="3" w:tplc="952AFA14">
      <w:numFmt w:val="decimal"/>
      <w:lvlText w:val=""/>
      <w:lvlJc w:val="left"/>
    </w:lvl>
    <w:lvl w:ilvl="4" w:tplc="8CEE26A6">
      <w:numFmt w:val="decimal"/>
      <w:lvlText w:val=""/>
      <w:lvlJc w:val="left"/>
    </w:lvl>
    <w:lvl w:ilvl="5" w:tplc="09A68096">
      <w:numFmt w:val="decimal"/>
      <w:lvlText w:val=""/>
      <w:lvlJc w:val="left"/>
    </w:lvl>
    <w:lvl w:ilvl="6" w:tplc="5D38CACA">
      <w:numFmt w:val="decimal"/>
      <w:lvlText w:val=""/>
      <w:lvlJc w:val="left"/>
    </w:lvl>
    <w:lvl w:ilvl="7" w:tplc="65DE5826">
      <w:numFmt w:val="decimal"/>
      <w:lvlText w:val=""/>
      <w:lvlJc w:val="left"/>
    </w:lvl>
    <w:lvl w:ilvl="8" w:tplc="2F9A6F5A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0"/>
  </w:num>
  <w:num w:numId="5">
    <w:abstractNumId w:val="9"/>
  </w:num>
  <w:num w:numId="6">
    <w:abstractNumId w:val="7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14387"/>
    <w:rsid w:val="00514387"/>
    <w:rsid w:val="00695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B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4728</Words>
  <Characters>26955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2018-11-10T20:15:00Z</dcterms:created>
  <dcterms:modified xsi:type="dcterms:W3CDTF">2018-11-10T20:15:00Z</dcterms:modified>
</cp:coreProperties>
</file>