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C58BB" w:rsidRPr="00FD5F7C" w:rsidRDefault="002C58BB" w:rsidP="002C58BB">
      <w:pPr>
        <w:adjustRightInd w:val="0"/>
        <w:snapToGrid w:val="0"/>
        <w:spacing w:after="0" w:line="240" w:lineRule="auto"/>
        <w:ind w:firstLine="720"/>
        <w:jc w:val="center"/>
        <w:rPr>
          <w:rFonts w:ascii="Times New Roman" w:hAnsi="Times New Roman" w:cs="Times New Roman"/>
          <w:i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Оразцова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Н.</w:t>
      </w:r>
      <w:r w:rsidRPr="00FD5F7C">
        <w:rPr>
          <w:rFonts w:ascii="Times New Roman" w:hAnsi="Times New Roman" w:cs="Times New Roman"/>
          <w:i/>
          <w:sz w:val="28"/>
          <w:szCs w:val="28"/>
          <w:lang w:val="uk-UA"/>
        </w:rPr>
        <w:t>О.</w:t>
      </w:r>
    </w:p>
    <w:p w:rsidR="002C58BB" w:rsidRPr="00FD5F7C" w:rsidRDefault="002C58BB" w:rsidP="002C58BB">
      <w:pPr>
        <w:adjustRightInd w:val="0"/>
        <w:snapToGrid w:val="0"/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FD5F7C">
        <w:rPr>
          <w:rFonts w:ascii="Times New Roman" w:hAnsi="Times New Roman" w:cs="Times New Roman"/>
          <w:b/>
          <w:sz w:val="28"/>
          <w:szCs w:val="28"/>
          <w:lang w:val="uk-UA"/>
        </w:rPr>
        <w:t>ВИКОРИСТАННЯ МЕТОДИКИ КІНЕЗІОТЕЙПУВАННЯ У ЛІКУВАННІ СКОЛІОЗІВ</w:t>
      </w:r>
    </w:p>
    <w:p w:rsidR="002C58BB" w:rsidRPr="009205C4" w:rsidRDefault="002C58BB" w:rsidP="002C58B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Кафедра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спортивної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медицини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фізичної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реабілітації</w:t>
      </w:r>
      <w:proofErr w:type="spellEnd"/>
    </w:p>
    <w:p w:rsidR="002C58BB" w:rsidRDefault="002C58BB" w:rsidP="002C58B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205C4">
        <w:rPr>
          <w:rFonts w:ascii="Times New Roman" w:hAnsi="Times New Roman" w:cs="Times New Roman"/>
          <w:sz w:val="24"/>
          <w:szCs w:val="24"/>
        </w:rPr>
        <w:t xml:space="preserve">з курсом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фізичного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виховання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та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здоров’я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</w:p>
    <w:p w:rsidR="002C58BB" w:rsidRPr="009205C4" w:rsidRDefault="002C58BB" w:rsidP="002C58B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Харківський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>ціональний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медичний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університет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9205C4">
        <w:rPr>
          <w:rFonts w:ascii="Times New Roman" w:hAnsi="Times New Roman" w:cs="Times New Roman"/>
          <w:sz w:val="24"/>
          <w:szCs w:val="24"/>
        </w:rPr>
        <w:t xml:space="preserve">м. </w:t>
      </w:r>
      <w:proofErr w:type="spellStart"/>
      <w:r w:rsidRPr="009205C4">
        <w:rPr>
          <w:rFonts w:ascii="Times New Roman" w:hAnsi="Times New Roman" w:cs="Times New Roman"/>
          <w:sz w:val="24"/>
          <w:szCs w:val="24"/>
        </w:rPr>
        <w:t>Харків</w:t>
      </w:r>
      <w:proofErr w:type="spellEnd"/>
      <w:r w:rsidRPr="009205C4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Україна</w:t>
      </w:r>
      <w:proofErr w:type="spellEnd"/>
    </w:p>
    <w:p w:rsidR="002C58BB" w:rsidRDefault="002C58BB" w:rsidP="002C58BB">
      <w:pPr>
        <w:adjustRightInd w:val="0"/>
        <w:snapToGrid w:val="0"/>
        <w:spacing w:after="0" w:line="240" w:lineRule="auto"/>
        <w:ind w:firstLine="720"/>
        <w:jc w:val="center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Науковий керівник: </w:t>
      </w:r>
      <w:r w:rsidRPr="00FD5F7C">
        <w:rPr>
          <w:rFonts w:ascii="Times New Roman" w:hAnsi="Times New Roman" w:cs="Times New Roman"/>
          <w:sz w:val="24"/>
          <w:szCs w:val="24"/>
          <w:lang w:val="uk-UA"/>
        </w:rPr>
        <w:t xml:space="preserve">ас. </w:t>
      </w:r>
      <w:proofErr w:type="spellStart"/>
      <w:r w:rsidRPr="00FD5F7C">
        <w:rPr>
          <w:rFonts w:ascii="Times New Roman" w:hAnsi="Times New Roman" w:cs="Times New Roman"/>
          <w:sz w:val="24"/>
          <w:szCs w:val="24"/>
          <w:lang w:val="uk-UA"/>
        </w:rPr>
        <w:t>Сушецька</w:t>
      </w:r>
      <w:proofErr w:type="spellEnd"/>
      <w:r w:rsidRPr="00FD5F7C">
        <w:rPr>
          <w:rFonts w:ascii="Times New Roman" w:hAnsi="Times New Roman" w:cs="Times New Roman"/>
          <w:sz w:val="24"/>
          <w:szCs w:val="24"/>
          <w:lang w:val="uk-UA"/>
        </w:rPr>
        <w:t xml:space="preserve"> А.С.</w:t>
      </w:r>
    </w:p>
    <w:p w:rsidR="002C58BB" w:rsidRPr="00FD5F7C" w:rsidRDefault="002C58BB" w:rsidP="002C58BB">
      <w:pPr>
        <w:adjustRightInd w:val="0"/>
        <w:snapToGrid w:val="0"/>
        <w:spacing w:after="0" w:line="240" w:lineRule="auto"/>
        <w:ind w:firstLine="720"/>
        <w:jc w:val="center"/>
        <w:rPr>
          <w:rFonts w:ascii="Times New Roman" w:hAnsi="Times New Roman" w:cs="Times New Roman"/>
          <w:sz w:val="24"/>
          <w:szCs w:val="24"/>
          <w:lang w:val="uk-UA"/>
        </w:rPr>
      </w:pPr>
    </w:p>
    <w:p w:rsidR="002C58BB" w:rsidRDefault="002C58BB" w:rsidP="002C58BB">
      <w:pPr>
        <w:adjustRightInd w:val="0"/>
        <w:snapToGri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Вивчаючи сукупність ортопедичних патологій у дітей та підлітків,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можена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виявити, що </w:t>
      </w:r>
      <w:r w:rsidRPr="003C15E7">
        <w:rPr>
          <w:rFonts w:ascii="Times New Roman" w:hAnsi="Times New Roman" w:cs="Times New Roman"/>
          <w:sz w:val="28"/>
          <w:szCs w:val="28"/>
          <w:lang w:val="uk-UA"/>
        </w:rPr>
        <w:t xml:space="preserve">на першому місті знаходяться захворювання хребта. Найбільш частими з них є сколіоз – основним симптомом якого є формування багато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площинної деформації хребта. </w:t>
      </w:r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t>Важкі форми сколіозу призводять до вираженого косметичного дефекту і порушення функції внутрішніх органів. Питання про частоту сколіозу широко розглянуто як у вітчизняній, так і в зарубіжній літературі, однак наведені в ній дані характеризуються великим розкидом.</w:t>
      </w:r>
    </w:p>
    <w:p w:rsidR="002C58BB" w:rsidRDefault="002C58BB" w:rsidP="002C58BB">
      <w:pPr>
        <w:adjustRightInd w:val="0"/>
        <w:snapToGri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>У авторів не має єдиної думки про</w:t>
      </w:r>
      <w:r w:rsidRPr="00284456"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етіологію захворювання і послідовності розвитку патологічних змін у хребті.</w:t>
      </w:r>
      <w:r>
        <w:rPr>
          <w:rFonts w:ascii="Times New Roman" w:eastAsia="Times New Roman" w:hAnsi="Times New Roman" w:cs="Times New Roman"/>
          <w:color w:val="222222"/>
          <w:sz w:val="28"/>
          <w:szCs w:val="28"/>
          <w:lang w:val="uk-UA"/>
        </w:rPr>
        <w:t xml:space="preserve"> Деякі з авторів вбачають етіологію та патогенез у</w:t>
      </w:r>
      <w:r w:rsidRPr="002844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дисплазії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між</w:t>
      </w:r>
      <w:r w:rsidRPr="003C15E7">
        <w:rPr>
          <w:rFonts w:ascii="Times New Roman" w:hAnsi="Times New Roman" w:cs="Times New Roman"/>
          <w:sz w:val="28"/>
          <w:szCs w:val="28"/>
          <w:lang w:val="uk-UA"/>
        </w:rPr>
        <w:t>хребтового</w:t>
      </w:r>
      <w:proofErr w:type="spellEnd"/>
      <w:r w:rsidRPr="003C15E7">
        <w:rPr>
          <w:rFonts w:ascii="Times New Roman" w:hAnsi="Times New Roman" w:cs="Times New Roman"/>
          <w:sz w:val="28"/>
          <w:szCs w:val="28"/>
          <w:lang w:val="uk-UA"/>
        </w:rPr>
        <w:t xml:space="preserve"> диску на верхів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ці основної кривизни деформації, інші - у боковому викривленні з наступним формуванням ротації, а деякі - у змінах в сагітальній площині, та </w:t>
      </w:r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мінімальну </w:t>
      </w:r>
      <w:proofErr w:type="spellStart"/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t>дисфункцію</w:t>
      </w:r>
      <w:proofErr w:type="spellEnd"/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не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рвової системи в сукупності з порушенням темпів росту скелету, або спинного мозку</w:t>
      </w:r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t>.</w:t>
      </w:r>
    </w:p>
    <w:p w:rsidR="002C58BB" w:rsidRDefault="002C58BB" w:rsidP="002C58BB">
      <w:pPr>
        <w:adjustRightInd w:val="0"/>
        <w:snapToGri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Ціллю нашого дослідження було вивчення можливостей використання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кінезіотейпування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, як лікувальної методики в роботі зі сколіозами. Чи можливо включити у протокол лікування цю новітню методику.</w:t>
      </w:r>
    </w:p>
    <w:p w:rsidR="002C58BB" w:rsidRPr="00933329" w:rsidRDefault="002C58BB" w:rsidP="002C58BB">
      <w:pPr>
        <w:adjustRightInd w:val="0"/>
        <w:snapToGrid w:val="0"/>
        <w:spacing w:after="0" w:line="360" w:lineRule="auto"/>
        <w:ind w:firstLine="720"/>
        <w:jc w:val="both"/>
        <w:rPr>
          <w:rFonts w:ascii="Times New Roman" w:hAnsi="Times New Roman" w:cs="Times New Roman"/>
          <w:color w:val="222222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Методом дослідження  був теоретичний аналіз джерел та проведення експерименту на групі підлітків.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За даними іноземних досліджень, що до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нехірургічного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лікування сколіозів, на першому місці стоїть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загальнозміцнююча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терапія, ЛФК. Це підходить для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ідіоп</w:t>
      </w:r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t>атичних</w:t>
      </w:r>
      <w:proofErr w:type="spellEnd"/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кривих між 20 градусами і 40 градусами, при цьому успішний контроль цих кривих відмічається у біль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ш ніж 70% пацієнтів. Д</w:t>
      </w:r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отримання пацієнтом встановленої тривалості носіння корсету має важливе значення для досягнення </w:t>
      </w:r>
      <w:r w:rsidRPr="003C15E7">
        <w:rPr>
          <w:rFonts w:ascii="Times New Roman" w:hAnsi="Times New Roman" w:cs="Times New Roman"/>
          <w:color w:val="222222"/>
          <w:sz w:val="28"/>
          <w:szCs w:val="28"/>
          <w:lang w:val="uk-UA"/>
        </w:rPr>
        <w:lastRenderedPageBreak/>
        <w:t>максимальної ефективності.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Тож нами були  використані стандартні протоколи лікування з використанням носіння корсету і </w:t>
      </w:r>
      <w:proofErr w:type="spellStart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>кінезіотейпування</w:t>
      </w:r>
      <w:proofErr w:type="spellEnd"/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, як </w:t>
      </w:r>
      <w:r>
        <w:rPr>
          <w:rFonts w:ascii="Times New Roman" w:hAnsi="Times New Roman" w:cs="Times New Roman"/>
          <w:sz w:val="28"/>
          <w:szCs w:val="28"/>
          <w:lang w:val="uk-UA"/>
        </w:rPr>
        <w:t>альтернативного</w:t>
      </w:r>
      <w:r w:rsidRPr="003C15E7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C15E7">
        <w:rPr>
          <w:rFonts w:ascii="Times New Roman" w:hAnsi="Times New Roman" w:cs="Times New Roman"/>
          <w:sz w:val="28"/>
          <w:szCs w:val="28"/>
          <w:lang w:val="uk-UA"/>
        </w:rPr>
        <w:t>, який може бути використаний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при даній патології. </w:t>
      </w:r>
      <w:r w:rsidRPr="003C15E7">
        <w:rPr>
          <w:rFonts w:ascii="Times New Roman" w:hAnsi="Times New Roman" w:cs="Times New Roman"/>
          <w:sz w:val="28"/>
          <w:szCs w:val="28"/>
          <w:lang w:val="uk-UA"/>
        </w:rPr>
        <w:t xml:space="preserve">Техніка </w:t>
      </w:r>
      <w:proofErr w:type="spellStart"/>
      <w:r w:rsidRPr="003C15E7">
        <w:rPr>
          <w:rFonts w:ascii="Times New Roman" w:hAnsi="Times New Roman" w:cs="Times New Roman"/>
          <w:sz w:val="28"/>
          <w:szCs w:val="28"/>
          <w:lang w:val="uk-UA"/>
        </w:rPr>
        <w:t>тейпування</w:t>
      </w:r>
      <w:proofErr w:type="spellEnd"/>
      <w:r w:rsidRPr="003C15E7">
        <w:rPr>
          <w:rFonts w:ascii="Times New Roman" w:hAnsi="Times New Roman" w:cs="Times New Roman"/>
          <w:sz w:val="28"/>
          <w:szCs w:val="28"/>
          <w:lang w:val="uk-UA"/>
        </w:rPr>
        <w:t xml:space="preserve"> – це терапевтичний метод відновного лікування, заснований на активації </w:t>
      </w:r>
      <w:proofErr w:type="spellStart"/>
      <w:r w:rsidRPr="003C15E7">
        <w:rPr>
          <w:rFonts w:ascii="Times New Roman" w:hAnsi="Times New Roman" w:cs="Times New Roman"/>
          <w:sz w:val="28"/>
          <w:szCs w:val="28"/>
          <w:lang w:val="uk-UA"/>
        </w:rPr>
        <w:t>пропріорецептивних</w:t>
      </w:r>
      <w:proofErr w:type="spellEnd"/>
      <w:r w:rsidRPr="003C15E7">
        <w:rPr>
          <w:rFonts w:ascii="Times New Roman" w:hAnsi="Times New Roman" w:cs="Times New Roman"/>
          <w:sz w:val="28"/>
          <w:szCs w:val="28"/>
          <w:lang w:val="uk-UA"/>
        </w:rPr>
        <w:t xml:space="preserve"> м’язових волокон, поліпшенні </w:t>
      </w:r>
      <w:proofErr w:type="spellStart"/>
      <w:r w:rsidRPr="003C15E7">
        <w:rPr>
          <w:rFonts w:ascii="Times New Roman" w:hAnsi="Times New Roman" w:cs="Times New Roman"/>
          <w:sz w:val="28"/>
          <w:szCs w:val="28"/>
          <w:lang w:val="uk-UA"/>
        </w:rPr>
        <w:t>мікроциркуляції</w:t>
      </w:r>
      <w:proofErr w:type="spellEnd"/>
      <w:r w:rsidRPr="003C15E7">
        <w:rPr>
          <w:rFonts w:ascii="Times New Roman" w:hAnsi="Times New Roman" w:cs="Times New Roman"/>
          <w:sz w:val="28"/>
          <w:szCs w:val="28"/>
          <w:lang w:val="uk-UA"/>
        </w:rPr>
        <w:t xml:space="preserve"> крові та лімфи.</w:t>
      </w:r>
      <w:r>
        <w:rPr>
          <w:rFonts w:ascii="Times New Roman" w:hAnsi="Times New Roman" w:cs="Times New Roman"/>
          <w:color w:val="222222"/>
          <w:sz w:val="28"/>
          <w:szCs w:val="28"/>
          <w:lang w:val="uk-UA"/>
        </w:rPr>
        <w:t xml:space="preserve"> </w:t>
      </w:r>
      <w:r w:rsidRPr="003C15E7">
        <w:rPr>
          <w:rFonts w:ascii="Times New Roman" w:hAnsi="Times New Roman" w:cs="Times New Roman"/>
          <w:sz w:val="28"/>
          <w:szCs w:val="28"/>
          <w:lang w:val="uk-UA"/>
        </w:rPr>
        <w:t>Ця методика дозволяє пацієнту активно займатися фізичним навантаженням, формувати та підтримувати м’язов</w:t>
      </w:r>
      <w:r>
        <w:rPr>
          <w:rFonts w:ascii="Times New Roman" w:hAnsi="Times New Roman" w:cs="Times New Roman"/>
          <w:sz w:val="28"/>
          <w:szCs w:val="28"/>
          <w:lang w:val="uk-UA"/>
        </w:rPr>
        <w:t>ий корсет спини, не обмежуючі його рухів.</w:t>
      </w:r>
      <w:r w:rsidRPr="003C15E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2C58BB" w:rsidRDefault="002C58BB" w:rsidP="002C58BB">
      <w:pPr>
        <w:adjustRightInd w:val="0"/>
        <w:snapToGri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Вивчивши особливості даної методики, ми провели дослідження по вивченню її ефективності в корекції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идеопатичного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сколіозу у підлітків. </w:t>
      </w:r>
    </w:p>
    <w:p w:rsidR="002C58BB" w:rsidRDefault="002C58BB" w:rsidP="002C58BB">
      <w:pPr>
        <w:adjustRightInd w:val="0"/>
        <w:snapToGri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 даними дослідження у групі без використання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кінезіотейпування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рентгенологічна картина в 30,2% виявила зменшення відхилення  на 1-2º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Коббу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у 26,5% на 3º, у 12,7% деформація збільшилася на 1-2º. А у групі з використанням нової методики -</w:t>
      </w:r>
      <w:r w:rsidRPr="009333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рентгенологічна картина в 32,7% виявила зменшення відхилення  на 1-2º по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Коббу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у 28,8% на 3º і тільки у 8, 3% на 1-2º збільшилися.</w:t>
      </w:r>
    </w:p>
    <w:p w:rsidR="002C58BB" w:rsidRDefault="002C58BB" w:rsidP="002C58BB">
      <w:pPr>
        <w:adjustRightInd w:val="0"/>
        <w:snapToGri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Ця методика була випробувана на базі університетської клініки ХНМУ на кафедрі фізичної реабілітації та спортивної медицини.</w:t>
      </w:r>
      <w:r w:rsidRPr="00F0598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Ми помітити, що позитивна динаміка найбільш помітна у групах із застосуванням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кінезіотейпування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C58BB" w:rsidRDefault="002C58BB" w:rsidP="002C58BB">
      <w:pPr>
        <w:adjustRightInd w:val="0"/>
        <w:snapToGrid w:val="0"/>
        <w:spacing w:after="0"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Таким чином, використання нової методики потребує ретельного вивчення і подальшого використання, як доповнення стандартного протоколу лікування сколіозів, що дозволить зменшити носіння коректора, жорсткого корсету, поліпшити якість життя пацієнта, та поліпшити стан м’язів.</w:t>
      </w:r>
    </w:p>
    <w:p w:rsidR="0011518C" w:rsidRDefault="0011518C">
      <w:bookmarkStart w:id="0" w:name="_GoBack"/>
      <w:bookmarkEnd w:id="0"/>
    </w:p>
    <w:sectPr w:rsidR="0011518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2AA7"/>
    <w:rsid w:val="0011518C"/>
    <w:rsid w:val="002C58BB"/>
    <w:rsid w:val="00742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58B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2924</Characters>
  <Application>Microsoft Office Word</Application>
  <DocSecurity>0</DocSecurity>
  <Lines>24</Lines>
  <Paragraphs>6</Paragraphs>
  <ScaleCrop>false</ScaleCrop>
  <Company/>
  <LinksUpToDate>false</LinksUpToDate>
  <CharactersWithSpaces>3430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Комп</dc:creator>
  <cp:keywords/>
  <dc:description/>
  <cp:lastModifiedBy>Комп</cp:lastModifiedBy>
  <cp:revision>2</cp:revision>
  <dcterms:created xsi:type="dcterms:W3CDTF">2019-11-30T19:37:00Z</dcterms:created>
  <dcterms:modified xsi:type="dcterms:W3CDTF">2019-11-30T19:37:00Z</dcterms:modified>
</cp:coreProperties>
</file>