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FC3" w:rsidRDefault="00D00FC3" w:rsidP="00194D47">
      <w:pPr>
        <w:spacing w:line="288" w:lineRule="auto"/>
        <w:ind w:firstLine="709"/>
        <w:jc w:val="center"/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>Рац С.Н., Тоцкая Я.В., Лебедь Р.И.</w:t>
      </w:r>
    </w:p>
    <w:p w:rsidR="00D00FC3" w:rsidRPr="00BA7BE8" w:rsidRDefault="00D00FC3" w:rsidP="00BA7BE8">
      <w:pPr>
        <w:spacing w:line="288" w:lineRule="auto"/>
        <w:ind w:firstLine="709"/>
        <w:jc w:val="center"/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</w:pPr>
      <w:r w:rsidRPr="00BA7BE8"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>Результаты лечения</w:t>
      </w: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 xml:space="preserve"> </w:t>
      </w:r>
      <w:r w:rsidRPr="007178A1"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 xml:space="preserve">миофасциального болевого </w:t>
      </w:r>
      <w:r w:rsidRPr="00BA7BE8"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 xml:space="preserve">синдрома </w:t>
      </w: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>методом ТЕКАР</w:t>
      </w:r>
      <w:r w:rsidRPr="00574D49"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>-</w:t>
      </w: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>терапии</w:t>
      </w:r>
    </w:p>
    <w:p w:rsidR="00D00FC3" w:rsidRDefault="00D00FC3" w:rsidP="00BA7BE8">
      <w:pPr>
        <w:spacing w:line="288" w:lineRule="auto"/>
        <w:ind w:firstLine="709"/>
        <w:jc w:val="center"/>
        <w:rPr>
          <w:rFonts w:ascii="Times New Roman" w:hAnsi="Times New Roman"/>
          <w:i/>
          <w:iCs/>
          <w:color w:val="000000"/>
          <w:spacing w:val="-8"/>
          <w:sz w:val="28"/>
          <w:szCs w:val="28"/>
          <w:u w:color="000000"/>
          <w:lang w:eastAsia="ru-RU"/>
        </w:rPr>
      </w:pPr>
      <w:r>
        <w:rPr>
          <w:rFonts w:ascii="Times New Roman" w:hAnsi="Times New Roman"/>
          <w:i/>
          <w:iCs/>
          <w:color w:val="000000"/>
          <w:spacing w:val="-8"/>
          <w:sz w:val="28"/>
          <w:szCs w:val="28"/>
          <w:u w:color="000000"/>
          <w:lang w:eastAsia="ru-RU"/>
        </w:rPr>
        <w:t>Учебно-научный медицинский комплекс</w:t>
      </w:r>
      <w:r w:rsidRPr="007178A1">
        <w:rPr>
          <w:rFonts w:ascii="Times New Roman" w:hAnsi="Times New Roman"/>
          <w:i/>
          <w:iCs/>
          <w:color w:val="000000"/>
          <w:spacing w:val="-8"/>
          <w:sz w:val="28"/>
          <w:szCs w:val="28"/>
          <w:u w:color="000000"/>
          <w:lang w:eastAsia="ru-RU"/>
        </w:rPr>
        <w:t xml:space="preserve"> </w:t>
      </w:r>
      <w:r w:rsidRPr="00BA7BE8">
        <w:rPr>
          <w:rFonts w:ascii="Times New Roman" w:hAnsi="Times New Roman"/>
          <w:i/>
          <w:iCs/>
          <w:color w:val="000000"/>
          <w:spacing w:val="-8"/>
          <w:sz w:val="28"/>
          <w:szCs w:val="28"/>
          <w:u w:color="000000"/>
          <w:lang w:eastAsia="ru-RU"/>
        </w:rPr>
        <w:t>«Университетская клиника»</w:t>
      </w:r>
    </w:p>
    <w:p w:rsidR="00D00FC3" w:rsidRPr="00BA7BE8" w:rsidRDefault="00D00FC3" w:rsidP="00BA7BE8">
      <w:pPr>
        <w:spacing w:line="288" w:lineRule="auto"/>
        <w:ind w:firstLine="709"/>
        <w:jc w:val="center"/>
        <w:rPr>
          <w:rFonts w:ascii="Times New Roman" w:hAnsi="Times New Roman"/>
          <w:i/>
          <w:iCs/>
          <w:color w:val="000000"/>
          <w:spacing w:val="-8"/>
          <w:sz w:val="28"/>
          <w:szCs w:val="28"/>
          <w:u w:color="000000"/>
          <w:lang w:eastAsia="ru-RU"/>
        </w:rPr>
      </w:pPr>
      <w:r w:rsidRPr="00BA7BE8">
        <w:rPr>
          <w:rFonts w:ascii="Times New Roman" w:hAnsi="Times New Roman"/>
          <w:i/>
          <w:iCs/>
          <w:color w:val="000000"/>
          <w:spacing w:val="-8"/>
          <w:sz w:val="28"/>
          <w:szCs w:val="28"/>
          <w:u w:color="000000"/>
          <w:lang w:eastAsia="ru-RU"/>
        </w:rPr>
        <w:t>Харьковского национального медицинского университета</w:t>
      </w:r>
      <w:r>
        <w:rPr>
          <w:rFonts w:ascii="Times New Roman" w:hAnsi="Times New Roman"/>
          <w:i/>
          <w:iCs/>
          <w:color w:val="000000"/>
          <w:spacing w:val="-8"/>
          <w:sz w:val="28"/>
          <w:szCs w:val="28"/>
          <w:u w:color="000000"/>
          <w:lang w:eastAsia="ru-RU"/>
        </w:rPr>
        <w:t>, Харьков, Украина</w:t>
      </w:r>
    </w:p>
    <w:p w:rsidR="00D00FC3" w:rsidRPr="00194D47" w:rsidRDefault="00D00FC3" w:rsidP="00194D47">
      <w:pPr>
        <w:spacing w:line="288" w:lineRule="auto"/>
        <w:ind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</w:pPr>
      <w:r w:rsidRPr="00BA7BE8"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>Введение</w:t>
      </w: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 xml:space="preserve">. </w:t>
      </w:r>
      <w:r w:rsidRPr="00194D47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Миофасциальный болевой синдром</w:t>
      </w:r>
      <w:r w:rsidRPr="007178A1">
        <w:rPr>
          <w:rFonts w:ascii="Times New Roman" w:hAnsi="Times New Roman"/>
          <w:b/>
          <w:color w:val="000000"/>
          <w:sz w:val="28"/>
          <w:szCs w:val="28"/>
          <w:u w:color="000000"/>
          <w:lang w:eastAsia="ru-RU"/>
        </w:rPr>
        <w:t xml:space="preserve"> </w:t>
      </w:r>
      <w:r w:rsidRPr="007178A1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характеризуется наличием боли и вегетативных симптомов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,</w:t>
      </w:r>
      <w:r w:rsidRPr="007178A1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отраженных из активных </w:t>
      </w:r>
      <w:r w:rsidRPr="00194D47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миофасциальных триггерных точек (МТТ)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с проявлением дисфункции </w:t>
      </w:r>
      <w:r w:rsidRPr="007178A1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мышц. </w:t>
      </w:r>
      <w:r w:rsidRPr="00DD5853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Чаще всего данная патология возникает у людей, занимающихся тяжелым физическим трудом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и спортсменов, однако в ряде случаев МТТ могут появляться и у людей, ведущих малоподвижный образ жизни. </w:t>
      </w:r>
    </w:p>
    <w:p w:rsidR="00D00FC3" w:rsidRPr="00194D47" w:rsidRDefault="00D00FC3" w:rsidP="00194D47">
      <w:pPr>
        <w:spacing w:line="288" w:lineRule="auto"/>
        <w:ind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</w:pPr>
      <w:r w:rsidRPr="00BA7BE8"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>Цель исследования</w:t>
      </w: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 xml:space="preserve">. 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Изучить результаты лечения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миофасциального болевого синдрома после применения метода текар-терапии (</w:t>
      </w:r>
      <w:r>
        <w:rPr>
          <w:rFonts w:ascii="Times New Roman" w:hAnsi="Times New Roman"/>
          <w:color w:val="000000"/>
          <w:sz w:val="28"/>
          <w:szCs w:val="28"/>
          <w:u w:color="000000"/>
          <w:lang w:val="en-US" w:eastAsia="ru-RU"/>
        </w:rPr>
        <w:t>T</w:t>
      </w:r>
      <w:r w:rsidRPr="00AC6B5B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-</w:t>
      </w:r>
      <w:r>
        <w:rPr>
          <w:rFonts w:ascii="Times New Roman" w:hAnsi="Times New Roman"/>
          <w:color w:val="000000"/>
          <w:sz w:val="28"/>
          <w:szCs w:val="28"/>
          <w:u w:color="000000"/>
          <w:lang w:val="en-US" w:eastAsia="ru-RU"/>
        </w:rPr>
        <w:t>CaRe</w:t>
      </w:r>
      <w:r w:rsidRPr="00AC6B5B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– </w:t>
      </w:r>
      <w:r>
        <w:rPr>
          <w:rFonts w:ascii="Times New Roman" w:hAnsi="Times New Roman"/>
          <w:color w:val="000000"/>
          <w:sz w:val="28"/>
          <w:szCs w:val="28"/>
          <w:u w:color="000000"/>
          <w:lang w:val="en-US" w:eastAsia="ru-RU"/>
        </w:rPr>
        <w:t>Capacitive</w:t>
      </w:r>
      <w:r w:rsidRPr="00AC6B5B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u w:color="000000"/>
          <w:lang w:val="en-US" w:eastAsia="ru-RU"/>
        </w:rPr>
        <w:t>Resistive</w:t>
      </w:r>
      <w:r w:rsidRPr="00AC6B5B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u w:color="000000"/>
          <w:lang w:val="en-US" w:eastAsia="ru-RU"/>
        </w:rPr>
        <w:t>Technology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)</w:t>
      </w:r>
      <w:r w:rsidRPr="00AC6B5B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.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 </w:t>
      </w:r>
    </w:p>
    <w:p w:rsidR="00D00FC3" w:rsidRPr="00AC6B5B" w:rsidRDefault="00D00FC3" w:rsidP="00AC6B5B">
      <w:pPr>
        <w:spacing w:line="288" w:lineRule="auto"/>
        <w:ind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</w:pPr>
      <w:r w:rsidRPr="00BA7BE8"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>Материалы и методы</w:t>
      </w:r>
      <w:r w:rsidRPr="00AC6B5B"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 xml:space="preserve">. 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Проведен ретроспективный анализ результатов 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лечения 46 пациентов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с 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миофасциальным болевым синдромом. У 50% случаев были выявлены триггерные зоны в мышцах спины на уровне грудного и поясничного отделов. В 20% случаев триггерные точки локализовались на уровне шеи. В остальных случаях триггерные точки локализовались в мышцах конечностей. Всем пациентам был проведен курс текар</w:t>
      </w:r>
      <w:r w:rsidRPr="0024498F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-терапии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, с акцентом воздействия на пораженные зоны.   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Результаты оценивали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в начале и в конце 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лечения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по визуально-аналоговой шкале (ВАШ) и по объему движений в суставах.</w:t>
      </w:r>
    </w:p>
    <w:p w:rsidR="00D00FC3" w:rsidRPr="00AC6B5B" w:rsidRDefault="00D00FC3" w:rsidP="00AC6B5B">
      <w:pPr>
        <w:spacing w:line="288" w:lineRule="auto"/>
        <w:ind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 xml:space="preserve">Результаты и их обсуждения. 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Средняя продолжительность 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курса лечения составила 14 дней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. У пациентов до 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выполнения процедур была интенсивность боли на уровне 8-9 баллов, ограничение движений в суставах на 50% от нормы. После проведения 5 процедур выраженность болевого синдрома снизилась до 5-6 баллов и отмечалось увеличение объема движений до 70% от нормы. В конце курса лечения интенсивность боли снизилась до уровня 1-2 баллов, объём движений суставах восстановился на 90-95%. Осложнений у 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пациентов не было.</w:t>
      </w:r>
    </w:p>
    <w:p w:rsidR="00D00FC3" w:rsidRPr="009E551E" w:rsidRDefault="00D00FC3" w:rsidP="009E551E">
      <w:pPr>
        <w:spacing w:line="288" w:lineRule="auto"/>
        <w:ind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</w:pPr>
      <w:r w:rsidRPr="00BA7BE8"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>Выводы</w:t>
      </w: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eastAsia="ru-RU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Применение метода текар</w:t>
      </w:r>
      <w:r w:rsidRPr="00B74D8C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-терапии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позволило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достичь 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положительного</w:t>
      </w:r>
      <w:r w:rsidRPr="00BA7BE8"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 результата у всех </w:t>
      </w:r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>пациентов и его использование для лечения миофасциальных болевых синдромов значительно по</w:t>
      </w:r>
      <w:bookmarkStart w:id="0" w:name="_GoBack"/>
      <w:bookmarkEnd w:id="0"/>
      <w:r>
        <w:rPr>
          <w:rFonts w:ascii="Times New Roman" w:hAnsi="Times New Roman"/>
          <w:color w:val="000000"/>
          <w:sz w:val="28"/>
          <w:szCs w:val="28"/>
          <w:u w:color="000000"/>
          <w:lang w:eastAsia="ru-RU"/>
        </w:rPr>
        <w:t xml:space="preserve">вышает эффективность проводимой терапии.  </w:t>
      </w:r>
    </w:p>
    <w:sectPr w:rsidR="00D00FC3" w:rsidRPr="009E551E" w:rsidSect="006F54A3">
      <w:headerReference w:type="default" r:id="rId6"/>
      <w:footerReference w:type="default" r:id="rId7"/>
      <w:pgSz w:w="11900" w:h="16840"/>
      <w:pgMar w:top="1134" w:right="850" w:bottom="1134" w:left="1276" w:header="708" w:footer="708" w:gutter="0"/>
      <w:cols w:space="720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FC3" w:rsidRDefault="00D00FC3" w:rsidP="00F375EA">
      <w:pPr>
        <w:spacing w:after="0" w:line="240" w:lineRule="auto"/>
      </w:pPr>
      <w:r>
        <w:separator/>
      </w:r>
    </w:p>
  </w:endnote>
  <w:endnote w:type="continuationSeparator" w:id="0">
    <w:p w:rsidR="00D00FC3" w:rsidRDefault="00D00FC3" w:rsidP="00F375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FC3" w:rsidRDefault="00D00FC3">
    <w:pPr>
      <w:pStyle w:val="a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FC3" w:rsidRDefault="00D00FC3" w:rsidP="00F375EA">
      <w:pPr>
        <w:spacing w:after="0" w:line="240" w:lineRule="auto"/>
      </w:pPr>
      <w:r>
        <w:separator/>
      </w:r>
    </w:p>
  </w:footnote>
  <w:footnote w:type="continuationSeparator" w:id="0">
    <w:p w:rsidR="00D00FC3" w:rsidRDefault="00D00FC3" w:rsidP="00F375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FC3" w:rsidRDefault="00D00FC3">
    <w:pPr>
      <w:pStyle w:val="a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63C0"/>
    <w:rsid w:val="001825D0"/>
    <w:rsid w:val="00194D47"/>
    <w:rsid w:val="0024498F"/>
    <w:rsid w:val="002B662A"/>
    <w:rsid w:val="003728BD"/>
    <w:rsid w:val="0039346A"/>
    <w:rsid w:val="00570383"/>
    <w:rsid w:val="00574D49"/>
    <w:rsid w:val="006D4A68"/>
    <w:rsid w:val="006F54A3"/>
    <w:rsid w:val="007178A1"/>
    <w:rsid w:val="007D1E12"/>
    <w:rsid w:val="008D7B14"/>
    <w:rsid w:val="00926ADB"/>
    <w:rsid w:val="009C7062"/>
    <w:rsid w:val="009E551E"/>
    <w:rsid w:val="00A0516D"/>
    <w:rsid w:val="00A07DE2"/>
    <w:rsid w:val="00A91071"/>
    <w:rsid w:val="00AC6B5B"/>
    <w:rsid w:val="00B066AE"/>
    <w:rsid w:val="00B74D8C"/>
    <w:rsid w:val="00BA7BE8"/>
    <w:rsid w:val="00C9799F"/>
    <w:rsid w:val="00D00FC3"/>
    <w:rsid w:val="00D80063"/>
    <w:rsid w:val="00D963C0"/>
    <w:rsid w:val="00DD5853"/>
    <w:rsid w:val="00F25C1F"/>
    <w:rsid w:val="00F375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75EA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Колонтитулы"/>
    <w:uiPriority w:val="99"/>
    <w:rsid w:val="00BA7BE8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tabs>
        <w:tab w:val="right" w:pos="9020"/>
      </w:tabs>
    </w:pPr>
    <w:rPr>
      <w:rFonts w:ascii="Helvetica" w:eastAsia="Arial Unicode MS" w:hAnsi="Helvetica" w:cs="Arial Unicode MS"/>
      <w:color w:val="000000"/>
      <w:sz w:val="24"/>
      <w:szCs w:val="24"/>
    </w:rPr>
  </w:style>
  <w:style w:type="paragraph" w:styleId="ListParagraph">
    <w:name w:val="List Paragraph"/>
    <w:basedOn w:val="Normal"/>
    <w:uiPriority w:val="99"/>
    <w:qFormat/>
    <w:rsid w:val="00A0516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311</Words>
  <Characters>1777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</dc:creator>
  <cp:keywords/>
  <dc:description/>
  <cp:lastModifiedBy>1</cp:lastModifiedBy>
  <cp:revision>5</cp:revision>
  <dcterms:created xsi:type="dcterms:W3CDTF">2017-11-21T14:45:00Z</dcterms:created>
  <dcterms:modified xsi:type="dcterms:W3CDTF">2017-11-21T14:49:00Z</dcterms:modified>
</cp:coreProperties>
</file>