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УДК 616.36–008–092.9–02:613.2:613.863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М.А. Кузнецова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Харьковский национальный медицинский университет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>ВЛИЯНИЕ гиперкалорийного рациона питания БЕРЕМЕННЫХ КРЫС НА МОРФОФУНКЦИОНАЛЬНОЕ СОСТОЯНИЕ ПЕЧЕНИ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708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Введение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Патология печени занимает одно из ведущих мест среди заболеваний органов пищеварения. По информации ВОЗ в мире более 2 млрд. человек страдает заболеваниями печени, что в 100 раз превышает распространенность ВИЧ-инфекции. В Украине за </w:t>
      </w:r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последние</w:t>
      </w:r>
      <w:proofErr w:type="gram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10 лет данный показатель увеличился на 20,1% [1]. Среди беременных заболевания печени являются одной из наиболее распространенных (составляет 3-5% от всех заболеваний) и значимых форм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гестационной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патологии [2]. Согласно статистическим данным, за последние годы в структуре поражений печени преобладают алкогольные и вирусные гепатиты и циррозы, увеличился процент опухолевой патологии печени, аутоиммунных заболеваний и поражение печени вследствие нарушений обмена веществ, в том числе ожирения [3,4].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left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Достаточно много экспериментальных исследований посвящено изучению влияния ожирения, вызванного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высокожировым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рационом питания на организм небеременных самок крыс [5,6,7]. Были выявлены гипертрофия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гепатоцитов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накопление в них жировых вакуолей и нарушение внутриклеточной архитектоники преимущественно в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перипортальной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зоне, угнетение макрофагальной системы печени (снижение количество и функциональная активность клеток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Купфера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7428D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[5,6].</w:t>
      </w:r>
      <w:r w:rsidRPr="007428D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Установлено роль алиментарного фактора в развитии ожирения, липидных нарушений и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инсулинорезистентности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 беременных женщин [8]. В экспериментах на грызунах показано, что высококалорийное питание приводит к уменьшению количества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митахондриальной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ДНК в печени [9]. 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Но, не смотря на наличие </w:t>
      </w:r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работ, посвященных изучению влияния экзогенных факторов на организм крыс комплексное действие несбалансированного рациона питания с избытком жиров и углеводов на морфофункциональное состояние печени беременных самок крыс остается</w:t>
      </w:r>
      <w:proofErr w:type="gram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до конца изученным.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изучение влияния нерационального питания с избытком углеводов и жиров на морфофункциональное состояние печени беременных крыс.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708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428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Материал и методы исследования. 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Экспериментальное исследование проведено на 3-месячных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рандомбредных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крысах-самках популяции WAG/G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Sto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которых были разделены на две группы: 7 самок, получавших в период беременности рациональное 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питание, составили 1-ю группу (контрольную); 6 самок, которые на протяжении беременности получали нерациональное питание с избытком углеводов и жиров, включены во 2-ю группу (основную). </w:t>
      </w:r>
      <w:r w:rsidRPr="007428D3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Моделирование влияния алиментарного фактора на крыс осуществлялось с использованием экспериментальной модели, разработанной на кафедре патологической физиологии им. Д.Е. </w:t>
      </w:r>
      <w:proofErr w:type="spellStart"/>
      <w:r w:rsidRPr="007428D3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Альперна</w:t>
      </w:r>
      <w:proofErr w:type="spellEnd"/>
      <w:r w:rsidRPr="007428D3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Харьковского национального медицинского университета</w:t>
      </w:r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[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10</w:t>
      </w:r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].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Морфологическое исследование ткани печени проведено по </w:t>
      </w:r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об-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щепринятым</w:t>
      </w:r>
      <w:proofErr w:type="spellEnd"/>
      <w:proofErr w:type="gram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методикам [11]. В ткани печени исследован фракционный состав липидов (холестерина – ХС, фосфолипидов – ФЛ, триглицеридов – ТГ, неэстерифицированных жирных кислот – НЭЖК) методом тонкослойной хроматографии на пластинах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Silufol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[12, С.559-565] и содержание гликогена (</w:t>
      </w:r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ГГ</w:t>
      </w:r>
      <w:proofErr w:type="gram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спектрофотометрическим методом по В.Г.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Асатиани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[12,С.522-528]. В сыворотке крови определялся уровень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алани</w:t>
      </w:r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gram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аспартатаминотрансферазы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АлАТ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АсАТ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), γ-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глутамилтрансферазы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(ГГТ),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сорбитолдегидрогеназы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(СДГ), общего белка и его фракций (альбуминов, α</w:t>
      </w:r>
      <w:r w:rsidRPr="007428D3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1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-, α</w:t>
      </w:r>
      <w:r w:rsidRPr="007428D3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2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-, β-, γ-глобулинов), мочевины и глюкозы спектрофотометрическим методом с помощью наборов реактивов «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Филисит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Диагностикум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» (Днепр, Украина), ХС, ТГ, липопротеидов высокой плотности (ЛПВП) с помощью наборов реактивов фирмы «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Ольвекс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» (Россия), липопротеидов низкой и очень низкой плотности (ЛПНП, ЛПОНП) расчётным методом [12,</w:t>
      </w:r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С.409]. </w:t>
      </w:r>
      <w:proofErr w:type="gramEnd"/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Исследования выполнены с соблюдением правил и международных рекомендаций Европейской конвенции по защите позвоночных животных, используемых для экспериментов или в иных научных целях (Страсбург, 1986). Выведение животных из эксперимента проводилось сразу после рождения крысят с использованием высоких концентраций диоксида углерода (СО</w:t>
      </w:r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2</w:t>
      </w:r>
      <w:proofErr w:type="gram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с последующей декапитацией. Статистическую обработку результатов проводили с использованием программы STATISTICA-10. Для определения достоверности отличий использовали критерий U Манна-Уитни. 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Результаты и их обсуждение. 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макроскопическом исследовании существенных отличий ткани печени у крыс основной (2-й) и контрольной (1-й) групп не выявлено. При микроскопическом исследовании в печени крыс, получавших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гиперкалорийную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диету </w:t>
      </w:r>
      <w:proofErr w:type="spellStart"/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устано-влены</w:t>
      </w:r>
      <w:proofErr w:type="spellEnd"/>
      <w:proofErr w:type="gram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существенные отличия от животных группы контроля в виде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дискомплексации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балочно-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радиарного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строения. В центрах долек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гепатоциты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зачастую были в состоянии белковой дистрофии, а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перипортально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обнаруживались набухшие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гепатоциты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светлой пенистой цитоплазмой и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пикнотичными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гиперхромными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ядрами, что </w:t>
      </w:r>
      <w:proofErr w:type="spellStart"/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свидете-льствует</w:t>
      </w:r>
      <w:proofErr w:type="spellEnd"/>
      <w:proofErr w:type="gram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нарушении их морфофункциональной активности.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ab/>
        <w:t xml:space="preserve">Степень повреждения паренхимы печени оценивалась на основании определения регенераторной активности и определения относительного объёма элементов паренхимы и стромы с вычислением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стро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мально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-паренхиматозного индекса (СПИ).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Регенераторная активность печени оценивалась на основании подсчёта количества </w:t>
      </w:r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двуядерных</w:t>
      </w:r>
      <w:proofErr w:type="gram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гепатоцитов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процентном соотношении к их одноядерным формам. Установлено, что у крыс 2-й гр. количество двуядерных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гепатоцитов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1,5 раза (</w:t>
      </w:r>
      <w:r w:rsidRPr="007428D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&lt;0,05) превышает их количество у животных 1-й гр. (соответственно 3,44±0,03% и 2,37±0,03%). Это свидетельствует об умеренной интенсивности повреждения печени и активации процесса регенерации паренхимы.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Результаты исследования структурных элементов печени представлены в табл. 1. Установлено, что у крыс 2-й гр. имеет место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досто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-верное уменьшение объёма паренхимы увеличение объёма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стромаль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-ной части печени; СПИ увеличен на 5,2% (</w:t>
      </w:r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&lt;0,05). Полученные да</w:t>
      </w:r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н-</w:t>
      </w:r>
      <w:proofErr w:type="gram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ные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свидетельствуют об активации процесса пролиферации в строме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Таблица 1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Структурные элементы печени у крыс (</w:t>
      </w:r>
      <w:proofErr w:type="spellStart"/>
      <w:r w:rsidRPr="007428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М±m</w:t>
      </w:r>
      <w:proofErr w:type="spellEnd"/>
      <w:r w:rsidRPr="007428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2235"/>
        <w:gridCol w:w="2236"/>
      </w:tblGrid>
      <w:tr w:rsidR="007428D3" w:rsidRPr="007428D3" w:rsidTr="00B942BE">
        <w:trPr>
          <w:trHeight w:val="240"/>
        </w:trPr>
        <w:tc>
          <w:tcPr>
            <w:tcW w:w="4248" w:type="dxa"/>
            <w:vMerge w:val="restart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Структурные элементы</w:t>
            </w:r>
          </w:p>
        </w:tc>
        <w:tc>
          <w:tcPr>
            <w:tcW w:w="4471" w:type="dxa"/>
            <w:gridSpan w:val="2"/>
            <w:tcBorders>
              <w:left w:val="single" w:sz="18" w:space="0" w:color="auto"/>
            </w:tcBorders>
            <w:shd w:val="clear" w:color="auto" w:fill="auto"/>
            <w:vAlign w:val="center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Группа исследования</w:t>
            </w:r>
          </w:p>
        </w:tc>
      </w:tr>
      <w:tr w:rsidR="007428D3" w:rsidRPr="007428D3" w:rsidTr="00B942BE">
        <w:trPr>
          <w:trHeight w:val="240"/>
        </w:trPr>
        <w:tc>
          <w:tcPr>
            <w:tcW w:w="4248" w:type="dxa"/>
            <w:vMerge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235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 группа (</w:t>
            </w:r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val="en-US" w:eastAsia="ru-RU"/>
              </w:rPr>
              <w:t>n</w:t>
            </w:r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=7)</w:t>
            </w:r>
          </w:p>
        </w:tc>
        <w:tc>
          <w:tcPr>
            <w:tcW w:w="2236" w:type="dxa"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 группа (</w:t>
            </w:r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val="en-US" w:eastAsia="ru-RU"/>
              </w:rPr>
              <w:t>n</w:t>
            </w:r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=6)</w:t>
            </w:r>
          </w:p>
        </w:tc>
      </w:tr>
      <w:tr w:rsidR="007428D3" w:rsidRPr="007428D3" w:rsidTr="00B942BE">
        <w:trPr>
          <w:trHeight w:val="240"/>
        </w:trPr>
        <w:tc>
          <w:tcPr>
            <w:tcW w:w="4248" w:type="dxa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Строма, %</w:t>
            </w:r>
          </w:p>
        </w:tc>
        <w:tc>
          <w:tcPr>
            <w:tcW w:w="2235" w:type="dxa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  <w:vAlign w:val="center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28,1±1,1</w:t>
            </w:r>
          </w:p>
        </w:tc>
        <w:tc>
          <w:tcPr>
            <w:tcW w:w="2236" w:type="dxa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29,3±1,1*</w:t>
            </w:r>
          </w:p>
        </w:tc>
      </w:tr>
      <w:tr w:rsidR="007428D3" w:rsidRPr="007428D3" w:rsidTr="00B942BE">
        <w:trPr>
          <w:trHeight w:val="240"/>
        </w:trPr>
        <w:tc>
          <w:tcPr>
            <w:tcW w:w="4248" w:type="dxa"/>
            <w:tcBorders>
              <w:right w:val="single" w:sz="18" w:space="0" w:color="auto"/>
            </w:tcBorders>
            <w:shd w:val="clear" w:color="auto" w:fill="auto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Паренхима, %</w:t>
            </w:r>
          </w:p>
        </w:tc>
        <w:tc>
          <w:tcPr>
            <w:tcW w:w="2235" w:type="dxa"/>
            <w:tcBorders>
              <w:left w:val="single" w:sz="18" w:space="0" w:color="auto"/>
            </w:tcBorders>
            <w:shd w:val="clear" w:color="auto" w:fill="auto"/>
            <w:vAlign w:val="center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71,9±1,1</w:t>
            </w:r>
          </w:p>
        </w:tc>
        <w:tc>
          <w:tcPr>
            <w:tcW w:w="2236" w:type="dxa"/>
            <w:shd w:val="clear" w:color="auto" w:fill="auto"/>
            <w:vAlign w:val="center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70,7±1,1*</w:t>
            </w:r>
          </w:p>
        </w:tc>
      </w:tr>
      <w:tr w:rsidR="007428D3" w:rsidRPr="007428D3" w:rsidTr="00B942BE">
        <w:trPr>
          <w:trHeight w:val="240"/>
        </w:trPr>
        <w:tc>
          <w:tcPr>
            <w:tcW w:w="4248" w:type="dxa"/>
            <w:tcBorders>
              <w:right w:val="single" w:sz="18" w:space="0" w:color="auto"/>
            </w:tcBorders>
            <w:shd w:val="clear" w:color="auto" w:fill="auto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Стромально</w:t>
            </w:r>
            <w:proofErr w:type="spellEnd"/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-паренхиматозный индекс (СПИ)</w:t>
            </w:r>
          </w:p>
        </w:tc>
        <w:tc>
          <w:tcPr>
            <w:tcW w:w="2235" w:type="dxa"/>
            <w:tcBorders>
              <w:left w:val="single" w:sz="18" w:space="0" w:color="auto"/>
            </w:tcBorders>
            <w:shd w:val="clear" w:color="auto" w:fill="auto"/>
            <w:vAlign w:val="center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0,39±0,01</w:t>
            </w:r>
          </w:p>
        </w:tc>
        <w:tc>
          <w:tcPr>
            <w:tcW w:w="2236" w:type="dxa"/>
            <w:shd w:val="clear" w:color="auto" w:fill="auto"/>
            <w:vAlign w:val="center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0,41±0,01*</w:t>
            </w:r>
          </w:p>
        </w:tc>
      </w:tr>
    </w:tbl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Примечание:  * - </w:t>
      </w:r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&lt;0,05 – сравнение с 1-й гр. 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spacing w:before="120"/>
        <w:ind w:firstLine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печени, что чревато развитием её фиброза в дальнейшем.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Для оценки функционального состояния печени было проведены биохимические исследования крови и ткани печени, результаты которых представлены в таблицах 2 и 3.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сыворотке крови крыс 1-й гр. (см. табл. 1) повышается активность органоспецифического «печёночного» фермента – СДГ (на 48,46%</w:t>
      </w:r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428D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&lt;0,05), что свидетельствует о дестабилизации мембраны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ге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патоцитов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«утечке» фермента из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цитозоля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то же время активность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АсАТ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АлАТ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изменяется умеренно, а ГГТ практически не изменяется, что может быть связано со снижением содержания или активности этих ферментов в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гепатоцитах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Таблица 2 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Уровень биохимических показателей функционального состояния печени в сыворотке крови крыс (</w:t>
      </w:r>
      <w:proofErr w:type="spellStart"/>
      <w:r w:rsidRPr="007428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М±m</w:t>
      </w:r>
      <w:proofErr w:type="spellEnd"/>
      <w:r w:rsidRPr="007428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5"/>
        <w:gridCol w:w="2552"/>
        <w:gridCol w:w="2554"/>
      </w:tblGrid>
      <w:tr w:rsidR="007428D3" w:rsidRPr="007428D3" w:rsidTr="00B942BE">
        <w:tc>
          <w:tcPr>
            <w:tcW w:w="2333" w:type="pct"/>
            <w:tcBorders>
              <w:bottom w:val="single" w:sz="18" w:space="0" w:color="auto"/>
              <w:right w:val="single" w:sz="18" w:space="0" w:color="auto"/>
            </w:tcBorders>
            <w:shd w:val="clear" w:color="auto" w:fill="E6E6E6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Показатели</w:t>
            </w:r>
          </w:p>
        </w:tc>
        <w:tc>
          <w:tcPr>
            <w:tcW w:w="1333" w:type="pct"/>
            <w:tcBorders>
              <w:left w:val="single" w:sz="18" w:space="0" w:color="auto"/>
              <w:bottom w:val="single" w:sz="18" w:space="0" w:color="auto"/>
            </w:tcBorders>
            <w:shd w:val="clear" w:color="auto" w:fill="E6E6E6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группа (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n=6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1334" w:type="pct"/>
            <w:tcBorders>
              <w:bottom w:val="single" w:sz="18" w:space="0" w:color="auto"/>
            </w:tcBorders>
            <w:shd w:val="clear" w:color="auto" w:fill="E6E6E6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группа (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n=7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</w:tr>
      <w:tr w:rsidR="007428D3" w:rsidRPr="007428D3" w:rsidTr="00B942BE">
        <w:tc>
          <w:tcPr>
            <w:tcW w:w="2333" w:type="pct"/>
            <w:tcBorders>
              <w:top w:val="single" w:sz="18" w:space="0" w:color="auto"/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АсАТ</w:t>
            </w:r>
            <w:proofErr w:type="spellEnd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                          </w:t>
            </w:r>
            <w:proofErr w:type="spell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нмоль</w:t>
            </w:r>
            <w:proofErr w:type="spellEnd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</w:t>
            </w:r>
            <w:proofErr w:type="spell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с·</w:t>
            </w:r>
            <w:proofErr w:type="gram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</w:t>
            </w:r>
            <w:proofErr w:type="spellEnd"/>
            <w:proofErr w:type="gramEnd"/>
          </w:p>
        </w:tc>
        <w:tc>
          <w:tcPr>
            <w:tcW w:w="1333" w:type="pct"/>
            <w:tcBorders>
              <w:top w:val="single" w:sz="18" w:space="0" w:color="auto"/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27,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0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7±0,84</w:t>
            </w:r>
          </w:p>
        </w:tc>
        <w:tc>
          <w:tcPr>
            <w:tcW w:w="1334" w:type="pct"/>
            <w:tcBorders>
              <w:top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25,7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9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±0,63**</w:t>
            </w:r>
          </w:p>
        </w:tc>
      </w:tr>
      <w:tr w:rsidR="007428D3" w:rsidRPr="007428D3" w:rsidTr="00B942BE">
        <w:tc>
          <w:tcPr>
            <w:tcW w:w="2333" w:type="pct"/>
            <w:tcBorders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АлАТ</w:t>
            </w:r>
            <w:proofErr w:type="spellEnd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                          </w:t>
            </w:r>
            <w:proofErr w:type="spell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нмоль</w:t>
            </w:r>
            <w:proofErr w:type="spellEnd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</w:t>
            </w:r>
            <w:proofErr w:type="spell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с·</w:t>
            </w:r>
            <w:proofErr w:type="gram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</w:t>
            </w:r>
            <w:proofErr w:type="spellEnd"/>
            <w:proofErr w:type="gramEnd"/>
          </w:p>
        </w:tc>
        <w:tc>
          <w:tcPr>
            <w:tcW w:w="1333" w:type="pct"/>
            <w:tcBorders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28,13±0,92</w:t>
            </w:r>
          </w:p>
        </w:tc>
        <w:tc>
          <w:tcPr>
            <w:tcW w:w="1334" w:type="pct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26,64±1,71*</w:t>
            </w:r>
          </w:p>
        </w:tc>
      </w:tr>
      <w:tr w:rsidR="007428D3" w:rsidRPr="007428D3" w:rsidTr="00B942BE">
        <w:tc>
          <w:tcPr>
            <w:tcW w:w="2333" w:type="pct"/>
            <w:tcBorders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ГГТ,                              </w:t>
            </w:r>
            <w:proofErr w:type="spell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нмоль</w:t>
            </w:r>
            <w:proofErr w:type="spellEnd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</w:t>
            </w:r>
            <w:proofErr w:type="spell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с·</w:t>
            </w:r>
            <w:proofErr w:type="gram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</w:t>
            </w:r>
            <w:proofErr w:type="spellEnd"/>
            <w:proofErr w:type="gramEnd"/>
          </w:p>
        </w:tc>
        <w:tc>
          <w:tcPr>
            <w:tcW w:w="1333" w:type="pct"/>
            <w:tcBorders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3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,65±3,67</w:t>
            </w:r>
          </w:p>
        </w:tc>
        <w:tc>
          <w:tcPr>
            <w:tcW w:w="1334" w:type="pct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3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4,14±4,13</w:t>
            </w:r>
          </w:p>
        </w:tc>
      </w:tr>
      <w:tr w:rsidR="007428D3" w:rsidRPr="007428D3" w:rsidTr="00B942BE">
        <w:tc>
          <w:tcPr>
            <w:tcW w:w="2333" w:type="pct"/>
            <w:tcBorders>
              <w:bottom w:val="single" w:sz="18" w:space="0" w:color="auto"/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СДГ,                             </w:t>
            </w:r>
            <w:proofErr w:type="spell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нмоль</w:t>
            </w:r>
            <w:proofErr w:type="spellEnd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</w:t>
            </w:r>
            <w:proofErr w:type="spell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с·</w:t>
            </w:r>
            <w:proofErr w:type="gram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</w:t>
            </w:r>
            <w:proofErr w:type="spellEnd"/>
            <w:proofErr w:type="gramEnd"/>
          </w:p>
        </w:tc>
        <w:tc>
          <w:tcPr>
            <w:tcW w:w="1333" w:type="pct"/>
            <w:tcBorders>
              <w:left w:val="single" w:sz="18" w:space="0" w:color="auto"/>
              <w:bottom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5,6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3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±0,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6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334" w:type="pct"/>
            <w:tcBorders>
              <w:bottom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3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6±0,2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3*</w:t>
            </w:r>
          </w:p>
        </w:tc>
      </w:tr>
      <w:tr w:rsidR="007428D3" w:rsidRPr="007428D3" w:rsidTr="00B942BE">
        <w:tc>
          <w:tcPr>
            <w:tcW w:w="2333" w:type="pct"/>
            <w:tcBorders>
              <w:top w:val="single" w:sz="18" w:space="0" w:color="auto"/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Общий белок,                          </w:t>
            </w:r>
            <w:proofErr w:type="gram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End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/л</w:t>
            </w:r>
          </w:p>
        </w:tc>
        <w:tc>
          <w:tcPr>
            <w:tcW w:w="1333" w:type="pct"/>
            <w:tcBorders>
              <w:top w:val="single" w:sz="18" w:space="0" w:color="auto"/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64,86±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1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,01</w:t>
            </w:r>
          </w:p>
        </w:tc>
        <w:tc>
          <w:tcPr>
            <w:tcW w:w="1334" w:type="pct"/>
            <w:tcBorders>
              <w:top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69,32±0,68**</w:t>
            </w:r>
          </w:p>
        </w:tc>
      </w:tr>
      <w:tr w:rsidR="007428D3" w:rsidRPr="007428D3" w:rsidTr="00B942BE">
        <w:tc>
          <w:tcPr>
            <w:tcW w:w="2333" w:type="pct"/>
            <w:tcBorders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альбумина,                          %</w:t>
            </w:r>
          </w:p>
        </w:tc>
        <w:tc>
          <w:tcPr>
            <w:tcW w:w="1333" w:type="pct"/>
            <w:tcBorders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52,48±0,75</w:t>
            </w:r>
          </w:p>
        </w:tc>
        <w:tc>
          <w:tcPr>
            <w:tcW w:w="1334" w:type="pct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50,7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5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±0,64</w:t>
            </w:r>
          </w:p>
        </w:tc>
      </w:tr>
      <w:tr w:rsidR="007428D3" w:rsidRPr="007428D3" w:rsidTr="00B942BE">
        <w:tc>
          <w:tcPr>
            <w:tcW w:w="2333" w:type="pct"/>
            <w:tcBorders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α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-глобулины,                     %</w:t>
            </w:r>
          </w:p>
        </w:tc>
        <w:tc>
          <w:tcPr>
            <w:tcW w:w="1333" w:type="pct"/>
            <w:tcBorders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8,05±0,39</w:t>
            </w:r>
          </w:p>
        </w:tc>
        <w:tc>
          <w:tcPr>
            <w:tcW w:w="1334" w:type="pct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7,25±0,24</w:t>
            </w:r>
          </w:p>
        </w:tc>
      </w:tr>
      <w:tr w:rsidR="007428D3" w:rsidRPr="007428D3" w:rsidTr="00B942BE">
        <w:tc>
          <w:tcPr>
            <w:tcW w:w="2333" w:type="pct"/>
            <w:tcBorders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α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2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-глобулины,                     %</w:t>
            </w:r>
          </w:p>
        </w:tc>
        <w:tc>
          <w:tcPr>
            <w:tcW w:w="1333" w:type="pct"/>
            <w:tcBorders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25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±0,45</w:t>
            </w:r>
          </w:p>
        </w:tc>
        <w:tc>
          <w:tcPr>
            <w:tcW w:w="1334" w:type="pct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10,4±0,39**</w:t>
            </w:r>
          </w:p>
        </w:tc>
      </w:tr>
      <w:tr w:rsidR="007428D3" w:rsidRPr="007428D3" w:rsidTr="00B942BE">
        <w:tc>
          <w:tcPr>
            <w:tcW w:w="2333" w:type="pct"/>
            <w:tcBorders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β-глобулины,                      %</w:t>
            </w:r>
          </w:p>
        </w:tc>
        <w:tc>
          <w:tcPr>
            <w:tcW w:w="1333" w:type="pct"/>
            <w:tcBorders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14,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9±1,09</w:t>
            </w:r>
          </w:p>
        </w:tc>
        <w:tc>
          <w:tcPr>
            <w:tcW w:w="1334" w:type="pct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16,91±0,61*</w:t>
            </w:r>
          </w:p>
        </w:tc>
      </w:tr>
      <w:tr w:rsidR="007428D3" w:rsidRPr="007428D3" w:rsidTr="00B942BE">
        <w:tc>
          <w:tcPr>
            <w:tcW w:w="2333" w:type="pct"/>
            <w:tcBorders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γ-глобулины,                      %</w:t>
            </w:r>
          </w:p>
        </w:tc>
        <w:tc>
          <w:tcPr>
            <w:tcW w:w="1333" w:type="pct"/>
            <w:tcBorders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16,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39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±0,65</w:t>
            </w:r>
          </w:p>
        </w:tc>
        <w:tc>
          <w:tcPr>
            <w:tcW w:w="1334" w:type="pct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14,74±0,5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3*</w:t>
            </w:r>
          </w:p>
        </w:tc>
      </w:tr>
      <w:tr w:rsidR="007428D3" w:rsidRPr="007428D3" w:rsidTr="00B942BE">
        <w:tc>
          <w:tcPr>
            <w:tcW w:w="2333" w:type="pct"/>
            <w:tcBorders>
              <w:bottom w:val="single" w:sz="18" w:space="0" w:color="auto"/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Мочевина,                        моль/</w:t>
            </w:r>
            <w:proofErr w:type="gram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</w:t>
            </w:r>
            <w:proofErr w:type="gramEnd"/>
          </w:p>
        </w:tc>
        <w:tc>
          <w:tcPr>
            <w:tcW w:w="1333" w:type="pct"/>
            <w:tcBorders>
              <w:left w:val="single" w:sz="18" w:space="0" w:color="auto"/>
              <w:bottom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7,67±0,23</w:t>
            </w:r>
          </w:p>
        </w:tc>
        <w:tc>
          <w:tcPr>
            <w:tcW w:w="1334" w:type="pct"/>
            <w:tcBorders>
              <w:bottom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3,14±0,27*</w:t>
            </w:r>
          </w:p>
        </w:tc>
      </w:tr>
      <w:tr w:rsidR="007428D3" w:rsidRPr="007428D3" w:rsidTr="00B942BE">
        <w:tc>
          <w:tcPr>
            <w:tcW w:w="2333" w:type="pct"/>
            <w:tcBorders>
              <w:top w:val="single" w:sz="18" w:space="0" w:color="auto"/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Холестерин,                   </w:t>
            </w:r>
            <w:proofErr w:type="spell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ммоль</w:t>
            </w:r>
            <w:proofErr w:type="spellEnd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/л</w:t>
            </w:r>
          </w:p>
        </w:tc>
        <w:tc>
          <w:tcPr>
            <w:tcW w:w="1333" w:type="pct"/>
            <w:tcBorders>
              <w:top w:val="single" w:sz="18" w:space="0" w:color="auto"/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6,63±0,21</w:t>
            </w:r>
          </w:p>
        </w:tc>
        <w:tc>
          <w:tcPr>
            <w:tcW w:w="1334" w:type="pct"/>
            <w:tcBorders>
              <w:top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6,94±0,25*</w:t>
            </w:r>
          </w:p>
        </w:tc>
      </w:tr>
      <w:tr w:rsidR="007428D3" w:rsidRPr="007428D3" w:rsidTr="00B942BE">
        <w:tc>
          <w:tcPr>
            <w:tcW w:w="2333" w:type="pct"/>
            <w:tcBorders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Триглицериды,              </w:t>
            </w:r>
            <w:proofErr w:type="spell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ммоль</w:t>
            </w:r>
            <w:proofErr w:type="spellEnd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/л</w:t>
            </w:r>
          </w:p>
        </w:tc>
        <w:tc>
          <w:tcPr>
            <w:tcW w:w="1333" w:type="pct"/>
            <w:tcBorders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1,07±0,32</w:t>
            </w:r>
          </w:p>
        </w:tc>
        <w:tc>
          <w:tcPr>
            <w:tcW w:w="1334" w:type="pct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2,69±0,14**</w:t>
            </w:r>
          </w:p>
        </w:tc>
      </w:tr>
      <w:tr w:rsidR="007428D3" w:rsidRPr="007428D3" w:rsidTr="00B942BE">
        <w:tc>
          <w:tcPr>
            <w:tcW w:w="2333" w:type="pct"/>
            <w:tcBorders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ЛПНП,                            </w:t>
            </w:r>
            <w:proofErr w:type="spell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ммоль</w:t>
            </w:r>
            <w:proofErr w:type="spellEnd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/л</w:t>
            </w:r>
          </w:p>
        </w:tc>
        <w:tc>
          <w:tcPr>
            <w:tcW w:w="1333" w:type="pct"/>
            <w:tcBorders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2,86±0,15</w:t>
            </w:r>
          </w:p>
        </w:tc>
        <w:tc>
          <w:tcPr>
            <w:tcW w:w="1334" w:type="pct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3,32±0,17*</w:t>
            </w:r>
          </w:p>
        </w:tc>
      </w:tr>
      <w:tr w:rsidR="007428D3" w:rsidRPr="007428D3" w:rsidTr="00B942BE">
        <w:tc>
          <w:tcPr>
            <w:tcW w:w="2333" w:type="pct"/>
            <w:tcBorders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ЛПОНП,                         </w:t>
            </w:r>
            <w:proofErr w:type="spell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ммоль</w:t>
            </w:r>
            <w:proofErr w:type="spellEnd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/л</w:t>
            </w:r>
          </w:p>
        </w:tc>
        <w:tc>
          <w:tcPr>
            <w:tcW w:w="1333" w:type="pct"/>
            <w:tcBorders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0,49±0,14</w:t>
            </w:r>
          </w:p>
        </w:tc>
        <w:tc>
          <w:tcPr>
            <w:tcW w:w="1334" w:type="pct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1,15±0,06**</w:t>
            </w:r>
          </w:p>
        </w:tc>
      </w:tr>
      <w:tr w:rsidR="007428D3" w:rsidRPr="007428D3" w:rsidTr="00B942BE">
        <w:tc>
          <w:tcPr>
            <w:tcW w:w="2333" w:type="pct"/>
            <w:tcBorders>
              <w:bottom w:val="single" w:sz="18" w:space="0" w:color="auto"/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ЛПВП,                            </w:t>
            </w:r>
            <w:proofErr w:type="spell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ммоль</w:t>
            </w:r>
            <w:proofErr w:type="spellEnd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/л</w:t>
            </w:r>
          </w:p>
        </w:tc>
        <w:tc>
          <w:tcPr>
            <w:tcW w:w="1333" w:type="pct"/>
            <w:tcBorders>
              <w:left w:val="single" w:sz="18" w:space="0" w:color="auto"/>
              <w:bottom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3,24±0,32</w:t>
            </w:r>
          </w:p>
        </w:tc>
        <w:tc>
          <w:tcPr>
            <w:tcW w:w="1334" w:type="pct"/>
            <w:tcBorders>
              <w:bottom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1,9±0,17*</w:t>
            </w:r>
          </w:p>
        </w:tc>
      </w:tr>
      <w:tr w:rsidR="007428D3" w:rsidRPr="007428D3" w:rsidTr="00B942BE">
        <w:tc>
          <w:tcPr>
            <w:tcW w:w="2333" w:type="pct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Глюкоза,                         </w:t>
            </w:r>
            <w:proofErr w:type="spell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ммоль</w:t>
            </w:r>
            <w:proofErr w:type="spellEnd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/л</w:t>
            </w:r>
          </w:p>
        </w:tc>
        <w:tc>
          <w:tcPr>
            <w:tcW w:w="1333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6,1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7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±0,34</w:t>
            </w:r>
          </w:p>
        </w:tc>
        <w:tc>
          <w:tcPr>
            <w:tcW w:w="1334" w:type="pct"/>
            <w:tcBorders>
              <w:top w:val="single" w:sz="18" w:space="0" w:color="auto"/>
              <w:bottom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8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1±0,27**</w:t>
            </w:r>
          </w:p>
        </w:tc>
      </w:tr>
      <w:tr w:rsidR="007428D3" w:rsidRPr="007428D3" w:rsidTr="00B942BE">
        <w:tc>
          <w:tcPr>
            <w:tcW w:w="2333" w:type="pct"/>
            <w:tcBorders>
              <w:top w:val="single" w:sz="18" w:space="0" w:color="auto"/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Кетоновые тела,             </w:t>
            </w:r>
            <w:proofErr w:type="spellStart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ммоль</w:t>
            </w:r>
            <w:proofErr w:type="spellEnd"/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/л</w:t>
            </w:r>
          </w:p>
        </w:tc>
        <w:tc>
          <w:tcPr>
            <w:tcW w:w="1333" w:type="pct"/>
            <w:tcBorders>
              <w:top w:val="single" w:sz="18" w:space="0" w:color="auto"/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tabs>
                <w:tab w:val="left" w:pos="338"/>
                <w:tab w:val="center" w:pos="1096"/>
              </w:tabs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1,85±0,35</w:t>
            </w:r>
          </w:p>
        </w:tc>
        <w:tc>
          <w:tcPr>
            <w:tcW w:w="1334" w:type="pct"/>
            <w:tcBorders>
              <w:top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4,11±0,29**</w:t>
            </w:r>
          </w:p>
        </w:tc>
      </w:tr>
    </w:tbl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Примечание:  * - </w:t>
      </w:r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&lt;0,05; ** - р&lt;0,01 – сравнение с 1-й гр. 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spacing w:line="240" w:lineRule="auto"/>
        <w:ind w:firstLine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Таблица 3 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Уровень биохимических показателей функционального состояния печени в </w:t>
      </w:r>
      <w:proofErr w:type="spellStart"/>
      <w:r w:rsidRPr="007428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гомогенате</w:t>
      </w:r>
      <w:proofErr w:type="spellEnd"/>
      <w:r w:rsidRPr="007428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печени крыс (</w:t>
      </w:r>
      <w:proofErr w:type="spellStart"/>
      <w:r w:rsidRPr="007428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М±m</w:t>
      </w:r>
      <w:proofErr w:type="spellEnd"/>
      <w:r w:rsidRPr="007428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6"/>
        <w:gridCol w:w="2569"/>
        <w:gridCol w:w="2536"/>
      </w:tblGrid>
      <w:tr w:rsidR="007428D3" w:rsidRPr="007428D3" w:rsidTr="00B942BE">
        <w:tc>
          <w:tcPr>
            <w:tcW w:w="2333" w:type="pct"/>
            <w:tcBorders>
              <w:bottom w:val="single" w:sz="18" w:space="0" w:color="auto"/>
              <w:right w:val="single" w:sz="18" w:space="0" w:color="auto"/>
            </w:tcBorders>
            <w:shd w:val="clear" w:color="auto" w:fill="E6E6E6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Показатели</w:t>
            </w:r>
          </w:p>
        </w:tc>
        <w:tc>
          <w:tcPr>
            <w:tcW w:w="1342" w:type="pct"/>
            <w:tcBorders>
              <w:left w:val="single" w:sz="18" w:space="0" w:color="auto"/>
              <w:bottom w:val="single" w:sz="18" w:space="0" w:color="auto"/>
            </w:tcBorders>
            <w:shd w:val="clear" w:color="auto" w:fill="E6E6E6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группа (n=6)</w:t>
            </w:r>
          </w:p>
        </w:tc>
        <w:tc>
          <w:tcPr>
            <w:tcW w:w="1325" w:type="pct"/>
            <w:tcBorders>
              <w:bottom w:val="single" w:sz="18" w:space="0" w:color="auto"/>
            </w:tcBorders>
            <w:shd w:val="clear" w:color="auto" w:fill="E6E6E6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группа (n=7)</w:t>
            </w:r>
          </w:p>
        </w:tc>
      </w:tr>
      <w:tr w:rsidR="007428D3" w:rsidRPr="007428D3" w:rsidTr="00B942BE">
        <w:tc>
          <w:tcPr>
            <w:tcW w:w="2333" w:type="pct"/>
            <w:tcBorders>
              <w:top w:val="single" w:sz="18" w:space="0" w:color="auto"/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Холестерин,                          мг/г</w:t>
            </w:r>
          </w:p>
        </w:tc>
        <w:tc>
          <w:tcPr>
            <w:tcW w:w="1342" w:type="pct"/>
            <w:tcBorders>
              <w:top w:val="single" w:sz="18" w:space="0" w:color="auto"/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4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±0,04</w:t>
            </w:r>
          </w:p>
        </w:tc>
        <w:tc>
          <w:tcPr>
            <w:tcW w:w="1325" w:type="pct"/>
            <w:tcBorders>
              <w:top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4</w:t>
            </w: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6±0,03**</w:t>
            </w:r>
          </w:p>
        </w:tc>
      </w:tr>
      <w:tr w:rsidR="007428D3" w:rsidRPr="007428D3" w:rsidTr="00B942BE">
        <w:tc>
          <w:tcPr>
            <w:tcW w:w="2333" w:type="pct"/>
            <w:tcBorders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Фосфолипиды,                     мг/г</w:t>
            </w:r>
          </w:p>
        </w:tc>
        <w:tc>
          <w:tcPr>
            <w:tcW w:w="1342" w:type="pct"/>
            <w:tcBorders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24,37±1,34</w:t>
            </w:r>
          </w:p>
        </w:tc>
        <w:tc>
          <w:tcPr>
            <w:tcW w:w="1325" w:type="pct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20,68±1,05</w:t>
            </w:r>
          </w:p>
        </w:tc>
      </w:tr>
      <w:tr w:rsidR="007428D3" w:rsidRPr="007428D3" w:rsidTr="00B942BE">
        <w:tc>
          <w:tcPr>
            <w:tcW w:w="2333" w:type="pct"/>
            <w:tcBorders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Триглицериды,                     мг/г</w:t>
            </w:r>
          </w:p>
        </w:tc>
        <w:tc>
          <w:tcPr>
            <w:tcW w:w="1342" w:type="pct"/>
            <w:tcBorders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5,71±0,82</w:t>
            </w:r>
          </w:p>
        </w:tc>
        <w:tc>
          <w:tcPr>
            <w:tcW w:w="1325" w:type="pct"/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9±0,16**</w:t>
            </w:r>
          </w:p>
        </w:tc>
      </w:tr>
      <w:tr w:rsidR="007428D3" w:rsidRPr="007428D3" w:rsidTr="00B942BE">
        <w:tc>
          <w:tcPr>
            <w:tcW w:w="2333" w:type="pct"/>
            <w:tcBorders>
              <w:bottom w:val="single" w:sz="18" w:space="0" w:color="auto"/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НЭЖК,                                  мг/г</w:t>
            </w:r>
          </w:p>
        </w:tc>
        <w:tc>
          <w:tcPr>
            <w:tcW w:w="1342" w:type="pct"/>
            <w:tcBorders>
              <w:left w:val="single" w:sz="18" w:space="0" w:color="auto"/>
              <w:bottom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8,55±1,3</w:t>
            </w:r>
          </w:p>
        </w:tc>
        <w:tc>
          <w:tcPr>
            <w:tcW w:w="1325" w:type="pct"/>
            <w:tcBorders>
              <w:bottom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14,36±0,42**</w:t>
            </w:r>
          </w:p>
        </w:tc>
      </w:tr>
      <w:tr w:rsidR="007428D3" w:rsidRPr="007428D3" w:rsidTr="00B942BE">
        <w:tc>
          <w:tcPr>
            <w:tcW w:w="2333" w:type="pct"/>
            <w:tcBorders>
              <w:top w:val="single" w:sz="18" w:space="0" w:color="auto"/>
              <w:righ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Гликоген,                              мг/г</w:t>
            </w:r>
          </w:p>
        </w:tc>
        <w:tc>
          <w:tcPr>
            <w:tcW w:w="1342" w:type="pct"/>
            <w:tcBorders>
              <w:top w:val="single" w:sz="18" w:space="0" w:color="auto"/>
              <w:left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26,38±1,43</w:t>
            </w:r>
          </w:p>
        </w:tc>
        <w:tc>
          <w:tcPr>
            <w:tcW w:w="1325" w:type="pct"/>
            <w:tcBorders>
              <w:top w:val="single" w:sz="18" w:space="0" w:color="auto"/>
            </w:tcBorders>
          </w:tcPr>
          <w:p w:rsidR="007428D3" w:rsidRPr="007428D3" w:rsidRDefault="007428D3" w:rsidP="007428D3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28D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26,07±2,46</w:t>
            </w:r>
          </w:p>
        </w:tc>
      </w:tr>
    </w:tbl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Примечание:  * - </w:t>
      </w:r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&lt;0,05; ** - р&lt;0,01 – сравнение с 1-й гр. 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428D3" w:rsidRPr="007428D3" w:rsidRDefault="007428D3" w:rsidP="007428D3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В сыворотке крови крыс 2-й гр. содержание общего белка и альбуминов соответствуют их уровню у животных 1-й гр. (см. табл. 2), отмечается повышение α</w:t>
      </w:r>
      <w:r w:rsidRPr="007428D3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2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и </w:t>
      </w:r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β-</w:t>
      </w:r>
      <w:proofErr w:type="gram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глобулинов (на 26,08% и 19,97% соответственно), по-видимому за счёт повышения содержания транспортных белков и ЛПОНП; выявлено уменьшение γ-глобулинов (на 10,04%). Такие показатели свидетельствуют о наличии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диспротеинемии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обусловленной</w:t>
      </w:r>
      <w:proofErr w:type="gram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особенностями питания. 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Содержание ХС в сыворотке крови крыс 2-й гр. соответствует их уровню у крыс </w:t>
      </w:r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1-й гр.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ТГ – достоверно выше (на 151,24%),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</w:t>
      </w:r>
      <w:proofErr w:type="gram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gram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ветственно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крови повышено содержание ЛПОНП на 136,37% (см. табл. 2). Анализ содержания липидов в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гомогенате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печени показал, что ХС снижен (на 27,86%) (см. табл. 3) в связи с повышением его се</w:t>
      </w:r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spacing w:before="120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креции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составе липопротеинов. Следует отметить, что в печени повышено содержание ТГ и НЭЖК (на 57,65% и 67,89% соответственно) (см. табл. 3), что при повышении уровня ЛПОНП в сыворотке крови свидетельствует об активации синтеза и секреции (возможно и депонирования) ТГ. Концентрация ЛПВП в крови достоверно снижена (на 41,31%) (см. 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табл. 2), что при достаточном уровне ФЛ в печени (см. табл. 3), свидетельствует об увеличении захвата ЛПВП тканями в связи с создающимся избытком ХС. 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Выявленные нарушения в липидном спектре сыворотки крови можно рассматривать как риск развития сахарного диабета </w:t>
      </w:r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(СД) 2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типа и жировой инфильтрации печени. </w:t>
      </w:r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Э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 подтверждается достоверным повышением содержания в сыворотке крови крыс глюкозы (на 26,58%) и </w:t>
      </w:r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КТ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(на 121,89%), что свидетельствует о снижении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толеран-тности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глюкозе и, в связи с этим, повышении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кетогенеза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 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образом, проведенные исследования свидетельствуют о том, что у крыс, находившихся на высококалорийной диете в течение беременности</w:t>
      </w:r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развивается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дислипидемия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(с повышением уровня ЛПНП, ЛПОНП, ХС, ТГ),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гипергликемия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что можно расценивать как риск развития </w:t>
      </w:r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СД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 типа. 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гомогенате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печени крыс выявлены повышение уровня ТГ и НЭЖК (см. табл. 3), что чревато повышенным накоплением липидов печени. Это подтверждается данными исследования сыворотки крови и свидетельствует о наличии функциональных нарушений в органе на момент эксперимента и может стать причиной развития в будущем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стеатоза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стеатогепатита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другой патологии печени. 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708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Выводы</w:t>
      </w:r>
    </w:p>
    <w:p w:rsidR="007428D3" w:rsidRPr="007428D3" w:rsidRDefault="007428D3" w:rsidP="007428D3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240" w:lineRule="auto"/>
        <w:contextualSpacing/>
        <w:jc w:val="lef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П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итание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 избытком жиров и углеводов в рационе беременных самок приводит к морфофункциональным нарушениям печени, проявлявшимся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дискомплексацией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балочно-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радиарного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строения, бел</w:t>
      </w:r>
      <w:r w:rsidRPr="007428D3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-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ковой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дистрофией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гепатоцитов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повышенной регенераторной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акти-вностью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органа и повышением СПИ в ткани печени, которые могут стать причиной развития фиброза печени. </w:t>
      </w:r>
    </w:p>
    <w:p w:rsidR="007428D3" w:rsidRPr="007428D3" w:rsidRDefault="007428D3" w:rsidP="007428D3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240" w:lineRule="auto"/>
        <w:contextualSpacing/>
        <w:jc w:val="lef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Функциональные изменения печени проявлялись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диспротеинемией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гиперлипидемией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(повышение уровня ХС, ЛПНП, ТГ, ЛПОНП, ЛПНП) и гипергликемией, что является фактором риска развития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инсулинорезистентности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а, следовательно, </w:t>
      </w:r>
      <w:r w:rsidRPr="007428D3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СД</w:t>
      </w: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2 типа. </w:t>
      </w:r>
    </w:p>
    <w:p w:rsidR="007428D3" w:rsidRPr="007428D3" w:rsidRDefault="007428D3" w:rsidP="007428D3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240" w:lineRule="auto"/>
        <w:contextualSpacing/>
        <w:jc w:val="lef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Биохимические показатели ткани печени свидетельствуют о нару-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шении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ней жирового обмена в виде снижения общего ХС, ФЛ и накопления ТГ и НЭЖК, что может привести впоследствии к </w:t>
      </w:r>
      <w:proofErr w:type="gram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жировому</w:t>
      </w:r>
      <w:proofErr w:type="gram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гепатозу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 различной органической патологии печени.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spacing w:before="120"/>
        <w:ind w:firstLine="437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использованной литературы</w:t>
      </w:r>
    </w:p>
    <w:p w:rsidR="007428D3" w:rsidRPr="007428D3" w:rsidRDefault="007428D3" w:rsidP="007428D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360"/>
        <w:contextualSpacing/>
        <w:jc w:val="left"/>
        <w:rPr>
          <w:rFonts w:ascii="Times New Roman" w:eastAsia="Calibri" w:hAnsi="Times New Roman" w:cs="Times New Roman"/>
          <w:sz w:val="24"/>
          <w:szCs w:val="24"/>
          <w:lang w:eastAsia="ru-RU"/>
        </w:rPr>
      </w:pP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Дудук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Н. И.,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Зиматкин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С. М.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Холестаз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беременных и его последствия для матери и потомства// Журнал Гр ГМУ. 2011. №1. С. 3. </w:t>
      </w:r>
    </w:p>
    <w:p w:rsidR="007428D3" w:rsidRPr="007428D3" w:rsidRDefault="007428D3" w:rsidP="007428D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360"/>
        <w:contextualSpacing/>
        <w:jc w:val="left"/>
        <w:rPr>
          <w:rFonts w:ascii="Times New Roman" w:eastAsia="Calibri" w:hAnsi="Times New Roman" w:cs="Times New Roman"/>
          <w:sz w:val="24"/>
          <w:szCs w:val="24"/>
          <w:lang w:eastAsia="ru-RU"/>
        </w:rPr>
      </w:pP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Ибальдин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А. С.,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Шарунов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Г. И.,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Буираев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К. М. Заболевания печени у беременных, принципы лечения// Вестник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Каз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НМУ. 2013. №4 (2). С. 269.</w:t>
      </w:r>
    </w:p>
    <w:p w:rsidR="007428D3" w:rsidRPr="007428D3" w:rsidRDefault="007428D3" w:rsidP="007428D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360"/>
        <w:contextualSpacing/>
        <w:jc w:val="left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Романцова Т.И. Эпидемия ожирения: очевидные и вероятные причины // Ожирение и метаболизм. 2011. №1. С. 5–19. </w:t>
      </w:r>
    </w:p>
    <w:p w:rsidR="007428D3" w:rsidRPr="007428D3" w:rsidRDefault="007428D3" w:rsidP="007428D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360"/>
        <w:contextualSpacing/>
        <w:jc w:val="left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Чабанова Н. Б., Василькова Т. Н., Василькова Г. А. Материнское ожирение как фактор риска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гестационных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осложнений// Евразийский союз ученых. 2016. №30-1. С. 84-85. </w:t>
      </w:r>
    </w:p>
    <w:p w:rsidR="007428D3" w:rsidRPr="007428D3" w:rsidRDefault="007428D3" w:rsidP="007428D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360"/>
        <w:contextualSpacing/>
        <w:jc w:val="left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Васендин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Д. В., Мичурина С. В., Ищенко И.Ю. Морфологические особенности печени крыс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Вистар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при экспериментальном ожирении // Вестник Ивановской Медицинской академии. 2014. Т. 19. №4. С. 19 – 22. </w:t>
      </w:r>
    </w:p>
    <w:p w:rsidR="007428D3" w:rsidRPr="007428D3" w:rsidRDefault="007428D3" w:rsidP="007428D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360"/>
        <w:contextualSpacing/>
        <w:jc w:val="left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Новгородцева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Т. П.,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Караман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Ю. К.,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Бивалькевич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Н. В. Состав липидов эритроцитов крыс при развитии фиброза печени в условиях алиментарной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дислипидемии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// </w:t>
      </w: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 xml:space="preserve">Бюллетень РАМН. 2010. Т. 30. №1. С. 53 - 58. </w:t>
      </w:r>
    </w:p>
    <w:p w:rsidR="007428D3" w:rsidRPr="007428D3" w:rsidRDefault="007428D3" w:rsidP="007428D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360"/>
        <w:contextualSpacing/>
        <w:jc w:val="left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Курганова И. В. Показатели липидного и белкового обмена крови и состояние клеток печени при экспериментальном ожирении: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автореф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дис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. … канд. мед</w:t>
      </w:r>
      <w:proofErr w:type="gram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  <w:proofErr w:type="gram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н</w:t>
      </w:r>
      <w:proofErr w:type="gram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аук – Новосибирск, 2002. – 16с.  </w:t>
      </w:r>
    </w:p>
    <w:p w:rsidR="007428D3" w:rsidRPr="007428D3" w:rsidRDefault="007428D3" w:rsidP="007428D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360"/>
        <w:contextualSpacing/>
        <w:jc w:val="left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DelCurto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H., Wu G., Satterfield M. C. Nutrition and reproduction: links to epigenetics and metabolic syndrome in offspring // Current Opinion in Clinical Nutrition &amp; Metabolic Care. 2013. V</w:t>
      </w: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16. №2. </w:t>
      </w:r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P. 385</w:t>
      </w: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-391. </w:t>
      </w:r>
    </w:p>
    <w:p w:rsidR="007428D3" w:rsidRPr="007428D3" w:rsidRDefault="007428D3" w:rsidP="007428D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360"/>
        <w:contextualSpacing/>
        <w:jc w:val="left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Cetin I.,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Berti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C., Calabrese S. Role of micronutrients in the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periconceptional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period // Hum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Reprod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Update. </w:t>
      </w: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2010. </w:t>
      </w:r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V</w:t>
      </w: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16. №1. </w:t>
      </w:r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P</w:t>
      </w: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80-95.</w:t>
      </w: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</w:p>
    <w:p w:rsidR="007428D3" w:rsidRPr="007428D3" w:rsidRDefault="007428D3" w:rsidP="007428D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360"/>
        <w:contextualSpacing/>
        <w:jc w:val="left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7428D3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Пат. 80979 Україна МПК G09B 23/28 (2006.01) Спосіб моделювання надмірної ваги/ Ніколаєва О. В.,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Ковальцова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 М. В., Євтушенко Т. Г.; заявник та патентовласник Харківський національний медичний університет . - № u 2013 01221;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заявл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. 01.02. 2013;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опубл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. 10.06.2013,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Бюл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. № 11.</w:t>
      </w:r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</w:t>
      </w:r>
    </w:p>
    <w:p w:rsidR="007428D3" w:rsidRPr="007428D3" w:rsidRDefault="007428D3" w:rsidP="007428D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360"/>
        <w:contextualSpacing/>
        <w:jc w:val="left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7428D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Автандилов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Г. Г. Медицинская морфометрия. – М.: Медицина, 1990. 384с.</w:t>
      </w:r>
    </w:p>
    <w:p w:rsidR="007428D3" w:rsidRPr="007428D3" w:rsidRDefault="007428D3" w:rsidP="007428D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360"/>
        <w:contextualSpacing/>
        <w:jc w:val="left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7428D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Камышников В. С. </w:t>
      </w:r>
      <w:r w:rsidRPr="007428D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Методы клинических лабораторных исследований. Москва: «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Медипресс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–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информ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», 2016. 736с. 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ru-RU"/>
        </w:rPr>
      </w:pP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ru-RU"/>
        </w:rPr>
      </w:pP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ru-RU"/>
        </w:rPr>
      </w:pP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ru-RU"/>
        </w:rPr>
      </w:pP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ru-RU"/>
        </w:rPr>
      </w:pP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М.А. Кузнецова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>ВЛИЯНИЕ гиперкалорийного рациона питания БЕРЕМЕННЫХ КРЫС НА МОРФОФУНКЦИОНАЛЬНОЕ СОСТОЯНИЕ ПЕЧЕНИ</w:t>
      </w:r>
    </w:p>
    <w:p w:rsidR="007428D3" w:rsidRPr="007428D3" w:rsidRDefault="007428D3" w:rsidP="007428D3">
      <w:pPr>
        <w:ind w:firstLine="708"/>
        <w:contextualSpacing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Исследовано морфофункциональное состояние печени 7 крыс, получавших в течение беременности </w:t>
      </w:r>
      <w:r w:rsidRPr="007428D3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н</w:t>
      </w: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е</w:t>
      </w:r>
      <w:r w:rsidRPr="007428D3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с</w:t>
      </w: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балансированное питание с избытком углеводов и жиров, и 6 крыс группы контроля. Морфологические изменения органа у крыс 2-й гр. заключались в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дискомплексации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балочно-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радиарного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строения, белковой дистрофии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гепатоцитов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повышении регенераторной активностью печени и повышении СПИ в ткани печени. Функциональные нарушения проявлялись развитием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диспротеинемии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гиперлипидемии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гипергликемии,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гиперкетонемии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Это свидетельствует о наличии риска развития у животных фиброза печени, жирового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>гепатоз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а</w:t>
      </w: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 </w:t>
      </w:r>
      <w:r w:rsidRPr="007428D3">
        <w:rPr>
          <w:rFonts w:ascii="Times New Roman" w:eastAsia="Calibri" w:hAnsi="Times New Roman" w:cs="Times New Roman"/>
          <w:sz w:val="24"/>
          <w:szCs w:val="24"/>
          <w:lang w:val="uk-UA" w:eastAsia="ru-RU"/>
        </w:rPr>
        <w:t>СД</w:t>
      </w:r>
      <w:r w:rsidRPr="007428D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2 типа.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Ключевые слова</w:t>
      </w:r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морфофункциональное состояние печени,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>гиперкалорийная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диета, беременные крысы.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М.</w:t>
      </w:r>
      <w:r w:rsidRPr="007428D3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t>О</w:t>
      </w:r>
      <w:r w:rsidRPr="007428D3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. Кузнецова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28D3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>В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val="uk-UA" w:eastAsia="ru-RU"/>
        </w:rPr>
        <w:t>П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>ЛИ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val="uk-UA" w:eastAsia="ru-RU"/>
        </w:rPr>
        <w:t>В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 xml:space="preserve"> г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val="uk-UA" w:eastAsia="ru-RU"/>
        </w:rPr>
        <w:t>І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>перкалор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val="uk-UA" w:eastAsia="ru-RU"/>
        </w:rPr>
        <w:t>І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>йного рац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val="uk-UA" w:eastAsia="ru-RU"/>
        </w:rPr>
        <w:t>І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>он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val="uk-UA" w:eastAsia="ru-RU"/>
        </w:rPr>
        <w:t>У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 xml:space="preserve"> 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val="uk-UA" w:eastAsia="ru-RU"/>
        </w:rPr>
        <w:t>ХАРЧУВАНН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 xml:space="preserve">я 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val="uk-UA" w:eastAsia="ru-RU"/>
        </w:rPr>
        <w:t>ВАГІТНИ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 xml:space="preserve">Х 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val="uk-UA" w:eastAsia="ru-RU"/>
        </w:rPr>
        <w:t>ЩУРІВ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 xml:space="preserve"> НА МОРФОФУНКЦ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val="uk-UA" w:eastAsia="ru-RU"/>
        </w:rPr>
        <w:t>І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>ОНАЛЬН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val="uk-UA" w:eastAsia="ru-RU"/>
        </w:rPr>
        <w:t>ИЙ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 xml:space="preserve"> СТ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val="uk-UA" w:eastAsia="ru-RU"/>
        </w:rPr>
        <w:t>АН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 xml:space="preserve"> ПЕЧ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val="uk-UA" w:eastAsia="ru-RU"/>
        </w:rPr>
        <w:t>І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>Н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val="uk-UA" w:eastAsia="ru-RU"/>
        </w:rPr>
        <w:t>К</w:t>
      </w:r>
      <w:r w:rsidRPr="007428D3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>И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708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Досліджено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морфофункціональний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стан печінки 7 щурів, що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от-римували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впродовж вагітності незбалансоване харчування з надлишком вуглеводів і жирів, і 6 щурів групи контролю. Морфологічні зміни органу у щурів 2-й гр. полягали в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дискомплексації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>балочно-радіарної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будови, білкової дистрофії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гепатоцитів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підвищенні регенераторної активності печінки і підвищенні СПІ в тканині печінки. Функціональні порушення проявлялися розвитком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диспротеїнемії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гіперліпідемії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гіперглікемії,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гіперкетонемії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Це свідчить про наявність ризику розвитку у тварин фіброзу печінки, жирового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гепатозу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і ЦД 2 типу. 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428D3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Ключові слова</w:t>
      </w:r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: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морфофункціональний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стан печінки, </w:t>
      </w:r>
      <w:proofErr w:type="spellStart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гіперкалорійна</w:t>
      </w:r>
      <w:proofErr w:type="spellEnd"/>
      <w:r w:rsidRPr="007428D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дієта, вагітні щури. </w:t>
      </w:r>
    </w:p>
    <w:p w:rsidR="007428D3" w:rsidRPr="007428D3" w:rsidRDefault="007428D3" w:rsidP="007428D3">
      <w:pPr>
        <w:widowControl w:val="0"/>
        <w:autoSpaceDE w:val="0"/>
        <w:autoSpaceDN w:val="0"/>
        <w:adjustRightInd w:val="0"/>
        <w:ind w:firstLine="0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7428D3" w:rsidRPr="007428D3" w:rsidRDefault="007428D3" w:rsidP="007428D3">
      <w:pPr>
        <w:ind w:firstLine="0"/>
        <w:contextualSpacing/>
        <w:jc w:val="center"/>
        <w:rPr>
          <w:rFonts w:ascii="Times New Roman" w:eastAsia="Calibri" w:hAnsi="Times New Roman" w:cs="Times New Roman"/>
          <w:b/>
          <w:i/>
          <w:sz w:val="24"/>
          <w:szCs w:val="24"/>
          <w:lang w:val="uk-UA" w:eastAsia="ru-RU"/>
        </w:rPr>
      </w:pPr>
    </w:p>
    <w:p w:rsidR="007428D3" w:rsidRPr="007428D3" w:rsidRDefault="007428D3" w:rsidP="007428D3">
      <w:pPr>
        <w:ind w:firstLine="0"/>
        <w:contextualSpacing/>
        <w:jc w:val="center"/>
        <w:rPr>
          <w:rFonts w:ascii="Times New Roman" w:eastAsia="Calibri" w:hAnsi="Times New Roman" w:cs="Times New Roman"/>
          <w:b/>
          <w:i/>
          <w:sz w:val="24"/>
          <w:szCs w:val="24"/>
          <w:lang w:val="en-US" w:eastAsia="ru-RU"/>
        </w:rPr>
      </w:pPr>
      <w:r w:rsidRPr="007428D3">
        <w:rPr>
          <w:rFonts w:ascii="Times New Roman" w:eastAsia="Calibri" w:hAnsi="Times New Roman" w:cs="Times New Roman"/>
          <w:b/>
          <w:i/>
          <w:sz w:val="24"/>
          <w:szCs w:val="24"/>
          <w:lang w:val="en-US" w:eastAsia="ru-RU"/>
        </w:rPr>
        <w:t xml:space="preserve">M.O. </w:t>
      </w:r>
      <w:proofErr w:type="spellStart"/>
      <w:r w:rsidRPr="007428D3">
        <w:rPr>
          <w:rFonts w:ascii="Times New Roman" w:eastAsia="Calibri" w:hAnsi="Times New Roman" w:cs="Times New Roman"/>
          <w:b/>
          <w:i/>
          <w:sz w:val="24"/>
          <w:szCs w:val="24"/>
          <w:lang w:val="en-US" w:eastAsia="ru-RU"/>
        </w:rPr>
        <w:t>Kuznetcova</w:t>
      </w:r>
      <w:proofErr w:type="spellEnd"/>
    </w:p>
    <w:p w:rsidR="007428D3" w:rsidRPr="007428D3" w:rsidRDefault="007428D3" w:rsidP="007428D3">
      <w:pPr>
        <w:ind w:firstLine="0"/>
        <w:contextualSpacing/>
        <w:jc w:val="center"/>
        <w:rPr>
          <w:rFonts w:ascii="Times New Roman" w:eastAsia="Calibri" w:hAnsi="Times New Roman" w:cs="Times New Roman"/>
          <w:sz w:val="24"/>
          <w:szCs w:val="24"/>
          <w:lang w:val="en-US" w:eastAsia="ru-RU"/>
        </w:rPr>
      </w:pPr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Impact of the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hypercaloric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food on the morphological functional state of the liver pregnant rats</w:t>
      </w:r>
    </w:p>
    <w:p w:rsidR="007428D3" w:rsidRPr="007428D3" w:rsidRDefault="007428D3" w:rsidP="007428D3">
      <w:pPr>
        <w:ind w:firstLine="0"/>
        <w:contextualSpacing/>
        <w:rPr>
          <w:rFonts w:ascii="Times New Roman" w:eastAsia="Calibri" w:hAnsi="Times New Roman" w:cs="Times New Roman"/>
          <w:sz w:val="24"/>
          <w:szCs w:val="24"/>
          <w:lang w:val="en-US" w:eastAsia="ru-RU"/>
        </w:rPr>
      </w:pPr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       The study involved examination of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morphofunctional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state of the liver in 7 rats receiving an unbalanced diet with an excess of carbohydrates and fats during pregnancy, and 6 rats in the control group. Morphological changes in the organ in rats of the 2</w:t>
      </w:r>
      <w:r w:rsidRPr="007428D3">
        <w:rPr>
          <w:rFonts w:ascii="Times New Roman" w:eastAsia="Calibri" w:hAnsi="Times New Roman" w:cs="Times New Roman"/>
          <w:sz w:val="24"/>
          <w:szCs w:val="24"/>
          <w:vertAlign w:val="superscript"/>
          <w:lang w:val="en-US" w:eastAsia="ru-RU"/>
        </w:rPr>
        <w:t>nd</w:t>
      </w:r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group included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discomplexation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of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lamino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-radial structure, protein dystrophy of hepatocytes, increased regenerative activity of the liver, and enhanced conduction velocity in liver tissue. Functional disorders were manifested in the development of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disproteinemia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, hyperlipidemia, hyperglycemia and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hyperketonemia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. This indicated a risk of developing liver fibrosis, fatty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hepatosis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, and type </w:t>
      </w:r>
      <w:proofErr w:type="gramStart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2 diabetes in the animals</w:t>
      </w:r>
      <w:proofErr w:type="gramEnd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.</w:t>
      </w:r>
    </w:p>
    <w:p w:rsidR="007428D3" w:rsidRPr="007428D3" w:rsidRDefault="007428D3" w:rsidP="007428D3">
      <w:pPr>
        <w:ind w:firstLine="708"/>
        <w:contextualSpacing/>
        <w:rPr>
          <w:rFonts w:ascii="Times New Roman" w:eastAsia="Calibri" w:hAnsi="Times New Roman" w:cs="Times New Roman"/>
          <w:sz w:val="24"/>
          <w:szCs w:val="24"/>
          <w:lang w:val="en-US" w:eastAsia="ru-RU"/>
        </w:rPr>
      </w:pPr>
      <w:r w:rsidRPr="007428D3">
        <w:rPr>
          <w:rFonts w:ascii="Times New Roman" w:eastAsia="Calibri" w:hAnsi="Times New Roman" w:cs="Times New Roman"/>
          <w:i/>
          <w:sz w:val="24"/>
          <w:szCs w:val="24"/>
          <w:lang w:val="en-US" w:eastAsia="ru-RU"/>
        </w:rPr>
        <w:t>Key words:</w:t>
      </w:r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morphofunctional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state of the liver, </w:t>
      </w:r>
      <w:proofErr w:type="spellStart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hypercaloric</w:t>
      </w:r>
      <w:proofErr w:type="spellEnd"/>
      <w:r w:rsidRPr="007428D3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diet, pregnant rats.</w:t>
      </w:r>
    </w:p>
    <w:p w:rsidR="0056200D" w:rsidRPr="007428D3" w:rsidRDefault="0056200D">
      <w:pPr>
        <w:rPr>
          <w:lang w:val="en-US"/>
        </w:rPr>
      </w:pPr>
      <w:bookmarkStart w:id="0" w:name="_GoBack"/>
      <w:bookmarkEnd w:id="0"/>
    </w:p>
    <w:sectPr w:rsidR="0056200D" w:rsidRPr="007428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48162C"/>
    <w:multiLevelType w:val="hybridMultilevel"/>
    <w:tmpl w:val="6180E87C"/>
    <w:lvl w:ilvl="0" w:tplc="8A00AB5C">
      <w:start w:val="1"/>
      <w:numFmt w:val="decimal"/>
      <w:lvlText w:val="%1."/>
      <w:lvlJc w:val="left"/>
      <w:pPr>
        <w:ind w:left="43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9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5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  <w:rPr>
        <w:rFonts w:cs="Times New Roman"/>
      </w:rPr>
    </w:lvl>
  </w:abstractNum>
  <w:abstractNum w:abstractNumId="1">
    <w:nsid w:val="316233CF"/>
    <w:multiLevelType w:val="hybridMultilevel"/>
    <w:tmpl w:val="83246D08"/>
    <w:lvl w:ilvl="0" w:tplc="EF902E9C">
      <w:start w:val="1"/>
      <w:numFmt w:val="decimal"/>
      <w:lvlText w:val="%1."/>
      <w:lvlJc w:val="left"/>
      <w:pPr>
        <w:ind w:left="928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777"/>
    <w:rsid w:val="00524777"/>
    <w:rsid w:val="0056200D"/>
    <w:rsid w:val="00742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2398</Words>
  <Characters>13675</Characters>
  <Application>Microsoft Office Word</Application>
  <DocSecurity>0</DocSecurity>
  <Lines>113</Lines>
  <Paragraphs>32</Paragraphs>
  <ScaleCrop>false</ScaleCrop>
  <Company/>
  <LinksUpToDate>false</LinksUpToDate>
  <CharactersWithSpaces>16041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2018-11-20T09:48:00Z</dcterms:created>
  <dcterms:modified xsi:type="dcterms:W3CDTF">2018-11-20T09:49:00Z</dcterms:modified>
</cp:coreProperties>
</file>