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УДК 616.36–008–092.9–02:613.2:613.863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М.А. Кузнецова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Харьковский национальный медицинский университет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ВЛИЯНИЕ гиперкалорийного рациона питания БЕРЕМЕННЫХ КРЫС НА МОРФОФУНКЦИОНАЛЬНОЕ СОСТОЯНИЕ ПЕЧЕНИ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Патология печени занимает одно из ведущих мест среди заболеваний органов пищеварения. По информации ВОЗ в мире более 2 млрд. человек страдает заболеваниями печени, что в 100 раз превышает распространенность ВИЧ-инфекции. В Украине за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лет данный показатель увеличился на 20,1% [1]. Среди беременных заболевания печени являются одной из наиболее распространенных (составляет 3-5% от всех заболеваний) и значимых форм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гестационной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патологии [2]. Согласно статистическим данным, за последние годы в структуре поражений печени преобладают алкогольные и вирусные гепатиты и циррозы, увеличился процент опухолевой патологии печени, аутоиммунных заболеваний и поражение печени вследствие нарушений обмена веществ, в том числе ожирения [3,4].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Достаточно много экспериментальных исследований посвящено изучению влияния ожирения, вызванного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высокожировым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рационом питания на организм небеременных самок крыс [5,6,7]. Были выявлены гипертрофия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гепатоцитов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накопление в них жировых вакуолей и нарушение внутриклеточной архитектоники преимущественно в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перипортальной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зоне, угнетение макрофагальной системы печени (снижение количество и функциональная активность клеток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Купфера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428D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[5,6].</w:t>
      </w:r>
      <w:r w:rsidRPr="007428D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Установлено роль алиментарного фактора в развитии ожирения, липидных нарушений и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инсулинорезистентности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беременных женщин [8]. В экспериментах на грызунах показано, что высококалорийное питание приводит к уменьшению количества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митахондриальной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ДНК в печени [9].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Но, не смотря на наличие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работ, посвященных изучению влияния экзогенных факторов на организм крыс комплексное действие несбалансированного рациона питания с избытком жиров и углеводов на морфофункциональное состояние печени беременных самок крыс остается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 конца изученным.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работы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изучение влияния нерационального питания с избытком углеводов и жиров на морфофункциональное состояние печени беременных крыс.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 и методы исследования. 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Экспериментальное исследование проведено на 3-месячных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рандомбредных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крысах-самках популяции WAG/G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Sto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которых были разделены на две группы: 7 самок, получавших в период беременности рациональное 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питание, составили 1-ю группу (контрольную); 6 самок, которые на протяжении беременности получали нерациональное питание с избытком углеводов и жиров, включены во 2-ю группу (основную). </w:t>
      </w:r>
      <w:r w:rsidRPr="007428D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Моделирование влияния алиментарного фактора на крыс осуществлялось с использованием экспериментальной модели, разработанной на кафедре патологической физиологии им. Д.Е. </w:t>
      </w:r>
      <w:proofErr w:type="spellStart"/>
      <w:r w:rsidRPr="007428D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Альперна</w:t>
      </w:r>
      <w:proofErr w:type="spellEnd"/>
      <w:r w:rsidRPr="007428D3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Харьковского национального медицинского университета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[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].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Морфологическое исследование ткани печени проведено по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об-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щепринятым</w:t>
      </w:r>
      <w:proofErr w:type="spellEnd"/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методикам [11]. В ткани печени исследован фракционный состав липидов (холестерина – ХС, фосфолипидов – ФЛ, триглицеридов – ТГ, неэстерифицированных жирных кислот – НЭЖК) методом тонкослойной хроматографии на пластинах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Silufol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[12, С.559-565] и содержание гликогена (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ГГ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спектрофотометрическим методом по В.Г.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Асатиани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[12,С.522-528]. В сыворотке крови определялся уровень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алани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аспартатаминотрансферазы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АсАТ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), γ-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глутамилтрансферазы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(ГГТ),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сорбитолдегидрогеназы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(СДГ), общего белка и его фракций (альбуминов, α</w:t>
      </w:r>
      <w:r w:rsidRPr="007428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-, α</w:t>
      </w:r>
      <w:r w:rsidRPr="007428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-, β-, γ-глобулинов), мочевины и глюкозы спектрофотометрическим методом с помощью наборов реактивов «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Филисит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Диагностикум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(Днепр, Украина), ХС, ТГ, липопротеидов высокой плотности (ЛПВП) с помощью наборов реактивов фирмы «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Ольвекс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» (Россия), липопротеидов низкой и очень низкой плотности (ЛПНП, ЛПОНП) расчётным методом [12,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С.409]. </w:t>
      </w:r>
      <w:proofErr w:type="gramEnd"/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 выполнены с соблюдением правил и международных рекомендаций Европейской конвенции по защите позвоночных животных, используемых для экспериментов или в иных научных целях (Страсбург, 1986). Выведение животных из эксперимента проводилось сразу после рождения крысят с использованием высоких концентраций диоксида углерода (СО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последующей декапитацией. Статистическую обработку результатов проводили с использованием программы STATISTICA-10. Для определения достоверности отличий использовали критерий U Манна-Уитни.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Результаты и их обсуждение. 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макроскопическом исследовании существенных отличий ткани печени у крыс основной (2-й) и контрольной (1-й) групп не выявлено. При микроскопическом исследовании в печени крыс, получавших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гиперкалорийную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диету </w:t>
      </w:r>
      <w:proofErr w:type="spellStart"/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устано-влены</w:t>
      </w:r>
      <w:proofErr w:type="spellEnd"/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существенные отличия от животных группы контроля в виде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дискомплексации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балочно-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радиарного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строения. В центрах долек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гепатоциты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зачастую были в состоянии белковой дистрофии, а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перипортально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обнаруживались набухшие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гепатоциты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светлой пенистой цитоплазмой и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пикнотичными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гиперхромными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ядрами, что </w:t>
      </w:r>
      <w:proofErr w:type="spellStart"/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свидете-льствует</w:t>
      </w:r>
      <w:proofErr w:type="spellEnd"/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нарушении их морфофункциональной активности.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Степень повреждения паренхимы печени оценивалась на основании определения регенераторной активности и определения относительного объёма элементов паренхимы и стромы с вычислением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мально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-паренхиматозного индекса (СПИ).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Регенераторная активность печени оценивалась на основании подсчёта количества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двуядерных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гепатоцитов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процентном соотношении к их одноядерным формам. Установлено, что у крыс 2-й гр. количество двуядерных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гепатоцитов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1,5 раза (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&lt;0,05) превышает их количество у животных 1-й гр. (соответственно 3,44±0,03% и 2,37±0,03%). Это свидетельствует об умеренной интенсивности повреждения печени и активации процесса регенерации паренхимы.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Результаты исследования структурных элементов печени представлены в табл. 1. Установлено, что у крыс 2-й гр. имеет место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-верное уменьшение объёма паренхимы увеличение объёма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стромаль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-ной части печени; СПИ увеличен на 5,2% (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&lt;0,05). Полученные да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свидетельствуют об активации процесса пролиферации в строме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Структурные элементы печени у крыс (</w:t>
      </w:r>
      <w:proofErr w:type="spellStart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М±m</w:t>
      </w:r>
      <w:proofErr w:type="spellEnd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35"/>
        <w:gridCol w:w="2236"/>
      </w:tblGrid>
      <w:tr w:rsidR="007428D3" w:rsidRPr="007428D3" w:rsidTr="00B942BE">
        <w:trPr>
          <w:trHeight w:val="240"/>
        </w:trPr>
        <w:tc>
          <w:tcPr>
            <w:tcW w:w="4248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Структурные элементы</w:t>
            </w:r>
          </w:p>
        </w:tc>
        <w:tc>
          <w:tcPr>
            <w:tcW w:w="4471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Группа исследования</w:t>
            </w:r>
          </w:p>
        </w:tc>
      </w:tr>
      <w:tr w:rsidR="007428D3" w:rsidRPr="007428D3" w:rsidTr="00B942BE">
        <w:trPr>
          <w:trHeight w:val="240"/>
        </w:trPr>
        <w:tc>
          <w:tcPr>
            <w:tcW w:w="424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группа (</w:t>
            </w: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=7)</w:t>
            </w:r>
          </w:p>
        </w:tc>
        <w:tc>
          <w:tcPr>
            <w:tcW w:w="22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 группа (</w:t>
            </w: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=6)</w:t>
            </w:r>
          </w:p>
        </w:tc>
      </w:tr>
      <w:tr w:rsidR="007428D3" w:rsidRPr="007428D3" w:rsidTr="00B942BE">
        <w:trPr>
          <w:trHeight w:val="240"/>
        </w:trPr>
        <w:tc>
          <w:tcPr>
            <w:tcW w:w="424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Строма, %</w:t>
            </w:r>
          </w:p>
        </w:tc>
        <w:tc>
          <w:tcPr>
            <w:tcW w:w="2235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28,1±1,1</w:t>
            </w:r>
          </w:p>
        </w:tc>
        <w:tc>
          <w:tcPr>
            <w:tcW w:w="22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29,3±1,1*</w:t>
            </w:r>
          </w:p>
        </w:tc>
      </w:tr>
      <w:tr w:rsidR="007428D3" w:rsidRPr="007428D3" w:rsidTr="00B942BE">
        <w:trPr>
          <w:trHeight w:val="240"/>
        </w:trPr>
        <w:tc>
          <w:tcPr>
            <w:tcW w:w="4248" w:type="dxa"/>
            <w:tcBorders>
              <w:right w:val="single" w:sz="18" w:space="0" w:color="auto"/>
            </w:tcBorders>
            <w:shd w:val="clear" w:color="auto" w:fill="auto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Паренхима, %</w:t>
            </w:r>
          </w:p>
        </w:tc>
        <w:tc>
          <w:tcPr>
            <w:tcW w:w="223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71,9±1,1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70,7±1,1*</w:t>
            </w:r>
          </w:p>
        </w:tc>
      </w:tr>
      <w:tr w:rsidR="007428D3" w:rsidRPr="007428D3" w:rsidTr="00B942BE">
        <w:trPr>
          <w:trHeight w:val="240"/>
        </w:trPr>
        <w:tc>
          <w:tcPr>
            <w:tcW w:w="4248" w:type="dxa"/>
            <w:tcBorders>
              <w:right w:val="single" w:sz="18" w:space="0" w:color="auto"/>
            </w:tcBorders>
            <w:shd w:val="clear" w:color="auto" w:fill="auto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Стромально</w:t>
            </w:r>
            <w:proofErr w:type="spellEnd"/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-паренхиматозный индекс (СПИ)</w:t>
            </w:r>
          </w:p>
        </w:tc>
        <w:tc>
          <w:tcPr>
            <w:tcW w:w="2235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0,39±0,01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0,41±0,01*</w:t>
            </w:r>
          </w:p>
        </w:tc>
      </w:tr>
    </w:tbl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 * -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&lt;0,05 – сравнение с 1-й гр.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spacing w:before="120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печени, что чревато развитием её фиброза в дальнейшем.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оценки функционального состояния печени было проведены биохимические исследования крови и ткани печени, результаты которых представлены в таблицах 2 и 3.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сыворотке крови крыс 1-й гр. (см. табл. 1) повышается активность органоспецифического «печёночного» фермента – СДГ (на 48,46%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&lt;0,05), что свидетельствует о дестабилизации мембраны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патоцитов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«утечке» фермента из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цитозоля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то же время активность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АсАТ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изменяется умеренно, а ГГТ практически не изменяется, что может быть связано со снижением содержания или активности этих ферментов в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гепатоцитах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2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биохимических показателей функционального состояния печени в сыворотке крови крыс (</w:t>
      </w:r>
      <w:proofErr w:type="spellStart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М±m</w:t>
      </w:r>
      <w:proofErr w:type="spellEnd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2552"/>
        <w:gridCol w:w="2554"/>
      </w:tblGrid>
      <w:tr w:rsidR="007428D3" w:rsidRPr="007428D3" w:rsidTr="00B942BE">
        <w:tc>
          <w:tcPr>
            <w:tcW w:w="2333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333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E6E6E6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группа (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n=6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4" w:type="pct"/>
            <w:tcBorders>
              <w:bottom w:val="single" w:sz="18" w:space="0" w:color="auto"/>
            </w:tcBorders>
            <w:shd w:val="clear" w:color="auto" w:fill="E6E6E6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(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n=7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с·</w:t>
            </w:r>
            <w:proofErr w:type="gram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</w:p>
        </w:tc>
        <w:tc>
          <w:tcPr>
            <w:tcW w:w="1333" w:type="pct"/>
            <w:tcBorders>
              <w:top w:val="single" w:sz="18" w:space="0" w:color="auto"/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7±0,84</w:t>
            </w:r>
          </w:p>
        </w:tc>
        <w:tc>
          <w:tcPr>
            <w:tcW w:w="1334" w:type="pct"/>
            <w:tcBorders>
              <w:top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25,7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±0,63**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с·</w:t>
            </w:r>
            <w:proofErr w:type="gram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28,13±0,92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26,64±1,71*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ГГТ,     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с·</w:t>
            </w:r>
            <w:proofErr w:type="gram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,65±3,67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4,14±4,13</w:t>
            </w:r>
          </w:p>
        </w:tc>
      </w:tr>
      <w:tr w:rsidR="007428D3" w:rsidRPr="007428D3" w:rsidTr="00B942BE">
        <w:tc>
          <w:tcPr>
            <w:tcW w:w="2333" w:type="pct"/>
            <w:tcBorders>
              <w:bottom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СДГ,    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с·</w:t>
            </w:r>
            <w:proofErr w:type="gram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</w:p>
        </w:tc>
        <w:tc>
          <w:tcPr>
            <w:tcW w:w="1333" w:type="pct"/>
            <w:tcBorders>
              <w:left w:val="single" w:sz="18" w:space="0" w:color="auto"/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5,6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4" w:type="pct"/>
            <w:tcBorders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6±0,2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3*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белок,                          </w:t>
            </w:r>
            <w:proofErr w:type="gram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top w:val="single" w:sz="18" w:space="0" w:color="auto"/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64,86±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,01</w:t>
            </w:r>
          </w:p>
        </w:tc>
        <w:tc>
          <w:tcPr>
            <w:tcW w:w="1334" w:type="pct"/>
            <w:tcBorders>
              <w:top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69,32±0,68**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альбумина,                          %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52,48±0,75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50,7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±0,64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α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-глобулины,                     %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8,05±0,39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7,25±0,24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α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-глобулины,                     %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±0,45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10,4±0,39**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β-глобулины,                      %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9±1,09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16,91±0,61*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γ-глобулины,                      %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39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±0,65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14,74±0,5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3*</w:t>
            </w:r>
          </w:p>
        </w:tc>
      </w:tr>
      <w:tr w:rsidR="007428D3" w:rsidRPr="007428D3" w:rsidTr="00B942BE">
        <w:tc>
          <w:tcPr>
            <w:tcW w:w="2333" w:type="pct"/>
            <w:tcBorders>
              <w:bottom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Мочевина,                        моль/</w:t>
            </w:r>
            <w:proofErr w:type="gram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</w:p>
        </w:tc>
        <w:tc>
          <w:tcPr>
            <w:tcW w:w="1333" w:type="pct"/>
            <w:tcBorders>
              <w:left w:val="single" w:sz="18" w:space="0" w:color="auto"/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7,67±0,23</w:t>
            </w:r>
          </w:p>
        </w:tc>
        <w:tc>
          <w:tcPr>
            <w:tcW w:w="1334" w:type="pct"/>
            <w:tcBorders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3,14±0,27*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Холестерин,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top w:val="single" w:sz="18" w:space="0" w:color="auto"/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6,63±0,21</w:t>
            </w:r>
          </w:p>
        </w:tc>
        <w:tc>
          <w:tcPr>
            <w:tcW w:w="1334" w:type="pct"/>
            <w:tcBorders>
              <w:top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6,94±0,25*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Триглицериды,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1,07±0,32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2,69±0,14**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ЛПНП,   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2,86±0,15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3,32±0,17*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ЛПОНП,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0,49±0,14</w:t>
            </w:r>
          </w:p>
        </w:tc>
        <w:tc>
          <w:tcPr>
            <w:tcW w:w="1334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1,15±0,06**</w:t>
            </w:r>
          </w:p>
        </w:tc>
      </w:tr>
      <w:tr w:rsidR="007428D3" w:rsidRPr="007428D3" w:rsidTr="00B942BE">
        <w:tc>
          <w:tcPr>
            <w:tcW w:w="2333" w:type="pct"/>
            <w:tcBorders>
              <w:bottom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ЛПВП,   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left w:val="single" w:sz="18" w:space="0" w:color="auto"/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3,24±0,32</w:t>
            </w:r>
          </w:p>
        </w:tc>
        <w:tc>
          <w:tcPr>
            <w:tcW w:w="1334" w:type="pct"/>
            <w:tcBorders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1,9±0,17*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Глюкоза,            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±0,34</w:t>
            </w:r>
          </w:p>
        </w:tc>
        <w:tc>
          <w:tcPr>
            <w:tcW w:w="1334" w:type="pct"/>
            <w:tcBorders>
              <w:top w:val="single" w:sz="18" w:space="0" w:color="auto"/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1±0,27**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Кетоновые тела,             </w:t>
            </w:r>
            <w:proofErr w:type="spellStart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1333" w:type="pct"/>
            <w:tcBorders>
              <w:top w:val="single" w:sz="18" w:space="0" w:color="auto"/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tabs>
                <w:tab w:val="left" w:pos="338"/>
                <w:tab w:val="center" w:pos="1096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1,85±0,35</w:t>
            </w:r>
          </w:p>
        </w:tc>
        <w:tc>
          <w:tcPr>
            <w:tcW w:w="1334" w:type="pct"/>
            <w:tcBorders>
              <w:top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4,11±0,29**</w:t>
            </w:r>
          </w:p>
        </w:tc>
      </w:tr>
    </w:tbl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 * -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&lt;0,05; ** - р&lt;0,01 – сравнение с 1-й гр.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3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Уровень биохимических показателей функционального состояния печени в </w:t>
      </w:r>
      <w:proofErr w:type="spellStart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гомогенате</w:t>
      </w:r>
      <w:proofErr w:type="spellEnd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печени крыс (</w:t>
      </w:r>
      <w:proofErr w:type="spellStart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М±m</w:t>
      </w:r>
      <w:proofErr w:type="spellEnd"/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6"/>
        <w:gridCol w:w="2569"/>
        <w:gridCol w:w="2536"/>
      </w:tblGrid>
      <w:tr w:rsidR="007428D3" w:rsidRPr="007428D3" w:rsidTr="00B942BE">
        <w:tc>
          <w:tcPr>
            <w:tcW w:w="2333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342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E6E6E6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группа (n=6)</w:t>
            </w:r>
          </w:p>
        </w:tc>
        <w:tc>
          <w:tcPr>
            <w:tcW w:w="1325" w:type="pct"/>
            <w:tcBorders>
              <w:bottom w:val="single" w:sz="18" w:space="0" w:color="auto"/>
            </w:tcBorders>
            <w:shd w:val="clear" w:color="auto" w:fill="E6E6E6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группа (n=7)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Холестерин,                          мг/г</w:t>
            </w:r>
          </w:p>
        </w:tc>
        <w:tc>
          <w:tcPr>
            <w:tcW w:w="1342" w:type="pct"/>
            <w:tcBorders>
              <w:top w:val="single" w:sz="18" w:space="0" w:color="auto"/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±0,04</w:t>
            </w:r>
          </w:p>
        </w:tc>
        <w:tc>
          <w:tcPr>
            <w:tcW w:w="1325" w:type="pct"/>
            <w:tcBorders>
              <w:top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6±0,03**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Фосфолипиды,                     мг/г</w:t>
            </w:r>
          </w:p>
        </w:tc>
        <w:tc>
          <w:tcPr>
            <w:tcW w:w="1342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24,37±1,34</w:t>
            </w:r>
          </w:p>
        </w:tc>
        <w:tc>
          <w:tcPr>
            <w:tcW w:w="1325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20,68±1,05</w:t>
            </w:r>
          </w:p>
        </w:tc>
      </w:tr>
      <w:tr w:rsidR="007428D3" w:rsidRPr="007428D3" w:rsidTr="00B942BE">
        <w:tc>
          <w:tcPr>
            <w:tcW w:w="2333" w:type="pct"/>
            <w:tcBorders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Триглицериды,                     мг/г</w:t>
            </w:r>
          </w:p>
        </w:tc>
        <w:tc>
          <w:tcPr>
            <w:tcW w:w="1342" w:type="pct"/>
            <w:tcBorders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5,71±0,82</w:t>
            </w:r>
          </w:p>
        </w:tc>
        <w:tc>
          <w:tcPr>
            <w:tcW w:w="1325" w:type="pct"/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9±0,16**</w:t>
            </w:r>
          </w:p>
        </w:tc>
      </w:tr>
      <w:tr w:rsidR="007428D3" w:rsidRPr="007428D3" w:rsidTr="00B942BE">
        <w:tc>
          <w:tcPr>
            <w:tcW w:w="2333" w:type="pct"/>
            <w:tcBorders>
              <w:bottom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НЭЖК,                                  мг/г</w:t>
            </w:r>
          </w:p>
        </w:tc>
        <w:tc>
          <w:tcPr>
            <w:tcW w:w="1342" w:type="pct"/>
            <w:tcBorders>
              <w:left w:val="single" w:sz="18" w:space="0" w:color="auto"/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8,55±1,3</w:t>
            </w:r>
          </w:p>
        </w:tc>
        <w:tc>
          <w:tcPr>
            <w:tcW w:w="1325" w:type="pct"/>
            <w:tcBorders>
              <w:bottom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14,36±0,42**</w:t>
            </w:r>
          </w:p>
        </w:tc>
      </w:tr>
      <w:tr w:rsidR="007428D3" w:rsidRPr="007428D3" w:rsidTr="00B942BE">
        <w:tc>
          <w:tcPr>
            <w:tcW w:w="2333" w:type="pct"/>
            <w:tcBorders>
              <w:top w:val="single" w:sz="18" w:space="0" w:color="auto"/>
              <w:righ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Гликоген,                              мг/г</w:t>
            </w:r>
          </w:p>
        </w:tc>
        <w:tc>
          <w:tcPr>
            <w:tcW w:w="1342" w:type="pct"/>
            <w:tcBorders>
              <w:top w:val="single" w:sz="18" w:space="0" w:color="auto"/>
              <w:left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26,38±1,43</w:t>
            </w:r>
          </w:p>
        </w:tc>
        <w:tc>
          <w:tcPr>
            <w:tcW w:w="1325" w:type="pct"/>
            <w:tcBorders>
              <w:top w:val="single" w:sz="18" w:space="0" w:color="auto"/>
            </w:tcBorders>
          </w:tcPr>
          <w:p w:rsidR="007428D3" w:rsidRPr="007428D3" w:rsidRDefault="007428D3" w:rsidP="007428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26,07±2,46</w:t>
            </w:r>
          </w:p>
        </w:tc>
      </w:tr>
    </w:tbl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 * -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&lt;0,05; ** - р&lt;0,01 – сравнение с 1-й гр.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сыворотке крови крыс 2-й гр. содержание общего белка и альбуминов соответствуют их уровню у животных 1-й гр. (см. табл. 2), отмечается повышение α</w:t>
      </w:r>
      <w:r w:rsidRPr="007428D3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β-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глобулинов (на 26,08% и 19,97% соответственно), по-видимому за счёт повышения содержания транспортных белков и ЛПОНП; выявлено уменьшение γ-глобулинов (на 10,04%). Такие показатели свидетельствуют о наличии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диспротеинемии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обусловленной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особенностями питания.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ХС в сыворотке крови крыс 2-й гр. соответствует их уровню у крыс 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1-й гр.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ТГ – достоверно выше (на 151,24%),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</w:t>
      </w:r>
      <w:proofErr w:type="gram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ветственно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крови повышено содержание ЛПОНП на 136,37% (см. табл. 2). Анализ содержания липидов в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гомогенате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печени показал, что ХС снижен (на 27,86%) (см. табл. 3) в связи с повышением его се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spacing w:before="12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креции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составе липопротеинов. Следует отметить, что в печени повышено содержание ТГ и НЭЖК (на 57,65% и 67,89% соответственно) (см. табл. 3), что при повышении уровня ЛПОНП в сыворотке крови свидетельствует об активации синтеза и секреции (возможно и депонирования) ТГ. Концентрация ЛПВП в крови достоверно снижена (на 41,31%) (см. 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табл. 2), что при достаточном уровне ФЛ в печени (см. табл. 3), свидетельствует об увеличении захвата ЛПВП тканями в связи с создающимся избытком ХС.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Выявленные нарушения в липидном спектре сыворотки крови можно рассматривать как риск развития сахарного диабета 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(СД) 2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и жировой инфильтрации печени. 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Э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подтверждается достоверным повышением содержания в сыворотке крови крыс глюкозы (на 26,58%) и 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КТ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121,89%), что свидетельствует о снижении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толеран-тности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глюкозе и, в связи с этим, повышении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кетогенеза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проведенные исследования свидетельствуют о том, что у крыс, находившихся на высококалорийной диете в течение беременности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развивается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дислипидемия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повышением уровня ЛПНП, ЛПОНП, ХС, ТГ),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гипергликемия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можно расценивать как риск развития 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СД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типа.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гомогенате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печени крыс выявлены повышение уровня ТГ и НЭЖК (см. табл. 3), что чревато повышенным накоплением липидов печени. Это подтверждается данными исследования сыворотки крови и свидетельствует о наличии функциональных нарушений в органе на момент эксперимента и может стать причиной развития в будущем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стеатоза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стеатогепатита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другой патологии печени.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Выводы</w:t>
      </w:r>
    </w:p>
    <w:p w:rsidR="007428D3" w:rsidRPr="007428D3" w:rsidRDefault="007428D3" w:rsidP="007428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итание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избытком жиров и углеводов в рационе беременных самок приводит к морфофункциональным нарушениям печени, проявлявшимся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дискомплексацией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балочно-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радиарного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строения, бел</w:t>
      </w: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-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ковой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дистрофией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гепатоцитов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повышенной регенераторной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акти-вностью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органа и повышением СПИ в ткани печени, которые могут стать причиной развития фиброза печени. </w:t>
      </w:r>
    </w:p>
    <w:p w:rsidR="007428D3" w:rsidRPr="007428D3" w:rsidRDefault="007428D3" w:rsidP="007428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Функциональные изменения печени проявлялись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диспротеинемией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гиперлипидемией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(повышение уровня ХС, ЛПНП, ТГ, ЛПОНП, ЛПНП) и гипергликемией, что является фактором риска развития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инсулинорезистентности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а, следовательно, </w:t>
      </w: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СД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 типа. </w:t>
      </w:r>
    </w:p>
    <w:p w:rsidR="007428D3" w:rsidRPr="007428D3" w:rsidRDefault="007428D3" w:rsidP="007428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Биохимические показатели ткани печени свидетельствуют о нару-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шении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ней жирового обмена в виде снижения общего ХС, ФЛ и накопления ТГ и НЭЖК, что может привести впоследствии к </w:t>
      </w:r>
      <w:proofErr w:type="gram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жировому</w:t>
      </w:r>
      <w:proofErr w:type="gram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гепатозу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различной органической патологии печени.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spacing w:before="120"/>
        <w:ind w:firstLine="437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использованной литературы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Дудук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Н. И.,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Зиматкин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С. М.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Холестаз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беременных и его последствия для матери и потомства// Журнал Гр ГМУ. 2011. №1. С. 3.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Ибальдин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 С.,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Шарунов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И.,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Буираев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К. М. Заболевания печени у беременных, принципы лечения// Вестник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Каз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НМУ. 2013. №4 (2). С. 269.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Романцова Т.И. Эпидемия ожирения: очевидные и вероятные причины // Ожирение и метаболизм. 2011. №1. С. 5–19.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Чабанова Н. Б., Василькова Т. Н., Василькова Г. А. Материнское ожирение как фактор риска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гестационных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осложнений// Евразийский союз ученых. 2016. №30-1. С. 84-85.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Васендин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Д. В., Мичурина С. В., Ищенко И.Ю. Морфологические особенности печени крыс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Вистар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экспериментальном ожирении // Вестник Ивановской Медицинской академии. 2014. Т. 19. №4. С. 19 – 22.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Новгородцева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Т. П.,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Караман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Ю. К.,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Бивалькевич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Н. В. Состав липидов эритроцитов крыс при развитии фиброза печени в условиях алиментарной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дислипидемии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// 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Бюллетень РАМН. 2010. Т. 30. №1. С. 53 - 58.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Курганова И. В. Показатели липидного и белкового обмена крови и состояние клеток печени при экспериментальном ожирении: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автореф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дис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. … канд. мед</w:t>
      </w:r>
      <w:proofErr w:type="gram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gram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proofErr w:type="gram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аук – Новосибирск, 2002. – 16с. 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DelCurto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H., Wu G., Satterfield M. C. Nutrition and reproduction: links to epigenetics and metabolic syndrome in offspring // Current Opinion in Clinical Nutrition &amp; Metabolic Care. 2013. V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16. №2. 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P. 385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-391.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Cetin I.,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Berti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C., Calabrese S. Role of micronutrients in the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periconceptional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period // Hum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Reprod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Update. 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2010. 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V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16. №1. 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P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80-95.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Пат. 80979 Україна МПК G09B 23/28 (2006.01) Спосіб моделювання надмірної ваги/ Ніколаєва О. В.,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Ковальцова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М. В., Євтушенко Т. Г.; заявник та патентовласник Харківський національний медичний університет . - № u 2013 01221;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заявл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 01.02. 2013;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опубл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 10.06.2013,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Бюл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 № 11.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Автандилов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Г. Медицинская морфометрия. – М.: Медицина, 1990. 384с.</w:t>
      </w:r>
    </w:p>
    <w:p w:rsidR="007428D3" w:rsidRPr="007428D3" w:rsidRDefault="007428D3" w:rsidP="007428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360"/>
        <w:contextualSpacing/>
        <w:jc w:val="lef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Камышников В. С. </w:t>
      </w:r>
      <w:r w:rsidRPr="007428D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клинических лабораторных исследований. Москва: «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Медипресс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информ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», 2016. 736с.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М.А. Кузнецова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ВЛИЯНИЕ гиперкалорийного рациона питания БЕРЕМЕННЫХ КРЫС НА МОРФОФУНКЦИОНАЛЬНОЕ СОСТОЯНИЕ ПЕЧЕНИ</w:t>
      </w:r>
    </w:p>
    <w:p w:rsidR="007428D3" w:rsidRPr="007428D3" w:rsidRDefault="007428D3" w:rsidP="007428D3">
      <w:pPr>
        <w:ind w:firstLine="708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Исследовано морфофункциональное состояние печени 7 крыс, получавших в течение беременности </w:t>
      </w: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балансированное питание с избытком углеводов и жиров, и 6 крыс группы контроля. Морфологические изменения органа у крыс 2-й гр. заключались в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дискомплексации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балочно-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радиарного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строения, белковой дистрофии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гепатоцитов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повышении регенераторной активностью печени и повышении СПИ в ткани печени. Функциональные нарушения проявлялись развитием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диспротеинемии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гиперлипидемии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гипергликемии,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гиперкетонемии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Это свидетельствует о наличии риска развития у животных фиброза печени, жирового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>гепатоз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а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7428D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СД</w:t>
      </w:r>
      <w:r w:rsidRPr="007428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 типа.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Ключевые слова</w:t>
      </w:r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морфофункциональное состояние печени,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гиперкалорийная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диета, беременные крысы.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М.</w:t>
      </w:r>
      <w:r w:rsidRPr="007428D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О</w:t>
      </w:r>
      <w:r w:rsidRPr="007428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Кузнецова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В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П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ЛИ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В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г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І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перкалор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І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йного рац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І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он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У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ХАРЧУВАНН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я 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ВАГІТНИ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Х 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ЩУРІВ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НА МОРФОФУНКЦ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І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ОНАЛЬН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ИЙ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СТ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АН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ПЕЧ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І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Н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К</w:t>
      </w:r>
      <w:r w:rsidRPr="007428D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Досліджено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морфофункціональний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стан печінки 7 щурів, що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от-римували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впродовж вагітності незбалансоване харчування з надлишком вуглеводів і жирів, і 6 щурів групи контролю. Морфологічні зміни органу у щурів 2-й гр. полягали в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дискомплексації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балочно-радіарної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будови, білкової дистрофії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гепатоцитів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підвищенні регенераторної активності печінки і підвищенні СПІ в тканині печінки. Функціональні порушення проявлялися розвитком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диспротеїнемії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гіперліпідемії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гіперглікемії,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гіперкетонемії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Це свідчить про наявність ризику розвитку у тварин фіброзу печінки, жирового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гепатозу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 ЦД 2 типу.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428D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Ключові слова</w:t>
      </w:r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морфофункціональний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стан печінки, </w:t>
      </w:r>
      <w:proofErr w:type="spellStart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гіперкалорійна</w:t>
      </w:r>
      <w:proofErr w:type="spellEnd"/>
      <w:r w:rsidRPr="007428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дієта, вагітні щури. </w:t>
      </w:r>
    </w:p>
    <w:p w:rsidR="007428D3" w:rsidRPr="007428D3" w:rsidRDefault="007428D3" w:rsidP="007428D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428D3" w:rsidRPr="007428D3" w:rsidRDefault="007428D3" w:rsidP="007428D3">
      <w:pPr>
        <w:ind w:firstLine="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</w:pPr>
    </w:p>
    <w:p w:rsidR="007428D3" w:rsidRPr="007428D3" w:rsidRDefault="007428D3" w:rsidP="007428D3">
      <w:pPr>
        <w:ind w:firstLine="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 w:eastAsia="ru-RU"/>
        </w:rPr>
      </w:pPr>
      <w:r w:rsidRPr="007428D3">
        <w:rPr>
          <w:rFonts w:ascii="Times New Roman" w:eastAsia="Calibri" w:hAnsi="Times New Roman" w:cs="Times New Roman"/>
          <w:b/>
          <w:i/>
          <w:sz w:val="24"/>
          <w:szCs w:val="24"/>
          <w:lang w:val="en-US" w:eastAsia="ru-RU"/>
        </w:rPr>
        <w:t xml:space="preserve">M.O. </w:t>
      </w:r>
      <w:proofErr w:type="spellStart"/>
      <w:r w:rsidRPr="007428D3">
        <w:rPr>
          <w:rFonts w:ascii="Times New Roman" w:eastAsia="Calibri" w:hAnsi="Times New Roman" w:cs="Times New Roman"/>
          <w:b/>
          <w:i/>
          <w:sz w:val="24"/>
          <w:szCs w:val="24"/>
          <w:lang w:val="en-US" w:eastAsia="ru-RU"/>
        </w:rPr>
        <w:t>Kuznetcova</w:t>
      </w:r>
      <w:proofErr w:type="spellEnd"/>
    </w:p>
    <w:p w:rsidR="007428D3" w:rsidRPr="007428D3" w:rsidRDefault="007428D3" w:rsidP="007428D3">
      <w:pPr>
        <w:ind w:firstLine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Impact of the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hypercaloric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food on the morphological functional state of the liver pregnant rats</w:t>
      </w:r>
    </w:p>
    <w:p w:rsidR="007428D3" w:rsidRPr="007428D3" w:rsidRDefault="007428D3" w:rsidP="007428D3">
      <w:pPr>
        <w:ind w:firstLine="0"/>
        <w:contextualSpacing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       The study involved examination of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morphofunctional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state of the liver in 7 rats receiving an unbalanced diet with an excess of carbohydrates and fats during pregnancy, and 6 rats in the control group. Morphological changes in the organ in rats of the 2</w:t>
      </w:r>
      <w:r w:rsidRPr="007428D3">
        <w:rPr>
          <w:rFonts w:ascii="Times New Roman" w:eastAsia="Calibri" w:hAnsi="Times New Roman" w:cs="Times New Roman"/>
          <w:sz w:val="24"/>
          <w:szCs w:val="24"/>
          <w:vertAlign w:val="superscript"/>
          <w:lang w:val="en-US" w:eastAsia="ru-RU"/>
        </w:rPr>
        <w:t>nd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group included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discomplexation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of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lamino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-radial structure, protein dystrophy of hepatocytes, increased regenerative activity of the liver, and enhanced conduction velocity in liver tissue. Functional disorders were manifested in the development of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disproteinemia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, hyperlipidemia, hyperglycemia and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hyperketonemia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. This indicated a risk of developing liver fibrosis, fatty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hepatosis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, and type </w:t>
      </w:r>
      <w:proofErr w:type="gram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2 diabetes in the animals</w:t>
      </w:r>
      <w:proofErr w:type="gram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.</w:t>
      </w:r>
    </w:p>
    <w:p w:rsidR="007428D3" w:rsidRPr="007428D3" w:rsidRDefault="007428D3" w:rsidP="007428D3">
      <w:pPr>
        <w:ind w:firstLine="708"/>
        <w:contextualSpacing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7428D3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Key words:</w:t>
      </w:r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morphofunctional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state of the liver, </w:t>
      </w:r>
      <w:proofErr w:type="spellStart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hypercaloric</w:t>
      </w:r>
      <w:proofErr w:type="spellEnd"/>
      <w:r w:rsidRPr="007428D3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diet, pregnant rats.</w:t>
      </w:r>
    </w:p>
    <w:p w:rsidR="0056200D" w:rsidRPr="007428D3" w:rsidRDefault="0056200D">
      <w:pPr>
        <w:rPr>
          <w:lang w:val="en-US"/>
        </w:rPr>
      </w:pPr>
      <w:bookmarkStart w:id="0" w:name="_GoBack"/>
      <w:bookmarkEnd w:id="0"/>
    </w:p>
    <w:sectPr w:rsidR="0056200D" w:rsidRPr="00742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8162C"/>
    <w:multiLevelType w:val="hybridMultilevel"/>
    <w:tmpl w:val="6180E87C"/>
    <w:lvl w:ilvl="0" w:tplc="8A00AB5C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">
    <w:nsid w:val="316233CF"/>
    <w:multiLevelType w:val="hybridMultilevel"/>
    <w:tmpl w:val="83246D08"/>
    <w:lvl w:ilvl="0" w:tplc="EF902E9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77"/>
    <w:rsid w:val="00524777"/>
    <w:rsid w:val="0056200D"/>
    <w:rsid w:val="0074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2398</Words>
  <Characters>13675</Characters>
  <Application>Microsoft Office Word</Application>
  <DocSecurity>0</DocSecurity>
  <Lines>113</Lines>
  <Paragraphs>32</Paragraphs>
  <ScaleCrop>false</ScaleCrop>
  <Company/>
  <LinksUpToDate>false</LinksUpToDate>
  <CharactersWithSpaces>16041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2018-11-20T09:48:00Z</dcterms:created>
  <dcterms:modified xsi:type="dcterms:W3CDTF">2018-11-20T09:49:00Z</dcterms:modified>
</cp:coreProperties>
</file>