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12A" w:rsidRPr="00D2312A" w:rsidRDefault="00D2312A">
      <w:pPr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Смирнова В.І.,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Т.В.</w:t>
      </w:r>
    </w:p>
    <w:p w:rsidR="00D2312A" w:rsidRPr="00D2312A" w:rsidRDefault="00D2312A">
      <w:pPr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>КОМОРБІДНИЙ ПЕРЕБІГ АРТЕРІАЛЬНОЇ ГІПЕРТЕНЗІЇ ТА ХРОНІЧНОГО ОБСТРУКТИВНОГО ЗАХВОРЮВАННЯ ЛЕГЕНІВ.</w:t>
      </w:r>
    </w:p>
    <w:p w:rsidR="00D2312A" w:rsidRPr="00D2312A" w:rsidRDefault="00D2312A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десятиліть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висувають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перше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концепцію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живемо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епоху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Ймовірність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сполучених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збільшенні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строку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підвищується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128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віковими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негативним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оточуючого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умов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взаємозв’язкі</w:t>
      </w:r>
      <w:proofErr w:type="gramStart"/>
      <w:r w:rsidRPr="00D2312A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взаємовпливу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існуючими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загальних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патогенетичних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оксидантний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>.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(АГ)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непорушно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D2312A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патогенез,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хронічним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обструктивним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(ХОЗЛ)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викликае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тому,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ХОЗЛ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системне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нелегеневими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системними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залучає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патологічний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нирки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взаємозв’язки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добового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ілю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(АТ),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прохідності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персистуючого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оксидантного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та антиоксидантного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коморбідністю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ХОЗЛ. 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клінічною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проблемою є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антигипертензивної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оцінюючи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нормалізувати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добовий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r w:rsidRPr="00D2312A">
        <w:rPr>
          <w:rFonts w:ascii="Times New Roman" w:hAnsi="Times New Roman" w:cs="Times New Roman"/>
          <w:sz w:val="28"/>
          <w:szCs w:val="28"/>
        </w:rPr>
        <w:lastRenderedPageBreak/>
        <w:t xml:space="preserve">АТ, але і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органів-мішеней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оксидантного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системного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антигипертензивний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препарат повинен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корегувати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позитивно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гемодинаміку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малого кола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низці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наш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2312A" w:rsidRPr="00BB570F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визначенні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добового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ілю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ізольованою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30%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non-dippers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54 %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поєднаною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ХОЗЛ.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night-peakers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пряму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ступен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129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обструкції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D2312A">
        <w:rPr>
          <w:rFonts w:ascii="Times New Roman" w:hAnsi="Times New Roman" w:cs="Times New Roman"/>
          <w:sz w:val="28"/>
          <w:szCs w:val="28"/>
        </w:rPr>
        <w:t xml:space="preserve">4 %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ОФВ</w:t>
      </w:r>
      <w:proofErr w:type="gramStart"/>
      <w:r w:rsidRPr="00D2312A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 &gt;50%,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35 %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ОФВ1</w:t>
      </w:r>
      <w:r>
        <w:rPr>
          <w:rFonts w:ascii="Times New Roman" w:hAnsi="Times New Roman" w:cs="Times New Roman"/>
          <w:sz w:val="28"/>
          <w:szCs w:val="28"/>
        </w:rPr>
        <w:t xml:space="preserve"> &lt;</w:t>
      </w:r>
      <w:r w:rsidRPr="00D2312A">
        <w:rPr>
          <w:rFonts w:ascii="Times New Roman" w:hAnsi="Times New Roman" w:cs="Times New Roman"/>
          <w:sz w:val="28"/>
          <w:szCs w:val="28"/>
        </w:rPr>
        <w:t>50%</w:t>
      </w:r>
      <w:r>
        <w:rPr>
          <w:rFonts w:ascii="Times New Roman" w:hAnsi="Times New Roman" w:cs="Times New Roman"/>
          <w:sz w:val="28"/>
          <w:szCs w:val="28"/>
        </w:rPr>
        <w:t>).</w:t>
      </w:r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теж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гіпертрофією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(ГЛШ) та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діастолічною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ЛШ (ДДЛШ)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ізольованою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40% та 55 %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51 % та 79 %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сполученою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знаходився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прямій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обструкції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2312A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 xml:space="preserve">ГЛШ - 43 %, ДДЛШ - 72 %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ОФВ1 &gt;50%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62 % та 90 %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ОФВ1</w:t>
      </w:r>
      <w:r w:rsidRPr="00D2312A">
        <w:rPr>
          <w:rFonts w:ascii="Times New Roman" w:hAnsi="Times New Roman" w:cs="Times New Roman"/>
          <w:sz w:val="28"/>
          <w:szCs w:val="28"/>
        </w:rPr>
        <w:t>&lt;50% в</w:t>
      </w:r>
      <w:proofErr w:type="spellStart"/>
      <w:r w:rsidRPr="00D2312A">
        <w:rPr>
          <w:rFonts w:ascii="Times New Roman" w:hAnsi="Times New Roman" w:cs="Times New Roman"/>
          <w:sz w:val="28"/>
          <w:szCs w:val="28"/>
          <w:lang w:val="uk-UA"/>
        </w:rPr>
        <w:t>ідповідно</w:t>
      </w:r>
      <w:proofErr w:type="spellEnd"/>
      <w:r w:rsidRPr="00D2312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B57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 xml:space="preserve">Типи геометрії лівого шлуночка теж мали значні відмінності в залежності від наявності супутньої патології концентрична гіпертрофія лівого шлуночка була зареєстрована у 14 % хворих на ХОЗЛ, 40 % хворих на АГ та у 53 % хворих з </w:t>
      </w:r>
      <w:proofErr w:type="spellStart"/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>коморбідністю</w:t>
      </w:r>
      <w:proofErr w:type="spellEnd"/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 xml:space="preserve"> АГ </w:t>
      </w:r>
      <w:bookmarkStart w:id="0" w:name="_GoBack"/>
      <w:bookmarkEnd w:id="0"/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>та ХОЗЛ.</w:t>
      </w:r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570F" w:rsidRPr="00BB570F">
        <w:rPr>
          <w:rFonts w:ascii="Times New Roman" w:hAnsi="Times New Roman" w:cs="Times New Roman"/>
          <w:sz w:val="28"/>
          <w:szCs w:val="28"/>
          <w:lang w:val="uk-UA"/>
        </w:rPr>
        <w:t>Цей показник у осіб з супутньою патологією напряму залежав від ступеню бронхіальної обструкції (45 % у осіб з ОФВ1 &gt;50% проти 65 % у осіб ОФВ1&lt;50%).</w:t>
      </w:r>
    </w:p>
    <w:p w:rsidR="00D2312A" w:rsidRPr="00D2312A" w:rsidRDefault="00D2312A" w:rsidP="00D231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312A">
        <w:rPr>
          <w:rFonts w:ascii="Times New Roman" w:hAnsi="Times New Roman" w:cs="Times New Roman"/>
          <w:sz w:val="28"/>
          <w:szCs w:val="28"/>
        </w:rPr>
        <w:t xml:space="preserve">Таким чином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доведено,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на АГ та ХОЗЛ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спільні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системне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оксидантний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Патологічні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виражені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коморбідністю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ізольованою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АГ, а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корелює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бронхообструкції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станом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органів-мішеней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АТ, але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бронхообструкції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хронічним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lastRenderedPageBreak/>
        <w:t>оксидантним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стресом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поєднанням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ХОЗЛ. </w:t>
      </w:r>
      <w:proofErr w:type="spellStart"/>
      <w:proofErr w:type="gramStart"/>
      <w:r w:rsidRPr="00D2312A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D2312A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коморбідністю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АГ та ХОЗЛ та в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критеріїв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антигипертензивної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12A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2312A">
        <w:rPr>
          <w:rFonts w:ascii="Times New Roman" w:hAnsi="Times New Roman" w:cs="Times New Roman"/>
          <w:sz w:val="28"/>
          <w:szCs w:val="28"/>
        </w:rPr>
        <w:t>.</w:t>
      </w:r>
    </w:p>
    <w:sectPr w:rsidR="00D2312A" w:rsidRPr="00D231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12A"/>
    <w:rsid w:val="0082449C"/>
    <w:rsid w:val="00BB570F"/>
    <w:rsid w:val="00D2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2017-10-23T13:14:00Z</dcterms:created>
  <dcterms:modified xsi:type="dcterms:W3CDTF">2017-10-23T13:26:00Z</dcterms:modified>
</cp:coreProperties>
</file>