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C3AEE" w:rsidRPr="00960229" w:rsidRDefault="000C3AEE" w:rsidP="000C3AEE">
      <w:pPr>
        <w:suppressAutoHyphens/>
        <w:jc w:val="center"/>
        <w:rPr>
          <w:b/>
          <w:sz w:val="20"/>
          <w:lang w:val="uk-UA"/>
        </w:rPr>
      </w:pPr>
      <w:r w:rsidRPr="00960229">
        <w:rPr>
          <w:b/>
          <w:sz w:val="20"/>
          <w:lang w:val="uk-UA"/>
        </w:rPr>
        <w:t>ВЗАЄМОЗ</w:t>
      </w:r>
      <w:r w:rsidRPr="00960229">
        <w:rPr>
          <w:b/>
          <w:sz w:val="20"/>
        </w:rPr>
        <w:t>’</w:t>
      </w:r>
      <w:r w:rsidRPr="00960229">
        <w:rPr>
          <w:b/>
          <w:sz w:val="20"/>
          <w:lang w:val="uk-UA"/>
        </w:rPr>
        <w:t>ЯЗКИ МІЖ БІЛКАМИ ТЕПЛОВОГО ШОКУ 70 ТА ПОКАЗНИКАМИ ІМУНІТЕТУ У ДІТЕЙ, ХВОРИХ НА ГОСТРУ ЛІМФОБЛАСТНУ ЛЕЙК</w:t>
      </w:r>
      <w:r w:rsidRPr="00960229">
        <w:rPr>
          <w:b/>
          <w:sz w:val="20"/>
          <w:lang w:val="uk-UA"/>
        </w:rPr>
        <w:t>Е</w:t>
      </w:r>
      <w:r w:rsidRPr="00960229">
        <w:rPr>
          <w:b/>
          <w:sz w:val="20"/>
          <w:lang w:val="uk-UA"/>
        </w:rPr>
        <w:t>МІЮ</w:t>
      </w:r>
    </w:p>
    <w:p w:rsidR="000C3AEE" w:rsidRPr="00960229" w:rsidRDefault="000C3AEE" w:rsidP="000C3AEE">
      <w:pPr>
        <w:suppressAutoHyphens/>
        <w:jc w:val="center"/>
        <w:rPr>
          <w:i/>
          <w:sz w:val="20"/>
          <w:lang w:val="uk-UA"/>
        </w:rPr>
      </w:pPr>
      <w:r w:rsidRPr="00960229">
        <w:rPr>
          <w:i/>
          <w:sz w:val="20"/>
          <w:lang w:val="uk-UA"/>
        </w:rPr>
        <w:t>Одинець Ю.В., Кондратюк Т.О.</w:t>
      </w:r>
    </w:p>
    <w:p w:rsidR="000C3AEE" w:rsidRPr="00960229" w:rsidRDefault="000C3AEE" w:rsidP="000C3AEE">
      <w:pPr>
        <w:suppressAutoHyphens/>
        <w:jc w:val="center"/>
        <w:rPr>
          <w:sz w:val="20"/>
          <w:lang w:val="uk-UA"/>
        </w:rPr>
      </w:pPr>
      <w:r w:rsidRPr="00960229">
        <w:rPr>
          <w:sz w:val="20"/>
          <w:lang w:val="uk-UA"/>
        </w:rPr>
        <w:t>Харківський національний медичний університет</w:t>
      </w:r>
    </w:p>
    <w:p w:rsidR="000C3AEE" w:rsidRPr="00960229" w:rsidRDefault="000C3AEE" w:rsidP="000C3AEE">
      <w:pPr>
        <w:suppressAutoHyphens/>
        <w:jc w:val="center"/>
        <w:rPr>
          <w:sz w:val="20"/>
          <w:lang w:val="uk-UA"/>
        </w:rPr>
      </w:pPr>
      <w:r w:rsidRPr="00960229">
        <w:rPr>
          <w:sz w:val="20"/>
          <w:lang w:val="uk-UA"/>
        </w:rPr>
        <w:t>Кафедра педіатрії № 2</w:t>
      </w:r>
    </w:p>
    <w:p w:rsidR="000C3AEE" w:rsidRPr="00960229" w:rsidRDefault="000C3AEE" w:rsidP="000C3AEE">
      <w:pPr>
        <w:suppressAutoHyphens/>
        <w:ind w:firstLine="709"/>
        <w:jc w:val="both"/>
        <w:rPr>
          <w:sz w:val="20"/>
          <w:lang w:val="uk-UA"/>
        </w:rPr>
      </w:pPr>
      <w:r w:rsidRPr="00960229">
        <w:rPr>
          <w:sz w:val="20"/>
          <w:lang w:val="uk-UA"/>
        </w:rPr>
        <w:tab/>
      </w:r>
    </w:p>
    <w:p w:rsidR="000C3AEE" w:rsidRPr="00960229" w:rsidRDefault="000C3AEE" w:rsidP="000C3AEE">
      <w:pPr>
        <w:suppressAutoHyphens/>
        <w:ind w:firstLine="709"/>
        <w:jc w:val="both"/>
        <w:rPr>
          <w:sz w:val="20"/>
          <w:lang w:val="uk-UA"/>
        </w:rPr>
      </w:pPr>
      <w:r w:rsidRPr="00960229">
        <w:rPr>
          <w:sz w:val="20"/>
          <w:lang w:val="uk-UA"/>
        </w:rPr>
        <w:t>Актуальність Діти, хворі на гостру лімфобластну лейкемію (ГЛЛ), страждають імунною дисфункцією, яка спричинена злоякісним новоутворенням та хіміотерапією. Відомо, що білки тепл</w:t>
      </w:r>
      <w:r w:rsidRPr="00960229">
        <w:rPr>
          <w:sz w:val="20"/>
          <w:lang w:val="uk-UA"/>
        </w:rPr>
        <w:t>о</w:t>
      </w:r>
      <w:r w:rsidRPr="00960229">
        <w:rPr>
          <w:sz w:val="20"/>
          <w:lang w:val="uk-UA"/>
        </w:rPr>
        <w:t>вого шоку 70 (БТШ 70) являються першими, хто відповідає на зміни внутрішнього середовища (гомеостазу) та запускає захисні адаптивні реакції. Вони</w:t>
      </w:r>
      <w:r w:rsidRPr="00960229">
        <w:rPr>
          <w:bCs/>
          <w:sz w:val="20"/>
          <w:lang w:val="uk-UA"/>
        </w:rPr>
        <w:t xml:space="preserve">  виграють роль не лише у бластній трансформації та прогресії лейкемії, а й мають </w:t>
      </w:r>
      <w:r w:rsidRPr="00960229">
        <w:rPr>
          <w:sz w:val="20"/>
          <w:lang w:val="uk-UA"/>
        </w:rPr>
        <w:t>імунологічні та метаболічні функції. Кінцева роль БТШ 70 при ГЛЛ залишається предметом наукових досліджень та дискусій. На сьогодні достеменно не відомий весь механізм впливу БТШ 70 на імунологічні та патогенетичні процеси перебігу дитячої ле</w:t>
      </w:r>
      <w:r w:rsidRPr="00960229">
        <w:rPr>
          <w:sz w:val="20"/>
          <w:lang w:val="uk-UA"/>
        </w:rPr>
        <w:t>й</w:t>
      </w:r>
      <w:r w:rsidRPr="00960229">
        <w:rPr>
          <w:sz w:val="20"/>
          <w:lang w:val="uk-UA"/>
        </w:rPr>
        <w:t>кемії.</w:t>
      </w:r>
    </w:p>
    <w:p w:rsidR="000C3AEE" w:rsidRPr="00960229" w:rsidRDefault="000C3AEE" w:rsidP="000C3AEE">
      <w:pPr>
        <w:suppressAutoHyphens/>
        <w:ind w:firstLine="709"/>
        <w:jc w:val="both"/>
        <w:rPr>
          <w:sz w:val="20"/>
          <w:lang w:val="uk-UA"/>
        </w:rPr>
      </w:pPr>
      <w:r w:rsidRPr="00960229">
        <w:rPr>
          <w:sz w:val="20"/>
          <w:lang w:val="uk-UA"/>
        </w:rPr>
        <w:t>Ціль дослідження дослідити співвідношення пок</w:t>
      </w:r>
      <w:r w:rsidRPr="00960229">
        <w:rPr>
          <w:sz w:val="20"/>
          <w:lang w:val="uk-UA"/>
        </w:rPr>
        <w:t>а</w:t>
      </w:r>
      <w:r w:rsidRPr="00960229">
        <w:rPr>
          <w:sz w:val="20"/>
          <w:lang w:val="uk-UA"/>
        </w:rPr>
        <w:t>зників БТШ 70 та імунограми у дітей, хворих на ГЛЛ, під час маніфестації захворювання та індукційної терапії.</w:t>
      </w:r>
    </w:p>
    <w:p w:rsidR="000C3AEE" w:rsidRPr="00960229" w:rsidRDefault="000C3AEE" w:rsidP="000C3AEE">
      <w:pPr>
        <w:suppressAutoHyphens/>
        <w:ind w:firstLine="709"/>
        <w:contextualSpacing/>
        <w:jc w:val="both"/>
        <w:rPr>
          <w:sz w:val="20"/>
          <w:lang w:val="uk-UA"/>
        </w:rPr>
      </w:pPr>
      <w:r w:rsidRPr="00960229">
        <w:rPr>
          <w:sz w:val="20"/>
          <w:lang w:val="uk-UA"/>
        </w:rPr>
        <w:t xml:space="preserve">Матеріали та методи </w:t>
      </w:r>
      <w:r w:rsidRPr="00960229">
        <w:rPr>
          <w:sz w:val="20"/>
        </w:rPr>
        <w:t>Досліджено 4</w:t>
      </w:r>
      <w:r w:rsidRPr="00960229">
        <w:rPr>
          <w:sz w:val="20"/>
          <w:lang w:val="uk-UA"/>
        </w:rPr>
        <w:t>9</w:t>
      </w:r>
      <w:r w:rsidRPr="00960229">
        <w:rPr>
          <w:sz w:val="20"/>
        </w:rPr>
        <w:t xml:space="preserve"> дітей</w:t>
      </w:r>
      <w:r w:rsidRPr="00960229">
        <w:rPr>
          <w:sz w:val="20"/>
          <w:lang w:val="uk-UA"/>
        </w:rPr>
        <w:t xml:space="preserve"> (37 хлопчиків та 17 дівчат)</w:t>
      </w:r>
      <w:r w:rsidRPr="00960229">
        <w:rPr>
          <w:sz w:val="20"/>
        </w:rPr>
        <w:t>, віком від 1 до 17 років</w:t>
      </w:r>
      <w:r w:rsidRPr="00960229">
        <w:rPr>
          <w:sz w:val="20"/>
          <w:lang w:val="uk-UA"/>
        </w:rPr>
        <w:t>,</w:t>
      </w:r>
      <w:r w:rsidRPr="00960229">
        <w:rPr>
          <w:sz w:val="20"/>
        </w:rPr>
        <w:t xml:space="preserve"> хворих на ГЛЛ</w:t>
      </w:r>
      <w:r w:rsidRPr="00960229">
        <w:rPr>
          <w:sz w:val="20"/>
          <w:lang w:val="uk-UA"/>
        </w:rPr>
        <w:t>.</w:t>
      </w:r>
      <w:r w:rsidRPr="00960229">
        <w:rPr>
          <w:snapToGrid w:val="0"/>
          <w:sz w:val="20"/>
          <w:lang w:val="uk-UA"/>
        </w:rPr>
        <w:t xml:space="preserve"> До початку лікування (маніфестація лейкемії), дітям проводилась визначення рівня показників імунітету (</w:t>
      </w:r>
      <w:r w:rsidRPr="00960229">
        <w:rPr>
          <w:sz w:val="20"/>
          <w:lang w:val="uk-UA"/>
        </w:rPr>
        <w:t xml:space="preserve">Т- і В-лімфоцитів, </w:t>
      </w:r>
      <w:r w:rsidRPr="00960229">
        <w:rPr>
          <w:sz w:val="20"/>
          <w:lang w:val="en-US"/>
        </w:rPr>
        <w:t>Ig</w:t>
      </w:r>
      <w:r w:rsidRPr="00960229">
        <w:rPr>
          <w:sz w:val="20"/>
          <w:lang w:val="uk-UA"/>
        </w:rPr>
        <w:t xml:space="preserve"> </w:t>
      </w:r>
      <w:r w:rsidRPr="00960229">
        <w:rPr>
          <w:sz w:val="20"/>
          <w:lang w:val="en-US"/>
        </w:rPr>
        <w:t>A</w:t>
      </w:r>
      <w:r w:rsidRPr="00960229">
        <w:rPr>
          <w:sz w:val="20"/>
          <w:lang w:val="uk-UA"/>
        </w:rPr>
        <w:t xml:space="preserve">, </w:t>
      </w:r>
      <w:r w:rsidRPr="00960229">
        <w:rPr>
          <w:sz w:val="20"/>
          <w:lang w:val="en-US"/>
        </w:rPr>
        <w:t>Ig</w:t>
      </w:r>
      <w:r w:rsidRPr="00960229">
        <w:rPr>
          <w:sz w:val="20"/>
          <w:lang w:val="uk-UA"/>
        </w:rPr>
        <w:t xml:space="preserve"> </w:t>
      </w:r>
      <w:r w:rsidRPr="00960229">
        <w:rPr>
          <w:sz w:val="20"/>
          <w:lang w:val="en-US"/>
        </w:rPr>
        <w:t>M</w:t>
      </w:r>
      <w:r w:rsidRPr="00960229">
        <w:rPr>
          <w:sz w:val="20"/>
          <w:lang w:val="uk-UA"/>
        </w:rPr>
        <w:t xml:space="preserve">, </w:t>
      </w:r>
      <w:r w:rsidRPr="00960229">
        <w:rPr>
          <w:sz w:val="20"/>
          <w:lang w:val="en-US"/>
        </w:rPr>
        <w:t>Ig</w:t>
      </w:r>
      <w:r w:rsidRPr="00960229">
        <w:rPr>
          <w:sz w:val="20"/>
          <w:lang w:val="uk-UA"/>
        </w:rPr>
        <w:t xml:space="preserve"> </w:t>
      </w:r>
      <w:r w:rsidRPr="00960229">
        <w:rPr>
          <w:sz w:val="20"/>
          <w:lang w:val="en-US"/>
        </w:rPr>
        <w:t>G</w:t>
      </w:r>
      <w:r w:rsidRPr="00960229">
        <w:rPr>
          <w:snapToGrid w:val="0"/>
          <w:sz w:val="20"/>
          <w:lang w:val="uk-UA"/>
        </w:rPr>
        <w:t xml:space="preserve">) та БТШ 70 в сироватці крові (група </w:t>
      </w:r>
      <w:r w:rsidRPr="00960229">
        <w:rPr>
          <w:snapToGrid w:val="0"/>
          <w:sz w:val="20"/>
          <w:lang w:val="en-US"/>
        </w:rPr>
        <w:t>A</w:t>
      </w:r>
      <w:r w:rsidRPr="00960229">
        <w:rPr>
          <w:snapToGrid w:val="0"/>
          <w:sz w:val="20"/>
          <w:lang w:val="uk-UA"/>
        </w:rPr>
        <w:t xml:space="preserve">, </w:t>
      </w:r>
      <w:r w:rsidRPr="00960229">
        <w:rPr>
          <w:snapToGrid w:val="0"/>
          <w:sz w:val="20"/>
          <w:lang w:val="en-US"/>
        </w:rPr>
        <w:t>n</w:t>
      </w:r>
      <w:r w:rsidRPr="00960229">
        <w:rPr>
          <w:sz w:val="20"/>
          <w:lang w:val="uk-UA"/>
        </w:rPr>
        <w:t xml:space="preserve"> = 49</w:t>
      </w:r>
      <w:r w:rsidRPr="00960229">
        <w:rPr>
          <w:snapToGrid w:val="0"/>
          <w:sz w:val="20"/>
          <w:lang w:val="uk-UA"/>
        </w:rPr>
        <w:t>). Під</w:t>
      </w:r>
      <w:r w:rsidRPr="00960229">
        <w:rPr>
          <w:sz w:val="20"/>
          <w:lang w:val="uk-UA"/>
        </w:rPr>
        <w:t xml:space="preserve"> час виникнення ускладнень у продовж індукції ремісії проводили повторне визначення вищезгаданих показників у сироватці крові (група Б; </w:t>
      </w:r>
      <w:r w:rsidRPr="00960229">
        <w:rPr>
          <w:sz w:val="20"/>
          <w:lang w:val="en-US"/>
        </w:rPr>
        <w:t>n</w:t>
      </w:r>
      <w:r w:rsidRPr="00960229">
        <w:rPr>
          <w:sz w:val="20"/>
          <w:lang w:val="uk-UA"/>
        </w:rPr>
        <w:t xml:space="preserve"> = 34). </w:t>
      </w:r>
      <w:r w:rsidRPr="00960229">
        <w:rPr>
          <w:sz w:val="20"/>
        </w:rPr>
        <w:t xml:space="preserve"> </w:t>
      </w:r>
    </w:p>
    <w:p w:rsidR="000C3AEE" w:rsidRPr="00960229" w:rsidRDefault="000C3AEE" w:rsidP="000C3AEE">
      <w:pPr>
        <w:suppressAutoHyphens/>
        <w:ind w:firstLine="709"/>
        <w:contextualSpacing/>
        <w:jc w:val="both"/>
        <w:rPr>
          <w:sz w:val="20"/>
          <w:lang w:val="uk-UA"/>
        </w:rPr>
      </w:pPr>
      <w:r w:rsidRPr="00960229">
        <w:rPr>
          <w:sz w:val="20"/>
          <w:lang w:val="uk-UA"/>
        </w:rPr>
        <w:t xml:space="preserve"> Статистичний аналіз отриманих даних проводили за допомогою статистичних пакетів „</w:t>
      </w:r>
      <w:r w:rsidRPr="00960229">
        <w:rPr>
          <w:sz w:val="20"/>
        </w:rPr>
        <w:t>EXCEL</w:t>
      </w:r>
      <w:r w:rsidRPr="00960229">
        <w:rPr>
          <w:sz w:val="20"/>
          <w:lang w:val="uk-UA"/>
        </w:rPr>
        <w:t xml:space="preserve"> </w:t>
      </w:r>
      <w:r w:rsidRPr="00960229">
        <w:rPr>
          <w:sz w:val="20"/>
        </w:rPr>
        <w:t>FOR</w:t>
      </w:r>
      <w:r w:rsidRPr="00960229">
        <w:rPr>
          <w:sz w:val="20"/>
          <w:lang w:val="uk-UA"/>
        </w:rPr>
        <w:t xml:space="preserve"> </w:t>
      </w:r>
      <w:r w:rsidRPr="00960229">
        <w:rPr>
          <w:sz w:val="20"/>
        </w:rPr>
        <w:t>WINDOWS</w:t>
      </w:r>
      <w:r w:rsidRPr="00960229">
        <w:rPr>
          <w:sz w:val="20"/>
          <w:lang w:val="uk-UA"/>
        </w:rPr>
        <w:t>” та „</w:t>
      </w:r>
      <w:r w:rsidRPr="00960229">
        <w:rPr>
          <w:sz w:val="20"/>
        </w:rPr>
        <w:t>STATISTICA</w:t>
      </w:r>
      <w:r w:rsidRPr="00960229">
        <w:rPr>
          <w:sz w:val="20"/>
          <w:lang w:val="uk-UA"/>
        </w:rPr>
        <w:t xml:space="preserve"> 7.0. </w:t>
      </w:r>
      <w:r w:rsidRPr="00960229">
        <w:rPr>
          <w:sz w:val="20"/>
        </w:rPr>
        <w:t>FOR</w:t>
      </w:r>
      <w:r w:rsidRPr="00960229">
        <w:rPr>
          <w:sz w:val="20"/>
          <w:lang w:val="uk-UA"/>
        </w:rPr>
        <w:t xml:space="preserve"> </w:t>
      </w:r>
      <w:r w:rsidRPr="00960229">
        <w:rPr>
          <w:sz w:val="20"/>
        </w:rPr>
        <w:t>WINDOWS</w:t>
      </w:r>
      <w:r w:rsidRPr="00960229">
        <w:rPr>
          <w:sz w:val="20"/>
          <w:lang w:val="uk-UA"/>
        </w:rPr>
        <w:t>”.</w:t>
      </w:r>
    </w:p>
    <w:p w:rsidR="000C3AEE" w:rsidRPr="00960229" w:rsidRDefault="000C3AEE" w:rsidP="000C3AEE">
      <w:pPr>
        <w:suppressAutoHyphens/>
        <w:ind w:firstLine="709"/>
        <w:jc w:val="both"/>
        <w:rPr>
          <w:sz w:val="20"/>
          <w:lang w:val="uk-UA"/>
        </w:rPr>
      </w:pPr>
      <w:r w:rsidRPr="00960229">
        <w:rPr>
          <w:sz w:val="20"/>
          <w:lang w:val="uk-UA"/>
        </w:rPr>
        <w:t>Результати</w:t>
      </w:r>
      <w:r w:rsidRPr="00960229">
        <w:rPr>
          <w:sz w:val="20"/>
        </w:rPr>
        <w:t xml:space="preserve"> </w:t>
      </w:r>
      <w:r w:rsidRPr="00960229">
        <w:rPr>
          <w:sz w:val="20"/>
          <w:lang w:val="uk-UA"/>
        </w:rPr>
        <w:t xml:space="preserve">Рівень БТШ 70 у сироватці крові хворих групи </w:t>
      </w:r>
      <w:r w:rsidRPr="00960229">
        <w:rPr>
          <w:sz w:val="20"/>
          <w:lang w:val="en-US"/>
        </w:rPr>
        <w:t>A</w:t>
      </w:r>
      <w:r w:rsidRPr="00960229">
        <w:rPr>
          <w:sz w:val="20"/>
          <w:lang w:val="uk-UA"/>
        </w:rPr>
        <w:t xml:space="preserve"> (до лік</w:t>
      </w:r>
      <w:r w:rsidRPr="00960229">
        <w:rPr>
          <w:sz w:val="20"/>
          <w:lang w:val="uk-UA"/>
        </w:rPr>
        <w:t>у</w:t>
      </w:r>
      <w:r w:rsidRPr="00960229">
        <w:rPr>
          <w:sz w:val="20"/>
          <w:lang w:val="uk-UA"/>
        </w:rPr>
        <w:t>вання) становив 5,51 [3,69-8,93] нг/мл. Пацієнти групи Б мали рівень БТШ 70 у сироватці крові 4,79 [2,89-7,45] нг/мл. Ми виявили достові</w:t>
      </w:r>
      <w:r w:rsidRPr="00960229">
        <w:rPr>
          <w:sz w:val="20"/>
          <w:lang w:val="uk-UA"/>
        </w:rPr>
        <w:t>р</w:t>
      </w:r>
      <w:r w:rsidRPr="00960229">
        <w:rPr>
          <w:sz w:val="20"/>
          <w:lang w:val="uk-UA"/>
        </w:rPr>
        <w:t>ну різницю  (р˂0,05) між рівнями БТШ 70 у пацієнтів з ГЛЛ та здор</w:t>
      </w:r>
      <w:r w:rsidRPr="00960229">
        <w:rPr>
          <w:sz w:val="20"/>
          <w:lang w:val="uk-UA"/>
        </w:rPr>
        <w:t>о</w:t>
      </w:r>
      <w:r w:rsidRPr="00960229">
        <w:rPr>
          <w:sz w:val="20"/>
          <w:lang w:val="uk-UA"/>
        </w:rPr>
        <w:t>вих дітей. Також зафіксовано достовірне зниження БТШ 70 у сирова</w:t>
      </w:r>
      <w:r w:rsidRPr="00960229">
        <w:rPr>
          <w:sz w:val="20"/>
          <w:lang w:val="uk-UA"/>
        </w:rPr>
        <w:t>т</w:t>
      </w:r>
      <w:r w:rsidRPr="00960229">
        <w:rPr>
          <w:sz w:val="20"/>
          <w:lang w:val="uk-UA"/>
        </w:rPr>
        <w:t>ці крові пацієнтів під час індукційної терапії у порівнянні з початк</w:t>
      </w:r>
      <w:r w:rsidRPr="00960229">
        <w:rPr>
          <w:sz w:val="20"/>
          <w:lang w:val="uk-UA"/>
        </w:rPr>
        <w:t>о</w:t>
      </w:r>
      <w:r w:rsidRPr="00960229">
        <w:rPr>
          <w:sz w:val="20"/>
          <w:lang w:val="uk-UA"/>
        </w:rPr>
        <w:t>вим рівнем цього білку (</w:t>
      </w:r>
      <w:r w:rsidRPr="00960229">
        <w:rPr>
          <w:sz w:val="20"/>
          <w:lang w:val="en-GB"/>
        </w:rPr>
        <w:t>p</w:t>
      </w:r>
      <w:r w:rsidRPr="00960229">
        <w:rPr>
          <w:sz w:val="20"/>
          <w:lang w:val="uk-UA"/>
        </w:rPr>
        <w:t xml:space="preserve"> &lt;0,05).</w:t>
      </w:r>
    </w:p>
    <w:p w:rsidR="000C3AEE" w:rsidRPr="00960229" w:rsidRDefault="000C3AEE" w:rsidP="000C3AEE">
      <w:pPr>
        <w:suppressAutoHyphens/>
        <w:ind w:firstLine="709"/>
        <w:jc w:val="both"/>
        <w:rPr>
          <w:sz w:val="20"/>
          <w:lang w:val="uk-UA"/>
        </w:rPr>
      </w:pPr>
      <w:r w:rsidRPr="00960229">
        <w:rPr>
          <w:sz w:val="20"/>
          <w:lang w:val="uk-UA"/>
        </w:rPr>
        <w:t xml:space="preserve">Ураховуючи закономірні вікові зміни імунологічних показників у дітей, для проведення порівняльного аналізу цих показників у хворих різного віку використовувався метод </w:t>
      </w:r>
      <w:r w:rsidRPr="00960229">
        <w:rPr>
          <w:sz w:val="20"/>
          <w:lang w:val="en-US"/>
        </w:rPr>
        <w:t>Z</w:t>
      </w:r>
      <w:r w:rsidRPr="00960229">
        <w:rPr>
          <w:sz w:val="20"/>
          <w:lang w:val="uk-UA"/>
        </w:rPr>
        <w:t xml:space="preserve">-оцінок. За даними </w:t>
      </w:r>
      <w:r w:rsidRPr="00960229">
        <w:rPr>
          <w:sz w:val="20"/>
          <w:lang w:val="en-US"/>
        </w:rPr>
        <w:t>Z</w:t>
      </w:r>
      <w:r w:rsidRPr="00960229">
        <w:rPr>
          <w:sz w:val="20"/>
        </w:rPr>
        <w:t>-оц</w:t>
      </w:r>
      <w:r w:rsidRPr="00960229">
        <w:rPr>
          <w:sz w:val="20"/>
          <w:lang w:val="uk-UA"/>
        </w:rPr>
        <w:t>інок показники клітинної ланки імунітету груп хворих А та Б мали значні відхилення від нормальних рівнів. Абсолютна кількість натуральних кілерів (</w:t>
      </w:r>
      <w:r w:rsidRPr="00960229">
        <w:rPr>
          <w:sz w:val="20"/>
          <w:lang w:val="en-US"/>
        </w:rPr>
        <w:t>CD</w:t>
      </w:r>
      <w:r w:rsidRPr="00960229">
        <w:rPr>
          <w:sz w:val="20"/>
        </w:rPr>
        <w:t xml:space="preserve"> 16</w:t>
      </w:r>
      <w:r w:rsidRPr="00960229">
        <w:rPr>
          <w:sz w:val="20"/>
          <w:lang w:val="uk-UA"/>
        </w:rPr>
        <w:t>) при старті лейкемії перевищувала норм</w:t>
      </w:r>
      <w:r w:rsidRPr="00960229">
        <w:rPr>
          <w:sz w:val="20"/>
          <w:lang w:val="uk-UA"/>
        </w:rPr>
        <w:t>а</w:t>
      </w:r>
      <w:r w:rsidRPr="00960229">
        <w:rPr>
          <w:sz w:val="20"/>
          <w:lang w:val="uk-UA"/>
        </w:rPr>
        <w:t>льні показники майже у 15 разів. У динаміці, під час інд</w:t>
      </w:r>
      <w:r w:rsidRPr="00960229">
        <w:rPr>
          <w:sz w:val="20"/>
          <w:lang w:val="uk-UA"/>
        </w:rPr>
        <w:t>у</w:t>
      </w:r>
      <w:r w:rsidRPr="00960229">
        <w:rPr>
          <w:sz w:val="20"/>
          <w:lang w:val="uk-UA"/>
        </w:rPr>
        <w:t xml:space="preserve">кційної терапії, рівень </w:t>
      </w:r>
      <w:r w:rsidRPr="00960229">
        <w:rPr>
          <w:sz w:val="20"/>
          <w:lang w:val="en-US"/>
        </w:rPr>
        <w:t>CD</w:t>
      </w:r>
      <w:r w:rsidRPr="00960229">
        <w:rPr>
          <w:sz w:val="20"/>
          <w:lang w:val="uk-UA"/>
        </w:rPr>
        <w:t xml:space="preserve"> 16 достовірно (р=0,033) знизився. Нами зафіксовано непрямий кореляці</w:t>
      </w:r>
      <w:r w:rsidRPr="00960229">
        <w:rPr>
          <w:sz w:val="20"/>
          <w:lang w:val="uk-UA"/>
        </w:rPr>
        <w:t>й</w:t>
      </w:r>
      <w:r w:rsidRPr="00960229">
        <w:rPr>
          <w:sz w:val="20"/>
          <w:lang w:val="uk-UA"/>
        </w:rPr>
        <w:t>ний зв’язок між показниками С</w:t>
      </w:r>
      <w:r w:rsidRPr="00960229">
        <w:rPr>
          <w:sz w:val="20"/>
          <w:lang w:val="en-US"/>
        </w:rPr>
        <w:t>D</w:t>
      </w:r>
      <w:r w:rsidRPr="00960229">
        <w:rPr>
          <w:sz w:val="20"/>
          <w:lang w:val="uk-UA"/>
        </w:rPr>
        <w:t xml:space="preserve"> 16 та БТШ 70 у хворих групи Б. Це вірогідно, демонструє нормалізацію роботи Т-кілерів на фоні зниження активності онкологічного процесу під дією хіміотер</w:t>
      </w:r>
      <w:r w:rsidRPr="00960229">
        <w:rPr>
          <w:sz w:val="20"/>
          <w:lang w:val="uk-UA"/>
        </w:rPr>
        <w:t>а</w:t>
      </w:r>
      <w:r w:rsidRPr="00960229">
        <w:rPr>
          <w:sz w:val="20"/>
          <w:lang w:val="uk-UA"/>
        </w:rPr>
        <w:t xml:space="preserve">пії. </w:t>
      </w:r>
    </w:p>
    <w:p w:rsidR="000C3AEE" w:rsidRPr="00960229" w:rsidRDefault="000C3AEE" w:rsidP="000C3AEE">
      <w:pPr>
        <w:suppressAutoHyphens/>
        <w:ind w:firstLine="709"/>
        <w:jc w:val="both"/>
        <w:rPr>
          <w:sz w:val="20"/>
          <w:lang w:val="uk-UA"/>
        </w:rPr>
      </w:pPr>
      <w:r w:rsidRPr="00960229">
        <w:rPr>
          <w:sz w:val="20"/>
          <w:lang w:val="uk-UA"/>
        </w:rPr>
        <w:t xml:space="preserve">Абсолютна кількість </w:t>
      </w:r>
      <w:r w:rsidRPr="00960229">
        <w:rPr>
          <w:sz w:val="20"/>
          <w:lang w:val="en-US"/>
        </w:rPr>
        <w:t>CD</w:t>
      </w:r>
      <w:r w:rsidRPr="00960229">
        <w:rPr>
          <w:sz w:val="20"/>
          <w:lang w:val="uk-UA"/>
        </w:rPr>
        <w:t xml:space="preserve"> 3 знижувалась під час маніфестації лейкемії у 2,5 та під час інду</w:t>
      </w:r>
      <w:r w:rsidRPr="00960229">
        <w:rPr>
          <w:sz w:val="20"/>
          <w:lang w:val="uk-UA"/>
        </w:rPr>
        <w:t>к</w:t>
      </w:r>
      <w:r w:rsidRPr="00960229">
        <w:rPr>
          <w:sz w:val="20"/>
          <w:lang w:val="uk-UA"/>
        </w:rPr>
        <w:t xml:space="preserve">ційної терапії у 7,2 разів. При цьому була пряма кореляція між рівнем БТШ 70 та </w:t>
      </w:r>
      <w:r w:rsidRPr="00960229">
        <w:rPr>
          <w:sz w:val="20"/>
          <w:lang w:val="en-US"/>
        </w:rPr>
        <w:t>CD</w:t>
      </w:r>
      <w:r w:rsidRPr="00960229">
        <w:rPr>
          <w:sz w:val="20"/>
        </w:rPr>
        <w:t xml:space="preserve"> 3</w:t>
      </w:r>
      <w:r w:rsidRPr="00960229">
        <w:rPr>
          <w:sz w:val="20"/>
          <w:lang w:val="uk-UA"/>
        </w:rPr>
        <w:t xml:space="preserve"> у хворих групи А, що демо</w:t>
      </w:r>
      <w:r w:rsidRPr="00960229">
        <w:rPr>
          <w:sz w:val="20"/>
          <w:lang w:val="uk-UA"/>
        </w:rPr>
        <w:t>н</w:t>
      </w:r>
      <w:r w:rsidRPr="00960229">
        <w:rPr>
          <w:sz w:val="20"/>
          <w:lang w:val="uk-UA"/>
        </w:rPr>
        <w:t>струє причетність БТШ 70 до онкологічного процесу.</w:t>
      </w:r>
    </w:p>
    <w:p w:rsidR="000C3AEE" w:rsidRPr="00960229" w:rsidRDefault="000C3AEE" w:rsidP="000C3AEE">
      <w:pPr>
        <w:suppressAutoHyphens/>
        <w:ind w:firstLine="709"/>
        <w:jc w:val="both"/>
        <w:rPr>
          <w:sz w:val="20"/>
          <w:lang w:val="uk-UA"/>
        </w:rPr>
      </w:pPr>
      <w:r w:rsidRPr="00960229">
        <w:rPr>
          <w:sz w:val="20"/>
          <w:lang w:val="uk-UA"/>
        </w:rPr>
        <w:t>Рівні Т-хелперів (</w:t>
      </w:r>
      <w:r w:rsidRPr="00960229">
        <w:rPr>
          <w:sz w:val="20"/>
          <w:lang w:val="en-US"/>
        </w:rPr>
        <w:t>CD</w:t>
      </w:r>
      <w:r w:rsidRPr="00960229">
        <w:rPr>
          <w:sz w:val="20"/>
          <w:lang w:val="uk-UA"/>
        </w:rPr>
        <w:t xml:space="preserve"> 4) знижались під час гострого періоду лейкемії з послідуючим достовірним (р˂0,05) зниженням під час індукційної т</w:t>
      </w:r>
      <w:r w:rsidRPr="00960229">
        <w:rPr>
          <w:sz w:val="20"/>
          <w:lang w:val="uk-UA"/>
        </w:rPr>
        <w:t>е</w:t>
      </w:r>
      <w:r w:rsidRPr="00960229">
        <w:rPr>
          <w:sz w:val="20"/>
          <w:lang w:val="uk-UA"/>
        </w:rPr>
        <w:t xml:space="preserve">рапії. Варто зазначити, що між БТШ 70 та </w:t>
      </w:r>
      <w:r w:rsidRPr="00960229">
        <w:rPr>
          <w:sz w:val="20"/>
          <w:lang w:val="en-US"/>
        </w:rPr>
        <w:t>CD</w:t>
      </w:r>
      <w:r w:rsidRPr="00960229">
        <w:rPr>
          <w:sz w:val="20"/>
          <w:lang w:val="uk-UA"/>
        </w:rPr>
        <w:t xml:space="preserve"> 4 у хворих групи А встановлено пряму кореляцію. Однак, в умовах значного дефіциту </w:t>
      </w:r>
      <w:r w:rsidRPr="00960229">
        <w:rPr>
          <w:sz w:val="20"/>
          <w:lang w:val="en-US"/>
        </w:rPr>
        <w:t>CD</w:t>
      </w:r>
      <w:r w:rsidRPr="00960229">
        <w:rPr>
          <w:sz w:val="20"/>
          <w:lang w:val="uk-UA"/>
        </w:rPr>
        <w:t xml:space="preserve"> 4, під впливом хіміотерапії та ускладнень лейкемії у хворих гр</w:t>
      </w:r>
      <w:r w:rsidRPr="00960229">
        <w:rPr>
          <w:sz w:val="20"/>
          <w:lang w:val="uk-UA"/>
        </w:rPr>
        <w:t>у</w:t>
      </w:r>
      <w:r w:rsidRPr="00960229">
        <w:rPr>
          <w:sz w:val="20"/>
          <w:lang w:val="uk-UA"/>
        </w:rPr>
        <w:t>пи Б БТШ 70 мали непряму кореляцію. Вірогідно, суттєвий дефіцит Т-хелперів призв</w:t>
      </w:r>
      <w:r w:rsidRPr="00960229">
        <w:rPr>
          <w:sz w:val="20"/>
          <w:lang w:val="uk-UA"/>
        </w:rPr>
        <w:t>о</w:t>
      </w:r>
      <w:r w:rsidRPr="00960229">
        <w:rPr>
          <w:sz w:val="20"/>
          <w:lang w:val="uk-UA"/>
        </w:rPr>
        <w:t>дить до збільшення продукції БТШ 70, як маркерів несприятливих змін гомеостазу та молекул, які спроможні брати на себе частину системи а</w:t>
      </w:r>
      <w:r w:rsidRPr="00960229">
        <w:rPr>
          <w:sz w:val="20"/>
          <w:lang w:val="uk-UA"/>
        </w:rPr>
        <w:t>н</w:t>
      </w:r>
      <w:r w:rsidRPr="00960229">
        <w:rPr>
          <w:sz w:val="20"/>
          <w:lang w:val="uk-UA"/>
        </w:rPr>
        <w:t xml:space="preserve">тиген презентації. </w:t>
      </w:r>
    </w:p>
    <w:p w:rsidR="000C3AEE" w:rsidRPr="00960229" w:rsidRDefault="000C3AEE" w:rsidP="000C3AEE">
      <w:pPr>
        <w:suppressAutoHyphens/>
        <w:ind w:firstLine="709"/>
        <w:jc w:val="both"/>
        <w:rPr>
          <w:sz w:val="20"/>
          <w:lang w:val="uk-UA"/>
        </w:rPr>
      </w:pPr>
      <w:r w:rsidRPr="00960229">
        <w:rPr>
          <w:sz w:val="20"/>
          <w:lang w:val="uk-UA"/>
        </w:rPr>
        <w:t>Т-супресори (</w:t>
      </w:r>
      <w:r w:rsidRPr="00960229">
        <w:rPr>
          <w:sz w:val="20"/>
          <w:lang w:val="en-US"/>
        </w:rPr>
        <w:t>CD</w:t>
      </w:r>
      <w:r w:rsidRPr="00960229">
        <w:rPr>
          <w:sz w:val="20"/>
          <w:lang w:val="uk-UA"/>
        </w:rPr>
        <w:t xml:space="preserve"> 8) показники</w:t>
      </w:r>
      <w:r w:rsidRPr="00960229">
        <w:rPr>
          <w:sz w:val="20"/>
        </w:rPr>
        <w:t xml:space="preserve">, </w:t>
      </w:r>
      <w:r w:rsidRPr="00960229">
        <w:rPr>
          <w:sz w:val="20"/>
          <w:lang w:val="uk-UA"/>
        </w:rPr>
        <w:t>які майже не змінювались у хворих групи А, у 4,7 разів були нижчими у дітей, хворих на ГЛЛ, впродовж інду</w:t>
      </w:r>
      <w:r w:rsidRPr="00960229">
        <w:rPr>
          <w:sz w:val="20"/>
          <w:lang w:val="uk-UA"/>
        </w:rPr>
        <w:t>к</w:t>
      </w:r>
      <w:r w:rsidRPr="00960229">
        <w:rPr>
          <w:sz w:val="20"/>
          <w:lang w:val="uk-UA"/>
        </w:rPr>
        <w:t xml:space="preserve">ційної терапії.  </w:t>
      </w:r>
    </w:p>
    <w:p w:rsidR="000C3AEE" w:rsidRPr="00960229" w:rsidRDefault="000C3AEE" w:rsidP="000C3AEE">
      <w:pPr>
        <w:suppressAutoHyphens/>
        <w:ind w:firstLine="709"/>
        <w:jc w:val="both"/>
        <w:rPr>
          <w:sz w:val="20"/>
          <w:lang w:val="uk-UA"/>
        </w:rPr>
      </w:pPr>
      <w:r w:rsidRPr="00960229">
        <w:rPr>
          <w:sz w:val="20"/>
          <w:lang w:val="uk-UA"/>
        </w:rPr>
        <w:t>Рівні гуморальної ланки імунітету (імуно</w:t>
      </w:r>
      <w:r w:rsidRPr="00960229">
        <w:rPr>
          <w:sz w:val="20"/>
          <w:lang w:val="uk-UA"/>
        </w:rPr>
        <w:t>г</w:t>
      </w:r>
      <w:r w:rsidRPr="00960229">
        <w:rPr>
          <w:sz w:val="20"/>
          <w:lang w:val="uk-UA"/>
        </w:rPr>
        <w:t xml:space="preserve">лобуліни </w:t>
      </w:r>
      <w:r w:rsidRPr="00960229">
        <w:rPr>
          <w:sz w:val="20"/>
          <w:lang w:val="en-US"/>
        </w:rPr>
        <w:t>A</w:t>
      </w:r>
      <w:r w:rsidRPr="00960229">
        <w:rPr>
          <w:sz w:val="20"/>
          <w:lang w:val="uk-UA"/>
        </w:rPr>
        <w:t xml:space="preserve">, </w:t>
      </w:r>
      <w:r w:rsidRPr="00960229">
        <w:rPr>
          <w:sz w:val="20"/>
          <w:lang w:val="en-US"/>
        </w:rPr>
        <w:t>G</w:t>
      </w:r>
      <w:r w:rsidRPr="00960229">
        <w:rPr>
          <w:sz w:val="20"/>
          <w:lang w:val="uk-UA"/>
        </w:rPr>
        <w:t xml:space="preserve"> та М) мали значні зниження у порівнянні з загальноприйнятими віковими показниками. Кореляційних взаємозв’язків між рівнями показників гуморальної ланки та БТШ 70 не вия</w:t>
      </w:r>
      <w:r w:rsidRPr="00960229">
        <w:rPr>
          <w:sz w:val="20"/>
          <w:lang w:val="uk-UA"/>
        </w:rPr>
        <w:t>в</w:t>
      </w:r>
      <w:r w:rsidRPr="00960229">
        <w:rPr>
          <w:sz w:val="20"/>
          <w:lang w:val="uk-UA"/>
        </w:rPr>
        <w:t>лено.</w:t>
      </w:r>
    </w:p>
    <w:p w:rsidR="000C3AEE" w:rsidRPr="00960229" w:rsidRDefault="000C3AEE" w:rsidP="000C3AEE">
      <w:pPr>
        <w:suppressAutoHyphens/>
        <w:ind w:firstLine="709"/>
        <w:jc w:val="both"/>
        <w:rPr>
          <w:sz w:val="20"/>
          <w:lang w:val="uk-UA"/>
        </w:rPr>
      </w:pPr>
      <w:r w:rsidRPr="00960229">
        <w:rPr>
          <w:sz w:val="20"/>
          <w:lang w:val="uk-UA"/>
        </w:rPr>
        <w:t>Висновки Рівень БТШ 70 значно підвищується у дітей, хв</w:t>
      </w:r>
      <w:r w:rsidRPr="00960229">
        <w:rPr>
          <w:sz w:val="20"/>
          <w:lang w:val="uk-UA"/>
        </w:rPr>
        <w:t>о</w:t>
      </w:r>
      <w:r w:rsidRPr="00960229">
        <w:rPr>
          <w:sz w:val="20"/>
          <w:lang w:val="uk-UA"/>
        </w:rPr>
        <w:t>рих на ГЛЛ.</w:t>
      </w:r>
    </w:p>
    <w:p w:rsidR="000C3AEE" w:rsidRPr="00960229" w:rsidRDefault="000C3AEE" w:rsidP="000C3AEE">
      <w:pPr>
        <w:suppressAutoHyphens/>
        <w:ind w:firstLine="709"/>
        <w:jc w:val="both"/>
        <w:rPr>
          <w:sz w:val="20"/>
          <w:lang w:val="uk-UA"/>
        </w:rPr>
      </w:pPr>
      <w:r w:rsidRPr="00960229">
        <w:rPr>
          <w:sz w:val="20"/>
          <w:lang w:val="uk-UA"/>
        </w:rPr>
        <w:t>Проведення індукційної терапії призводить до зниження рівня БТШ 70 у сироватці крові дітей, хворих на ГЛЛ. Однак, при цьому він не но</w:t>
      </w:r>
      <w:r w:rsidRPr="00960229">
        <w:rPr>
          <w:sz w:val="20"/>
          <w:lang w:val="uk-UA"/>
        </w:rPr>
        <w:t>р</w:t>
      </w:r>
      <w:r w:rsidRPr="00960229">
        <w:rPr>
          <w:sz w:val="20"/>
          <w:lang w:val="uk-UA"/>
        </w:rPr>
        <w:t>малізується та залишається значно вищим за показники групи контр</w:t>
      </w:r>
      <w:r w:rsidRPr="00960229">
        <w:rPr>
          <w:sz w:val="20"/>
          <w:lang w:val="uk-UA"/>
        </w:rPr>
        <w:t>о</w:t>
      </w:r>
      <w:r w:rsidRPr="00960229">
        <w:rPr>
          <w:sz w:val="20"/>
          <w:lang w:val="uk-UA"/>
        </w:rPr>
        <w:t>лю.</w:t>
      </w:r>
    </w:p>
    <w:p w:rsidR="000C3AEE" w:rsidRPr="00960229" w:rsidRDefault="000C3AEE" w:rsidP="000C3AEE">
      <w:pPr>
        <w:suppressAutoHyphens/>
        <w:ind w:firstLine="709"/>
        <w:jc w:val="both"/>
        <w:rPr>
          <w:sz w:val="20"/>
          <w:lang w:val="uk-UA"/>
        </w:rPr>
      </w:pPr>
      <w:r w:rsidRPr="00960229">
        <w:rPr>
          <w:sz w:val="20"/>
          <w:lang w:val="uk-UA"/>
        </w:rPr>
        <w:t>Імунний статус дітей, хворих на ГЛЛ, характеризується активацією та збільшенням концентрації натуральних кілерів, що вірогідно, обумовлено онкологічним процесом. Гострий період лейкемії пр</w:t>
      </w:r>
      <w:r w:rsidRPr="00960229">
        <w:rPr>
          <w:sz w:val="20"/>
          <w:lang w:val="uk-UA"/>
        </w:rPr>
        <w:t>о</w:t>
      </w:r>
      <w:r w:rsidRPr="00960229">
        <w:rPr>
          <w:sz w:val="20"/>
          <w:lang w:val="uk-UA"/>
        </w:rPr>
        <w:t xml:space="preserve">являється глибокою депресією гуморальної  та клітинної ланок імунітету (загальної кількості лімфоцитів, </w:t>
      </w:r>
      <w:r w:rsidRPr="00960229">
        <w:rPr>
          <w:sz w:val="20"/>
          <w:lang w:val="en-US"/>
        </w:rPr>
        <w:t>CD</w:t>
      </w:r>
      <w:r w:rsidRPr="00960229">
        <w:rPr>
          <w:sz w:val="20"/>
          <w:lang w:val="uk-UA"/>
        </w:rPr>
        <w:t xml:space="preserve"> 8, С</w:t>
      </w:r>
      <w:r w:rsidRPr="00960229">
        <w:rPr>
          <w:sz w:val="20"/>
          <w:lang w:val="en-US"/>
        </w:rPr>
        <w:t>D</w:t>
      </w:r>
      <w:r w:rsidRPr="00960229">
        <w:rPr>
          <w:sz w:val="20"/>
          <w:lang w:val="uk-UA"/>
        </w:rPr>
        <w:t xml:space="preserve"> 4), яка погіршується  на етапах маніфестації та початку лікування лейкемії. Це пояснюється мієлосупресією, яка є проявом самого захв</w:t>
      </w:r>
      <w:r w:rsidRPr="00960229">
        <w:rPr>
          <w:sz w:val="20"/>
          <w:lang w:val="uk-UA"/>
        </w:rPr>
        <w:t>о</w:t>
      </w:r>
      <w:r w:rsidRPr="00960229">
        <w:rPr>
          <w:sz w:val="20"/>
          <w:lang w:val="uk-UA"/>
        </w:rPr>
        <w:t>рювання та хіміотерапії.</w:t>
      </w:r>
    </w:p>
    <w:p w:rsidR="000C3AEE" w:rsidRPr="00960229" w:rsidRDefault="000C3AEE" w:rsidP="000C3AEE">
      <w:pPr>
        <w:suppressAutoHyphens/>
        <w:ind w:firstLine="709"/>
        <w:jc w:val="both"/>
        <w:rPr>
          <w:sz w:val="20"/>
          <w:lang w:val="uk-UA"/>
        </w:rPr>
      </w:pPr>
      <w:r w:rsidRPr="00960229">
        <w:rPr>
          <w:sz w:val="20"/>
          <w:lang w:val="uk-UA"/>
        </w:rPr>
        <w:t>Виявлені кореляційні взаємозв’яки між представниками клітинної ланки імунітету та БТШ 70 демонструють різнобарвність імунологічних функцій БТШ 70. Зменшення загальної кількості лімфоцитів супров</w:t>
      </w:r>
      <w:r w:rsidRPr="00960229">
        <w:rPr>
          <w:sz w:val="20"/>
          <w:lang w:val="uk-UA"/>
        </w:rPr>
        <w:t>о</w:t>
      </w:r>
      <w:r w:rsidRPr="00960229">
        <w:rPr>
          <w:sz w:val="20"/>
          <w:lang w:val="uk-UA"/>
        </w:rPr>
        <w:t>джується зниженням рівнів білків теплового шоку. Однак, прямі кор</w:t>
      </w:r>
      <w:r w:rsidRPr="00960229">
        <w:rPr>
          <w:sz w:val="20"/>
          <w:lang w:val="uk-UA"/>
        </w:rPr>
        <w:t>е</w:t>
      </w:r>
      <w:r w:rsidRPr="00960229">
        <w:rPr>
          <w:sz w:val="20"/>
          <w:lang w:val="uk-UA"/>
        </w:rPr>
        <w:t>ляції між натуральними кілерами та Т-хелперами у хворих під час індукційної терапії стверджують про спроможність БТШ 70 проявляти імунологічні функції навіть під час глибокої імуносупресії.</w:t>
      </w:r>
    </w:p>
    <w:p w:rsidR="000C3AEE" w:rsidRPr="00960229" w:rsidRDefault="000C3AEE" w:rsidP="000C3AEE">
      <w:pPr>
        <w:suppressAutoHyphens/>
        <w:ind w:firstLine="709"/>
        <w:jc w:val="both"/>
        <w:rPr>
          <w:sz w:val="20"/>
          <w:lang w:val="uk-UA"/>
        </w:rPr>
      </w:pPr>
    </w:p>
    <w:p w:rsidR="000C3AEE" w:rsidRPr="000C3AEE" w:rsidRDefault="000C3AEE">
      <w:pPr>
        <w:rPr>
          <w:lang w:val="uk-UA"/>
        </w:rPr>
      </w:pPr>
    </w:p>
    <w:sectPr w:rsidR="000C3AEE" w:rsidRPr="000C3A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8"/>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AEE"/>
    <w:rsid w:val="000C3A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28124F-845F-B348-986F-96CEAA3E4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C3AEE"/>
    <w:rPr>
      <w:rFonts w:ascii="Times New Roman" w:eastAsia="Times New Roman" w:hAnsi="Times New Roman" w:cs="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754</Words>
  <Characters>4399</Characters>
  <Application>Microsoft Office Word</Application>
  <DocSecurity>0</DocSecurity>
  <Lines>91</Lines>
  <Paragraphs>42</Paragraphs>
  <ScaleCrop>false</ScaleCrop>
  <Company/>
  <LinksUpToDate>false</LinksUpToDate>
  <CharactersWithSpaces>5111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Khrystyna Potikhenska</dc:creator>
  <cp:keywords/>
  <dc:description/>
  <cp:lastModifiedBy>Khrystyna Potikhenska</cp:lastModifiedBy>
  <cp:revision>1</cp:revision>
  <dcterms:created xsi:type="dcterms:W3CDTF">2020-11-15T17:54:00Z</dcterms:created>
  <dcterms:modified xsi:type="dcterms:W3CDTF">2020-11-15T17:54:00Z</dcterms:modified>
</cp:coreProperties>
</file>