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574" w:rsidRPr="000413CA" w:rsidRDefault="00AD5574" w:rsidP="000413C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13CA">
        <w:rPr>
          <w:rFonts w:ascii="Times New Roman" w:hAnsi="Times New Roman" w:cs="Times New Roman"/>
          <w:sz w:val="28"/>
          <w:szCs w:val="28"/>
          <w:lang w:val="uk-UA"/>
        </w:rPr>
        <w:t>Голуб К.І., Паращук В.Ю., Луцький А.С.</w:t>
      </w:r>
    </w:p>
    <w:p w:rsidR="004854C0" w:rsidRPr="000413CA" w:rsidRDefault="00AD5574" w:rsidP="000413C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ДОПОМІЖНИХ РЕПРОДУКТИВНИХ ТЕХНОЛОГІЙ ЗАЛЕЖНО ВІД ПІДТРИМКИ </w:t>
      </w:r>
      <w:r w:rsidR="004854C0" w:rsidRPr="000413CA">
        <w:rPr>
          <w:rFonts w:ascii="Times New Roman" w:hAnsi="Times New Roman" w:cs="Times New Roman"/>
          <w:sz w:val="28"/>
          <w:szCs w:val="28"/>
          <w:lang w:val="uk-UA"/>
        </w:rPr>
        <w:t>ЛЮТЕЇНОВОЇ ФАЗИ</w:t>
      </w:r>
    </w:p>
    <w:p w:rsidR="00AD5574" w:rsidRPr="000413CA" w:rsidRDefault="00AD5574" w:rsidP="000413C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13C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кафедра акушерства та гінекології №2, Харків, Україна</w:t>
      </w:r>
    </w:p>
    <w:p w:rsidR="000413CA" w:rsidRDefault="00AD5574" w:rsidP="000413C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413CA">
        <w:rPr>
          <w:rFonts w:ascii="Times New Roman" w:hAnsi="Times New Roman" w:cs="Times New Roman"/>
          <w:sz w:val="28"/>
          <w:szCs w:val="28"/>
          <w:lang w:val="uk-UA"/>
        </w:rPr>
        <w:t>Науковий ке</w:t>
      </w:r>
      <w:r w:rsidR="004854C0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рівник </w:t>
      </w:r>
      <w:proofErr w:type="spellStart"/>
      <w:r w:rsidR="004854C0" w:rsidRPr="000413CA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="004854C0" w:rsidRPr="000413CA">
        <w:rPr>
          <w:rFonts w:ascii="Times New Roman" w:hAnsi="Times New Roman" w:cs="Times New Roman"/>
          <w:sz w:val="28"/>
          <w:szCs w:val="28"/>
          <w:lang w:val="uk-UA"/>
        </w:rPr>
        <w:t>. проф. Грищенко М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>.Г.,</w:t>
      </w:r>
    </w:p>
    <w:p w:rsidR="00AD5574" w:rsidRPr="000413CA" w:rsidRDefault="00AD5574" w:rsidP="000413C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>. доц. Гайворонська С.І.</w:t>
      </w:r>
    </w:p>
    <w:p w:rsidR="00AD5574" w:rsidRPr="000413CA" w:rsidRDefault="00AD5574" w:rsidP="00041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3CA">
        <w:rPr>
          <w:rFonts w:ascii="Times New Roman" w:hAnsi="Times New Roman" w:cs="Times New Roman"/>
          <w:sz w:val="28"/>
          <w:szCs w:val="28"/>
          <w:lang w:val="uk-UA"/>
        </w:rPr>
        <w:t>Проведення ефективного лікув</w:t>
      </w:r>
      <w:r w:rsidR="004854C0" w:rsidRPr="000413CA">
        <w:rPr>
          <w:rFonts w:ascii="Times New Roman" w:hAnsi="Times New Roman" w:cs="Times New Roman"/>
          <w:sz w:val="28"/>
          <w:szCs w:val="28"/>
          <w:lang w:val="uk-UA"/>
        </w:rPr>
        <w:t>ання в рамках</w:t>
      </w:r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допоміжних репродуктивних технологій (</w:t>
      </w:r>
      <w:r w:rsidR="004854C0" w:rsidRPr="000413CA">
        <w:rPr>
          <w:rFonts w:ascii="Times New Roman" w:hAnsi="Times New Roman" w:cs="Times New Roman"/>
          <w:sz w:val="28"/>
          <w:szCs w:val="28"/>
          <w:lang w:val="uk-UA"/>
        </w:rPr>
        <w:t>ДРТ</w:t>
      </w:r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4854C0" w:rsidRPr="000413CA">
        <w:rPr>
          <w:rFonts w:ascii="Times New Roman" w:hAnsi="Times New Roman" w:cs="Times New Roman"/>
          <w:sz w:val="28"/>
          <w:szCs w:val="28"/>
          <w:lang w:val="uk-UA"/>
        </w:rPr>
        <w:t>неможливе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без розуміння проблем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лютеїнової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фази (ЛФ) стимульованого циклу і основних принципів її підтримки. Огляд наявної доказової інформаційної бази та аналіз клінічного досвіду підтримки ЛФ досить актуальні, оскільки акушерам-гінекологам у своїй клінічній практиці все частіше доводиться стикатися з пацієнт</w:t>
      </w:r>
      <w:r w:rsidR="004854C0" w:rsidRPr="000413C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>ами,</w:t>
      </w:r>
      <w:r w:rsidR="00281C8F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54C0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потребують підтримки ЛФ. Давно відомий той факт, що при використанні будь</w:t>
      </w:r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-якої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репродуктивної технології, яка передбачає</w:t>
      </w:r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контрольовану стимуляцію яєчників (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>КСЯ</w:t>
      </w:r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, формується недостатність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лютеїнової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фази (НЛФ). При цьому абсолютно не важливо, який протоко</w:t>
      </w:r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л КСЯ застосовується, «довгий» </w:t>
      </w:r>
      <w:proofErr w:type="spellStart"/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>ютеїновий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агоністами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гонадотропін</w:t>
      </w:r>
      <w:r w:rsidR="00A250B9">
        <w:rPr>
          <w:rFonts w:ascii="Times New Roman" w:hAnsi="Times New Roman" w:cs="Times New Roman"/>
          <w:sz w:val="28"/>
          <w:szCs w:val="28"/>
          <w:lang w:val="uk-UA"/>
        </w:rPr>
        <w:t>ри</w:t>
      </w:r>
      <w:bookmarkStart w:id="0" w:name="_GoBack"/>
      <w:bookmarkEnd w:id="0"/>
      <w:r w:rsidRPr="000413CA">
        <w:rPr>
          <w:rFonts w:ascii="Times New Roman" w:hAnsi="Times New Roman" w:cs="Times New Roman"/>
          <w:sz w:val="28"/>
          <w:szCs w:val="28"/>
          <w:lang w:val="uk-UA"/>
        </w:rPr>
        <w:t>лізінг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гормону (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а-ГнРГ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), або з антагоністами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ГнРГ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ант-ГнРГ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>). Найбільш</w:t>
      </w:r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розповсюджена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в даний час теорія пояснює дефект ЛФ на тлі КСЯ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мультіфоллікулярним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зростанням, як</w:t>
      </w:r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е обумовлює </w:t>
      </w:r>
      <w:proofErr w:type="spellStart"/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понадфізіологічні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концентрації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прогес</w:t>
      </w:r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терону</w:t>
      </w:r>
      <w:proofErr w:type="spellEnd"/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і естрадіолу в </w:t>
      </w:r>
      <w:proofErr w:type="spellStart"/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лютеїновій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фазі, що призводить до зниження секреції </w:t>
      </w:r>
      <w:proofErr w:type="spellStart"/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>лютеотропного</w:t>
      </w:r>
      <w:proofErr w:type="spellEnd"/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0B9" w:rsidRPr="000413CA">
        <w:rPr>
          <w:rFonts w:ascii="Times New Roman" w:hAnsi="Times New Roman" w:cs="Times New Roman"/>
          <w:sz w:val="28"/>
          <w:szCs w:val="28"/>
          <w:lang w:val="uk-UA"/>
        </w:rPr>
        <w:t>гормону</w:t>
      </w:r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>ЛГ</w:t>
      </w:r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. Дефект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лютеїнової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фази має негативні наслідки у вигляді критичного погіршення результатів ДРТ. Клініка ім. акад. В.І. Грищенко сформувалася протягом більш ніж 25 років роботи в сфері репродуктивної медицини. В результаті тривалої практики були сформульовані внутрішні протоколи підтримки ЛФ. Власний протокол передбачає застосування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прогестерону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внутрішньом'язового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введен</w:t>
      </w:r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ня у вигляді </w:t>
      </w:r>
      <w:proofErr w:type="spellStart"/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етилолеату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в дозі 25-50 мг у комбінації з</w:t>
      </w:r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вагінальним </w:t>
      </w:r>
      <w:proofErr w:type="spellStart"/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прогестероном</w:t>
      </w:r>
      <w:proofErr w:type="spellEnd"/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(гелем або капсулами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). Численні дослідження 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різних форм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прогестерону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свідчать про відсутність залежності між рівнем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прогестерону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сироватці крові та фізіологічною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дією на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ендометрій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D5574" w:rsidRPr="000413CA" w:rsidRDefault="00AD5574" w:rsidP="00041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Метою нашої роботи було поставлено порівняння результатів підтримки ЛФ комбінованим застосуванням препаратів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прогестерону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і ізольованим піхвовим їх введенням.</w:t>
      </w:r>
    </w:p>
    <w:p w:rsidR="00AD5574" w:rsidRPr="000413CA" w:rsidRDefault="00AD5574" w:rsidP="00041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методи. У дослідження включено 100 жінок (основна група), що застосовували для підтримки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лютеїнової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фази у протоколі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екстракорпорального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запліднення з переносом ембріонів (ЕКЗ-ПЕ),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внутрішньом'язові</w:t>
      </w:r>
      <w:proofErr w:type="spellEnd"/>
      <w:r w:rsidR="00340243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ін'єкції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прогестерону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50 мг/добу в поєднанні з вагінальним гелем 90 мг один раз на добу, починаючи з вечора дня пункції фолікулів. Результати цієї групи порівнювали з результатами пацієнток, які використовували т</w:t>
      </w:r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ільки вагінальну форму у вигляді гелю 90 мг один раз на добу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AF62C9" w:rsidRPr="000413CA">
        <w:rPr>
          <w:rFonts w:ascii="Times New Roman" w:hAnsi="Times New Roman" w:cs="Times New Roman"/>
          <w:sz w:val="28"/>
          <w:szCs w:val="28"/>
          <w:lang w:val="uk-UA"/>
        </w:rPr>
        <w:t>група контролю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, n=100). Через 14 днів після пункції фолікулів проводили тест на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хоріонічний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13CA">
        <w:rPr>
          <w:rFonts w:ascii="Times New Roman" w:hAnsi="Times New Roman" w:cs="Times New Roman"/>
          <w:sz w:val="28"/>
          <w:szCs w:val="28"/>
          <w:lang w:val="uk-UA"/>
        </w:rPr>
        <w:t>гонадотропін</w:t>
      </w:r>
      <w:proofErr w:type="spellEnd"/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людини (ХГЛ), на 4 - 6-му тижні вагітності призначали ультразвукове дослідження.</w:t>
      </w:r>
      <w:r w:rsidR="00AF110A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Вагітність вважали такою, що прогресує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40243" w:rsidRPr="000413CA">
        <w:rPr>
          <w:rFonts w:ascii="Times New Roman" w:hAnsi="Times New Roman" w:cs="Times New Roman"/>
          <w:sz w:val="28"/>
          <w:szCs w:val="28"/>
          <w:lang w:val="uk-UA"/>
        </w:rPr>
        <w:t>ри візуалізації серцебиття плоду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після двох тижнів вагітності. Протоколи стимуляції, середній вік пацієнток і кількість перенесених ембріонів між групами не розрізнялися.</w:t>
      </w:r>
    </w:p>
    <w:p w:rsidR="00AD5574" w:rsidRPr="000413CA" w:rsidRDefault="00AD5574" w:rsidP="00041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3CA">
        <w:rPr>
          <w:rFonts w:ascii="Times New Roman" w:hAnsi="Times New Roman" w:cs="Times New Roman"/>
          <w:sz w:val="28"/>
          <w:szCs w:val="28"/>
          <w:lang w:val="uk-UA"/>
        </w:rPr>
        <w:t>Результати та їх обговорення. Основним критерієм ефективності підтримки ЛФ стимульованого циклу слід вважати частоту імплантації. Цей показник обчислюється методом визначення того, яка частка перенесених ембріонів дала результат у вигляді прогресуючої вагітності з візуалізацією серцевої діяльності плода. Час</w:t>
      </w:r>
      <w:r w:rsidR="00AB4F25" w:rsidRPr="000413CA">
        <w:rPr>
          <w:rFonts w:ascii="Times New Roman" w:hAnsi="Times New Roman" w:cs="Times New Roman"/>
          <w:sz w:val="28"/>
          <w:szCs w:val="28"/>
          <w:lang w:val="uk-UA"/>
        </w:rPr>
        <w:t>тота імплантації в неселективній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популяції склала 34% в основній групі і 31% у групі контролю. Ми підрахували показник частоти імплантації у молодих пацієнток (менше 35 років на момент перенесення ембріонів</w:t>
      </w:r>
      <w:r w:rsidR="009B6444" w:rsidRPr="000413CA">
        <w:rPr>
          <w:rFonts w:ascii="Times New Roman" w:hAnsi="Times New Roman" w:cs="Times New Roman"/>
          <w:sz w:val="28"/>
          <w:szCs w:val="28"/>
          <w:lang w:val="uk-UA"/>
        </w:rPr>
        <w:t>, n=170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>), які, фактично, є селективно</w:t>
      </w:r>
      <w:r w:rsidR="009448CF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маркерно</w:t>
      </w:r>
      <w:r w:rsidR="009448CF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підгрупою, по якій зазвичай оцінюється якість роботи клініки. У даній групі з 335 перенесених ембріо</w:t>
      </w:r>
      <w:r w:rsidR="00AF110A" w:rsidRPr="000413CA">
        <w:rPr>
          <w:rFonts w:ascii="Times New Roman" w:hAnsi="Times New Roman" w:cs="Times New Roman"/>
          <w:sz w:val="28"/>
          <w:szCs w:val="28"/>
          <w:lang w:val="uk-UA"/>
        </w:rPr>
        <w:t>нів імплантувалось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119</w:t>
      </w:r>
      <w:r w:rsidR="009B6444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- частота імплантації склала 37,6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>% в основній групі</w:t>
      </w:r>
      <w:r w:rsidR="00875F6A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(n=32) 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і 34</w:t>
      </w:r>
      <w:r w:rsidR="009B6444" w:rsidRPr="000413CA">
        <w:rPr>
          <w:rFonts w:ascii="Times New Roman" w:hAnsi="Times New Roman" w:cs="Times New Roman"/>
          <w:sz w:val="28"/>
          <w:szCs w:val="28"/>
          <w:lang w:val="uk-UA"/>
        </w:rPr>
        <w:t>,1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>% у групі порівняння</w:t>
      </w:r>
      <w:r w:rsidR="00875F6A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(n=29)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D5574" w:rsidRPr="000413CA" w:rsidRDefault="00AD5574" w:rsidP="000413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3C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Висновки. Дані результати свідчать про те, що </w:t>
      </w:r>
      <w:r w:rsidR="00610A40" w:rsidRPr="000413CA">
        <w:rPr>
          <w:rFonts w:ascii="Times New Roman" w:hAnsi="Times New Roman" w:cs="Times New Roman"/>
          <w:sz w:val="28"/>
          <w:szCs w:val="28"/>
          <w:lang w:val="uk-UA"/>
        </w:rPr>
        <w:t>протокол</w:t>
      </w:r>
      <w:r w:rsidR="00AF110A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підтримки ЛФ</w:t>
      </w:r>
      <w:r w:rsidR="00610A40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AF110A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включає комбінацію </w:t>
      </w:r>
      <w:proofErr w:type="spellStart"/>
      <w:r w:rsidR="00AF110A" w:rsidRPr="000413CA">
        <w:rPr>
          <w:rFonts w:ascii="Times New Roman" w:hAnsi="Times New Roman" w:cs="Times New Roman"/>
          <w:sz w:val="28"/>
          <w:szCs w:val="28"/>
          <w:lang w:val="uk-UA"/>
        </w:rPr>
        <w:t>внутрішньом</w:t>
      </w:r>
      <w:r w:rsidR="00EF64E9" w:rsidRPr="000413CA">
        <w:rPr>
          <w:rFonts w:ascii="Times New Roman" w:hAnsi="Times New Roman" w:cs="Times New Roman"/>
          <w:sz w:val="28"/>
          <w:szCs w:val="28"/>
          <w:lang w:val="uk-UA"/>
        </w:rPr>
        <w:t>`язового</w:t>
      </w:r>
      <w:proofErr w:type="spellEnd"/>
      <w:r w:rsidR="00EF64E9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та вагінального </w:t>
      </w:r>
      <w:proofErr w:type="spellStart"/>
      <w:r w:rsidR="00EF64E9" w:rsidRPr="000413CA">
        <w:rPr>
          <w:rFonts w:ascii="Times New Roman" w:hAnsi="Times New Roman" w:cs="Times New Roman"/>
          <w:sz w:val="28"/>
          <w:szCs w:val="28"/>
          <w:lang w:val="uk-UA"/>
        </w:rPr>
        <w:t>прогестеронів</w:t>
      </w:r>
      <w:proofErr w:type="spellEnd"/>
      <w:r w:rsidR="00AF110A" w:rsidRPr="000413C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B47DE"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 діє</w:t>
      </w:r>
      <w:r w:rsidRPr="000413CA">
        <w:rPr>
          <w:rFonts w:ascii="Times New Roman" w:hAnsi="Times New Roman" w:cs="Times New Roman"/>
          <w:sz w:val="28"/>
          <w:szCs w:val="28"/>
          <w:lang w:val="uk-UA"/>
        </w:rPr>
        <w:t xml:space="preserve"> в популяції пацієнтів клініки ДРТ, що дозволяє досягти високих і стабільних результатів.</w:t>
      </w:r>
    </w:p>
    <w:sectPr w:rsidR="00AD5574" w:rsidRPr="000413CA" w:rsidSect="000413C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CAF"/>
    <w:rsid w:val="000413CA"/>
    <w:rsid w:val="0008674C"/>
    <w:rsid w:val="0025233A"/>
    <w:rsid w:val="00252803"/>
    <w:rsid w:val="00281C8F"/>
    <w:rsid w:val="002947D3"/>
    <w:rsid w:val="00340243"/>
    <w:rsid w:val="004854C0"/>
    <w:rsid w:val="00530E8D"/>
    <w:rsid w:val="005831D0"/>
    <w:rsid w:val="00610A40"/>
    <w:rsid w:val="00875F6A"/>
    <w:rsid w:val="008B47DE"/>
    <w:rsid w:val="009448CF"/>
    <w:rsid w:val="00963732"/>
    <w:rsid w:val="009B6444"/>
    <w:rsid w:val="00A250B9"/>
    <w:rsid w:val="00AB4F25"/>
    <w:rsid w:val="00AD5574"/>
    <w:rsid w:val="00AF110A"/>
    <w:rsid w:val="00AF62C9"/>
    <w:rsid w:val="00B46CAF"/>
    <w:rsid w:val="00D31B35"/>
    <w:rsid w:val="00EF6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50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50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50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50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38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03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3</Pages>
  <Words>606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User</cp:lastModifiedBy>
  <cp:revision>9</cp:revision>
  <cp:lastPrinted>2015-12-16T10:56:00Z</cp:lastPrinted>
  <dcterms:created xsi:type="dcterms:W3CDTF">2015-10-30T10:14:00Z</dcterms:created>
  <dcterms:modified xsi:type="dcterms:W3CDTF">2015-12-16T11:13:00Z</dcterms:modified>
</cp:coreProperties>
</file>