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0CF" w:rsidRDefault="00D230CF" w:rsidP="00D230CF">
      <w:pPr>
        <w:autoSpaceDE w:val="0"/>
        <w:autoSpaceDN w:val="0"/>
        <w:adjustRightIn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D230CF">
        <w:rPr>
          <w:sz w:val="28"/>
          <w:szCs w:val="28"/>
        </w:rPr>
        <w:t>томатология</w:t>
      </w:r>
    </w:p>
    <w:p w:rsidR="00D230CF" w:rsidRDefault="00D230CF" w:rsidP="00D230CF">
      <w:pPr>
        <w:spacing w:line="360" w:lineRule="auto"/>
        <w:ind w:firstLine="54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Елисеева О.В.</w:t>
      </w:r>
    </w:p>
    <w:p w:rsidR="00D230CF" w:rsidRPr="003842B1" w:rsidRDefault="00D230CF" w:rsidP="00D230CF">
      <w:pPr>
        <w:spacing w:line="360" w:lineRule="auto"/>
        <w:ind w:firstLine="54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Кандидат медицинских наук, ассистент кафедры стоматологии Харьковского медицинского университета</w:t>
      </w:r>
    </w:p>
    <w:p w:rsidR="00D230CF" w:rsidRPr="00D230CF" w:rsidRDefault="00D230CF" w:rsidP="00D230CF">
      <w:pPr>
        <w:autoSpaceDE w:val="0"/>
        <w:autoSpaceDN w:val="0"/>
        <w:adjustRightInd w:val="0"/>
        <w:spacing w:line="360" w:lineRule="auto"/>
        <w:jc w:val="right"/>
        <w:rPr>
          <w:caps/>
          <w:sz w:val="28"/>
          <w:szCs w:val="28"/>
        </w:rPr>
      </w:pP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3842B1">
        <w:rPr>
          <w:b/>
          <w:caps/>
          <w:sz w:val="28"/>
          <w:szCs w:val="28"/>
        </w:rPr>
        <w:t xml:space="preserve">ОЦЕНКА ЭффективностИ лизоцимсодержащих лекарственных препаратов в комплексном лечении БОЛЬНЫХ  </w:t>
      </w:r>
      <w:proofErr w:type="gramStart"/>
      <w:r w:rsidRPr="003842B1">
        <w:rPr>
          <w:b/>
          <w:caps/>
          <w:sz w:val="28"/>
          <w:szCs w:val="28"/>
        </w:rPr>
        <w:t>ХРОНИЧЕСКИМ</w:t>
      </w:r>
      <w:proofErr w:type="gramEnd"/>
      <w:r w:rsidRPr="003842B1">
        <w:rPr>
          <w:b/>
          <w:caps/>
          <w:sz w:val="28"/>
          <w:szCs w:val="28"/>
        </w:rPr>
        <w:t xml:space="preserve"> ГЕНЕРАЛИЗОВАННЫМ ПАРОДОНТИТОМ НА ФОНЕ КРАСНОГО ПЛОСКОГО ЛИШАЯ</w:t>
      </w:r>
    </w:p>
    <w:p w:rsidR="00D230CF" w:rsidRPr="003842B1" w:rsidRDefault="00D230CF" w:rsidP="00D230CF">
      <w:pPr>
        <w:spacing w:line="360" w:lineRule="auto"/>
        <w:ind w:firstLine="540"/>
        <w:jc w:val="center"/>
        <w:rPr>
          <w:sz w:val="28"/>
          <w:szCs w:val="28"/>
        </w:rPr>
      </w:pPr>
    </w:p>
    <w:p w:rsidR="00D230CF" w:rsidRPr="003842B1" w:rsidRDefault="00D230CF" w:rsidP="00D230CF">
      <w:pPr>
        <w:spacing w:line="360" w:lineRule="auto"/>
        <w:ind w:firstLine="54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Красный плоский лишай (КПЛ) – одно из наиболее распространенных  и манифестных по клиническим проявлениям заболеваний слизистой оболочки полости рта (СОПР) [</w:t>
      </w:r>
      <w:r>
        <w:rPr>
          <w:sz w:val="28"/>
          <w:szCs w:val="28"/>
        </w:rPr>
        <w:t>9</w:t>
      </w:r>
      <w:r>
        <w:rPr>
          <w:sz w:val="28"/>
          <w:szCs w:val="28"/>
        </w:rPr>
        <w:t>, с. 271</w:t>
      </w:r>
      <w:r w:rsidRPr="003842B1">
        <w:rPr>
          <w:sz w:val="28"/>
          <w:szCs w:val="28"/>
        </w:rPr>
        <w:t xml:space="preserve">]. Пародонтологические аспекты КПЛ, особенно КПЛ СОПР относятся к числу </w:t>
      </w:r>
      <w:proofErr w:type="gramStart"/>
      <w:r w:rsidRPr="003842B1">
        <w:rPr>
          <w:sz w:val="28"/>
          <w:szCs w:val="28"/>
        </w:rPr>
        <w:t>малоизученных</w:t>
      </w:r>
      <w:proofErr w:type="gramEnd"/>
      <w:r w:rsidRPr="003842B1">
        <w:rPr>
          <w:sz w:val="28"/>
          <w:szCs w:val="28"/>
        </w:rPr>
        <w:t>, хотя его аутоиммунный генез предполагает вовлечение в процесс важнейшего морфофункционального комплекса полости рта – пародонта, с последующим развитием более тяжелой и генерализованной сочетанной патологии. По данным специалистов [3</w:t>
      </w:r>
      <w:r>
        <w:rPr>
          <w:sz w:val="28"/>
          <w:szCs w:val="28"/>
        </w:rPr>
        <w:t>, с. 156</w:t>
      </w:r>
      <w:r w:rsidRPr="003842B1">
        <w:rPr>
          <w:sz w:val="28"/>
          <w:szCs w:val="28"/>
        </w:rPr>
        <w:t xml:space="preserve">, </w:t>
      </w:r>
      <w:r>
        <w:rPr>
          <w:sz w:val="28"/>
          <w:szCs w:val="28"/>
        </w:rPr>
        <w:t>10</w:t>
      </w:r>
      <w:r>
        <w:rPr>
          <w:sz w:val="28"/>
          <w:szCs w:val="28"/>
        </w:rPr>
        <w:t>, с. 33</w:t>
      </w:r>
      <w:r w:rsidRPr="003842B1">
        <w:rPr>
          <w:sz w:val="28"/>
          <w:szCs w:val="28"/>
        </w:rPr>
        <w:t xml:space="preserve">] частота выявления специфических заболеваний пародонта при красном плоском лишае полости рта варьирует от 13,0 % до 48,0 %. Одним из таких заболеваний является </w:t>
      </w:r>
      <w:proofErr w:type="gramStart"/>
      <w:r w:rsidRPr="003842B1">
        <w:rPr>
          <w:sz w:val="28"/>
          <w:szCs w:val="28"/>
        </w:rPr>
        <w:t>хронический</w:t>
      </w:r>
      <w:proofErr w:type="gramEnd"/>
      <w:r w:rsidRPr="003842B1">
        <w:rPr>
          <w:sz w:val="28"/>
          <w:szCs w:val="28"/>
        </w:rPr>
        <w:t xml:space="preserve"> генерализованный пародонтит (ХГП).  Поэтому вопрос о разработке лечебно-профилактических методов лечения ХГП при КПЛ остается актуальным</w:t>
      </w:r>
      <w:r w:rsidRPr="003842B1">
        <w:rPr>
          <w:sz w:val="28"/>
          <w:szCs w:val="28"/>
          <w:lang w:val="uk-UA"/>
        </w:rPr>
        <w:t xml:space="preserve"> </w:t>
      </w:r>
      <w:r w:rsidRPr="003842B1">
        <w:rPr>
          <w:sz w:val="28"/>
          <w:szCs w:val="28"/>
        </w:rPr>
        <w:t>[1</w:t>
      </w:r>
      <w:r>
        <w:rPr>
          <w:sz w:val="28"/>
          <w:szCs w:val="28"/>
        </w:rPr>
        <w:t>, с. 69</w:t>
      </w:r>
      <w:r w:rsidRPr="003842B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842B1">
        <w:rPr>
          <w:sz w:val="28"/>
          <w:szCs w:val="28"/>
        </w:rPr>
        <w:t>6</w:t>
      </w:r>
      <w:r>
        <w:rPr>
          <w:sz w:val="28"/>
          <w:szCs w:val="28"/>
        </w:rPr>
        <w:t>, с. 336</w:t>
      </w:r>
      <w:r w:rsidRPr="003842B1">
        <w:rPr>
          <w:sz w:val="28"/>
          <w:szCs w:val="28"/>
        </w:rPr>
        <w:t xml:space="preserve">]. </w:t>
      </w:r>
    </w:p>
    <w:p w:rsidR="00D230CF" w:rsidRPr="003842B1" w:rsidRDefault="00D230CF" w:rsidP="00D230CF">
      <w:pPr>
        <w:spacing w:line="360" w:lineRule="auto"/>
        <w:ind w:firstLine="54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Цель исследования - оценить эффективность комплексного лечения хронического генерализованного пародонтита у больных типичной формой красного плоского лишая и красного плоского лишая слизистой оболочки полости рта.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"/>
          <w:sz w:val="28"/>
          <w:szCs w:val="28"/>
          <w:lang w:val="uk-UA"/>
        </w:rPr>
      </w:pPr>
      <w:r w:rsidRPr="003842B1">
        <w:rPr>
          <w:b/>
          <w:sz w:val="28"/>
          <w:szCs w:val="28"/>
        </w:rPr>
        <w:t>Материалы и методы</w:t>
      </w:r>
      <w:r w:rsidRPr="003842B1">
        <w:rPr>
          <w:sz w:val="28"/>
          <w:szCs w:val="28"/>
        </w:rPr>
        <w:t>. Нами было обследовано 20 больных КПЛ обоего пола в возрасте от 18 до 60 лет, страдающих хроническим генерализованным пародонтитом начальной и легкой степенями тяжести. Длительность заболевания у обследуемых пациентов составляла от 2 месяцев до 7-и лет.</w:t>
      </w:r>
      <w:r w:rsidRPr="003842B1">
        <w:rPr>
          <w:rFonts w:eastAsia="TimesNewRoman"/>
          <w:sz w:val="28"/>
          <w:szCs w:val="28"/>
        </w:rPr>
        <w:t xml:space="preserve"> Диагноз типичной формы КПЛ подтверждался клинически и лабораторно.</w:t>
      </w:r>
      <w:r w:rsidRPr="003842B1">
        <w:rPr>
          <w:sz w:val="28"/>
          <w:szCs w:val="28"/>
        </w:rPr>
        <w:t xml:space="preserve"> </w:t>
      </w:r>
      <w:r w:rsidRPr="003842B1">
        <w:rPr>
          <w:rFonts w:eastAsia="TimesNewRoman"/>
          <w:sz w:val="28"/>
          <w:szCs w:val="28"/>
        </w:rPr>
        <w:t xml:space="preserve">Для </w:t>
      </w:r>
      <w:r w:rsidRPr="003842B1">
        <w:rPr>
          <w:rFonts w:eastAsia="TimesNewRoman"/>
          <w:sz w:val="28"/>
          <w:szCs w:val="28"/>
        </w:rPr>
        <w:lastRenderedPageBreak/>
        <w:t>диагностики красного плоского лишая слизистой оболочки полости рта использовали международную классификацию стоматологических болезней ВОЗ МКБ-3 на основе МКБ-10 (1997) [</w:t>
      </w:r>
      <w:r>
        <w:rPr>
          <w:rFonts w:eastAsia="TimesNewRoman"/>
          <w:sz w:val="28"/>
          <w:szCs w:val="28"/>
        </w:rPr>
        <w:t>8</w:t>
      </w:r>
      <w:r w:rsidRPr="003842B1">
        <w:rPr>
          <w:rFonts w:eastAsia="TimesNewRoman"/>
          <w:sz w:val="28"/>
          <w:szCs w:val="28"/>
        </w:rPr>
        <w:t>].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Обследуемые пациенты были разделены на группы в зависимости от патологического процесса. В 1 группу вошли пациенты с ХГП на фоне КПЛ без поражения СОПР (10 пациентов), во 2 – ХГП на фоне КПЛ СОПР (10 пациентов). В качестве контрольной группы были обследованы 20 практически здоровых доноров (контроль).   Все обследуемые группы были сопоставимы по половому и возрастному составу.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Комплексное обследование тканей пародонта включало анализ жалоб больных, объективное стоматологическое обследование в динамике с определением гигиенического и пародонтальных индексов, а именно: упрощенный индекс гигиены по Грину – Вермильону (OHI-S); папиллярно-маргинально-альвеолярный индекс (PMA) C. Parma; пародонтальный индекс (PI) A.L. Russel; пробу Шиллера-Писарева; индекс кровоточивости Muhlemann-Saxer (PBI) [1</w:t>
      </w:r>
      <w:r>
        <w:rPr>
          <w:sz w:val="28"/>
          <w:szCs w:val="28"/>
        </w:rPr>
        <w:t>, с. 69</w:t>
      </w:r>
      <w:r w:rsidRPr="003842B1">
        <w:rPr>
          <w:sz w:val="28"/>
          <w:szCs w:val="28"/>
        </w:rPr>
        <w:t>, 2</w:t>
      </w:r>
      <w:r>
        <w:rPr>
          <w:sz w:val="28"/>
          <w:szCs w:val="28"/>
        </w:rPr>
        <w:t>, с. 73</w:t>
      </w:r>
      <w:r w:rsidRPr="003842B1">
        <w:rPr>
          <w:sz w:val="28"/>
          <w:szCs w:val="28"/>
        </w:rPr>
        <w:t>, 7</w:t>
      </w:r>
      <w:r>
        <w:rPr>
          <w:sz w:val="28"/>
          <w:szCs w:val="28"/>
        </w:rPr>
        <w:t>, с. 43</w:t>
      </w:r>
      <w:r w:rsidRPr="003842B1">
        <w:rPr>
          <w:sz w:val="28"/>
          <w:szCs w:val="28"/>
        </w:rPr>
        <w:t>].</w:t>
      </w:r>
    </w:p>
    <w:p w:rsidR="00D230CF" w:rsidRPr="003842B1" w:rsidRDefault="00D230CF" w:rsidP="00D230C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842B1">
        <w:rPr>
          <w:sz w:val="28"/>
          <w:szCs w:val="28"/>
        </w:rPr>
        <w:t>Больным 1 и 2 групп было проведено местное лечение тканей пародонта и слизистой оболочки полости рта с использованием зубного безспиртового лечебно-профилактического зубного эликсира, содержащего лизоцим, поливалентный ингибитор протеолитических ферментов овомукоид, активатор лизоцима (цетримид) и др. вспомогательные соединения (например «Лизомукоид», НПА «Одеская биотехнология», Украина), и зубной пасты с активными действующими веществами: алюминия лактат, алюминия фторид, хлоргексидин, аллантоин (например, «Лакалут актив», Германия</w:t>
      </w:r>
      <w:proofErr w:type="gramEnd"/>
      <w:r w:rsidRPr="003842B1">
        <w:rPr>
          <w:sz w:val="28"/>
          <w:szCs w:val="28"/>
        </w:rPr>
        <w:t>). Данной пастой пациенты чистили зубы 2 раза в день (утром после еды и вечером перед сном). Эликсиром «Лизомукоид» полоскали ротовую полость после процедуры чистки зубов и после каждого приема пищи. Также в лечебную схему были включены антисептические таблетки, в качестве которых выбрали «Лисобакт» (Босналек д.д., Босния и Герцеговина), для рассасывания в полости рта по 2 таблетки 3-4 раза в сутки, курсом 8 дней,  содержащие лизоцима хлорид 20 мг и витамин В</w:t>
      </w:r>
      <w:proofErr w:type="gramStart"/>
      <w:r w:rsidRPr="003842B1">
        <w:rPr>
          <w:sz w:val="28"/>
          <w:szCs w:val="28"/>
        </w:rPr>
        <w:t>6</w:t>
      </w:r>
      <w:proofErr w:type="gramEnd"/>
      <w:r w:rsidRPr="003842B1">
        <w:rPr>
          <w:sz w:val="28"/>
          <w:szCs w:val="28"/>
        </w:rPr>
        <w:t xml:space="preserve"> (пиридоксина гидрохлорид) 10 мг.</w:t>
      </w:r>
    </w:p>
    <w:p w:rsidR="00D230CF" w:rsidRDefault="00D230CF" w:rsidP="00D230CF">
      <w:pPr>
        <w:spacing w:line="360" w:lineRule="auto"/>
        <w:ind w:firstLine="567"/>
        <w:jc w:val="both"/>
        <w:rPr>
          <w:sz w:val="28"/>
          <w:szCs w:val="28"/>
        </w:rPr>
      </w:pPr>
      <w:r w:rsidRPr="003842B1">
        <w:rPr>
          <w:sz w:val="28"/>
          <w:szCs w:val="28"/>
        </w:rPr>
        <w:lastRenderedPageBreak/>
        <w:t>В лечебную схему 2 группы были назначены лизоцимсодержащие пленки (НПА «Одеская биотехнология», Украина), которые приклеивали на очаги поражения СОПР и десневой край 2 раза в день, после процедуры чистки зубов пастой «Лакалут актив» и ополаскивания полости рта зубным эликсиром «Лизомукоид». Курс лечения длился 2 недели. Результат лечения оценивали сразу после окончания терапии, а его отдаленные последствия – через 3 месяца.</w:t>
      </w:r>
    </w:p>
    <w:p w:rsidR="00D230CF" w:rsidRPr="003842B1" w:rsidRDefault="00D230CF" w:rsidP="00D230CF">
      <w:pPr>
        <w:spacing w:line="360" w:lineRule="auto"/>
        <w:ind w:firstLine="567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Для статистической обработки данных использовался пакет программ обработки данных общего назначения Statistica for Windows версии 6.0. В качестве непараметрических методов использовали метод Манна-Уитни. Достоверность полученных результатов оценивалась с помощью критерия Вилкоксона [4</w:t>
      </w:r>
      <w:r>
        <w:rPr>
          <w:sz w:val="28"/>
          <w:szCs w:val="28"/>
        </w:rPr>
        <w:t>, с. 459</w:t>
      </w:r>
      <w:r w:rsidRPr="003842B1">
        <w:rPr>
          <w:sz w:val="28"/>
          <w:szCs w:val="28"/>
        </w:rPr>
        <w:t>].</w:t>
      </w:r>
    </w:p>
    <w:p w:rsidR="00D230CF" w:rsidRPr="00D230CF" w:rsidRDefault="00D230CF" w:rsidP="00D230CF">
      <w:pPr>
        <w:spacing w:line="360" w:lineRule="auto"/>
        <w:ind w:firstLine="709"/>
        <w:jc w:val="both"/>
        <w:rPr>
          <w:sz w:val="28"/>
          <w:szCs w:val="28"/>
        </w:rPr>
      </w:pPr>
      <w:r w:rsidRPr="003842B1">
        <w:rPr>
          <w:b/>
          <w:sz w:val="28"/>
          <w:szCs w:val="28"/>
        </w:rPr>
        <w:t>Результаты и их обсуждение.</w:t>
      </w:r>
      <w:r w:rsidRPr="003842B1">
        <w:rPr>
          <w:sz w:val="28"/>
          <w:szCs w:val="28"/>
        </w:rPr>
        <w:t xml:space="preserve"> Комплексное обследование тканей пародонта  у пациентов 1 и 2 группы показало, что значения медианы упрощенного индекса OHI-S до лечения составил 2,2 и 2,5 баллов, соответственно. В группе контроля этот показатель составил 0,41 балл. Папиллярно-маргинально-альвеолярный индекс позволяет объективно оценить степень выраженности воспаления в пародонте. Значения этого показателя в группе 1 и 2 до лечения составил соответственно 27,09% и 27,46%, в группе контроля – 2,08%. Пародонтальный индекс, характеризует тяжесть воспалительно-деструктивных изменений в пародонте. У больных 1 и 2 группы значения этого индекса составили 1,93 и 1,64 балла, в группе контроля – 0,06. До лечения значения медианы пробы Шиллера-Писарева, которая характеризует глубину воспалительного процесса десен, в группе 1 и 2 составили 1,53 и 1,6 баллов, в группе контроля – 0,12 баллов. Значения индекса кровоточивости десневых сосочков Muhlemann-Saxer в группе 1 и 2 составили 0,33 и 0,33 баллов, в группе конт</w:t>
      </w:r>
      <w:r>
        <w:rPr>
          <w:sz w:val="28"/>
          <w:szCs w:val="28"/>
        </w:rPr>
        <w:t>роля этот индекс не был выявлен</w:t>
      </w:r>
      <w:r w:rsidRPr="00D230CF">
        <w:rPr>
          <w:sz w:val="28"/>
          <w:szCs w:val="28"/>
        </w:rPr>
        <w:t>.</w:t>
      </w:r>
    </w:p>
    <w:p w:rsidR="00D230CF" w:rsidRPr="00D230CF" w:rsidRDefault="00D230CF" w:rsidP="00D230CF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3842B1">
        <w:rPr>
          <w:color w:val="auto"/>
          <w:sz w:val="28"/>
          <w:szCs w:val="28"/>
        </w:rPr>
        <w:t xml:space="preserve">Нами выявлен стойкий клинический эффект со статистически достоверным снижением показателей гигиенических и пародонтальных индексов. Через 14 дней после лечения у всех больных отмечено улучшение, состояние тканей пародонта: исчезла болезненность, отечность и кровоточивость десен, уменьшилась клинически определяемая глубина </w:t>
      </w:r>
      <w:r w:rsidRPr="003842B1">
        <w:rPr>
          <w:color w:val="auto"/>
          <w:sz w:val="28"/>
          <w:szCs w:val="28"/>
        </w:rPr>
        <w:lastRenderedPageBreak/>
        <w:t xml:space="preserve">пародонтальных карманов. У пациентов обеих групп клинические данные были подтверждены положительной динамикой индекса гигиены и пародонтальных индексов, которые имели достоверные различия с исходными параметрами. Регистрировалось достоверное снижение индекса гигиены OHI-S в 1 и 2 группах через 14 дней после лечения - 0,33 и 0,33 баллов, а через 3 месяца – 0,63 и 0,41 баллов соответственно (p&lt;0,05). Снижение индекс PMA в 1 и 2 группах через 14 дней после полученной терапии составил 4,65%; 4,08% и 8,51%; 6, 25% через 3 месяца (p&lt;0,05). PI через 14 дней после лечения снизился до значений 1,72 и 1,39 баллов. А через 3 месяца – 1,73 и 1,45 баллов (p&lt;0,05). Медианы пробы Шиллера-Писарева в группе 1 и 2 через 14 дней после лечения стали 0,27; 0,24 баллов, и 0,51; 0,32 баллов через 3 месяца (p&lt;0,05). Значения медианы индекса кровоточивости десневых сосочков Muhlemann-Saxer в группе 1 и 2 через 14 дней после лечения составили 0,03; 0,03 баллов, и 0,07; 0,05 </w:t>
      </w:r>
      <w:r>
        <w:rPr>
          <w:color w:val="auto"/>
          <w:sz w:val="28"/>
          <w:szCs w:val="28"/>
        </w:rPr>
        <w:t>баллов  (p&lt;0,05) соответственно</w:t>
      </w:r>
      <w:r w:rsidRPr="00D230CF">
        <w:rPr>
          <w:color w:val="auto"/>
          <w:sz w:val="28"/>
          <w:szCs w:val="28"/>
        </w:rPr>
        <w:t>/</w:t>
      </w:r>
    </w:p>
    <w:p w:rsidR="00D230CF" w:rsidRPr="003842B1" w:rsidRDefault="00D230CF" w:rsidP="00D230CF">
      <w:pPr>
        <w:spacing w:line="360" w:lineRule="auto"/>
        <w:ind w:firstLine="567"/>
        <w:jc w:val="both"/>
        <w:rPr>
          <w:sz w:val="28"/>
          <w:szCs w:val="28"/>
        </w:rPr>
      </w:pPr>
      <w:r w:rsidRPr="003842B1">
        <w:rPr>
          <w:b/>
          <w:sz w:val="28"/>
          <w:szCs w:val="28"/>
        </w:rPr>
        <w:t xml:space="preserve">Выводы. </w:t>
      </w:r>
      <w:r w:rsidRPr="003842B1">
        <w:rPr>
          <w:sz w:val="28"/>
          <w:szCs w:val="28"/>
        </w:rPr>
        <w:t xml:space="preserve">Проведенное исследование показывает позитивное влияние лизоцимсодержащих лекарственных средств на ткани пародонта при сочетанном течении ХГП начальной и легкой степени тяжести и КПЛ типичной формы, а также КПЛ СОПР. В комплекс лечебно-профилактических мероприятий следует включать: «Лизомукоид» та «Лисобакт». </w:t>
      </w:r>
    </w:p>
    <w:p w:rsidR="00D230CF" w:rsidRDefault="00D230CF" w:rsidP="00D230CF">
      <w:pPr>
        <w:spacing w:line="360" w:lineRule="auto"/>
        <w:ind w:firstLine="567"/>
        <w:jc w:val="both"/>
        <w:rPr>
          <w:sz w:val="28"/>
          <w:szCs w:val="28"/>
        </w:rPr>
      </w:pPr>
    </w:p>
    <w:p w:rsidR="00D230CF" w:rsidRPr="003842B1" w:rsidRDefault="00D230CF" w:rsidP="00D230C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3842B1">
        <w:rPr>
          <w:b/>
          <w:sz w:val="28"/>
          <w:szCs w:val="28"/>
        </w:rPr>
        <w:t>ЛИТЕРАТУРА</w:t>
      </w:r>
    </w:p>
    <w:p w:rsidR="00D230CF" w:rsidRPr="003842B1" w:rsidRDefault="00D230CF" w:rsidP="00D230CF">
      <w:pPr>
        <w:spacing w:line="360" w:lineRule="auto"/>
        <w:ind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1. Артюшкевич А.С. Заболевания периодонта. - Медицинская литература, 2006.- 69 с.</w:t>
      </w:r>
    </w:p>
    <w:p w:rsidR="00D230CF" w:rsidRPr="003842B1" w:rsidRDefault="00D230CF" w:rsidP="00D230CF">
      <w:pPr>
        <w:spacing w:line="360" w:lineRule="auto"/>
        <w:ind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 xml:space="preserve">2. Барер Г.М. Терапевтическая стоматология: учебник. Ч. 2. Болезни пародонта. - М.: ГЭОТАР-Медиа, 2008.- С.73. </w:t>
      </w:r>
    </w:p>
    <w:p w:rsidR="00D230CF" w:rsidRPr="003842B1" w:rsidRDefault="00D230CF" w:rsidP="00D230CF">
      <w:pPr>
        <w:spacing w:line="360" w:lineRule="auto"/>
        <w:ind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3. Белёва Н.С. Особенности состояния и контроль гигиены полости рта у больных с деструктивными формами красного плоского лишая слизистой полости рта /О.С. Гилёва, Н.С. Белёва, Т.В. Либик, Н.Б. Кобус // Материалы Всероссийского конгресса и республиканской конференции стоматологов Республики Башкортостан «Внедрение новых технологий при лечении стоматологических заболеваний». – Уфа, 2007. – С. 156-158.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right="-143"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lastRenderedPageBreak/>
        <w:t>4. Гланц С. Медико-биологическая статистика</w:t>
      </w:r>
      <w:proofErr w:type="gramStart"/>
      <w:r w:rsidRPr="003842B1">
        <w:rPr>
          <w:sz w:val="28"/>
          <w:szCs w:val="28"/>
        </w:rPr>
        <w:t xml:space="preserve"> .</w:t>
      </w:r>
      <w:proofErr w:type="gramEnd"/>
      <w:r w:rsidRPr="003842B1">
        <w:rPr>
          <w:sz w:val="28"/>
          <w:szCs w:val="28"/>
        </w:rPr>
        <w:t xml:space="preserve"> - М. : Практика, 1999. – 459 с.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right="-143"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5. Гончаренко М.С. Метод оценки перекисного окисления липидов / Гончаренко М.С., Латинова А.М. // Лабораторное дело.- 1985.- № 11.- С. 60-61.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right="-143"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6. Грудянов А. И. Заболевания пародонта. - М.: Медицинское информационное агентство, 2009. - 336 с.</w:t>
      </w:r>
    </w:p>
    <w:p w:rsidR="00D230CF" w:rsidRPr="003842B1" w:rsidRDefault="00D230CF" w:rsidP="00D230CF">
      <w:pPr>
        <w:spacing w:line="360" w:lineRule="auto"/>
        <w:ind w:firstLine="360"/>
        <w:jc w:val="both"/>
        <w:rPr>
          <w:sz w:val="28"/>
          <w:szCs w:val="28"/>
        </w:rPr>
      </w:pPr>
      <w:r w:rsidRPr="003842B1">
        <w:rPr>
          <w:sz w:val="28"/>
          <w:szCs w:val="28"/>
        </w:rPr>
        <w:t>7. Денисова О.Г. Захворювання пародонту у дітей. – Харків, 2008.-С.43-44.</w:t>
      </w:r>
    </w:p>
    <w:p w:rsidR="00D230CF" w:rsidRPr="003842B1" w:rsidRDefault="00D230CF" w:rsidP="00D230CF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842B1">
        <w:rPr>
          <w:sz w:val="28"/>
          <w:szCs w:val="28"/>
        </w:rPr>
        <w:t>. Международная классификация стоматологических болезней МКБ-С-3 на основе МКБ-10,1997.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right="-143" w:firstLine="3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842B1">
        <w:rPr>
          <w:sz w:val="28"/>
          <w:szCs w:val="28"/>
        </w:rPr>
        <w:t>. Святенко Т.В. Червоний плоский лишай: діагностика та лікування. – Д</w:t>
      </w:r>
      <w:r>
        <w:rPr>
          <w:sz w:val="28"/>
          <w:szCs w:val="28"/>
        </w:rPr>
        <w:t>онецьк: Каштан, 2008,  - 271 с.</w:t>
      </w:r>
    </w:p>
    <w:p w:rsidR="00D230CF" w:rsidRPr="003842B1" w:rsidRDefault="00D230CF" w:rsidP="00D230CF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3842B1">
        <w:rPr>
          <w:sz w:val="28"/>
          <w:szCs w:val="28"/>
          <w:lang w:val="en-US"/>
        </w:rPr>
        <w:t>1</w:t>
      </w:r>
      <w:r w:rsidRPr="006D28D4">
        <w:rPr>
          <w:sz w:val="28"/>
          <w:szCs w:val="28"/>
          <w:lang w:val="en-US"/>
        </w:rPr>
        <w:t>0</w:t>
      </w:r>
      <w:r w:rsidRPr="003842B1">
        <w:rPr>
          <w:sz w:val="28"/>
          <w:szCs w:val="28"/>
          <w:lang w:val="en-US"/>
        </w:rPr>
        <w:t xml:space="preserve">. Mignogna M.D. Gingival involvement of oral lichen planus in a series of 700 patients/ Mignogna  M.D., Lo Russo L.,  Fedele S. // </w:t>
      </w:r>
      <w:r w:rsidRPr="003842B1">
        <w:rPr>
          <w:iCs/>
          <w:sz w:val="28"/>
          <w:szCs w:val="28"/>
          <w:lang w:val="en-US"/>
        </w:rPr>
        <w:t>J Clin Periodontol. – 2005</w:t>
      </w:r>
      <w:proofErr w:type="gramStart"/>
      <w:r w:rsidRPr="003842B1">
        <w:rPr>
          <w:iCs/>
          <w:sz w:val="28"/>
          <w:szCs w:val="28"/>
          <w:lang w:val="en-US"/>
        </w:rPr>
        <w:t>.-</w:t>
      </w:r>
      <w:proofErr w:type="gramEnd"/>
      <w:r w:rsidRPr="003842B1">
        <w:rPr>
          <w:sz w:val="28"/>
          <w:szCs w:val="28"/>
          <w:lang w:val="en-US"/>
        </w:rPr>
        <w:t xml:space="preserve"> </w:t>
      </w:r>
      <w:r w:rsidRPr="003842B1">
        <w:rPr>
          <w:sz w:val="28"/>
          <w:szCs w:val="28"/>
        </w:rPr>
        <w:t>Vol.32. -  No.10.- Р. 1029-33.</w:t>
      </w:r>
    </w:p>
    <w:p w:rsidR="00CA7E6F" w:rsidRDefault="00CA7E6F">
      <w:bookmarkStart w:id="0" w:name="_GoBack"/>
      <w:bookmarkEnd w:id="0"/>
    </w:p>
    <w:sectPr w:rsidR="00CA7E6F" w:rsidSect="00D230CF">
      <w:footerReference w:type="even" r:id="rId5"/>
      <w:footerReference w:type="default" r:id="rId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2E2" w:rsidRDefault="00D230CF" w:rsidP="003742E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42E2" w:rsidRDefault="00D230CF" w:rsidP="003742E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2E2" w:rsidRDefault="00D230CF" w:rsidP="003742E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3742E2" w:rsidRDefault="00D230CF" w:rsidP="003742E2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CF"/>
    <w:rsid w:val="00011E06"/>
    <w:rsid w:val="000362CC"/>
    <w:rsid w:val="00326A87"/>
    <w:rsid w:val="004F5D0D"/>
    <w:rsid w:val="005A0735"/>
    <w:rsid w:val="007E3F94"/>
    <w:rsid w:val="009821E6"/>
    <w:rsid w:val="00991934"/>
    <w:rsid w:val="00A5079D"/>
    <w:rsid w:val="00CA7E6F"/>
    <w:rsid w:val="00D2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230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Spacing">
    <w:name w:val="No Spacing"/>
    <w:rsid w:val="00D230CF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footer"/>
    <w:basedOn w:val="a"/>
    <w:link w:val="a5"/>
    <w:rsid w:val="00D230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230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D230CF"/>
  </w:style>
  <w:style w:type="paragraph" w:customStyle="1" w:styleId="Default">
    <w:name w:val="Default"/>
    <w:rsid w:val="00D230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230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Spacing">
    <w:name w:val="No Spacing"/>
    <w:rsid w:val="00D230CF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footer"/>
    <w:basedOn w:val="a"/>
    <w:link w:val="a5"/>
    <w:rsid w:val="00D230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230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D230CF"/>
  </w:style>
  <w:style w:type="paragraph" w:customStyle="1" w:styleId="Default">
    <w:name w:val="Default"/>
    <w:rsid w:val="00D230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Оленька</dc:creator>
  <cp:lastModifiedBy>Оленька</cp:lastModifiedBy>
  <cp:revision>1</cp:revision>
  <dcterms:created xsi:type="dcterms:W3CDTF">2014-01-22T11:22:00Z</dcterms:created>
  <dcterms:modified xsi:type="dcterms:W3CDTF">2014-01-22T11:38:00Z</dcterms:modified>
</cp:coreProperties>
</file>