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007" w:rsidRDefault="00221007" w:rsidP="002210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 ПРОТЕОМІЧНИХ ТА ГЕНЕТИЧНИХ МАРКЕРІВ НА ВИЖИВАНІСТЬ ХВОРИХ НА АДЕНОКАРЦИНОМУ ЯЄЧНИКА </w:t>
      </w:r>
    </w:p>
    <w:p w:rsidR="00221007" w:rsidRPr="00294661" w:rsidRDefault="00221007" w:rsidP="002210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86C94">
        <w:rPr>
          <w:rFonts w:ascii="Times New Roman" w:hAnsi="Times New Roman" w:cs="Times New Roman"/>
          <w:sz w:val="28"/>
          <w:szCs w:val="28"/>
          <w:lang w:val="uk-UA"/>
        </w:rPr>
        <w:t>Ковальцова</w:t>
      </w:r>
      <w:proofErr w:type="spellEnd"/>
      <w:r w:rsidRPr="00886C94">
        <w:rPr>
          <w:rFonts w:ascii="Times New Roman" w:hAnsi="Times New Roman" w:cs="Times New Roman"/>
          <w:sz w:val="28"/>
          <w:szCs w:val="28"/>
          <w:lang w:val="uk-UA"/>
        </w:rPr>
        <w:t xml:space="preserve"> М. В.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94661">
        <w:rPr>
          <w:rFonts w:ascii="Times New Roman" w:hAnsi="Times New Roman" w:cs="Times New Roman"/>
          <w:sz w:val="28"/>
          <w:szCs w:val="28"/>
        </w:rPr>
        <w:t xml:space="preserve"> </w:t>
      </w:r>
      <w:r w:rsidRPr="00886C94">
        <w:rPr>
          <w:rFonts w:ascii="Times New Roman" w:hAnsi="Times New Roman" w:cs="Times New Roman"/>
          <w:sz w:val="28"/>
          <w:szCs w:val="28"/>
        </w:rPr>
        <w:t>Александрова К.В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Журавльова П.В.,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Глянцев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П.П.,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Саберова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Ю.О.</w:t>
      </w:r>
    </w:p>
    <w:p w:rsidR="00221007" w:rsidRDefault="00221007" w:rsidP="0022100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221007" w:rsidRDefault="00221007" w:rsidP="0022100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II</w:t>
      </w:r>
      <w:r w:rsidRPr="00A2585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факультет, </w:t>
      </w:r>
      <w:proofErr w:type="spellStart"/>
      <w:r>
        <w:rPr>
          <w:rFonts w:ascii="Times New Roman" w:hAnsi="Times New Roman"/>
          <w:sz w:val="28"/>
          <w:szCs w:val="28"/>
        </w:rPr>
        <w:t>Харк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в, </w:t>
      </w:r>
      <w:proofErr w:type="spellStart"/>
      <w:r>
        <w:rPr>
          <w:rFonts w:ascii="Times New Roman" w:hAnsi="Times New Roman"/>
          <w:sz w:val="28"/>
          <w:szCs w:val="28"/>
        </w:rPr>
        <w:t>Україна</w:t>
      </w:r>
      <w:proofErr w:type="spellEnd"/>
    </w:p>
    <w:p w:rsidR="00221007" w:rsidRDefault="00221007" w:rsidP="0022100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Науковий керівник: Ніколаєва О.В., професор, завідувач кафедри патологічної фізіології імені Д.О.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Альперна</w:t>
      </w:r>
      <w:proofErr w:type="spellEnd"/>
    </w:p>
    <w:p w:rsidR="00221007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Основною причиною смерті від злоякісних новоутворень у жінок є рак яєчника, який за частотою поступається лише раку молочної залози. Частіше за все пухлину діагностують на пізніх стадіях через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маловиражену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симптоматику. За статистичними відомостями, при 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III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стадії захворювання частота 5-річної виживаності лише 34%. В залежності від терміну прогресування хвороби виділяють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платиночутливі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пухлини(прогресування через півроку після терапії),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платинорезистентні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( прогресування до 6 місяців),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платинорефрактерні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( прогресування під час хіміотерапії). Нині розвиваються методи для більш раннього виявлення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онкопатології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в тому числі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протеоміка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яка досліджує експресію білків, та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геноміка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яка досліджує експресію генів. Порівняння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протеому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хворої та здорової людини дозволяє виявити білки, які можуть бути потенційно залученими в розвиток хвороби. Такі протеїни в подальшому можуть стати мішенями для лікарських препаратів. Аналіз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протеоми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враховує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посттрансляційні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модифікації, а не тільки експресію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мРНК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, що є значимою перевагою цього методу.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Мета. Встановити залежність прогнозу виживаності хворих на аденокарциному яєчника від наявності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протеомічних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та генетичних маркерів.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Методи. Було обстежено 350 жінок з раком яєчника 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II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-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 xml:space="preserve"> IV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стадії, яких поділили на 4 клінічні групи: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>1) Контрольна група, що складалась з хворих, у яких була проведена стандартна хіміотерапія першої лінії.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2) Хворі, які були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платинорефрактерні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, що отримували терапію другою лінією.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3) Хворі з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платинорезистентністю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, яким проводилась корекція порушень та терапія другою лінією.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4) Хворі із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платиночутливістю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, яким проводилась хіміотерапія першою лінією.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Експресія білків визначалась відбором зразків біопсії з фрагментів тканини пухлини. Методом ПЛР оцінювали наявність та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вираженість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поліморфізму генів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1 та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2. Резистентність та чутливість до препаратів були встановлені шляхом виявлення рецидивів раку методом комп’ютерної томографії. 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Пацієнтки за віком у різних групах не відрізняються, середній вік становить 55,2 ± 3,8 років. За стадією хвороби у структурі захворюваності переважали пацієнти з </w:t>
      </w:r>
      <w:r w:rsidRPr="00294661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III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стадією раку яєчника. Перебіг захворювання був стереотипним у всіх групах з превалюванням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диспептичних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явищ, загальної слабкості, зменшенням маси тіла, артеріальною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гіпотензією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. Характерні для лікування платиною були лейкопенія та ознаки анемії в загальному аналізі крові. В групі, на фоні терапії другою лінією, відзначалася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тромбоцитопенія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тахікардія,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субфебрилітет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діарея, зміна кольору сечі з появою червонуватого відтінку. Алопеція була загальним явищем для хворих цієї групи. 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  <w:r w:rsidRPr="00294661">
        <w:rPr>
          <w:rFonts w:ascii="Times New Roman" w:hAnsi="Times New Roman" w:cs="Times New Roman"/>
          <w:sz w:val="28"/>
          <w:szCs w:val="28"/>
        </w:rPr>
        <w:t xml:space="preserve">1) 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 вплив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протеомічних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та генетичних маркері</w:t>
      </w:r>
      <w:proofErr w:type="gram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на ступень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платинорезистентності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1007" w:rsidRPr="00294661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2) Виявлена підвищена активність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циклінів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, наявність поліморфізму генів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1 та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2 та підвищений вміст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1007" w:rsidRPr="00886C94" w:rsidRDefault="00221007" w:rsidP="002210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3) Наведене дозволяє додатково до критеріїв патогенезу раку яєчників включити маркери прогнозу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платинорезистентності</w:t>
      </w:r>
      <w:proofErr w:type="spellEnd"/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 такі параметри як, генетична обтяженість (наявність поліморфізму у генах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1 та </w:t>
      </w:r>
      <w:r w:rsidRPr="00294661">
        <w:rPr>
          <w:rFonts w:ascii="Times New Roman" w:hAnsi="Times New Roman" w:cs="Times New Roman"/>
          <w:sz w:val="28"/>
          <w:szCs w:val="28"/>
          <w:lang w:val="en-US"/>
        </w:rPr>
        <w:t>BRCA</w:t>
      </w:r>
      <w:r w:rsidRPr="00294661">
        <w:rPr>
          <w:rFonts w:ascii="Times New Roman" w:hAnsi="Times New Roman" w:cs="Times New Roman"/>
          <w:sz w:val="28"/>
          <w:szCs w:val="28"/>
          <w:lang w:val="uk-UA"/>
        </w:rPr>
        <w:t xml:space="preserve">2), висока активність </w:t>
      </w:r>
      <w:proofErr w:type="spellStart"/>
      <w:r w:rsidRPr="00294661">
        <w:rPr>
          <w:rFonts w:ascii="Times New Roman" w:hAnsi="Times New Roman" w:cs="Times New Roman"/>
          <w:sz w:val="28"/>
          <w:szCs w:val="28"/>
          <w:lang w:val="uk-UA"/>
        </w:rPr>
        <w:t>циклінів</w:t>
      </w:r>
      <w:proofErr w:type="spellEnd"/>
      <w:r w:rsidRPr="00886C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C9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86C9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AB4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C9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86C94">
        <w:rPr>
          <w:rFonts w:ascii="Times New Roman" w:hAnsi="Times New Roman" w:cs="Times New Roman"/>
          <w:sz w:val="28"/>
          <w:szCs w:val="28"/>
          <w:lang w:val="uk-UA"/>
        </w:rPr>
        <w:t xml:space="preserve">, підвищений вміст </w:t>
      </w:r>
      <w:proofErr w:type="spellStart"/>
      <w:r w:rsidRPr="00886C94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Pr="00886C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200D" w:rsidRPr="00221007" w:rsidRDefault="00221007" w:rsidP="0022100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C94">
        <w:rPr>
          <w:rFonts w:ascii="Times New Roman" w:hAnsi="Times New Roman" w:cs="Times New Roman"/>
          <w:sz w:val="28"/>
          <w:szCs w:val="28"/>
          <w:lang w:val="uk-UA"/>
        </w:rPr>
        <w:t>4) Доцільно застосовувати медикаментоз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ну корекцію порушень у жінок, у </w:t>
      </w:r>
      <w:r w:rsidRPr="00886C94">
        <w:rPr>
          <w:rFonts w:ascii="Times New Roman" w:hAnsi="Times New Roman" w:cs="Times New Roman"/>
          <w:sz w:val="28"/>
          <w:szCs w:val="28"/>
          <w:lang w:val="uk-UA"/>
        </w:rPr>
        <w:t>яких наявні вказані фактори.</w:t>
      </w:r>
      <w:bookmarkStart w:id="0" w:name="_GoBack"/>
      <w:bookmarkEnd w:id="0"/>
    </w:p>
    <w:sectPr w:rsidR="0056200D" w:rsidRPr="00221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3C4"/>
    <w:rsid w:val="00221007"/>
    <w:rsid w:val="0056200D"/>
    <w:rsid w:val="00DB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0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0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532</Words>
  <Characters>3035</Characters>
  <Application>Microsoft Office Word</Application>
  <DocSecurity>0</DocSecurity>
  <Lines>25</Lines>
  <Paragraphs>7</Paragraphs>
  <ScaleCrop>false</ScaleCrop>
  <Company/>
  <LinksUpToDate>false</LinksUpToDate>
  <CharactersWithSpaces>3560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2018-07-02T10:19:00Z</dcterms:created>
  <dcterms:modified xsi:type="dcterms:W3CDTF">2018-07-02T10:21:00Z</dcterms:modified>
</cp:coreProperties>
</file>