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007" w:rsidRDefault="00221007" w:rsidP="0022100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ВПЛИВ ПРОТЕОМІЧНИХ ТА ГЕНЕТИЧНИХ МАРКЕРІВ НА ВИЖИВАНІСТЬ ХВОРИХ НА АДЕНОКАРЦИНОМУ ЯЄЧНИКА </w:t>
      </w:r>
    </w:p>
    <w:p w:rsidR="00221007" w:rsidRPr="00294661" w:rsidRDefault="00221007" w:rsidP="0022100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86C94">
        <w:rPr>
          <w:rFonts w:ascii="Times New Roman" w:hAnsi="Times New Roman" w:cs="Times New Roman"/>
          <w:sz w:val="28"/>
          <w:szCs w:val="28"/>
          <w:lang w:val="uk-UA"/>
        </w:rPr>
        <w:t>Ковальцова</w:t>
      </w:r>
      <w:proofErr w:type="spellEnd"/>
      <w:r w:rsidRPr="00886C94">
        <w:rPr>
          <w:rFonts w:ascii="Times New Roman" w:hAnsi="Times New Roman" w:cs="Times New Roman"/>
          <w:sz w:val="28"/>
          <w:szCs w:val="28"/>
          <w:lang w:val="uk-UA"/>
        </w:rPr>
        <w:t xml:space="preserve"> М. В.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94661">
        <w:rPr>
          <w:rFonts w:ascii="Times New Roman" w:hAnsi="Times New Roman" w:cs="Times New Roman"/>
          <w:sz w:val="28"/>
          <w:szCs w:val="28"/>
        </w:rPr>
        <w:t xml:space="preserve"> </w:t>
      </w:r>
      <w:r w:rsidRPr="00886C94">
        <w:rPr>
          <w:rFonts w:ascii="Times New Roman" w:hAnsi="Times New Roman" w:cs="Times New Roman"/>
          <w:sz w:val="28"/>
          <w:szCs w:val="28"/>
        </w:rPr>
        <w:t>Александрова К.В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., Журавльова П.В.,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Глянцев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П.П.,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Саберова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Ю.О.</w:t>
      </w:r>
    </w:p>
    <w:p w:rsidR="00221007" w:rsidRDefault="00221007" w:rsidP="00221007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Харківський національний медичний університет, </w:t>
      </w:r>
    </w:p>
    <w:p w:rsidR="00221007" w:rsidRDefault="00221007" w:rsidP="00221007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 w:rsidRPr="00A2585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медичний</w:t>
      </w:r>
      <w:proofErr w:type="spellEnd"/>
      <w:r>
        <w:rPr>
          <w:rFonts w:ascii="Times New Roman" w:hAnsi="Times New Roman"/>
          <w:sz w:val="28"/>
          <w:szCs w:val="28"/>
        </w:rPr>
        <w:t xml:space="preserve"> факультет, </w:t>
      </w:r>
      <w:proofErr w:type="spellStart"/>
      <w:r>
        <w:rPr>
          <w:rFonts w:ascii="Times New Roman" w:hAnsi="Times New Roman"/>
          <w:sz w:val="28"/>
          <w:szCs w:val="28"/>
        </w:rPr>
        <w:t>Харк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</w:rPr>
        <w:t xml:space="preserve">в, </w:t>
      </w:r>
      <w:proofErr w:type="spellStart"/>
      <w:r>
        <w:rPr>
          <w:rFonts w:ascii="Times New Roman" w:hAnsi="Times New Roman"/>
          <w:sz w:val="28"/>
          <w:szCs w:val="28"/>
        </w:rPr>
        <w:t>Україна</w:t>
      </w:r>
      <w:proofErr w:type="spellEnd"/>
    </w:p>
    <w:p w:rsidR="00221007" w:rsidRDefault="00221007" w:rsidP="00221007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Науковий керівник: Ніколаєва О.В., професор, завідувач кафедри патологічної фізіології імені Д.О.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Альперна</w:t>
      </w:r>
      <w:proofErr w:type="spellEnd"/>
    </w:p>
    <w:p w:rsidR="00221007" w:rsidRDefault="00221007" w:rsidP="002210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Актуальність. Основною причиною смерті від злоякісних новоутворень у жінок є рак яєчника, який за частотою поступається лише раку молочної залози. Частіше за все пухлину діагностують на пізніх стадіях через </w:t>
      </w:r>
      <w:proofErr w:type="spellStart"/>
      <w:r w:rsidRPr="00294661">
        <w:rPr>
          <w:rFonts w:ascii="Times New Roman" w:hAnsi="Times New Roman" w:cs="Times New Roman"/>
          <w:sz w:val="28"/>
          <w:szCs w:val="28"/>
          <w:lang w:val="uk-UA"/>
        </w:rPr>
        <w:t>маловиражену</w:t>
      </w:r>
      <w:proofErr w:type="spellEnd"/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 симптоматику. За статистичними відомостями, при </w:t>
      </w:r>
      <w:r w:rsidRPr="00294661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III</w:t>
      </w:r>
      <w:r w:rsidRPr="00294661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  <w:t xml:space="preserve"> </w:t>
      </w:r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стадії захворювання частота 5-річної виживаності лише 34%. В залежності від терміну прогресування хвороби виділяють </w:t>
      </w:r>
      <w:proofErr w:type="spellStart"/>
      <w:r w:rsidRPr="00294661">
        <w:rPr>
          <w:rFonts w:ascii="Times New Roman" w:hAnsi="Times New Roman" w:cs="Times New Roman"/>
          <w:sz w:val="28"/>
          <w:szCs w:val="28"/>
          <w:lang w:val="uk-UA"/>
        </w:rPr>
        <w:t>платиночутливі</w:t>
      </w:r>
      <w:proofErr w:type="spellEnd"/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 пухлини(прогресування через півроку після терапії), </w:t>
      </w:r>
      <w:proofErr w:type="spellStart"/>
      <w:r w:rsidRPr="00294661">
        <w:rPr>
          <w:rFonts w:ascii="Times New Roman" w:hAnsi="Times New Roman" w:cs="Times New Roman"/>
          <w:sz w:val="28"/>
          <w:szCs w:val="28"/>
          <w:lang w:val="uk-UA"/>
        </w:rPr>
        <w:t>платинорезистентні</w:t>
      </w:r>
      <w:proofErr w:type="spellEnd"/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 ( прогресування до 6 місяців), </w:t>
      </w:r>
      <w:proofErr w:type="spellStart"/>
      <w:r w:rsidRPr="00294661">
        <w:rPr>
          <w:rFonts w:ascii="Times New Roman" w:hAnsi="Times New Roman" w:cs="Times New Roman"/>
          <w:sz w:val="28"/>
          <w:szCs w:val="28"/>
          <w:lang w:val="uk-UA"/>
        </w:rPr>
        <w:t>платинорефрактерні</w:t>
      </w:r>
      <w:proofErr w:type="spellEnd"/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 ( прогресування під час хіміотерапії). Нині розвиваються методи для більш раннього виявлення </w:t>
      </w:r>
      <w:proofErr w:type="spellStart"/>
      <w:r w:rsidRPr="00294661">
        <w:rPr>
          <w:rFonts w:ascii="Times New Roman" w:hAnsi="Times New Roman" w:cs="Times New Roman"/>
          <w:sz w:val="28"/>
          <w:szCs w:val="28"/>
          <w:lang w:val="uk-UA"/>
        </w:rPr>
        <w:t>онкопатології</w:t>
      </w:r>
      <w:proofErr w:type="spellEnd"/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, в тому числі </w:t>
      </w:r>
      <w:proofErr w:type="spellStart"/>
      <w:r w:rsidRPr="00294661">
        <w:rPr>
          <w:rFonts w:ascii="Times New Roman" w:hAnsi="Times New Roman" w:cs="Times New Roman"/>
          <w:sz w:val="28"/>
          <w:szCs w:val="28"/>
          <w:lang w:val="uk-UA"/>
        </w:rPr>
        <w:t>протеоміка</w:t>
      </w:r>
      <w:proofErr w:type="spellEnd"/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, яка досліджує експресію білків, та </w:t>
      </w:r>
      <w:proofErr w:type="spellStart"/>
      <w:r w:rsidRPr="00294661">
        <w:rPr>
          <w:rFonts w:ascii="Times New Roman" w:hAnsi="Times New Roman" w:cs="Times New Roman"/>
          <w:sz w:val="28"/>
          <w:szCs w:val="28"/>
          <w:lang w:val="uk-UA"/>
        </w:rPr>
        <w:t>геноміка</w:t>
      </w:r>
      <w:proofErr w:type="spellEnd"/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, яка досліджує експресію генів. Порівняння </w:t>
      </w:r>
      <w:proofErr w:type="spellStart"/>
      <w:r w:rsidRPr="00294661">
        <w:rPr>
          <w:rFonts w:ascii="Times New Roman" w:hAnsi="Times New Roman" w:cs="Times New Roman"/>
          <w:sz w:val="28"/>
          <w:szCs w:val="28"/>
          <w:lang w:val="uk-UA"/>
        </w:rPr>
        <w:t>протеому</w:t>
      </w:r>
      <w:proofErr w:type="spellEnd"/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 хворої та здорової людини дозволяє виявити білки, які можуть бути потенційно залученими в розвиток хвороби. Такі протеїни в подальшому можуть стати мішенями для лікарських препаратів. Аналіз </w:t>
      </w:r>
      <w:proofErr w:type="spellStart"/>
      <w:r w:rsidRPr="00294661">
        <w:rPr>
          <w:rFonts w:ascii="Times New Roman" w:hAnsi="Times New Roman" w:cs="Times New Roman"/>
          <w:sz w:val="28"/>
          <w:szCs w:val="28"/>
          <w:lang w:val="uk-UA"/>
        </w:rPr>
        <w:t>протеоми</w:t>
      </w:r>
      <w:proofErr w:type="spellEnd"/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 враховує </w:t>
      </w:r>
      <w:proofErr w:type="spellStart"/>
      <w:r w:rsidRPr="00294661">
        <w:rPr>
          <w:rFonts w:ascii="Times New Roman" w:hAnsi="Times New Roman" w:cs="Times New Roman"/>
          <w:sz w:val="28"/>
          <w:szCs w:val="28"/>
          <w:lang w:val="uk-UA"/>
        </w:rPr>
        <w:t>посттрансляційні</w:t>
      </w:r>
      <w:proofErr w:type="spellEnd"/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 модифікації, а не тільки експресію </w:t>
      </w:r>
      <w:proofErr w:type="spellStart"/>
      <w:r w:rsidRPr="00294661">
        <w:rPr>
          <w:rFonts w:ascii="Times New Roman" w:hAnsi="Times New Roman" w:cs="Times New Roman"/>
          <w:sz w:val="28"/>
          <w:szCs w:val="28"/>
          <w:lang w:val="uk-UA"/>
        </w:rPr>
        <w:t>мРНК</w:t>
      </w:r>
      <w:proofErr w:type="spellEnd"/>
      <w:r w:rsidRPr="00294661">
        <w:rPr>
          <w:rFonts w:ascii="Times New Roman" w:hAnsi="Times New Roman" w:cs="Times New Roman"/>
          <w:sz w:val="28"/>
          <w:szCs w:val="28"/>
          <w:lang w:val="uk-UA"/>
        </w:rPr>
        <w:t>, що є значимою перевагою цього методу.</w:t>
      </w:r>
    </w:p>
    <w:p w:rsidR="00221007" w:rsidRPr="00294661" w:rsidRDefault="00221007" w:rsidP="002210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Мета. Встановити залежність прогнозу виживаності хворих на аденокарциному яєчника від наявності </w:t>
      </w:r>
      <w:proofErr w:type="spellStart"/>
      <w:r w:rsidRPr="00294661">
        <w:rPr>
          <w:rFonts w:ascii="Times New Roman" w:hAnsi="Times New Roman" w:cs="Times New Roman"/>
          <w:sz w:val="28"/>
          <w:szCs w:val="28"/>
          <w:lang w:val="uk-UA"/>
        </w:rPr>
        <w:t>протеомічних</w:t>
      </w:r>
      <w:proofErr w:type="spellEnd"/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 та генетичних маркерів.</w:t>
      </w:r>
    </w:p>
    <w:p w:rsidR="00221007" w:rsidRPr="00294661" w:rsidRDefault="00221007" w:rsidP="002210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Методи. Було обстежено 350 жінок з раком яєчника </w:t>
      </w:r>
      <w:r w:rsidRPr="00294661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II</w:t>
      </w:r>
      <w:r w:rsidRPr="00294661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  <w:lang w:val="uk-UA"/>
        </w:rPr>
        <w:t>-</w:t>
      </w:r>
      <w:r w:rsidRPr="00294661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IV</w:t>
      </w:r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 стадії, яких поділили на 4 клінічні групи:</w:t>
      </w:r>
    </w:p>
    <w:p w:rsidR="00221007" w:rsidRPr="00294661" w:rsidRDefault="00221007" w:rsidP="002210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4661">
        <w:rPr>
          <w:rFonts w:ascii="Times New Roman" w:hAnsi="Times New Roman" w:cs="Times New Roman"/>
          <w:sz w:val="28"/>
          <w:szCs w:val="28"/>
          <w:lang w:val="uk-UA"/>
        </w:rPr>
        <w:t>1) Контрольна група, що складалась з хворих, у яких була проведена стандартна хіміотерапія першої лінії.</w:t>
      </w:r>
    </w:p>
    <w:p w:rsidR="00221007" w:rsidRPr="00294661" w:rsidRDefault="00221007" w:rsidP="002210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466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2) Хворі, які були </w:t>
      </w:r>
      <w:proofErr w:type="spellStart"/>
      <w:r w:rsidRPr="00294661">
        <w:rPr>
          <w:rFonts w:ascii="Times New Roman" w:hAnsi="Times New Roman" w:cs="Times New Roman"/>
          <w:sz w:val="28"/>
          <w:szCs w:val="28"/>
          <w:lang w:val="uk-UA"/>
        </w:rPr>
        <w:t>платинорефрактерні</w:t>
      </w:r>
      <w:proofErr w:type="spellEnd"/>
      <w:r w:rsidRPr="00294661">
        <w:rPr>
          <w:rFonts w:ascii="Times New Roman" w:hAnsi="Times New Roman" w:cs="Times New Roman"/>
          <w:sz w:val="28"/>
          <w:szCs w:val="28"/>
          <w:lang w:val="uk-UA"/>
        </w:rPr>
        <w:t>, що отримували терапію другою лінією.</w:t>
      </w:r>
    </w:p>
    <w:p w:rsidR="00221007" w:rsidRPr="00294661" w:rsidRDefault="00221007" w:rsidP="002210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3) Хворі з </w:t>
      </w:r>
      <w:proofErr w:type="spellStart"/>
      <w:r w:rsidRPr="00294661">
        <w:rPr>
          <w:rFonts w:ascii="Times New Roman" w:hAnsi="Times New Roman" w:cs="Times New Roman"/>
          <w:sz w:val="28"/>
          <w:szCs w:val="28"/>
          <w:lang w:val="uk-UA"/>
        </w:rPr>
        <w:t>платинорезистентністю</w:t>
      </w:r>
      <w:proofErr w:type="spellEnd"/>
      <w:r w:rsidRPr="00294661">
        <w:rPr>
          <w:rFonts w:ascii="Times New Roman" w:hAnsi="Times New Roman" w:cs="Times New Roman"/>
          <w:sz w:val="28"/>
          <w:szCs w:val="28"/>
          <w:lang w:val="uk-UA"/>
        </w:rPr>
        <w:t>, яким проводилась корекція порушень та терапія другою лінією.</w:t>
      </w:r>
    </w:p>
    <w:p w:rsidR="00221007" w:rsidRPr="00294661" w:rsidRDefault="00221007" w:rsidP="002210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4) Хворі із </w:t>
      </w:r>
      <w:proofErr w:type="spellStart"/>
      <w:r w:rsidRPr="00294661">
        <w:rPr>
          <w:rFonts w:ascii="Times New Roman" w:hAnsi="Times New Roman" w:cs="Times New Roman"/>
          <w:sz w:val="28"/>
          <w:szCs w:val="28"/>
          <w:lang w:val="uk-UA"/>
        </w:rPr>
        <w:t>платиночутливістю</w:t>
      </w:r>
      <w:proofErr w:type="spellEnd"/>
      <w:r w:rsidRPr="00294661">
        <w:rPr>
          <w:rFonts w:ascii="Times New Roman" w:hAnsi="Times New Roman" w:cs="Times New Roman"/>
          <w:sz w:val="28"/>
          <w:szCs w:val="28"/>
          <w:lang w:val="uk-UA"/>
        </w:rPr>
        <w:t>, яким проводилась хіміотерапія першою лінією.</w:t>
      </w:r>
    </w:p>
    <w:p w:rsidR="00221007" w:rsidRPr="00294661" w:rsidRDefault="00221007" w:rsidP="002210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Експресія білків визначалась відбором зразків біопсії з фрагментів тканини пухлини. Методом ПЛР оцінювали наявність та </w:t>
      </w:r>
      <w:proofErr w:type="spellStart"/>
      <w:r w:rsidRPr="00294661">
        <w:rPr>
          <w:rFonts w:ascii="Times New Roman" w:hAnsi="Times New Roman" w:cs="Times New Roman"/>
          <w:sz w:val="28"/>
          <w:szCs w:val="28"/>
          <w:lang w:val="uk-UA"/>
        </w:rPr>
        <w:t>вираженість</w:t>
      </w:r>
      <w:proofErr w:type="spellEnd"/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 поліморфізму генів </w:t>
      </w:r>
      <w:r w:rsidRPr="00294661">
        <w:rPr>
          <w:rFonts w:ascii="Times New Roman" w:hAnsi="Times New Roman" w:cs="Times New Roman"/>
          <w:sz w:val="28"/>
          <w:szCs w:val="28"/>
          <w:lang w:val="en-US"/>
        </w:rPr>
        <w:t>BRCA</w:t>
      </w:r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1 та </w:t>
      </w:r>
      <w:r w:rsidRPr="00294661">
        <w:rPr>
          <w:rFonts w:ascii="Times New Roman" w:hAnsi="Times New Roman" w:cs="Times New Roman"/>
          <w:sz w:val="28"/>
          <w:szCs w:val="28"/>
          <w:lang w:val="en-US"/>
        </w:rPr>
        <w:t>BRCA</w:t>
      </w:r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2. Резистентність та чутливість до препаратів були встановлені шляхом виявлення рецидивів раку методом комп’ютерної томографії. </w:t>
      </w:r>
    </w:p>
    <w:p w:rsidR="00221007" w:rsidRPr="00294661" w:rsidRDefault="00221007" w:rsidP="002210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Результати. Пацієнтки за віком у різних групах не відрізняються, середній вік становить 55,2 ± 3,8 років. За стадією хвороби у структурі захворюваності переважали пацієнти з </w:t>
      </w:r>
      <w:r w:rsidRPr="00294661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III</w:t>
      </w:r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 стадією раку яєчника. Перебіг захворювання був стереотипним у всіх групах з превалюванням </w:t>
      </w:r>
      <w:proofErr w:type="spellStart"/>
      <w:r w:rsidRPr="00294661">
        <w:rPr>
          <w:rFonts w:ascii="Times New Roman" w:hAnsi="Times New Roman" w:cs="Times New Roman"/>
          <w:sz w:val="28"/>
          <w:szCs w:val="28"/>
          <w:lang w:val="uk-UA"/>
        </w:rPr>
        <w:t>диспептичних</w:t>
      </w:r>
      <w:proofErr w:type="spellEnd"/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 явищ, загальної слабкості, зменшенням маси тіла, артеріальною </w:t>
      </w:r>
      <w:proofErr w:type="spellStart"/>
      <w:r w:rsidRPr="00294661">
        <w:rPr>
          <w:rFonts w:ascii="Times New Roman" w:hAnsi="Times New Roman" w:cs="Times New Roman"/>
          <w:sz w:val="28"/>
          <w:szCs w:val="28"/>
          <w:lang w:val="uk-UA"/>
        </w:rPr>
        <w:t>гіпотензією</w:t>
      </w:r>
      <w:proofErr w:type="spellEnd"/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. Характерні для лікування платиною були лейкопенія та ознаки анемії в загальному аналізі крові. В групі, на фоні терапії другою лінією, відзначалася </w:t>
      </w:r>
      <w:proofErr w:type="spellStart"/>
      <w:r w:rsidRPr="00294661">
        <w:rPr>
          <w:rFonts w:ascii="Times New Roman" w:hAnsi="Times New Roman" w:cs="Times New Roman"/>
          <w:sz w:val="28"/>
          <w:szCs w:val="28"/>
          <w:lang w:val="uk-UA"/>
        </w:rPr>
        <w:t>тромбоцитопенія</w:t>
      </w:r>
      <w:proofErr w:type="spellEnd"/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, тахікардія, </w:t>
      </w:r>
      <w:proofErr w:type="spellStart"/>
      <w:r w:rsidRPr="00294661">
        <w:rPr>
          <w:rFonts w:ascii="Times New Roman" w:hAnsi="Times New Roman" w:cs="Times New Roman"/>
          <w:sz w:val="28"/>
          <w:szCs w:val="28"/>
          <w:lang w:val="uk-UA"/>
        </w:rPr>
        <w:t>субфебрилітет</w:t>
      </w:r>
      <w:proofErr w:type="spellEnd"/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, діарея, зміна кольору сечі з появою червонуватого відтінку. Алопеція була загальним явищем для хворих цієї групи. </w:t>
      </w:r>
    </w:p>
    <w:p w:rsidR="00221007" w:rsidRPr="00294661" w:rsidRDefault="00221007" w:rsidP="002210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Висновки. </w:t>
      </w:r>
      <w:r w:rsidRPr="00294661">
        <w:rPr>
          <w:rFonts w:ascii="Times New Roman" w:hAnsi="Times New Roman" w:cs="Times New Roman"/>
          <w:sz w:val="28"/>
          <w:szCs w:val="28"/>
        </w:rPr>
        <w:t xml:space="preserve">1) </w:t>
      </w:r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Встановлено вплив </w:t>
      </w:r>
      <w:proofErr w:type="spellStart"/>
      <w:r w:rsidRPr="00294661">
        <w:rPr>
          <w:rFonts w:ascii="Times New Roman" w:hAnsi="Times New Roman" w:cs="Times New Roman"/>
          <w:sz w:val="28"/>
          <w:szCs w:val="28"/>
          <w:lang w:val="uk-UA"/>
        </w:rPr>
        <w:t>протеомічних</w:t>
      </w:r>
      <w:proofErr w:type="spellEnd"/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 та генетичних маркері</w:t>
      </w:r>
      <w:proofErr w:type="gramStart"/>
      <w:r w:rsidRPr="00294661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gramEnd"/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 на ступень </w:t>
      </w:r>
      <w:proofErr w:type="spellStart"/>
      <w:r w:rsidRPr="00294661">
        <w:rPr>
          <w:rFonts w:ascii="Times New Roman" w:hAnsi="Times New Roman" w:cs="Times New Roman"/>
          <w:sz w:val="28"/>
          <w:szCs w:val="28"/>
          <w:lang w:val="uk-UA"/>
        </w:rPr>
        <w:t>платинорезистентності</w:t>
      </w:r>
      <w:proofErr w:type="spellEnd"/>
      <w:r w:rsidRPr="002946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21007" w:rsidRPr="00294661" w:rsidRDefault="00221007" w:rsidP="002210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2) Виявлена підвищена активність </w:t>
      </w:r>
      <w:proofErr w:type="spellStart"/>
      <w:r w:rsidRPr="00294661">
        <w:rPr>
          <w:rFonts w:ascii="Times New Roman" w:hAnsi="Times New Roman" w:cs="Times New Roman"/>
          <w:sz w:val="28"/>
          <w:szCs w:val="28"/>
          <w:lang w:val="uk-UA"/>
        </w:rPr>
        <w:t>циклінів</w:t>
      </w:r>
      <w:proofErr w:type="spellEnd"/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466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29466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, наявність поліморфізму генів </w:t>
      </w:r>
      <w:r w:rsidRPr="00294661">
        <w:rPr>
          <w:rFonts w:ascii="Times New Roman" w:hAnsi="Times New Roman" w:cs="Times New Roman"/>
          <w:sz w:val="28"/>
          <w:szCs w:val="28"/>
          <w:lang w:val="en-US"/>
        </w:rPr>
        <w:t>BRCA</w:t>
      </w:r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1 та </w:t>
      </w:r>
      <w:r w:rsidRPr="00294661">
        <w:rPr>
          <w:rFonts w:ascii="Times New Roman" w:hAnsi="Times New Roman" w:cs="Times New Roman"/>
          <w:sz w:val="28"/>
          <w:szCs w:val="28"/>
          <w:lang w:val="en-US"/>
        </w:rPr>
        <w:t>BRCA</w:t>
      </w:r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2 та підвищений вміст </w:t>
      </w:r>
      <w:proofErr w:type="spellStart"/>
      <w:r w:rsidRPr="00294661">
        <w:rPr>
          <w:rFonts w:ascii="Times New Roman" w:hAnsi="Times New Roman" w:cs="Times New Roman"/>
          <w:sz w:val="28"/>
          <w:szCs w:val="28"/>
          <w:lang w:val="uk-UA"/>
        </w:rPr>
        <w:t>катехоламінів</w:t>
      </w:r>
      <w:proofErr w:type="spellEnd"/>
      <w:r w:rsidRPr="0029466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21007" w:rsidRPr="00886C94" w:rsidRDefault="00221007" w:rsidP="002210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3) Наведене дозволяє додатково до критеріїв патогенезу раку яєчників включити маркери прогнозу </w:t>
      </w:r>
      <w:proofErr w:type="spellStart"/>
      <w:r w:rsidRPr="00294661">
        <w:rPr>
          <w:rFonts w:ascii="Times New Roman" w:hAnsi="Times New Roman" w:cs="Times New Roman"/>
          <w:sz w:val="28"/>
          <w:szCs w:val="28"/>
          <w:lang w:val="uk-UA"/>
        </w:rPr>
        <w:t>платинорезистентності</w:t>
      </w:r>
      <w:proofErr w:type="spellEnd"/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 такі параметри як, генетична обтяженість (наявність поліморфізму у генах </w:t>
      </w:r>
      <w:r w:rsidRPr="00294661">
        <w:rPr>
          <w:rFonts w:ascii="Times New Roman" w:hAnsi="Times New Roman" w:cs="Times New Roman"/>
          <w:sz w:val="28"/>
          <w:szCs w:val="28"/>
          <w:lang w:val="en-US"/>
        </w:rPr>
        <w:t>BRCA</w:t>
      </w:r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1 та </w:t>
      </w:r>
      <w:r w:rsidRPr="00294661">
        <w:rPr>
          <w:rFonts w:ascii="Times New Roman" w:hAnsi="Times New Roman" w:cs="Times New Roman"/>
          <w:sz w:val="28"/>
          <w:szCs w:val="28"/>
          <w:lang w:val="en-US"/>
        </w:rPr>
        <w:t>BRCA</w:t>
      </w:r>
      <w:r w:rsidRPr="00294661">
        <w:rPr>
          <w:rFonts w:ascii="Times New Roman" w:hAnsi="Times New Roman" w:cs="Times New Roman"/>
          <w:sz w:val="28"/>
          <w:szCs w:val="28"/>
          <w:lang w:val="uk-UA"/>
        </w:rPr>
        <w:t xml:space="preserve">2), висока активність </w:t>
      </w:r>
      <w:proofErr w:type="spellStart"/>
      <w:r w:rsidRPr="00294661">
        <w:rPr>
          <w:rFonts w:ascii="Times New Roman" w:hAnsi="Times New Roman" w:cs="Times New Roman"/>
          <w:sz w:val="28"/>
          <w:szCs w:val="28"/>
          <w:lang w:val="uk-UA"/>
        </w:rPr>
        <w:t>циклінів</w:t>
      </w:r>
      <w:proofErr w:type="spellEnd"/>
      <w:r w:rsidRPr="00886C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6C9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86C94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AB4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6C9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86C94">
        <w:rPr>
          <w:rFonts w:ascii="Times New Roman" w:hAnsi="Times New Roman" w:cs="Times New Roman"/>
          <w:sz w:val="28"/>
          <w:szCs w:val="28"/>
          <w:lang w:val="uk-UA"/>
        </w:rPr>
        <w:t xml:space="preserve">, підвищений вміст </w:t>
      </w:r>
      <w:proofErr w:type="spellStart"/>
      <w:r w:rsidRPr="00886C94">
        <w:rPr>
          <w:rFonts w:ascii="Times New Roman" w:hAnsi="Times New Roman" w:cs="Times New Roman"/>
          <w:sz w:val="28"/>
          <w:szCs w:val="28"/>
          <w:lang w:val="uk-UA"/>
        </w:rPr>
        <w:t>катехоламінів</w:t>
      </w:r>
      <w:proofErr w:type="spellEnd"/>
      <w:r w:rsidRPr="00886C9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6200D" w:rsidRPr="00221007" w:rsidRDefault="00221007" w:rsidP="002210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C94">
        <w:rPr>
          <w:rFonts w:ascii="Times New Roman" w:hAnsi="Times New Roman" w:cs="Times New Roman"/>
          <w:sz w:val="28"/>
          <w:szCs w:val="28"/>
          <w:lang w:val="uk-UA"/>
        </w:rPr>
        <w:t>4) Доцільно застосовувати медикаментоз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ну корекцію порушень у жінок, у </w:t>
      </w:r>
      <w:r w:rsidRPr="00886C94">
        <w:rPr>
          <w:rFonts w:ascii="Times New Roman" w:hAnsi="Times New Roman" w:cs="Times New Roman"/>
          <w:sz w:val="28"/>
          <w:szCs w:val="28"/>
          <w:lang w:val="uk-UA"/>
        </w:rPr>
        <w:t>яких наявні вказані фактори.</w:t>
      </w:r>
      <w:bookmarkStart w:id="0" w:name="_GoBack"/>
      <w:bookmarkEnd w:id="0"/>
    </w:p>
    <w:sectPr w:rsidR="0056200D" w:rsidRPr="00221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3C4"/>
    <w:rsid w:val="00221007"/>
    <w:rsid w:val="0056200D"/>
    <w:rsid w:val="00DB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007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007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532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2018-07-02T10:19:00Z</dcterms:created>
  <dcterms:modified xsi:type="dcterms:W3CDTF">2018-07-02T10:21:00Z</dcterms:modified>
</cp:coreProperties>
</file>