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B0" w:rsidRPr="002168B0" w:rsidRDefault="002168B0" w:rsidP="002168B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8B0">
        <w:rPr>
          <w:rFonts w:ascii="Times New Roman" w:hAnsi="Times New Roman" w:cs="Times New Roman"/>
          <w:b/>
          <w:sz w:val="28"/>
          <w:szCs w:val="28"/>
          <w:lang w:val="uk-UA"/>
        </w:rPr>
        <w:t>ВЕДЕНИЕ ПОСТЭМБОЛИЗАЦИОННОГО ПЕРИОДА У ПАЦИЕНТОК РЕПРОДУКТИВНОГО ВОЗРАСТА С МИОМОЙ МАТКИ И ГИПЕРПЛАЗИЕЙ ЭНДОМЕТРИЯ</w:t>
      </w:r>
    </w:p>
    <w:p w:rsidR="002168B0" w:rsidRPr="001E27BF" w:rsidRDefault="002168B0" w:rsidP="001E27BF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Калиновская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О.И.,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., доцент </w:t>
      </w:r>
    </w:p>
    <w:p w:rsidR="002168B0" w:rsidRPr="001E27BF" w:rsidRDefault="002168B0" w:rsidP="001E27BF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Харьковский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национальный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68B0" w:rsidRPr="001E27BF" w:rsidRDefault="002168B0" w:rsidP="001E27BF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профессор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68B0" w:rsidRPr="001E27BF" w:rsidRDefault="002168B0" w:rsidP="001E27BF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Харьковский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национальный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68B0" w:rsidRPr="001E27BF" w:rsidRDefault="002168B0" w:rsidP="001E27BF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Старкова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И.В.,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., доцент </w:t>
      </w:r>
    </w:p>
    <w:p w:rsidR="002168B0" w:rsidRPr="001E27BF" w:rsidRDefault="002168B0" w:rsidP="001E27BF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Харьковский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национальный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68B0" w:rsidRPr="001E27BF" w:rsidRDefault="002168B0" w:rsidP="001E27BF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Овчаренко О.Б.,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., доцент </w:t>
      </w:r>
    </w:p>
    <w:p w:rsidR="002168B0" w:rsidRPr="001E27BF" w:rsidRDefault="002168B0" w:rsidP="001E27BF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Харьковский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национальный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68B0" w:rsidRPr="001E27BF" w:rsidRDefault="002168B0" w:rsidP="001E27BF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Лященко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О.А.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., доцент </w:t>
      </w:r>
    </w:p>
    <w:p w:rsidR="002168B0" w:rsidRDefault="002168B0" w:rsidP="001E27BF">
      <w:pPr>
        <w:pStyle w:val="a3"/>
        <w:jc w:val="right"/>
        <w:rPr>
          <w:lang w:val="uk-UA"/>
        </w:rPr>
      </w:pP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Харьковский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национальный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 w:rsidRPr="001E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7BF"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 w:rsidRPr="002168B0">
        <w:rPr>
          <w:lang w:val="uk-UA"/>
        </w:rPr>
        <w:t xml:space="preserve"> </w:t>
      </w:r>
    </w:p>
    <w:p w:rsidR="002168B0" w:rsidRPr="002168B0" w:rsidRDefault="002168B0" w:rsidP="002168B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8B0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2168B0" w:rsidRDefault="002168B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168B0">
        <w:rPr>
          <w:rFonts w:ascii="Times New Roman" w:hAnsi="Times New Roman" w:cs="Times New Roman"/>
          <w:sz w:val="28"/>
          <w:szCs w:val="28"/>
        </w:rPr>
        <w:t xml:space="preserve">Анализируется применение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противорецидивной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гормональной терапии гиперпластических процессов эндометрия в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постэмболизационном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периоде у больных миомой матки репродуктивного возраста. </w:t>
      </w:r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Keywords: uterine fibroids, endometrial hyperplasia, uterine artery embolization, reproductive age, hormonal drugs. </w:t>
      </w:r>
      <w:r w:rsidRPr="002168B0">
        <w:rPr>
          <w:rFonts w:ascii="Times New Roman" w:hAnsi="Times New Roman" w:cs="Times New Roman"/>
          <w:sz w:val="28"/>
          <w:szCs w:val="28"/>
        </w:rPr>
        <w:t xml:space="preserve">Ключевые слова: миома матки, гиперплазия эндометрия,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эмболизация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маточных артерий, репродуктивный возраст, гормональные препараты. Одно из ведущих ме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ст в стр</w:t>
      </w:r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уктуре гинекологической заболеваемости у женщин репродуктивного возраста занимает миома матки и 20-30 % случаев в сочетании с патологией эндометрия. При этом клинические проявления миомы во многом определяются гиперплазией эндометрия (ГПЭ). В настоящее время наиболее эффективным методом лечения миомы матки является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эмболизация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маточных артерий (ЭМА), но некоторые вопросы ведения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постэмболизационного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периода у пациенток репродуктивного возраста с миомой матки и ГПЭ остаются нерешенными. Основные принципы медикаментозного лечения миомы матки основаны на концепции о гормонально зависимом характере этой опухоли и использовании средств, тормозящих ее развитии. Цель исследования: Улучшение результатов лечения больных миомой матки в сочетании с ГПЭ, перенесших ЭМА в репродуктивном возрасте, за счет назначения в послеоперационном периоде гормонального лечения ГПЭ (препарата на основе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дидрогестерона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диеногестсодержащего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монофазного комбинированного орального контрацептива). </w:t>
      </w:r>
    </w:p>
    <w:p w:rsidR="002168B0" w:rsidRDefault="002168B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168B0">
        <w:rPr>
          <w:rFonts w:ascii="Times New Roman" w:hAnsi="Times New Roman" w:cs="Times New Roman"/>
          <w:b/>
          <w:sz w:val="28"/>
          <w:szCs w:val="28"/>
        </w:rPr>
        <w:t>Материалы и методы исследования.</w:t>
      </w:r>
      <w:r w:rsidRPr="002168B0">
        <w:rPr>
          <w:rFonts w:ascii="Times New Roman" w:hAnsi="Times New Roman" w:cs="Times New Roman"/>
          <w:sz w:val="28"/>
          <w:szCs w:val="28"/>
        </w:rPr>
        <w:t xml:space="preserve"> За период с 2006 по 2020 гг. на базе КЗОЗ «Харьковская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Annali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d’Italia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№7/2020 31 областная клиническая больница 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–Ц</w:t>
      </w:r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ентр экстренной медицинской помощи и медицины катастроф» </w:t>
      </w:r>
      <w:r w:rsidRPr="002168B0">
        <w:rPr>
          <w:rFonts w:ascii="Times New Roman" w:hAnsi="Times New Roman" w:cs="Times New Roman"/>
          <w:sz w:val="28"/>
          <w:szCs w:val="28"/>
        </w:rPr>
        <w:lastRenderedPageBreak/>
        <w:t xml:space="preserve">было проведено обследование и лечение 210 больных миомой матки репродуктивного возраста. Основную группу составили 190 пациенток с 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сопутствующей</w:t>
      </w:r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ГПЭ. В группу контроля были включены 20 больных миомой матки без патологии эндометрия. Всем пациенткам в качестве метода лечения миомы матки была произведена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эмболизация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маточных артерий. Операция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эмболизации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проводилась на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ангиографе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Axiom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Artis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MP, «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Siemens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», Германия. Доступ к маточным артериям осуществлялся по стандартной методике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Сельдингера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с использованием частиц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поливинилалкоголя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(ПВА) и микросфер «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Biosphere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>». После ЭМА больные с сочетанной патологией энд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миометрия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были разделены на две группы: I группа - 60 пациенток, у которых лечение гиперплазии эндометрия не проводилось; II группа - 130 больных, которым назначалась циклическая гормональная терапия: в течение 6 месяцев 65 пациенток (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II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подгруппа) получали препарат на основе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дидрогестерона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Дюфастон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>) по 10 мг 2 раза в день с 5 по 25 день менструального цикла, 75 больных (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IIб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подгруппа) –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низкодозированный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монофазный комбинированный оральный контрацептив, содержащий в качестве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гестагенного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компонента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диеногест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Жанин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), по контрацептивной схеме. Средний возраст пациенток I группы составил 35,0 ± 4,27 лет, II группы – 34,4 ± 4,30 лет, группы контроля – 33,9 ± 4,76 лет. </w:t>
      </w:r>
    </w:p>
    <w:p w:rsidR="001E27BF" w:rsidRDefault="002168B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168B0">
        <w:rPr>
          <w:rFonts w:ascii="Times New Roman" w:hAnsi="Times New Roman" w:cs="Times New Roman"/>
          <w:b/>
          <w:sz w:val="28"/>
          <w:szCs w:val="28"/>
        </w:rPr>
        <w:t xml:space="preserve">Результаты собственных исследований и их обсуждение. </w:t>
      </w:r>
      <w:r w:rsidRPr="002168B0">
        <w:rPr>
          <w:rFonts w:ascii="Times New Roman" w:hAnsi="Times New Roman" w:cs="Times New Roman"/>
          <w:sz w:val="28"/>
          <w:szCs w:val="28"/>
        </w:rPr>
        <w:t xml:space="preserve">Наиболее частыми жалобами, которые предъявляли больные миомой матки, были жалобы на маточные кровотечения –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мен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, метроррагии и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межменструальные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кровяные выделения. 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 xml:space="preserve">При этом нарушения менструального цикла по типу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метроррагий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были у 48,3% пациенток с патологией эндометрия, в отличие от больных контрольной группы, у которых данный показатель составил 20%. Сопутствующими жалобами являлись слабость, быстрая утомляемость и снижение работоспособности у каждой третьей больной I группы, 26,7% пациенток II группы и у каждой четвертой больной миомой матки без патологии эндометрия.</w:t>
      </w:r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Наличие болевого синдрома отмечалось со сходной частотой во всех исследуемых группах – в 8 (29,6%) случаях в I группе, в 12 (20%) во II группе и у 5 (25%) больных в группе контроля. Анемия I-II степени была выявлена у 45% пациенток с сочетанной патологией энд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миометрия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и у 35% женщин контрольной группы. В результате УЗИ у большинства пациенток с миомой матки (58,6%) были выявлены единичные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миоматозные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узлы. В зависимости от локализации и характера роста 15% из них были отнесены к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субсерозным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узлам I типа, 32,8% – к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субсерозным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II типа, 18,7% – к интерстициальным и 41,1% – к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субмукозным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узлам II типа. Более чем у половины больных при </w:t>
      </w:r>
      <w:r w:rsidRPr="002168B0">
        <w:rPr>
          <w:rFonts w:ascii="Times New Roman" w:hAnsi="Times New Roman" w:cs="Times New Roman"/>
          <w:sz w:val="28"/>
          <w:szCs w:val="28"/>
        </w:rPr>
        <w:lastRenderedPageBreak/>
        <w:t xml:space="preserve">изучении структуры и кровоснабжения узлов были выявлены интерстициальные и интерстициально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субсерозные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миомы неоднородной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эхоструктуры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, повышенной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эхогенности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с преобладанием периферической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васкуляризации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. В 43% случаев было установлено наличие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гипоэхогенных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узлов с 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неоднородной</w:t>
      </w:r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эхоструктурой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и смешанной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васкуляризацией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, в большинстве случаев –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субмукозных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II типа. При УЗИ эндометрия установлены достоверные различия в показателях средней величины срединного маточного эхо у больных миомой матки основных групп (в I группе 13,8 ± 1,13 мм, во II группе – 16,05 ± 1, мм) и контрольной (7,7 ± 1,34 мм). Эффективность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противорецидивной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терапии ГПЭ оценивалась через 3 и 6 месяцев после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эмболизации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. У пациенток I группы через 3 месяца после ЭМА установлено снижение частоты жалоб на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меноррагии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в 4,3 раза, через 6 месяцев данная жалоба присутствовала у 7 (25,9%) больных, что позволило заподозрить рецидив ГПЭ. Метроррагии, наблюдавшиеся у 51,2% больных с сочетанной патологией энд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миометрия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до ЭМА, после процедуры не отмечались. Среди пациенток II группы, у 60% которых до ЭМА были жалобы на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менометроррагии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, через 3 месяца после ЭМА данные жалобы сохранялись у 12,8% больных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II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подгруппы и у 7,8% пациенток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IIб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подгруппы. Через 6 месяцев после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эмболизации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жалобы на нарушения менструального цикла по типу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олигоменорреи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были только у 1 больной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II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группы. При анализе лабораторных показателей клинического анализа крови установлено достоверное снижение частоты анемии у пациенток всех исследуемых групп уже через 3 месяца после ЭМА. Однако анемия I степени сохранялась у 20,5% больных I группы, у 11,8%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II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подгруппы и 8,7%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IIб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подгруппы, что, по-видимому, обусловлено особенностями течения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постэмболизационного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периода. Через 6 месяцев после ЭМА количество пациенток, у которых выявлялась анемия, в группе больных, не получавших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противорецидивное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гормональное лечение ГПЭ, было в 3 раза больше, чем во II группе. При этом показатели свертывающей системы крови пациенток исследуемых гру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пп в ср</w:t>
      </w:r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оки наблюдения находились в пределах нормативных значений. При изучении динамики размеров матки и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миоматозных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узлов после процедуры ЭМА оценивалась с помощью УЗИ в течение 12 месяцев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постэмболизационного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периода. Установлено, что объем матки у всех пациенток через год после ЭМА уменьшился в 2,2 раза и практически соответствовал нормальному показателю. У пациенток I группы произошло уменьшение объема узлов в 5 раз, у больных II группы – в 4,5 раза во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II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подгруппе и в 4,3 раза во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IIб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подгруппе. 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 xml:space="preserve">При УЗИ эндометрия у пациенток с миомой матки и гиперплазией после ЭМА средние значения М-эхо были достоверно ниже через 3 и 6 месяцев, чем до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эмболизации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; причем, в группе </w:t>
      </w:r>
      <w:r w:rsidRPr="002168B0">
        <w:rPr>
          <w:rFonts w:ascii="Times New Roman" w:hAnsi="Times New Roman" w:cs="Times New Roman"/>
          <w:sz w:val="28"/>
          <w:szCs w:val="28"/>
        </w:rPr>
        <w:lastRenderedPageBreak/>
        <w:t xml:space="preserve">пациенток с 32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Annali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d’Italia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№7/2020 миомой матки, которым назначалась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противорецидивная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терапия ГПЭ после ЭМА средние показатели М-эхо были достоверно ниже, чем у пациенток I группы.</w:t>
      </w:r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Следует отметить, что в I группе показатель М-эхо через 6 месяцев после ЭМА превышал аналогичный показатель через 3 месяца после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эмболизации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, что свидетельствует о повышенном риске развития рецидива ГПЭ. Согласно данным морфологического исследования в течение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постэмболизационного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периода рецидивы ГПЭ наблюдались у 26,2% больных, которые не получали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противорецидивного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лечения ГПЭ после ЭМА (I группа); у 5,7% пациенток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II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подгруппы и у 3,9% больных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IIб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подгруппы. Достоверные различия в частоте развития рецидивов ГПЭ установлены между показателями в I группе и во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II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подгруппе больных. У пациенток репродуктивного возраста с миомой матки и гиперплазией эндометрия, которым после ЭМА назначался курс гормонального лечения ГПЭ с использованием препарата на основе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дидрогестерона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, после отмены гормональной терапии рецидивы типичной гиперплазии эндометрия наблюдаются в 3 – 3,5 раза реже, чем у больных, не получавших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противорецидивной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гормональной терапии. 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 xml:space="preserve">Развитие рецидива ГПЭ у больных миомой матки, получавших после ЭМА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диеногестсодержащий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монофазный оральный контрацептив в пролонгированном режиме в течение 6 месяцев, наблюдается достоверно реже, чем в отсутствие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противорецидивного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лечения – в 3,2%. При назначении пациенткам с миомой матки и ГПЭ в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постэмболизационном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периоде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диеногестсодержащего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монофазного орального контрацептива в пролонгированном режиме рецидивы гиперплазии эндометрия отмечаются в 2,2 раза реже, чем у больных</w:t>
      </w:r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применявших</w:t>
      </w:r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с данной целью аналог прогестерона. Таким образом, наиболее эффективным гормональным препаратом для предупреждения развития рецидива ГПЭ у больных в репродуктивном возрасте с сочетанной доброкачественной патологией энд</w:t>
      </w:r>
      <w:proofErr w:type="gramStart"/>
      <w:r w:rsidRPr="002168B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168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миометрия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после ЭМА, является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диеногестсодержащий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монофазный комбинированный оральный контрацептив, применяемый в течение 6 месяцев в пролонгированном режиме. </w:t>
      </w:r>
    </w:p>
    <w:p w:rsidR="001E27BF" w:rsidRDefault="002168B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E27BF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Pr="002168B0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противорецидивной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гормональной терапии гиперпластических процессов эндометрия в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постэмболизационном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периоде у больных миомой матки репродуктивного возраста позволяет существенно снизить риск развития рецидива доброкачественной патологии эндометрия и улучшить качество жизни пациенток. </w:t>
      </w:r>
    </w:p>
    <w:p w:rsidR="00946BFA" w:rsidRDefault="00946BFA" w:rsidP="001E27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7BF" w:rsidRPr="001E27BF" w:rsidRDefault="002168B0" w:rsidP="001E27B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1E27BF">
        <w:rPr>
          <w:rFonts w:ascii="Times New Roman" w:hAnsi="Times New Roman" w:cs="Times New Roman"/>
          <w:b/>
          <w:sz w:val="28"/>
          <w:szCs w:val="28"/>
        </w:rPr>
        <w:lastRenderedPageBreak/>
        <w:t>Список источников</w:t>
      </w:r>
    </w:p>
    <w:p w:rsidR="0094718A" w:rsidRPr="002168B0" w:rsidRDefault="002168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68B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Капранов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С.А., Гришин И.И., Озерова Р.И. Сочетанные гинекологические операции при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эмболизации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маточных артерий у больных миомой матки // Журнал акушерства и женских болезней специальный выпуск, материалы 3-го Международного Научного Конгресса «Новые технологии в акушерстве и гинекологии», 2011. - том LVII. - С.217-231. 2.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Каусева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О. И.,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Капранов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С.А.,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Доброхотова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Ю.Э. </w:t>
      </w:r>
      <w:proofErr w:type="spellStart"/>
      <w:r w:rsidRPr="002168B0">
        <w:rPr>
          <w:rFonts w:ascii="Times New Roman" w:hAnsi="Times New Roman" w:cs="Times New Roman"/>
          <w:sz w:val="28"/>
          <w:szCs w:val="28"/>
        </w:rPr>
        <w:t>Эмболизация</w:t>
      </w:r>
      <w:proofErr w:type="spellEnd"/>
      <w:r w:rsidRPr="002168B0">
        <w:rPr>
          <w:rFonts w:ascii="Times New Roman" w:hAnsi="Times New Roman" w:cs="Times New Roman"/>
          <w:sz w:val="28"/>
          <w:szCs w:val="28"/>
        </w:rPr>
        <w:t xml:space="preserve"> маточных артерий – как метод лечения миомы матки. Акушерство и гинекология: современность и традиции. // Юбилейный сборник научных работ, посвященный 5-летию кафедры акушерства и гинекологии Московского факультета РГМУ. М., 2008. С</w:t>
      </w:r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. 5-11. 3. </w:t>
      </w:r>
      <w:proofErr w:type="gramStart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Siskin G.O., Eaton L.A. Jr., </w:t>
      </w:r>
      <w:proofErr w:type="spellStart"/>
      <w:r w:rsidRPr="002168B0">
        <w:rPr>
          <w:rFonts w:ascii="Times New Roman" w:hAnsi="Times New Roman" w:cs="Times New Roman"/>
          <w:sz w:val="28"/>
          <w:szCs w:val="28"/>
          <w:lang w:val="en-US"/>
        </w:rPr>
        <w:t>Stainken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B.F. et al. J. </w:t>
      </w:r>
      <w:proofErr w:type="spellStart"/>
      <w:r w:rsidRPr="002168B0">
        <w:rPr>
          <w:rFonts w:ascii="Times New Roman" w:hAnsi="Times New Roman" w:cs="Times New Roman"/>
          <w:sz w:val="28"/>
          <w:szCs w:val="28"/>
          <w:lang w:val="en-US"/>
        </w:rPr>
        <w:t>Vasc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168B0">
        <w:rPr>
          <w:rFonts w:ascii="Times New Roman" w:hAnsi="Times New Roman" w:cs="Times New Roman"/>
          <w:sz w:val="28"/>
          <w:szCs w:val="28"/>
          <w:lang w:val="en-US"/>
        </w:rPr>
        <w:t>Interv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168B0">
        <w:rPr>
          <w:rFonts w:ascii="Times New Roman" w:hAnsi="Times New Roman" w:cs="Times New Roman"/>
          <w:sz w:val="28"/>
          <w:szCs w:val="28"/>
          <w:lang w:val="en-US"/>
        </w:rPr>
        <w:t>Radiol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168B0">
        <w:rPr>
          <w:rFonts w:ascii="Times New Roman" w:hAnsi="Times New Roman" w:cs="Times New Roman"/>
          <w:sz w:val="28"/>
          <w:szCs w:val="28"/>
          <w:lang w:val="en-US"/>
        </w:rPr>
        <w:t>2010; 10: 891–894.</w:t>
      </w:r>
      <w:proofErr w:type="gram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4. Healey S., </w:t>
      </w:r>
      <w:proofErr w:type="spellStart"/>
      <w:r w:rsidRPr="002168B0">
        <w:rPr>
          <w:rFonts w:ascii="Times New Roman" w:hAnsi="Times New Roman" w:cs="Times New Roman"/>
          <w:sz w:val="28"/>
          <w:szCs w:val="28"/>
          <w:lang w:val="en-US"/>
        </w:rPr>
        <w:t>Buzaglo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K., </w:t>
      </w:r>
      <w:proofErr w:type="spellStart"/>
      <w:r w:rsidRPr="002168B0">
        <w:rPr>
          <w:rFonts w:ascii="Times New Roman" w:hAnsi="Times New Roman" w:cs="Times New Roman"/>
          <w:sz w:val="28"/>
          <w:szCs w:val="28"/>
          <w:lang w:val="en-US"/>
        </w:rPr>
        <w:t>Seti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L., et al. Ovarian function after uterine artery embolization and hysterectomy. J Am </w:t>
      </w:r>
      <w:proofErr w:type="spellStart"/>
      <w:r w:rsidRPr="002168B0">
        <w:rPr>
          <w:rFonts w:ascii="Times New Roman" w:hAnsi="Times New Roman" w:cs="Times New Roman"/>
          <w:sz w:val="28"/>
          <w:szCs w:val="28"/>
          <w:lang w:val="en-US"/>
        </w:rPr>
        <w:t>Assoc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68B0">
        <w:rPr>
          <w:rFonts w:ascii="Times New Roman" w:hAnsi="Times New Roman" w:cs="Times New Roman"/>
          <w:sz w:val="28"/>
          <w:szCs w:val="28"/>
          <w:lang w:val="en-US"/>
        </w:rPr>
        <w:t>Gynecol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68B0">
        <w:rPr>
          <w:rFonts w:ascii="Times New Roman" w:hAnsi="Times New Roman" w:cs="Times New Roman"/>
          <w:sz w:val="28"/>
          <w:szCs w:val="28"/>
          <w:lang w:val="en-US"/>
        </w:rPr>
        <w:t>Laparosc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2014; 11 (3): 348- 52. 5. Richter G.M., </w:t>
      </w:r>
      <w:proofErr w:type="spellStart"/>
      <w:r w:rsidRPr="002168B0">
        <w:rPr>
          <w:rFonts w:ascii="Times New Roman" w:hAnsi="Times New Roman" w:cs="Times New Roman"/>
          <w:sz w:val="28"/>
          <w:szCs w:val="28"/>
          <w:lang w:val="en-US"/>
        </w:rPr>
        <w:t>Radeleff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B., </w:t>
      </w:r>
      <w:proofErr w:type="spellStart"/>
      <w:r w:rsidRPr="002168B0">
        <w:rPr>
          <w:rFonts w:ascii="Times New Roman" w:hAnsi="Times New Roman" w:cs="Times New Roman"/>
          <w:sz w:val="28"/>
          <w:szCs w:val="28"/>
          <w:lang w:val="en-US"/>
        </w:rPr>
        <w:t>Rimbach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S., Kauffmann G.W. CIRSE. Annual Meeting and Postgraduate Course of the Cardiovascular and Interventional Radiological Society of Europe; 2013: 56. 6. Pelage J.P., Le </w:t>
      </w:r>
      <w:proofErr w:type="spellStart"/>
      <w:r w:rsidRPr="002168B0">
        <w:rPr>
          <w:rFonts w:ascii="Times New Roman" w:hAnsi="Times New Roman" w:cs="Times New Roman"/>
          <w:sz w:val="28"/>
          <w:szCs w:val="28"/>
          <w:lang w:val="en-US"/>
        </w:rPr>
        <w:t>Dref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O., </w:t>
      </w:r>
      <w:proofErr w:type="spellStart"/>
      <w:r w:rsidRPr="002168B0">
        <w:rPr>
          <w:rFonts w:ascii="Times New Roman" w:hAnsi="Times New Roman" w:cs="Times New Roman"/>
          <w:sz w:val="28"/>
          <w:szCs w:val="28"/>
          <w:lang w:val="en-US"/>
        </w:rPr>
        <w:t>Soyer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P. et al. </w:t>
      </w:r>
      <w:proofErr w:type="spellStart"/>
      <w:r w:rsidRPr="002168B0">
        <w:rPr>
          <w:rFonts w:ascii="Times New Roman" w:hAnsi="Times New Roman" w:cs="Times New Roman"/>
          <w:sz w:val="28"/>
          <w:szCs w:val="28"/>
          <w:lang w:val="en-US"/>
        </w:rPr>
        <w:t>Fibroidrelated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menorrhagia: treatment with </w:t>
      </w:r>
      <w:proofErr w:type="spellStart"/>
      <w:r w:rsidRPr="002168B0">
        <w:rPr>
          <w:rFonts w:ascii="Times New Roman" w:hAnsi="Times New Roman" w:cs="Times New Roman"/>
          <w:sz w:val="28"/>
          <w:szCs w:val="28"/>
          <w:lang w:val="en-US"/>
        </w:rPr>
        <w:t>superselective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embolization of the uterine arteries and mid-term </w:t>
      </w:r>
      <w:proofErr w:type="spellStart"/>
      <w:r w:rsidRPr="002168B0">
        <w:rPr>
          <w:rFonts w:ascii="Times New Roman" w:hAnsi="Times New Roman" w:cs="Times New Roman"/>
          <w:sz w:val="28"/>
          <w:szCs w:val="28"/>
          <w:lang w:val="en-US"/>
        </w:rPr>
        <w:t>followup</w:t>
      </w:r>
      <w:proofErr w:type="spellEnd"/>
      <w:r w:rsidRPr="002168B0">
        <w:rPr>
          <w:rFonts w:ascii="Times New Roman" w:hAnsi="Times New Roman" w:cs="Times New Roman"/>
          <w:sz w:val="28"/>
          <w:szCs w:val="28"/>
          <w:lang w:val="en-US"/>
        </w:rPr>
        <w:t xml:space="preserve"> // Radiology. – 2010. – Vol. 215. – P. 428-431.</w:t>
      </w:r>
    </w:p>
    <w:sectPr w:rsidR="0094718A" w:rsidRPr="00216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A5"/>
    <w:rsid w:val="001E27BF"/>
    <w:rsid w:val="002168B0"/>
    <w:rsid w:val="003A5BA5"/>
    <w:rsid w:val="00946BFA"/>
    <w:rsid w:val="0094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7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7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2020-06-19T20:40:00Z</dcterms:created>
  <dcterms:modified xsi:type="dcterms:W3CDTF">2020-06-19T20:40:00Z</dcterms:modified>
</cp:coreProperties>
</file>