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63A" w:rsidRPr="00EB163A" w:rsidRDefault="00EB163A" w:rsidP="00EB163A">
      <w:pPr>
        <w:spacing w:after="0" w:line="360" w:lineRule="exact"/>
        <w:jc w:val="center"/>
        <w:rPr>
          <w:rFonts w:ascii="Times New Roman" w:eastAsia="Calibri" w:hAnsi="Times New Roman" w:cs="Times New Roman"/>
          <w:b/>
          <w:sz w:val="28"/>
          <w:szCs w:val="28"/>
          <w:lang w:val="uk-UA"/>
        </w:rPr>
      </w:pPr>
      <w:bookmarkStart w:id="0" w:name="_GoBack"/>
      <w:r w:rsidRPr="00EB163A">
        <w:rPr>
          <w:rFonts w:ascii="Times New Roman" w:eastAsia="Calibri" w:hAnsi="Times New Roman" w:cs="Times New Roman"/>
          <w:b/>
          <w:sz w:val="28"/>
          <w:szCs w:val="28"/>
          <w:lang w:val="uk-UA"/>
        </w:rPr>
        <w:t>ВПЛИВ ФАКТОРІВ РИЗИКУ НА ВИНИКНЕННЯ</w:t>
      </w:r>
    </w:p>
    <w:p w:rsidR="00EB163A" w:rsidRPr="00EB163A" w:rsidRDefault="00EB163A" w:rsidP="00EB163A">
      <w:pPr>
        <w:spacing w:after="240" w:line="360" w:lineRule="exact"/>
        <w:ind w:right="-1"/>
        <w:jc w:val="center"/>
        <w:rPr>
          <w:rFonts w:ascii="Times New Roman" w:eastAsia="Calibri" w:hAnsi="Times New Roman" w:cs="Times New Roman"/>
          <w:b/>
          <w:sz w:val="28"/>
          <w:szCs w:val="28"/>
          <w:lang w:val="uk-UA"/>
        </w:rPr>
      </w:pPr>
      <w:r w:rsidRPr="00EB163A">
        <w:rPr>
          <w:rFonts w:ascii="Times New Roman" w:eastAsia="Calibri" w:hAnsi="Times New Roman" w:cs="Times New Roman"/>
          <w:b/>
          <w:sz w:val="28"/>
          <w:szCs w:val="28"/>
          <w:lang w:val="uk-UA"/>
        </w:rPr>
        <w:t>ХРОНІЧНОГО ПАНКРЕАТИТУ СЕРЕД НАСЕЛЕННЯ</w:t>
      </w:r>
    </w:p>
    <w:bookmarkEnd w:id="0"/>
    <w:p w:rsidR="00EB163A" w:rsidRPr="00EB163A" w:rsidRDefault="00EB163A" w:rsidP="00EB163A">
      <w:pPr>
        <w:spacing w:after="0" w:line="360" w:lineRule="exact"/>
        <w:jc w:val="right"/>
        <w:rPr>
          <w:rFonts w:ascii="Times New Roman" w:eastAsia="Calibri" w:hAnsi="Times New Roman" w:cs="Times New Roman"/>
          <w:i/>
          <w:sz w:val="28"/>
          <w:szCs w:val="24"/>
          <w:lang w:val="uk-UA"/>
        </w:rPr>
      </w:pPr>
      <w:r w:rsidRPr="00EB163A">
        <w:rPr>
          <w:rFonts w:ascii="Times New Roman" w:eastAsia="Calibri" w:hAnsi="Times New Roman" w:cs="Times New Roman"/>
          <w:b/>
          <w:i/>
          <w:sz w:val="28"/>
          <w:szCs w:val="28"/>
          <w:lang w:val="uk-UA"/>
        </w:rPr>
        <w:t xml:space="preserve">Трегуб П.О., </w:t>
      </w:r>
      <w:r w:rsidRPr="00EB163A">
        <w:rPr>
          <w:rFonts w:ascii="Times New Roman" w:eastAsia="Calibri" w:hAnsi="Times New Roman" w:cs="Times New Roman"/>
          <w:i/>
          <w:sz w:val="28"/>
          <w:szCs w:val="24"/>
          <w:lang w:val="uk-UA"/>
        </w:rPr>
        <w:t>ХНМУ, Харків</w:t>
      </w:r>
    </w:p>
    <w:p w:rsidR="00EB163A" w:rsidRPr="00EB163A" w:rsidRDefault="00EB163A" w:rsidP="00EB163A">
      <w:pPr>
        <w:shd w:val="clear" w:color="auto" w:fill="FFFFFF"/>
        <w:spacing w:after="240" w:line="360" w:lineRule="exact"/>
        <w:jc w:val="right"/>
        <w:outlineLvl w:val="1"/>
        <w:rPr>
          <w:rFonts w:ascii="Times New Roman" w:eastAsia="Times New Roman" w:hAnsi="Times New Roman" w:cs="Times New Roman"/>
          <w:bCs/>
          <w:i/>
          <w:sz w:val="28"/>
          <w:szCs w:val="28"/>
          <w:lang w:val="uk-UA" w:eastAsia="ru-RU"/>
        </w:rPr>
      </w:pPr>
      <w:r w:rsidRPr="00EB163A">
        <w:rPr>
          <w:rFonts w:ascii="Times New Roman" w:eastAsia="Times New Roman" w:hAnsi="Times New Roman" w:cs="Times New Roman"/>
          <w:b/>
          <w:bCs/>
          <w:i/>
          <w:sz w:val="28"/>
          <w:szCs w:val="28"/>
          <w:lang w:val="uk-UA" w:eastAsia="ru-RU"/>
        </w:rPr>
        <w:t>Трегуб В.Л.,</w:t>
      </w:r>
      <w:r w:rsidRPr="00EB163A">
        <w:rPr>
          <w:rFonts w:ascii="Times New Roman" w:eastAsia="Times New Roman" w:hAnsi="Times New Roman" w:cs="Times New Roman"/>
          <w:bCs/>
          <w:i/>
          <w:sz w:val="28"/>
          <w:szCs w:val="28"/>
          <w:lang w:val="uk-UA" w:eastAsia="ru-RU"/>
        </w:rPr>
        <w:t xml:space="preserve"> КНП "Міська поліклініка № 26" Харківської міської ради, Харків</w:t>
      </w:r>
    </w:p>
    <w:p w:rsidR="00EB163A" w:rsidRPr="00EB163A" w:rsidRDefault="00EB163A" w:rsidP="00EB163A">
      <w:pPr>
        <w:spacing w:after="0" w:line="360" w:lineRule="exact"/>
        <w:ind w:firstLine="708"/>
        <w:jc w:val="both"/>
        <w:rPr>
          <w:rFonts w:ascii="Times New Roman" w:eastAsia="Calibri" w:hAnsi="Times New Roman" w:cs="Times New Roman"/>
          <w:b/>
          <w:sz w:val="28"/>
          <w:szCs w:val="28"/>
          <w:lang w:val="uk-UA"/>
        </w:rPr>
      </w:pPr>
      <w:r w:rsidRPr="00EB163A">
        <w:rPr>
          <w:rFonts w:ascii="Times New Roman" w:eastAsia="Times New Roman" w:hAnsi="Times New Roman" w:cs="Times New Roman"/>
          <w:sz w:val="28"/>
          <w:szCs w:val="24"/>
          <w:lang w:val="uk-UA" w:eastAsia="ru-RU"/>
        </w:rPr>
        <w:t>Аналіз особливостей поширеності хронічного панкреатиту серед населення, а також питань патогенезу і етіології дає можливість визначити певні фактори ризику виникнення цього захворювання, що в свою чергу дозволить удосконалити медичну допомогу та реабілітацію даного контингенту населення. Хронічний панкреатит є поліетіологічним захворюванням. Фактори, що впливають на виникнення та прогресування хронічного панкреатиту ряд авторів умовно розділяють на ендогенні та екзогенні фактори [1, с. 10]. До ендогенних факторів ризику відносять спадкові та генетичні фактори, метаболічні порушення, гормональні порушення, а також виробляння аутоантитіл. Серед основних екзогенних факторів виділяють хронічне вживання алкоголю, тютюнопаління, вживання жирної, гострої, смаженої їжі, вплив стресових факторів та інші</w:t>
      </w:r>
      <w:r w:rsidRPr="00EB163A">
        <w:rPr>
          <w:rFonts w:ascii="Calibri" w:eastAsia="Calibri" w:hAnsi="Calibri" w:cs="Times New Roman"/>
          <w:lang w:val="uk-UA"/>
        </w:rPr>
        <w:t xml:space="preserve"> </w:t>
      </w:r>
      <w:r w:rsidRPr="00EB163A">
        <w:rPr>
          <w:rFonts w:ascii="Times New Roman" w:eastAsia="Times New Roman" w:hAnsi="Times New Roman" w:cs="Times New Roman"/>
          <w:sz w:val="28"/>
          <w:szCs w:val="24"/>
          <w:lang w:val="uk-UA" w:eastAsia="ru-RU"/>
        </w:rPr>
        <w:t xml:space="preserve">[2, с. 81]. </w:t>
      </w:r>
      <w:r w:rsidRPr="00EB163A">
        <w:rPr>
          <w:rFonts w:ascii="Times New Roman" w:eastAsia="Calibri" w:hAnsi="Times New Roman" w:cs="Times New Roman"/>
          <w:sz w:val="28"/>
          <w:szCs w:val="28"/>
          <w:lang w:val="uk-UA"/>
        </w:rPr>
        <w:t>Дослідження проведено серед госпіталізованих хворих на хронічний панкреатит, кількістю 300 та 200 осіб контрольної групи.</w:t>
      </w:r>
      <w:r w:rsidRPr="00EB163A">
        <w:rPr>
          <w:rFonts w:ascii="Times New Roman" w:eastAsia="Calibri" w:hAnsi="Times New Roman" w:cs="Times New Roman"/>
          <w:sz w:val="28"/>
          <w:szCs w:val="28"/>
        </w:rPr>
        <w:t xml:space="preserve"> </w:t>
      </w:r>
      <w:r w:rsidRPr="00EB163A">
        <w:rPr>
          <w:rFonts w:ascii="Times New Roman" w:eastAsia="Calibri" w:hAnsi="Times New Roman" w:cs="Times New Roman"/>
          <w:sz w:val="28"/>
          <w:szCs w:val="28"/>
          <w:lang w:val="uk-UA"/>
        </w:rPr>
        <w:t>При проведенні дослідження було виявлено 26 факторів ризику, що мали достовірну різницю між основною та контрольною групами. Отримані фактори ризику були розділені по групам на соціальні, біологічні та психологічні. Найбільший показник за силою впливу мають соціальні фактори ризику – 5,61; біологічні – 5,33; психологічні фактори ризику складає 4,75.</w:t>
      </w:r>
    </w:p>
    <w:p w:rsidR="00EB163A" w:rsidRPr="00EB163A" w:rsidRDefault="00EB163A" w:rsidP="00EB163A">
      <w:pPr>
        <w:spacing w:after="0" w:line="360" w:lineRule="exact"/>
        <w:ind w:firstLine="709"/>
        <w:jc w:val="both"/>
        <w:rPr>
          <w:rFonts w:ascii="Times New Roman" w:eastAsia="Calibri" w:hAnsi="Times New Roman" w:cs="Times New Roman"/>
          <w:sz w:val="28"/>
          <w:szCs w:val="28"/>
          <w:lang w:val="uk-UA"/>
        </w:rPr>
      </w:pPr>
      <w:r w:rsidRPr="00EB163A">
        <w:rPr>
          <w:rFonts w:ascii="Times New Roman" w:eastAsia="Calibri" w:hAnsi="Times New Roman" w:cs="Times New Roman"/>
          <w:sz w:val="28"/>
          <w:szCs w:val="28"/>
          <w:lang w:val="uk-UA"/>
        </w:rPr>
        <w:t>Відтак, застосована в дослідженні методика диференційованого вивчення впливу соціальних, біологічних і психологічних факторів ризику хворих на хронічний панкреатит, порівняно з контрольною групою дала можливість виявити фактори ризику хронічного панкреатиту та проаналізувати їх.</w:t>
      </w:r>
    </w:p>
    <w:p w:rsidR="00EB163A" w:rsidRPr="00EB163A" w:rsidRDefault="00EB163A" w:rsidP="00EB163A">
      <w:pPr>
        <w:keepNext/>
        <w:spacing w:before="240" w:after="0" w:line="360" w:lineRule="exact"/>
        <w:jc w:val="center"/>
        <w:rPr>
          <w:rFonts w:ascii="Times New Roman" w:eastAsia="Calibri" w:hAnsi="Times New Roman" w:cs="Times New Roman"/>
          <w:b/>
          <w:sz w:val="28"/>
          <w:szCs w:val="28"/>
          <w:lang w:val="uk-UA"/>
        </w:rPr>
      </w:pPr>
      <w:r w:rsidRPr="00EB163A">
        <w:rPr>
          <w:rFonts w:ascii="Times New Roman" w:eastAsia="Calibri" w:hAnsi="Times New Roman" w:cs="Times New Roman"/>
          <w:b/>
          <w:sz w:val="28"/>
          <w:szCs w:val="28"/>
          <w:lang w:val="uk-UA"/>
        </w:rPr>
        <w:t>Перелік використаних джерел:</w:t>
      </w:r>
    </w:p>
    <w:p w:rsidR="00EB163A" w:rsidRPr="00EB163A" w:rsidRDefault="00EB163A" w:rsidP="00EB163A">
      <w:pPr>
        <w:spacing w:after="0" w:line="360" w:lineRule="exact"/>
        <w:ind w:firstLine="709"/>
        <w:jc w:val="both"/>
        <w:rPr>
          <w:rFonts w:ascii="Times New Roman" w:eastAsia="Calibri" w:hAnsi="Times New Roman" w:cs="Times New Roman"/>
          <w:sz w:val="28"/>
          <w:szCs w:val="28"/>
        </w:rPr>
      </w:pPr>
      <w:r w:rsidRPr="00EB163A">
        <w:rPr>
          <w:rFonts w:ascii="Times New Roman" w:eastAsia="Calibri" w:hAnsi="Times New Roman" w:cs="Times New Roman"/>
          <w:sz w:val="28"/>
          <w:szCs w:val="28"/>
        </w:rPr>
        <w:t>1. </w:t>
      </w:r>
      <w:proofErr w:type="spellStart"/>
      <w:r w:rsidRPr="00EB163A">
        <w:rPr>
          <w:rFonts w:ascii="Times New Roman" w:eastAsia="Calibri" w:hAnsi="Times New Roman" w:cs="Times New Roman"/>
          <w:sz w:val="28"/>
          <w:szCs w:val="28"/>
        </w:rPr>
        <w:t>Решина</w:t>
      </w:r>
      <w:proofErr w:type="spellEnd"/>
      <w:r w:rsidRPr="00EB163A">
        <w:rPr>
          <w:rFonts w:ascii="Times New Roman" w:eastAsia="Calibri" w:hAnsi="Times New Roman" w:cs="Times New Roman"/>
          <w:sz w:val="28"/>
          <w:szCs w:val="28"/>
        </w:rPr>
        <w:t xml:space="preserve"> И.В., Калягин А.Н. Факторы риска, влияющие на прогрессирование хронического панкреатита. </w:t>
      </w:r>
      <w:r w:rsidRPr="00EB163A">
        <w:rPr>
          <w:rFonts w:ascii="Times New Roman" w:eastAsia="Calibri" w:hAnsi="Times New Roman" w:cs="Times New Roman"/>
          <w:i/>
          <w:sz w:val="28"/>
          <w:szCs w:val="28"/>
        </w:rPr>
        <w:t>Сибирский медицинский журнал</w:t>
      </w:r>
      <w:r w:rsidRPr="00EB163A">
        <w:rPr>
          <w:rFonts w:ascii="Times New Roman" w:eastAsia="Calibri" w:hAnsi="Times New Roman" w:cs="Times New Roman"/>
          <w:sz w:val="28"/>
          <w:szCs w:val="28"/>
        </w:rPr>
        <w:t>. 2007. № 1. С. 9–12.</w:t>
      </w:r>
    </w:p>
    <w:p w:rsidR="00EB163A" w:rsidRPr="00EB163A" w:rsidRDefault="00EB163A" w:rsidP="00EB163A">
      <w:pPr>
        <w:spacing w:after="0" w:line="360" w:lineRule="exact"/>
        <w:ind w:firstLine="709"/>
        <w:jc w:val="both"/>
        <w:rPr>
          <w:rFonts w:ascii="Times New Roman" w:eastAsia="Calibri" w:hAnsi="Times New Roman" w:cs="Times New Roman"/>
          <w:sz w:val="28"/>
          <w:szCs w:val="28"/>
        </w:rPr>
      </w:pPr>
      <w:r w:rsidRPr="00EB163A">
        <w:rPr>
          <w:rFonts w:ascii="Times New Roman" w:eastAsia="Calibri" w:hAnsi="Times New Roman" w:cs="Times New Roman"/>
          <w:sz w:val="28"/>
          <w:szCs w:val="28"/>
        </w:rPr>
        <w:t>2. </w:t>
      </w:r>
      <w:proofErr w:type="spellStart"/>
      <w:r w:rsidRPr="00EB163A">
        <w:rPr>
          <w:rFonts w:ascii="Times New Roman" w:eastAsia="Calibri" w:hAnsi="Times New Roman" w:cs="Times New Roman"/>
          <w:sz w:val="28"/>
          <w:szCs w:val="28"/>
        </w:rPr>
        <w:t>Решина</w:t>
      </w:r>
      <w:proofErr w:type="spellEnd"/>
      <w:r w:rsidRPr="00EB163A">
        <w:rPr>
          <w:rFonts w:ascii="Times New Roman" w:eastAsia="Calibri" w:hAnsi="Times New Roman" w:cs="Times New Roman"/>
          <w:sz w:val="28"/>
          <w:szCs w:val="28"/>
        </w:rPr>
        <w:t xml:space="preserve"> И.В. Некоторые факторы риска рецидивов хронического панкреатита. </w:t>
      </w:r>
      <w:r w:rsidRPr="00EB163A">
        <w:rPr>
          <w:rFonts w:ascii="Times New Roman" w:eastAsia="Calibri" w:hAnsi="Times New Roman" w:cs="Times New Roman"/>
          <w:i/>
          <w:sz w:val="28"/>
          <w:szCs w:val="28"/>
        </w:rPr>
        <w:t>Сибирский медицинский журнал</w:t>
      </w:r>
      <w:r w:rsidRPr="00EB163A">
        <w:rPr>
          <w:rFonts w:ascii="Times New Roman" w:eastAsia="Calibri" w:hAnsi="Times New Roman" w:cs="Times New Roman"/>
          <w:sz w:val="28"/>
          <w:szCs w:val="28"/>
        </w:rPr>
        <w:t>. 2013. № 5. С. 80–83.</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B23"/>
    <w:rsid w:val="00065AA0"/>
    <w:rsid w:val="001B11F9"/>
    <w:rsid w:val="00250D37"/>
    <w:rsid w:val="002F18D0"/>
    <w:rsid w:val="003019C4"/>
    <w:rsid w:val="00493F1B"/>
    <w:rsid w:val="005342EA"/>
    <w:rsid w:val="005B1A15"/>
    <w:rsid w:val="005F7DD7"/>
    <w:rsid w:val="006811F8"/>
    <w:rsid w:val="00707071"/>
    <w:rsid w:val="00736B23"/>
    <w:rsid w:val="008415C2"/>
    <w:rsid w:val="00A5025B"/>
    <w:rsid w:val="00A91018"/>
    <w:rsid w:val="00CC5365"/>
    <w:rsid w:val="00EB16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306</Words>
  <Characters>1748</Characters>
  <Application>Microsoft Office Word</Application>
  <DocSecurity>0</DocSecurity>
  <Lines>14</Lines>
  <Paragraphs>4</Paragraphs>
  <ScaleCrop>false</ScaleCrop>
  <Company>SPecialiST RePack</Company>
  <LinksUpToDate>false</LinksUpToDate>
  <CharactersWithSpaces>2050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2018-10-27T09:43:00Z</dcterms:created>
  <dcterms:modified xsi:type="dcterms:W3CDTF">2018-10-27T09:43:00Z</dcterms:modified>
</cp:coreProperties>
</file>