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Шутова Н.А.</w:t>
      </w:r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кандидат медичних наук, доцент</w:t>
      </w:r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доцент кафедри патофізіології ім. Д.О.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Альперна</w:t>
      </w:r>
      <w:proofErr w:type="spellEnd"/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proofErr w:type="spellStart"/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Сулхдост</w:t>
      </w:r>
      <w:proofErr w:type="spellEnd"/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І.О.</w:t>
      </w:r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кандидат медичних наук, доцент</w:t>
      </w:r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доцент кафедри патофізіології ім. Д.О.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Альперна</w:t>
      </w:r>
      <w:proofErr w:type="spellEnd"/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proofErr w:type="spellStart"/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Огнєва</w:t>
      </w:r>
      <w:proofErr w:type="spellEnd"/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Л.Г.</w:t>
      </w:r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асистент кафедри патофізіології ім. Д.О.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Альперна</w:t>
      </w:r>
      <w:proofErr w:type="spellEnd"/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627717" w:rsidRPr="00627717" w:rsidRDefault="00627717" w:rsidP="00627717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ВИЗНАЧЕННЯ ЗМІН АКТИВНОСТІ АНТИОКСИДАНТНОЇ СИСТЕМИ У ТКАНИНАХ НАДНИРНИКІВ ЩУРІВ ПІД ВПЛИВОМ ЕЛЕКТРОМАГНІТНОГО ВИПРОМІНЮВАННЯ</w:t>
      </w: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 статті надано дані про зміни активності антиоксидантної системи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щурів різного віку на тлі впливу патогенного екзогенного фактора  - електромагнітного випромінювання діапазону мобільного зв’язку.  Завдяки отриманим даним запропоновано опис можливої моделі патогенетичного  механізму дії ЕМВ на біологічні об’єкти. З’ясовано, що він є опосередкованим і може мати прогностичне значення для оцінки розвитку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ендотоксикозу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 організмі. </w:t>
      </w: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Ключові слова:</w:t>
      </w:r>
      <w:r w:rsidRPr="00627717">
        <w:rPr>
          <w:rFonts w:ascii="Times New Roman" w:eastAsia="Calibri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електромагнітне випромінювання, антиоксидантна система, ендогенна інтоксикація.</w:t>
      </w: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статье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приведены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данные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об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изменении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активности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антиоксидантной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системы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надпочечников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крыс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разного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возраста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фоне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воздействия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патогенного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экзогенного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фактора -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электромагнитного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излучения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диапазона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мобильной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связи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Благодаря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полученным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данным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предложено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описание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возможной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модели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патогенетического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механизма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действия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ЭМИ на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биологические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объекты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Выяснено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что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он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является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опосредованным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может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иметь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прогностическое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значение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оценки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развития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эндотоксикоза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организме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Ключевые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слова:</w:t>
      </w:r>
      <w:r w:rsidRPr="00627717">
        <w:rPr>
          <w:rFonts w:ascii="Times New Roman" w:eastAsia="Calibri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электромагнитное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излучение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антиоксидантная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система,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эндогенная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интоксикация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.</w:t>
      </w: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he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article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contains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data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about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changes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activity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antioxidant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system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of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rat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adrenal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all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ages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background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impact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exogenous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pathogenic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factor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-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electromagnetic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radiation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(EMR)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range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mobile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communications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Thanks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the received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d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ata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was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proposed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a description of a possible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model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of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pathogenetic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mechanism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action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electromagnetic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radiation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biological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objects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found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that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indirect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can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have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prognostic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value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assessment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development of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endotoxemia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body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Keywords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: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electromagnetic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radiation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antioxidant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system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endogenous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intoxication</w:t>
      </w:r>
      <w:proofErr w:type="spellEnd"/>
      <w:r w:rsidRPr="00627717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.</w:t>
      </w:r>
    </w:p>
    <w:p w:rsidR="00627717" w:rsidRPr="00627717" w:rsidRDefault="00627717" w:rsidP="00627717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Електромагнітне випромінювання (ЕМВ) – є одним із найменше досліджених видів патогенних екзогенних чинників, що впливає на життєдіяльність організму.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Багато авторів переконані, що ЕМВ шкідливо впливає на функціонування нервової, серцево-судинної, ендокринної,  імунної та ін.  систем організму [1-2]. Однак, з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алишається багато відкритих питань про механізми впливу його на біологічні об’єкти.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Встановлено, що фізично л</w:t>
      </w:r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юдина не відчуває вплив ЕМВ, однак наслідками впливу ЕМВ є розвиток патологічних процесів різного ступеню важкості. Аналіз даних літератури показує, що ЕМВ різної інтенсивності індукує достатньо</w:t>
      </w:r>
      <w:r w:rsidRPr="0062771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широкий спектр біологічних ефектів: термічних, резонансних, генетичних. П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оглинання ЕМВ тканинами організму завжди супроводжується підвищенням їх температури [3]. Одночасно із тепловим ефектом, ЕМВ оказує і резонансний, який проявляється</w:t>
      </w:r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зміною електронних структур, орієнтації і конформації біологічних макромолекул. В результаті в клітинах організму спостерігається зрушення молекул ДНК, АТФ,  підвищення проникності клітинних мембран для K+ і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Na+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підвищення концентрації вільних радикалів</w:t>
      </w:r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, що діють як агресивні окисники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провокують початок розвитку запальних процесів у всіх тканинах </w:t>
      </w:r>
      <w:r w:rsidRPr="00627717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[4]</w:t>
      </w:r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Інтенсивність утворення та накопичення вільних радикалів в організмі регулюється внутріклітинною антиоксидантною системою. Антиоксиданти захищають мембрани клітин від шкідливих ефектів і реакцій, які можуть викликати надлишкове окиснення в організмі, нейтралізують негативний вплив вільних радикалів, сприяють очищенню та оздоровленню організму, відновленню клітин, омолодженню шкіри. </w:t>
      </w:r>
      <w:r w:rsidRPr="0062771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 списку найбільш </w:t>
      </w:r>
      <w:r w:rsidRPr="0062771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інформативних показників антиоксидантного захисту організму, що відображають рівень </w:t>
      </w:r>
      <w:proofErr w:type="spellStart"/>
      <w:r w:rsidRPr="0062771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ендотоксикозу</w:t>
      </w:r>
      <w:proofErr w:type="spellEnd"/>
      <w:r w:rsidRPr="0062771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відносять активність каталази,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супероксиддисмутази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глутатіонзалежні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пероксидази і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трансферази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Дуже важливим моментом ефективності ферментного ланцюга антиоксидантної системи є збалансованість активності СОД, каталази і пероксидази [5]. Пригнічення активності одного із ферментів антиоксидантної системи може привести до надлишку накопичення активних форм кисню і деструкції клітин. Порушення цього балансу нерідко приводить до дестабілізації біологічних мембран, активації процесів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ліпопероксидації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активації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калікреїнкінінової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системи,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компліменту, порушенню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васкулярізації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оксигенаціі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трофіки тканин, потенціюванню специфічних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цитопатогенних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ефектів впливу бактеріальних токсинів. Тому, актуальним є з’ясування змін показників активності антиоксидантної системи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тлі впливу ЕМВ, які </w:t>
      </w:r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відіграють вирішальну роль саме у період росту та статевого дозрівання підлітків.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Мета</w:t>
      </w:r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27717">
        <w:rPr>
          <w:rFonts w:ascii="Times New Roman" w:eastAsia="Calibri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дослідження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– вивчення показників рівню каталази та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супероксиддисмутази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щурів 3-х та 5-ти місячного віку, що знаходились 2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год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доб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під впливом опромінення ЕМВ діапазону 895-905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МГц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uk-UA"/>
        </w:rPr>
        <w:t>Матеріали і методи.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Дослідження виконані на 24 щурах-самцях чистої лінії масою 100-140 г, віком 3-и та 5-ть місяців, по 6 тварин в кожній групі. Вік тварин підібрано відповідно таблиці періодизації віку тварин до віку людини і відповідає 14-15 и 19-21 рокам віку людини відповідно. </w:t>
      </w: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Модель впливу ЕМВ на організм відтворювали за допомогою апарату  «ЕМІБІО-1.1» (Україна), на який отримано патент [6]. Діапазон ЕМВ в експерименті дорівнював 895-905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МГц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Активність каталази і СОД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визначали колориметричним методом.</w:t>
      </w: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627717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Статистичну обробку результатів дослідження проводили з використанням t-критерію </w:t>
      </w:r>
      <w:proofErr w:type="spellStart"/>
      <w:r w:rsidRPr="00627717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Ст’юдента</w:t>
      </w:r>
      <w:proofErr w:type="spellEnd"/>
      <w:r w:rsidRPr="00627717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за допомогою методів варіаційної </w:t>
      </w:r>
      <w:r w:rsidRPr="00627717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>статистики (програми «БІОСТАТ»). Оцінювання вірогідності отриманих результатів здійснювали на рівні значимості не менше ніж 95% (р≤0,05) [7].</w:t>
      </w:r>
    </w:p>
    <w:p w:rsidR="00627717" w:rsidRPr="00627717" w:rsidRDefault="00627717" w:rsidP="00627717">
      <w:pPr>
        <w:spacing w:after="0" w:line="360" w:lineRule="auto"/>
        <w:ind w:left="74" w:firstLine="66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uk-UA"/>
        </w:rPr>
        <w:t>Обговорення отриманих результатів.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 ході експерименту було встановлено, що на тлі дії ЕМВ вміст каталази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у щурів 3-х місячного віку підвищено в 2,8 рази, також, спостерігається підвищення вмісту каталази у більш дорослих тварин (щури 5-ти місяців) в 1,2 рази у порівнянні із контрольною групою. Підвищення має достовірність р&lt;0,0001 і відповідає значенням 0,506±0,012 и 0,487±0,012. Такі показники можуть бути фактом стимуляції ферментативних систем клітин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патогенним впливом ЕМВ у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экспериментальных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тварин (Таблиця 1).</w:t>
      </w:r>
    </w:p>
    <w:p w:rsidR="00627717" w:rsidRPr="00627717" w:rsidRDefault="00627717" w:rsidP="00627717">
      <w:pPr>
        <w:spacing w:after="0" w:line="240" w:lineRule="auto"/>
        <w:ind w:left="74" w:firstLine="669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Таблиця 1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Активність </w:t>
      </w:r>
      <w:proofErr w:type="spellStart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каталазы</w:t>
      </w:r>
      <w:proofErr w:type="spellEnd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в </w:t>
      </w:r>
      <w:proofErr w:type="spellStart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щурів 3-х і 5-ти місяців на тлі впливу ЕМВ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12"/>
        <w:gridCol w:w="869"/>
        <w:gridCol w:w="956"/>
        <w:gridCol w:w="870"/>
        <w:gridCol w:w="870"/>
        <w:gridCol w:w="956"/>
        <w:gridCol w:w="956"/>
        <w:gridCol w:w="870"/>
        <w:gridCol w:w="956"/>
        <w:gridCol w:w="956"/>
      </w:tblGrid>
      <w:tr w:rsidR="00627717" w:rsidRPr="00627717" w:rsidTr="00566B99">
        <w:tc>
          <w:tcPr>
            <w:tcW w:w="1312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901" w:type="dxa"/>
            <w:gridSpan w:val="3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Каталаза 3 місяці</w:t>
            </w:r>
          </w:p>
        </w:tc>
        <w:tc>
          <w:tcPr>
            <w:tcW w:w="2961" w:type="dxa"/>
            <w:gridSpan w:val="3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Каталаза 5 </w:t>
            </w: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месяців</w:t>
            </w:r>
            <w:proofErr w:type="spellEnd"/>
          </w:p>
        </w:tc>
        <w:tc>
          <w:tcPr>
            <w:tcW w:w="2963" w:type="dxa"/>
            <w:gridSpan w:val="3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Порівняння </w:t>
            </w:r>
          </w:p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міс і 5 </w:t>
            </w: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месяців</w:t>
            </w:r>
            <w:proofErr w:type="spellEnd"/>
          </w:p>
        </w:tc>
      </w:tr>
      <w:tr w:rsidR="00627717" w:rsidRPr="00627717" w:rsidTr="00566B99">
        <w:tc>
          <w:tcPr>
            <w:tcW w:w="1312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Ср</w:t>
            </w:r>
            <w:proofErr w:type="spellEnd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±</w:t>
            </w: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Ср</w:t>
            </w:r>
            <w:proofErr w:type="spellEnd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±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Ср</w:t>
            </w:r>
            <w:proofErr w:type="spellEnd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1008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±</w:t>
            </w:r>
          </w:p>
        </w:tc>
        <w:tc>
          <w:tcPr>
            <w:tcW w:w="1008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</w:tr>
      <w:tr w:rsidR="00627717" w:rsidRPr="00627717" w:rsidTr="00566B99">
        <w:tc>
          <w:tcPr>
            <w:tcW w:w="1312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контроль</w:t>
            </w: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0,50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0,008</w:t>
            </w:r>
          </w:p>
        </w:tc>
        <w:tc>
          <w:tcPr>
            <w:tcW w:w="947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0,26</w:t>
            </w:r>
          </w:p>
          <w:p w:rsidR="00627717" w:rsidRPr="00627717" w:rsidRDefault="00627717" w:rsidP="0062771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0,40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0,008</w:t>
            </w:r>
          </w:p>
        </w:tc>
        <w:tc>
          <w:tcPr>
            <w:tcW w:w="1007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0,000</w:t>
            </w: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0,51</w:t>
            </w:r>
          </w:p>
        </w:tc>
        <w:tc>
          <w:tcPr>
            <w:tcW w:w="1008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0,004</w:t>
            </w:r>
          </w:p>
        </w:tc>
        <w:tc>
          <w:tcPr>
            <w:tcW w:w="1008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0,002</w:t>
            </w:r>
          </w:p>
        </w:tc>
      </w:tr>
      <w:tr w:rsidR="00627717" w:rsidRPr="00627717" w:rsidTr="00566B99">
        <w:tc>
          <w:tcPr>
            <w:tcW w:w="1312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опит</w:t>
            </w: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0,51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0,004</w:t>
            </w:r>
          </w:p>
        </w:tc>
        <w:tc>
          <w:tcPr>
            <w:tcW w:w="947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0,49</w:t>
            </w:r>
          </w:p>
        </w:tc>
        <w:tc>
          <w:tcPr>
            <w:tcW w:w="100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0,005</w:t>
            </w:r>
          </w:p>
        </w:tc>
        <w:tc>
          <w:tcPr>
            <w:tcW w:w="1007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47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0,49</w:t>
            </w:r>
          </w:p>
        </w:tc>
        <w:tc>
          <w:tcPr>
            <w:tcW w:w="1008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0,005</w:t>
            </w:r>
          </w:p>
        </w:tc>
        <w:tc>
          <w:tcPr>
            <w:tcW w:w="1008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Підвищеня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активності каталази в обох експериментальних групах тварин можливо пояснюється опосередкованою дією ЕМВ на клітинні структури організму в цілому, і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 тому числі. ЕМВ діє як екзогенний патогенний фактор, що провокує зрив одного з важливих механізмів знешкодження патогенних речовин і продуктів метаболізму – вільно-радикального окиснення, стимулює утворення вільних радикалів, які ініціюють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дизрегуляційні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явища у клітинах: розвиток окислювального стресу клітини, патогенний вплив на клітинні мембрани і внутріклітинні структури.   </w:t>
      </w: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Вивчаючи активність іншого ферменту антиоксидантної системи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– СОД – встановлено, що зміни його показники повторюють динаміку змін вмісту показників каталази. Після 2-х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год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доб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опромінення ЕМВ спостерігається підвищення кількісного вмісту цих антиоксидантних молекул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експериментальних тварин обох вікових 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>груп. Підвищення має достовірність р&lt;0,0001 і відповідає значенням 32,53±0,01 і 30,43±0,05 відповідно віку тварин  (Таблиця 2).</w:t>
      </w:r>
    </w:p>
    <w:p w:rsidR="00627717" w:rsidRPr="00627717" w:rsidRDefault="00627717" w:rsidP="00627717">
      <w:pPr>
        <w:spacing w:after="0" w:line="240" w:lineRule="auto"/>
        <w:ind w:firstLine="720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240" w:lineRule="auto"/>
        <w:ind w:firstLine="720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Таблиця 2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Активність СОД в </w:t>
      </w:r>
      <w:proofErr w:type="spellStart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щурів 3-х і 5-ти місяців на тлі впливу ЕМВ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13"/>
        <w:gridCol w:w="941"/>
        <w:gridCol w:w="870"/>
        <w:gridCol w:w="941"/>
        <w:gridCol w:w="941"/>
        <w:gridCol w:w="870"/>
        <w:gridCol w:w="941"/>
        <w:gridCol w:w="941"/>
        <w:gridCol w:w="871"/>
        <w:gridCol w:w="942"/>
      </w:tblGrid>
      <w:tr w:rsidR="00627717" w:rsidRPr="00627717" w:rsidTr="00566B99">
        <w:tc>
          <w:tcPr>
            <w:tcW w:w="992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859" w:type="dxa"/>
            <w:gridSpan w:val="3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СОД 3 міс</w:t>
            </w:r>
          </w:p>
        </w:tc>
        <w:tc>
          <w:tcPr>
            <w:tcW w:w="2859" w:type="dxa"/>
            <w:gridSpan w:val="3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СОД 5 міс</w:t>
            </w:r>
          </w:p>
        </w:tc>
        <w:tc>
          <w:tcPr>
            <w:tcW w:w="2861" w:type="dxa"/>
            <w:gridSpan w:val="3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Порівняння </w:t>
            </w:r>
          </w:p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міс і 5 </w:t>
            </w: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месяців</w:t>
            </w:r>
            <w:proofErr w:type="spellEnd"/>
          </w:p>
        </w:tc>
      </w:tr>
      <w:tr w:rsidR="00627717" w:rsidRPr="00627717" w:rsidTr="00566B99">
        <w:tc>
          <w:tcPr>
            <w:tcW w:w="992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Ср</w:t>
            </w:r>
            <w:proofErr w:type="spellEnd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919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±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Ср</w:t>
            </w:r>
            <w:proofErr w:type="spellEnd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919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±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Ср</w:t>
            </w:r>
            <w:proofErr w:type="spellEnd"/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92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±</w:t>
            </w:r>
          </w:p>
        </w:tc>
        <w:tc>
          <w:tcPr>
            <w:tcW w:w="971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</w:tr>
      <w:tr w:rsidR="00627717" w:rsidRPr="00627717" w:rsidTr="00566B99">
        <w:tc>
          <w:tcPr>
            <w:tcW w:w="992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контроль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29,48</w:t>
            </w:r>
          </w:p>
        </w:tc>
        <w:tc>
          <w:tcPr>
            <w:tcW w:w="919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0,91</w:t>
            </w:r>
          </w:p>
        </w:tc>
        <w:tc>
          <w:tcPr>
            <w:tcW w:w="970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0,012</w:t>
            </w:r>
          </w:p>
          <w:p w:rsidR="00627717" w:rsidRPr="00627717" w:rsidRDefault="00627717" w:rsidP="0062771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21,91</w:t>
            </w:r>
          </w:p>
        </w:tc>
        <w:tc>
          <w:tcPr>
            <w:tcW w:w="919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3,84</w:t>
            </w:r>
          </w:p>
        </w:tc>
        <w:tc>
          <w:tcPr>
            <w:tcW w:w="970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0,052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32,53</w:t>
            </w:r>
          </w:p>
        </w:tc>
        <w:tc>
          <w:tcPr>
            <w:tcW w:w="92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0,37</w:t>
            </w:r>
          </w:p>
        </w:tc>
        <w:tc>
          <w:tcPr>
            <w:tcW w:w="971" w:type="dxa"/>
            <w:vMerge w:val="restart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0,002</w:t>
            </w:r>
          </w:p>
        </w:tc>
      </w:tr>
      <w:tr w:rsidR="00627717" w:rsidRPr="00627717" w:rsidTr="00566B99">
        <w:tc>
          <w:tcPr>
            <w:tcW w:w="992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опит</w:t>
            </w: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32,53</w:t>
            </w:r>
          </w:p>
        </w:tc>
        <w:tc>
          <w:tcPr>
            <w:tcW w:w="919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0,38</w:t>
            </w:r>
          </w:p>
        </w:tc>
        <w:tc>
          <w:tcPr>
            <w:tcW w:w="970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30,42</w:t>
            </w:r>
          </w:p>
        </w:tc>
        <w:tc>
          <w:tcPr>
            <w:tcW w:w="919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0,43</w:t>
            </w:r>
          </w:p>
        </w:tc>
        <w:tc>
          <w:tcPr>
            <w:tcW w:w="970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7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30,32</w:t>
            </w:r>
          </w:p>
        </w:tc>
        <w:tc>
          <w:tcPr>
            <w:tcW w:w="920" w:type="dxa"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2771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0,37</w:t>
            </w:r>
          </w:p>
        </w:tc>
        <w:tc>
          <w:tcPr>
            <w:tcW w:w="971" w:type="dxa"/>
            <w:vMerge/>
          </w:tcPr>
          <w:p w:rsidR="00627717" w:rsidRPr="00627717" w:rsidRDefault="00627717" w:rsidP="0062771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627717" w:rsidRPr="00627717" w:rsidRDefault="00627717" w:rsidP="0062771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Відомо, що рівень активності СОД, який є відображенням активності антиоксидантної системи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відрізняється  в залежності від  віку тварин. Надалі було простежено кореляційні відмінності зміни функціональної активності антиоксидантної системи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на тлі дії ЕМВ у щурів обох груп. Відмічено, що на тлі дії ЕМВ спостерігається підвищення активності як каталази, так і СОД у порівнянні із контрольними показниками. Підвищення активності відмічено в обох вікових групах. Встановлено, що виразність показників підвищення активності антиоксидантної системи у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спостерігається у групі тварин, які відносяться до молодшої групи по відношенню до групи більш дорослих тварин (рис 1). </w:t>
      </w:r>
    </w:p>
    <w:p w:rsidR="00627717" w:rsidRPr="00627717" w:rsidRDefault="00627717" w:rsidP="00627717">
      <w:pPr>
        <w:spacing w:after="0" w:line="240" w:lineRule="auto"/>
        <w:ind w:left="74" w:hanging="74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021FC51" wp14:editId="02D97664">
            <wp:extent cx="3042877" cy="1997849"/>
            <wp:effectExtent l="0" t="0" r="5715" b="254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 w:rsidRPr="00627717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9F7EF7" wp14:editId="60D6C31D">
            <wp:extent cx="3019825" cy="1997849"/>
            <wp:effectExtent l="0" t="0" r="0" b="2540"/>
            <wp:docPr id="2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27717" w:rsidRPr="00627717" w:rsidRDefault="00627717" w:rsidP="00627717">
      <w:pPr>
        <w:spacing w:after="0" w:line="240" w:lineRule="auto"/>
        <w:ind w:left="74" w:hanging="74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</w:t>
      </w:r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а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</w:t>
      </w:r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б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Рис. 1. Активність </w:t>
      </w:r>
      <w:proofErr w:type="spellStart"/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каталазы</w:t>
      </w:r>
      <w:proofErr w:type="spellEnd"/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(а) та СОД (б) в </w:t>
      </w:r>
      <w:proofErr w:type="spellStart"/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щурів 3-х і 5-ти місяців на тлі впливу ЕМВ  </w:t>
      </w:r>
    </w:p>
    <w:p w:rsidR="00627717" w:rsidRPr="00627717" w:rsidRDefault="00627717" w:rsidP="00627717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Так, п</w:t>
      </w:r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ри порівнянні показників </w:t>
      </w:r>
      <w:proofErr w:type="spellStart"/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>активности</w:t>
      </w:r>
      <w:proofErr w:type="spellEnd"/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каталази у </w:t>
      </w:r>
      <w:proofErr w:type="spellStart"/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>гомогенаті</w:t>
      </w:r>
      <w:proofErr w:type="spellEnd"/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3-х місячних щурів із групою 5-ти місячних щурів встановлено, що активність каталази підвищена у 2 рази більше, ніж її активність у дорослих тварин. Активність СОД, також, більша по показникам на 34%  при (р&lt;0,001) у щурів молодшої групи: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у щурів 3-х місячного віку експериментальні показники вмісту СОД перевищують контрольні в 2,6 рази, а в групі 5-ти місячних тварин в 1,8 рази. Це може свідчити про нестабільність захисних систем клітинних мембран організму і більшу вразливість до дії ЕМВ організму, який розвивається.</w:t>
      </w:r>
    </w:p>
    <w:p w:rsidR="00627717" w:rsidRPr="00627717" w:rsidRDefault="00627717" w:rsidP="0062771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Дані експерименту підтверджують, що ЕМВ – є патогенним екзогенним чинником, який викликає появу вільних радикалів, які запускають ланцюг патогенних механізмів, і наприкінці призведе до розвитку ендогенної інтоксикації в тканинах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. Біохімічні дослідження параметрів антиоксидантної системи, зокрема показники функціональної 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активності каталази, є прогностично значущими для оцінки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ендотоксикозу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. Підвищений рівень ферментів антиоксидантної системи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може свідчити про розвиток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ендотоксикозу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 обох групах тварин.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2771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 зроблені в результаті дослідження.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Відомо, що зрушення структурно-функціональної організації мембрани клітин визиває процеси вільно радикального окиснення і може відбуватися в результаті прямої або опосередкованої дії різних патогенних екзогенних факторів [8]. 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Більшість науковців, на сьогодні, єдині у тому, що дія ЕМВ на біологічні системи є опосередкованою. Це підтверджують і наші дослідження. Непряма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пошкоджуюча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дія ЕМВ на мембрану клітин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відбувається через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запуск механізмів порушення метаболічних процесів у нирках, яким належить роль підтримки сталості внутрішнього середовища організму. Взаємодія  інтегрованих систем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гіпоталамо-гіпофізарно-наднирникової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поєднанні із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симпато-адреналовою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ренін-ангіотензиновою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системами відіграють провідну роль у забезпеченні захисно-пристосувальних реакцій в умовах впливу несприятливих факторів [9].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Дизрегуляція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кожної із інтегративних систем може виникнути, як при її безпосередньому пошкодженні, так і внаслідок патогенних впливів з боку порушеннях інших, інтегрованих із нею систем. Порушення функції хоча б в одній із інтегрованих між собою систем, призведе до зриву адаптаційно-пристосувальних реакцій спрямованих на збереження гомеостазу всього організму. Так, зниження 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секреції альдостерону, посилення екскреції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Na</w:t>
      </w:r>
      <w:r w:rsidRPr="00627717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+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води, дегідратація тканин,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гіповолемія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можуть посилити процеси стійкого підвищення артеріального тиску, і в результаті розвиток гіпертензій, можливо навіть у підлітків. Концентрація К</w:t>
      </w:r>
      <w:r w:rsidRPr="00627717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периферичній крові при цьому, навпаки,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может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підвищуватися, що призведе до зрушень електричної стабільності серця і розвитку аритмій.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Посредством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механизмов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обратной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связи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гіпонатриемії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гіперкаліемії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також може бути посилена продукція альдостерону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[10]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proofErr w:type="spellStart"/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Выводы</w:t>
      </w:r>
      <w:proofErr w:type="spellEnd"/>
      <w:r w:rsidRPr="00627717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.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 xml:space="preserve">1. ЕМВ діапазону мобільного зв’язку має опосередкований вплив на залози внутрішньої секреції щурів 3-х та 5-ти місяців. У щурів обох груп на тлі дії ЕМВ діапазону мобільного зв’язку спостерігається підвищення активності антиоксидантної системи у тканинах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2. Встановлено, що активність антиоксидантної системи більше виразна у 3-х місячних щурів, що відповідає підлітковому віку людини. Найбільш чутливим до ЕМВ – є біологічний об’єкт, який знаходиться у стадії активного ділення та розвитку.</w:t>
      </w:r>
    </w:p>
    <w:p w:rsidR="00627717" w:rsidRPr="00627717" w:rsidRDefault="00627717" w:rsidP="00627717">
      <w:pPr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3.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Предполагают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что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ЕМВ діапазону мобільного зв’язку активує процеси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дизрегуляції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наднирниках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що сприяє розвитку ендогенної інтоксикації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наднирників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</w:p>
    <w:p w:rsidR="00627717" w:rsidRPr="00627717" w:rsidRDefault="00627717" w:rsidP="0062771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napToGrid w:val="0"/>
          <w:sz w:val="28"/>
          <w:szCs w:val="28"/>
          <w:lang w:val="uk-UA" w:eastAsia="ru-RU"/>
        </w:rPr>
      </w:pPr>
      <w:proofErr w:type="spellStart"/>
      <w:r w:rsidRPr="00627717">
        <w:rPr>
          <w:rFonts w:ascii="Times New Roman" w:eastAsia="Calibri" w:hAnsi="Times New Roman" w:cs="Times New Roman"/>
          <w:b/>
          <w:bCs/>
          <w:snapToGrid w:val="0"/>
          <w:sz w:val="28"/>
          <w:szCs w:val="28"/>
          <w:lang w:val="uk-UA" w:eastAsia="ru-RU"/>
        </w:rPr>
        <w:t>Литература</w:t>
      </w:r>
      <w:proofErr w:type="spellEnd"/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napToGrid w:val="0"/>
          <w:sz w:val="28"/>
          <w:szCs w:val="28"/>
          <w:lang w:val="uk-UA" w:eastAsia="ru-RU"/>
        </w:rPr>
        <w:t xml:space="preserve">1.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Баранский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П.И., Гайдар А.В.,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Чижевский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А.Л.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Проблемы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взаимодействия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магнитных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полей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объектами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живой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природы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//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Вестн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Калуж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ун-та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– 2007. – № 3. – С. 37-41. 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napToGrid w:val="0"/>
          <w:sz w:val="28"/>
          <w:szCs w:val="28"/>
          <w:lang w:val="uk-UA" w:eastAsia="ru-RU"/>
        </w:rPr>
        <w:t xml:space="preserve">2.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Бинги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В.Н., Савин А.В.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Физические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проблемы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действия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слабых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магнитных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полей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биологические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системы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/ В.Н.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Бинги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А.В. Савин // УФН, 2003. – Т. 173. – № 3. – С. 265 - 300.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napToGrid w:val="0"/>
          <w:sz w:val="28"/>
          <w:szCs w:val="28"/>
          <w:lang w:val="uk-UA" w:eastAsia="ru-RU"/>
        </w:rPr>
        <w:t xml:space="preserve">3. </w:t>
      </w:r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Blackman C.F Biological effects of electromagnetic waves / C.F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Blackman, M.C.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Surles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</w:t>
      </w:r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S.C.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Benane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// J.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Microw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Power. – 1976. – V. 14(3). – </w:t>
      </w:r>
      <w:proofErr w:type="gram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</w:t>
      </w:r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. 275</w:t>
      </w:r>
      <w:proofErr w:type="gram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-280.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4. Н.П.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Чеснокова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Е.В.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Понукалина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М.Н.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Бизенкова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Г.В.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Афанасьева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Молекулярно-клеточные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механизмы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индукции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свободнорадикального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окисления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условиях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патологии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Чеснокова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Н.П.,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Понукалина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Е.В.,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Бизенкова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М.Н.,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Афанасьева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Г.В. //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Современные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проблемы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науки 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образования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. – 2006. – № 6. – С. 21-26.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5. Рязанцева Л.Т.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Ферменты-антиоксиданты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структурно-функциональные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свойства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и роль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регулировании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метаболических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процессов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 Л.Т. Рязанцева //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Вестн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Воронежского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гос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техн.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ун-та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. – 2011. – Т. 7. – № 2. – С. 126-129.</w:t>
      </w:r>
    </w:p>
    <w:p w:rsidR="00627717" w:rsidRPr="00627717" w:rsidRDefault="00627717" w:rsidP="00627717">
      <w:pPr>
        <w:spacing w:after="0" w:line="360" w:lineRule="auto"/>
        <w:ind w:firstLine="36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lastRenderedPageBreak/>
        <w:t xml:space="preserve">6.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Пат. № 110205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А61В 5/04 (2006.01),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01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33/48(2006.01),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01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33/96(2006.01),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5/00(2006.01) Пристрій для електромагнітного опромінювання дрібних лабораторних тварин / Ніколаєва О.В., Шутова Н.А.,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Сулхдост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І.А. (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); заявник Харківський національний медичний університет (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–  № 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2016 04126,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заявл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15.04.2016;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опубл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26.09.2016. </w:t>
      </w:r>
      <w:proofErr w:type="spellStart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Бюл</w:t>
      </w:r>
      <w:proofErr w:type="spellEnd"/>
      <w:r w:rsidRPr="006277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№ 18. – 5 с.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7.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Чевари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С.,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Чаба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И.,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Секей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Й. Роль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супероксиддисмутазы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окислительных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процессах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клетки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и метод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определения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ее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биологических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материалах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 С.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Чевари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, И.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Чаба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Й.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Секей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Лабораторное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дело.–1985.– №11. – С. 678-681.</w:t>
      </w:r>
    </w:p>
    <w:p w:rsidR="00627717" w:rsidRPr="00627717" w:rsidRDefault="00627717" w:rsidP="0062771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8. Медик В.А.,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Токмачев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М.С.,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Фишман</w:t>
      </w:r>
      <w:proofErr w:type="spellEnd"/>
      <w:r w:rsidRPr="00627717">
        <w:rPr>
          <w:rFonts w:ascii="Calibri" w:eastAsia="Calibri" w:hAnsi="Calibri" w:cs="Times New Roman"/>
          <w:lang w:val="uk-UA"/>
        </w:rPr>
        <w:fldChar w:fldCharType="begin"/>
      </w:r>
      <w:r w:rsidRPr="00627717">
        <w:rPr>
          <w:rFonts w:ascii="Calibri" w:eastAsia="Calibri" w:hAnsi="Calibri" w:cs="Times New Roman"/>
          <w:lang w:val="uk-UA"/>
        </w:rPr>
        <w:instrText xml:space="preserve"> HYPERLINK "http://www.ozon.ru/context/detail/id/1015021/" \l "persons#persons" \o "В. А. Медик , М. С. Токмачев, Б. Б. Фишман" </w:instrText>
      </w:r>
      <w:r w:rsidRPr="00627717">
        <w:rPr>
          <w:rFonts w:ascii="Calibri" w:eastAsia="Calibri" w:hAnsi="Calibri" w:cs="Times New Roman"/>
          <w:lang w:val="uk-UA"/>
        </w:rPr>
        <w:fldChar w:fldCharType="separate"/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Б.Б.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fldChar w:fldCharType="end"/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Статистика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медицине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биологии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руководство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2-х томах) / В.А. Медик, М.С.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Токмачев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Б.Б.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Фишман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М.: </w:t>
      </w:r>
      <w:r w:rsidRPr="00627717">
        <w:rPr>
          <w:rFonts w:ascii="Calibri" w:eastAsia="Calibri" w:hAnsi="Calibri" w:cs="Times New Roman"/>
          <w:lang w:val="uk-UA"/>
        </w:rPr>
        <w:fldChar w:fldCharType="begin"/>
      </w:r>
      <w:r w:rsidRPr="00627717">
        <w:rPr>
          <w:rFonts w:ascii="Calibri" w:eastAsia="Calibri" w:hAnsi="Calibri" w:cs="Times New Roman"/>
          <w:lang w:val="uk-UA"/>
        </w:rPr>
        <w:instrText xml:space="preserve"> HYPERLINK "http://www.ozon.ru/context/detail/id/856331/" \o "Издательство" </w:instrText>
      </w:r>
      <w:r w:rsidRPr="00627717">
        <w:rPr>
          <w:rFonts w:ascii="Calibri" w:eastAsia="Calibri" w:hAnsi="Calibri" w:cs="Times New Roman"/>
          <w:lang w:val="uk-UA"/>
        </w:rPr>
        <w:fldChar w:fldCharType="separate"/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Медицина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fldChar w:fldCharType="end"/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–  2001. – 764с.</w:t>
      </w:r>
    </w:p>
    <w:p w:rsidR="00627717" w:rsidRPr="00627717" w:rsidRDefault="00627717" w:rsidP="00627717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9.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Balci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M.,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Devrim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E.,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Durak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I. “Effects of Mobile Phones on Oxidant/Antioxidant Balance in Cornea and Lens of Rats” / M.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Balci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, E.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Devrim</w:t>
      </w:r>
      <w:proofErr w:type="spellEnd"/>
      <w:proofErr w:type="gram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,  I</w:t>
      </w:r>
      <w:proofErr w:type="gram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Durak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// Current Eye Research. – 2007. – V. 32. – P. 21–25.</w:t>
      </w:r>
    </w:p>
    <w:p w:rsidR="00627717" w:rsidRPr="00627717" w:rsidRDefault="00627717" w:rsidP="00627717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10.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оловачева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Т.В., Паршина С.С.,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Николенко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В.Н.,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Черненков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Ю.В.,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Афанасьева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Т.Н</w:t>
      </w:r>
      <w:r w:rsidRPr="0062771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Электромагнитные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неионизирующие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излучения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малой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мощности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(ЭМИ ММ) в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клинической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практике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Т.В.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Головачева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С.С. Паршина, В.Н.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Николаенко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др. //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Бюлл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медицинских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Интернет</w:t>
      </w:r>
      <w:r w:rsidRPr="00627717">
        <w:rPr>
          <w:rFonts w:ascii="Cambria Math" w:eastAsia="Calibri" w:hAnsi="Cambria Math" w:cs="Cambria Math"/>
          <w:sz w:val="28"/>
          <w:szCs w:val="28"/>
          <w:lang w:val="uk-UA"/>
        </w:rPr>
        <w:t>‐</w:t>
      </w:r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конференций</w:t>
      </w:r>
      <w:proofErr w:type="spellEnd"/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(ISSN 2224</w:t>
      </w:r>
      <w:r w:rsidRPr="00627717">
        <w:rPr>
          <w:rFonts w:ascii="Cambria Math" w:eastAsia="Calibri" w:hAnsi="Cambria Math" w:cs="Cambria Math"/>
          <w:sz w:val="28"/>
          <w:szCs w:val="28"/>
          <w:lang w:val="uk-UA"/>
        </w:rPr>
        <w:t>‐</w:t>
      </w:r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6150). – 2012. – Том 2. – № 6 – </w:t>
      </w:r>
      <w:r w:rsidRPr="00627717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627717">
        <w:rPr>
          <w:rFonts w:ascii="Times New Roman" w:eastAsia="Calibri" w:hAnsi="Times New Roman" w:cs="Times New Roman"/>
          <w:sz w:val="28"/>
          <w:szCs w:val="28"/>
          <w:lang w:val="uk-UA"/>
        </w:rPr>
        <w:t>. 329-334.</w:t>
      </w:r>
    </w:p>
    <w:p w:rsidR="00A1422E" w:rsidRPr="00627717" w:rsidRDefault="00A1422E">
      <w:pPr>
        <w:rPr>
          <w:lang w:val="uk-UA"/>
        </w:rPr>
      </w:pPr>
      <w:bookmarkStart w:id="0" w:name="_GoBack"/>
      <w:bookmarkEnd w:id="0"/>
    </w:p>
    <w:sectPr w:rsidR="00A1422E" w:rsidRPr="006277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713"/>
    <w:rsid w:val="00627717"/>
    <w:rsid w:val="00842713"/>
    <w:rsid w:val="00A14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77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77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77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77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23109439816065233"/>
          <c:y val="6.6086426696662912E-2"/>
          <c:w val="0.49572076326643388"/>
          <c:h val="0.8595806434456227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3 мес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cat>
            <c:strRef>
              <c:f>Лист1!$A$2</c:f>
              <c:strCache>
                <c:ptCount val="1"/>
                <c:pt idx="0">
                  <c:v>Сравнение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0.51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5 мес</c:v>
                </c:pt>
              </c:strCache>
            </c:strRef>
          </c:tx>
          <c:spPr>
            <a:solidFill>
              <a:srgbClr val="00B050"/>
            </a:solidFill>
          </c:spPr>
          <c:invertIfNegative val="0"/>
          <c:cat>
            <c:strRef>
              <c:f>Лист1!$A$2</c:f>
              <c:strCache>
                <c:ptCount val="1"/>
                <c:pt idx="0">
                  <c:v>Сравнение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0.49000000000000032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3094528"/>
        <c:axId val="83096320"/>
      </c:barChart>
      <c:catAx>
        <c:axId val="83094528"/>
        <c:scaling>
          <c:orientation val="minMax"/>
        </c:scaling>
        <c:delete val="1"/>
        <c:axPos val="b"/>
        <c:majorTickMark val="out"/>
        <c:minorTickMark val="none"/>
        <c:tickLblPos val="none"/>
        <c:crossAx val="83096320"/>
        <c:crosses val="autoZero"/>
        <c:auto val="1"/>
        <c:lblAlgn val="ctr"/>
        <c:lblOffset val="100"/>
        <c:noMultiLvlLbl val="0"/>
      </c:catAx>
      <c:valAx>
        <c:axId val="83096320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8309452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9790026246719348"/>
          <c:y val="0.46887966804979364"/>
          <c:w val="0.16797900262467191"/>
          <c:h val="0.19917012448132801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1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rich>
      </c:tx>
      <c:overlay val="0"/>
      <c:spPr>
        <a:noFill/>
        <a:ln w="25399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24632748973495341"/>
          <c:y val="7.871023363135253E-2"/>
          <c:w val="0.50301903044424967"/>
          <c:h val="0.8568839791156450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3 мес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cat>
            <c:strRef>
              <c:f>Лист1!$A$2</c:f>
              <c:strCache>
                <c:ptCount val="1"/>
                <c:pt idx="0">
                  <c:v>Сравнение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32.53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5 мес</c:v>
                </c:pt>
              </c:strCache>
            </c:strRef>
          </c:tx>
          <c:spPr>
            <a:solidFill>
              <a:srgbClr val="00B050"/>
            </a:solidFill>
          </c:spPr>
          <c:invertIfNegative val="0"/>
          <c:cat>
            <c:strRef>
              <c:f>Лист1!$A$2</c:f>
              <c:strCache>
                <c:ptCount val="1"/>
                <c:pt idx="0">
                  <c:v>Сравнение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30.32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3555456"/>
        <c:axId val="83556992"/>
      </c:barChart>
      <c:catAx>
        <c:axId val="83555456"/>
        <c:scaling>
          <c:orientation val="minMax"/>
        </c:scaling>
        <c:delete val="1"/>
        <c:axPos val="b"/>
        <c:majorTickMark val="out"/>
        <c:minorTickMark val="none"/>
        <c:tickLblPos val="none"/>
        <c:crossAx val="83556992"/>
        <c:crosses val="autoZero"/>
        <c:auto val="1"/>
        <c:lblAlgn val="ctr"/>
        <c:lblOffset val="100"/>
        <c:noMultiLvlLbl val="0"/>
      </c:catAx>
      <c:valAx>
        <c:axId val="83556992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8355545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2227</Words>
  <Characters>12694</Characters>
  <Application>Microsoft Office Word</Application>
  <DocSecurity>0</DocSecurity>
  <Lines>105</Lines>
  <Paragraphs>29</Paragraphs>
  <ScaleCrop>false</ScaleCrop>
  <Company>Krokoz™</Company>
  <LinksUpToDate>false</LinksUpToDate>
  <CharactersWithSpaces>14892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2017-11-16T08:27:00Z</dcterms:created>
  <dcterms:modified xsi:type="dcterms:W3CDTF">2017-11-16T08:28:00Z</dcterms:modified>
</cp:coreProperties>
</file>