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СУЧАСНІ ПІДХОДИ ДО МОДЕЛЮВАННЯ МЕТАБОЛІЧНОГО СИНДРОМУ В ЕКСПЕРИМЕНТІ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Шутова Н.А.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кандидат медичних наук,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доцент кафедри патологічної фізіології ім. Д.О.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Альперна</w:t>
      </w:r>
      <w:proofErr w:type="spellEnd"/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м. Харків, Україна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Кузьміна І.Ю.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доктор медичних наук,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доцент кафедри патологічної фізіології ім. Д.О.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Альперна</w:t>
      </w:r>
      <w:proofErr w:type="spellEnd"/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м. Харків, Україна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Надлишкова вага і ожиріння є глобальною проблемою сучасного суспільства. Відомо, що саме ожиріння є етіологічним фактором великої кількості захворювань: цукрового діабету 2 типу (ожиріння нерідко супроводжують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інсулінорезистентність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гіперінсулінемія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), артеріальної гіпертензії (АГ),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дисліпідемії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ішемічної хвороби серця (ІХС), де ожиріння відіграє роль основного і обов’язкового критерію, залученого до патогенезу загального поняття – метаболічний синдром (МС) [1]. Саме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мультикомпонентність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цього синдрому [2], зумовлює складність у вивченні та встановленні базових ланок патогенезу, клінічних проявів. Принципи діагностики та лікування МС залишаються предметом досліджень і дискусій в медичному науковому світі. Тому, наявність вдосконаленої експериментальної моделі ожиріння є запорукою більш детального вивчення та встановлення загальних механізмів розвитку МС та асоційованих із ним захворювань. На сьогодні відомо багато видів експериментальних моделей ожиріння: найбільш поширеними та доступними є дієт-індуковані моделі ожиріння, з використанням різних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жиро-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вуглеводовмісних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продуктів у різних комбінаціях [3], але вони не є абсолютно стабільними. Так, в ході попередніх досліджень, проведених на кафедрі патологічної фізіології ім. 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Д.О.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Альперна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ХНМУ встановлено, що тільки у 38 % тварин, які знаходились на змішаній висококалорійній дієті було зафіксовано ознаки розвитку МС . Єдиної думки про етіологічний момент, яка пов’язана із порушенням обміну речовин при МС не знайдено і механізми цього явища ще належить вивчити.  Але попередні висновки спонукали науковців кафедри до створення більш реалістичної моделі МС на щурах, який буде найбільш близьким за технічною суттю і результатом при його використанні в будь-якому експериментальному дослідженні,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пов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</w:rPr>
        <w:t>’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язанному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із вивченням МС. Нами запропоновано і обґрунтовано додавання до загальної висококалорійної дієти препаратів, що сприятимуть надмірному споживанню їжі експериментальними тваринами, що, в свою чергу, стане головною ланкою розвитку ожиріння у максимальної більшості експериментальних тварин із явно виразними основними симптомами його розвитку. 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Мета роботи: дослідити і порівняти активність розвитку ожиріння на тлі звичайного висококалорійного раціону та раціону із додаванням специфічних фармакологічних засобів.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Експеримент проводили на 36 щурах-самцях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рандомної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лінії 180-200 г початкової ваги. Всіх тварин було розподілено на 3 групи: 1-а група – контрольна (стандартний раціон), 2-а група – утримання тварин на висококалорійному раціоні (комбінована вуглеводно-жирова дієта), 3-а група – експериментальні </w:t>
      </w:r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тварини, яким протягом 3, 4, 5 та 6 тижнів один раз на тиждень робили підшкірні ін’єкції суспензії </w:t>
      </w:r>
      <w:proofErr w:type="spellStart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>Бетаспан</w:t>
      </w:r>
      <w:proofErr w:type="spellEnd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депо (20мкг/кг маси), </w:t>
      </w:r>
      <w:proofErr w:type="spellStart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>ауротіоглюкоза</w:t>
      </w:r>
      <w:proofErr w:type="spellEnd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застосовувалась </w:t>
      </w:r>
      <w:proofErr w:type="spellStart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>інтраперитонеально</w:t>
      </w:r>
      <w:proofErr w:type="spellEnd"/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шляхом введення 10мкг/кг 1 раз на тиждень [4]. Протягом експерименту у тварин підраховували індекс </w:t>
      </w:r>
      <w:r w:rsidRPr="00EE4C5E">
        <w:rPr>
          <w:rFonts w:ascii="Times New Roman" w:eastAsia="TimesNewRomanPSMT" w:hAnsi="Times New Roman" w:cs="Times New Roman"/>
          <w:sz w:val="28"/>
          <w:szCs w:val="28"/>
          <w:lang w:val="en-US"/>
        </w:rPr>
        <w:t>Lee</w:t>
      </w:r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[5], артеріальний тиск (АТ), біохімічні показники (глюкоза, інсулін, ліпідний профіль крові).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Вміст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тригліцеридів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(ТГ), загального холестерину (ЗХ), фосфоліпідів (ЛПВЩ, ЛПНЩ) визначали за допомогою наборів реагентів фірми "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Ольвекс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". </w:t>
      </w:r>
      <w:r w:rsidRPr="00EE4C5E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Статистичну обробку результатів дослідження проводили з використанням t-критерію </w:t>
      </w:r>
      <w:proofErr w:type="spellStart"/>
      <w:r w:rsidRPr="00EE4C5E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>Ст’юдента</w:t>
      </w:r>
      <w:proofErr w:type="spellEnd"/>
      <w:r w:rsidRPr="00EE4C5E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t xml:space="preserve">. </w:t>
      </w:r>
      <w:r w:rsidRPr="00EE4C5E">
        <w:rPr>
          <w:rFonts w:ascii="Times New Roman" w:eastAsia="Calibri" w:hAnsi="Times New Roman" w:cs="Times New Roman"/>
          <w:spacing w:val="-2"/>
          <w:sz w:val="28"/>
          <w:szCs w:val="28"/>
          <w:lang w:val="uk-UA"/>
        </w:rPr>
        <w:lastRenderedPageBreak/>
        <w:t>Оцінювання вірогідності здійснювали на рівні значимості не менш ніж 95% (р≤0,05) [6].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Результати дослідження. На всіх строках експерименту у щурів обох експериментальних груп спостерігали лінійне збільшення показників індексу 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Lee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, АТ та біохімічних показників у порівнянні із показниками контрольних тварин. Зсув цих показників у бік збільшення свідчить про появу на ранніх термінах експерименту у 46 % та 61 % тварин 2-ої та 3-ої групи відповідно надлишкової маси тіла. Більш віддалені строки експерименту характеризуються подальшим нарощуванням маси тіла.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Про це свідчить збільшення індексу 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Lee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(більше ніж 7,0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у.о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.) 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6 тиждень експерименту в 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11 % щурів 2-ї групи і 41 % 3-ї групи, що є достовірним показником розвитку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ожиріння у цього відсотка тварин.</w:t>
      </w:r>
    </w:p>
    <w:p w:rsidR="00C95640" w:rsidRPr="00EE4C5E" w:rsidRDefault="00C95640" w:rsidP="00C9564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порівнянні показників експериментальних груп між собою можна відмітити, що динаміка зміни показників індексу </w:t>
      </w:r>
      <w:r w:rsidRPr="00EE4C5E">
        <w:rPr>
          <w:rFonts w:ascii="Times New Roman" w:eastAsia="TimesNewRomanPSMT" w:hAnsi="Times New Roman" w:cs="Times New Roman"/>
          <w:sz w:val="28"/>
          <w:szCs w:val="28"/>
          <w:lang w:val="en-US"/>
        </w:rPr>
        <w:t>Lee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АТ, концентрації глюкози, інсуліну, ТГ, холестерину в крові щурів, яких утримували на висококалорійній дієті із додаванням специфічних фармакологічних речовин, є достовірно збільшеними по відношенню до показників щурів, що утримувалися на класичній дієті (2-а група). В 3-ій групі тварин більш чітко і значно раніше (на 3-4  тиждень експерименту) зафіксовано розвиток симптоматичних проявів МС: у більшості тварин 3 групи (72%) у порівнянні із тваринами 2-ої групи (24 %) спостерігалось поступове формування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гіпертензивного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синдрому. Так, зафіксовано достовірне підвищення АТ із контрольної позначки 11,5±0,22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кПа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до 21.2±1,4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кПа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та до 25,5±2,2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кПа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 6-му тижню експерименту у тварин 2-ої та 3-ї групи відповідно.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Подібна картина спостерігається при вивченні змін показників ліпідного профілю. Встановлено, що у щурів 2-ї групи в сироватці крові у порівнянні із контрольними тваринами статистично збільшено ТГ в 2,5 рази, ЗХ в 1,5 рази, ЛПНЩ в 3 рази та зменшено концентрацію ЛПВЩ в 1,6 рази у порівнянні з контрольною групою. При відтворенні дієт-індукованого ожиріння на тлі використання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Бетаспану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у тварин 3-ї групи також відмічені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достовірні відмінності у порівнянні з контрольною групою щурів у ліпідному спектрі крові, однак вони практично в 2 рази перевищують показники 2-ї групи: так, ЗХ до кінця експерименту підвищився в 4,13 рази, ТГ - в 1,7 разів, ЛПНЩ - в 10,3 рази, концентрація ЛПВЩ зменшено в 3,1 рази. 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Висновки.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Спосіб моделювання метаболічного синдрому в експерименті, який відрізняється тим, що здійснюється шляхом введення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Бетаспану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(підшкірно 1 раз на тиждень у дозі 20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мкг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 кг масі, розчиненого в 0,2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мл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очищеної та стерилізованої оливкової олії на протязі 6 тижнів) та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ауротіоглюкози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інтраперитонеально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10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мкг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 кг одноразово 1 раз на тиждень, протягом 6 тижнів) на тлі висококалорійної дієти з додавання в корм тварин вуглеводів. Проведені нами дослідження 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свідчать про ефективність запропонованої моделі МС, де у достовірно більшої кількості тварин фіксується розвиток ожиріння із розгортанням на його тлі специфічних ознак, що можливо використовувати як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свідчення</w:t>
      </w:r>
      <w:r w:rsidRPr="00EE4C5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розвитку МС: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гіперглікемії,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гіперінсулінемії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резистентності до інсуліну, жировий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гепатоз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зниження метаболізму глюкози в м'язах, молекулярні дефекти сигнальних шляхів до інсуліну [7]. В подальшому  планується на відпрацьованій експериментальній моделі удосконалити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етіотропну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патогенетичну терапію аліментарного ожиріння та МС.</w:t>
      </w:r>
    </w:p>
    <w:p w:rsidR="00C95640" w:rsidRPr="00EE4C5E" w:rsidRDefault="00C95640" w:rsidP="00C9564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Література: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1. Соколова</w:t>
      </w:r>
      <w:r w:rsidRPr="00EE4C5E">
        <w:rPr>
          <w:rFonts w:ascii="Times New Roman" w:eastAsia="Calibri" w:hAnsi="Times New Roman" w:cs="Times New Roman"/>
          <w:sz w:val="28"/>
          <w:szCs w:val="28"/>
        </w:rPr>
        <w:t xml:space="preserve"> Л.К.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Метаболический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синдром и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ассоциированные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с ним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заболевания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критерии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диагностики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принципы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терапии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Обзор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литературы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собственные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данные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r w:rsidRPr="00EE4C5E">
        <w:rPr>
          <w:rFonts w:ascii="Times New Roman" w:eastAsia="Calibri" w:hAnsi="Times New Roman" w:cs="Times New Roman"/>
          <w:bCs/>
          <w:i/>
          <w:sz w:val="28"/>
          <w:szCs w:val="28"/>
          <w:lang w:val="uk-UA"/>
        </w:rPr>
        <w:t xml:space="preserve">Ліки України. 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2012. № 10 (166). С. 14-19.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WarnockPro-Regular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2.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Gress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T.W.,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Nieto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F.J.,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Shahar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E.,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et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al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Hypertension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and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antihypertensive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therapy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as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risk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factors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for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type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diabetes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mellitus</w:t>
      </w:r>
      <w:proofErr w:type="spellEnd"/>
      <w:r w:rsidRPr="00EE4C5E">
        <w:rPr>
          <w:rFonts w:ascii="Times New Roman" w:eastAsia="WarnockPro-Regular" w:hAnsi="Times New Roman" w:cs="Times New Roman"/>
          <w:sz w:val="28"/>
          <w:szCs w:val="28"/>
          <w:lang w:val="en-US"/>
        </w:rPr>
        <w:t>.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</w:t>
      </w:r>
      <w:r w:rsidRPr="00EE4C5E">
        <w:rPr>
          <w:rFonts w:ascii="Times New Roman" w:eastAsia="WarnockPro-Regular" w:hAnsi="Times New Roman" w:cs="Times New Roman"/>
          <w:i/>
          <w:sz w:val="28"/>
          <w:szCs w:val="28"/>
          <w:lang w:val="uk-UA"/>
        </w:rPr>
        <w:t xml:space="preserve">N. </w:t>
      </w:r>
      <w:proofErr w:type="spellStart"/>
      <w:r w:rsidRPr="00EE4C5E">
        <w:rPr>
          <w:rFonts w:ascii="Times New Roman" w:eastAsia="WarnockPro-Regular" w:hAnsi="Times New Roman" w:cs="Times New Roman"/>
          <w:i/>
          <w:sz w:val="28"/>
          <w:szCs w:val="28"/>
          <w:lang w:val="uk-UA"/>
        </w:rPr>
        <w:t>Engl</w:t>
      </w:r>
      <w:proofErr w:type="spellEnd"/>
      <w:r w:rsidRPr="00EE4C5E">
        <w:rPr>
          <w:rFonts w:ascii="Times New Roman" w:eastAsia="WarnockPro-Regular" w:hAnsi="Times New Roman" w:cs="Times New Roman"/>
          <w:i/>
          <w:sz w:val="28"/>
          <w:szCs w:val="28"/>
          <w:lang w:val="uk-UA"/>
        </w:rPr>
        <w:t xml:space="preserve">. J. </w:t>
      </w:r>
      <w:proofErr w:type="spellStart"/>
      <w:r w:rsidRPr="00EE4C5E">
        <w:rPr>
          <w:rFonts w:ascii="Times New Roman" w:eastAsia="WarnockPro-Regular" w:hAnsi="Times New Roman" w:cs="Times New Roman"/>
          <w:i/>
          <w:sz w:val="28"/>
          <w:szCs w:val="28"/>
          <w:lang w:val="uk-UA"/>
        </w:rPr>
        <w:t>Med</w:t>
      </w:r>
      <w:proofErr w:type="spellEnd"/>
      <w:r w:rsidRPr="00EE4C5E">
        <w:rPr>
          <w:rFonts w:ascii="Times New Roman" w:eastAsia="WarnockPro-Regular" w:hAnsi="Times New Roman" w:cs="Times New Roman"/>
          <w:i/>
          <w:sz w:val="28"/>
          <w:szCs w:val="28"/>
          <w:lang w:val="uk-UA"/>
        </w:rPr>
        <w:t>.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 – 2000. – 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en-US"/>
        </w:rPr>
        <w:t>V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 xml:space="preserve">. 342 (13). 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en-US"/>
        </w:rPr>
        <w:t>P</w:t>
      </w:r>
      <w:r w:rsidRPr="00EE4C5E">
        <w:rPr>
          <w:rFonts w:ascii="Times New Roman" w:eastAsia="WarnockPro-Regular" w:hAnsi="Times New Roman" w:cs="Times New Roman"/>
          <w:sz w:val="28"/>
          <w:szCs w:val="28"/>
          <w:lang w:val="uk-UA"/>
        </w:rPr>
        <w:t>. 905-912.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3.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Marques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C.,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Meireles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M.,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Norberto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S.,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Leite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J.,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Freitas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J.,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Pestana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D.,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Calhau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C. High-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fat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diet-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induced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obesity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Rat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model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a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comparison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between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Wistar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and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Sprague-Dawley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Rat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>Adipocyte</w:t>
      </w:r>
      <w:proofErr w:type="spellEnd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EE4C5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2016. V.5, (1). P. 11-21. 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4. </w:t>
      </w:r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Спосіб моделювання метаболічного синдрому в експерименті</w:t>
      </w:r>
      <w:r w:rsidRPr="00EE4C5E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EE4C5E">
        <w:rPr>
          <w:rFonts w:ascii="Times New Roman" w:eastAsia="Calibri" w:hAnsi="Times New Roman" w:cs="Times New Roman"/>
          <w:sz w:val="28"/>
          <w:szCs w:val="28"/>
          <w:lang w:eastAsia="ru-RU"/>
        </w:rPr>
        <w:t>п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ат 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а винахід 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UA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118945 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C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2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Україна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: МПК 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G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09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en-US" w:eastAsia="ru-RU"/>
        </w:rPr>
        <w:t>B</w:t>
      </w:r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23/29(2006.01);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заявл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. 11.07.2018;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опубл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. 25.03.2019, </w:t>
      </w:r>
      <w:proofErr w:type="spellStart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Бюл</w:t>
      </w:r>
      <w:proofErr w:type="spellEnd"/>
      <w:r w:rsidRPr="00EE4C5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. № 6.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sz w:val="28"/>
          <w:szCs w:val="28"/>
          <w:lang w:val="en-US"/>
        </w:rPr>
        <w:t>5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Niloofar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H.,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Thibault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L. High-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fat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diet-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induced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obesity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animal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>models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>Nutrition</w:t>
      </w:r>
      <w:proofErr w:type="spellEnd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>Research</w:t>
      </w:r>
      <w:proofErr w:type="spellEnd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sz w:val="28"/>
          <w:szCs w:val="28"/>
          <w:lang w:val="uk-UA"/>
        </w:rPr>
        <w:t>Reviews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2010. </w:t>
      </w:r>
      <w:r w:rsidRPr="00EE4C5E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23. </w:t>
      </w:r>
      <w:r w:rsidRPr="00EE4C5E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EE4C5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270-299. </w:t>
      </w:r>
    </w:p>
    <w:p w:rsidR="00C95640" w:rsidRPr="00EE4C5E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EE4C5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6. </w:t>
      </w:r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Медик В.А.,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Токмачев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М.С.,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Фишман</w:t>
      </w:r>
      <w:proofErr w:type="spellEnd"/>
      <w:r>
        <w:fldChar w:fldCharType="begin"/>
      </w:r>
      <w:r w:rsidRPr="00886BFD">
        <w:rPr>
          <w:lang w:val="uk-UA"/>
        </w:rPr>
        <w:instrText xml:space="preserve"> </w:instrText>
      </w:r>
      <w:r>
        <w:instrText>HYPERLINK</w:instrText>
      </w:r>
      <w:r w:rsidRPr="00886BFD">
        <w:rPr>
          <w:lang w:val="uk-UA"/>
        </w:rPr>
        <w:instrText xml:space="preserve"> "</w:instrText>
      </w:r>
      <w:r>
        <w:instrText>http</w:instrText>
      </w:r>
      <w:r w:rsidRPr="00886BFD">
        <w:rPr>
          <w:lang w:val="uk-UA"/>
        </w:rPr>
        <w:instrText>://</w:instrText>
      </w:r>
      <w:r>
        <w:instrText>www</w:instrText>
      </w:r>
      <w:r w:rsidRPr="00886BFD">
        <w:rPr>
          <w:lang w:val="uk-UA"/>
        </w:rPr>
        <w:instrText>.</w:instrText>
      </w:r>
      <w:r>
        <w:instrText>ozon</w:instrText>
      </w:r>
      <w:r w:rsidRPr="00886BFD">
        <w:rPr>
          <w:lang w:val="uk-UA"/>
        </w:rPr>
        <w:instrText>.</w:instrText>
      </w:r>
      <w:r>
        <w:instrText>ru</w:instrText>
      </w:r>
      <w:r w:rsidRPr="00886BFD">
        <w:rPr>
          <w:lang w:val="uk-UA"/>
        </w:rPr>
        <w:instrText>/</w:instrText>
      </w:r>
      <w:r>
        <w:instrText>context</w:instrText>
      </w:r>
      <w:r w:rsidRPr="00886BFD">
        <w:rPr>
          <w:lang w:val="uk-UA"/>
        </w:rPr>
        <w:instrText>/</w:instrText>
      </w:r>
      <w:r>
        <w:instrText>detail</w:instrText>
      </w:r>
      <w:r w:rsidRPr="00886BFD">
        <w:rPr>
          <w:lang w:val="uk-UA"/>
        </w:rPr>
        <w:instrText>/</w:instrText>
      </w:r>
      <w:r>
        <w:instrText>id</w:instrText>
      </w:r>
      <w:r w:rsidRPr="00886BFD">
        <w:rPr>
          <w:lang w:val="uk-UA"/>
        </w:rPr>
        <w:instrText>/1015021/" \</w:instrText>
      </w:r>
      <w:r>
        <w:instrText>l</w:instrText>
      </w:r>
      <w:r w:rsidRPr="00886BFD">
        <w:rPr>
          <w:lang w:val="uk-UA"/>
        </w:rPr>
        <w:instrText xml:space="preserve"> "</w:instrText>
      </w:r>
      <w:r>
        <w:instrText>persons</w:instrText>
      </w:r>
      <w:r w:rsidRPr="00886BFD">
        <w:rPr>
          <w:lang w:val="uk-UA"/>
        </w:rPr>
        <w:instrText>#</w:instrText>
      </w:r>
      <w:r>
        <w:instrText>persons</w:instrText>
      </w:r>
      <w:r w:rsidRPr="00886BFD">
        <w:rPr>
          <w:lang w:val="uk-UA"/>
        </w:rPr>
        <w:instrText>" \</w:instrText>
      </w:r>
      <w:r>
        <w:instrText>o</w:instrText>
      </w:r>
      <w:r w:rsidRPr="00886BFD">
        <w:rPr>
          <w:lang w:val="uk-UA"/>
        </w:rPr>
        <w:instrText xml:space="preserve"> "В. А. Медик , М. С. Токмачев, Б. Б. Фишман" </w:instrText>
      </w:r>
      <w:r>
        <w:fldChar w:fldCharType="separate"/>
      </w:r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Б.Б.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fldChar w:fldCharType="end"/>
      </w:r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Статистика в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медицине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биологии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руководство</w:t>
      </w:r>
      <w:proofErr w:type="spellEnd"/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2-х томах). М.: </w:t>
      </w:r>
      <w:hyperlink r:id="rId5" w:tooltip="Издательство" w:history="1">
        <w:r w:rsidRPr="00EE4C5E">
          <w:rPr>
            <w:rFonts w:ascii="Times New Roman" w:eastAsia="Calibri" w:hAnsi="Times New Roman" w:cs="Times New Roman"/>
            <w:sz w:val="28"/>
            <w:szCs w:val="28"/>
            <w:lang w:val="uk-UA" w:eastAsia="ru-RU"/>
          </w:rPr>
          <w:t>Медицина</w:t>
        </w:r>
      </w:hyperlink>
      <w:r w:rsidRPr="00EE4C5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2001. 764с.</w:t>
      </w:r>
    </w:p>
    <w:p w:rsidR="00C95640" w:rsidRPr="008B4653" w:rsidRDefault="00C95640" w:rsidP="00C9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Style w:val="a3"/>
          <w:rFonts w:ascii="Times New Roman" w:eastAsia="Calibri" w:hAnsi="Times New Roman" w:cs="Times New Roman"/>
          <w:b w:val="0"/>
          <w:bCs w:val="0"/>
          <w:color w:val="000000"/>
          <w:sz w:val="28"/>
          <w:szCs w:val="28"/>
          <w:lang w:val="uk-UA"/>
        </w:rPr>
      </w:pP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7.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Aguirre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G.A.,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Rodríguez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D.J.,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Garza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R.G., Castilla-Cortazar I. Insulin-like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growth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factor-1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deficiency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metabolic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syndrome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Journal</w:t>
      </w:r>
      <w:proofErr w:type="spellEnd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of</w:t>
      </w:r>
      <w:proofErr w:type="spellEnd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Translational</w:t>
      </w:r>
      <w:proofErr w:type="spellEnd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EE4C5E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Medicine</w:t>
      </w:r>
      <w:proofErr w:type="spellEnd"/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2016.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V. 14 (3). </w:t>
      </w:r>
      <w:r w:rsidRPr="00EE4C5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P. 118-125. </w:t>
      </w:r>
    </w:p>
    <w:p w:rsidR="005826AD" w:rsidRPr="00C95640" w:rsidRDefault="005826AD" w:rsidP="00C95640">
      <w:bookmarkStart w:id="0" w:name="_GoBack"/>
      <w:bookmarkEnd w:id="0"/>
    </w:p>
    <w:sectPr w:rsidR="005826AD" w:rsidRPr="00C956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arnock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3DB"/>
    <w:rsid w:val="001813DB"/>
    <w:rsid w:val="005826AD"/>
    <w:rsid w:val="00B509CA"/>
    <w:rsid w:val="00C9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6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9564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6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956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zon.ru/context/detail/id/856331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1244</Words>
  <Characters>7092</Characters>
  <Application>Microsoft Office Word</Application>
  <DocSecurity>0</DocSecurity>
  <Lines>59</Lines>
  <Paragraphs>16</Paragraphs>
  <ScaleCrop>false</ScaleCrop>
  <Company>Krokoz™</Company>
  <LinksUpToDate>false</LinksUpToDate>
  <CharactersWithSpaces>8320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2019-11-25T18:07:00Z</dcterms:created>
  <dcterms:modified xsi:type="dcterms:W3CDTF">2019-11-25T18:08:00Z</dcterms:modified>
</cp:coreProperties>
</file>