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theme/themeOverride4.xml" ContentType="application/vnd.openxmlformats-officedocument.themeOverride+xml"/>
  <Default Extension="bin" ContentType="application/vnd.openxmlformats-officedocument.oleObject"/>
  <Override PartName="/word/theme/themeOverride2.xml" ContentType="application/vnd.openxmlformats-officedocument.themeOverride+xml"/>
  <Override PartName="/word/theme/themeOverride3.xml" ContentType="application/vnd.openxmlformats-officedocument.themeOverride+xml"/>
  <Default Extension="wmf" ContentType="image/x-wmf"/>
  <Default Extension="emf" ContentType="image/x-emf"/>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764E" w:rsidRPr="00C62D22" w:rsidRDefault="0021764E" w:rsidP="0021764E">
      <w:pPr>
        <w:tabs>
          <w:tab w:val="left" w:pos="180"/>
          <w:tab w:val="left" w:pos="540"/>
          <w:tab w:val="left" w:pos="720"/>
        </w:tabs>
        <w:spacing w:after="0" w:line="360" w:lineRule="auto"/>
        <w:jc w:val="center"/>
        <w:rPr>
          <w:rFonts w:ascii="Times New Roman" w:hAnsi="Times New Roman" w:cs="Times New Roman"/>
          <w:b/>
          <w:bCs/>
          <w:sz w:val="28"/>
          <w:szCs w:val="28"/>
        </w:rPr>
      </w:pPr>
      <w:r w:rsidRPr="00C62D22">
        <w:rPr>
          <w:rFonts w:ascii="Times New Roman" w:hAnsi="Times New Roman" w:cs="Times New Roman"/>
          <w:b/>
          <w:bCs/>
          <w:sz w:val="28"/>
          <w:szCs w:val="28"/>
        </w:rPr>
        <w:t>МІНІСТЕРСТВО ОХОРОНИ ЗДОРОВ'Я УКРАЇНИ</w:t>
      </w:r>
    </w:p>
    <w:p w:rsidR="0021764E" w:rsidRPr="00C62D22" w:rsidRDefault="0021764E" w:rsidP="0021764E">
      <w:pPr>
        <w:tabs>
          <w:tab w:val="left" w:pos="180"/>
          <w:tab w:val="left" w:pos="540"/>
          <w:tab w:val="left" w:pos="720"/>
        </w:tabs>
        <w:spacing w:after="0" w:line="360" w:lineRule="auto"/>
        <w:jc w:val="center"/>
        <w:rPr>
          <w:rFonts w:ascii="Times New Roman" w:hAnsi="Times New Roman" w:cs="Times New Roman"/>
          <w:b/>
          <w:bCs/>
          <w:sz w:val="28"/>
          <w:szCs w:val="28"/>
        </w:rPr>
      </w:pPr>
      <w:r w:rsidRPr="00C62D22">
        <w:rPr>
          <w:rFonts w:ascii="Times New Roman" w:hAnsi="Times New Roman" w:cs="Times New Roman"/>
          <w:b/>
          <w:bCs/>
          <w:sz w:val="28"/>
          <w:szCs w:val="28"/>
        </w:rPr>
        <w:t>ХАРКІВСЬКИЙ НАЦІОНАЛЬНИЙ МЕДИЧНИЙ УНІВЕРСИТЕТ</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bCs/>
          <w:sz w:val="28"/>
          <w:szCs w:val="28"/>
        </w:rPr>
      </w:pPr>
    </w:p>
    <w:p w:rsidR="0021764E" w:rsidRPr="00C62D22" w:rsidRDefault="0021764E" w:rsidP="0021764E">
      <w:pPr>
        <w:tabs>
          <w:tab w:val="left" w:pos="180"/>
          <w:tab w:val="left" w:pos="540"/>
          <w:tab w:val="left" w:pos="720"/>
        </w:tabs>
        <w:spacing w:after="0" w:line="360" w:lineRule="auto"/>
        <w:jc w:val="center"/>
        <w:rPr>
          <w:rFonts w:ascii="Times New Roman" w:hAnsi="Times New Roman" w:cs="Times New Roman"/>
          <w:b/>
          <w:bCs/>
          <w:sz w:val="28"/>
          <w:szCs w:val="28"/>
        </w:rPr>
      </w:pPr>
      <w:r w:rsidRPr="00C62D22">
        <w:rPr>
          <w:rFonts w:ascii="Times New Roman" w:hAnsi="Times New Roman" w:cs="Times New Roman"/>
          <w:b/>
          <w:bCs/>
          <w:sz w:val="28"/>
          <w:szCs w:val="28"/>
        </w:rPr>
        <w:t>МІНІСТЕРСТВО ОХОРОНИ ЗДОРОВ'Я УКРАЇНИ</w:t>
      </w:r>
    </w:p>
    <w:p w:rsidR="0021764E" w:rsidRPr="00C62D22" w:rsidRDefault="0021764E" w:rsidP="0021764E">
      <w:pPr>
        <w:tabs>
          <w:tab w:val="left" w:pos="180"/>
          <w:tab w:val="left" w:pos="540"/>
          <w:tab w:val="left" w:pos="720"/>
        </w:tabs>
        <w:spacing w:after="0" w:line="360" w:lineRule="auto"/>
        <w:jc w:val="center"/>
        <w:rPr>
          <w:rFonts w:ascii="Times New Roman" w:hAnsi="Times New Roman" w:cs="Times New Roman"/>
          <w:b/>
          <w:bCs/>
          <w:sz w:val="28"/>
          <w:szCs w:val="28"/>
        </w:rPr>
      </w:pPr>
      <w:r w:rsidRPr="00C62D22">
        <w:rPr>
          <w:rFonts w:ascii="Times New Roman" w:hAnsi="Times New Roman" w:cs="Times New Roman"/>
          <w:b/>
          <w:bCs/>
          <w:sz w:val="28"/>
          <w:szCs w:val="28"/>
        </w:rPr>
        <w:t>ХАРКІВСЬКИЙ НАЦІОНАЛЬНИЙ МЕДИЧНИЙ УНІВЕРСИТЕТ</w:t>
      </w:r>
    </w:p>
    <w:p w:rsidR="0021764E" w:rsidRPr="00C62D22" w:rsidRDefault="0021764E" w:rsidP="0021764E">
      <w:pPr>
        <w:tabs>
          <w:tab w:val="left" w:pos="180"/>
          <w:tab w:val="left" w:pos="540"/>
          <w:tab w:val="left" w:pos="720"/>
        </w:tabs>
        <w:spacing w:after="0" w:line="360" w:lineRule="auto"/>
        <w:ind w:firstLine="6663"/>
        <w:rPr>
          <w:rFonts w:ascii="Times New Roman" w:hAnsi="Times New Roman" w:cs="Times New Roman"/>
          <w:bCs/>
          <w:sz w:val="28"/>
          <w:szCs w:val="28"/>
        </w:rPr>
      </w:pPr>
      <w:r w:rsidRPr="00C62D22">
        <w:rPr>
          <w:rFonts w:ascii="Times New Roman" w:hAnsi="Times New Roman" w:cs="Times New Roman"/>
          <w:bCs/>
          <w:sz w:val="28"/>
          <w:szCs w:val="28"/>
        </w:rPr>
        <w:t>Кваліфікаційна наукова</w:t>
      </w:r>
    </w:p>
    <w:p w:rsidR="0021764E" w:rsidRPr="00C62D22" w:rsidRDefault="0021764E" w:rsidP="0021764E">
      <w:pPr>
        <w:tabs>
          <w:tab w:val="left" w:pos="180"/>
          <w:tab w:val="left" w:pos="540"/>
          <w:tab w:val="left" w:pos="720"/>
        </w:tabs>
        <w:spacing w:after="0" w:line="360" w:lineRule="auto"/>
        <w:ind w:firstLine="6663"/>
        <w:rPr>
          <w:rFonts w:ascii="Times New Roman" w:hAnsi="Times New Roman" w:cs="Times New Roman"/>
          <w:bCs/>
          <w:sz w:val="28"/>
          <w:szCs w:val="28"/>
        </w:rPr>
      </w:pPr>
      <w:r w:rsidRPr="00C62D22">
        <w:rPr>
          <w:rFonts w:ascii="Times New Roman" w:hAnsi="Times New Roman" w:cs="Times New Roman"/>
          <w:bCs/>
          <w:sz w:val="28"/>
          <w:szCs w:val="28"/>
        </w:rPr>
        <w:t>праця на правах рукопису</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bCs/>
          <w:sz w:val="28"/>
          <w:szCs w:val="28"/>
        </w:rPr>
      </w:pPr>
    </w:p>
    <w:p w:rsidR="0021764E" w:rsidRPr="00C62D22" w:rsidRDefault="0021764E" w:rsidP="0021764E">
      <w:pPr>
        <w:tabs>
          <w:tab w:val="left" w:pos="180"/>
          <w:tab w:val="left" w:pos="540"/>
          <w:tab w:val="left" w:pos="720"/>
        </w:tabs>
        <w:spacing w:after="0" w:line="360" w:lineRule="auto"/>
        <w:ind w:firstLine="540"/>
        <w:jc w:val="center"/>
        <w:rPr>
          <w:rFonts w:ascii="Times New Roman" w:hAnsi="Times New Roman" w:cs="Times New Roman"/>
          <w:b/>
          <w:bCs/>
          <w:sz w:val="28"/>
          <w:szCs w:val="28"/>
        </w:rPr>
      </w:pPr>
      <w:r w:rsidRPr="00C62D22">
        <w:rPr>
          <w:rFonts w:ascii="Times New Roman" w:hAnsi="Times New Roman" w:cs="Times New Roman"/>
          <w:b/>
          <w:bCs/>
          <w:sz w:val="28"/>
          <w:szCs w:val="28"/>
        </w:rPr>
        <w:t>ГОНЧАРОВА НАТАЛЯ МИКОЛАЇВНА</w:t>
      </w:r>
    </w:p>
    <w:p w:rsidR="0021764E" w:rsidRPr="00C62D22" w:rsidRDefault="0021764E" w:rsidP="0021764E">
      <w:pPr>
        <w:tabs>
          <w:tab w:val="left" w:pos="180"/>
          <w:tab w:val="left" w:pos="540"/>
          <w:tab w:val="left" w:pos="720"/>
        </w:tabs>
        <w:spacing w:after="0" w:line="360" w:lineRule="auto"/>
        <w:ind w:firstLine="540"/>
        <w:jc w:val="center"/>
        <w:rPr>
          <w:rFonts w:ascii="Times New Roman" w:hAnsi="Times New Roman" w:cs="Times New Roman"/>
          <w:b/>
          <w:bCs/>
          <w:sz w:val="28"/>
          <w:szCs w:val="28"/>
        </w:rPr>
      </w:pPr>
    </w:p>
    <w:p w:rsidR="0021764E" w:rsidRPr="00C62D22" w:rsidRDefault="0021764E" w:rsidP="0021764E">
      <w:pPr>
        <w:spacing w:after="0" w:line="360" w:lineRule="auto"/>
        <w:ind w:firstLine="4111"/>
        <w:rPr>
          <w:rFonts w:ascii="Times New Roman" w:hAnsi="Times New Roman" w:cs="Times New Roman"/>
          <w:sz w:val="28"/>
          <w:szCs w:val="28"/>
        </w:rPr>
      </w:pPr>
      <w:r w:rsidRPr="00C62D22">
        <w:rPr>
          <w:rFonts w:ascii="Times New Roman" w:hAnsi="Times New Roman" w:cs="Times New Roman"/>
          <w:sz w:val="28"/>
          <w:szCs w:val="28"/>
        </w:rPr>
        <w:t>УДК: 616.37</w:t>
      </w:r>
      <w:r w:rsidRPr="00C62D22">
        <w:rPr>
          <w:rFonts w:ascii="Times New Roman" w:hAnsi="Times New Roman" w:cs="Times New Roman"/>
          <w:bCs/>
          <w:sz w:val="28"/>
          <w:szCs w:val="28"/>
        </w:rPr>
        <w:t>–</w:t>
      </w:r>
      <w:r w:rsidRPr="00C62D22">
        <w:rPr>
          <w:rFonts w:ascii="Times New Roman" w:hAnsi="Times New Roman" w:cs="Times New Roman"/>
          <w:sz w:val="28"/>
          <w:szCs w:val="28"/>
        </w:rPr>
        <w:t>006.2</w:t>
      </w:r>
      <w:r w:rsidRPr="00C62D22">
        <w:rPr>
          <w:rFonts w:ascii="Times New Roman" w:hAnsi="Times New Roman" w:cs="Times New Roman"/>
          <w:bCs/>
          <w:sz w:val="28"/>
          <w:szCs w:val="28"/>
        </w:rPr>
        <w:t>–</w:t>
      </w:r>
      <w:r w:rsidRPr="00C62D22">
        <w:rPr>
          <w:rFonts w:ascii="Times New Roman" w:hAnsi="Times New Roman" w:cs="Times New Roman"/>
          <w:sz w:val="28"/>
          <w:szCs w:val="28"/>
        </w:rPr>
        <w:t>036.17</w:t>
      </w:r>
      <w:r w:rsidRPr="00C62D22">
        <w:rPr>
          <w:rFonts w:ascii="Times New Roman" w:hAnsi="Times New Roman" w:cs="Times New Roman"/>
          <w:bCs/>
          <w:sz w:val="28"/>
          <w:szCs w:val="28"/>
        </w:rPr>
        <w:t>–</w:t>
      </w:r>
      <w:r w:rsidRPr="00C62D22">
        <w:rPr>
          <w:rFonts w:ascii="Times New Roman" w:hAnsi="Times New Roman" w:cs="Times New Roman"/>
          <w:sz w:val="28"/>
          <w:szCs w:val="28"/>
        </w:rPr>
        <w:t>073</w:t>
      </w:r>
      <w:r w:rsidRPr="00C62D22">
        <w:rPr>
          <w:rFonts w:ascii="Times New Roman" w:hAnsi="Times New Roman" w:cs="Times New Roman"/>
          <w:bCs/>
          <w:sz w:val="28"/>
          <w:szCs w:val="28"/>
        </w:rPr>
        <w:t>–</w:t>
      </w:r>
      <w:r w:rsidRPr="00C62D22">
        <w:rPr>
          <w:rFonts w:ascii="Times New Roman" w:hAnsi="Times New Roman" w:cs="Times New Roman"/>
          <w:sz w:val="28"/>
          <w:szCs w:val="28"/>
        </w:rPr>
        <w:t>074</w:t>
      </w:r>
      <w:r w:rsidRPr="00C62D22">
        <w:rPr>
          <w:rFonts w:ascii="Times New Roman" w:hAnsi="Times New Roman" w:cs="Times New Roman"/>
          <w:bCs/>
          <w:sz w:val="28"/>
          <w:szCs w:val="28"/>
        </w:rPr>
        <w:t>–</w:t>
      </w:r>
      <w:r w:rsidRPr="00C62D22">
        <w:rPr>
          <w:rFonts w:ascii="Times New Roman" w:hAnsi="Times New Roman" w:cs="Times New Roman"/>
          <w:sz w:val="28"/>
          <w:szCs w:val="28"/>
        </w:rPr>
        <w:t>089.87(043.3)</w:t>
      </w:r>
    </w:p>
    <w:p w:rsidR="0021764E" w:rsidRPr="00C62D22" w:rsidRDefault="0021764E" w:rsidP="0021764E">
      <w:pPr>
        <w:tabs>
          <w:tab w:val="left" w:pos="180"/>
          <w:tab w:val="left" w:pos="540"/>
          <w:tab w:val="left" w:pos="720"/>
        </w:tabs>
        <w:spacing w:after="0" w:line="360" w:lineRule="auto"/>
        <w:ind w:firstLine="540"/>
        <w:jc w:val="center"/>
        <w:rPr>
          <w:rFonts w:ascii="Times New Roman" w:hAnsi="Times New Roman" w:cs="Times New Roman"/>
          <w:bCs/>
          <w:sz w:val="28"/>
          <w:szCs w:val="28"/>
        </w:rPr>
      </w:pPr>
    </w:p>
    <w:p w:rsidR="0021764E" w:rsidRPr="00C62D22" w:rsidRDefault="0021764E" w:rsidP="0021764E">
      <w:pPr>
        <w:tabs>
          <w:tab w:val="left" w:pos="180"/>
          <w:tab w:val="left" w:pos="540"/>
          <w:tab w:val="left" w:pos="720"/>
        </w:tabs>
        <w:spacing w:after="0" w:line="360" w:lineRule="auto"/>
        <w:jc w:val="center"/>
        <w:rPr>
          <w:rFonts w:ascii="Times New Roman" w:hAnsi="Times New Roman" w:cs="Times New Roman"/>
          <w:b/>
          <w:bCs/>
          <w:sz w:val="28"/>
          <w:szCs w:val="28"/>
        </w:rPr>
      </w:pPr>
      <w:r w:rsidRPr="00C62D22">
        <w:rPr>
          <w:rFonts w:ascii="Times New Roman" w:hAnsi="Times New Roman" w:cs="Times New Roman"/>
          <w:b/>
          <w:bCs/>
          <w:sz w:val="28"/>
          <w:szCs w:val="28"/>
        </w:rPr>
        <w:t>ДИСЕРТАЦІЯ</w:t>
      </w:r>
    </w:p>
    <w:p w:rsidR="0021764E" w:rsidRPr="00C62D22" w:rsidRDefault="0021764E" w:rsidP="0021764E">
      <w:pPr>
        <w:tabs>
          <w:tab w:val="left" w:pos="180"/>
          <w:tab w:val="left" w:pos="540"/>
          <w:tab w:val="left" w:pos="720"/>
        </w:tabs>
        <w:spacing w:after="0" w:line="360" w:lineRule="auto"/>
        <w:jc w:val="center"/>
        <w:rPr>
          <w:rFonts w:ascii="Times New Roman" w:hAnsi="Times New Roman" w:cs="Times New Roman"/>
          <w:b/>
          <w:bCs/>
          <w:caps/>
          <w:sz w:val="28"/>
          <w:szCs w:val="28"/>
        </w:rPr>
      </w:pPr>
      <w:r w:rsidRPr="00C62D22">
        <w:rPr>
          <w:rFonts w:ascii="Times New Roman" w:hAnsi="Times New Roman" w:cs="Times New Roman"/>
          <w:b/>
          <w:bCs/>
          <w:sz w:val="28"/>
          <w:szCs w:val="28"/>
        </w:rPr>
        <w:t>ДІАГНОСТИКА ТА ХІРУРГІЧНЕ ЛІКУВАННЯ УСКЛАДНЕНИХ ПСЕВДОКІСТ ПІДШЛУНКОВОЇ ЗАЛОЗИ</w:t>
      </w:r>
    </w:p>
    <w:p w:rsidR="0021764E" w:rsidRPr="00C62D22" w:rsidRDefault="0021764E" w:rsidP="0021764E">
      <w:pPr>
        <w:tabs>
          <w:tab w:val="left" w:pos="180"/>
          <w:tab w:val="left" w:pos="540"/>
          <w:tab w:val="left" w:pos="720"/>
        </w:tabs>
        <w:spacing w:after="0" w:line="360" w:lineRule="auto"/>
        <w:rPr>
          <w:rFonts w:ascii="Times New Roman" w:hAnsi="Times New Roman" w:cs="Times New Roman"/>
          <w:bCs/>
          <w:sz w:val="28"/>
          <w:szCs w:val="28"/>
        </w:rPr>
      </w:pPr>
    </w:p>
    <w:p w:rsidR="0021764E" w:rsidRPr="00C62D22" w:rsidRDefault="0021764E" w:rsidP="0021764E">
      <w:pPr>
        <w:tabs>
          <w:tab w:val="left" w:pos="180"/>
          <w:tab w:val="left" w:pos="540"/>
          <w:tab w:val="left" w:pos="720"/>
        </w:tabs>
        <w:spacing w:after="0" w:line="360" w:lineRule="auto"/>
        <w:jc w:val="center"/>
        <w:rPr>
          <w:rFonts w:ascii="Times New Roman" w:hAnsi="Times New Roman" w:cs="Times New Roman"/>
          <w:bCs/>
          <w:sz w:val="28"/>
          <w:szCs w:val="28"/>
        </w:rPr>
      </w:pPr>
      <w:r w:rsidRPr="00C62D22">
        <w:rPr>
          <w:rFonts w:ascii="Times New Roman" w:hAnsi="Times New Roman" w:cs="Times New Roman"/>
          <w:bCs/>
          <w:sz w:val="28"/>
          <w:szCs w:val="28"/>
        </w:rPr>
        <w:t>14.01.03 – Хірургія</w:t>
      </w:r>
    </w:p>
    <w:p w:rsidR="0021764E" w:rsidRPr="00C62D22" w:rsidRDefault="0021764E" w:rsidP="0021764E">
      <w:pPr>
        <w:tabs>
          <w:tab w:val="left" w:pos="180"/>
          <w:tab w:val="left" w:pos="540"/>
          <w:tab w:val="left" w:pos="720"/>
        </w:tabs>
        <w:spacing w:after="0" w:line="360" w:lineRule="auto"/>
        <w:jc w:val="center"/>
        <w:rPr>
          <w:rFonts w:ascii="Times New Roman" w:hAnsi="Times New Roman" w:cs="Times New Roman"/>
          <w:bCs/>
          <w:sz w:val="28"/>
          <w:szCs w:val="28"/>
        </w:rPr>
      </w:pPr>
    </w:p>
    <w:p w:rsidR="0021764E" w:rsidRPr="00C62D22" w:rsidRDefault="0021764E" w:rsidP="0021764E">
      <w:pPr>
        <w:tabs>
          <w:tab w:val="left" w:pos="180"/>
          <w:tab w:val="left" w:pos="540"/>
          <w:tab w:val="left" w:pos="72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Подається на здобуття наукового ступеня доктора медичних наук</w:t>
      </w:r>
    </w:p>
    <w:p w:rsidR="0021764E" w:rsidRPr="00C62D22" w:rsidRDefault="0021764E" w:rsidP="0021764E">
      <w:pPr>
        <w:tabs>
          <w:tab w:val="left" w:pos="180"/>
          <w:tab w:val="left" w:pos="540"/>
          <w:tab w:val="left" w:pos="720"/>
        </w:tabs>
        <w:spacing w:after="0" w:line="360" w:lineRule="auto"/>
        <w:rPr>
          <w:rFonts w:ascii="Times New Roman" w:hAnsi="Times New Roman" w:cs="Times New Roman"/>
          <w:bCs/>
          <w:sz w:val="28"/>
          <w:szCs w:val="28"/>
        </w:rPr>
      </w:pPr>
    </w:p>
    <w:p w:rsidR="0021764E" w:rsidRPr="00C62D22" w:rsidRDefault="0021764E" w:rsidP="0021764E">
      <w:pPr>
        <w:tabs>
          <w:tab w:val="left" w:pos="180"/>
          <w:tab w:val="left" w:pos="540"/>
          <w:tab w:val="left" w:pos="72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джерело_____Гончарова Н.М.</w:t>
      </w:r>
    </w:p>
    <w:p w:rsidR="0021764E" w:rsidRPr="00C62D22" w:rsidRDefault="0021764E" w:rsidP="0021764E">
      <w:pPr>
        <w:tabs>
          <w:tab w:val="left" w:pos="180"/>
          <w:tab w:val="left" w:pos="540"/>
          <w:tab w:val="left" w:pos="720"/>
        </w:tabs>
        <w:spacing w:after="0" w:line="360" w:lineRule="auto"/>
        <w:ind w:firstLine="540"/>
        <w:jc w:val="center"/>
        <w:rPr>
          <w:rFonts w:ascii="Times New Roman" w:hAnsi="Times New Roman" w:cs="Times New Roman"/>
          <w:bCs/>
          <w:sz w:val="28"/>
          <w:szCs w:val="28"/>
        </w:rPr>
      </w:pPr>
    </w:p>
    <w:p w:rsidR="0021764E" w:rsidRPr="00C62D22" w:rsidRDefault="0021764E" w:rsidP="0021764E">
      <w:pPr>
        <w:tabs>
          <w:tab w:val="left" w:pos="180"/>
          <w:tab w:val="left" w:pos="540"/>
          <w:tab w:val="left" w:pos="72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 xml:space="preserve">Науковий консультант: завідувач кафедри </w:t>
      </w:r>
    </w:p>
    <w:p w:rsidR="0021764E" w:rsidRPr="00C62D22" w:rsidRDefault="0021764E" w:rsidP="0021764E">
      <w:pPr>
        <w:tabs>
          <w:tab w:val="left" w:pos="180"/>
          <w:tab w:val="left" w:pos="540"/>
          <w:tab w:val="left" w:pos="72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 xml:space="preserve">хірургії № 2, лауреат Державної премії </w:t>
      </w:r>
    </w:p>
    <w:p w:rsidR="0021764E" w:rsidRPr="00C62D22" w:rsidRDefault="0021764E" w:rsidP="0021764E">
      <w:pPr>
        <w:tabs>
          <w:tab w:val="left" w:pos="180"/>
          <w:tab w:val="left" w:pos="540"/>
          <w:tab w:val="left" w:pos="72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 xml:space="preserve">України в галузі науки та техніки, </w:t>
      </w:r>
    </w:p>
    <w:p w:rsidR="0021764E" w:rsidRPr="00C62D22" w:rsidRDefault="0021764E" w:rsidP="0021764E">
      <w:pPr>
        <w:pStyle w:val="a4"/>
        <w:tabs>
          <w:tab w:val="left" w:pos="180"/>
          <w:tab w:val="left" w:pos="540"/>
          <w:tab w:val="left" w:pos="720"/>
        </w:tabs>
        <w:spacing w:line="360" w:lineRule="auto"/>
        <w:jc w:val="both"/>
        <w:rPr>
          <w:rFonts w:ascii="Times New Roman" w:hAnsi="Times New Roman" w:cs="Times New Roman"/>
          <w:sz w:val="28"/>
          <w:szCs w:val="28"/>
        </w:rPr>
      </w:pPr>
      <w:r w:rsidRPr="00C62D22">
        <w:rPr>
          <w:rFonts w:ascii="Times New Roman" w:hAnsi="Times New Roman" w:cs="Times New Roman"/>
          <w:sz w:val="28"/>
          <w:szCs w:val="28"/>
        </w:rPr>
        <w:t>д.</w:t>
      </w:r>
      <w:r w:rsidRPr="00C62D22">
        <w:rPr>
          <w:rFonts w:ascii="Times New Roman" w:hAnsi="Times New Roman" w:cs="Times New Roman"/>
          <w:sz w:val="28"/>
          <w:szCs w:val="28"/>
          <w:lang w:val="ru-RU"/>
        </w:rPr>
        <w:t xml:space="preserve"> </w:t>
      </w:r>
      <w:r w:rsidRPr="00C62D22">
        <w:rPr>
          <w:rFonts w:ascii="Times New Roman" w:hAnsi="Times New Roman" w:cs="Times New Roman"/>
          <w:sz w:val="28"/>
          <w:szCs w:val="28"/>
        </w:rPr>
        <w:t>мед.</w:t>
      </w:r>
      <w:r w:rsidRPr="00C62D22">
        <w:rPr>
          <w:rFonts w:ascii="Times New Roman" w:hAnsi="Times New Roman" w:cs="Times New Roman"/>
          <w:sz w:val="28"/>
          <w:szCs w:val="28"/>
          <w:lang w:val="ru-RU"/>
        </w:rPr>
        <w:t xml:space="preserve"> </w:t>
      </w:r>
      <w:r w:rsidRPr="00C62D22">
        <w:rPr>
          <w:rFonts w:ascii="Times New Roman" w:hAnsi="Times New Roman" w:cs="Times New Roman"/>
          <w:sz w:val="28"/>
          <w:szCs w:val="28"/>
        </w:rPr>
        <w:t>н., професор                                                   Криворучко</w:t>
      </w:r>
      <w:r w:rsidRPr="00C62D22">
        <w:rPr>
          <w:rFonts w:ascii="Times New Roman" w:hAnsi="Times New Roman" w:cs="Times New Roman"/>
          <w:sz w:val="28"/>
          <w:szCs w:val="28"/>
          <w:lang w:val="ru-RU"/>
        </w:rPr>
        <w:t xml:space="preserve"> </w:t>
      </w:r>
      <w:r w:rsidRPr="00C62D22">
        <w:rPr>
          <w:rFonts w:ascii="Times New Roman" w:hAnsi="Times New Roman" w:cs="Times New Roman"/>
          <w:sz w:val="28"/>
          <w:szCs w:val="28"/>
        </w:rPr>
        <w:t>Ігор Андрійович</w:t>
      </w:r>
    </w:p>
    <w:p w:rsidR="0021764E" w:rsidRPr="00C62D22" w:rsidRDefault="0021764E" w:rsidP="0021764E">
      <w:pPr>
        <w:tabs>
          <w:tab w:val="left" w:pos="180"/>
          <w:tab w:val="left" w:pos="540"/>
          <w:tab w:val="left" w:pos="720"/>
          <w:tab w:val="left" w:pos="6840"/>
        </w:tabs>
        <w:spacing w:after="0" w:line="240" w:lineRule="auto"/>
        <w:ind w:firstLine="540"/>
        <w:rPr>
          <w:rFonts w:ascii="Times New Roman" w:hAnsi="Times New Roman" w:cs="Times New Roman"/>
          <w:kern w:val="28"/>
          <w:sz w:val="28"/>
          <w:szCs w:val="28"/>
        </w:rPr>
      </w:pPr>
    </w:p>
    <w:p w:rsidR="0021764E" w:rsidRPr="00C62D22" w:rsidRDefault="0021764E" w:rsidP="0021764E">
      <w:pPr>
        <w:tabs>
          <w:tab w:val="left" w:pos="180"/>
          <w:tab w:val="left" w:pos="540"/>
          <w:tab w:val="left" w:pos="720"/>
          <w:tab w:val="left" w:pos="6840"/>
        </w:tabs>
        <w:spacing w:after="0" w:line="240" w:lineRule="auto"/>
        <w:ind w:firstLine="540"/>
        <w:rPr>
          <w:rFonts w:ascii="Times New Roman" w:hAnsi="Times New Roman" w:cs="Times New Roman"/>
          <w:kern w:val="28"/>
          <w:sz w:val="28"/>
          <w:szCs w:val="28"/>
        </w:rPr>
      </w:pPr>
    </w:p>
    <w:p w:rsidR="0021764E" w:rsidRPr="00C62D22" w:rsidRDefault="0021764E" w:rsidP="0021764E">
      <w:pPr>
        <w:tabs>
          <w:tab w:val="left" w:pos="180"/>
          <w:tab w:val="left" w:pos="540"/>
          <w:tab w:val="left" w:pos="720"/>
          <w:tab w:val="left" w:pos="6840"/>
        </w:tabs>
        <w:spacing w:after="0" w:line="240" w:lineRule="auto"/>
        <w:ind w:firstLine="540"/>
        <w:rPr>
          <w:rFonts w:ascii="Times New Roman" w:hAnsi="Times New Roman" w:cs="Times New Roman"/>
          <w:kern w:val="28"/>
          <w:sz w:val="28"/>
          <w:szCs w:val="28"/>
        </w:rPr>
      </w:pPr>
    </w:p>
    <w:p w:rsidR="0021764E" w:rsidRPr="00C62D22" w:rsidRDefault="0021764E" w:rsidP="0021764E">
      <w:pPr>
        <w:tabs>
          <w:tab w:val="left" w:pos="180"/>
          <w:tab w:val="left" w:pos="540"/>
          <w:tab w:val="left" w:pos="720"/>
          <w:tab w:val="left" w:pos="6840"/>
        </w:tabs>
        <w:spacing w:after="0" w:line="240" w:lineRule="auto"/>
        <w:ind w:firstLine="540"/>
        <w:jc w:val="center"/>
        <w:rPr>
          <w:rFonts w:ascii="Times New Roman" w:hAnsi="Times New Roman" w:cs="Times New Roman"/>
          <w:kern w:val="28"/>
          <w:sz w:val="28"/>
          <w:szCs w:val="28"/>
        </w:rPr>
      </w:pPr>
      <w:r w:rsidRPr="00C62D22">
        <w:rPr>
          <w:rFonts w:ascii="Times New Roman" w:hAnsi="Times New Roman" w:cs="Times New Roman"/>
          <w:kern w:val="28"/>
          <w:sz w:val="28"/>
          <w:szCs w:val="28"/>
        </w:rPr>
        <w:t>Харків – 2017</w:t>
      </w:r>
    </w:p>
    <w:p w:rsidR="0021764E" w:rsidRPr="00C62D22" w:rsidRDefault="0021764E" w:rsidP="0021764E">
      <w:pPr>
        <w:spacing w:after="0" w:line="360" w:lineRule="auto"/>
        <w:jc w:val="center"/>
        <w:rPr>
          <w:rFonts w:ascii="Times New Roman" w:hAnsi="Times New Roman" w:cs="Times New Roman"/>
          <w:b/>
          <w:i/>
          <w:sz w:val="28"/>
          <w:szCs w:val="28"/>
        </w:rPr>
      </w:pPr>
      <w:r w:rsidRPr="00C62D22">
        <w:rPr>
          <w:rFonts w:ascii="Times New Roman" w:hAnsi="Times New Roman" w:cs="Times New Roman"/>
          <w:kern w:val="28"/>
          <w:sz w:val="28"/>
          <w:szCs w:val="28"/>
        </w:rPr>
        <w:br w:type="page"/>
      </w:r>
      <w:r w:rsidRPr="00C62D22">
        <w:rPr>
          <w:rFonts w:ascii="Times New Roman" w:hAnsi="Times New Roman" w:cs="Times New Roman"/>
          <w:b/>
          <w:i/>
          <w:sz w:val="28"/>
          <w:szCs w:val="28"/>
        </w:rPr>
        <w:lastRenderedPageBreak/>
        <w:t>АНОТАЦІЯ</w:t>
      </w:r>
    </w:p>
    <w:p w:rsidR="0021764E" w:rsidRPr="00C62D22" w:rsidRDefault="0021764E" w:rsidP="0021764E">
      <w:pPr>
        <w:spacing w:after="0" w:line="240" w:lineRule="auto"/>
        <w:ind w:firstLine="540"/>
        <w:jc w:val="both"/>
        <w:rPr>
          <w:rFonts w:ascii="Times New Roman" w:hAnsi="Times New Roman" w:cs="Times New Roman"/>
          <w:sz w:val="28"/>
          <w:szCs w:val="28"/>
        </w:rPr>
      </w:pPr>
      <w:r w:rsidRPr="00C62D22">
        <w:rPr>
          <w:rFonts w:ascii="Times New Roman" w:hAnsi="Times New Roman" w:cs="Times New Roman"/>
          <w:i/>
          <w:sz w:val="28"/>
          <w:szCs w:val="28"/>
        </w:rPr>
        <w:t xml:space="preserve">Гончарова Н.М. </w:t>
      </w:r>
      <w:r w:rsidRPr="00C62D22">
        <w:rPr>
          <w:rFonts w:ascii="Times New Roman" w:hAnsi="Times New Roman" w:cs="Times New Roman"/>
          <w:sz w:val="28"/>
          <w:szCs w:val="28"/>
        </w:rPr>
        <w:t>Діагностика та хірургічне лікування ускладнених псевдокіст підшлункової залози. – Кваліфікаційна наукова праця на правах рукопису.</w:t>
      </w:r>
    </w:p>
    <w:p w:rsidR="0021764E" w:rsidRPr="00C62D22" w:rsidRDefault="0021764E" w:rsidP="0021764E">
      <w:pPr>
        <w:spacing w:after="0" w:line="24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Дисертація на здобуття наукового ступеня доктора медичних наук за спеціальністю 14.01.03 «Хірургія» (222 – Медицина). – Харківський національний медичний університет, Харків, 2017.</w:t>
      </w: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pStyle w:val="a5"/>
        <w:spacing w:before="0" w:beforeAutospacing="0" w:after="0" w:afterAutospacing="0" w:line="360" w:lineRule="auto"/>
        <w:ind w:firstLine="540"/>
        <w:jc w:val="both"/>
        <w:rPr>
          <w:sz w:val="28"/>
          <w:szCs w:val="28"/>
          <w:lang w:val="uk-UA"/>
        </w:rPr>
      </w:pPr>
      <w:r w:rsidRPr="00C62D22">
        <w:rPr>
          <w:sz w:val="28"/>
          <w:szCs w:val="28"/>
          <w:lang w:val="uk-UA"/>
        </w:rPr>
        <w:t xml:space="preserve">Діагностика та лікування ускладнених псевдокіст підшлункової залози продовжують залишатися однією з складних і невирішених проблем абдомінальної хірургії. Їх значущість зростає у зв’язку з появою нових сучасних методик, у тому числі й мініінвазивних, та збільшенням кількості хворих на гострий чи хронічний панкреатит. </w:t>
      </w:r>
      <w:r w:rsidRPr="00C62D22">
        <w:rPr>
          <w:rStyle w:val="hps"/>
          <w:sz w:val="28"/>
          <w:szCs w:val="28"/>
          <w:lang w:val="uk-UA"/>
        </w:rPr>
        <w:t xml:space="preserve">Існує необхідність дослідження механізмів втрати функціонуючої тканини підшлункової залози та її заміщення сполучною тканиною. У зв’язку з цим виникає потреба у вивченні розвитку фіброзних змін підшлункової залози при хронічному панкреатиті, порушення балансу між процесами синтезу та розпаду протеїнів екстра целюлярного матриксу з його накопиченням та деградацією, змін показників матриксних металопротеїназ та їх тканинних інгібіторів, </w:t>
      </w:r>
      <w:r w:rsidRPr="00C62D22">
        <w:rPr>
          <w:sz w:val="28"/>
          <w:szCs w:val="28"/>
          <w:lang w:val="uk-UA"/>
        </w:rPr>
        <w:t xml:space="preserve">які здійснюють регулюючу та моделюючу функцію в ангіогенезі; та ендотеліальної дисфункції. Відсутність єдиного алгоритму доопераційного та інтраопераційного обстеження пацієнтів з цією патологією, наявність великої кількості оперативних втручань, в тому числі й мініінвазивних, створює дилему щодо діагностики та лікування ускладнених псевдокіст підшлункової залози. Таким чином, вивченню діагностики та хірургічного лікування ускладнених псевдокіст підшлункової залози на сьогодні присвячено багато досліджень, але, не зважаючи на накопичений досвід, знання в цій галузі залишаються неповними. </w:t>
      </w:r>
    </w:p>
    <w:p w:rsidR="0021764E" w:rsidRPr="00C62D22" w:rsidRDefault="0021764E" w:rsidP="0021764E">
      <w:pPr>
        <w:spacing w:after="0" w:line="360" w:lineRule="auto"/>
        <w:ind w:firstLine="539"/>
        <w:jc w:val="both"/>
        <w:rPr>
          <w:rFonts w:ascii="Times New Roman" w:hAnsi="Times New Roman" w:cs="Times New Roman"/>
          <w:sz w:val="28"/>
          <w:szCs w:val="28"/>
        </w:rPr>
      </w:pPr>
      <w:r w:rsidRPr="00C62D22">
        <w:rPr>
          <w:rFonts w:ascii="Times New Roman" w:hAnsi="Times New Roman" w:cs="Times New Roman"/>
          <w:sz w:val="28"/>
          <w:szCs w:val="28"/>
          <w:lang w:val="uk-UA"/>
        </w:rPr>
        <w:t xml:space="preserve">В роботі на основі аналізу результатів обстеження та хірургічних втручань 505 хворих на ускладнені псевдокісти підшлункової залози отримані дані, на підставі яких розроблено науково-теоретичні положення щодо формування нового напрямку вирішення питань діагностики, патогенезу, прогнозування, профілактики та комплексного лікування хворих на різні типи псевдокіст. Доповнено наукову гіпотезу, що в умовах гіпоксії та ішемії підшлункової залози внаслідок її пошкодження, під дією ангіогенних факторів відбувається активація та проліферація </w:t>
      </w:r>
      <w:r w:rsidRPr="00C62D22">
        <w:rPr>
          <w:rFonts w:ascii="Times New Roman" w:hAnsi="Times New Roman" w:cs="Times New Roman"/>
          <w:sz w:val="28"/>
          <w:szCs w:val="28"/>
          <w:lang w:val="uk-UA"/>
        </w:rPr>
        <w:lastRenderedPageBreak/>
        <w:t xml:space="preserve">ендотеліоцитів, яка завершується процесами неоваскуляризації, а недостатня деградація позаклітинного матриксу та його накопичення є основною причиною прогресування фіброзу та ремоделювання підшлункової залози з розвитком ускладнень захворювання. </w:t>
      </w:r>
      <w:r w:rsidRPr="00C62D22">
        <w:rPr>
          <w:rFonts w:ascii="Times New Roman" w:hAnsi="Times New Roman" w:cs="Times New Roman"/>
          <w:color w:val="000000"/>
          <w:spacing w:val="-6"/>
          <w:sz w:val="28"/>
          <w:szCs w:val="28"/>
          <w:lang w:val="uk-UA"/>
        </w:rPr>
        <w:t>Встановлено, що гемодинамічні реакції на рівні печінково-спланхнічного кровотока</w:t>
      </w:r>
      <w:r w:rsidRPr="00C62D22">
        <w:rPr>
          <w:rFonts w:ascii="Times New Roman" w:hAnsi="Times New Roman" w:cs="Times New Roman"/>
          <w:color w:val="FF0000"/>
          <w:spacing w:val="-6"/>
          <w:sz w:val="28"/>
          <w:szCs w:val="28"/>
          <w:lang w:val="uk-UA"/>
        </w:rPr>
        <w:t xml:space="preserve"> </w:t>
      </w:r>
      <w:r w:rsidRPr="00C62D22">
        <w:rPr>
          <w:rFonts w:ascii="Times New Roman" w:hAnsi="Times New Roman" w:cs="Times New Roman"/>
          <w:sz w:val="28"/>
          <w:szCs w:val="28"/>
          <w:lang w:val="uk-UA"/>
        </w:rPr>
        <w:t>пов’язані з різними механізмами: з паралітичним розширенням резистивних венул у відповідь на гіпоксію та розвиток внутрішньопечінкових портокавальних шунтів (</w:t>
      </w:r>
      <w:r w:rsidRPr="00C62D22">
        <w:rPr>
          <w:rFonts w:ascii="Times New Roman" w:hAnsi="Times New Roman" w:cs="Times New Roman"/>
          <w:sz w:val="28"/>
          <w:szCs w:val="28"/>
        </w:rPr>
        <w:t>r</w:t>
      </w:r>
      <w:r w:rsidRPr="00C62D22">
        <w:rPr>
          <w:rFonts w:ascii="Times New Roman" w:hAnsi="Times New Roman" w:cs="Times New Roman"/>
          <w:sz w:val="28"/>
          <w:szCs w:val="28"/>
          <w:lang w:val="uk-UA"/>
        </w:rPr>
        <w:t>=0,92, р=0,002); зі збідненням артеріального живлення та зменшенням притоку крові за ворітною веною (р&lt;0,05); змінами периферичного опору в різних артеріальних басейнах спланхнічної ділянки з негативним взаємозв’язком між індексом Пурсело (</w:t>
      </w:r>
      <w:r w:rsidRPr="00C62D22">
        <w:rPr>
          <w:rFonts w:ascii="Times New Roman" w:hAnsi="Times New Roman" w:cs="Times New Roman"/>
          <w:sz w:val="28"/>
          <w:szCs w:val="28"/>
        </w:rPr>
        <w:t>R</w:t>
      </w:r>
      <w:r w:rsidRPr="00C62D22">
        <w:rPr>
          <w:rFonts w:ascii="Times New Roman" w:hAnsi="Times New Roman" w:cs="Times New Roman"/>
          <w:sz w:val="28"/>
          <w:szCs w:val="28"/>
          <w:lang w:val="uk-UA"/>
        </w:rPr>
        <w:t>І</w:t>
      </w:r>
      <w:r w:rsidRPr="00C62D22">
        <w:rPr>
          <w:rFonts w:ascii="Times New Roman" w:hAnsi="Times New Roman" w:cs="Times New Roman"/>
          <w:sz w:val="28"/>
          <w:szCs w:val="28"/>
          <w:vertAlign w:val="subscript"/>
          <w:lang w:val="uk-UA"/>
        </w:rPr>
        <w:t>ЗПА</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R</w:t>
      </w:r>
      <w:r w:rsidRPr="00C62D22">
        <w:rPr>
          <w:rFonts w:ascii="Times New Roman" w:hAnsi="Times New Roman" w:cs="Times New Roman"/>
          <w:sz w:val="28"/>
          <w:szCs w:val="28"/>
          <w:lang w:val="uk-UA"/>
        </w:rPr>
        <w:t>І</w:t>
      </w:r>
      <w:r w:rsidRPr="00C62D22">
        <w:rPr>
          <w:rFonts w:ascii="Times New Roman" w:hAnsi="Times New Roman" w:cs="Times New Roman"/>
          <w:sz w:val="28"/>
          <w:szCs w:val="28"/>
          <w:vertAlign w:val="subscript"/>
          <w:lang w:val="uk-UA"/>
        </w:rPr>
        <w:t>ВБА</w:t>
      </w:r>
      <w:r w:rsidRPr="00C62D22">
        <w:rPr>
          <w:rFonts w:ascii="Times New Roman" w:hAnsi="Times New Roman" w:cs="Times New Roman"/>
          <w:sz w:val="28"/>
          <w:szCs w:val="28"/>
          <w:lang w:val="uk-UA"/>
        </w:rPr>
        <w:t>) і співвідношенням об’ємного кровотока у загальній печінковій артерії і хвилинного об’єму кровотоку (</w:t>
      </w:r>
      <w:r w:rsidRPr="00C62D22">
        <w:rPr>
          <w:rFonts w:ascii="Times New Roman" w:hAnsi="Times New Roman" w:cs="Times New Roman"/>
          <w:sz w:val="28"/>
          <w:szCs w:val="28"/>
        </w:rPr>
        <w:t>V</w:t>
      </w:r>
      <w:r w:rsidRPr="00C62D22">
        <w:rPr>
          <w:rFonts w:ascii="Times New Roman" w:hAnsi="Times New Roman" w:cs="Times New Roman"/>
          <w:sz w:val="28"/>
          <w:szCs w:val="28"/>
          <w:lang w:val="uk-UA"/>
        </w:rPr>
        <w:t>о</w:t>
      </w:r>
      <w:r w:rsidRPr="00C62D22">
        <w:rPr>
          <w:rFonts w:ascii="Times New Roman" w:hAnsi="Times New Roman" w:cs="Times New Roman"/>
          <w:sz w:val="28"/>
          <w:szCs w:val="28"/>
          <w:vertAlign w:val="subscript"/>
          <w:lang w:val="uk-UA"/>
        </w:rPr>
        <w:t xml:space="preserve">ЗПА </w:t>
      </w:r>
      <w:r w:rsidRPr="00C62D22">
        <w:rPr>
          <w:rFonts w:ascii="Times New Roman" w:hAnsi="Times New Roman" w:cs="Times New Roman"/>
          <w:sz w:val="28"/>
          <w:szCs w:val="28"/>
          <w:lang w:val="uk-UA"/>
        </w:rPr>
        <w:t>/ХОК) залежно від тяжкості стану хворих (</w:t>
      </w:r>
      <w:r w:rsidRPr="00C62D22">
        <w:rPr>
          <w:rFonts w:ascii="Times New Roman" w:hAnsi="Times New Roman" w:cs="Times New Roman"/>
          <w:sz w:val="28"/>
          <w:szCs w:val="28"/>
        </w:rPr>
        <w:t>r</w:t>
      </w:r>
      <w:r w:rsidRPr="00C62D22">
        <w:rPr>
          <w:rFonts w:ascii="Times New Roman" w:hAnsi="Times New Roman" w:cs="Times New Roman"/>
          <w:sz w:val="28"/>
          <w:szCs w:val="28"/>
          <w:lang w:val="uk-UA"/>
        </w:rPr>
        <w:t xml:space="preserve"> = – 0,86, р&lt;0,05) та позитивним взаємозв’язок між швидкістю кровотока та </w:t>
      </w:r>
      <w:r w:rsidRPr="00C62D22">
        <w:rPr>
          <w:rFonts w:ascii="Times New Roman" w:hAnsi="Times New Roman" w:cs="Times New Roman"/>
          <w:sz w:val="28"/>
          <w:szCs w:val="28"/>
        </w:rPr>
        <w:t>R</w:t>
      </w:r>
      <w:r w:rsidRPr="00C62D22">
        <w:rPr>
          <w:rFonts w:ascii="Times New Roman" w:hAnsi="Times New Roman" w:cs="Times New Roman"/>
          <w:sz w:val="28"/>
          <w:szCs w:val="28"/>
          <w:lang w:val="uk-UA"/>
        </w:rPr>
        <w:t>І (</w:t>
      </w:r>
      <w:r w:rsidRPr="00C62D22">
        <w:rPr>
          <w:rFonts w:ascii="Times New Roman" w:hAnsi="Times New Roman" w:cs="Times New Roman"/>
          <w:sz w:val="28"/>
          <w:szCs w:val="28"/>
        </w:rPr>
        <w:t>r</w:t>
      </w:r>
      <w:r w:rsidRPr="00C62D22">
        <w:rPr>
          <w:rFonts w:ascii="Times New Roman" w:hAnsi="Times New Roman" w:cs="Times New Roman"/>
          <w:sz w:val="28"/>
          <w:szCs w:val="28"/>
          <w:lang w:val="uk-UA"/>
        </w:rPr>
        <w:t xml:space="preserve">=0,83, р=0,013). Уточнена роль профібротичних цитокінів у розвитку інтра- та перилобулярного фіброзу підшлункової залози, їх залежність між станом хворих та рівнями </w:t>
      </w:r>
      <w:r w:rsidRPr="00C62D22">
        <w:rPr>
          <w:rFonts w:ascii="Times New Roman" w:hAnsi="Times New Roman" w:cs="Times New Roman"/>
          <w:sz w:val="28"/>
          <w:szCs w:val="28"/>
        </w:rPr>
        <w:t>TGF</w:t>
      </w:r>
      <w:r w:rsidRPr="00C62D22">
        <w:rPr>
          <w:rFonts w:ascii="Times New Roman" w:hAnsi="Times New Roman" w:cs="Times New Roman"/>
          <w:sz w:val="28"/>
          <w:szCs w:val="28"/>
          <w:lang w:val="uk-UA"/>
        </w:rPr>
        <w:t>-</w:t>
      </w:r>
      <w:r w:rsidRPr="00C62D22">
        <w:rPr>
          <w:rFonts w:ascii="Times New Roman" w:hAnsi="Times New Roman" w:cs="Times New Roman"/>
          <w:sz w:val="28"/>
          <w:szCs w:val="28"/>
        </w:rPr>
        <w:sym w:font="Symbol" w:char="0062"/>
      </w:r>
      <w:r w:rsidRPr="00C62D22">
        <w:rPr>
          <w:rFonts w:ascii="Times New Roman" w:hAnsi="Times New Roman" w:cs="Times New Roman"/>
          <w:sz w:val="28"/>
          <w:szCs w:val="28"/>
          <w:lang w:val="uk-UA"/>
        </w:rPr>
        <w:t>1 (</w:t>
      </w:r>
      <w:r w:rsidRPr="00C62D22">
        <w:rPr>
          <w:rFonts w:ascii="Times New Roman" w:hAnsi="Times New Roman" w:cs="Times New Roman"/>
          <w:sz w:val="28"/>
          <w:szCs w:val="28"/>
        </w:rPr>
        <w:t>r</w:t>
      </w:r>
      <w:r w:rsidRPr="00C62D22">
        <w:rPr>
          <w:rFonts w:ascii="Times New Roman" w:hAnsi="Times New Roman" w:cs="Times New Roman"/>
          <w:sz w:val="28"/>
          <w:szCs w:val="28"/>
        </w:rPr>
        <w:sym w:font="Symbol" w:char="003D"/>
      </w:r>
      <w:r w:rsidRPr="00C62D22">
        <w:rPr>
          <w:rFonts w:ascii="Times New Roman" w:hAnsi="Times New Roman" w:cs="Times New Roman"/>
          <w:sz w:val="28"/>
          <w:szCs w:val="28"/>
          <w:lang w:val="uk-UA"/>
        </w:rPr>
        <w:t xml:space="preserve">0,69), </w:t>
      </w:r>
      <w:r w:rsidRPr="00C62D22">
        <w:rPr>
          <w:rFonts w:ascii="Times New Roman" w:hAnsi="Times New Roman" w:cs="Times New Roman"/>
          <w:sz w:val="28"/>
          <w:szCs w:val="28"/>
        </w:rPr>
        <w:t>IL</w:t>
      </w:r>
      <w:r w:rsidRPr="00C62D22">
        <w:rPr>
          <w:rFonts w:ascii="Times New Roman" w:hAnsi="Times New Roman" w:cs="Times New Roman"/>
          <w:sz w:val="28"/>
          <w:szCs w:val="28"/>
          <w:lang w:val="uk-UA"/>
        </w:rPr>
        <w:t>-6 (</w:t>
      </w:r>
      <w:r w:rsidRPr="00C62D22">
        <w:rPr>
          <w:rFonts w:ascii="Times New Roman" w:hAnsi="Times New Roman" w:cs="Times New Roman"/>
          <w:sz w:val="28"/>
          <w:szCs w:val="28"/>
        </w:rPr>
        <w:t>r</w:t>
      </w:r>
      <w:r w:rsidRPr="00C62D22">
        <w:rPr>
          <w:rFonts w:ascii="Times New Roman" w:hAnsi="Times New Roman" w:cs="Times New Roman"/>
          <w:sz w:val="28"/>
          <w:szCs w:val="28"/>
        </w:rPr>
        <w:sym w:font="Symbol" w:char="003D"/>
      </w:r>
      <w:r w:rsidRPr="00C62D22">
        <w:rPr>
          <w:rFonts w:ascii="Times New Roman" w:hAnsi="Times New Roman" w:cs="Times New Roman"/>
          <w:sz w:val="28"/>
          <w:szCs w:val="28"/>
          <w:lang w:val="uk-UA"/>
        </w:rPr>
        <w:t xml:space="preserve">0,68), </w:t>
      </w:r>
      <w:r w:rsidRPr="00C62D22">
        <w:rPr>
          <w:rFonts w:ascii="Times New Roman" w:hAnsi="Times New Roman" w:cs="Times New Roman"/>
          <w:sz w:val="28"/>
          <w:szCs w:val="28"/>
        </w:rPr>
        <w:t>IL</w:t>
      </w:r>
      <w:r w:rsidRPr="00C62D22">
        <w:rPr>
          <w:rFonts w:ascii="Times New Roman" w:hAnsi="Times New Roman" w:cs="Times New Roman"/>
          <w:sz w:val="28"/>
          <w:szCs w:val="28"/>
          <w:lang w:val="uk-UA"/>
        </w:rPr>
        <w:t>-8 (</w:t>
      </w:r>
      <w:r w:rsidRPr="00C62D22">
        <w:rPr>
          <w:rFonts w:ascii="Times New Roman" w:hAnsi="Times New Roman" w:cs="Times New Roman"/>
          <w:sz w:val="28"/>
          <w:szCs w:val="28"/>
        </w:rPr>
        <w:t>r</w:t>
      </w:r>
      <w:r w:rsidRPr="00C62D22">
        <w:rPr>
          <w:rFonts w:ascii="Times New Roman" w:hAnsi="Times New Roman" w:cs="Times New Roman"/>
          <w:sz w:val="28"/>
          <w:szCs w:val="28"/>
        </w:rPr>
        <w:sym w:font="Symbol" w:char="003D"/>
      </w:r>
      <w:r w:rsidRPr="00C62D22">
        <w:rPr>
          <w:rFonts w:ascii="Times New Roman" w:hAnsi="Times New Roman" w:cs="Times New Roman"/>
          <w:sz w:val="28"/>
          <w:szCs w:val="28"/>
          <w:lang w:val="uk-UA"/>
        </w:rPr>
        <w:t xml:space="preserve">0,57), </w:t>
      </w:r>
      <w:r w:rsidRPr="00C62D22">
        <w:rPr>
          <w:rFonts w:ascii="Times New Roman" w:hAnsi="Times New Roman" w:cs="Times New Roman"/>
          <w:sz w:val="28"/>
          <w:szCs w:val="28"/>
        </w:rPr>
        <w:t>IL</w:t>
      </w:r>
      <w:r w:rsidRPr="00C62D22">
        <w:rPr>
          <w:rFonts w:ascii="Times New Roman" w:hAnsi="Times New Roman" w:cs="Times New Roman"/>
          <w:sz w:val="28"/>
          <w:szCs w:val="28"/>
          <w:lang w:val="uk-UA"/>
        </w:rPr>
        <w:t>-10 (</w:t>
      </w:r>
      <w:r w:rsidRPr="00C62D22">
        <w:rPr>
          <w:rFonts w:ascii="Times New Roman" w:hAnsi="Times New Roman" w:cs="Times New Roman"/>
          <w:sz w:val="28"/>
          <w:szCs w:val="28"/>
        </w:rPr>
        <w:t>r</w:t>
      </w:r>
      <w:r w:rsidRPr="00C62D22">
        <w:rPr>
          <w:rFonts w:ascii="Times New Roman" w:hAnsi="Times New Roman" w:cs="Times New Roman"/>
          <w:sz w:val="28"/>
          <w:szCs w:val="28"/>
        </w:rPr>
        <w:sym w:font="Symbol" w:char="003D"/>
      </w:r>
      <w:r w:rsidRPr="00C62D22">
        <w:rPr>
          <w:rFonts w:ascii="Times New Roman" w:hAnsi="Times New Roman" w:cs="Times New Roman"/>
          <w:sz w:val="28"/>
          <w:szCs w:val="28"/>
          <w:lang w:val="uk-UA"/>
        </w:rPr>
        <w:t xml:space="preserve">0,73) і </w:t>
      </w:r>
      <w:r w:rsidRPr="00C62D22">
        <w:rPr>
          <w:rFonts w:ascii="Times New Roman" w:hAnsi="Times New Roman" w:cs="Times New Roman"/>
          <w:sz w:val="28"/>
          <w:szCs w:val="28"/>
        </w:rPr>
        <w:t>IL</w:t>
      </w:r>
      <w:r w:rsidRPr="00C62D22">
        <w:rPr>
          <w:rFonts w:ascii="Times New Roman" w:hAnsi="Times New Roman" w:cs="Times New Roman"/>
          <w:sz w:val="28"/>
          <w:szCs w:val="28"/>
          <w:lang w:val="uk-UA"/>
        </w:rPr>
        <w:t>-18 (</w:t>
      </w:r>
      <w:r w:rsidRPr="00C62D22">
        <w:rPr>
          <w:rFonts w:ascii="Times New Roman" w:hAnsi="Times New Roman" w:cs="Times New Roman"/>
          <w:sz w:val="28"/>
          <w:szCs w:val="28"/>
        </w:rPr>
        <w:t>r</w:t>
      </w:r>
      <w:r w:rsidRPr="00C62D22">
        <w:rPr>
          <w:rFonts w:ascii="Times New Roman" w:hAnsi="Times New Roman" w:cs="Times New Roman"/>
          <w:sz w:val="28"/>
          <w:szCs w:val="28"/>
        </w:rPr>
        <w:sym w:font="Symbol" w:char="003D"/>
      </w:r>
      <w:r w:rsidRPr="00C62D22">
        <w:rPr>
          <w:rFonts w:ascii="Times New Roman" w:hAnsi="Times New Roman" w:cs="Times New Roman"/>
          <w:sz w:val="28"/>
          <w:szCs w:val="28"/>
          <w:lang w:val="uk-UA"/>
        </w:rPr>
        <w:t>0,82) у сироватці крові (р</w:t>
      </w:r>
      <w:r w:rsidRPr="00C62D22">
        <w:rPr>
          <w:rFonts w:ascii="Times New Roman" w:hAnsi="Times New Roman" w:cs="Times New Roman"/>
          <w:sz w:val="28"/>
          <w:szCs w:val="28"/>
        </w:rPr>
        <w:sym w:font="Symbol" w:char="003C"/>
      </w:r>
      <w:r w:rsidRPr="00C62D22">
        <w:rPr>
          <w:rFonts w:ascii="Times New Roman" w:hAnsi="Times New Roman" w:cs="Times New Roman"/>
          <w:sz w:val="28"/>
          <w:szCs w:val="28"/>
          <w:lang w:val="uk-UA"/>
        </w:rPr>
        <w:t xml:space="preserve">0,05) зі зниженням співвідношення </w:t>
      </w:r>
      <w:r w:rsidRPr="00C62D22">
        <w:rPr>
          <w:rFonts w:ascii="Times New Roman" w:hAnsi="Times New Roman" w:cs="Times New Roman"/>
          <w:sz w:val="28"/>
          <w:szCs w:val="28"/>
        </w:rPr>
        <w:t>IL</w:t>
      </w:r>
      <w:r w:rsidRPr="00C62D22">
        <w:rPr>
          <w:rFonts w:ascii="Times New Roman" w:hAnsi="Times New Roman" w:cs="Times New Roman"/>
          <w:sz w:val="28"/>
          <w:szCs w:val="28"/>
          <w:lang w:val="uk-UA"/>
        </w:rPr>
        <w:t>-18/</w:t>
      </w:r>
      <w:r w:rsidRPr="00C62D22">
        <w:rPr>
          <w:rFonts w:ascii="Times New Roman" w:hAnsi="Times New Roman" w:cs="Times New Roman"/>
          <w:sz w:val="28"/>
          <w:szCs w:val="28"/>
        </w:rPr>
        <w:t>IL</w:t>
      </w:r>
      <w:r w:rsidRPr="00C62D22">
        <w:rPr>
          <w:rFonts w:ascii="Times New Roman" w:hAnsi="Times New Roman" w:cs="Times New Roman"/>
          <w:sz w:val="28"/>
          <w:szCs w:val="28"/>
          <w:lang w:val="uk-UA"/>
        </w:rPr>
        <w:t>-10 (</w:t>
      </w:r>
      <w:r w:rsidRPr="00C62D22">
        <w:rPr>
          <w:rFonts w:ascii="Times New Roman" w:hAnsi="Times New Roman" w:cs="Times New Roman"/>
          <w:sz w:val="28"/>
          <w:szCs w:val="28"/>
        </w:rPr>
        <w:t>p</w:t>
      </w:r>
      <w:r w:rsidRPr="00C62D22">
        <w:rPr>
          <w:rFonts w:ascii="Times New Roman" w:hAnsi="Times New Roman" w:cs="Times New Roman"/>
          <w:sz w:val="28"/>
          <w:szCs w:val="28"/>
        </w:rPr>
        <w:sym w:font="Symbol" w:char="003C"/>
      </w:r>
      <w:r w:rsidRPr="00C62D22">
        <w:rPr>
          <w:rFonts w:ascii="Times New Roman" w:hAnsi="Times New Roman" w:cs="Times New Roman"/>
          <w:sz w:val="28"/>
          <w:szCs w:val="28"/>
          <w:lang w:val="uk-UA"/>
        </w:rPr>
        <w:t>0,05), рівень якого корелює із несприятливим прогнозом захворювання (</w:t>
      </w:r>
      <w:r w:rsidRPr="00C62D22">
        <w:rPr>
          <w:rFonts w:ascii="Times New Roman" w:hAnsi="Times New Roman" w:cs="Times New Roman"/>
          <w:sz w:val="28"/>
          <w:szCs w:val="28"/>
        </w:rPr>
        <w:t>r</w:t>
      </w:r>
      <w:r w:rsidRPr="00C62D22">
        <w:rPr>
          <w:rFonts w:ascii="Times New Roman" w:hAnsi="Times New Roman" w:cs="Times New Roman"/>
          <w:sz w:val="28"/>
          <w:szCs w:val="28"/>
          <w:lang w:val="uk-UA"/>
        </w:rPr>
        <w:t xml:space="preserve"> = </w:t>
      </w:r>
      <w:r w:rsidRPr="00C62D22">
        <w:rPr>
          <w:rFonts w:ascii="Times New Roman" w:hAnsi="Times New Roman" w:cs="Times New Roman"/>
          <w:sz w:val="28"/>
          <w:szCs w:val="28"/>
        </w:rPr>
        <w:sym w:font="Symbol" w:char="002D"/>
      </w:r>
      <w:r w:rsidRPr="00C62D22">
        <w:rPr>
          <w:rFonts w:ascii="Times New Roman" w:hAnsi="Times New Roman" w:cs="Times New Roman"/>
          <w:sz w:val="28"/>
          <w:szCs w:val="28"/>
          <w:lang w:val="uk-UA"/>
        </w:rPr>
        <w:t xml:space="preserve"> 0,87, р&lt;0,01), з глибокою депресію антиоксидантного захисту, виснаженням його резервів в результаті активації перекисного окислення ліпідів і оксидативного стресу.</w:t>
      </w:r>
      <w:r w:rsidRPr="00C62D22">
        <w:rPr>
          <w:rStyle w:val="hps"/>
          <w:rFonts w:ascii="Times New Roman" w:hAnsi="Times New Roman" w:cs="Times New Roman"/>
          <w:sz w:val="28"/>
          <w:szCs w:val="28"/>
          <w:lang w:val="uk-UA"/>
        </w:rPr>
        <w:t xml:space="preserve"> Вперше встановлено, що </w:t>
      </w:r>
      <w:r w:rsidRPr="00C62D22">
        <w:rPr>
          <w:rFonts w:ascii="Times New Roman" w:hAnsi="Times New Roman" w:cs="Times New Roman"/>
          <w:sz w:val="28"/>
          <w:szCs w:val="28"/>
          <w:lang w:val="uk-UA"/>
        </w:rPr>
        <w:t xml:space="preserve">при різних типах ускладнених псевдокіст підшлункової залози має місце порушення балансу ММП-9 та його інгібітору </w:t>
      </w:r>
      <w:r w:rsidRPr="00C62D22">
        <w:rPr>
          <w:rFonts w:ascii="Times New Roman" w:hAnsi="Times New Roman" w:cs="Times New Roman"/>
          <w:sz w:val="28"/>
          <w:szCs w:val="28"/>
        </w:rPr>
        <w:t>T</w:t>
      </w:r>
      <w:r w:rsidRPr="00C62D22">
        <w:rPr>
          <w:rFonts w:ascii="Times New Roman" w:hAnsi="Times New Roman" w:cs="Times New Roman"/>
          <w:sz w:val="28"/>
          <w:szCs w:val="28"/>
          <w:lang w:val="uk-UA"/>
        </w:rPr>
        <w:t>І</w:t>
      </w:r>
      <w:r w:rsidRPr="00C62D22">
        <w:rPr>
          <w:rFonts w:ascii="Times New Roman" w:hAnsi="Times New Roman" w:cs="Times New Roman"/>
          <w:sz w:val="28"/>
          <w:szCs w:val="28"/>
        </w:rPr>
        <w:t>M</w:t>
      </w:r>
      <w:r w:rsidRPr="00C62D22">
        <w:rPr>
          <w:rFonts w:ascii="Times New Roman" w:hAnsi="Times New Roman" w:cs="Times New Roman"/>
          <w:sz w:val="28"/>
          <w:szCs w:val="28"/>
          <w:lang w:val="uk-UA"/>
        </w:rPr>
        <w:t xml:space="preserve">П–2, що має визначальне значення для швидкості протеолізу позаклітинних матриксних компонентів з переважанням процесів їх утворення та накопичення, про що свідчить збільшення коефіцієнту </w:t>
      </w:r>
      <w:r w:rsidRPr="00C62D22">
        <w:rPr>
          <w:rFonts w:ascii="Times New Roman" w:hAnsi="Times New Roman" w:cs="Times New Roman"/>
          <w:sz w:val="28"/>
          <w:szCs w:val="28"/>
        </w:rPr>
        <w:t>MM</w:t>
      </w:r>
      <w:r w:rsidRPr="00C62D22">
        <w:rPr>
          <w:rFonts w:ascii="Times New Roman" w:hAnsi="Times New Roman" w:cs="Times New Roman"/>
          <w:sz w:val="28"/>
          <w:szCs w:val="28"/>
          <w:lang w:val="uk-UA"/>
        </w:rPr>
        <w:t>П–9/</w:t>
      </w:r>
      <w:r w:rsidRPr="00C62D22">
        <w:rPr>
          <w:rFonts w:ascii="Times New Roman" w:hAnsi="Times New Roman" w:cs="Times New Roman"/>
          <w:sz w:val="28"/>
          <w:szCs w:val="28"/>
        </w:rPr>
        <w:t>T</w:t>
      </w:r>
      <w:r w:rsidRPr="00C62D22">
        <w:rPr>
          <w:rFonts w:ascii="Times New Roman" w:hAnsi="Times New Roman" w:cs="Times New Roman"/>
          <w:sz w:val="28"/>
          <w:szCs w:val="28"/>
          <w:lang w:val="uk-UA"/>
        </w:rPr>
        <w:t>І</w:t>
      </w:r>
      <w:r w:rsidRPr="00C62D22">
        <w:rPr>
          <w:rFonts w:ascii="Times New Roman" w:hAnsi="Times New Roman" w:cs="Times New Roman"/>
          <w:sz w:val="28"/>
          <w:szCs w:val="28"/>
        </w:rPr>
        <w:t>M</w:t>
      </w:r>
      <w:r w:rsidRPr="00C62D22">
        <w:rPr>
          <w:rFonts w:ascii="Times New Roman" w:hAnsi="Times New Roman" w:cs="Times New Roman"/>
          <w:sz w:val="28"/>
          <w:szCs w:val="28"/>
          <w:lang w:val="uk-UA"/>
        </w:rPr>
        <w:t xml:space="preserve">П–2 у хворих з </w:t>
      </w:r>
      <w:r w:rsidRPr="00C62D22">
        <w:rPr>
          <w:rFonts w:ascii="Times New Roman" w:hAnsi="Times New Roman" w:cs="Times New Roman"/>
          <w:sz w:val="28"/>
          <w:szCs w:val="28"/>
        </w:rPr>
        <w:t>I</w:t>
      </w:r>
      <w:r w:rsidRPr="00C62D22">
        <w:rPr>
          <w:rFonts w:ascii="Times New Roman" w:hAnsi="Times New Roman" w:cs="Times New Roman"/>
          <w:sz w:val="28"/>
          <w:szCs w:val="28"/>
          <w:lang w:val="uk-UA"/>
        </w:rPr>
        <w:t xml:space="preserve"> і </w:t>
      </w:r>
      <w:r w:rsidRPr="00C62D22">
        <w:rPr>
          <w:rFonts w:ascii="Times New Roman" w:hAnsi="Times New Roman" w:cs="Times New Roman"/>
          <w:sz w:val="28"/>
          <w:szCs w:val="28"/>
        </w:rPr>
        <w:t>II</w:t>
      </w:r>
      <w:r w:rsidRPr="00C62D22">
        <w:rPr>
          <w:rFonts w:ascii="Times New Roman" w:hAnsi="Times New Roman" w:cs="Times New Roman"/>
          <w:sz w:val="28"/>
          <w:szCs w:val="28"/>
          <w:lang w:val="uk-UA"/>
        </w:rPr>
        <w:t xml:space="preserve"> типами псевдокіст (0,67 – хворі, 0,25 – контроль, р&lt;0,001) та його зниження при </w:t>
      </w:r>
      <w:r w:rsidRPr="00C62D22">
        <w:rPr>
          <w:rFonts w:ascii="Times New Roman" w:hAnsi="Times New Roman" w:cs="Times New Roman"/>
          <w:sz w:val="28"/>
          <w:szCs w:val="28"/>
        </w:rPr>
        <w:t>III</w:t>
      </w:r>
      <w:r w:rsidRPr="00C62D22">
        <w:rPr>
          <w:rFonts w:ascii="Times New Roman" w:hAnsi="Times New Roman" w:cs="Times New Roman"/>
          <w:sz w:val="28"/>
          <w:szCs w:val="28"/>
          <w:lang w:val="uk-UA"/>
        </w:rPr>
        <w:t xml:space="preserve"> типі (0,53 – хворі, р&lt;0,001). </w:t>
      </w:r>
      <w:r w:rsidRPr="00C62D22">
        <w:rPr>
          <w:rStyle w:val="hps"/>
          <w:rFonts w:ascii="Times New Roman" w:hAnsi="Times New Roman" w:cs="Times New Roman"/>
          <w:sz w:val="28"/>
          <w:szCs w:val="28"/>
          <w:lang w:val="uk-UA"/>
        </w:rPr>
        <w:t>При всіх типах псевдокіст присутній позитивний зв'язок між рівнем ММП</w:t>
      </w:r>
      <w:r w:rsidRPr="00C62D22">
        <w:rPr>
          <w:rFonts w:ascii="Times New Roman" w:hAnsi="Times New Roman" w:cs="Times New Roman"/>
          <w:sz w:val="28"/>
          <w:szCs w:val="28"/>
          <w:lang w:val="uk-UA"/>
        </w:rPr>
        <w:t>–</w:t>
      </w:r>
      <w:r w:rsidRPr="00C62D22">
        <w:rPr>
          <w:rStyle w:val="hps"/>
          <w:rFonts w:ascii="Times New Roman" w:hAnsi="Times New Roman" w:cs="Times New Roman"/>
          <w:sz w:val="28"/>
          <w:szCs w:val="28"/>
          <w:lang w:val="uk-UA"/>
        </w:rPr>
        <w:t xml:space="preserve">9 і показником </w:t>
      </w:r>
      <w:r w:rsidRPr="00C62D22">
        <w:rPr>
          <w:rStyle w:val="hps"/>
          <w:rFonts w:ascii="Times New Roman" w:hAnsi="Times New Roman" w:cs="Times New Roman"/>
          <w:sz w:val="28"/>
          <w:szCs w:val="28"/>
        </w:rPr>
        <w:t>VEGF</w:t>
      </w:r>
      <w:r w:rsidRPr="00C62D22">
        <w:rPr>
          <w:rStyle w:val="hps"/>
          <w:rFonts w:ascii="Times New Roman" w:hAnsi="Times New Roman" w:cs="Times New Roman"/>
          <w:sz w:val="28"/>
          <w:szCs w:val="28"/>
          <w:lang w:val="uk-UA"/>
        </w:rPr>
        <w:t xml:space="preserve"> (</w:t>
      </w:r>
      <w:r w:rsidRPr="00C62D22">
        <w:rPr>
          <w:rStyle w:val="hps"/>
          <w:rFonts w:ascii="Times New Roman" w:hAnsi="Times New Roman" w:cs="Times New Roman"/>
          <w:sz w:val="28"/>
          <w:szCs w:val="28"/>
        </w:rPr>
        <w:t>p</w:t>
      </w:r>
      <w:r w:rsidRPr="00C62D22">
        <w:rPr>
          <w:rStyle w:val="hps"/>
          <w:rFonts w:ascii="Times New Roman" w:hAnsi="Times New Roman" w:cs="Times New Roman"/>
          <w:sz w:val="28"/>
          <w:szCs w:val="28"/>
          <w:lang w:val="uk-UA"/>
        </w:rPr>
        <w:t xml:space="preserve">&lt;0,05), а </w:t>
      </w:r>
      <w:r w:rsidRPr="00C62D22">
        <w:rPr>
          <w:rFonts w:ascii="Times New Roman" w:hAnsi="Times New Roman" w:cs="Times New Roman"/>
          <w:sz w:val="28"/>
          <w:szCs w:val="28"/>
          <w:lang w:val="uk-UA"/>
        </w:rPr>
        <w:t xml:space="preserve">сукупність профібротичних цитокінів, що секретуються в кровоток, забезпечує зрушення ендотеліального гомеостазу в прозапальному напрямку, що дозволяє визначити цей механізм як розвиток ендотеліальної протизапальної </w:t>
      </w:r>
      <w:r w:rsidRPr="00C62D22">
        <w:rPr>
          <w:rFonts w:ascii="Times New Roman" w:hAnsi="Times New Roman" w:cs="Times New Roman"/>
          <w:sz w:val="28"/>
          <w:szCs w:val="28"/>
          <w:lang w:val="uk-UA"/>
        </w:rPr>
        <w:lastRenderedPageBreak/>
        <w:t>дисфункції.</w:t>
      </w:r>
      <w:r w:rsidRPr="00C62D22">
        <w:rPr>
          <w:rStyle w:val="hps"/>
          <w:rFonts w:ascii="Times New Roman" w:hAnsi="Times New Roman" w:cs="Times New Roman"/>
          <w:sz w:val="28"/>
          <w:szCs w:val="28"/>
          <w:lang w:val="uk-UA"/>
        </w:rPr>
        <w:t xml:space="preserve"> </w:t>
      </w:r>
      <w:r w:rsidRPr="00C62D22">
        <w:rPr>
          <w:rFonts w:ascii="Times New Roman" w:hAnsi="Times New Roman" w:cs="Times New Roman"/>
          <w:sz w:val="28"/>
          <w:szCs w:val="28"/>
          <w:lang w:val="uk-UA"/>
        </w:rPr>
        <w:t>Морфологічні дослідження стінок псевд</w:t>
      </w:r>
      <w:r w:rsidRPr="00C62D22">
        <w:rPr>
          <w:rFonts w:ascii="Times New Roman" w:hAnsi="Times New Roman" w:cs="Times New Roman"/>
          <w:sz w:val="28"/>
          <w:szCs w:val="28"/>
          <w:lang w:val="en-US"/>
        </w:rPr>
        <w:t>o</w:t>
      </w:r>
      <w:r w:rsidRPr="00C62D22">
        <w:rPr>
          <w:rFonts w:ascii="Times New Roman" w:hAnsi="Times New Roman" w:cs="Times New Roman"/>
          <w:sz w:val="28"/>
          <w:szCs w:val="28"/>
          <w:lang w:val="uk-UA"/>
        </w:rPr>
        <w:t xml:space="preserve">кіст та прилеглої паренхіми підшлункової залози підтвердили роль колагенів різних типів у формуванні та визначенні напрямку ремоделювання органу із різною здатністю ендотеліоцитів судин експресувати рецептори до ендотеліну-1 та високу ступінь експресії клітинами </w:t>
      </w:r>
      <w:r w:rsidRPr="00C62D22">
        <w:rPr>
          <w:rFonts w:ascii="Times New Roman" w:hAnsi="Times New Roman" w:cs="Times New Roman"/>
          <w:sz w:val="28"/>
          <w:szCs w:val="28"/>
        </w:rPr>
        <w:t>HL</w:t>
      </w:r>
      <w:r w:rsidRPr="00C62D22">
        <w:rPr>
          <w:rFonts w:ascii="Times New Roman" w:hAnsi="Times New Roman" w:cs="Times New Roman"/>
          <w:sz w:val="28"/>
          <w:szCs w:val="28"/>
          <w:lang w:val="uk-UA"/>
        </w:rPr>
        <w:t>А-</w:t>
      </w:r>
      <w:r w:rsidRPr="00C62D22">
        <w:rPr>
          <w:rFonts w:ascii="Times New Roman" w:hAnsi="Times New Roman" w:cs="Times New Roman"/>
          <w:sz w:val="28"/>
          <w:szCs w:val="28"/>
        </w:rPr>
        <w:t>DR</w:t>
      </w:r>
      <w:r w:rsidRPr="00C62D22">
        <w:rPr>
          <w:rFonts w:ascii="Times New Roman" w:hAnsi="Times New Roman" w:cs="Times New Roman"/>
          <w:sz w:val="28"/>
          <w:szCs w:val="28"/>
          <w:lang w:val="uk-UA"/>
        </w:rPr>
        <w:t xml:space="preserve">-антигену при </w:t>
      </w:r>
      <w:r w:rsidRPr="00C62D22">
        <w:rPr>
          <w:rFonts w:ascii="Times New Roman" w:hAnsi="Times New Roman" w:cs="Times New Roman"/>
          <w:sz w:val="28"/>
          <w:szCs w:val="28"/>
        </w:rPr>
        <w:t>III</w:t>
      </w:r>
      <w:r w:rsidRPr="00C62D22">
        <w:rPr>
          <w:rFonts w:ascii="Times New Roman" w:hAnsi="Times New Roman" w:cs="Times New Roman"/>
          <w:sz w:val="28"/>
          <w:szCs w:val="28"/>
          <w:lang w:val="uk-UA"/>
        </w:rPr>
        <w:t xml:space="preserve"> типі псевдокіст (на 153,4% та 131,3% щодо псевдокіст </w:t>
      </w:r>
      <w:r w:rsidRPr="00C62D22">
        <w:rPr>
          <w:rFonts w:ascii="Times New Roman" w:hAnsi="Times New Roman" w:cs="Times New Roman"/>
          <w:sz w:val="28"/>
          <w:szCs w:val="28"/>
        </w:rPr>
        <w:t>I</w:t>
      </w:r>
      <w:r w:rsidRPr="00C62D22">
        <w:rPr>
          <w:rFonts w:ascii="Times New Roman" w:hAnsi="Times New Roman" w:cs="Times New Roman"/>
          <w:sz w:val="28"/>
          <w:szCs w:val="28"/>
          <w:lang w:val="uk-UA"/>
        </w:rPr>
        <w:t xml:space="preserve"> і </w:t>
      </w:r>
      <w:r w:rsidRPr="00C62D22">
        <w:rPr>
          <w:rFonts w:ascii="Times New Roman" w:hAnsi="Times New Roman" w:cs="Times New Roman"/>
          <w:sz w:val="28"/>
          <w:szCs w:val="28"/>
        </w:rPr>
        <w:t>II</w:t>
      </w:r>
      <w:r w:rsidRPr="00C62D22">
        <w:rPr>
          <w:rFonts w:ascii="Times New Roman" w:hAnsi="Times New Roman" w:cs="Times New Roman"/>
          <w:sz w:val="28"/>
          <w:szCs w:val="28"/>
          <w:lang w:val="uk-UA"/>
        </w:rPr>
        <w:t xml:space="preserve"> типів, </w:t>
      </w:r>
      <w:r w:rsidRPr="00C62D22">
        <w:rPr>
          <w:rFonts w:ascii="Times New Roman" w:hAnsi="Times New Roman" w:cs="Times New Roman"/>
          <w:sz w:val="28"/>
          <w:szCs w:val="28"/>
        </w:rPr>
        <w:t>p</w:t>
      </w:r>
      <w:r w:rsidRPr="00C62D22">
        <w:rPr>
          <w:rFonts w:ascii="Times New Roman" w:hAnsi="Times New Roman" w:cs="Times New Roman"/>
          <w:sz w:val="28"/>
          <w:szCs w:val="28"/>
        </w:rPr>
        <w:sym w:font="Symbol" w:char="003C"/>
      </w:r>
      <w:r w:rsidRPr="00C62D22">
        <w:rPr>
          <w:rFonts w:ascii="Times New Roman" w:hAnsi="Times New Roman" w:cs="Times New Roman"/>
          <w:sz w:val="28"/>
          <w:szCs w:val="28"/>
          <w:lang w:val="uk-UA"/>
        </w:rPr>
        <w:t>0,05) із максимально вираженою макрофагальною реакцією. В роботі доповнені дослідження щодо доцільності використання різних методів мініінвазивних хірургічних втручань, проведено їх порівняльний аналіз, а на основі отриманих даних оптимізовані методи лікування хворих з ускладненими псевдокістами підшлункової залози, шляхом індивідуалізації хірургічної тактики. Було запропоновано і вдосконалено способи хірургічного лікування, які зменшують чи запобігають розвитку післяопераційних ускладнень та покращують якість життя хворих у віддаленому післяопераційному періоді на основі способу прогнозування вибору тактики «</w:t>
      </w:r>
      <w:r w:rsidRPr="00C62D22">
        <w:rPr>
          <w:rFonts w:ascii="Times New Roman" w:hAnsi="Times New Roman" w:cs="Times New Roman"/>
          <w:sz w:val="28"/>
          <w:szCs w:val="28"/>
        </w:rPr>
        <w:t>step</w:t>
      </w:r>
      <w:r w:rsidRPr="00C62D22">
        <w:rPr>
          <w:rFonts w:ascii="Times New Roman" w:hAnsi="Times New Roman" w:cs="Times New Roman"/>
          <w:sz w:val="28"/>
          <w:szCs w:val="28"/>
          <w:lang w:val="uk-UA"/>
        </w:rPr>
        <w:t>-</w:t>
      </w:r>
      <w:r w:rsidRPr="00C62D22">
        <w:rPr>
          <w:rFonts w:ascii="Times New Roman" w:hAnsi="Times New Roman" w:cs="Times New Roman"/>
          <w:sz w:val="28"/>
          <w:szCs w:val="28"/>
        </w:rPr>
        <w:t>up</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approach</w:t>
      </w:r>
      <w:r w:rsidRPr="00C62D22">
        <w:rPr>
          <w:rFonts w:ascii="Times New Roman" w:hAnsi="Times New Roman" w:cs="Times New Roman"/>
          <w:sz w:val="28"/>
          <w:szCs w:val="28"/>
          <w:lang w:val="uk-UA"/>
        </w:rPr>
        <w:t xml:space="preserve">» з визначенням відповідних математичних критеріїв, побудови класифікаційних функцій і їх аналізу. </w:t>
      </w:r>
      <w:r w:rsidRPr="00C62D22">
        <w:rPr>
          <w:rFonts w:ascii="Times New Roman" w:hAnsi="Times New Roman" w:cs="Times New Roman"/>
          <w:sz w:val="28"/>
          <w:szCs w:val="28"/>
        </w:rPr>
        <w:t xml:space="preserve">Виконане дослідження дозволило розробити нові та удосконалити існуючі методи діагностики та лікування хворих на ускладнені псевдокісти. </w:t>
      </w:r>
    </w:p>
    <w:p w:rsidR="0021764E" w:rsidRPr="00C62D22" w:rsidRDefault="0021764E" w:rsidP="0021764E">
      <w:pPr>
        <w:spacing w:after="0" w:line="360" w:lineRule="auto"/>
        <w:ind w:firstLine="539"/>
        <w:jc w:val="both"/>
        <w:rPr>
          <w:rFonts w:ascii="Times New Roman" w:hAnsi="Times New Roman" w:cs="Times New Roman"/>
          <w:sz w:val="28"/>
          <w:szCs w:val="28"/>
        </w:rPr>
      </w:pPr>
      <w:r w:rsidRPr="00C62D22">
        <w:rPr>
          <w:rFonts w:ascii="Times New Roman" w:hAnsi="Times New Roman" w:cs="Times New Roman"/>
          <w:sz w:val="28"/>
          <w:szCs w:val="28"/>
        </w:rPr>
        <w:t xml:space="preserve">Використання розробленої раціональної програми комплексної діагностики у хворих з різними типами ускладнених псевдокіст підшлункової залози із використанням сучасних методів обстеження хворих сприяло покращенню результатів доопераційної діагностики. Обґрунтовані та математично доведені переваги застосування мініінвазивних методів хірургічного лікування. Розроблено та впроваджено в практику нові способи формування панкреатоентероанастомозів (Пат. України № 92451, заявка на патент України на винахід № а201610033), та панкреатогастроанастомозу (Пат. № 100246), які спрямовані на попередження розвитку несталості анастомозів та утворення панкреатичних нориць у післяопераційному періоді, що у свою чергу знижувало кількість ранніх післяопераційних ускладнень та покращує якість життя хворих. Розроблено та впроваджено в практику спосіб хірургічного лікування ускладнених псевдокіст підшлункової залози, ускладнених нагноєнням (Пат. № 95264) та спосіб </w:t>
      </w:r>
      <w:r w:rsidRPr="00C62D22">
        <w:rPr>
          <w:rFonts w:ascii="Times New Roman" w:hAnsi="Times New Roman" w:cs="Times New Roman"/>
          <w:sz w:val="28"/>
          <w:szCs w:val="28"/>
        </w:rPr>
        <w:lastRenderedPageBreak/>
        <w:t xml:space="preserve">хірургічного лікування псевдокіст підшлункової залози, ускладнених арозивною кровотечею у порожнину псевдокісти, (Пат. № 95265), які спрямовані на попередження розвитку післяопераційних ускладнень. Отримано галузеве нововведення на розроблений спосіб лікування хронічного панкреатиту, ускладненого непрохідністю термінальної частини холедоху (Пат. №77100), який включав формування панкреатоентероанастомозу, холецистоєюноанастомозу та холецисто-гепатикоанастомозу, що дозволило ефективно відновлювати адекватний пасаж панкреатичного соку та жовчі й скоротити терміни стаціонарного лікування та покращити якість життя хворих. Розроблено та впроваджено в практику новий спосіб прогнозування ускладненого перебігу післяопераційного панкреатиту (Пат. №100586), що дозволило знизити кількість післяопераційних ускладнень. </w:t>
      </w: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b/>
          <w:sz w:val="28"/>
          <w:szCs w:val="28"/>
        </w:rPr>
        <w:t>Ключові слова</w:t>
      </w:r>
      <w:r w:rsidRPr="00C62D22">
        <w:rPr>
          <w:rFonts w:ascii="Times New Roman" w:hAnsi="Times New Roman" w:cs="Times New Roman"/>
          <w:sz w:val="28"/>
          <w:szCs w:val="28"/>
        </w:rPr>
        <w:t>: ускладнені псевдокісти підшлункової залози, діагностика, матриксні металопротеїнази, оксидативний стрес, фіброзна тканина, неоангіогенез, ендотеліальна дисфункція, печінково-спланхнічний кровоток, мініінвазивні втручання, тактика «step-up approach», прогнозування ускладнень, якість життя.</w:t>
      </w:r>
    </w:p>
    <w:p w:rsidR="0021764E" w:rsidRPr="00C62D22" w:rsidRDefault="0021764E" w:rsidP="0021764E">
      <w:pPr>
        <w:spacing w:after="0" w:line="360" w:lineRule="auto"/>
        <w:jc w:val="center"/>
        <w:rPr>
          <w:rFonts w:ascii="Times New Roman" w:hAnsi="Times New Roman" w:cs="Times New Roman"/>
          <w:b/>
          <w:i/>
          <w:sz w:val="28"/>
          <w:szCs w:val="28"/>
        </w:rPr>
      </w:pPr>
    </w:p>
    <w:p w:rsidR="0021764E" w:rsidRPr="00C62D22" w:rsidRDefault="0021764E" w:rsidP="0021764E">
      <w:pPr>
        <w:pStyle w:val="rvps7"/>
        <w:spacing w:before="0" w:beforeAutospacing="0" w:after="0" w:afterAutospacing="0" w:line="360" w:lineRule="auto"/>
        <w:jc w:val="center"/>
        <w:rPr>
          <w:sz w:val="28"/>
          <w:szCs w:val="28"/>
          <w:lang w:val="uk-UA"/>
        </w:rPr>
      </w:pPr>
      <w:r w:rsidRPr="00C62D22">
        <w:rPr>
          <w:rStyle w:val="rvts15"/>
          <w:b/>
          <w:sz w:val="28"/>
          <w:szCs w:val="28"/>
          <w:lang w:val="uk-UA"/>
        </w:rPr>
        <w:t>AB</w:t>
      </w:r>
      <w:r w:rsidRPr="00C62D22">
        <w:rPr>
          <w:rStyle w:val="rvts15"/>
          <w:b/>
          <w:sz w:val="28"/>
          <w:szCs w:val="28"/>
          <w:lang w:val="en-US"/>
        </w:rPr>
        <w:t>S</w:t>
      </w:r>
      <w:r w:rsidRPr="00C62D22">
        <w:rPr>
          <w:rStyle w:val="rvts15"/>
          <w:b/>
          <w:sz w:val="28"/>
          <w:szCs w:val="28"/>
          <w:lang w:val="uk-UA"/>
        </w:rPr>
        <w:t>TRACT</w:t>
      </w:r>
    </w:p>
    <w:p w:rsidR="0021764E" w:rsidRPr="00C62D22" w:rsidRDefault="0021764E" w:rsidP="0021764E">
      <w:pPr>
        <w:suppressAutoHyphens/>
        <w:spacing w:after="0" w:line="240" w:lineRule="auto"/>
        <w:ind w:firstLine="539"/>
        <w:jc w:val="both"/>
        <w:rPr>
          <w:rFonts w:ascii="Times New Roman" w:hAnsi="Times New Roman" w:cs="Times New Roman"/>
          <w:sz w:val="28"/>
          <w:szCs w:val="28"/>
          <w:lang w:val="en-US"/>
        </w:rPr>
      </w:pPr>
      <w:r w:rsidRPr="00C62D22">
        <w:rPr>
          <w:rFonts w:ascii="Times New Roman" w:hAnsi="Times New Roman" w:cs="Times New Roman"/>
          <w:i/>
          <w:sz w:val="28"/>
          <w:szCs w:val="28"/>
          <w:lang w:val="en-US"/>
        </w:rPr>
        <w:t>G</w:t>
      </w:r>
      <w:r w:rsidRPr="00C62D22">
        <w:rPr>
          <w:rFonts w:ascii="Times New Roman" w:hAnsi="Times New Roman" w:cs="Times New Roman"/>
          <w:i/>
          <w:sz w:val="28"/>
          <w:szCs w:val="28"/>
          <w:lang/>
        </w:rPr>
        <w:t>oncharova N</w:t>
      </w:r>
      <w:r w:rsidRPr="00C62D22">
        <w:rPr>
          <w:rFonts w:ascii="Times New Roman" w:hAnsi="Times New Roman" w:cs="Times New Roman"/>
          <w:i/>
          <w:sz w:val="28"/>
          <w:szCs w:val="28"/>
          <w:lang w:val="en-US"/>
        </w:rPr>
        <w:t>.</w:t>
      </w:r>
      <w:r w:rsidRPr="00C62D22">
        <w:rPr>
          <w:rFonts w:ascii="Times New Roman" w:hAnsi="Times New Roman" w:cs="Times New Roman"/>
          <w:i/>
          <w:sz w:val="28"/>
          <w:szCs w:val="28"/>
          <w:lang/>
        </w:rPr>
        <w:t>M</w:t>
      </w:r>
      <w:r w:rsidRPr="00C62D22">
        <w:rPr>
          <w:rFonts w:ascii="Times New Roman" w:hAnsi="Times New Roman" w:cs="Times New Roman"/>
          <w:i/>
          <w:sz w:val="28"/>
          <w:szCs w:val="28"/>
          <w:lang w:val="en-US"/>
        </w:rPr>
        <w:t>.</w:t>
      </w:r>
      <w:r w:rsidRPr="00C62D22">
        <w:rPr>
          <w:rFonts w:ascii="Times New Roman" w:hAnsi="Times New Roman" w:cs="Times New Roman"/>
          <w:sz w:val="28"/>
          <w:szCs w:val="28"/>
          <w:lang/>
        </w:rPr>
        <w:t xml:space="preserve"> Diagnosis and surgical treatment of complicated pancreatic pseudocyst. </w:t>
      </w:r>
      <w:r w:rsidRPr="00C62D22">
        <w:rPr>
          <w:rFonts w:ascii="Times New Roman" w:hAnsi="Times New Roman" w:cs="Times New Roman"/>
          <w:sz w:val="28"/>
          <w:szCs w:val="28"/>
          <w:lang w:val="en-US"/>
        </w:rPr>
        <w:t xml:space="preserve">Qualified scientific paper. Manuscript. </w:t>
      </w:r>
    </w:p>
    <w:p w:rsidR="0021764E" w:rsidRPr="00C62D22" w:rsidRDefault="0021764E" w:rsidP="0021764E">
      <w:pPr>
        <w:spacing w:after="0" w:line="240" w:lineRule="auto"/>
        <w:ind w:firstLine="539"/>
        <w:jc w:val="both"/>
        <w:rPr>
          <w:rFonts w:ascii="Times New Roman" w:hAnsi="Times New Roman" w:cs="Times New Roman"/>
          <w:sz w:val="28"/>
          <w:szCs w:val="28"/>
          <w:lang w:val="en-US"/>
        </w:rPr>
      </w:pPr>
      <w:r w:rsidRPr="00C62D22">
        <w:rPr>
          <w:rFonts w:ascii="Times New Roman" w:hAnsi="Times New Roman" w:cs="Times New Roman"/>
          <w:sz w:val="28"/>
          <w:szCs w:val="28"/>
          <w:lang w:val="en-US"/>
        </w:rPr>
        <w:t>Thesis for a doctorate degree of medical sciences on specialty</w:t>
      </w:r>
      <w:r w:rsidRPr="00C62D22">
        <w:rPr>
          <w:rFonts w:ascii="Times New Roman" w:hAnsi="Times New Roman" w:cs="Times New Roman"/>
          <w:sz w:val="28"/>
          <w:szCs w:val="28"/>
          <w:lang/>
        </w:rPr>
        <w:t xml:space="preserve"> 14.01.03 "Surgery" (</w:t>
      </w:r>
      <w:r w:rsidRPr="00C62D22">
        <w:rPr>
          <w:rFonts w:ascii="Times New Roman" w:hAnsi="Times New Roman" w:cs="Times New Roman"/>
          <w:sz w:val="28"/>
          <w:szCs w:val="28"/>
          <w:lang w:val="en-US"/>
        </w:rPr>
        <w:t>222 – Medecine</w:t>
      </w:r>
      <w:r w:rsidRPr="00C62D22">
        <w:rPr>
          <w:rFonts w:ascii="Times New Roman" w:hAnsi="Times New Roman" w:cs="Times New Roman"/>
          <w:sz w:val="28"/>
          <w:szCs w:val="28"/>
          <w:lang/>
        </w:rPr>
        <w:t>). – Kharkiv National Medical University, Kharkiv, 2017.</w:t>
      </w:r>
    </w:p>
    <w:p w:rsidR="0021764E" w:rsidRPr="00C62D22" w:rsidRDefault="0021764E" w:rsidP="0021764E">
      <w:pPr>
        <w:spacing w:after="0" w:line="360" w:lineRule="auto"/>
        <w:jc w:val="both"/>
        <w:rPr>
          <w:rFonts w:ascii="Times New Roman" w:hAnsi="Times New Roman" w:cs="Times New Roman"/>
          <w:sz w:val="28"/>
          <w:szCs w:val="28"/>
          <w:lang w:val="en-US"/>
        </w:rPr>
      </w:pPr>
    </w:p>
    <w:p w:rsidR="0021764E" w:rsidRPr="00C62D22" w:rsidRDefault="0021764E" w:rsidP="0021764E">
      <w:pPr>
        <w:spacing w:after="0" w:line="360" w:lineRule="auto"/>
        <w:ind w:firstLine="708"/>
        <w:jc w:val="both"/>
        <w:rPr>
          <w:rFonts w:ascii="Times New Roman" w:hAnsi="Times New Roman" w:cs="Times New Roman"/>
          <w:sz w:val="28"/>
          <w:szCs w:val="28"/>
          <w:lang w:val="en-US"/>
        </w:rPr>
      </w:pPr>
      <w:r w:rsidRPr="00C62D22">
        <w:rPr>
          <w:rFonts w:ascii="Times New Roman" w:hAnsi="Times New Roman" w:cs="Times New Roman"/>
          <w:sz w:val="28"/>
          <w:szCs w:val="28"/>
          <w:lang/>
        </w:rPr>
        <w:t xml:space="preserve">Diagnosis and treatment of pancreatic pseudocyst complicated remain one of the complex and unresolved issues abdominal surgery. Their growing importance of the emergence of new advanced methods, including mini-invasive, and the increasing number of patients with acute or chronic pancreatitis. There is a need to study the mechanisms of loss of functioning pancreatic tissue and its replacement by connective tissue. In this regard, there is a need to study the development of pancreatic fibrosis in chronic pancreatitis, an imbalance between the processes of synthesis and degradation of cellular proteins extra matrix of its accumulation and degradation, changes in indicators of matrix metalloproteinase and their tissue inhibitors which perform regulatory and modeling </w:t>
      </w:r>
      <w:r w:rsidRPr="00C62D22">
        <w:rPr>
          <w:rFonts w:ascii="Times New Roman" w:hAnsi="Times New Roman" w:cs="Times New Roman"/>
          <w:sz w:val="28"/>
          <w:szCs w:val="28"/>
          <w:lang/>
        </w:rPr>
        <w:lastRenderedPageBreak/>
        <w:t>function in angiogenesis; and endothelial dysfunction. No single algorithm preoperative and intraoperative evaluation of patients with this disease, a large number of surgical interventions, including mini-invasive creates a dilemma concerning the diagnosis and treatment of complicated pancreatic pseudocyst</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lang/>
        </w:rPr>
        <w:t xml:space="preserve">Thus, the study of diagnosis and surgical treatment of complicated pancreatic pseudocyst currently the subject of many studies, but, despite the accumulated experience and knowledge in this area remains incomplete. Until now, no single point of view on pathogenetic changes in pancreatic parenchyma and in the walls pseudocyst, state splanchnical blood flow in different types pseudocyst. </w:t>
      </w:r>
      <w:r w:rsidRPr="00C62D22">
        <w:rPr>
          <w:rFonts w:ascii="Times New Roman" w:hAnsi="Times New Roman" w:cs="Times New Roman"/>
          <w:sz w:val="28"/>
          <w:szCs w:val="28"/>
          <w:lang w:val="en-US"/>
        </w:rPr>
        <w:t xml:space="preserve">The issue of </w:t>
      </w:r>
      <w:r w:rsidRPr="00C62D22">
        <w:rPr>
          <w:rFonts w:ascii="Times New Roman" w:hAnsi="Times New Roman" w:cs="Times New Roman"/>
          <w:sz w:val="28"/>
          <w:szCs w:val="28"/>
          <w:lang/>
        </w:rPr>
        <w:t>prediction of postoperative complications and their prevention, choice of surgical treatment for complicated pseudocyst contain a number of outstanding issues that have the prospect of further study.</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lang/>
        </w:rPr>
        <w:t xml:space="preserve">In this paper, based on analysis of the survey results and surgery 505 patients with complicated pseudocyst pancreas obtained scientific data on which developed scientific and theoretical principles concerning the formation of a new direction issues of diagnosis, pathogenesis, prognosis, prevention and comprehensive treatment of different types of pseudocyst. Supplemented scientific hypothesis that hypoxia and ischemia of the pancreas due to damage, under the influence of angiogenic factors is the activation and proliferation of endothelial cells, which completes the process of neovascularization, and lack of degradation of extracellular matrix and its accumulation is the main cause of progression of fibrosis and remodeling of the pancreas with development complications of the disease. Established that the hemodynamic response at the level of hepatic </w:t>
      </w:r>
      <w:r w:rsidRPr="00C62D22">
        <w:rPr>
          <w:rFonts w:ascii="Times New Roman" w:hAnsi="Times New Roman" w:cs="Times New Roman"/>
          <w:sz w:val="28"/>
          <w:szCs w:val="28"/>
          <w:lang w:val="en-US"/>
        </w:rPr>
        <w:t xml:space="preserve">and </w:t>
      </w:r>
      <w:r w:rsidRPr="00C62D22">
        <w:rPr>
          <w:rFonts w:ascii="Times New Roman" w:hAnsi="Times New Roman" w:cs="Times New Roman"/>
          <w:sz w:val="28"/>
          <w:szCs w:val="28"/>
          <w:lang/>
        </w:rPr>
        <w:t xml:space="preserve">splanchnical blood flow related to different mechanisms: extension of paralytic resistive venules in response to hypoxia and development of intrahepatic </w:t>
      </w:r>
      <w:r w:rsidRPr="00C62D22">
        <w:rPr>
          <w:rStyle w:val="shorttext"/>
          <w:rFonts w:ascii="Times New Roman" w:hAnsi="Times New Roman" w:cs="Times New Roman"/>
          <w:sz w:val="28"/>
          <w:szCs w:val="28"/>
          <w:lang/>
        </w:rPr>
        <w:t>porto-caval</w:t>
      </w:r>
      <w:r w:rsidRPr="00C62D22">
        <w:rPr>
          <w:rFonts w:ascii="Times New Roman" w:hAnsi="Times New Roman" w:cs="Times New Roman"/>
          <w:sz w:val="28"/>
          <w:szCs w:val="28"/>
          <w:lang/>
        </w:rPr>
        <w:t xml:space="preserve"> shunts (r=0,92, p=0</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002); depletion of blood supply and decrease blood flow by portal vein (p&lt;0</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05); changes in peripheral arterial resistance in different areas of the splanchnical basins negative relationship between index Purselo (</w:t>
      </w:r>
      <w:r w:rsidRPr="00C62D22">
        <w:rPr>
          <w:rFonts w:ascii="Times New Roman" w:hAnsi="Times New Roman" w:cs="Times New Roman"/>
          <w:sz w:val="28"/>
          <w:szCs w:val="28"/>
          <w:lang w:val="en-US"/>
        </w:rPr>
        <w:t>R</w:t>
      </w:r>
      <w:r w:rsidRPr="00C62D22">
        <w:rPr>
          <w:rFonts w:ascii="Times New Roman" w:hAnsi="Times New Roman" w:cs="Times New Roman"/>
          <w:sz w:val="28"/>
          <w:szCs w:val="28"/>
        </w:rPr>
        <w:t>І</w:t>
      </w:r>
      <w:r w:rsidRPr="00C62D22">
        <w:rPr>
          <w:rFonts w:ascii="Times New Roman" w:hAnsi="Times New Roman" w:cs="Times New Roman"/>
          <w:sz w:val="28"/>
          <w:szCs w:val="28"/>
          <w:vertAlign w:val="subscript"/>
          <w:lang w:val="en-US"/>
        </w:rPr>
        <w:t>CHA</w:t>
      </w:r>
      <w:r w:rsidRPr="00C62D22">
        <w:rPr>
          <w:rFonts w:ascii="Times New Roman" w:hAnsi="Times New Roman" w:cs="Times New Roman"/>
          <w:sz w:val="28"/>
          <w:szCs w:val="28"/>
          <w:lang w:val="en-US"/>
        </w:rPr>
        <w:t>, R</w:t>
      </w:r>
      <w:r w:rsidRPr="00C62D22">
        <w:rPr>
          <w:rFonts w:ascii="Times New Roman" w:hAnsi="Times New Roman" w:cs="Times New Roman"/>
          <w:sz w:val="28"/>
          <w:szCs w:val="28"/>
        </w:rPr>
        <w:t>І</w:t>
      </w:r>
      <w:r w:rsidRPr="00C62D22">
        <w:rPr>
          <w:rFonts w:ascii="Times New Roman" w:hAnsi="Times New Roman" w:cs="Times New Roman"/>
          <w:sz w:val="28"/>
          <w:szCs w:val="28"/>
          <w:vertAlign w:val="subscript"/>
          <w:lang w:val="en-US"/>
        </w:rPr>
        <w:t>GBA</w:t>
      </w:r>
      <w:r w:rsidRPr="00C62D22">
        <w:rPr>
          <w:rFonts w:ascii="Times New Roman" w:hAnsi="Times New Roman" w:cs="Times New Roman"/>
          <w:sz w:val="28"/>
          <w:szCs w:val="28"/>
          <w:lang/>
        </w:rPr>
        <w:t>) and the ratio of total volume of blood flow in the common hepatic artery and minute volume of blood flow MVB (</w:t>
      </w:r>
      <w:r w:rsidRPr="00C62D22">
        <w:rPr>
          <w:rFonts w:ascii="Times New Roman" w:hAnsi="Times New Roman" w:cs="Times New Roman"/>
          <w:sz w:val="28"/>
          <w:szCs w:val="28"/>
          <w:lang w:val="en-US"/>
        </w:rPr>
        <w:t>V</w:t>
      </w:r>
      <w:r w:rsidRPr="00C62D22">
        <w:rPr>
          <w:rFonts w:ascii="Times New Roman" w:hAnsi="Times New Roman" w:cs="Times New Roman"/>
          <w:sz w:val="28"/>
          <w:szCs w:val="28"/>
        </w:rPr>
        <w:t>о</w:t>
      </w:r>
      <w:r w:rsidRPr="00C62D22">
        <w:rPr>
          <w:rFonts w:ascii="Times New Roman" w:hAnsi="Times New Roman" w:cs="Times New Roman"/>
          <w:sz w:val="28"/>
          <w:szCs w:val="28"/>
          <w:vertAlign w:val="subscript"/>
          <w:lang w:val="en-US"/>
        </w:rPr>
        <w:t xml:space="preserve">CHA </w:t>
      </w:r>
      <w:r w:rsidRPr="00C62D22">
        <w:rPr>
          <w:rFonts w:ascii="Times New Roman" w:hAnsi="Times New Roman" w:cs="Times New Roman"/>
          <w:sz w:val="28"/>
          <w:szCs w:val="28"/>
          <w:lang w:val="en-US"/>
        </w:rPr>
        <w:t>/MVB)</w:t>
      </w:r>
      <w:r w:rsidRPr="00C62D22">
        <w:rPr>
          <w:rFonts w:ascii="Times New Roman" w:hAnsi="Times New Roman" w:cs="Times New Roman"/>
          <w:sz w:val="28"/>
          <w:szCs w:val="28"/>
          <w:lang/>
        </w:rPr>
        <w:t xml:space="preserve"> depending on the severity of patients (r = - 0,86, p&lt;0</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05) and positive correlation between the rate of blood flow and Ri (r=0,83, p=0</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 xml:space="preserve">013). Refined role of </w:t>
      </w:r>
      <w:r w:rsidRPr="00C62D22">
        <w:rPr>
          <w:rStyle w:val="shorttext"/>
          <w:rFonts w:ascii="Times New Roman" w:hAnsi="Times New Roman" w:cs="Times New Roman"/>
          <w:sz w:val="28"/>
          <w:szCs w:val="28"/>
          <w:lang/>
        </w:rPr>
        <w:t>profibrotic</w:t>
      </w:r>
      <w:r w:rsidRPr="00C62D22">
        <w:rPr>
          <w:rFonts w:ascii="Times New Roman" w:hAnsi="Times New Roman" w:cs="Times New Roman"/>
          <w:sz w:val="28"/>
          <w:szCs w:val="28"/>
          <w:lang/>
        </w:rPr>
        <w:t xml:space="preserve"> cytokines in the development of intra- and perilobular fibrosis of the pancreas, the relationship between state patients and levels of TGF-β1 (r</w:t>
      </w:r>
      <w:r w:rsidRPr="00C62D22">
        <w:rPr>
          <w:rFonts w:ascii="Times New Roman" w:hAnsi="Times New Roman" w:cs="Times New Roman"/>
          <w:sz w:val="28"/>
          <w:szCs w:val="28"/>
          <w:lang/>
        </w:rPr>
        <w:sym w:font="Symbol" w:char="003D"/>
      </w:r>
      <w:r w:rsidRPr="00C62D22">
        <w:rPr>
          <w:rFonts w:ascii="Times New Roman" w:hAnsi="Times New Roman" w:cs="Times New Roman"/>
          <w:sz w:val="28"/>
          <w:szCs w:val="28"/>
          <w:lang/>
        </w:rPr>
        <w:t>0,69),</w:t>
      </w:r>
      <w:r w:rsidRPr="00C62D22">
        <w:rPr>
          <w:rFonts w:ascii="Times New Roman" w:hAnsi="Times New Roman" w:cs="Times New Roman"/>
          <w:sz w:val="28"/>
          <w:szCs w:val="28"/>
          <w:lang w:val="en-US"/>
        </w:rPr>
        <w:t xml:space="preserve"> IL-6 </w:t>
      </w:r>
      <w:r w:rsidRPr="00C62D22">
        <w:rPr>
          <w:rFonts w:ascii="Times New Roman" w:hAnsi="Times New Roman" w:cs="Times New Roman"/>
          <w:sz w:val="28"/>
          <w:szCs w:val="28"/>
          <w:lang w:val="en-US"/>
        </w:rPr>
        <w:lastRenderedPageBreak/>
        <w:t>(r</w:t>
      </w:r>
      <w:r w:rsidRPr="00C62D22">
        <w:rPr>
          <w:rFonts w:ascii="Times New Roman" w:hAnsi="Times New Roman" w:cs="Times New Roman"/>
          <w:sz w:val="28"/>
          <w:szCs w:val="28"/>
        </w:rPr>
        <w:sym w:font="Symbol" w:char="003D"/>
      </w:r>
      <w:r w:rsidRPr="00C62D22">
        <w:rPr>
          <w:rFonts w:ascii="Times New Roman" w:hAnsi="Times New Roman" w:cs="Times New Roman"/>
          <w:sz w:val="28"/>
          <w:szCs w:val="28"/>
          <w:lang w:val="en-US"/>
        </w:rPr>
        <w:t>0,68), IL-8 (r</w:t>
      </w:r>
      <w:r w:rsidRPr="00C62D22">
        <w:rPr>
          <w:rFonts w:ascii="Times New Roman" w:hAnsi="Times New Roman" w:cs="Times New Roman"/>
          <w:sz w:val="28"/>
          <w:szCs w:val="28"/>
        </w:rPr>
        <w:sym w:font="Symbol" w:char="003D"/>
      </w:r>
      <w:r w:rsidRPr="00C62D22">
        <w:rPr>
          <w:rFonts w:ascii="Times New Roman" w:hAnsi="Times New Roman" w:cs="Times New Roman"/>
          <w:sz w:val="28"/>
          <w:szCs w:val="28"/>
          <w:lang w:val="en-US"/>
        </w:rPr>
        <w:t>0,57), IL-10 (r</w:t>
      </w:r>
      <w:r w:rsidRPr="00C62D22">
        <w:rPr>
          <w:rFonts w:ascii="Times New Roman" w:hAnsi="Times New Roman" w:cs="Times New Roman"/>
          <w:sz w:val="28"/>
          <w:szCs w:val="28"/>
        </w:rPr>
        <w:sym w:font="Symbol" w:char="003D"/>
      </w:r>
      <w:r w:rsidRPr="00C62D22">
        <w:rPr>
          <w:rFonts w:ascii="Times New Roman" w:hAnsi="Times New Roman" w:cs="Times New Roman"/>
          <w:sz w:val="28"/>
          <w:szCs w:val="28"/>
          <w:lang w:val="en-US"/>
        </w:rPr>
        <w:t>0,73) and IL-18 (r</w:t>
      </w:r>
      <w:r w:rsidRPr="00C62D22">
        <w:rPr>
          <w:rFonts w:ascii="Times New Roman" w:hAnsi="Times New Roman" w:cs="Times New Roman"/>
          <w:sz w:val="28"/>
          <w:szCs w:val="28"/>
        </w:rPr>
        <w:sym w:font="Symbol" w:char="003D"/>
      </w:r>
      <w:r w:rsidRPr="00C62D22">
        <w:rPr>
          <w:rFonts w:ascii="Times New Roman" w:hAnsi="Times New Roman" w:cs="Times New Roman"/>
          <w:sz w:val="28"/>
          <w:szCs w:val="28"/>
          <w:lang w:val="en-US"/>
        </w:rPr>
        <w:t xml:space="preserve">0,82) </w:t>
      </w:r>
      <w:r w:rsidRPr="00C62D22">
        <w:rPr>
          <w:rFonts w:ascii="Times New Roman" w:hAnsi="Times New Roman" w:cs="Times New Roman"/>
          <w:sz w:val="28"/>
          <w:szCs w:val="28"/>
          <w:lang/>
        </w:rPr>
        <w:t xml:space="preserve">in the blood serum (p&lt;0,05) with a reduction ratio of IL-18/IL-10 (p&lt;0,05), levels of which correlate with poor prognosis disease </w:t>
      </w:r>
      <w:r w:rsidRPr="00C62D22">
        <w:rPr>
          <w:rFonts w:ascii="Times New Roman" w:hAnsi="Times New Roman" w:cs="Times New Roman"/>
          <w:sz w:val="28"/>
          <w:szCs w:val="28"/>
          <w:lang w:val="en-US"/>
        </w:rPr>
        <w:t xml:space="preserve">(r= </w:t>
      </w:r>
      <w:r w:rsidRPr="00C62D22">
        <w:rPr>
          <w:rFonts w:ascii="Times New Roman" w:hAnsi="Times New Roman" w:cs="Times New Roman"/>
          <w:sz w:val="28"/>
          <w:szCs w:val="28"/>
        </w:rPr>
        <w:sym w:font="Symbol" w:char="002D"/>
      </w:r>
      <w:r w:rsidRPr="00C62D22">
        <w:rPr>
          <w:rFonts w:ascii="Times New Roman" w:hAnsi="Times New Roman" w:cs="Times New Roman"/>
          <w:sz w:val="28"/>
          <w:szCs w:val="28"/>
          <w:lang w:val="en-US"/>
        </w:rPr>
        <w:t xml:space="preserve"> 0,87, </w:t>
      </w:r>
      <w:r w:rsidRPr="00C62D22">
        <w:rPr>
          <w:rFonts w:ascii="Times New Roman" w:hAnsi="Times New Roman" w:cs="Times New Roman"/>
          <w:sz w:val="28"/>
          <w:szCs w:val="28"/>
        </w:rPr>
        <w:t>р</w:t>
      </w:r>
      <w:r w:rsidRPr="00C62D22">
        <w:rPr>
          <w:rFonts w:ascii="Times New Roman" w:hAnsi="Times New Roman" w:cs="Times New Roman"/>
          <w:sz w:val="28"/>
          <w:szCs w:val="28"/>
          <w:lang w:val="en-US"/>
        </w:rPr>
        <w:t xml:space="preserve">&lt;0,01), </w:t>
      </w:r>
      <w:r w:rsidRPr="00C62D22">
        <w:rPr>
          <w:rFonts w:ascii="Times New Roman" w:hAnsi="Times New Roman" w:cs="Times New Roman"/>
          <w:sz w:val="28"/>
          <w:szCs w:val="28"/>
          <w:lang/>
        </w:rPr>
        <w:t>with deep depression of antioxidant depletion of its reserves as a result of activation of lipid peroxidation and oxidative stress. For the first time found that the different types of complicated pancreatic pseudocyst is a imbalance of MMP-9 and its inhibitor TIMP-2, which is crucial for the rate of proteolysis of extracellular matrix components dominated the processes of their formation and accumulation, as evidenced by the increase in the ratio MMP-9/TIMP-</w:t>
      </w:r>
      <w:smartTag w:uri="urn:schemas-microsoft-com:office:smarttags" w:element="metricconverter">
        <w:smartTagPr>
          <w:attr w:name="ProductID" w:val="2 in"/>
        </w:smartTagPr>
        <w:r w:rsidRPr="00C62D22">
          <w:rPr>
            <w:rFonts w:ascii="Times New Roman" w:hAnsi="Times New Roman" w:cs="Times New Roman"/>
            <w:sz w:val="28"/>
            <w:szCs w:val="28"/>
            <w:lang/>
          </w:rPr>
          <w:t>2 in</w:t>
        </w:r>
      </w:smartTag>
      <w:r w:rsidRPr="00C62D22">
        <w:rPr>
          <w:rFonts w:ascii="Times New Roman" w:hAnsi="Times New Roman" w:cs="Times New Roman"/>
          <w:sz w:val="28"/>
          <w:szCs w:val="28"/>
          <w:lang/>
        </w:rPr>
        <w:t xml:space="preserve"> patients with type I and II pseudocyst (0</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67 – patients, 0</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 xml:space="preserve">25 – control, p&lt;0,001) and its reduction in the type III (0,53 – patients, p&lt;0,001). For all types of </w:t>
      </w:r>
      <w:r w:rsidRPr="00C62D22">
        <w:rPr>
          <w:rFonts w:ascii="Times New Roman" w:hAnsi="Times New Roman" w:cs="Times New Roman"/>
          <w:sz w:val="28"/>
          <w:szCs w:val="28"/>
          <w:lang w:val="en-US"/>
        </w:rPr>
        <w:t>pseudocyst</w:t>
      </w:r>
      <w:r w:rsidRPr="00C62D22">
        <w:rPr>
          <w:rFonts w:ascii="Times New Roman" w:hAnsi="Times New Roman" w:cs="Times New Roman"/>
          <w:sz w:val="28"/>
          <w:szCs w:val="28"/>
          <w:lang/>
        </w:rPr>
        <w:t xml:space="preserve"> software there is a positive relationship between the level of MMP-9 and measure VEGF (p&lt;0</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05), and set profibrotic cytokines secreted into the bloodstream, providing improvements in proinflammatory endothelial homeostasis direction to determine how this mechanism development of anti-inflammatory endothelial dysfunction. Morphological study walls pseudocyst and adjacent parenchyma of the pancreas confirmed the role of collagen of different types in shaping and determining the direction of remodeling the body with different resolution endothelial cells of blood vessels express receptors for endothelin-1 and a variety of expression cells HLA-DR-antigen in the III type pseudocyst (to 153,4% and 131</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3% for pseudocyst types I and II, p&lt;0,05) with the most severe macrophage reaction.</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lang/>
        </w:rPr>
        <w:t xml:space="preserve">The work complemented by research on the feasibility of using different methods of mini-invasive surgery, performed comparative analysis, and on the basis of the data optimized treatment of patients with complicated pancreatic pseudocyst through individualization surgical treatment. It was proposed and improved surgical treatment methods that reduce or prevent the development of postoperative complications and improve quality of life in a remote postoperative period forecasting method based on the choice of tactics «step-up approach» to the definition of the relevant mathematical criteria of classification of building features and analysis. This study has allowed developing new and improving existing methods of diagnosis and treatment of patients with complicated pseudocyst. Using rational program developed a comprehensive diagnosis in patients with various types of complicated pancreatic pseudocyst using modern methods of examination of patients helped improve </w:t>
      </w:r>
      <w:r w:rsidRPr="00C62D22">
        <w:rPr>
          <w:rFonts w:ascii="Times New Roman" w:hAnsi="Times New Roman" w:cs="Times New Roman"/>
          <w:sz w:val="28"/>
          <w:szCs w:val="28"/>
          <w:lang/>
        </w:rPr>
        <w:lastRenderedPageBreak/>
        <w:t>the results of preoperative diagnosis. Reasonable and mathematically proven benefits of mini-invasive surgery techniques. Developed and put into practice new ways of forming pancreatoenteroanastomosis (Pat</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 xml:space="preserve"> </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lang/>
        </w:rPr>
        <w:t xml:space="preserve">92451, the application for a patent of Ukraine for invention </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 xml:space="preserve"> a201610033) and pan</w:t>
      </w:r>
      <w:r w:rsidRPr="00C62D22">
        <w:rPr>
          <w:rFonts w:ascii="Times New Roman" w:hAnsi="Times New Roman" w:cs="Times New Roman"/>
          <w:sz w:val="28"/>
          <w:szCs w:val="28"/>
        </w:rPr>
        <w:t>с</w:t>
      </w:r>
      <w:r w:rsidRPr="00C62D22">
        <w:rPr>
          <w:rFonts w:ascii="Times New Roman" w:hAnsi="Times New Roman" w:cs="Times New Roman"/>
          <w:sz w:val="28"/>
          <w:szCs w:val="28"/>
          <w:lang/>
        </w:rPr>
        <w:t>reaticosgastroastomosis (Pat</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 xml:space="preserve"> </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100246) that aimed at the prevention of volatility anastomosis and formation of pancreatic fistulas in the postoperative period, which in turn reduces the number of early postoperative complications and improves the quality of life of patients. Developed and put into practice method of surgical treatment of complicated pseudocyst pancreas complicated by suppuration (</w:t>
      </w:r>
      <w:r w:rsidRPr="00C62D22">
        <w:rPr>
          <w:rFonts w:ascii="Times New Roman" w:hAnsi="Times New Roman" w:cs="Times New Roman"/>
          <w:sz w:val="28"/>
          <w:szCs w:val="28"/>
        </w:rPr>
        <w:t>Р</w:t>
      </w:r>
      <w:r w:rsidRPr="00C62D22">
        <w:rPr>
          <w:rFonts w:ascii="Times New Roman" w:hAnsi="Times New Roman" w:cs="Times New Roman"/>
          <w:sz w:val="28"/>
          <w:szCs w:val="28"/>
          <w:lang/>
        </w:rPr>
        <w:t>at</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 xml:space="preserve"> </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95264) and method of surgical treatment pseudocyst pancreas complicated arosive bleeding into the cavity of the pseudocyst (</w:t>
      </w:r>
      <w:r w:rsidRPr="00C62D22">
        <w:rPr>
          <w:rFonts w:ascii="Times New Roman" w:hAnsi="Times New Roman" w:cs="Times New Roman"/>
          <w:sz w:val="28"/>
          <w:szCs w:val="28"/>
        </w:rPr>
        <w:t>Р</w:t>
      </w:r>
      <w:r w:rsidRPr="00C62D22">
        <w:rPr>
          <w:rFonts w:ascii="Times New Roman" w:hAnsi="Times New Roman" w:cs="Times New Roman"/>
          <w:sz w:val="28"/>
          <w:szCs w:val="28"/>
          <w:lang/>
        </w:rPr>
        <w:t>at</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 xml:space="preserve"> </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 xml:space="preserve"> 95265), which aimed at the prevention of postoperative complications. An sectoral innovation developed a way to treat chronic pancreatitis complicated by obstruction of terminal part of choledochitis (Pat</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 xml:space="preserve"> №77100), which included the formation pancreatoenteroanastomosis, cholecystoyeyunoanastomosis and cholecysto-hepaticoanastomosis, allowing effectively restore adequate passage of bile and pancreatic juice and shorten patient.</w:t>
      </w:r>
    </w:p>
    <w:p w:rsidR="0021764E" w:rsidRPr="00C62D22" w:rsidRDefault="0021764E" w:rsidP="0021764E">
      <w:pPr>
        <w:spacing w:after="0" w:line="360" w:lineRule="auto"/>
        <w:ind w:firstLine="708"/>
        <w:jc w:val="both"/>
        <w:rPr>
          <w:rFonts w:ascii="Times New Roman" w:hAnsi="Times New Roman" w:cs="Times New Roman"/>
          <w:sz w:val="28"/>
          <w:szCs w:val="28"/>
          <w:lang/>
        </w:rPr>
      </w:pPr>
      <w:r w:rsidRPr="00C62D22">
        <w:rPr>
          <w:rFonts w:ascii="Times New Roman" w:hAnsi="Times New Roman" w:cs="Times New Roman"/>
          <w:b/>
          <w:sz w:val="28"/>
          <w:szCs w:val="28"/>
          <w:lang/>
        </w:rPr>
        <w:t>Keywords</w:t>
      </w:r>
      <w:r w:rsidRPr="00C62D22">
        <w:rPr>
          <w:rFonts w:ascii="Times New Roman" w:hAnsi="Times New Roman" w:cs="Times New Roman"/>
          <w:sz w:val="28"/>
          <w:szCs w:val="28"/>
          <w:lang/>
        </w:rPr>
        <w:t>: complicated pancreatic pseudocyst, diagnosis, matrix metalloproteinase, oxidative stress, fibrous tissue, neoangiogenesis, endothelial dysfunction, hepatic splanchnical blood flow, mini-invasive intervention</w:t>
      </w:r>
      <w:r w:rsidRPr="00C62D22">
        <w:rPr>
          <w:rFonts w:ascii="Times New Roman" w:hAnsi="Times New Roman" w:cs="Times New Roman"/>
          <w:sz w:val="28"/>
          <w:szCs w:val="28"/>
          <w:lang w:val="en-US"/>
        </w:rPr>
        <w:t>,</w:t>
      </w:r>
      <w:r w:rsidRPr="00C62D22">
        <w:rPr>
          <w:rFonts w:ascii="Times New Roman" w:hAnsi="Times New Roman" w:cs="Times New Roman"/>
          <w:sz w:val="28"/>
          <w:szCs w:val="28"/>
          <w:lang/>
        </w:rPr>
        <w:t xml:space="preserve"> tactics «step-up approach», predicting complications, quality of life.</w:t>
      </w:r>
    </w:p>
    <w:p w:rsidR="0021764E" w:rsidRPr="00C62D22" w:rsidRDefault="0021764E" w:rsidP="0021764E">
      <w:pPr>
        <w:spacing w:after="0" w:line="360" w:lineRule="auto"/>
        <w:ind w:firstLine="708"/>
        <w:jc w:val="both"/>
        <w:rPr>
          <w:rFonts w:ascii="Times New Roman" w:hAnsi="Times New Roman" w:cs="Times New Roman"/>
          <w:sz w:val="28"/>
          <w:szCs w:val="28"/>
          <w:lang/>
        </w:rPr>
      </w:pPr>
      <w:r w:rsidRPr="00C62D22">
        <w:rPr>
          <w:rFonts w:ascii="Times New Roman" w:hAnsi="Times New Roman" w:cs="Times New Roman"/>
          <w:sz w:val="28"/>
          <w:szCs w:val="28"/>
          <w:lang/>
        </w:rPr>
        <w:br w:type="page"/>
      </w:r>
    </w:p>
    <w:p w:rsidR="0021764E" w:rsidRPr="00C62D22" w:rsidRDefault="0021764E" w:rsidP="0021764E">
      <w:pPr>
        <w:spacing w:after="0" w:line="360" w:lineRule="auto"/>
        <w:jc w:val="center"/>
        <w:rPr>
          <w:rFonts w:ascii="Times New Roman" w:hAnsi="Times New Roman" w:cs="Times New Roman"/>
          <w:b/>
          <w:sz w:val="28"/>
          <w:szCs w:val="28"/>
        </w:rPr>
      </w:pPr>
      <w:r w:rsidRPr="00C62D22">
        <w:rPr>
          <w:rFonts w:ascii="Times New Roman" w:hAnsi="Times New Roman" w:cs="Times New Roman"/>
          <w:b/>
          <w:sz w:val="28"/>
          <w:szCs w:val="28"/>
        </w:rPr>
        <w:lastRenderedPageBreak/>
        <w:t>СПИСОК ПУБЛІКАЦІЙ ЗДОБУВАЧА</w:t>
      </w:r>
    </w:p>
    <w:p w:rsidR="0021764E" w:rsidRPr="00C62D22" w:rsidRDefault="0021764E" w:rsidP="0021764E">
      <w:pPr>
        <w:widowControl w:val="0"/>
        <w:numPr>
          <w:ilvl w:val="0"/>
          <w:numId w:val="1"/>
        </w:numPr>
        <w:shd w:val="clear" w:color="auto" w:fill="FFFFFF"/>
        <w:tabs>
          <w:tab w:val="left" w:pos="284"/>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Використання сучасних мініінвазивних технологій при лікуванні ускладнених псевдокіст підшлункової залози / Н.М. Гончарова // Харківська хірургічна школа. – 2015. – №6 (75). – С. 71-74.</w:t>
      </w:r>
    </w:p>
    <w:p w:rsidR="0021764E" w:rsidRPr="00C62D22" w:rsidRDefault="0021764E" w:rsidP="0021764E">
      <w:pPr>
        <w:widowControl w:val="0"/>
        <w:numPr>
          <w:ilvl w:val="0"/>
          <w:numId w:val="1"/>
        </w:numPr>
        <w:shd w:val="clear" w:color="auto" w:fill="FFFFFF"/>
        <w:tabs>
          <w:tab w:val="left" w:pos="284"/>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Гончарова Н.М. Застосування мініінвазивних методів хірургічного лікування хворих на ускладнені гострі псевдокісти підшлункової залози /                 Н.М. Гончарова // Харківська хірургічна школа. – 2016. – №1 (76). – С.160-162. </w:t>
      </w:r>
    </w:p>
    <w:p w:rsidR="0021764E" w:rsidRPr="00C62D22" w:rsidRDefault="0021764E" w:rsidP="0021764E">
      <w:pPr>
        <w:widowControl w:val="0"/>
        <w:numPr>
          <w:ilvl w:val="0"/>
          <w:numId w:val="1"/>
        </w:numPr>
        <w:shd w:val="clear" w:color="auto" w:fill="FFFFFF"/>
        <w:tabs>
          <w:tab w:val="left" w:pos="284"/>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Прогнозування вибору методу оперативного втручання при ускладнених псевдокістах підшлункової залози третього типу /                                        І.А. Криворучко, Н.М. Гончарова, О.В. Арсен' єв // Journal of education, Health and Sport. – 2016. – Vol. 6, №6. – С. 59-68.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Н.Н. Морфологические особенности полостных образований при остром панкреатите / И.А. Криворучко, И.А. Тарабан, И.В. Сорокина,                          Н.Н. Гончарова // Новости хирургии. – 2015. – Vol. 23, №2. – С. 154-159.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 Гончарова Н.М. Хірургічне лікування псевдокіст підшлункової залози, ускладнених механічною жовтяницею / І.А. Криворучко, Н.М. Гончарова // Науковий вісник Ужгородського університету. – 2015. – Випуск 2 (52). – С. 45-48.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Н.Н. Особенности морфогенеза осложненных псевдокист поджелудочной железы / И.А. Криворучко, И.А. Тарабан, И.В. Сорокина,                     Н.Н. Гончарова // Новости хирургии. – 2016. – Vol. 24, №1. – С. 47-54.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Гончарова Н.Н. Хирургическое лечение инфицированных псевдокист поджелудочной железы / И.А. Криворучко, Н.Н. Гончарова // Клиническая и экспериментальная хирургия. Электронный научно-практический журнал. – 2015. </w:t>
      </w:r>
      <w:r w:rsidRPr="00C62D22">
        <w:rPr>
          <w:rFonts w:ascii="Times New Roman" w:hAnsi="Times New Roman" w:cs="Times New Roman"/>
          <w:sz w:val="28"/>
          <w:szCs w:val="28"/>
        </w:rPr>
        <w:lastRenderedPageBreak/>
        <w:t>[http:jecs.ru/viev/434.html]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Особливості патоморфологічних змін у хворих з різними типами псевдокіст підшлункової залози / І.А. Криворучко, Н.М. Гончарова,                     І.В. Сорокіна // Морфологія. – 2015. – Т.9, № 3. – С. 31-41.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Гончарова Н.М. Сучасні погляди щодо хірургічного лікування псевдокіст підшлункової залози з компресією суміжних органів / І.А. Криворучко,                       Н.М. Гончарова, В.М. Чеверда // Харківська хірургічна школа. – 2015. </w:t>
      </w:r>
      <w:r w:rsidRPr="00C62D22">
        <w:rPr>
          <w:rFonts w:ascii="Cambria Math" w:hAnsi="Cambria Math" w:cs="Cambria Math"/>
          <w:sz w:val="28"/>
          <w:szCs w:val="28"/>
        </w:rPr>
        <w:t>̶</w:t>
      </w:r>
      <w:r w:rsidRPr="00C62D22">
        <w:rPr>
          <w:rFonts w:ascii="Times New Roman" w:hAnsi="Times New Roman" w:cs="Times New Roman"/>
          <w:sz w:val="28"/>
          <w:szCs w:val="28"/>
        </w:rPr>
        <w:t xml:space="preserve">  №4(73). – С. 29-31.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Хірургічне лікування ускладнених псевдокіст підшлункової залози: мініінвазивні чи «відкриті» втручання? / В.М. Копчак,                 І.А. Криворучко, Н.М. Гончарова // Харківська хірургічна школа. – 2014. – №1(64). – С. 103-106.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Застосування відкритих операційних втручань у хворих на ускладнені псевдокісти підшлункової залози першого типу / І.А. Криворучко,                Н.М. Гончарова // Шпитальна хірургія. – 2016. – №2 (74). – С. 32-35.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Н.Н. Хирургическое лечение псевдокист поджелудочной железы, осложненных кровотечением в их полость, с применением миниинвазивных технологий / И.А. Криворучко, Н.Н. Гончарова, С.Н. Тесленко, А.А. Тонкоглас [ и др.] // Харківська хірургічна школа. – 2016. – №2 (77). – С. 33-37.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Гончарова Н.Н. Патофизиологические нарушения при осложненных псевдокистах поджелудочной железы / О.Ю. Гербали, И.А. Криворучко,                      </w:t>
      </w:r>
      <w:r w:rsidRPr="00C62D22">
        <w:rPr>
          <w:rFonts w:ascii="Times New Roman" w:hAnsi="Times New Roman" w:cs="Times New Roman"/>
          <w:sz w:val="28"/>
          <w:szCs w:val="28"/>
        </w:rPr>
        <w:lastRenderedPageBreak/>
        <w:t>Н.Н. Гончарова // Казанский медицинский журнал. – 2015. – Т. 96, №2. – С.191-197.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Сучасні методи діагностики та хірургічного лікування інфікованих псевдокіст підшлункової залози / І.А. Криворучко, Н.М. Гончарова // Ліки України плюс. – 2015. – № 4(25). – С. 45-48.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Роль матриксних металопротеїназ та їх інгібіторів у патогенезі псевдокіст підшлункової залози / І.А. Криворучко, Н.М. Гончарова,            С.А. Андреєщев // Клінічна хірургія. – 2015. – №2. – С. 35-41.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Використання сучасних методів хірургічного лікування псевдокіст підшлункової залози, ускладнених кровотечею / І.А. Криворучко,              В.М. Копчак, Н.М. Гончарова // Харківська хірургічна школа. – 2015. – №2 (71.) – С. 36-39.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Н.Н. Комплексное лечение острых псевдокист поджелудочной железы / И.А. Криворучко, Н.Н. Гончарова, С.Н. Тесленко, Н.Н. Тесленко // Оралдын гылым жаршысы. – 2014. – №34 (113). – С.5-11.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Лікування ускладнених гострих псевдокіст підшлункової залози / В.М. Копчак, І.А. Криворучко, Н.М. Гончарова // Архів клінічної медицини. – 2014. – № 2(20), частина ІІ. – С.59-60.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Гончарова Н.М. Стан печінкового і спланхнічного кровотоку за різних типів ускладнених псевдокіст підшлункової залози / І.А. Криворучко,                   Н.М. Гончарова, С.А. Андреєщев, Т.П. Яворська // Клінічна хірургія. – 2015. – № 5. – С.5-9. (Автором особисто проаналізовані літературні джерела, виконано клінічне </w:t>
      </w:r>
      <w:r w:rsidRPr="00C62D22">
        <w:rPr>
          <w:rFonts w:ascii="Times New Roman" w:hAnsi="Times New Roman" w:cs="Times New Roman"/>
          <w:sz w:val="28"/>
          <w:szCs w:val="28"/>
        </w:rPr>
        <w:lastRenderedPageBreak/>
        <w:t>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Міждисциплінарний підхід у вивченні патогенезу гострих рідинних скупчень при панкреатиті / І.А. Криворучко, І.В. Сорокіна, С.М. Балака, Н.М. Гончарова // Науковий вісник Ужгородського університету. – 2014. – Вип. 1 (49). – С. 118-122.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Хірургічне лікування ускладнених псевдокіст підшлункової залози другого типу за D’Egidio - Shein / В.М. Копчак,                               І.А. Криворучко, Н.М. Гончарова, С.М. Тесленко // Науковий вісник Ужгородського університету». – 2016. – Вип. 1 (53). – С.51-52.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Хірургічне лікування ускладнених псевдокіст підшлункової залози третього типу / І.А. Криворучко, Н.М. Гончарова // Хірургія України. – 2016. – № 3. – С. 32-36.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Хірургічне лікування псевдокіст підшлункової залози третього типу, ускладнених вторинною портальною гіпертензією / Н.М. Гончарова // Харківська хірургічна школа. – 2017. – № 2 (82). – С.70-72.</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lang w:val="en-US"/>
        </w:rPr>
        <w:t xml:space="preserve">Goncharova N.M. Treatment of acute complicated pancreatic pseudocysts / I.A. Kryvoruchko, N.M. Goncharova, V.F. Gontar // Journal of Education, Health and Sport. – 2017. – Vol. 7, №3. – P. 551-558. </w:t>
      </w:r>
      <w:r w:rsidRPr="00C62D22">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Пат. 95265 Україна, МПК (2014.01) А 61В 17/00. Спосіб хірургічного лікування псевдокіст підшлункової залози, ускладнених арозивною кровотечею у порожнину псевдокісти / І.А. Криворучко, Н.М. Гончарова, С.М. Тесленко, М.М. Тесленко, П.В. Свірепо, В.П. Колесник, В.А. Вовк. – № u 2014 08811. Заявл. 04.08.2014; опубл. 10.12.2014. Бюл. № 23. </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Пат. 95264 Україна, МПК (2014.01) А 61В 17/00. Спосіб хірургічного лікування псевдокіст підшлункової залози, ускладнених нагноєнням / І.А. Криворучко, Н.М. Гончарова, С.М. Тесленко, М.М. Тесленко, П.В. Свірепо, О.А. </w:t>
      </w:r>
      <w:r w:rsidRPr="00C62D22">
        <w:rPr>
          <w:rFonts w:ascii="Times New Roman" w:hAnsi="Times New Roman" w:cs="Times New Roman"/>
          <w:sz w:val="28"/>
          <w:szCs w:val="28"/>
        </w:rPr>
        <w:lastRenderedPageBreak/>
        <w:t xml:space="preserve">Тонкоглас, В.А. Вовк. – № u 2014 08810. Заявл. 04.08.2014; опубл. 10.12.2014. Бюл. № 23. </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Пат. 100586 Україна, МПК G01N 33/49 (2006.01). Спосіб прогнозування ускладненого перебігу післяопераційного панкреатиту / І.А. Криворучко, В.В. Бойко, Н.М. Гончарова, С.М. Тесленко, П.В. Свірепо, М.М. Тесленко.– № u 2015 02998. Заявл. 31.03.15; опубл. 27.07.15. Бюл. № 14. </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 Пат. 100246 Україна, МПК (2015.01) А61В 17/00, А61В 17/115 (2006.01). Спосіб формування панкреатогастроанастомозу / І.А. Криворучко, Н.М. Гончарова, С.М. Тесленко, М.М. Тесленко.– № u 2015 02999. Заявл. 31.03.2015; опубл. 10.07.2015. Бюл. № 13. </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Пат. 92451 Україна, МПК (2014.01) А 61В 17/00. Спосіб формування панкреатоентероанастомозу / І.А. Криворучко, М.М. Тесленко, Н.М. Гончарова, С.М. Тесленко, О.А. Тонкоглас, П.В. Свірепо, В.П. Колесник, А.В. Сивожелізов.– № u 2014 04485. Заявл. 28.04.14; опубл. 11.08.14. Бюл. № 15. </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Пат. 77100 Україна, МПК (2013.01) А 61В17/00.Спосіб лікування хронічного панкреатиту, ускладненого непрохідністю термінальної частини холедоха / І.А. Криворучко, В.В. Бойко, М.В. Красносельський, С.М. Тесленко, Н.М. Гончарова, М.М. Тесленко, А.В. Сивожелізов, П.В. Свірепо. .– № u 2012 09414. Заявл. 02.08.12.; опубл. 25.01.13. Бюл. № 2.</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Спосіб лікування інфікованих псевдокіст підшлункової залози позаочеревної локалізації на фоні хронічного панкреатиту / Н.М. Гончарова, І.А. Криворучко, С.М. Тесленко. – Заявка на винахід № а201610033 від 3.10.16.</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lang w:val="en-US"/>
        </w:rPr>
        <w:t>Goncharova N.M. The questions of a chronic pancreatitis pathogenesis and its complications / I.A. Kryvoruchko, N.M. Goncharova, O.A. Tonkoglas // Inter colleg</w:t>
      </w:r>
      <w:r w:rsidRPr="00C62D22">
        <w:rPr>
          <w:rFonts w:ascii="Times New Roman" w:hAnsi="Times New Roman" w:cs="Times New Roman"/>
          <w:sz w:val="28"/>
          <w:szCs w:val="28"/>
        </w:rPr>
        <w:t>а</w:t>
      </w:r>
      <w:r w:rsidRPr="00C62D22">
        <w:rPr>
          <w:rFonts w:ascii="Times New Roman" w:hAnsi="Times New Roman" w:cs="Times New Roman"/>
          <w:sz w:val="28"/>
          <w:szCs w:val="28"/>
          <w:lang w:val="en-US"/>
        </w:rPr>
        <w:t xml:space="preserve">s. – 2015. – №1 (2). – P. 77- 94. </w:t>
      </w:r>
      <w:r w:rsidRPr="00C62D22">
        <w:rPr>
          <w:rFonts w:ascii="Times New Roman" w:hAnsi="Times New Roman" w:cs="Times New Roman"/>
          <w:sz w:val="28"/>
          <w:szCs w:val="28"/>
        </w:rPr>
        <w:t>(Автором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Псевдокісти підшлункової залози: діагностика й лікування / І.А. Криворучко, Н.М. Гончарова, С.А. Андреєщев // Клінічна хірургія. – 2014. – № 2. – С. 67-72.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Гончарова Н.М. Класифікація гострого панкреатиту: перегляд інтернаціональним консенсусом у 2012 р. класифікації, прийнятої в Атланті / І.А. Криворучко, В.М. Копчак, О.Ю. Усенко, Н.М. Гончарова [і ін.] // Клінічна хірургія. – 2014. – № 9. – С. 19-24. (Автором особисто проаналізовані літературні джерела, виконано клінічне дослідження та підготовлений текст статті).</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Гончарова Н.М. Визначення змін рівня </w:t>
      </w:r>
      <w:r w:rsidRPr="00C62D22">
        <w:rPr>
          <w:rFonts w:ascii="Times New Roman" w:eastAsia="MyriadPro-Bold" w:hAnsi="Times New Roman" w:cs="Times New Roman"/>
          <w:bCs/>
          <w:sz w:val="28"/>
          <w:szCs w:val="28"/>
        </w:rPr>
        <w:t>деяких показників системи пероксидації крові у хворих на різні типи ускладнених псевдокіст підшлункової залози</w:t>
      </w:r>
      <w:r w:rsidRPr="00C62D22">
        <w:rPr>
          <w:rFonts w:ascii="Times New Roman" w:hAnsi="Times New Roman" w:cs="Times New Roman"/>
          <w:sz w:val="28"/>
          <w:szCs w:val="28"/>
        </w:rPr>
        <w:t xml:space="preserve"> / Н.М. Гончарова // Український журнал медицини, біології та спорту. – 2017. –</w:t>
      </w:r>
      <w:r w:rsidRPr="00C62D22">
        <w:rPr>
          <w:rFonts w:ascii="Times New Roman" w:hAnsi="Times New Roman" w:cs="Times New Roman"/>
          <w:color w:val="FF0000"/>
          <w:sz w:val="28"/>
          <w:szCs w:val="28"/>
        </w:rPr>
        <w:t xml:space="preserve"> </w:t>
      </w:r>
      <w:r w:rsidRPr="00C62D22">
        <w:rPr>
          <w:rFonts w:ascii="Times New Roman" w:hAnsi="Times New Roman" w:cs="Times New Roman"/>
          <w:sz w:val="28"/>
          <w:szCs w:val="28"/>
        </w:rPr>
        <w:t>№1 (3).– С.75-77.</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lang w:val="en-US"/>
        </w:rPr>
      </w:pPr>
      <w:r w:rsidRPr="00C62D22">
        <w:rPr>
          <w:rFonts w:ascii="Times New Roman" w:hAnsi="Times New Roman" w:cs="Times New Roman"/>
          <w:sz w:val="28"/>
          <w:szCs w:val="28"/>
          <w:lang w:val="en-US"/>
        </w:rPr>
        <w:t xml:space="preserve">Goncharova N.M. Mini-invasive surgical treatment of complicated pseudocyst of pancreas second type / N.M. Goncharova // IX International Interdisciplinary conference of yoyng scientists and medical students «Actual problems of clinical and theoretical medicine»: </w:t>
      </w:r>
      <w:r w:rsidRPr="00C62D22">
        <w:rPr>
          <w:rFonts w:ascii="Times New Roman" w:hAnsi="Times New Roman" w:cs="Times New Roman"/>
          <w:sz w:val="28"/>
          <w:szCs w:val="28"/>
        </w:rPr>
        <w:t>мат</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конф</w:t>
      </w:r>
      <w:r w:rsidRPr="00C62D22">
        <w:rPr>
          <w:rFonts w:ascii="Times New Roman" w:hAnsi="Times New Roman" w:cs="Times New Roman"/>
          <w:sz w:val="28"/>
          <w:szCs w:val="28"/>
          <w:lang w:val="en-US"/>
        </w:rPr>
        <w:t xml:space="preserve">. – </w:t>
      </w:r>
      <w:r w:rsidRPr="00C62D22">
        <w:rPr>
          <w:rFonts w:ascii="Times New Roman" w:hAnsi="Times New Roman" w:cs="Times New Roman"/>
          <w:sz w:val="28"/>
          <w:szCs w:val="28"/>
        </w:rPr>
        <w:t>Харьков</w:t>
      </w:r>
      <w:r w:rsidRPr="00C62D22">
        <w:rPr>
          <w:rFonts w:ascii="Times New Roman" w:hAnsi="Times New Roman" w:cs="Times New Roman"/>
          <w:sz w:val="28"/>
          <w:szCs w:val="28"/>
          <w:lang w:val="en-US"/>
        </w:rPr>
        <w:t xml:space="preserve">, 2016. – </w:t>
      </w:r>
      <w:r w:rsidRPr="00C62D22">
        <w:rPr>
          <w:rFonts w:ascii="Times New Roman" w:hAnsi="Times New Roman" w:cs="Times New Roman"/>
          <w:sz w:val="28"/>
          <w:szCs w:val="28"/>
        </w:rPr>
        <w:t>С</w:t>
      </w:r>
      <w:r w:rsidRPr="00C62D22">
        <w:rPr>
          <w:rFonts w:ascii="Times New Roman" w:hAnsi="Times New Roman" w:cs="Times New Roman"/>
          <w:sz w:val="28"/>
          <w:szCs w:val="28"/>
          <w:lang w:val="en-US"/>
        </w:rPr>
        <w:t>. 278-279.</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Н</w:t>
      </w:r>
      <w:r w:rsidRPr="00C62D22">
        <w:rPr>
          <w:rFonts w:ascii="Times New Roman" w:hAnsi="Times New Roman" w:cs="Times New Roman"/>
          <w:sz w:val="28"/>
          <w:szCs w:val="28"/>
          <w:lang w:val="en-US"/>
        </w:rPr>
        <w:t>.</w:t>
      </w:r>
      <w:r w:rsidRPr="00C62D22">
        <w:rPr>
          <w:rFonts w:ascii="Times New Roman" w:hAnsi="Times New Roman" w:cs="Times New Roman"/>
          <w:sz w:val="28"/>
          <w:szCs w:val="28"/>
        </w:rPr>
        <w:t>М</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Лікування</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ускладнених</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псевдокіст</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підшлункової</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залози</w:t>
      </w:r>
      <w:r w:rsidRPr="00C62D22">
        <w:rPr>
          <w:rFonts w:ascii="Times New Roman" w:hAnsi="Times New Roman" w:cs="Times New Roman"/>
          <w:sz w:val="28"/>
          <w:szCs w:val="28"/>
          <w:lang w:val="en-US"/>
        </w:rPr>
        <w:t xml:space="preserve"> / </w:t>
      </w:r>
      <w:r w:rsidRPr="00C62D22">
        <w:rPr>
          <w:rFonts w:ascii="Times New Roman" w:hAnsi="Times New Roman" w:cs="Times New Roman"/>
          <w:sz w:val="28"/>
          <w:szCs w:val="28"/>
        </w:rPr>
        <w:t>Н</w:t>
      </w:r>
      <w:r w:rsidRPr="00C62D22">
        <w:rPr>
          <w:rFonts w:ascii="Times New Roman" w:hAnsi="Times New Roman" w:cs="Times New Roman"/>
          <w:sz w:val="28"/>
          <w:szCs w:val="28"/>
          <w:lang w:val="en-US"/>
        </w:rPr>
        <w:t>.</w:t>
      </w:r>
      <w:r w:rsidRPr="00C62D22">
        <w:rPr>
          <w:rFonts w:ascii="Times New Roman" w:hAnsi="Times New Roman" w:cs="Times New Roman"/>
          <w:sz w:val="28"/>
          <w:szCs w:val="28"/>
        </w:rPr>
        <w:t>М</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Гончарова</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А</w:t>
      </w:r>
      <w:r w:rsidRPr="00C62D22">
        <w:rPr>
          <w:rFonts w:ascii="Times New Roman" w:hAnsi="Times New Roman" w:cs="Times New Roman"/>
          <w:sz w:val="28"/>
          <w:szCs w:val="28"/>
          <w:lang w:val="en-US"/>
        </w:rPr>
        <w:t>.</w:t>
      </w:r>
      <w:r w:rsidRPr="00C62D22">
        <w:rPr>
          <w:rFonts w:ascii="Times New Roman" w:hAnsi="Times New Roman" w:cs="Times New Roman"/>
          <w:sz w:val="28"/>
          <w:szCs w:val="28"/>
        </w:rPr>
        <w:t>Г</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Дроздова</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А</w:t>
      </w:r>
      <w:r w:rsidRPr="00C62D22">
        <w:rPr>
          <w:rFonts w:ascii="Times New Roman" w:hAnsi="Times New Roman" w:cs="Times New Roman"/>
          <w:sz w:val="28"/>
          <w:szCs w:val="28"/>
          <w:lang w:val="en-US"/>
        </w:rPr>
        <w:t>.</w:t>
      </w:r>
      <w:r w:rsidRPr="00C62D22">
        <w:rPr>
          <w:rFonts w:ascii="Times New Roman" w:hAnsi="Times New Roman" w:cs="Times New Roman"/>
          <w:sz w:val="28"/>
          <w:szCs w:val="28"/>
        </w:rPr>
        <w:t>С</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Гончаров</w:t>
      </w:r>
      <w:r w:rsidRPr="00C62D22">
        <w:rPr>
          <w:rFonts w:ascii="Times New Roman" w:hAnsi="Times New Roman" w:cs="Times New Roman"/>
          <w:sz w:val="28"/>
          <w:szCs w:val="28"/>
          <w:lang w:val="en-US"/>
        </w:rPr>
        <w:t xml:space="preserve"> // </w:t>
      </w:r>
      <w:r w:rsidRPr="00C62D22">
        <w:rPr>
          <w:rFonts w:ascii="Times New Roman" w:hAnsi="Times New Roman" w:cs="Times New Roman"/>
          <w:sz w:val="28"/>
          <w:szCs w:val="28"/>
        </w:rPr>
        <w:t>Зб</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Тез міжвузівської конференції молодих вчених та студентів «Медицина третього тисячоліття». – Харків, 2014. – С. 104-105. (Автором особисто проаналізовані літературні джерела, виконано клінічне дослідження  та підготовлений текст тез).</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Використання мініінвазивних втручань при лікуванні ускладнених псевдокіст підшлункової залози / Н.М. Гончарова // Зб. Тез міжвузівської конференції молодих вчених та студентів «Медицина третього тисячоліття». – Харків, 2015. – С. 146-147.</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Н.Н. Хирургическое лечение псевдокист поджелудочной железы, осложненных кровотечением с использованием миниинвазивных методик / Н.Н. Гончарова, К.П. Старов, А.С. Гончаров // Зб. Тез міжвузівської конференції молодих вчених та студентів «Медицина третього тисячоліття». – Харків, 2016. – С. 170-171. (Автором особисто проаналізовані літературні джерела, виконано клінічне дослідження та підготовлений текст тез).</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Гончарова Н.М. Застосування мініінвазивних технологій при лікуванні псевдокіст підшлункової залози, ускладнених механічною жовтяницею /                     </w:t>
      </w:r>
      <w:r w:rsidRPr="00C62D22">
        <w:rPr>
          <w:rFonts w:ascii="Times New Roman" w:hAnsi="Times New Roman" w:cs="Times New Roman"/>
          <w:sz w:val="28"/>
          <w:szCs w:val="28"/>
        </w:rPr>
        <w:lastRenderedPageBreak/>
        <w:t>Н.М. Гончарова, О.С. Тесленко // Зб. Тез міжвузівської конференції молодих вчених та студентів «Медицина третього тисячоліття». – Харків, 2016. – С. 169-170. (Автором особисто проаналізовані літературні джерела, виконано клінічне дослідження та підготовлений текст тез).</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Лікування псевдокіст підшлункової залози з компресією суміжних органів / Н.М. Гончарова, А.Г. Дроздова, Н.А. Гладун, К.О. Кожем'яка // Мат. ХІХ Міжнародного медичного конгресу студентів та молодих вчених. – Тернопіль, 2015. – С. 87. (Автором особисто проаналізовані літературні джерела, виконано клінічне дослідження та підготовлений текст тез).</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Особливості діагностики та хірургічного лікування гострих інфікованих псевдокіст підшлункової залози / Н.М. Гончарова,                        А.Г. Дроздова, О.Є. Чернякова, Д.В. Каушнян // Зб. Тез міжвузівської конференції молодих вчених та студентів «Медицина третього тисячоліття». – Харків, 2015. – С. 147-148. (Автором особисто проаналізовані літературні джерела, виконано клінічне дослідження та підготовлений текст тез).</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Н.Н. Применение миниинвазивных технологий при лечении осложненных псевдокист поджелудочной железы, возникших на фоне хронического панкреатита / В.М. Копчак, И.А. Криворучко, В.И. Лупольцов, Н.Н. Гончарова // Мат. ХХIII Международного Конгресса Ассоциации гепатопанкреатобилиарных хирургов стран СНГ «Актуальные проблемы гепатопанкреатобилиарной хирургии». – Минск, 2016. – С. 182-183. (Автором особисто проаналізовані літературні джерела, виконано клінічне дослідження та підготовлений текст тез).</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Н.Н. Эндоскопическое лечение осложненных псевдокист поджелудочной железы / Н.Н. Гончарова // Мат. ХХIII Международного Конгресса Ассоциации гепатопанкреатобилиарных хирургов стран СНГ «Актуальные проблемы гепатопанкреатобилиарной хирургии». – Минск, 2016. – С. 323-324.</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Імуногістохімічні особливості псевдокіст підшлункової залози третього типу / Н.М. Гончарова // Зб. матеріалів заочної науково-практичної конференції з міжнародною участю «Сучасні аспекти морфології людини: успіхи, проблеми та перспективи».– Харків, 2016. – С. 53-54.</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Гончарова Н.М. Прогнозування ранніх післяопераційних ускладнень у хворих, оперованих з приводу ускладнених псевдокіст підшлункової залози І типу / Н.М. Гончарова // Зб. Тез міжвузівської конференції молодих вчених та студентів «Медицина третього тисячоліття». – Харків, 2017. – С.170-171. </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Гончарова Н.М. </w:t>
      </w:r>
      <w:r w:rsidRPr="00C62D22">
        <w:rPr>
          <w:rFonts w:ascii="Times New Roman" w:eastAsia="MyriadPro-Bold" w:hAnsi="Times New Roman" w:cs="Times New Roman"/>
          <w:bCs/>
          <w:sz w:val="28"/>
          <w:szCs w:val="28"/>
        </w:rPr>
        <w:t>Вивчення динаміки змін рівня деяких цитокінів крові у хворих на різні типи ускладнених псевдокіст підшлункової залози / Н.М. Гончарова // Зб. тез ІV Всеукраїнської наукової конференції студентів та молодих вчених «Фізіологія – медицині, фармації та педагогіці: Актуальні проблеми та сучасні досягнення». – Харків, 2017. – С.49.</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Гончарова Н.М. Імуногістохімічні особливості ускладнених хронічних псевдокіст підшлункової залози / Н.М. Гончарова //</w:t>
      </w:r>
      <w:r w:rsidRPr="00C62D22">
        <w:rPr>
          <w:rFonts w:ascii="Times New Roman" w:hAnsi="Times New Roman" w:cs="Times New Roman"/>
          <w:color w:val="FF0000"/>
          <w:sz w:val="28"/>
          <w:szCs w:val="28"/>
        </w:rPr>
        <w:t xml:space="preserve"> </w:t>
      </w:r>
      <w:r w:rsidRPr="00C62D22">
        <w:rPr>
          <w:rFonts w:ascii="Times New Roman" w:hAnsi="Times New Roman" w:cs="Times New Roman"/>
          <w:sz w:val="28"/>
          <w:szCs w:val="28"/>
        </w:rPr>
        <w:t>«ХИСТ» Всеукраїнський медичний журнал молодих вчених. –2017. – Вип.19. – С.514.</w:t>
      </w:r>
    </w:p>
    <w:p w:rsidR="0021764E" w:rsidRPr="00C62D22" w:rsidRDefault="0021764E" w:rsidP="0021764E">
      <w:pPr>
        <w:widowControl w:val="0"/>
        <w:numPr>
          <w:ilvl w:val="0"/>
          <w:numId w:val="1"/>
        </w:numPr>
        <w:shd w:val="clear" w:color="auto" w:fill="FFFFFF"/>
        <w:tabs>
          <w:tab w:val="left" w:pos="284"/>
          <w:tab w:val="left" w:pos="426"/>
          <w:tab w:val="left" w:pos="1080"/>
        </w:tabs>
        <w:autoSpaceDE w:val="0"/>
        <w:autoSpaceDN w:val="0"/>
        <w:adjustRightInd w:val="0"/>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lang w:val="en-US"/>
        </w:rPr>
        <w:t>Goncharova</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N</w:t>
      </w:r>
      <w:r w:rsidRPr="00C62D22">
        <w:rPr>
          <w:rFonts w:ascii="Times New Roman" w:hAnsi="Times New Roman" w:cs="Times New Roman"/>
          <w:sz w:val="28"/>
          <w:szCs w:val="28"/>
        </w:rPr>
        <w:t>.</w:t>
      </w:r>
      <w:r w:rsidRPr="00C62D22">
        <w:rPr>
          <w:rFonts w:ascii="Times New Roman" w:hAnsi="Times New Roman" w:cs="Times New Roman"/>
          <w:sz w:val="28"/>
          <w:szCs w:val="28"/>
          <w:lang w:val="en-US"/>
        </w:rPr>
        <w:t>N</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Surgical</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treatment</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of</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complicated</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pseudocyst</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of</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pancreas</w:t>
      </w:r>
      <w:r w:rsidRPr="00C62D22">
        <w:rPr>
          <w:rFonts w:ascii="Times New Roman" w:hAnsi="Times New Roman" w:cs="Times New Roman"/>
          <w:sz w:val="28"/>
          <w:szCs w:val="28"/>
        </w:rPr>
        <w:t xml:space="preserve"> /                  </w:t>
      </w:r>
      <w:r w:rsidRPr="00C62D22">
        <w:rPr>
          <w:rFonts w:ascii="Times New Roman" w:hAnsi="Times New Roman" w:cs="Times New Roman"/>
          <w:sz w:val="28"/>
          <w:szCs w:val="28"/>
          <w:lang w:val="en-US"/>
        </w:rPr>
        <w:t>I</w:t>
      </w:r>
      <w:r w:rsidRPr="00C62D22">
        <w:rPr>
          <w:rFonts w:ascii="Times New Roman" w:hAnsi="Times New Roman" w:cs="Times New Roman"/>
          <w:sz w:val="28"/>
          <w:szCs w:val="28"/>
        </w:rPr>
        <w:t>.</w:t>
      </w:r>
      <w:r w:rsidRPr="00C62D22">
        <w:rPr>
          <w:rFonts w:ascii="Times New Roman" w:hAnsi="Times New Roman" w:cs="Times New Roman"/>
          <w:sz w:val="28"/>
          <w:szCs w:val="28"/>
          <w:lang w:val="en-US"/>
        </w:rPr>
        <w:t>A</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Kryvoruchko</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N</w:t>
      </w:r>
      <w:r w:rsidRPr="00C62D22">
        <w:rPr>
          <w:rFonts w:ascii="Times New Roman" w:hAnsi="Times New Roman" w:cs="Times New Roman"/>
          <w:sz w:val="28"/>
          <w:szCs w:val="28"/>
        </w:rPr>
        <w:t>.</w:t>
      </w:r>
      <w:r w:rsidRPr="00C62D22">
        <w:rPr>
          <w:rFonts w:ascii="Times New Roman" w:hAnsi="Times New Roman" w:cs="Times New Roman"/>
          <w:sz w:val="28"/>
          <w:szCs w:val="28"/>
          <w:lang w:val="en-US"/>
        </w:rPr>
        <w:t>N</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Goncharova</w:t>
      </w:r>
      <w:r w:rsidRPr="00C62D22">
        <w:rPr>
          <w:rFonts w:ascii="Times New Roman" w:hAnsi="Times New Roman" w:cs="Times New Roman"/>
          <w:sz w:val="28"/>
          <w:szCs w:val="28"/>
        </w:rPr>
        <w:t xml:space="preserve"> // </w:t>
      </w:r>
      <w:r w:rsidRPr="00C62D22">
        <w:rPr>
          <w:rFonts w:ascii="Times New Roman" w:hAnsi="Times New Roman" w:cs="Times New Roman"/>
          <w:sz w:val="28"/>
          <w:szCs w:val="28"/>
          <w:lang w:val="en-US"/>
        </w:rPr>
        <w:t>Book</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of</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abstracts</w:t>
      </w:r>
      <w:r w:rsidRPr="00C62D22">
        <w:rPr>
          <w:rFonts w:ascii="Times New Roman" w:hAnsi="Times New Roman" w:cs="Times New Roman"/>
          <w:sz w:val="28"/>
          <w:szCs w:val="28"/>
        </w:rPr>
        <w:t xml:space="preserve"> «Р</w:t>
      </w:r>
      <w:r w:rsidRPr="00C62D22">
        <w:rPr>
          <w:rFonts w:ascii="Times New Roman" w:hAnsi="Times New Roman" w:cs="Times New Roman"/>
          <w:sz w:val="28"/>
          <w:szCs w:val="28"/>
          <w:lang w:val="en-US"/>
        </w:rPr>
        <w:t>ancreas</w:t>
      </w:r>
      <w:r w:rsidRPr="00C62D22">
        <w:rPr>
          <w:rFonts w:ascii="Times New Roman" w:hAnsi="Times New Roman" w:cs="Times New Roman"/>
          <w:sz w:val="28"/>
          <w:szCs w:val="28"/>
        </w:rPr>
        <w:t xml:space="preserve">» 12 </w:t>
      </w:r>
      <w:r w:rsidRPr="00C62D22">
        <w:rPr>
          <w:rFonts w:ascii="Times New Roman" w:hAnsi="Times New Roman" w:cs="Times New Roman"/>
          <w:sz w:val="28"/>
          <w:szCs w:val="28"/>
          <w:lang w:val="en-US"/>
        </w:rPr>
        <w:t>th</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Biennale</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E</w:t>
      </w:r>
      <w:r w:rsidRPr="00C62D22">
        <w:rPr>
          <w:rFonts w:ascii="Times New Roman" w:hAnsi="Times New Roman" w:cs="Times New Roman"/>
          <w:sz w:val="28"/>
          <w:szCs w:val="28"/>
        </w:rPr>
        <w:t>-</w:t>
      </w:r>
      <w:r w:rsidRPr="00C62D22">
        <w:rPr>
          <w:rFonts w:ascii="Times New Roman" w:hAnsi="Times New Roman" w:cs="Times New Roman"/>
          <w:sz w:val="28"/>
          <w:szCs w:val="28"/>
          <w:lang w:val="en-US"/>
        </w:rPr>
        <w:t>AHPBA</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Congress</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Mainz</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Germany</w:t>
      </w:r>
      <w:r w:rsidRPr="00C62D22">
        <w:rPr>
          <w:rFonts w:ascii="Times New Roman" w:hAnsi="Times New Roman" w:cs="Times New Roman"/>
          <w:sz w:val="28"/>
          <w:szCs w:val="28"/>
        </w:rPr>
        <w:t xml:space="preserve">, 2017. – </w:t>
      </w:r>
      <w:r w:rsidRPr="00C62D22">
        <w:rPr>
          <w:rFonts w:ascii="Times New Roman" w:hAnsi="Times New Roman" w:cs="Times New Roman"/>
          <w:sz w:val="28"/>
          <w:szCs w:val="28"/>
          <w:lang w:val="en-US"/>
        </w:rPr>
        <w:t>P</w:t>
      </w:r>
      <w:r w:rsidRPr="00C62D22">
        <w:rPr>
          <w:rFonts w:ascii="Times New Roman" w:hAnsi="Times New Roman" w:cs="Times New Roman"/>
          <w:sz w:val="28"/>
          <w:szCs w:val="28"/>
        </w:rPr>
        <w:t>16.01.(Автором особисто проаналізовані літературні джерела, виконано клінічне дослідження  та підготовлений текст тез).</w:t>
      </w:r>
    </w:p>
    <w:p w:rsidR="0021764E" w:rsidRPr="00C62D22" w:rsidRDefault="0021764E" w:rsidP="0021764E">
      <w:pPr>
        <w:spacing w:after="0" w:line="360" w:lineRule="auto"/>
        <w:ind w:firstLine="567"/>
        <w:jc w:val="both"/>
        <w:rPr>
          <w:rFonts w:ascii="Times New Roman" w:hAnsi="Times New Roman" w:cs="Times New Roman"/>
          <w:sz w:val="28"/>
          <w:szCs w:val="28"/>
        </w:rPr>
      </w:pPr>
    </w:p>
    <w:p w:rsidR="0021764E" w:rsidRPr="00C62D22" w:rsidRDefault="0021764E" w:rsidP="0021764E">
      <w:pPr>
        <w:tabs>
          <w:tab w:val="left" w:pos="0"/>
          <w:tab w:val="left" w:pos="6840"/>
        </w:tabs>
        <w:spacing w:after="0" w:line="240" w:lineRule="auto"/>
        <w:ind w:firstLine="540"/>
        <w:jc w:val="center"/>
        <w:rPr>
          <w:rFonts w:ascii="Times New Roman" w:hAnsi="Times New Roman" w:cs="Times New Roman"/>
          <w:b/>
          <w:bCs/>
          <w:smallCaps/>
          <w:sz w:val="28"/>
          <w:szCs w:val="28"/>
        </w:rPr>
      </w:pPr>
      <w:r w:rsidRPr="00C62D22">
        <w:rPr>
          <w:rFonts w:ascii="Times New Roman" w:hAnsi="Times New Roman" w:cs="Times New Roman"/>
          <w:b/>
          <w:bCs/>
          <w:smallCaps/>
          <w:sz w:val="28"/>
          <w:szCs w:val="28"/>
        </w:rPr>
        <w:br w:type="page"/>
      </w:r>
      <w:r w:rsidRPr="00C62D22">
        <w:rPr>
          <w:rFonts w:ascii="Times New Roman" w:hAnsi="Times New Roman" w:cs="Times New Roman"/>
          <w:b/>
          <w:bCs/>
          <w:smallCaps/>
          <w:sz w:val="28"/>
          <w:szCs w:val="28"/>
        </w:rPr>
        <w:lastRenderedPageBreak/>
        <w:t>ЗМІСТ</w:t>
      </w:r>
    </w:p>
    <w:p w:rsidR="0021764E" w:rsidRPr="00C62D22" w:rsidRDefault="0021764E" w:rsidP="0021764E">
      <w:pPr>
        <w:tabs>
          <w:tab w:val="left" w:pos="180"/>
          <w:tab w:val="left" w:pos="540"/>
          <w:tab w:val="left" w:pos="720"/>
          <w:tab w:val="left" w:pos="6840"/>
        </w:tabs>
        <w:spacing w:after="0" w:line="360" w:lineRule="auto"/>
        <w:ind w:firstLine="540"/>
        <w:jc w:val="center"/>
        <w:rPr>
          <w:rFonts w:ascii="Times New Roman" w:hAnsi="Times New Roman" w:cs="Times New Roman"/>
          <w:kern w:val="28"/>
          <w:sz w:val="28"/>
          <w:szCs w:val="28"/>
        </w:rPr>
      </w:pPr>
    </w:p>
    <w:p w:rsidR="0021764E" w:rsidRPr="00C62D22" w:rsidRDefault="0021764E" w:rsidP="0021764E">
      <w:pPr>
        <w:tabs>
          <w:tab w:val="left" w:pos="180"/>
          <w:tab w:val="left" w:pos="540"/>
          <w:tab w:val="left" w:pos="720"/>
          <w:tab w:val="left" w:pos="6840"/>
        </w:tabs>
        <w:spacing w:after="0" w:line="360" w:lineRule="auto"/>
        <w:ind w:firstLine="540"/>
        <w:jc w:val="center"/>
        <w:rPr>
          <w:rFonts w:ascii="Times New Roman" w:hAnsi="Times New Roman" w:cs="Times New Roman"/>
          <w:kern w:val="28"/>
          <w:sz w:val="28"/>
          <w:szCs w:val="28"/>
        </w:rPr>
      </w:pPr>
    </w:p>
    <w:p w:rsidR="0021764E" w:rsidRPr="00C62D22" w:rsidRDefault="0021764E" w:rsidP="0021764E">
      <w:pPr>
        <w:tabs>
          <w:tab w:val="left" w:pos="180"/>
          <w:tab w:val="left" w:pos="540"/>
          <w:tab w:val="left" w:pos="720"/>
          <w:tab w:val="left" w:pos="6840"/>
        </w:tabs>
        <w:spacing w:after="0" w:line="360" w:lineRule="auto"/>
        <w:jc w:val="center"/>
        <w:rPr>
          <w:rFonts w:ascii="Times New Roman" w:hAnsi="Times New Roman" w:cs="Times New Roman"/>
          <w:kern w:val="28"/>
          <w:sz w:val="28"/>
          <w:szCs w:val="28"/>
        </w:rPr>
      </w:pPr>
    </w:p>
    <w:p w:rsidR="0021764E" w:rsidRPr="00C62D22" w:rsidRDefault="0021764E" w:rsidP="0021764E">
      <w:pPr>
        <w:tabs>
          <w:tab w:val="left" w:pos="180"/>
          <w:tab w:val="left" w:pos="540"/>
          <w:tab w:val="left" w:pos="720"/>
          <w:tab w:val="left" w:pos="6840"/>
        </w:tabs>
        <w:spacing w:after="0" w:line="360" w:lineRule="auto"/>
        <w:ind w:firstLine="540"/>
        <w:jc w:val="both"/>
        <w:rPr>
          <w:rFonts w:ascii="Times New Roman" w:hAnsi="Times New Roman" w:cs="Times New Roman"/>
          <w:kern w:val="28"/>
          <w:sz w:val="28"/>
          <w:szCs w:val="28"/>
        </w:rPr>
      </w:pPr>
      <w:r w:rsidRPr="00C62D22">
        <w:rPr>
          <w:rFonts w:ascii="Times New Roman" w:hAnsi="Times New Roman" w:cs="Times New Roman"/>
          <w:kern w:val="28"/>
          <w:sz w:val="28"/>
          <w:szCs w:val="28"/>
        </w:rPr>
        <w:t>АНОТАЦІЯ…………………………………………………………………………2-8</w:t>
      </w:r>
    </w:p>
    <w:p w:rsidR="0021764E" w:rsidRPr="00C62D22" w:rsidRDefault="0021764E" w:rsidP="0021764E">
      <w:pPr>
        <w:tabs>
          <w:tab w:val="left" w:pos="180"/>
          <w:tab w:val="left" w:pos="540"/>
          <w:tab w:val="left" w:pos="720"/>
          <w:tab w:val="left" w:pos="6840"/>
        </w:tabs>
        <w:spacing w:after="0" w:line="360" w:lineRule="auto"/>
        <w:ind w:firstLine="540"/>
        <w:jc w:val="both"/>
        <w:rPr>
          <w:rFonts w:ascii="Times New Roman" w:hAnsi="Times New Roman" w:cs="Times New Roman"/>
          <w:kern w:val="28"/>
          <w:sz w:val="28"/>
          <w:szCs w:val="28"/>
        </w:rPr>
      </w:pPr>
      <w:r w:rsidRPr="00C62D22">
        <w:rPr>
          <w:rFonts w:ascii="Times New Roman" w:hAnsi="Times New Roman" w:cs="Times New Roman"/>
          <w:kern w:val="28"/>
          <w:sz w:val="28"/>
          <w:szCs w:val="28"/>
        </w:rPr>
        <w:t>СПИСОК ПУБЛІКАЦІЙ ЗДОБУВАЧА…………………………………………9-16</w:t>
      </w:r>
    </w:p>
    <w:p w:rsidR="0021764E" w:rsidRPr="00C62D22" w:rsidRDefault="0021764E" w:rsidP="0021764E">
      <w:pPr>
        <w:tabs>
          <w:tab w:val="left" w:pos="180"/>
          <w:tab w:val="left" w:pos="540"/>
          <w:tab w:val="left" w:pos="720"/>
          <w:tab w:val="left" w:pos="6840"/>
        </w:tabs>
        <w:spacing w:after="0" w:line="360" w:lineRule="auto"/>
        <w:ind w:firstLine="540"/>
        <w:jc w:val="both"/>
        <w:rPr>
          <w:rFonts w:ascii="Times New Roman" w:hAnsi="Times New Roman" w:cs="Times New Roman"/>
          <w:kern w:val="28"/>
          <w:sz w:val="28"/>
          <w:szCs w:val="28"/>
        </w:rPr>
      </w:pPr>
      <w:r w:rsidRPr="00C62D22">
        <w:rPr>
          <w:rFonts w:ascii="Times New Roman" w:hAnsi="Times New Roman" w:cs="Times New Roman"/>
          <w:kern w:val="28"/>
          <w:sz w:val="28"/>
          <w:szCs w:val="28"/>
        </w:rPr>
        <w:t>ЗМІСТ……………………………………………………………………………17-19</w:t>
      </w:r>
    </w:p>
    <w:p w:rsidR="0021764E" w:rsidRPr="00C62D22" w:rsidRDefault="0021764E" w:rsidP="0021764E">
      <w:pPr>
        <w:tabs>
          <w:tab w:val="left" w:leader="dot" w:pos="9000"/>
        </w:tabs>
        <w:spacing w:after="0" w:line="360" w:lineRule="auto"/>
        <w:ind w:firstLine="540"/>
        <w:rPr>
          <w:rFonts w:ascii="Times New Roman" w:hAnsi="Times New Roman" w:cs="Times New Roman"/>
          <w:sz w:val="28"/>
          <w:szCs w:val="28"/>
        </w:rPr>
      </w:pPr>
      <w:r w:rsidRPr="00C62D22">
        <w:rPr>
          <w:rFonts w:ascii="Times New Roman" w:hAnsi="Times New Roman" w:cs="Times New Roman"/>
          <w:bCs/>
          <w:sz w:val="28"/>
          <w:szCs w:val="28"/>
        </w:rPr>
        <w:t>ПЕРЕЛІК УМОВНИХ СКОРОЧЕНЬ………………………………………….20-24</w:t>
      </w:r>
    </w:p>
    <w:p w:rsidR="0021764E" w:rsidRPr="00C62D22" w:rsidRDefault="0021764E" w:rsidP="0021764E">
      <w:pPr>
        <w:tabs>
          <w:tab w:val="left" w:leader="dot" w:pos="9000"/>
        </w:tabs>
        <w:spacing w:after="0" w:line="360" w:lineRule="auto"/>
        <w:ind w:firstLine="540"/>
        <w:rPr>
          <w:rFonts w:ascii="Times New Roman" w:hAnsi="Times New Roman" w:cs="Times New Roman"/>
          <w:bCs/>
          <w:smallCaps/>
          <w:sz w:val="28"/>
          <w:szCs w:val="28"/>
        </w:rPr>
      </w:pPr>
      <w:r w:rsidRPr="00C62D22">
        <w:rPr>
          <w:rFonts w:ascii="Times New Roman" w:hAnsi="Times New Roman" w:cs="Times New Roman"/>
          <w:bCs/>
          <w:smallCaps/>
          <w:sz w:val="28"/>
          <w:szCs w:val="28"/>
        </w:rPr>
        <w:t>ВСТУП…………………………………………………………………………...25-36</w:t>
      </w:r>
    </w:p>
    <w:p w:rsidR="0021764E" w:rsidRPr="00C62D22" w:rsidRDefault="0021764E" w:rsidP="0021764E">
      <w:pPr>
        <w:tabs>
          <w:tab w:val="left" w:pos="360"/>
          <w:tab w:val="left" w:leader="dot" w:pos="900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РОЗДІЛ 1. ОГЛЯД ЛІТЕРАТУРИ………………………………………………....37</w:t>
      </w:r>
    </w:p>
    <w:p w:rsidR="0021764E" w:rsidRPr="00C62D22" w:rsidRDefault="0021764E" w:rsidP="0021764E">
      <w:pPr>
        <w:tabs>
          <w:tab w:val="left" w:pos="360"/>
          <w:tab w:val="left" w:pos="1080"/>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1.1. Сучасні погляди щодо етіології та патогенезу формування псевдокіст підшлункової залози та їх ускла</w:t>
      </w:r>
      <w:r w:rsidRPr="00C62D22">
        <w:rPr>
          <w:rFonts w:ascii="Times New Roman" w:hAnsi="Times New Roman" w:cs="Times New Roman"/>
          <w:sz w:val="28"/>
          <w:szCs w:val="28"/>
        </w:rPr>
        <w:t>д</w:t>
      </w:r>
      <w:r w:rsidRPr="00C62D22">
        <w:rPr>
          <w:rFonts w:ascii="Times New Roman" w:hAnsi="Times New Roman" w:cs="Times New Roman"/>
          <w:sz w:val="28"/>
          <w:szCs w:val="28"/>
        </w:rPr>
        <w:t>нень……………………………………........37-55</w:t>
      </w:r>
    </w:p>
    <w:p w:rsidR="0021764E" w:rsidRPr="00C62D22" w:rsidRDefault="0021764E" w:rsidP="0021764E">
      <w:pPr>
        <w:tabs>
          <w:tab w:val="left" w:pos="360"/>
          <w:tab w:val="left" w:pos="540"/>
          <w:tab w:val="left" w:pos="1080"/>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1.2. Методи діагностики псевдокіст підшлункової залози та їх ускла</w:t>
      </w:r>
      <w:r w:rsidRPr="00C62D22">
        <w:rPr>
          <w:rFonts w:ascii="Times New Roman" w:hAnsi="Times New Roman" w:cs="Times New Roman"/>
          <w:sz w:val="28"/>
          <w:szCs w:val="28"/>
        </w:rPr>
        <w:t>д</w:t>
      </w:r>
      <w:r w:rsidRPr="00C62D22">
        <w:rPr>
          <w:rFonts w:ascii="Times New Roman" w:hAnsi="Times New Roman" w:cs="Times New Roman"/>
          <w:sz w:val="28"/>
          <w:szCs w:val="28"/>
        </w:rPr>
        <w:t>нень…………………………………………………………………….....55-64</w:t>
      </w:r>
    </w:p>
    <w:p w:rsidR="0021764E" w:rsidRPr="00C62D22" w:rsidRDefault="0021764E" w:rsidP="0021764E">
      <w:pPr>
        <w:tabs>
          <w:tab w:val="left" w:pos="360"/>
          <w:tab w:val="left" w:pos="1080"/>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1.3. Методи хірургічного лікування хворих на ускладнені псевдокісти підшлункової залози …………………..………………………………………..64-74</w:t>
      </w:r>
    </w:p>
    <w:p w:rsidR="0021764E" w:rsidRPr="00C62D22" w:rsidRDefault="0021764E" w:rsidP="0021764E">
      <w:pPr>
        <w:tabs>
          <w:tab w:val="left" w:pos="360"/>
          <w:tab w:val="left" w:leader="dot" w:pos="9000"/>
          <w:tab w:val="left" w:leader="dot" w:pos="9105"/>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РОЗДІЛ 2. МАТЕРІАЛИ ТА МЕТОДИ ДОСЛІДЖЕННЯ……………………....75</w:t>
      </w:r>
    </w:p>
    <w:p w:rsidR="0021764E" w:rsidRPr="00C62D22" w:rsidRDefault="0021764E" w:rsidP="0021764E">
      <w:pPr>
        <w:tabs>
          <w:tab w:val="left" w:pos="540"/>
          <w:tab w:val="left" w:leader="dot" w:pos="9000"/>
          <w:tab w:val="left" w:leader="dot" w:pos="9105"/>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2.1. Матеріали клінічних досл</w:t>
      </w:r>
      <w:r w:rsidRPr="00C62D22">
        <w:rPr>
          <w:rFonts w:ascii="Times New Roman" w:hAnsi="Times New Roman" w:cs="Times New Roman"/>
          <w:sz w:val="28"/>
          <w:szCs w:val="28"/>
        </w:rPr>
        <w:t>і</w:t>
      </w:r>
      <w:r w:rsidRPr="00C62D22">
        <w:rPr>
          <w:rFonts w:ascii="Times New Roman" w:hAnsi="Times New Roman" w:cs="Times New Roman"/>
          <w:sz w:val="28"/>
          <w:szCs w:val="28"/>
        </w:rPr>
        <w:t>джень………………………………………….75-82</w:t>
      </w:r>
    </w:p>
    <w:p w:rsidR="0021764E" w:rsidRPr="00C62D22" w:rsidRDefault="0021764E" w:rsidP="0021764E">
      <w:pPr>
        <w:tabs>
          <w:tab w:val="left" w:pos="540"/>
          <w:tab w:val="left" w:leader="dot" w:pos="9000"/>
          <w:tab w:val="left" w:leader="dot" w:pos="9105"/>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2.2. Клініко-лабораторні та інструментальні методи дослідження….............82-95</w:t>
      </w:r>
    </w:p>
    <w:p w:rsidR="0021764E" w:rsidRPr="00C62D22" w:rsidRDefault="0021764E" w:rsidP="0021764E">
      <w:pPr>
        <w:tabs>
          <w:tab w:val="left" w:pos="540"/>
          <w:tab w:val="left" w:leader="dot" w:pos="9000"/>
          <w:tab w:val="left" w:leader="dot" w:pos="9105"/>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2.3. Методи статистичного аналізу…………………………………………….95-96</w:t>
      </w:r>
    </w:p>
    <w:p w:rsidR="0021764E" w:rsidRPr="00C62D22" w:rsidRDefault="0021764E" w:rsidP="0021764E">
      <w:pPr>
        <w:tabs>
          <w:tab w:val="left" w:pos="540"/>
          <w:tab w:val="left" w:leader="dot" w:pos="9000"/>
          <w:tab w:val="left" w:leader="dot" w:pos="9105"/>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РОЗДІЛ 3. ОСОБЛИВОСТІ КЛІНІЧНОЇ, ЛАБОРАТОРНОЇ ТА ІНСТРУМЕНТАЛЬНОЇ ДІАГНОСТИКИ ПСЕВДОКІСТ ПІДШЛУНКОВОЇ ЗАЛОЗИ ТА ЇХ УСКЛАДНЕНЬ…………………………………………………...97</w:t>
      </w:r>
    </w:p>
    <w:p w:rsidR="0021764E" w:rsidRPr="00C62D22" w:rsidRDefault="0021764E" w:rsidP="0021764E">
      <w:pPr>
        <w:tabs>
          <w:tab w:val="left" w:pos="360"/>
          <w:tab w:val="left" w:leader="dot" w:pos="9000"/>
          <w:tab w:val="left" w:leader="dot" w:pos="9105"/>
        </w:tabs>
        <w:spacing w:after="0" w:line="360" w:lineRule="auto"/>
        <w:ind w:firstLine="540"/>
        <w:jc w:val="both"/>
        <w:rPr>
          <w:rFonts w:ascii="Times New Roman" w:hAnsi="Times New Roman" w:cs="Times New Roman"/>
          <w:bCs/>
          <w:smallCaps/>
          <w:sz w:val="28"/>
          <w:szCs w:val="28"/>
        </w:rPr>
      </w:pPr>
      <w:r w:rsidRPr="00C62D22">
        <w:rPr>
          <w:rFonts w:ascii="Times New Roman" w:hAnsi="Times New Roman" w:cs="Times New Roman"/>
          <w:sz w:val="28"/>
          <w:szCs w:val="28"/>
        </w:rPr>
        <w:t>3.1. Клініко-лабораторна діагност</w:t>
      </w:r>
      <w:r w:rsidRPr="00C62D22">
        <w:rPr>
          <w:rFonts w:ascii="Times New Roman" w:hAnsi="Times New Roman" w:cs="Times New Roman"/>
          <w:sz w:val="28"/>
          <w:szCs w:val="28"/>
        </w:rPr>
        <w:t>и</w:t>
      </w:r>
      <w:r w:rsidRPr="00C62D22">
        <w:rPr>
          <w:rFonts w:ascii="Times New Roman" w:hAnsi="Times New Roman" w:cs="Times New Roman"/>
          <w:sz w:val="28"/>
          <w:szCs w:val="28"/>
        </w:rPr>
        <w:t>ка…………………………………...........97-100</w:t>
      </w:r>
    </w:p>
    <w:p w:rsidR="0021764E" w:rsidRPr="00C62D22" w:rsidRDefault="0021764E" w:rsidP="0021764E">
      <w:pPr>
        <w:tabs>
          <w:tab w:val="left" w:pos="360"/>
          <w:tab w:val="left" w:leader="dot" w:pos="9000"/>
          <w:tab w:val="left" w:leader="dot" w:pos="9105"/>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3.2. Інструментальна діагностика…………………………………………...101-118</w:t>
      </w:r>
    </w:p>
    <w:p w:rsidR="0021764E" w:rsidRPr="00C62D22" w:rsidRDefault="0021764E" w:rsidP="0021764E">
      <w:pPr>
        <w:tabs>
          <w:tab w:val="left" w:pos="360"/>
          <w:tab w:val="left" w:leader="dot" w:pos="9000"/>
        </w:tabs>
        <w:spacing w:after="0" w:line="360" w:lineRule="auto"/>
        <w:ind w:left="540"/>
        <w:jc w:val="both"/>
        <w:rPr>
          <w:rFonts w:ascii="Times New Roman" w:hAnsi="Times New Roman" w:cs="Times New Roman"/>
          <w:b/>
          <w:sz w:val="28"/>
          <w:szCs w:val="28"/>
        </w:rPr>
      </w:pPr>
      <w:r w:rsidRPr="00C62D22">
        <w:rPr>
          <w:rFonts w:ascii="Times New Roman" w:hAnsi="Times New Roman" w:cs="Times New Roman"/>
          <w:sz w:val="28"/>
          <w:szCs w:val="28"/>
        </w:rPr>
        <w:t>РОЗДІЛ 4. ОСОБЛИВОСТІ ПАТОГЕНЕТИЧНИХ МЕХАНІ</w:t>
      </w:r>
      <w:r w:rsidRPr="00C62D22">
        <w:rPr>
          <w:rFonts w:ascii="Times New Roman" w:hAnsi="Times New Roman" w:cs="Times New Roman"/>
          <w:sz w:val="28"/>
          <w:szCs w:val="28"/>
        </w:rPr>
        <w:t>З</w:t>
      </w:r>
      <w:r w:rsidRPr="00C62D22">
        <w:rPr>
          <w:rFonts w:ascii="Times New Roman" w:hAnsi="Times New Roman" w:cs="Times New Roman"/>
          <w:sz w:val="28"/>
          <w:szCs w:val="28"/>
        </w:rPr>
        <w:t xml:space="preserve">МІВ </w:t>
      </w:r>
      <w:r w:rsidRPr="00C62D22">
        <w:rPr>
          <w:rFonts w:ascii="Times New Roman" w:hAnsi="Times New Roman" w:cs="Times New Roman"/>
          <w:sz w:val="28"/>
          <w:szCs w:val="28"/>
        </w:rPr>
        <w:br/>
        <w:t>РОЗВИТКУ УСКЛАДНЕНИХ ПСЕВДОКІСТ ПІДШЛУНКОВОЇ ЗАЛОЗИ……………………………………………………………………….119-120</w:t>
      </w:r>
    </w:p>
    <w:p w:rsidR="0021764E" w:rsidRPr="00C62D22" w:rsidRDefault="0021764E" w:rsidP="0021764E">
      <w:pPr>
        <w:tabs>
          <w:tab w:val="left" w:leader="dot" w:pos="9000"/>
        </w:tabs>
        <w:spacing w:after="0" w:line="360" w:lineRule="auto"/>
        <w:ind w:left="540"/>
        <w:jc w:val="both"/>
        <w:rPr>
          <w:rStyle w:val="hps"/>
          <w:rFonts w:ascii="Times New Roman" w:hAnsi="Times New Roman" w:cs="Times New Roman"/>
          <w:sz w:val="28"/>
          <w:szCs w:val="28"/>
        </w:rPr>
      </w:pPr>
      <w:r w:rsidRPr="00C62D22">
        <w:rPr>
          <w:rFonts w:ascii="Times New Roman" w:hAnsi="Times New Roman" w:cs="Times New Roman"/>
          <w:sz w:val="28"/>
          <w:szCs w:val="28"/>
        </w:rPr>
        <w:t xml:space="preserve">4.1. Динаміка змін рівня </w:t>
      </w:r>
      <w:r w:rsidRPr="00C62D22">
        <w:rPr>
          <w:rFonts w:ascii="Times New Roman" w:eastAsia="MyriadPro-Bold" w:hAnsi="Times New Roman" w:cs="Times New Roman"/>
          <w:bCs/>
          <w:sz w:val="28"/>
          <w:szCs w:val="28"/>
        </w:rPr>
        <w:t xml:space="preserve">деяких показників системи пероксидації крові у хворих на різні типи </w:t>
      </w:r>
      <w:r w:rsidRPr="00C62D22">
        <w:rPr>
          <w:rFonts w:ascii="Times New Roman" w:hAnsi="Times New Roman" w:cs="Times New Roman"/>
          <w:sz w:val="28"/>
          <w:szCs w:val="28"/>
        </w:rPr>
        <w:t>псевдокіст підшлункової залози</w:t>
      </w:r>
      <w:r w:rsidRPr="00C62D22">
        <w:rPr>
          <w:rStyle w:val="a7"/>
          <w:rFonts w:ascii="Times New Roman" w:hAnsi="Times New Roman" w:cs="Times New Roman"/>
          <w:sz w:val="28"/>
          <w:szCs w:val="28"/>
        </w:rPr>
        <w:t xml:space="preserve"> </w:t>
      </w:r>
      <w:r w:rsidRPr="00C62D22">
        <w:rPr>
          <w:rStyle w:val="hps"/>
          <w:rFonts w:ascii="Times New Roman" w:hAnsi="Times New Roman" w:cs="Times New Roman"/>
          <w:sz w:val="28"/>
          <w:szCs w:val="28"/>
        </w:rPr>
        <w:t>………………………..…...120-122</w:t>
      </w:r>
    </w:p>
    <w:p w:rsidR="0021764E" w:rsidRPr="00C62D22" w:rsidRDefault="0021764E" w:rsidP="0021764E">
      <w:pPr>
        <w:autoSpaceDE w:val="0"/>
        <w:autoSpaceDN w:val="0"/>
        <w:adjustRightInd w:val="0"/>
        <w:spacing w:after="0" w:line="360" w:lineRule="auto"/>
        <w:ind w:left="540"/>
        <w:jc w:val="both"/>
        <w:rPr>
          <w:rFonts w:ascii="Times New Roman" w:eastAsia="MyriadPro-Bold" w:hAnsi="Times New Roman" w:cs="Times New Roman"/>
          <w:bCs/>
          <w:sz w:val="28"/>
          <w:szCs w:val="28"/>
        </w:rPr>
      </w:pPr>
      <w:r w:rsidRPr="00C62D22">
        <w:rPr>
          <w:rFonts w:ascii="Times New Roman" w:hAnsi="Times New Roman" w:cs="Times New Roman"/>
          <w:sz w:val="28"/>
          <w:szCs w:val="28"/>
        </w:rPr>
        <w:lastRenderedPageBreak/>
        <w:t>4.2.</w:t>
      </w:r>
      <w:r w:rsidRPr="00C62D22">
        <w:rPr>
          <w:rFonts w:ascii="Times New Roman" w:eastAsia="MyriadPro-Bold" w:hAnsi="Times New Roman" w:cs="Times New Roman"/>
          <w:bCs/>
          <w:sz w:val="28"/>
          <w:szCs w:val="28"/>
        </w:rPr>
        <w:t xml:space="preserve"> Динаміка змін рівня деяких цитокінів крові у хворих на різні т</w:t>
      </w:r>
      <w:r w:rsidRPr="00C62D22">
        <w:rPr>
          <w:rFonts w:ascii="Times New Roman" w:eastAsia="MyriadPro-Bold" w:hAnsi="Times New Roman" w:cs="Times New Roman"/>
          <w:bCs/>
          <w:sz w:val="28"/>
          <w:szCs w:val="28"/>
        </w:rPr>
        <w:t>и</w:t>
      </w:r>
      <w:r w:rsidRPr="00C62D22">
        <w:rPr>
          <w:rFonts w:ascii="Times New Roman" w:eastAsia="MyriadPro-Bold" w:hAnsi="Times New Roman" w:cs="Times New Roman"/>
          <w:bCs/>
          <w:sz w:val="28"/>
          <w:szCs w:val="28"/>
        </w:rPr>
        <w:t xml:space="preserve">пи </w:t>
      </w:r>
      <w:r w:rsidRPr="00C62D22">
        <w:rPr>
          <w:rFonts w:ascii="Times New Roman" w:hAnsi="Times New Roman" w:cs="Times New Roman"/>
          <w:sz w:val="28"/>
          <w:szCs w:val="28"/>
        </w:rPr>
        <w:t xml:space="preserve">псевдокіст підшлункової залози </w:t>
      </w:r>
      <w:r w:rsidRPr="00C62D22">
        <w:rPr>
          <w:rFonts w:ascii="Times New Roman" w:eastAsia="MyriadPro-Bold" w:hAnsi="Times New Roman" w:cs="Times New Roman"/>
          <w:bCs/>
          <w:sz w:val="28"/>
          <w:szCs w:val="28"/>
        </w:rPr>
        <w:t>…………………………………………...123-126</w:t>
      </w:r>
    </w:p>
    <w:p w:rsidR="0021764E" w:rsidRPr="00C62D22" w:rsidRDefault="0021764E" w:rsidP="0021764E">
      <w:pPr>
        <w:autoSpaceDE w:val="0"/>
        <w:autoSpaceDN w:val="0"/>
        <w:adjustRightInd w:val="0"/>
        <w:spacing w:after="0" w:line="360" w:lineRule="auto"/>
        <w:ind w:left="540"/>
        <w:jc w:val="both"/>
        <w:rPr>
          <w:rFonts w:ascii="Times New Roman" w:hAnsi="Times New Roman" w:cs="Times New Roman"/>
          <w:b/>
          <w:sz w:val="28"/>
          <w:szCs w:val="28"/>
        </w:rPr>
      </w:pPr>
      <w:r w:rsidRPr="00C62D22">
        <w:rPr>
          <w:rFonts w:ascii="Times New Roman" w:eastAsia="MyriadPro-Bold" w:hAnsi="Times New Roman" w:cs="Times New Roman"/>
          <w:bCs/>
          <w:sz w:val="28"/>
          <w:szCs w:val="28"/>
        </w:rPr>
        <w:t xml:space="preserve">4.3. </w:t>
      </w:r>
      <w:r w:rsidRPr="00C62D22">
        <w:rPr>
          <w:rFonts w:ascii="Times New Roman" w:hAnsi="Times New Roman" w:cs="Times New Roman"/>
          <w:sz w:val="28"/>
          <w:szCs w:val="28"/>
        </w:rPr>
        <w:t xml:space="preserve">Динаміка змін рівня матричних протеаз (ММП-9), їх інгібіторів (ТІМП-2) та функціонального стану ендотелію </w:t>
      </w:r>
      <w:r w:rsidRPr="00C62D22">
        <w:rPr>
          <w:rStyle w:val="hps"/>
          <w:rFonts w:ascii="Times New Roman" w:hAnsi="Times New Roman" w:cs="Times New Roman"/>
          <w:sz w:val="28"/>
          <w:szCs w:val="28"/>
        </w:rPr>
        <w:t xml:space="preserve">у хворих з різними типами ускладнених </w:t>
      </w:r>
      <w:r w:rsidRPr="00C62D22">
        <w:rPr>
          <w:rFonts w:ascii="Times New Roman" w:hAnsi="Times New Roman" w:cs="Times New Roman"/>
          <w:sz w:val="28"/>
          <w:szCs w:val="28"/>
        </w:rPr>
        <w:t xml:space="preserve">псевдокіст підшлункової залози </w:t>
      </w:r>
      <w:r w:rsidRPr="00C62D22">
        <w:rPr>
          <w:rStyle w:val="hps"/>
          <w:rFonts w:ascii="Times New Roman" w:hAnsi="Times New Roman" w:cs="Times New Roman"/>
          <w:sz w:val="28"/>
          <w:szCs w:val="28"/>
        </w:rPr>
        <w:t>…………………………………………….126-137</w:t>
      </w:r>
    </w:p>
    <w:p w:rsidR="0021764E" w:rsidRPr="00C62D22" w:rsidRDefault="0021764E" w:rsidP="0021764E">
      <w:pPr>
        <w:tabs>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РОЗДІЛ 5. СТАН ПЕЧІНКОВОГО ТА СПЛАНХНІЧНОГО КРОВОТОКА ПРИ РІЗНИХ ТИПАХ ПСЕВДОКІСТ ПІДШЛУНКОВОЇ ЗАЛОЗИ.…………..138-149</w:t>
      </w:r>
    </w:p>
    <w:p w:rsidR="0021764E" w:rsidRPr="00C62D22" w:rsidRDefault="0021764E" w:rsidP="0021764E">
      <w:pPr>
        <w:spacing w:after="0" w:line="360" w:lineRule="auto"/>
        <w:ind w:left="540"/>
        <w:jc w:val="both"/>
        <w:rPr>
          <w:rStyle w:val="hps"/>
          <w:rFonts w:ascii="Times New Roman" w:hAnsi="Times New Roman" w:cs="Times New Roman"/>
          <w:sz w:val="28"/>
          <w:szCs w:val="28"/>
        </w:rPr>
      </w:pPr>
      <w:r w:rsidRPr="00C62D22">
        <w:rPr>
          <w:rFonts w:ascii="Times New Roman" w:hAnsi="Times New Roman" w:cs="Times New Roman"/>
          <w:sz w:val="28"/>
          <w:szCs w:val="28"/>
        </w:rPr>
        <w:t xml:space="preserve">РОЗДІЛ 6. ПАТОМОРФОЛОГІЧНІ ТА ІМУНОГІСТОХІМІЧНІ ЗМІНИ В СТІНЦІ РІЗНИХ ТИПІВ ПСЕВДОКІСТ ТА В ПАРЕНХІМІ </w:t>
      </w:r>
      <w:r w:rsidRPr="00C62D22">
        <w:rPr>
          <w:rStyle w:val="hps"/>
          <w:rFonts w:ascii="Times New Roman" w:hAnsi="Times New Roman" w:cs="Times New Roman"/>
          <w:sz w:val="28"/>
          <w:szCs w:val="28"/>
        </w:rPr>
        <w:t>ПІДШЛУНКОВОЇ ЗАЛОЗИ……………………………………………………………………………150</w:t>
      </w:r>
    </w:p>
    <w:p w:rsidR="0021764E" w:rsidRPr="00C62D22" w:rsidRDefault="0021764E" w:rsidP="0021764E">
      <w:pPr>
        <w:tabs>
          <w:tab w:val="left" w:pos="540"/>
        </w:tabs>
        <w:spacing w:after="0" w:line="360" w:lineRule="auto"/>
        <w:ind w:left="540"/>
        <w:contextualSpacing/>
        <w:jc w:val="both"/>
        <w:rPr>
          <w:rFonts w:ascii="Times New Roman" w:hAnsi="Times New Roman" w:cs="Times New Roman"/>
          <w:b/>
          <w:bCs/>
          <w:sz w:val="28"/>
          <w:szCs w:val="28"/>
        </w:rPr>
      </w:pPr>
      <w:r w:rsidRPr="00C62D22">
        <w:rPr>
          <w:rStyle w:val="hps"/>
          <w:rFonts w:ascii="Times New Roman" w:hAnsi="Times New Roman" w:cs="Times New Roman"/>
          <w:sz w:val="28"/>
          <w:szCs w:val="28"/>
        </w:rPr>
        <w:t>6.1.</w:t>
      </w:r>
      <w:r w:rsidRPr="00C62D22">
        <w:rPr>
          <w:rFonts w:ascii="Times New Roman" w:hAnsi="Times New Roman" w:cs="Times New Roman"/>
          <w:bCs/>
          <w:sz w:val="28"/>
          <w:szCs w:val="28"/>
        </w:rPr>
        <w:t xml:space="preserve"> Гістологічні, гістохімічні та імуногістохімічні зміни в стінках псевдокіст першого типу та в прилеглій паренхімі підшлункової залози…………………………….…………………………………………...150-162</w:t>
      </w:r>
    </w:p>
    <w:p w:rsidR="0021764E" w:rsidRPr="00C62D22" w:rsidRDefault="0021764E" w:rsidP="0021764E">
      <w:pPr>
        <w:tabs>
          <w:tab w:val="left" w:pos="540"/>
        </w:tabs>
        <w:spacing w:after="0" w:line="360" w:lineRule="auto"/>
        <w:ind w:left="540"/>
        <w:jc w:val="both"/>
        <w:rPr>
          <w:rFonts w:ascii="Times New Roman" w:hAnsi="Times New Roman" w:cs="Times New Roman"/>
          <w:bCs/>
          <w:sz w:val="28"/>
          <w:szCs w:val="28"/>
        </w:rPr>
      </w:pPr>
      <w:r w:rsidRPr="00C62D22">
        <w:rPr>
          <w:rStyle w:val="hps"/>
          <w:rFonts w:ascii="Times New Roman" w:hAnsi="Times New Roman" w:cs="Times New Roman"/>
          <w:sz w:val="28"/>
          <w:szCs w:val="28"/>
        </w:rPr>
        <w:t>6.2.</w:t>
      </w:r>
      <w:r w:rsidRPr="00C62D22">
        <w:rPr>
          <w:rFonts w:ascii="Times New Roman" w:hAnsi="Times New Roman" w:cs="Times New Roman"/>
          <w:bCs/>
          <w:sz w:val="28"/>
          <w:szCs w:val="28"/>
        </w:rPr>
        <w:t xml:space="preserve"> Гістологічні, гістохімічні та імуногістохімічні зміни в стінках псевдокіст другого типу та в прилеглій паренхімі підшлункової залози……………………………..…………………………………………...162-172</w:t>
      </w:r>
    </w:p>
    <w:p w:rsidR="0021764E" w:rsidRPr="00C62D22" w:rsidRDefault="0021764E" w:rsidP="0021764E">
      <w:pPr>
        <w:tabs>
          <w:tab w:val="left" w:pos="540"/>
        </w:tabs>
        <w:spacing w:after="0" w:line="360" w:lineRule="auto"/>
        <w:ind w:left="540"/>
        <w:jc w:val="both"/>
        <w:rPr>
          <w:rFonts w:ascii="Times New Roman" w:hAnsi="Times New Roman" w:cs="Times New Roman"/>
          <w:sz w:val="28"/>
          <w:szCs w:val="28"/>
        </w:rPr>
      </w:pPr>
      <w:r w:rsidRPr="00C62D22">
        <w:rPr>
          <w:rStyle w:val="hps"/>
          <w:rFonts w:ascii="Times New Roman" w:hAnsi="Times New Roman" w:cs="Times New Roman"/>
          <w:sz w:val="28"/>
          <w:szCs w:val="28"/>
        </w:rPr>
        <w:t>6.3.</w:t>
      </w:r>
      <w:r w:rsidRPr="00C62D22">
        <w:rPr>
          <w:rFonts w:ascii="Times New Roman" w:hAnsi="Times New Roman" w:cs="Times New Roman"/>
          <w:bCs/>
          <w:sz w:val="28"/>
          <w:szCs w:val="28"/>
        </w:rPr>
        <w:t xml:space="preserve"> Гістологічні, гістохімічні та імуногістохімічні зміни в стінках псевдокіст третього типу та в прилеглій паренхімі підшлункової залози…………………………….…………………………………………...172-184</w:t>
      </w:r>
    </w:p>
    <w:p w:rsidR="0021764E" w:rsidRPr="00C62D22" w:rsidRDefault="0021764E" w:rsidP="0021764E">
      <w:pPr>
        <w:tabs>
          <w:tab w:val="left" w:pos="360"/>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РОЗДІЛ 7. ХІРУРГІЧНЕ ЛІКУВАННЯ ХВОРИХ З УСКЛАДНЕНИМИ ПСЕВДОКІСТАМИ ПІДШЛУНКОВОЇ ЗАЛОЗИ ПЕРШОГО ТИПУ……………………………………………………………………………….185</w:t>
      </w:r>
    </w:p>
    <w:p w:rsidR="0021764E" w:rsidRPr="00C62D22" w:rsidRDefault="0021764E" w:rsidP="0021764E">
      <w:pPr>
        <w:pStyle w:val="a5"/>
        <w:tabs>
          <w:tab w:val="left" w:pos="4395"/>
          <w:tab w:val="left" w:leader="dot" w:pos="9000"/>
        </w:tabs>
        <w:spacing w:before="0" w:beforeAutospacing="0" w:after="0" w:afterAutospacing="0" w:line="360" w:lineRule="auto"/>
        <w:ind w:left="540"/>
        <w:jc w:val="both"/>
        <w:rPr>
          <w:sz w:val="28"/>
          <w:szCs w:val="28"/>
          <w:lang w:val="uk-UA"/>
        </w:rPr>
      </w:pPr>
      <w:r w:rsidRPr="00C62D22">
        <w:rPr>
          <w:sz w:val="28"/>
          <w:szCs w:val="28"/>
          <w:lang w:val="uk-UA"/>
        </w:rPr>
        <w:t>7.1. Застосування мініінвазивних методів хірургічного лікування хворих на ускладнені псевдокісти підшлункової залози першого т</w:t>
      </w:r>
      <w:r w:rsidRPr="00C62D22">
        <w:rPr>
          <w:sz w:val="28"/>
          <w:szCs w:val="28"/>
          <w:lang w:val="uk-UA"/>
        </w:rPr>
        <w:t>и</w:t>
      </w:r>
      <w:r w:rsidRPr="00C62D22">
        <w:rPr>
          <w:sz w:val="28"/>
          <w:szCs w:val="28"/>
          <w:lang w:val="uk-UA"/>
        </w:rPr>
        <w:t>пу…………………………………………………………………………....185-190</w:t>
      </w:r>
    </w:p>
    <w:p w:rsidR="0021764E" w:rsidRPr="00C62D22" w:rsidRDefault="0021764E" w:rsidP="0021764E">
      <w:pPr>
        <w:pStyle w:val="a5"/>
        <w:tabs>
          <w:tab w:val="left" w:pos="4395"/>
          <w:tab w:val="left" w:leader="dot" w:pos="9000"/>
        </w:tabs>
        <w:spacing w:before="0" w:beforeAutospacing="0" w:after="0" w:afterAutospacing="0" w:line="360" w:lineRule="auto"/>
        <w:ind w:left="540"/>
        <w:jc w:val="both"/>
        <w:rPr>
          <w:sz w:val="28"/>
          <w:szCs w:val="28"/>
        </w:rPr>
      </w:pPr>
      <w:r w:rsidRPr="00C62D22">
        <w:rPr>
          <w:sz w:val="28"/>
          <w:szCs w:val="28"/>
          <w:lang w:val="uk-UA"/>
        </w:rPr>
        <w:t xml:space="preserve">7.2. «Відкриті» втручання у хворих на ускладнені </w:t>
      </w:r>
      <w:r w:rsidRPr="00C62D22">
        <w:rPr>
          <w:sz w:val="28"/>
          <w:szCs w:val="28"/>
        </w:rPr>
        <w:t>псевдокіст</w:t>
      </w:r>
      <w:r w:rsidRPr="00C62D22">
        <w:rPr>
          <w:sz w:val="28"/>
          <w:szCs w:val="28"/>
          <w:lang w:val="uk-UA"/>
        </w:rPr>
        <w:t>и</w:t>
      </w:r>
      <w:r w:rsidRPr="00C62D22">
        <w:rPr>
          <w:sz w:val="28"/>
          <w:szCs w:val="28"/>
        </w:rPr>
        <w:t xml:space="preserve"> підшлункової залози</w:t>
      </w:r>
      <w:r w:rsidRPr="00C62D22">
        <w:rPr>
          <w:sz w:val="28"/>
          <w:szCs w:val="28"/>
          <w:lang w:val="uk-UA"/>
        </w:rPr>
        <w:t xml:space="preserve"> першого т</w:t>
      </w:r>
      <w:r w:rsidRPr="00C62D22">
        <w:rPr>
          <w:sz w:val="28"/>
          <w:szCs w:val="28"/>
          <w:lang w:val="uk-UA"/>
        </w:rPr>
        <w:t>и</w:t>
      </w:r>
      <w:r w:rsidRPr="00C62D22">
        <w:rPr>
          <w:sz w:val="28"/>
          <w:szCs w:val="28"/>
          <w:lang w:val="uk-UA"/>
        </w:rPr>
        <w:t>пу………………………………………………………….190-2</w:t>
      </w:r>
      <w:r w:rsidRPr="00C62D22">
        <w:rPr>
          <w:sz w:val="28"/>
          <w:szCs w:val="28"/>
        </w:rPr>
        <w:t>0</w:t>
      </w:r>
      <w:r w:rsidRPr="00C62D22">
        <w:rPr>
          <w:sz w:val="28"/>
          <w:szCs w:val="28"/>
          <w:lang w:val="uk-UA"/>
        </w:rPr>
        <w:t>3</w:t>
      </w:r>
    </w:p>
    <w:p w:rsidR="0021764E" w:rsidRPr="00C62D22" w:rsidRDefault="0021764E" w:rsidP="0021764E">
      <w:pPr>
        <w:tabs>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РОЗДІЛ 8. ХІРУРГІЧНЕ ЛІКУВАННЯ УСКЛАДНЕНИХ ПСЕВДОКІСТ ПІДШЛУНКОВОЇ ЗАЛОЗИ ДРУГОГО ТИПУ…………………………………204</w:t>
      </w:r>
    </w:p>
    <w:p w:rsidR="0021764E" w:rsidRPr="00C62D22" w:rsidRDefault="0021764E" w:rsidP="0021764E">
      <w:pPr>
        <w:tabs>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lastRenderedPageBreak/>
        <w:t>8.1. Застосування мініінвазивних методів лікування ускладнених псевдокіст підшлункової залози другого т</w:t>
      </w:r>
      <w:r w:rsidRPr="00C62D22">
        <w:rPr>
          <w:rFonts w:ascii="Times New Roman" w:hAnsi="Times New Roman" w:cs="Times New Roman"/>
          <w:sz w:val="28"/>
          <w:szCs w:val="28"/>
        </w:rPr>
        <w:t>и</w:t>
      </w:r>
      <w:r w:rsidRPr="00C62D22">
        <w:rPr>
          <w:rFonts w:ascii="Times New Roman" w:hAnsi="Times New Roman" w:cs="Times New Roman"/>
          <w:sz w:val="28"/>
          <w:szCs w:val="28"/>
        </w:rPr>
        <w:t>пу………………………………………….204-214</w:t>
      </w:r>
    </w:p>
    <w:p w:rsidR="0021764E" w:rsidRPr="00C62D22" w:rsidRDefault="0021764E" w:rsidP="0021764E">
      <w:pPr>
        <w:tabs>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8.2. «Відкриті» втручання у хворих на ускладнені псевдокісти підшлункової залози другого т</w:t>
      </w:r>
      <w:r w:rsidRPr="00C62D22">
        <w:rPr>
          <w:rFonts w:ascii="Times New Roman" w:hAnsi="Times New Roman" w:cs="Times New Roman"/>
          <w:sz w:val="28"/>
          <w:szCs w:val="28"/>
        </w:rPr>
        <w:t>и</w:t>
      </w:r>
      <w:r w:rsidRPr="00C62D22">
        <w:rPr>
          <w:rFonts w:ascii="Times New Roman" w:hAnsi="Times New Roman" w:cs="Times New Roman"/>
          <w:sz w:val="28"/>
          <w:szCs w:val="28"/>
        </w:rPr>
        <w:t>пу…………………………………………………………214-229</w:t>
      </w:r>
    </w:p>
    <w:p w:rsidR="0021764E" w:rsidRPr="00C62D22" w:rsidRDefault="0021764E" w:rsidP="0021764E">
      <w:pPr>
        <w:tabs>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РОЗДІЛ 9. ХІРУРГІЧНЕ ЛІКУВАННЯ УСКЛАДНЕНИХ ПСЕВДОКІСТ ПІДШЛУНКОВОЇ ЗАЛОЗИ ТРЕТЬОГО ТИПУ……………………………….230</w:t>
      </w:r>
    </w:p>
    <w:p w:rsidR="0021764E" w:rsidRPr="00C62D22" w:rsidRDefault="0021764E" w:rsidP="0021764E">
      <w:pPr>
        <w:tabs>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9.1. Застосування мініінвазивних методів лікування ускладнених псевдокіст підшлункової залози третього т</w:t>
      </w:r>
      <w:r w:rsidRPr="00C62D22">
        <w:rPr>
          <w:rFonts w:ascii="Times New Roman" w:hAnsi="Times New Roman" w:cs="Times New Roman"/>
          <w:sz w:val="28"/>
          <w:szCs w:val="28"/>
        </w:rPr>
        <w:t>и</w:t>
      </w:r>
      <w:r w:rsidRPr="00C62D22">
        <w:rPr>
          <w:rFonts w:ascii="Times New Roman" w:hAnsi="Times New Roman" w:cs="Times New Roman"/>
          <w:sz w:val="28"/>
          <w:szCs w:val="28"/>
        </w:rPr>
        <w:t>пу………………………………………...230-232</w:t>
      </w:r>
    </w:p>
    <w:p w:rsidR="0021764E" w:rsidRPr="00C62D22" w:rsidRDefault="0021764E" w:rsidP="0021764E">
      <w:pPr>
        <w:tabs>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9.2. «Відкриті» втручання у хворих на ускладнені псевдокісти підшлункової залози третього т</w:t>
      </w:r>
      <w:r w:rsidRPr="00C62D22">
        <w:rPr>
          <w:rFonts w:ascii="Times New Roman" w:hAnsi="Times New Roman" w:cs="Times New Roman"/>
          <w:sz w:val="28"/>
          <w:szCs w:val="28"/>
        </w:rPr>
        <w:t>и</w:t>
      </w:r>
      <w:r w:rsidRPr="00C62D22">
        <w:rPr>
          <w:rFonts w:ascii="Times New Roman" w:hAnsi="Times New Roman" w:cs="Times New Roman"/>
          <w:sz w:val="28"/>
          <w:szCs w:val="28"/>
        </w:rPr>
        <w:t>пу…………………………………………………………233-247</w:t>
      </w:r>
    </w:p>
    <w:p w:rsidR="0021764E" w:rsidRPr="00C62D22" w:rsidRDefault="0021764E" w:rsidP="0021764E">
      <w:pPr>
        <w:tabs>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РОЗДІЛ 10. ВИЗНАЧЕННЯ РАННІХ ТА ПІЗНІХ ПІСЛЯОПЕРАЦІЙНИХ УСКЛАДНЕНЬ У ХВОРИХ, ОПЕРОВАНИХ ІЗ ПРИВОДУ УСКЛАДНЕНИХ ПСЕВДОКІСТ ПІДШЛУНКОВОЇ ЗАЛОЗИ.…………………………………..248</w:t>
      </w:r>
    </w:p>
    <w:p w:rsidR="0021764E" w:rsidRPr="00C62D22" w:rsidRDefault="0021764E" w:rsidP="0021764E">
      <w:pPr>
        <w:tabs>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10.1. Прогнозування ранніх післяопераційних ускладнень у хворих, оп</w:t>
      </w:r>
      <w:r w:rsidRPr="00C62D22">
        <w:rPr>
          <w:rFonts w:ascii="Times New Roman" w:hAnsi="Times New Roman" w:cs="Times New Roman"/>
          <w:sz w:val="28"/>
          <w:szCs w:val="28"/>
        </w:rPr>
        <w:t>е</w:t>
      </w:r>
      <w:r w:rsidRPr="00C62D22">
        <w:rPr>
          <w:rFonts w:ascii="Times New Roman" w:hAnsi="Times New Roman" w:cs="Times New Roman"/>
          <w:sz w:val="28"/>
          <w:szCs w:val="28"/>
        </w:rPr>
        <w:t>рованих із приводу псевдокіст підшлункової залози …………………………...…...248-250</w:t>
      </w:r>
    </w:p>
    <w:p w:rsidR="0021764E" w:rsidRPr="00C62D22" w:rsidRDefault="0021764E" w:rsidP="0021764E">
      <w:pPr>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10.1.1. Прогнозування ранніх післяопераційних ускладнень у хворих, оперованих із приводу псевдокіст підшлункової залози першого типу….251-258</w:t>
      </w:r>
    </w:p>
    <w:p w:rsidR="0021764E" w:rsidRPr="00C62D22" w:rsidRDefault="0021764E" w:rsidP="0021764E">
      <w:pPr>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10.1.2. Прогнозування ранніх післяопераційних ускладнень у хворих, оперованих з приводу псевдокіст підшлункової залози другого типу…....258-260</w:t>
      </w:r>
    </w:p>
    <w:p w:rsidR="0021764E" w:rsidRPr="00C62D22" w:rsidRDefault="0021764E" w:rsidP="0021764E">
      <w:pPr>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10.1.3. Прогнозування ранніх післяопераційних ускладнень у хворих, оперованих із приводу псевдокіст підшлункової залози третього типу….260-265</w:t>
      </w:r>
    </w:p>
    <w:p w:rsidR="0021764E" w:rsidRPr="00C62D22" w:rsidRDefault="0021764E" w:rsidP="0021764E">
      <w:pPr>
        <w:tabs>
          <w:tab w:val="left" w:leader="dot" w:pos="9000"/>
        </w:tabs>
        <w:spacing w:after="0" w:line="360" w:lineRule="auto"/>
        <w:ind w:left="540"/>
        <w:jc w:val="both"/>
        <w:rPr>
          <w:rFonts w:ascii="Times New Roman" w:hAnsi="Times New Roman" w:cs="Times New Roman"/>
          <w:sz w:val="28"/>
          <w:szCs w:val="28"/>
        </w:rPr>
      </w:pPr>
      <w:r w:rsidRPr="00C62D22">
        <w:rPr>
          <w:rFonts w:ascii="Times New Roman" w:hAnsi="Times New Roman" w:cs="Times New Roman"/>
          <w:sz w:val="28"/>
          <w:szCs w:val="28"/>
        </w:rPr>
        <w:t>10.2. Визначення якості життя хворих, оперованих із приводу ускладнених псевдокіст підшлункової залози …………………………………………….265-273</w:t>
      </w:r>
    </w:p>
    <w:p w:rsidR="0021764E" w:rsidRPr="00C62D22" w:rsidRDefault="0021764E" w:rsidP="0021764E">
      <w:pPr>
        <w:tabs>
          <w:tab w:val="left" w:leader="dot" w:pos="9000"/>
          <w:tab w:val="left" w:leader="dot" w:pos="9105"/>
        </w:tabs>
        <w:spacing w:after="0" w:line="360" w:lineRule="auto"/>
        <w:ind w:left="540"/>
        <w:rPr>
          <w:rFonts w:ascii="Times New Roman" w:hAnsi="Times New Roman" w:cs="Times New Roman"/>
          <w:bCs/>
          <w:smallCaps/>
          <w:sz w:val="28"/>
          <w:szCs w:val="28"/>
        </w:rPr>
      </w:pPr>
      <w:r w:rsidRPr="00C62D22">
        <w:rPr>
          <w:rFonts w:ascii="Times New Roman" w:hAnsi="Times New Roman" w:cs="Times New Roman"/>
          <w:sz w:val="28"/>
          <w:szCs w:val="28"/>
        </w:rPr>
        <w:t>АНАЛІЗ ТА ОБГОВОРЕННЯ РЕЗУЛЬТАТІВ ДОСЛІДЖЕННЯ…….......274-299</w:t>
      </w:r>
    </w:p>
    <w:p w:rsidR="0021764E" w:rsidRPr="00C62D22" w:rsidRDefault="0021764E" w:rsidP="0021764E">
      <w:pPr>
        <w:tabs>
          <w:tab w:val="left" w:leader="dot" w:pos="9000"/>
          <w:tab w:val="left" w:leader="dot" w:pos="9105"/>
        </w:tabs>
        <w:spacing w:after="0" w:line="360" w:lineRule="auto"/>
        <w:ind w:left="540"/>
        <w:rPr>
          <w:rFonts w:ascii="Times New Roman" w:hAnsi="Times New Roman" w:cs="Times New Roman"/>
          <w:bCs/>
          <w:smallCaps/>
          <w:sz w:val="28"/>
          <w:szCs w:val="28"/>
        </w:rPr>
      </w:pPr>
      <w:r w:rsidRPr="00C62D22">
        <w:rPr>
          <w:rFonts w:ascii="Times New Roman" w:hAnsi="Times New Roman" w:cs="Times New Roman"/>
          <w:bCs/>
          <w:sz w:val="28"/>
          <w:szCs w:val="28"/>
        </w:rPr>
        <w:t>ВИСНОВКИ…………………………………………………………………..300-304</w:t>
      </w:r>
    </w:p>
    <w:p w:rsidR="0021764E" w:rsidRPr="00C62D22" w:rsidRDefault="0021764E" w:rsidP="0021764E">
      <w:pPr>
        <w:tabs>
          <w:tab w:val="left" w:leader="dot" w:pos="9000"/>
          <w:tab w:val="left" w:leader="dot" w:pos="9105"/>
        </w:tabs>
        <w:spacing w:after="0" w:line="360" w:lineRule="auto"/>
        <w:ind w:left="540"/>
        <w:rPr>
          <w:rFonts w:ascii="Times New Roman" w:hAnsi="Times New Roman" w:cs="Times New Roman"/>
          <w:sz w:val="28"/>
          <w:szCs w:val="28"/>
        </w:rPr>
      </w:pPr>
      <w:r w:rsidRPr="00C62D22">
        <w:rPr>
          <w:rFonts w:ascii="Times New Roman" w:hAnsi="Times New Roman" w:cs="Times New Roman"/>
          <w:sz w:val="28"/>
          <w:szCs w:val="28"/>
        </w:rPr>
        <w:t>СПИСОК ВИКОРИСТАНИХ ДЖЕРЕЛ………………………………….....305-352</w:t>
      </w:r>
    </w:p>
    <w:p w:rsidR="0021764E" w:rsidRPr="00C62D22" w:rsidRDefault="0021764E" w:rsidP="0021764E">
      <w:pPr>
        <w:tabs>
          <w:tab w:val="left" w:leader="dot" w:pos="9000"/>
          <w:tab w:val="left" w:leader="dot" w:pos="9105"/>
        </w:tabs>
        <w:spacing w:after="0" w:line="360" w:lineRule="auto"/>
        <w:ind w:left="540"/>
        <w:rPr>
          <w:rFonts w:ascii="Times New Roman" w:hAnsi="Times New Roman" w:cs="Times New Roman"/>
          <w:sz w:val="28"/>
          <w:szCs w:val="28"/>
        </w:rPr>
      </w:pPr>
      <w:r w:rsidRPr="00C62D22">
        <w:rPr>
          <w:rFonts w:ascii="Times New Roman" w:hAnsi="Times New Roman" w:cs="Times New Roman"/>
          <w:sz w:val="28"/>
          <w:szCs w:val="28"/>
        </w:rPr>
        <w:t>ДОДАТОК А………...………………………………………………………..353-360</w:t>
      </w:r>
    </w:p>
    <w:p w:rsidR="0021764E" w:rsidRPr="00C62D22" w:rsidRDefault="0021764E">
      <w:pPr>
        <w:rPr>
          <w:rFonts w:ascii="Times New Roman" w:hAnsi="Times New Roman" w:cs="Times New Roman"/>
          <w:sz w:val="28"/>
          <w:szCs w:val="28"/>
        </w:rPr>
      </w:pPr>
      <w:r w:rsidRPr="00C62D22">
        <w:rPr>
          <w:rFonts w:ascii="Times New Roman" w:hAnsi="Times New Roman" w:cs="Times New Roman"/>
          <w:sz w:val="28"/>
          <w:szCs w:val="28"/>
        </w:rPr>
        <w:br w:type="page"/>
      </w:r>
    </w:p>
    <w:p w:rsidR="0021764E" w:rsidRPr="00C62D22" w:rsidRDefault="0021764E" w:rsidP="0021764E">
      <w:pPr>
        <w:tabs>
          <w:tab w:val="left" w:pos="180"/>
          <w:tab w:val="left" w:pos="540"/>
          <w:tab w:val="left" w:pos="720"/>
          <w:tab w:val="left" w:pos="9180"/>
        </w:tabs>
        <w:spacing w:after="0" w:line="360" w:lineRule="auto"/>
        <w:ind w:firstLine="540"/>
        <w:jc w:val="center"/>
        <w:rPr>
          <w:rFonts w:ascii="Times New Roman" w:hAnsi="Times New Roman" w:cs="Times New Roman"/>
          <w:b/>
          <w:bCs/>
          <w:sz w:val="28"/>
          <w:szCs w:val="28"/>
        </w:rPr>
      </w:pPr>
      <w:r w:rsidRPr="00C62D22">
        <w:rPr>
          <w:rFonts w:ascii="Times New Roman" w:hAnsi="Times New Roman" w:cs="Times New Roman"/>
          <w:b/>
          <w:bCs/>
          <w:sz w:val="28"/>
          <w:szCs w:val="28"/>
        </w:rPr>
        <w:lastRenderedPageBreak/>
        <w:t>ПЕРЕЛІК УМОВНИХ СКОРОЧЕНЬ</w:t>
      </w:r>
    </w:p>
    <w:p w:rsidR="0021764E" w:rsidRPr="00C62D22" w:rsidRDefault="0021764E" w:rsidP="0021764E">
      <w:pPr>
        <w:tabs>
          <w:tab w:val="left" w:pos="180"/>
          <w:tab w:val="left" w:pos="540"/>
          <w:tab w:val="left" w:pos="720"/>
          <w:tab w:val="left" w:pos="9180"/>
        </w:tabs>
        <w:spacing w:after="0" w:line="360" w:lineRule="auto"/>
        <w:ind w:firstLine="540"/>
        <w:jc w:val="center"/>
        <w:rPr>
          <w:rFonts w:ascii="Times New Roman" w:hAnsi="Times New Roman" w:cs="Times New Roman"/>
          <w:bCs/>
          <w:sz w:val="28"/>
          <w:szCs w:val="28"/>
        </w:rPr>
      </w:pPr>
    </w:p>
    <w:p w:rsidR="0021764E" w:rsidRPr="00C62D22" w:rsidRDefault="0021764E" w:rsidP="0021764E">
      <w:pPr>
        <w:tabs>
          <w:tab w:val="left" w:pos="180"/>
          <w:tab w:val="left" w:pos="540"/>
          <w:tab w:val="left" w:pos="720"/>
          <w:tab w:val="left" w:pos="9180"/>
        </w:tabs>
        <w:spacing w:after="0" w:line="360" w:lineRule="auto"/>
        <w:rPr>
          <w:rFonts w:ascii="Times New Roman" w:hAnsi="Times New Roman" w:cs="Times New Roman"/>
          <w:bCs/>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28"/>
        <w:gridCol w:w="6840"/>
      </w:tblGrid>
      <w:tr w:rsidR="0021764E" w:rsidRPr="00C62D22" w:rsidTr="006E5FD4">
        <w:trPr>
          <w:trHeight w:val="34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bCs/>
                <w:sz w:val="28"/>
                <w:szCs w:val="28"/>
              </w:rPr>
              <w:t>АлАт</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–аланінамінотрансфераза</w:t>
            </w:r>
          </w:p>
        </w:tc>
      </w:tr>
      <w:tr w:rsidR="0021764E" w:rsidRPr="00C62D22" w:rsidTr="006E5FD4">
        <w:trPr>
          <w:trHeight w:val="381"/>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bCs/>
                <w:sz w:val="28"/>
                <w:szCs w:val="28"/>
              </w:rPr>
              <w:t>АсАт</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–аспартатамінотрансфераза</w:t>
            </w:r>
          </w:p>
        </w:tc>
      </w:tr>
      <w:tr w:rsidR="0021764E" w:rsidRPr="00C62D22" w:rsidTr="006E5FD4">
        <w:trPr>
          <w:trHeight w:val="381"/>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bCs/>
                <w:sz w:val="28"/>
                <w:szCs w:val="28"/>
              </w:rPr>
              <w:t>АТФ</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–аденозинтрифосфат</w:t>
            </w:r>
          </w:p>
        </w:tc>
      </w:tr>
      <w:tr w:rsidR="0021764E" w:rsidRPr="00C62D22" w:rsidTr="006E5FD4">
        <w:trPr>
          <w:trHeight w:val="381"/>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bCs/>
                <w:sz w:val="28"/>
                <w:szCs w:val="28"/>
              </w:rPr>
              <w:t>АФК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–активні форми кисню</w:t>
            </w:r>
          </w:p>
        </w:tc>
      </w:tr>
      <w:tr w:rsidR="0021764E" w:rsidRPr="00C62D22" w:rsidTr="006E5FD4">
        <w:trPr>
          <w:trHeight w:val="381"/>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bCs/>
                <w:sz w:val="28"/>
                <w:szCs w:val="28"/>
              </w:rPr>
              <w:t>ВБА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–верхня брижова артерія</w:t>
            </w:r>
          </w:p>
        </w:tc>
      </w:tr>
      <w:tr w:rsidR="0021764E" w:rsidRPr="00C62D22" w:rsidTr="006E5FD4">
        <w:trPr>
          <w:trHeight w:val="381"/>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bCs/>
                <w:sz w:val="28"/>
                <w:szCs w:val="28"/>
              </w:rPr>
              <w:t>ВВ</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–ворітна вена</w:t>
            </w:r>
          </w:p>
        </w:tc>
      </w:tr>
      <w:tr w:rsidR="0021764E" w:rsidRPr="00C62D22" w:rsidTr="006E5FD4">
        <w:trPr>
          <w:trHeight w:val="381"/>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sz w:val="28"/>
                <w:szCs w:val="28"/>
              </w:rPr>
              <w:t>ВМА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–площа поверхні тіла</w:t>
            </w:r>
          </w:p>
        </w:tc>
      </w:tr>
      <w:tr w:rsidR="0021764E" w:rsidRPr="00C62D22" w:rsidTr="006E5FD4">
        <w:trPr>
          <w:trHeight w:val="381"/>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bCs/>
                <w:sz w:val="28"/>
                <w:szCs w:val="28"/>
              </w:rPr>
              <w:t>ВПГ</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w:t>
            </w:r>
            <w:r w:rsidRPr="00C62D22">
              <w:rPr>
                <w:rFonts w:ascii="Times New Roman" w:hAnsi="Times New Roman" w:cs="Times New Roman"/>
                <w:bCs/>
                <w:sz w:val="28"/>
                <w:szCs w:val="28"/>
              </w:rPr>
              <w:t>вторинна портальна гіпертензія</w:t>
            </w:r>
          </w:p>
        </w:tc>
      </w:tr>
      <w:tr w:rsidR="0021764E" w:rsidRPr="00C62D22" w:rsidTr="006E5FD4">
        <w:trPr>
          <w:trHeight w:val="381"/>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bCs/>
                <w:sz w:val="28"/>
                <w:szCs w:val="28"/>
              </w:rPr>
              <w:t>ВРО</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–вільнорадикальне окислення</w:t>
            </w:r>
          </w:p>
        </w:tc>
      </w:tr>
      <w:tr w:rsidR="0021764E" w:rsidRPr="00C62D22" w:rsidTr="006E5FD4">
        <w:trPr>
          <w:trHeight w:val="22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bCs/>
                <w:sz w:val="28"/>
                <w:szCs w:val="28"/>
              </w:rPr>
              <w:t>ВСДК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252"/>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w:t>
            </w:r>
            <w:r w:rsidRPr="00C62D22">
              <w:rPr>
                <w:rFonts w:ascii="Times New Roman" w:hAnsi="Times New Roman" w:cs="Times New Roman"/>
                <w:bCs/>
                <w:sz w:val="28"/>
                <w:szCs w:val="28"/>
              </w:rPr>
              <w:t>великий сосочок дванадцятипалої кишки</w:t>
            </w:r>
          </w:p>
        </w:tc>
      </w:tr>
      <w:tr w:rsidR="0021764E" w:rsidRPr="00C62D22" w:rsidTr="006E5FD4">
        <w:trPr>
          <w:trHeight w:val="252"/>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bCs/>
                <w:sz w:val="28"/>
                <w:szCs w:val="28"/>
              </w:rPr>
              <w:t>ГАГ</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25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–глікозаміноглікани</w:t>
            </w:r>
          </w:p>
        </w:tc>
      </w:tr>
      <w:tr w:rsidR="0021764E" w:rsidRPr="00C62D22" w:rsidTr="006E5FD4">
        <w:trPr>
          <w:trHeight w:val="252"/>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ind w:right="-798"/>
              <w:jc w:val="both"/>
              <w:rPr>
                <w:rFonts w:ascii="Times New Roman" w:hAnsi="Times New Roman" w:cs="Times New Roman"/>
                <w:bCs/>
                <w:sz w:val="28"/>
                <w:szCs w:val="28"/>
              </w:rPr>
            </w:pPr>
            <w:r w:rsidRPr="00C62D22">
              <w:rPr>
                <w:rFonts w:ascii="Times New Roman" w:hAnsi="Times New Roman" w:cs="Times New Roman"/>
                <w:bCs/>
                <w:sz w:val="28"/>
                <w:szCs w:val="28"/>
              </w:rPr>
              <w:t>ГДА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25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–гастродуоденальна артерія</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ГП</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–гострий панкреатит</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ГПО</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–глутатіонпероксидаза</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ГПДР</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–гастропанкреатодуоденальна резекція</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ГПП</w:t>
            </w:r>
          </w:p>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ГШКК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–головна панкреатична протока</w:t>
            </w:r>
          </w:p>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–гостра шлунково-кишкова кровотеча</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ДВЗ-синдром</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–синдром дисеменованого внутрішньосудинного згортання</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Д</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–діаметр</w:t>
            </w:r>
          </w:p>
        </w:tc>
      </w:tr>
      <w:tr w:rsidR="0021764E" w:rsidRPr="00C62D22" w:rsidTr="006E5FD4">
        <w:trPr>
          <w:trHeight w:val="46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ДНК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–дезоксирибонуклеїнова кислота</w:t>
            </w:r>
          </w:p>
        </w:tc>
      </w:tr>
      <w:tr w:rsidR="0021764E" w:rsidRPr="00C62D22" w:rsidTr="006E5FD4">
        <w:trPr>
          <w:trHeight w:val="49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ДНП</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–дезоксинуклеопротеїди</w:t>
            </w:r>
          </w:p>
        </w:tc>
      </w:tr>
      <w:tr w:rsidR="0021764E" w:rsidRPr="00C62D22" w:rsidTr="006E5FD4">
        <w:trPr>
          <w:trHeight w:val="51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ДПК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–дванадцятипала кишка</w:t>
            </w:r>
          </w:p>
        </w:tc>
      </w:tr>
      <w:tr w:rsidR="0021764E" w:rsidRPr="00C62D22" w:rsidTr="006E5FD4">
        <w:trPr>
          <w:trHeight w:val="45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ЕВД</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–ендоскопічне внутрішнє дренування</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ЕД</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–ендотеліальна дисфункція</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ЕПСТ</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w:t>
            </w:r>
            <w:r w:rsidRPr="00C62D22">
              <w:rPr>
                <w:rFonts w:ascii="Times New Roman" w:hAnsi="Times New Roman" w:cs="Times New Roman"/>
                <w:bCs/>
                <w:sz w:val="28"/>
                <w:szCs w:val="28"/>
              </w:rPr>
              <w:t>ендоскопічна папілосфінктеротомія</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lastRenderedPageBreak/>
              <w:t>ЕРХПГ</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w:t>
            </w:r>
            <w:r w:rsidRPr="00C62D22">
              <w:rPr>
                <w:rFonts w:ascii="Times New Roman" w:hAnsi="Times New Roman" w:cs="Times New Roman"/>
                <w:bCs/>
                <w:sz w:val="28"/>
                <w:szCs w:val="28"/>
              </w:rPr>
              <w:t>ендоскопічна ретроградна холангіопанкреатографія</w:t>
            </w:r>
          </w:p>
        </w:tc>
      </w:tr>
      <w:tr w:rsidR="0021764E" w:rsidRPr="00C62D22" w:rsidTr="006E5FD4">
        <w:trPr>
          <w:trHeight w:val="51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ЕСГ</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–ендоскопічна сонографія</w:t>
            </w:r>
          </w:p>
        </w:tc>
      </w:tr>
      <w:tr w:rsidR="0021764E" w:rsidRPr="00C62D22" w:rsidTr="006E5FD4">
        <w:trPr>
          <w:trHeight w:val="45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ЕУ</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–ендоскопічна ультрасонографія</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ЕЦМ</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–екстрацелюлярний матрикс</w:t>
            </w:r>
          </w:p>
        </w:tc>
      </w:tr>
      <w:tr w:rsidR="0021764E" w:rsidRPr="00C62D22" w:rsidTr="006E5FD4">
        <w:trPr>
          <w:trHeight w:val="43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ЖКХ</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w:t>
            </w:r>
            <w:r w:rsidRPr="00C62D22">
              <w:rPr>
                <w:rFonts w:ascii="Times New Roman" w:hAnsi="Times New Roman" w:cs="Times New Roman"/>
                <w:bCs/>
                <w:sz w:val="28"/>
                <w:szCs w:val="28"/>
              </w:rPr>
              <w:t>жовчнокам'яна хвороба</w:t>
            </w:r>
          </w:p>
        </w:tc>
      </w:tr>
      <w:tr w:rsidR="0021764E" w:rsidRPr="00C62D22" w:rsidTr="006E5FD4">
        <w:trPr>
          <w:trHeight w:val="52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ЗЖП</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w:t>
            </w:r>
            <w:r w:rsidRPr="00C62D22">
              <w:rPr>
                <w:rFonts w:ascii="Times New Roman" w:hAnsi="Times New Roman" w:cs="Times New Roman"/>
                <w:color w:val="000000"/>
                <w:sz w:val="28"/>
                <w:szCs w:val="28"/>
              </w:rPr>
              <w:t>загальна жовчна протока</w:t>
            </w:r>
          </w:p>
        </w:tc>
      </w:tr>
      <w:tr w:rsidR="0021764E" w:rsidRPr="00C62D22" w:rsidTr="006E5FD4">
        <w:trPr>
          <w:trHeight w:val="52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ЗПА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–загальна печінкова артерія</w:t>
            </w:r>
          </w:p>
        </w:tc>
      </w:tr>
      <w:tr w:rsidR="0021764E" w:rsidRPr="00C62D22" w:rsidTr="006E5FD4">
        <w:trPr>
          <w:trHeight w:val="52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ЗПОС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–загальний периферичний опір судин</w:t>
            </w:r>
          </w:p>
        </w:tc>
      </w:tr>
      <w:tr w:rsidR="0021764E" w:rsidRPr="00C62D22" w:rsidTr="006E5FD4">
        <w:trPr>
          <w:trHeight w:val="52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ІОК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–індекс об’ємного кровотока</w:t>
            </w:r>
          </w:p>
        </w:tc>
      </w:tr>
      <w:tr w:rsidR="0021764E" w:rsidRPr="00C62D22" w:rsidTr="006E5FD4">
        <w:trPr>
          <w:trHeight w:val="52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КДО</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–кінцево-діастолічний об’єм кровотока</w:t>
            </w:r>
          </w:p>
        </w:tc>
      </w:tr>
      <w:tr w:rsidR="0021764E" w:rsidRPr="00C62D22" w:rsidTr="006E5FD4">
        <w:trPr>
          <w:trHeight w:val="52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КСО</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–кінцево-систолічний об’єм кровотока</w:t>
            </w:r>
          </w:p>
        </w:tc>
      </w:tr>
      <w:tr w:rsidR="0021764E" w:rsidRPr="00C62D22" w:rsidTr="006E5FD4">
        <w:trPr>
          <w:trHeight w:val="52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ККХС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–крізьшкірна крізьпечінкова холецистостомія</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КТ</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w:t>
            </w:r>
            <w:r w:rsidRPr="00C62D22">
              <w:rPr>
                <w:rFonts w:ascii="Times New Roman" w:hAnsi="Times New Roman" w:cs="Times New Roman"/>
                <w:bCs/>
                <w:sz w:val="28"/>
                <w:szCs w:val="28"/>
              </w:rPr>
              <w:t>коефіцієнт токсемії</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КФ</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–кваліфікаційна функція</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ЛШК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–лінійна швидкість кровотока</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МДА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
                <w:bCs/>
                <w:sz w:val="28"/>
                <w:szCs w:val="28"/>
              </w:rPr>
            </w:pPr>
            <w:r w:rsidRPr="00C62D22">
              <w:rPr>
                <w:rFonts w:ascii="Times New Roman" w:hAnsi="Times New Roman" w:cs="Times New Roman"/>
                <w:sz w:val="28"/>
                <w:szCs w:val="28"/>
              </w:rPr>
              <w:t>–малоновий діальдегід</w:t>
            </w:r>
          </w:p>
        </w:tc>
      </w:tr>
      <w:tr w:rsidR="0021764E" w:rsidRPr="00C62D22" w:rsidTr="006E5FD4">
        <w:trPr>
          <w:trHeight w:val="33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МЖ</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
                <w:bCs/>
                <w:sz w:val="28"/>
                <w:szCs w:val="28"/>
              </w:rPr>
            </w:pPr>
            <w:r w:rsidRPr="00C62D22">
              <w:rPr>
                <w:rFonts w:ascii="Times New Roman" w:hAnsi="Times New Roman" w:cs="Times New Roman"/>
                <w:sz w:val="28"/>
                <w:szCs w:val="28"/>
              </w:rPr>
              <w:t>–механічна жовтяниця</w:t>
            </w:r>
          </w:p>
        </w:tc>
      </w:tr>
      <w:tr w:rsidR="0021764E" w:rsidRPr="00C62D22" w:rsidTr="006E5FD4">
        <w:trPr>
          <w:trHeight w:val="36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ММП</w:t>
            </w:r>
          </w:p>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МОЗУ</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–матриксна металопротеїназа</w:t>
            </w:r>
          </w:p>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–Міністерство охорони здоров’я України</w:t>
            </w:r>
          </w:p>
        </w:tc>
      </w:tr>
      <w:tr w:rsidR="0021764E" w:rsidRPr="00C62D22" w:rsidTr="006E5FD4">
        <w:trPr>
          <w:trHeight w:val="46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МРТ</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–магнітно–резонансна комп’ютерна томографія</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МРХПГ</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w:t>
            </w:r>
            <w:r w:rsidRPr="00C62D22">
              <w:rPr>
                <w:rFonts w:ascii="Times New Roman" w:hAnsi="Times New Roman" w:cs="Times New Roman"/>
                <w:color w:val="000000"/>
                <w:sz w:val="28"/>
                <w:szCs w:val="28"/>
              </w:rPr>
              <w:t>магнітно</w:t>
            </w:r>
            <w:r w:rsidRPr="00C62D22">
              <w:rPr>
                <w:rFonts w:ascii="Times New Roman" w:hAnsi="Times New Roman" w:cs="Times New Roman"/>
                <w:sz w:val="28"/>
                <w:szCs w:val="28"/>
              </w:rPr>
              <w:t>–</w:t>
            </w:r>
            <w:r w:rsidRPr="00C62D22">
              <w:rPr>
                <w:rFonts w:ascii="Times New Roman" w:hAnsi="Times New Roman" w:cs="Times New Roman"/>
                <w:color w:val="000000"/>
                <w:sz w:val="28"/>
                <w:szCs w:val="28"/>
              </w:rPr>
              <w:t>резонансна холангіопанкреатографія</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МСКТ</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–мульти</w:t>
            </w:r>
            <w:r w:rsidRPr="00C62D22">
              <w:rPr>
                <w:rFonts w:ascii="Times New Roman" w:hAnsi="Times New Roman" w:cs="Times New Roman"/>
                <w:bCs/>
                <w:sz w:val="28"/>
                <w:szCs w:val="28"/>
              </w:rPr>
              <w:t>спіральна комп'ютерна томографія</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НЛ</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–наслідок лікування</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НСЕ</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–некрсеквестректомія</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ОБС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–оментобурсостомія</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ОС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–окислювальний стрес</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ОШК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–об’ємна швидкість кровотока </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ПК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–псевдокіста</w:t>
            </w:r>
          </w:p>
        </w:tc>
      </w:tr>
      <w:tr w:rsidR="0021764E" w:rsidRPr="00C62D22" w:rsidTr="006E5FD4">
        <w:trPr>
          <w:trHeight w:val="39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lastRenderedPageBreak/>
              <w:t>ПКЗ</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–програмована клітинна загибель</w:t>
            </w:r>
          </w:p>
        </w:tc>
      </w:tr>
      <w:tr w:rsidR="0021764E" w:rsidRPr="00C62D22" w:rsidTr="006E5FD4">
        <w:trPr>
          <w:trHeight w:val="49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ПЗ</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–підшлункова залоза</w:t>
            </w:r>
          </w:p>
        </w:tc>
      </w:tr>
      <w:tr w:rsidR="0021764E" w:rsidRPr="00C62D22" w:rsidTr="006E5FD4">
        <w:trPr>
          <w:trHeight w:val="49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ППЕА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–повздовжній панкреатоентероанастомоз</w:t>
            </w:r>
          </w:p>
        </w:tc>
      </w:tr>
      <w:tr w:rsidR="0021764E" w:rsidRPr="00C62D22" w:rsidTr="006E5FD4">
        <w:trPr>
          <w:trHeight w:val="49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ПОЛ</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–перекисне окислення ліпідів</w:t>
            </w:r>
          </w:p>
        </w:tc>
      </w:tr>
      <w:tr w:rsidR="0021764E" w:rsidRPr="00C62D22" w:rsidTr="006E5FD4">
        <w:trPr>
          <w:trHeight w:val="49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ППП</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–площа поперекового перетину</w:t>
            </w:r>
          </w:p>
        </w:tc>
      </w:tr>
      <w:tr w:rsidR="0021764E" w:rsidRPr="00C62D22" w:rsidTr="006E5FD4">
        <w:trPr>
          <w:trHeight w:val="54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ППЄС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color w:val="000000"/>
                <w:sz w:val="28"/>
                <w:szCs w:val="28"/>
              </w:rPr>
              <w:t>–повздовжня панкреатоєюностомія</w:t>
            </w:r>
          </w:p>
        </w:tc>
      </w:tr>
      <w:tr w:rsidR="0021764E" w:rsidRPr="00C62D22" w:rsidTr="006E5FD4">
        <w:trPr>
          <w:trHeight w:val="54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РЕО</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color w:val="000000"/>
                <w:sz w:val="28"/>
                <w:szCs w:val="28"/>
              </w:rPr>
            </w:pPr>
            <w:r w:rsidRPr="00C62D22">
              <w:rPr>
                <w:rFonts w:ascii="Times New Roman" w:hAnsi="Times New Roman" w:cs="Times New Roman"/>
                <w:color w:val="000000"/>
                <w:sz w:val="28"/>
                <w:szCs w:val="28"/>
              </w:rPr>
              <w:t xml:space="preserve">–рентгенендоваскулярна оклюзія </w:t>
            </w:r>
          </w:p>
        </w:tc>
      </w:tr>
      <w:tr w:rsidR="0021764E" w:rsidRPr="00C62D22" w:rsidTr="006E5FD4">
        <w:trPr>
          <w:trHeight w:val="49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color w:val="000000"/>
                <w:sz w:val="28"/>
                <w:szCs w:val="28"/>
              </w:rPr>
            </w:pPr>
            <w:r w:rsidRPr="00C62D22">
              <w:rPr>
                <w:rFonts w:ascii="Times New Roman" w:hAnsi="Times New Roman" w:cs="Times New Roman"/>
                <w:color w:val="000000"/>
                <w:sz w:val="28"/>
                <w:szCs w:val="28"/>
              </w:rPr>
              <w:t>РНП</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color w:val="000000"/>
                <w:sz w:val="28"/>
                <w:szCs w:val="28"/>
              </w:rPr>
            </w:pPr>
            <w:r w:rsidRPr="00C62D22">
              <w:rPr>
                <w:rFonts w:ascii="Times New Roman" w:hAnsi="Times New Roman" w:cs="Times New Roman"/>
                <w:color w:val="000000"/>
                <w:sz w:val="28"/>
                <w:szCs w:val="28"/>
              </w:rPr>
              <w:t>–</w:t>
            </w:r>
            <w:r w:rsidRPr="00C62D22">
              <w:rPr>
                <w:rFonts w:ascii="Times New Roman" w:hAnsi="Times New Roman" w:cs="Times New Roman"/>
                <w:sz w:val="28"/>
                <w:szCs w:val="28"/>
              </w:rPr>
              <w:t>рибонуклеопротеїди</w:t>
            </w:r>
          </w:p>
        </w:tc>
      </w:tr>
      <w:tr w:rsidR="0021764E" w:rsidRPr="00C62D22" w:rsidTr="006E5FD4">
        <w:trPr>
          <w:trHeight w:val="49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color w:val="000000"/>
                <w:sz w:val="28"/>
                <w:szCs w:val="28"/>
              </w:rPr>
            </w:pPr>
            <w:r w:rsidRPr="00C62D22">
              <w:rPr>
                <w:rFonts w:ascii="Times New Roman" w:hAnsi="Times New Roman" w:cs="Times New Roman"/>
                <w:color w:val="000000"/>
                <w:sz w:val="28"/>
                <w:szCs w:val="28"/>
              </w:rPr>
              <w:t>СВ</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color w:val="000000"/>
                <w:sz w:val="28"/>
                <w:szCs w:val="28"/>
              </w:rPr>
            </w:pPr>
            <w:r w:rsidRPr="00C62D22">
              <w:rPr>
                <w:rFonts w:ascii="Times New Roman" w:hAnsi="Times New Roman" w:cs="Times New Roman"/>
                <w:color w:val="000000"/>
                <w:sz w:val="28"/>
                <w:szCs w:val="28"/>
              </w:rPr>
              <w:t>–серцевий викид</w:t>
            </w:r>
          </w:p>
        </w:tc>
      </w:tr>
      <w:tr w:rsidR="0021764E" w:rsidRPr="00C62D22" w:rsidTr="006E5FD4">
        <w:trPr>
          <w:trHeight w:val="46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ССС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–серцево–судинна система </w:t>
            </w:r>
          </w:p>
        </w:tc>
      </w:tr>
      <w:tr w:rsidR="0021764E" w:rsidRPr="00C62D22" w:rsidTr="006E5FD4">
        <w:trPr>
          <w:trHeight w:val="46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СІ</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–серцевий індекс</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ТБК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–тіобарбітурова кислота</w:t>
            </w:r>
          </w:p>
        </w:tc>
      </w:tr>
      <w:tr w:rsidR="0021764E" w:rsidRPr="00C62D22" w:rsidTr="006E5FD4">
        <w:trPr>
          <w:trHeight w:val="43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ТІМП</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w:t>
            </w:r>
            <w:r w:rsidRPr="00C62D22">
              <w:rPr>
                <w:rFonts w:ascii="Times New Roman" w:hAnsi="Times New Roman" w:cs="Times New Roman"/>
                <w:bCs/>
                <w:sz w:val="28"/>
                <w:szCs w:val="28"/>
              </w:rPr>
              <w:t>тканинний інгібітор матриксної металопротеїнази</w:t>
            </w:r>
          </w:p>
        </w:tc>
      </w:tr>
      <w:tr w:rsidR="0021764E" w:rsidRPr="00C62D22" w:rsidTr="006E5FD4">
        <w:trPr>
          <w:trHeight w:val="34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ТК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–травний канал</w:t>
            </w:r>
          </w:p>
        </w:tc>
      </w:tr>
      <w:tr w:rsidR="0021764E" w:rsidRPr="00C62D22" w:rsidTr="006E5FD4">
        <w:trPr>
          <w:trHeight w:val="39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ТНФа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–туморнекротичний фактор</w:t>
            </w:r>
          </w:p>
        </w:tc>
      </w:tr>
      <w:tr w:rsidR="0021764E" w:rsidRPr="00C62D22" w:rsidTr="006E5FD4">
        <w:trPr>
          <w:trHeight w:val="55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ТМК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–триметіловий комплекс</w:t>
            </w:r>
          </w:p>
        </w:tc>
      </w:tr>
      <w:tr w:rsidR="0021764E" w:rsidRPr="00C62D22" w:rsidTr="006E5FD4">
        <w:trPr>
          <w:trHeight w:val="39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ТПАБ</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w:t>
            </w:r>
            <w:r w:rsidRPr="00C62D22">
              <w:rPr>
                <w:rFonts w:ascii="Times New Roman" w:hAnsi="Times New Roman" w:cs="Times New Roman"/>
                <w:color w:val="000000"/>
                <w:sz w:val="28"/>
                <w:szCs w:val="28"/>
              </w:rPr>
              <w:t>тонкоголкова пункційна аспіраційна біопсія</w:t>
            </w:r>
          </w:p>
        </w:tc>
      </w:tr>
      <w:tr w:rsidR="0021764E" w:rsidRPr="00C62D22" w:rsidTr="006E5FD4">
        <w:trPr>
          <w:trHeight w:val="55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ТХУ</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–трихлороцетова кислота</w:t>
            </w:r>
          </w:p>
        </w:tc>
      </w:tr>
      <w:tr w:rsidR="0021764E" w:rsidRPr="00C62D22" w:rsidTr="006E5FD4">
        <w:trPr>
          <w:trHeight w:val="367"/>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УЗД</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w:t>
            </w:r>
            <w:r w:rsidRPr="00C62D22">
              <w:rPr>
                <w:rFonts w:ascii="Times New Roman" w:hAnsi="Times New Roman" w:cs="Times New Roman"/>
                <w:bCs/>
                <w:sz w:val="28"/>
                <w:szCs w:val="28"/>
              </w:rPr>
              <w:t>ультразвукова діагностика</w:t>
            </w:r>
          </w:p>
        </w:tc>
      </w:tr>
      <w:tr w:rsidR="0021764E" w:rsidRPr="00C62D22" w:rsidTr="006E5FD4">
        <w:trPr>
          <w:trHeight w:val="367"/>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УЗДФ</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ультразвукова допплерівська флуометрія</w:t>
            </w:r>
          </w:p>
        </w:tc>
      </w:tr>
      <w:tr w:rsidR="0021764E" w:rsidRPr="00C62D22" w:rsidTr="006E5FD4">
        <w:trPr>
          <w:trHeight w:val="367"/>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УО</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–ударний об’єм </w:t>
            </w:r>
          </w:p>
        </w:tc>
      </w:tr>
      <w:tr w:rsidR="0021764E" w:rsidRPr="00C62D22" w:rsidTr="006E5FD4">
        <w:trPr>
          <w:trHeight w:val="367"/>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ФВ</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–фракція викиду</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ФЕГДС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–фіброезофагодуоденоскопія</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ХДА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–холедоходуоденоанастомоз</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ХЕ</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–холецистектомія</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ХОК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–хвилинний об’єм кровотока</w:t>
            </w:r>
          </w:p>
        </w:tc>
      </w:tr>
      <w:tr w:rsidR="0021764E" w:rsidRPr="00C62D22" w:rsidTr="006E5FD4">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ХП</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–хронічний панкреатит</w:t>
            </w:r>
          </w:p>
        </w:tc>
      </w:tr>
      <w:tr w:rsidR="0021764E" w:rsidRPr="00C62D22" w:rsidTr="006E5FD4">
        <w:trPr>
          <w:trHeight w:val="45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ЦЕА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–цистоентероанастомоз</w:t>
            </w:r>
          </w:p>
        </w:tc>
      </w:tr>
      <w:tr w:rsidR="0021764E" w:rsidRPr="00C62D22" w:rsidTr="006E5FD4">
        <w:trPr>
          <w:trHeight w:val="51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lastRenderedPageBreak/>
              <w:t>ЦЄС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color w:val="000000"/>
                <w:sz w:val="28"/>
                <w:szCs w:val="28"/>
              </w:rPr>
              <w:t>–цистоєюностомія</w:t>
            </w:r>
          </w:p>
        </w:tc>
      </w:tr>
      <w:tr w:rsidR="0021764E" w:rsidRPr="00C62D22" w:rsidTr="006E5FD4">
        <w:trPr>
          <w:trHeight w:val="33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ЦГС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–цистогастростомія</w:t>
            </w:r>
          </w:p>
        </w:tc>
      </w:tr>
      <w:tr w:rsidR="0021764E" w:rsidRPr="00C62D22" w:rsidTr="006E5FD4">
        <w:trPr>
          <w:trHeight w:val="52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ЦД</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–цукровий діабет</w:t>
            </w:r>
          </w:p>
        </w:tc>
      </w:tr>
      <w:tr w:rsidR="0021764E" w:rsidRPr="00C62D22" w:rsidTr="006E5FD4">
        <w:trPr>
          <w:trHeight w:val="36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ЦДА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–цистодуоденоанастомоз</w:t>
            </w:r>
          </w:p>
        </w:tc>
      </w:tr>
      <w:tr w:rsidR="0021764E" w:rsidRPr="00C62D22" w:rsidTr="006E5FD4">
        <w:trPr>
          <w:trHeight w:val="39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ЦДС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–цистодуоденостомія</w:t>
            </w:r>
          </w:p>
        </w:tc>
      </w:tr>
      <w:tr w:rsidR="0021764E" w:rsidRPr="00C62D22" w:rsidTr="006E5FD4">
        <w:trPr>
          <w:trHeight w:val="39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ЦК</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–цитокін</w:t>
            </w:r>
          </w:p>
        </w:tc>
      </w:tr>
      <w:tr w:rsidR="0021764E" w:rsidRPr="00C62D22" w:rsidTr="006E5FD4">
        <w:trPr>
          <w:trHeight w:val="39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ЦРЛ</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–центральна районна лікарня</w:t>
            </w:r>
          </w:p>
        </w:tc>
      </w:tr>
      <w:tr w:rsidR="0021764E" w:rsidRPr="00C62D22" w:rsidTr="006E5FD4">
        <w:trPr>
          <w:trHeight w:val="36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ЦНС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–центральна нервова система</w:t>
            </w:r>
          </w:p>
        </w:tc>
      </w:tr>
      <w:tr w:rsidR="0021764E" w:rsidRPr="00C62D22" w:rsidTr="006E5FD4">
        <w:trPr>
          <w:trHeight w:val="43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ЦПЄА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–цистопанкреатоєюноанастомоз</w:t>
            </w:r>
          </w:p>
        </w:tc>
      </w:tr>
      <w:tr w:rsidR="0021764E" w:rsidRPr="00C62D22" w:rsidTr="006E5FD4">
        <w:trPr>
          <w:trHeight w:val="43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ЦПЄС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–цистопанкреатоєюностомія</w:t>
            </w:r>
          </w:p>
        </w:tc>
      </w:tr>
      <w:tr w:rsidR="0021764E" w:rsidRPr="00C62D22" w:rsidTr="006E5FD4">
        <w:trPr>
          <w:trHeight w:val="373"/>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ЦЄА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–цистоєюноанастомоз</w:t>
            </w:r>
          </w:p>
        </w:tc>
      </w:tr>
      <w:tr w:rsidR="0021764E" w:rsidRPr="00C62D22" w:rsidTr="006E5FD4">
        <w:trPr>
          <w:trHeight w:val="373"/>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ШОЕ</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–швидкість осідання еритроцитів</w:t>
            </w:r>
          </w:p>
        </w:tc>
      </w:tr>
      <w:tr w:rsidR="0021764E" w:rsidRPr="00C62D22" w:rsidTr="006E5FD4">
        <w:trPr>
          <w:trHeight w:val="373"/>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ЧСС</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–частота серцевих скорочень</w:t>
            </w:r>
          </w:p>
        </w:tc>
      </w:tr>
      <w:tr w:rsidR="0021764E" w:rsidRPr="00C62D22" w:rsidTr="006E5FD4">
        <w:trPr>
          <w:trHeight w:val="43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ЯМРТ</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–ядерно–магнітно–резонансна томографія</w:t>
            </w:r>
          </w:p>
        </w:tc>
      </w:tr>
      <w:tr w:rsidR="0021764E" w:rsidRPr="00C62D22" w:rsidTr="006E5FD4">
        <w:trPr>
          <w:trHeight w:val="31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APACHE II</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lang w:val="en-US"/>
              </w:rPr>
            </w:pPr>
            <w:r w:rsidRPr="00C62D22">
              <w:rPr>
                <w:rFonts w:ascii="Times New Roman" w:hAnsi="Times New Roman" w:cs="Times New Roman"/>
                <w:sz w:val="28"/>
                <w:szCs w:val="28"/>
                <w:lang w:val="en-US"/>
              </w:rPr>
              <w:t>–Acute Physiological and Chronic Health Evolution</w:t>
            </w:r>
          </w:p>
        </w:tc>
      </w:tr>
      <w:tr w:rsidR="0021764E" w:rsidRPr="00C62D22" w:rsidTr="006E5FD4">
        <w:trPr>
          <w:trHeight w:val="46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APS</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–Acute Physiological Score</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ASA</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–American Society of Anesthesiologists</w:t>
            </w:r>
          </w:p>
        </w:tc>
      </w:tr>
      <w:tr w:rsidR="0021764E" w:rsidRPr="00C62D22" w:rsidTr="006E5FD4">
        <w:trPr>
          <w:trHeight w:val="58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СА 19</w:t>
            </w:r>
            <w:r w:rsidRPr="00C62D22">
              <w:rPr>
                <w:rFonts w:ascii="Times New Roman" w:hAnsi="Times New Roman" w:cs="Times New Roman"/>
                <w:sz w:val="28"/>
                <w:szCs w:val="28"/>
              </w:rPr>
              <w:t>–9</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w:t>
            </w:r>
            <w:r w:rsidRPr="00C62D22">
              <w:rPr>
                <w:rFonts w:ascii="Times New Roman" w:hAnsi="Times New Roman" w:cs="Times New Roman"/>
                <w:color w:val="000000"/>
                <w:sz w:val="28"/>
                <w:szCs w:val="28"/>
              </w:rPr>
              <w:t>карбогідратний антиген 19</w:t>
            </w:r>
            <w:r w:rsidRPr="00C62D22">
              <w:rPr>
                <w:rFonts w:ascii="Times New Roman" w:hAnsi="Times New Roman" w:cs="Times New Roman"/>
                <w:sz w:val="28"/>
                <w:szCs w:val="28"/>
              </w:rPr>
              <w:t>–</w:t>
            </w:r>
            <w:r w:rsidRPr="00C62D22">
              <w:rPr>
                <w:rFonts w:ascii="Times New Roman" w:hAnsi="Times New Roman" w:cs="Times New Roman"/>
                <w:color w:val="000000"/>
                <w:sz w:val="28"/>
                <w:szCs w:val="28"/>
              </w:rPr>
              <w:t>9</w:t>
            </w:r>
          </w:p>
        </w:tc>
      </w:tr>
      <w:tr w:rsidR="0021764E" w:rsidRPr="00C62D22" w:rsidTr="006E5FD4">
        <w:trPr>
          <w:trHeight w:val="40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СЕА</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–раковий ембріональний антиген</w:t>
            </w:r>
          </w:p>
        </w:tc>
      </w:tr>
      <w:tr w:rsidR="0021764E" w:rsidRPr="00C62D22" w:rsidTr="006E5FD4">
        <w:trPr>
          <w:trHeight w:val="40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СD</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–імунні клітини</w:t>
            </w:r>
          </w:p>
        </w:tc>
      </w:tr>
      <w:tr w:rsidR="0021764E" w:rsidRPr="00C62D22" w:rsidTr="006E5FD4">
        <w:trPr>
          <w:trHeight w:val="76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eastAsia="TimesNewRomanPSMT" w:hAnsi="Times New Roman" w:cs="Times New Roman"/>
                <w:sz w:val="28"/>
                <w:szCs w:val="28"/>
              </w:rPr>
              <w:t>ЕDRF</w:t>
            </w:r>
          </w:p>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color w:val="FF0000"/>
                <w:sz w:val="28"/>
                <w:szCs w:val="28"/>
              </w:rPr>
            </w:pPr>
            <w:r w:rsidRPr="00C62D22">
              <w:rPr>
                <w:rStyle w:val="hps"/>
                <w:rFonts w:ascii="Times New Roman" w:hAnsi="Times New Roman" w:cs="Times New Roman"/>
                <w:color w:val="222222"/>
                <w:sz w:val="28"/>
                <w:szCs w:val="28"/>
              </w:rPr>
              <w:t>EGF</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ендотеліальний релаксуючий фактор</w:t>
            </w:r>
          </w:p>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w:t>
            </w:r>
            <w:r w:rsidRPr="00C62D22">
              <w:rPr>
                <w:rStyle w:val="hps"/>
                <w:rFonts w:ascii="Times New Roman" w:hAnsi="Times New Roman" w:cs="Times New Roman"/>
                <w:color w:val="222222"/>
                <w:sz w:val="28"/>
                <w:szCs w:val="28"/>
              </w:rPr>
              <w:t>епідермальний фактор росту</w:t>
            </w:r>
          </w:p>
        </w:tc>
      </w:tr>
      <w:tr w:rsidR="0021764E" w:rsidRPr="00C62D22" w:rsidTr="006E5FD4">
        <w:trPr>
          <w:trHeight w:val="352"/>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hAnsi="Times New Roman" w:cs="Times New Roman"/>
                <w:sz w:val="28"/>
                <w:szCs w:val="28"/>
              </w:rPr>
              <w:t>Fas</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–ліганд</w:t>
            </w:r>
          </w:p>
        </w:tc>
      </w:tr>
      <w:tr w:rsidR="0021764E" w:rsidRPr="00C62D22" w:rsidTr="006E5FD4">
        <w:trPr>
          <w:trHeight w:val="312"/>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FGF</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–фактор росту фібробластів</w:t>
            </w:r>
          </w:p>
        </w:tc>
      </w:tr>
      <w:tr w:rsidR="0021764E" w:rsidRPr="00C62D22" w:rsidTr="006E5FD4">
        <w:trPr>
          <w:trHeight w:val="84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720"/>
                <w:tab w:val="left" w:pos="9540"/>
              </w:tabs>
              <w:spacing w:after="0" w:line="360" w:lineRule="auto"/>
              <w:rPr>
                <w:rFonts w:ascii="Times New Roman" w:eastAsia="TimesNewRomanPSMT" w:hAnsi="Times New Roman" w:cs="Times New Roman"/>
                <w:sz w:val="28"/>
                <w:szCs w:val="28"/>
                <w:lang w:val="en-US"/>
              </w:rPr>
            </w:pPr>
            <w:r w:rsidRPr="00C62D22">
              <w:rPr>
                <w:rFonts w:ascii="Times New Roman" w:eastAsia="TimesNewRomanPSMT" w:hAnsi="Times New Roman" w:cs="Times New Roman"/>
                <w:sz w:val="28"/>
                <w:szCs w:val="28"/>
                <w:lang w:val="en-US"/>
              </w:rPr>
              <w:t xml:space="preserve">GM–CSF, G–CSF, </w:t>
            </w:r>
          </w:p>
          <w:p w:rsidR="0021764E" w:rsidRPr="00C62D22" w:rsidRDefault="0021764E" w:rsidP="006E5FD4">
            <w:pPr>
              <w:tabs>
                <w:tab w:val="left" w:pos="0"/>
                <w:tab w:val="left" w:pos="720"/>
                <w:tab w:val="left" w:pos="9540"/>
              </w:tabs>
              <w:spacing w:after="0" w:line="360" w:lineRule="auto"/>
              <w:rPr>
                <w:rFonts w:ascii="Times New Roman" w:hAnsi="Times New Roman" w:cs="Times New Roman"/>
                <w:sz w:val="28"/>
                <w:szCs w:val="28"/>
                <w:lang w:val="en-US"/>
              </w:rPr>
            </w:pPr>
            <w:r w:rsidRPr="00C62D22">
              <w:rPr>
                <w:rFonts w:ascii="Times New Roman" w:eastAsia="TimesNewRomanPSMT" w:hAnsi="Times New Roman" w:cs="Times New Roman"/>
                <w:sz w:val="28"/>
                <w:szCs w:val="28"/>
                <w:lang w:val="en-US"/>
              </w:rPr>
              <w:t>M–CSF</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w:t>
            </w:r>
            <w:r w:rsidRPr="00C62D22">
              <w:rPr>
                <w:rFonts w:ascii="Times New Roman" w:hAnsi="Times New Roman" w:cs="Times New Roman"/>
                <w:bCs/>
                <w:sz w:val="28"/>
                <w:szCs w:val="28"/>
              </w:rPr>
              <w:t>г</w:t>
            </w:r>
            <w:r w:rsidRPr="00C62D22">
              <w:rPr>
                <w:rFonts w:ascii="Times New Roman" w:eastAsia="TimesNewRomanPSMT" w:hAnsi="Times New Roman" w:cs="Times New Roman"/>
                <w:sz w:val="28"/>
                <w:szCs w:val="28"/>
              </w:rPr>
              <w:t>ранулоцит/макрофагальні колонієстимулюючі</w:t>
            </w:r>
          </w:p>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фактори</w:t>
            </w:r>
          </w:p>
        </w:tc>
      </w:tr>
      <w:tr w:rsidR="0021764E" w:rsidRPr="00C62D22" w:rsidTr="006E5FD4">
        <w:trPr>
          <w:trHeight w:val="402"/>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720"/>
                <w:tab w:val="left" w:pos="9540"/>
              </w:tabs>
              <w:spacing w:after="0" w:line="360" w:lineRule="auto"/>
              <w:rPr>
                <w:rFonts w:ascii="Times New Roman" w:eastAsia="TimesNewRomanPSMT" w:hAnsi="Times New Roman" w:cs="Times New Roman"/>
                <w:sz w:val="28"/>
                <w:szCs w:val="28"/>
                <w:lang w:val="en-US"/>
              </w:rPr>
            </w:pPr>
            <w:r w:rsidRPr="00C62D22">
              <w:rPr>
                <w:rFonts w:ascii="Times New Roman" w:eastAsia="TimesNewRomanPSMT" w:hAnsi="Times New Roman" w:cs="Times New Roman"/>
                <w:sz w:val="28"/>
                <w:szCs w:val="28"/>
                <w:lang w:val="en-US"/>
              </w:rPr>
              <w:t>HLA</w:t>
            </w:r>
            <w:r w:rsidRPr="00C62D22">
              <w:rPr>
                <w:rFonts w:ascii="Times New Roman" w:eastAsia="TimesNewRomanPSMT" w:hAnsi="Times New Roman" w:cs="Times New Roman"/>
                <w:sz w:val="28"/>
                <w:szCs w:val="28"/>
              </w:rPr>
              <w:t>-</w:t>
            </w:r>
            <w:r w:rsidRPr="00C62D22">
              <w:rPr>
                <w:rFonts w:ascii="Times New Roman" w:eastAsia="TimesNewRomanPSMT" w:hAnsi="Times New Roman" w:cs="Times New Roman"/>
                <w:sz w:val="28"/>
                <w:szCs w:val="28"/>
                <w:lang w:val="en-US"/>
              </w:rPr>
              <w:t>DR</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lang w:val="en-US"/>
              </w:rPr>
            </w:pPr>
            <w:r w:rsidRPr="00C62D22">
              <w:rPr>
                <w:rFonts w:ascii="Times New Roman" w:hAnsi="Times New Roman" w:cs="Times New Roman"/>
                <w:sz w:val="28"/>
                <w:szCs w:val="28"/>
                <w:lang w:val="en-US"/>
              </w:rPr>
              <w:t>–human leucocyte antigen DR-</w:t>
            </w:r>
            <w:r w:rsidRPr="00C62D22">
              <w:rPr>
                <w:rFonts w:ascii="Times New Roman" w:hAnsi="Times New Roman" w:cs="Times New Roman"/>
                <w:sz w:val="28"/>
                <w:szCs w:val="28"/>
              </w:rPr>
              <w:t>сублокусу</w:t>
            </w:r>
          </w:p>
        </w:tc>
      </w:tr>
      <w:tr w:rsidR="0021764E" w:rsidRPr="00C62D22" w:rsidTr="006E5FD4">
        <w:trPr>
          <w:trHeight w:val="403"/>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720"/>
                <w:tab w:val="left" w:pos="9540"/>
              </w:tabs>
              <w:spacing w:after="0" w:line="360" w:lineRule="auto"/>
              <w:rPr>
                <w:rFonts w:ascii="Times New Roman" w:eastAsia="TimesNewRomanPSMT" w:hAnsi="Times New Roman" w:cs="Times New Roman"/>
                <w:sz w:val="28"/>
                <w:szCs w:val="28"/>
                <w:lang w:val="en-US"/>
              </w:rPr>
            </w:pPr>
            <w:r w:rsidRPr="00C62D22">
              <w:rPr>
                <w:rFonts w:ascii="Times New Roman" w:eastAsia="TimesNewRomanPSMT" w:hAnsi="Times New Roman" w:cs="Times New Roman"/>
                <w:sz w:val="28"/>
                <w:szCs w:val="28"/>
                <w:lang w:val="en-US"/>
              </w:rPr>
              <w:t>gro-α</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–хемотаксичний фактор</w:t>
            </w:r>
          </w:p>
        </w:tc>
      </w:tr>
      <w:tr w:rsidR="0021764E" w:rsidRPr="00C62D22" w:rsidTr="006E5FD4">
        <w:trPr>
          <w:trHeight w:val="36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eastAsia="TimesNewRomanPSMT" w:hAnsi="Times New Roman" w:cs="Times New Roman"/>
                <w:sz w:val="28"/>
                <w:szCs w:val="28"/>
              </w:rPr>
              <w:t>ICAM–l</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ендотеліальна молекула адгезії</w:t>
            </w:r>
          </w:p>
        </w:tc>
      </w:tr>
      <w:tr w:rsidR="0021764E" w:rsidRPr="00C62D22" w:rsidTr="006E5FD4">
        <w:trPr>
          <w:trHeight w:val="39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hAnsi="Times New Roman" w:cs="Times New Roman"/>
                <w:sz w:val="28"/>
                <w:szCs w:val="28"/>
              </w:rPr>
              <w:lastRenderedPageBreak/>
              <w:t>IFN-γ</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–інтерферон</w:t>
            </w:r>
          </w:p>
        </w:tc>
      </w:tr>
      <w:tr w:rsidR="0021764E" w:rsidRPr="00C62D22" w:rsidTr="006E5FD4">
        <w:trPr>
          <w:trHeight w:val="198"/>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Style w:val="hps"/>
                <w:rFonts w:ascii="Times New Roman" w:hAnsi="Times New Roman" w:cs="Times New Roman"/>
                <w:sz w:val="28"/>
                <w:szCs w:val="28"/>
              </w:rPr>
              <w:t>IgE</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–імуноглобулін Е</w:t>
            </w:r>
          </w:p>
        </w:tc>
      </w:tr>
      <w:tr w:rsidR="0021764E" w:rsidRPr="00C62D22" w:rsidTr="006E5FD4">
        <w:trPr>
          <w:trHeight w:val="22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ІL</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–інтерлейкін</w:t>
            </w:r>
          </w:p>
        </w:tc>
      </w:tr>
      <w:tr w:rsidR="0021764E" w:rsidRPr="00C62D22" w:rsidTr="006E5FD4">
        <w:trPr>
          <w:trHeight w:val="22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lang w:val="en-US"/>
              </w:rPr>
            </w:pPr>
            <w:r w:rsidRPr="00C62D22">
              <w:rPr>
                <w:rFonts w:ascii="Times New Roman" w:hAnsi="Times New Roman" w:cs="Times New Roman"/>
                <w:sz w:val="28"/>
                <w:szCs w:val="28"/>
                <w:lang w:val="en-US"/>
              </w:rPr>
              <w:t>LTC4</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–лейкотрієн С4</w:t>
            </w:r>
          </w:p>
        </w:tc>
      </w:tr>
      <w:tr w:rsidR="0021764E" w:rsidRPr="00C62D22" w:rsidTr="006E5FD4">
        <w:trPr>
          <w:trHeight w:val="39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Fonts w:ascii="Times New Roman" w:eastAsia="TimesNewRomanPSMT" w:hAnsi="Times New Roman" w:cs="Times New Roman"/>
                <w:sz w:val="28"/>
                <w:szCs w:val="28"/>
              </w:rPr>
              <w:t>МСР–1</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–протизапальний фактор</w:t>
            </w:r>
          </w:p>
        </w:tc>
      </w:tr>
      <w:tr w:rsidR="0021764E" w:rsidRPr="00C62D22" w:rsidTr="006E5FD4">
        <w:trPr>
          <w:trHeight w:val="40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eastAsia="TimesNewRomanPSMT" w:hAnsi="Times New Roman" w:cs="Times New Roman"/>
                <w:sz w:val="28"/>
                <w:szCs w:val="28"/>
              </w:rPr>
              <w:t>МОDS</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w:t>
            </w:r>
            <w:r w:rsidRPr="00C62D22">
              <w:rPr>
                <w:rFonts w:ascii="Times New Roman" w:hAnsi="Times New Roman" w:cs="Times New Roman"/>
                <w:sz w:val="28"/>
                <w:szCs w:val="28"/>
                <w:lang w:val="en-US"/>
              </w:rPr>
              <w:t>Multiple</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Organ</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Dysfunction</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Score</w:t>
            </w:r>
            <w:r w:rsidRPr="00C62D22">
              <w:rPr>
                <w:rFonts w:ascii="Times New Roman" w:hAnsi="Times New Roman" w:cs="Times New Roman"/>
                <w:sz w:val="28"/>
                <w:szCs w:val="28"/>
              </w:rPr>
              <w:t xml:space="preserve"> (шкала оцінки поліорганної недостатності)</w:t>
            </w:r>
          </w:p>
        </w:tc>
      </w:tr>
      <w:tr w:rsidR="0021764E" w:rsidRPr="00C62D22" w:rsidTr="006E5FD4">
        <w:trPr>
          <w:trHeight w:val="31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eastAsia="TimesNewRomanPSMT" w:hAnsi="Times New Roman" w:cs="Times New Roman"/>
                <w:sz w:val="28"/>
                <w:szCs w:val="28"/>
              </w:rPr>
              <w:t>NO</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–окис азоту</w:t>
            </w:r>
          </w:p>
        </w:tc>
      </w:tr>
      <w:tr w:rsidR="0021764E" w:rsidRPr="00C62D22" w:rsidTr="006E5FD4">
        <w:trPr>
          <w:trHeight w:val="429"/>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hAnsi="Times New Roman" w:cs="Times New Roman"/>
                <w:sz w:val="28"/>
                <w:szCs w:val="28"/>
              </w:rPr>
              <w:t>NK</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–натуральні кілери </w:t>
            </w:r>
          </w:p>
        </w:tc>
      </w:tr>
      <w:tr w:rsidR="0021764E" w:rsidRPr="00C62D22" w:rsidTr="006E5FD4">
        <w:trPr>
          <w:trHeight w:val="46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hAnsi="Times New Roman" w:cs="Times New Roman"/>
                <w:bCs/>
                <w:sz w:val="28"/>
                <w:szCs w:val="28"/>
              </w:rPr>
              <w:t>p53</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w:t>
            </w:r>
            <w:r w:rsidRPr="00C62D22">
              <w:rPr>
                <w:rFonts w:ascii="Times New Roman" w:hAnsi="Times New Roman" w:cs="Times New Roman"/>
                <w:bCs/>
                <w:sz w:val="28"/>
                <w:szCs w:val="28"/>
              </w:rPr>
              <w:t>білок (рroteіns 53)</w:t>
            </w:r>
          </w:p>
        </w:tc>
      </w:tr>
      <w:tr w:rsidR="0021764E" w:rsidRPr="00C62D22" w:rsidTr="006E5FD4">
        <w:trPr>
          <w:trHeight w:val="46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bCs/>
                <w:sz w:val="28"/>
                <w:szCs w:val="28"/>
              </w:rPr>
            </w:pPr>
            <w:r w:rsidRPr="00C62D22">
              <w:rPr>
                <w:rFonts w:ascii="Times New Roman" w:hAnsi="Times New Roman" w:cs="Times New Roman"/>
                <w:sz w:val="28"/>
                <w:szCs w:val="28"/>
              </w:rPr>
              <w:t>РІ</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–індекс Гослінга</w:t>
            </w:r>
          </w:p>
        </w:tc>
      </w:tr>
      <w:tr w:rsidR="0021764E" w:rsidRPr="00C62D22" w:rsidTr="006E5FD4">
        <w:trPr>
          <w:trHeight w:val="49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eastAsia="TimesNewRomanPSMT" w:hAnsi="Times New Roman" w:cs="Times New Roman"/>
                <w:sz w:val="28"/>
                <w:szCs w:val="28"/>
              </w:rPr>
              <w:t>РАF</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–фактор активації тромбоцитів</w:t>
            </w:r>
          </w:p>
        </w:tc>
      </w:tr>
      <w:tr w:rsidR="0021764E" w:rsidRPr="00C62D22" w:rsidTr="006E5FD4">
        <w:trPr>
          <w:trHeight w:val="465"/>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eastAsia="TimesNewRomanPSMT" w:hAnsi="Times New Roman" w:cs="Times New Roman"/>
                <w:sz w:val="28"/>
                <w:szCs w:val="28"/>
              </w:rPr>
              <w:t>РDGF</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–тромбоцитарний фактор зросту</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Style w:val="hps"/>
                <w:rFonts w:ascii="Times New Roman" w:hAnsi="Times New Roman" w:cs="Times New Roman"/>
                <w:sz w:val="28"/>
                <w:szCs w:val="28"/>
              </w:rPr>
              <w:t>PSCs</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–панкреатичні зірчасті клітини</w:t>
            </w:r>
          </w:p>
        </w:tc>
      </w:tr>
      <w:tr w:rsidR="0021764E" w:rsidRPr="00C62D22" w:rsidTr="006E5FD4">
        <w:trPr>
          <w:trHeight w:val="48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Style w:val="hps"/>
                <w:rFonts w:ascii="Times New Roman" w:hAnsi="Times New Roman" w:cs="Times New Roman"/>
                <w:sz w:val="28"/>
                <w:szCs w:val="28"/>
              </w:rPr>
            </w:pPr>
            <w:r w:rsidRPr="00C62D22">
              <w:rPr>
                <w:rFonts w:ascii="Times New Roman" w:hAnsi="Times New Roman" w:cs="Times New Roman"/>
                <w:sz w:val="28"/>
                <w:szCs w:val="28"/>
              </w:rPr>
              <w:t>RІ</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–індекс Пурсело</w:t>
            </w:r>
          </w:p>
        </w:tc>
      </w:tr>
      <w:tr w:rsidR="0021764E" w:rsidRPr="00C62D22" w:rsidTr="006E5FD4">
        <w:trPr>
          <w:trHeight w:val="42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Fonts w:ascii="Times New Roman" w:eastAsia="TimesNewRomanPSMT" w:hAnsi="Times New Roman" w:cs="Times New Roman"/>
                <w:sz w:val="28"/>
                <w:szCs w:val="28"/>
              </w:rPr>
              <w:t>SIRS</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bCs/>
                <w:sz w:val="28"/>
                <w:szCs w:val="28"/>
              </w:rPr>
            </w:pP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синдром системної запальної відповіді</w:t>
            </w:r>
          </w:p>
        </w:tc>
      </w:tr>
      <w:tr w:rsidR="0021764E" w:rsidRPr="00C62D22" w:rsidTr="006E5FD4">
        <w:trPr>
          <w:trHeight w:val="42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lang w:val="en-US"/>
              </w:rPr>
            </w:pPr>
            <w:r w:rsidRPr="00C62D22">
              <w:rPr>
                <w:rFonts w:ascii="Times New Roman" w:eastAsia="TimesNewRomanPSMT" w:hAnsi="Times New Roman" w:cs="Times New Roman"/>
                <w:sz w:val="28"/>
                <w:szCs w:val="28"/>
                <w:lang w:val="en-US"/>
              </w:rPr>
              <w:t>SF-36</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–опитувач </w:t>
            </w:r>
          </w:p>
        </w:tc>
      </w:tr>
      <w:tr w:rsidR="0021764E" w:rsidRPr="00C62D22" w:rsidTr="006E5FD4">
        <w:trPr>
          <w:trHeight w:val="36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hAnsi="Times New Roman" w:cs="Times New Roman"/>
                <w:sz w:val="28"/>
                <w:szCs w:val="28"/>
              </w:rPr>
              <w:t>SOFA</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–Sequential Organ Failure Assessment</w:t>
            </w:r>
          </w:p>
        </w:tc>
      </w:tr>
      <w:tr w:rsidR="0021764E" w:rsidRPr="00C62D22" w:rsidTr="006E5FD4">
        <w:trPr>
          <w:trHeight w:val="60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Style w:val="hps"/>
                <w:rFonts w:ascii="Times New Roman" w:hAnsi="Times New Roman" w:cs="Times New Roman"/>
                <w:sz w:val="28"/>
                <w:szCs w:val="28"/>
              </w:rPr>
              <w:t>TGF-β1</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332"/>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w:t>
            </w:r>
            <w:r w:rsidRPr="00C62D22">
              <w:rPr>
                <w:rStyle w:val="hps"/>
                <w:rFonts w:ascii="Times New Roman" w:hAnsi="Times New Roman" w:cs="Times New Roman"/>
                <w:sz w:val="28"/>
                <w:szCs w:val="28"/>
              </w:rPr>
              <w:t>трансформуючий фактор росту β1</w:t>
            </w:r>
          </w:p>
        </w:tc>
      </w:tr>
      <w:tr w:rsidR="0021764E" w:rsidRPr="00C62D22" w:rsidTr="006E5FD4">
        <w:trPr>
          <w:trHeight w:val="21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hAnsi="Times New Roman" w:cs="Times New Roman"/>
                <w:sz w:val="28"/>
                <w:szCs w:val="28"/>
              </w:rPr>
              <w:t>ТNF</w:t>
            </w:r>
            <w:r w:rsidRPr="00C62D22">
              <w:rPr>
                <w:rFonts w:ascii="Times New Roman" w:eastAsia="TimesNewRomanPSMT" w:hAnsi="Times New Roman" w:cs="Times New Roman"/>
                <w:sz w:val="28"/>
                <w:szCs w:val="28"/>
              </w:rPr>
              <w:t>–</w:t>
            </w:r>
            <w:r w:rsidRPr="00C62D22">
              <w:rPr>
                <w:rFonts w:ascii="Times New Roman" w:hAnsi="Times New Roman" w:cs="Times New Roman"/>
                <w:sz w:val="28"/>
                <w:szCs w:val="28"/>
              </w:rPr>
              <w:t>α</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–фактор некрозу пухлини</w:t>
            </w:r>
          </w:p>
        </w:tc>
      </w:tr>
      <w:tr w:rsidR="0021764E" w:rsidRPr="00C62D22" w:rsidTr="006E5FD4">
        <w:trPr>
          <w:trHeight w:val="398"/>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Тх</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–Т-хелпери</w:t>
            </w:r>
          </w:p>
        </w:tc>
      </w:tr>
      <w:tr w:rsidR="0021764E" w:rsidRPr="00C62D22" w:rsidTr="006E5FD4">
        <w:trPr>
          <w:trHeight w:val="39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V</w:t>
            </w:r>
            <w:r w:rsidRPr="00C62D22">
              <w:rPr>
                <w:rFonts w:ascii="Times New Roman" w:hAnsi="Times New Roman" w:cs="Times New Roman"/>
                <w:sz w:val="28"/>
                <w:szCs w:val="28"/>
                <w:vertAlign w:val="subscript"/>
                <w:lang w:val="en-US"/>
              </w:rPr>
              <w:t>ed</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–кінцева діаст</w:t>
            </w:r>
            <w:r w:rsidRPr="00C62D22">
              <w:rPr>
                <w:rFonts w:ascii="Times New Roman" w:hAnsi="Times New Roman" w:cs="Times New Roman"/>
                <w:sz w:val="28"/>
                <w:szCs w:val="28"/>
              </w:rPr>
              <w:t>о</w:t>
            </w:r>
            <w:r w:rsidRPr="00C62D22">
              <w:rPr>
                <w:rFonts w:ascii="Times New Roman" w:hAnsi="Times New Roman" w:cs="Times New Roman"/>
                <w:sz w:val="28"/>
                <w:szCs w:val="28"/>
              </w:rPr>
              <w:t>лічна швидкість кровотока.</w:t>
            </w:r>
          </w:p>
        </w:tc>
      </w:tr>
      <w:tr w:rsidR="0021764E" w:rsidRPr="00C62D22" w:rsidTr="006E5FD4">
        <w:trPr>
          <w:trHeight w:val="39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eastAsia="TimesNewRomanPSMT" w:hAnsi="Times New Roman" w:cs="Times New Roman"/>
                <w:sz w:val="28"/>
                <w:szCs w:val="28"/>
              </w:rPr>
            </w:pPr>
            <w:r w:rsidRPr="00C62D22">
              <w:rPr>
                <w:rFonts w:ascii="Times New Roman" w:hAnsi="Times New Roman" w:cs="Times New Roman"/>
                <w:sz w:val="28"/>
                <w:szCs w:val="28"/>
              </w:rPr>
              <w:t>VEGF</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lang w:val="en-US"/>
              </w:rPr>
            </w:pPr>
            <w:r w:rsidRPr="00C62D22">
              <w:rPr>
                <w:rFonts w:ascii="Times New Roman" w:hAnsi="Times New Roman" w:cs="Times New Roman"/>
                <w:sz w:val="28"/>
                <w:szCs w:val="28"/>
                <w:lang w:val="en-US"/>
              </w:rPr>
              <w:t>–</w:t>
            </w:r>
            <w:r w:rsidRPr="00C62D22">
              <w:rPr>
                <w:rFonts w:ascii="Times New Roman" w:hAnsi="Times New Roman" w:cs="Times New Roman"/>
                <w:sz w:val="28"/>
                <w:szCs w:val="28"/>
              </w:rPr>
              <w:t>фактор</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росту</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судинного</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ендотелію</w:t>
            </w:r>
            <w:r w:rsidRPr="00C62D22">
              <w:rPr>
                <w:rFonts w:ascii="Times New Roman" w:hAnsi="Times New Roman" w:cs="Times New Roman"/>
                <w:sz w:val="28"/>
                <w:szCs w:val="28"/>
                <w:lang w:val="en-US"/>
              </w:rPr>
              <w:t xml:space="preserve"> (vascular endothelial growing factor) </w:t>
            </w:r>
          </w:p>
        </w:tc>
      </w:tr>
      <w:tr w:rsidR="0021764E" w:rsidRPr="00C62D22" w:rsidTr="006E5FD4">
        <w:trPr>
          <w:trHeight w:val="39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V</w:t>
            </w:r>
            <w:r w:rsidRPr="00C62D22">
              <w:rPr>
                <w:rFonts w:ascii="Times New Roman" w:hAnsi="Times New Roman" w:cs="Times New Roman"/>
                <w:sz w:val="28"/>
                <w:szCs w:val="28"/>
                <w:vertAlign w:val="subscript"/>
                <w:lang w:val="en-US"/>
              </w:rPr>
              <w:t>c</w:t>
            </w:r>
            <w:r w:rsidRPr="00C62D22">
              <w:rPr>
                <w:rFonts w:ascii="Times New Roman" w:hAnsi="Times New Roman" w:cs="Times New Roman"/>
                <w:sz w:val="28"/>
                <w:szCs w:val="28"/>
                <w:vertAlign w:val="subscript"/>
              </w:rPr>
              <w:t>р</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–середня шви</w:t>
            </w:r>
            <w:r w:rsidRPr="00C62D22">
              <w:rPr>
                <w:rFonts w:ascii="Times New Roman" w:hAnsi="Times New Roman" w:cs="Times New Roman"/>
                <w:sz w:val="28"/>
                <w:szCs w:val="28"/>
              </w:rPr>
              <w:t>д</w:t>
            </w:r>
            <w:r w:rsidRPr="00C62D22">
              <w:rPr>
                <w:rFonts w:ascii="Times New Roman" w:hAnsi="Times New Roman" w:cs="Times New Roman"/>
                <w:sz w:val="28"/>
                <w:szCs w:val="28"/>
              </w:rPr>
              <w:t>кість кровотока</w:t>
            </w:r>
          </w:p>
        </w:tc>
      </w:tr>
      <w:tr w:rsidR="0021764E" w:rsidRPr="00C62D22" w:rsidTr="006E5FD4">
        <w:trPr>
          <w:trHeight w:val="39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V</w:t>
            </w:r>
            <w:r w:rsidRPr="00C62D22">
              <w:rPr>
                <w:rFonts w:ascii="Times New Roman" w:hAnsi="Times New Roman" w:cs="Times New Roman"/>
                <w:sz w:val="28"/>
                <w:szCs w:val="28"/>
                <w:vertAlign w:val="subscript"/>
                <w:lang w:val="en-US"/>
              </w:rPr>
              <w:t>max</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–максимальна швидкість кровотока</w:t>
            </w:r>
          </w:p>
        </w:tc>
      </w:tr>
      <w:tr w:rsidR="0021764E" w:rsidRPr="00C62D22" w:rsidTr="006E5FD4">
        <w:trPr>
          <w:trHeight w:val="39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V</w:t>
            </w:r>
            <w:r w:rsidRPr="00C62D22">
              <w:rPr>
                <w:rFonts w:ascii="Times New Roman" w:hAnsi="Times New Roman" w:cs="Times New Roman"/>
                <w:sz w:val="28"/>
                <w:szCs w:val="28"/>
                <w:vertAlign w:val="subscript"/>
              </w:rPr>
              <w:t>min</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–мінімальна швидкість кровотока</w:t>
            </w:r>
          </w:p>
        </w:tc>
      </w:tr>
      <w:tr w:rsidR="0021764E" w:rsidRPr="00C62D22" w:rsidTr="006E5FD4">
        <w:trPr>
          <w:trHeight w:val="390"/>
        </w:trPr>
        <w:tc>
          <w:tcPr>
            <w:tcW w:w="2628"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0"/>
                <w:tab w:val="left" w:pos="540"/>
                <w:tab w:val="left" w:pos="720"/>
                <w:tab w:val="left" w:pos="954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lang w:val="en-US"/>
              </w:rPr>
              <w:t>V</w:t>
            </w:r>
            <w:r w:rsidRPr="00C62D22">
              <w:rPr>
                <w:rFonts w:ascii="Times New Roman" w:hAnsi="Times New Roman" w:cs="Times New Roman"/>
                <w:sz w:val="28"/>
                <w:szCs w:val="28"/>
                <w:vertAlign w:val="subscript"/>
                <w:lang w:val="en-US"/>
              </w:rPr>
              <w:t>ms</w:t>
            </w:r>
          </w:p>
        </w:tc>
        <w:tc>
          <w:tcPr>
            <w:tcW w:w="6840" w:type="dxa"/>
            <w:tcBorders>
              <w:top w:val="single" w:sz="4" w:space="0" w:color="FFFFFF"/>
              <w:left w:val="single" w:sz="4" w:space="0" w:color="FFFFFF"/>
              <w:bottom w:val="single" w:sz="4" w:space="0" w:color="FFFFFF"/>
              <w:right w:val="single" w:sz="4" w:space="0" w:color="FFFFFF"/>
            </w:tcBorders>
          </w:tcPr>
          <w:p w:rsidR="0021764E" w:rsidRPr="00C62D22" w:rsidRDefault="0021764E" w:rsidP="006E5FD4">
            <w:pPr>
              <w:tabs>
                <w:tab w:val="left" w:pos="180"/>
                <w:tab w:val="left" w:pos="540"/>
                <w:tab w:val="left" w:pos="720"/>
                <w:tab w:val="left" w:pos="9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–максимальна систолічна швидкість кровотока</w:t>
            </w:r>
          </w:p>
        </w:tc>
      </w:tr>
    </w:tbl>
    <w:p w:rsidR="0021764E" w:rsidRPr="00C62D22" w:rsidRDefault="0021764E" w:rsidP="0021764E">
      <w:pPr>
        <w:spacing w:after="0"/>
        <w:rPr>
          <w:rFonts w:ascii="Times New Roman" w:hAnsi="Times New Roman" w:cs="Times New Roman"/>
          <w:sz w:val="28"/>
          <w:szCs w:val="28"/>
        </w:rPr>
      </w:pPr>
    </w:p>
    <w:p w:rsidR="0021764E" w:rsidRPr="00C62D22" w:rsidRDefault="0021764E" w:rsidP="0021764E">
      <w:pPr>
        <w:jc w:val="center"/>
        <w:rPr>
          <w:rFonts w:ascii="Times New Roman" w:hAnsi="Times New Roman" w:cs="Times New Roman"/>
          <w:sz w:val="28"/>
          <w:szCs w:val="28"/>
        </w:rPr>
      </w:pPr>
      <w:r w:rsidRPr="00C62D22">
        <w:rPr>
          <w:rFonts w:ascii="Times New Roman" w:hAnsi="Times New Roman" w:cs="Times New Roman"/>
          <w:sz w:val="28"/>
          <w:szCs w:val="28"/>
        </w:rPr>
        <w:br w:type="page"/>
      </w:r>
      <w:r w:rsidRPr="00C62D22">
        <w:rPr>
          <w:rFonts w:ascii="Times New Roman" w:hAnsi="Times New Roman" w:cs="Times New Roman"/>
          <w:b/>
          <w:bCs/>
          <w:smallCaps/>
          <w:sz w:val="28"/>
          <w:szCs w:val="28"/>
        </w:rPr>
        <w:lastRenderedPageBreak/>
        <w:t>ВСТУП</w:t>
      </w:r>
    </w:p>
    <w:p w:rsidR="0021764E" w:rsidRPr="00C62D22" w:rsidRDefault="0021764E" w:rsidP="0021764E">
      <w:pPr>
        <w:tabs>
          <w:tab w:val="left" w:pos="180"/>
          <w:tab w:val="left" w:pos="360"/>
          <w:tab w:val="left" w:pos="540"/>
          <w:tab w:val="left" w:pos="585"/>
          <w:tab w:val="left" w:pos="720"/>
          <w:tab w:val="left" w:pos="6840"/>
        </w:tabs>
        <w:spacing w:after="0" w:line="360" w:lineRule="auto"/>
        <w:ind w:firstLine="540"/>
        <w:jc w:val="center"/>
        <w:rPr>
          <w:rFonts w:ascii="Times New Roman" w:hAnsi="Times New Roman" w:cs="Times New Roman"/>
          <w:b/>
          <w:bCs/>
          <w:smallCaps/>
          <w:sz w:val="28"/>
          <w:szCs w:val="28"/>
        </w:rPr>
      </w:pPr>
    </w:p>
    <w:p w:rsidR="0021764E" w:rsidRPr="00C62D22" w:rsidRDefault="0021764E" w:rsidP="0021764E">
      <w:pPr>
        <w:tabs>
          <w:tab w:val="left" w:pos="180"/>
          <w:tab w:val="left" w:pos="360"/>
          <w:tab w:val="left" w:pos="540"/>
          <w:tab w:val="left" w:pos="585"/>
          <w:tab w:val="left" w:pos="720"/>
          <w:tab w:val="left" w:pos="6840"/>
        </w:tabs>
        <w:spacing w:after="0" w:line="360" w:lineRule="auto"/>
        <w:ind w:firstLine="540"/>
        <w:jc w:val="center"/>
        <w:rPr>
          <w:rFonts w:ascii="Times New Roman" w:hAnsi="Times New Roman" w:cs="Times New Roman"/>
          <w:b/>
          <w:bCs/>
          <w:smallCaps/>
          <w:sz w:val="28"/>
          <w:szCs w:val="28"/>
        </w:rPr>
      </w:pPr>
    </w:p>
    <w:p w:rsidR="0021764E" w:rsidRPr="00C62D22" w:rsidRDefault="0021764E" w:rsidP="0021764E">
      <w:pPr>
        <w:tabs>
          <w:tab w:val="left" w:pos="180"/>
          <w:tab w:val="left" w:pos="360"/>
          <w:tab w:val="left" w:pos="540"/>
          <w:tab w:val="left" w:pos="585"/>
          <w:tab w:val="left" w:pos="720"/>
          <w:tab w:val="left" w:pos="6840"/>
        </w:tabs>
        <w:spacing w:after="0" w:line="360" w:lineRule="auto"/>
        <w:ind w:firstLine="540"/>
        <w:jc w:val="center"/>
        <w:rPr>
          <w:rFonts w:ascii="Times New Roman" w:hAnsi="Times New Roman" w:cs="Times New Roman"/>
          <w:b/>
          <w:bCs/>
          <w:smallCaps/>
          <w:sz w:val="28"/>
          <w:szCs w:val="28"/>
        </w:rPr>
      </w:pPr>
    </w:p>
    <w:p w:rsidR="0021764E" w:rsidRPr="00C62D22" w:rsidRDefault="0021764E" w:rsidP="0021764E">
      <w:pPr>
        <w:pStyle w:val="a5"/>
        <w:spacing w:before="0" w:beforeAutospacing="0" w:after="0" w:afterAutospacing="0" w:line="360" w:lineRule="auto"/>
        <w:ind w:firstLine="540"/>
        <w:jc w:val="both"/>
        <w:rPr>
          <w:sz w:val="28"/>
          <w:szCs w:val="28"/>
          <w:lang w:val="uk-UA"/>
        </w:rPr>
      </w:pPr>
      <w:r w:rsidRPr="00C62D22">
        <w:rPr>
          <w:b/>
          <w:sz w:val="28"/>
          <w:szCs w:val="28"/>
          <w:lang w:val="uk-UA"/>
        </w:rPr>
        <w:t>Обґрунтування вибору теми дослідження</w:t>
      </w:r>
      <w:r w:rsidRPr="00C62D22">
        <w:rPr>
          <w:sz w:val="28"/>
          <w:szCs w:val="28"/>
          <w:lang w:val="uk-UA"/>
        </w:rPr>
        <w:t>. Згідно даних Всесвітньої організації охорони здоров'я в останні два десятиріччя спостерігається значне зростання кількості хворих на псевдокісти (ПК) підшлункової залози (ПЗ), яке безпосередньо залежить від збільшення захворюваності населення на гострий панкреатит (ГП) чи хронічний панкреатит (ХП). Так, наприклад, перебіг гострого деструктивного панкреатиту, за даними різних авторів, у 29 – 50% випадків ускладнюється утворенням ПК ПЗ [52, 86, 278, 403, 428]; травматичні ушкодження ПЗ [54, 393, 406, 418, 430] та прогресуючий перебіг ХП – у 84 – 98 % випадків [95, 284, 315, 323, 357].</w:t>
      </w:r>
    </w:p>
    <w:p w:rsidR="0021764E" w:rsidRPr="00C62D22" w:rsidRDefault="0021764E" w:rsidP="0021764E">
      <w:pPr>
        <w:pStyle w:val="a5"/>
        <w:spacing w:before="0" w:beforeAutospacing="0" w:after="0" w:afterAutospacing="0" w:line="360" w:lineRule="auto"/>
        <w:ind w:firstLine="540"/>
        <w:jc w:val="both"/>
        <w:rPr>
          <w:sz w:val="28"/>
          <w:szCs w:val="28"/>
          <w:lang w:val="uk-UA"/>
        </w:rPr>
      </w:pPr>
      <w:r w:rsidRPr="00C62D22">
        <w:rPr>
          <w:sz w:val="28"/>
          <w:szCs w:val="28"/>
          <w:lang w:val="uk-UA"/>
        </w:rPr>
        <w:t>Питання діагностики та лікування хворих на ПК ПЗ є важким та досі невирішеним. Традиційно в пацієнтів на ПК ПЗ застосовується вичікувальна тактика [394], саме в ці терміни виникають такі небезпечні для життя ускладнення, як: перфорація ПК ПЗ [306, 425, 426], кровотеча з арозивних судин у порожнину ПК [35, 72, 233, 274, 351, 359], у вільну черевну порожнину [1] та в просвіт ТК [262], перфорація та розрив ПК з розповсюдженим перитонітом [16, 32], нагноєння ПК [38, 108, 117, 172, 293], утворення зовнішніх та внутрішніх нориць [56, 190, 204, 286, 349], здавлювання загальної жовчної протоки (ЗЖП) та механічна жовтяниця (МЖ) [4, 60, 62, 244], непрохідність травного каналу (ТК) за рахунок компресії шлунка чи дванадцятипалої кишки (ДПК), збільшеною ПЗ [26, 160, 209, 231]. Загальна летальність при ПК ПЗ становить 14%, післяопераційна – 11%, а при таких ускладненнях, як: сепсис, кровотеча, перфорація в черевну порожнину вона сягає 40 – 60% [96, 163, 232, 424].</w:t>
      </w:r>
    </w:p>
    <w:p w:rsidR="0021764E" w:rsidRPr="00C62D22" w:rsidRDefault="0021764E" w:rsidP="0021764E">
      <w:pPr>
        <w:spacing w:after="0" w:line="360" w:lineRule="auto"/>
        <w:ind w:firstLine="709"/>
        <w:jc w:val="both"/>
        <w:rPr>
          <w:rFonts w:ascii="Times New Roman" w:hAnsi="Times New Roman" w:cs="Times New Roman"/>
          <w:sz w:val="28"/>
          <w:szCs w:val="28"/>
        </w:rPr>
      </w:pPr>
      <w:r w:rsidRPr="00C62D22">
        <w:rPr>
          <w:rStyle w:val="hps"/>
          <w:rFonts w:ascii="Times New Roman" w:hAnsi="Times New Roman" w:cs="Times New Roman"/>
          <w:sz w:val="28"/>
          <w:szCs w:val="28"/>
          <w:lang w:val="uk-UA"/>
        </w:rPr>
        <w:t xml:space="preserve">Пріоритетними напрямками сучасних досліджень у панкреатології є вивчення механізмів утрати функціонуючої тканини ПЗ та її заміщення сполучною тканиною </w:t>
      </w:r>
      <w:r w:rsidRPr="00C62D22">
        <w:rPr>
          <w:rFonts w:ascii="Times New Roman" w:hAnsi="Times New Roman" w:cs="Times New Roman"/>
          <w:sz w:val="28"/>
          <w:szCs w:val="28"/>
          <w:lang w:val="uk-UA"/>
        </w:rPr>
        <w:t>[89, 118, 305, 309, 432]</w:t>
      </w:r>
      <w:r w:rsidRPr="00C62D22">
        <w:rPr>
          <w:rStyle w:val="hps"/>
          <w:rFonts w:ascii="Times New Roman" w:hAnsi="Times New Roman" w:cs="Times New Roman"/>
          <w:sz w:val="28"/>
          <w:szCs w:val="28"/>
          <w:lang w:val="uk-UA"/>
        </w:rPr>
        <w:t xml:space="preserve">. У розвитку ушкодження ацинарних клітин ПЗ значна роль відводиться складним процесам міжклітинних взаємодій, що активуються під </w:t>
      </w:r>
      <w:r w:rsidRPr="00C62D22">
        <w:rPr>
          <w:rStyle w:val="hps"/>
          <w:rFonts w:ascii="Times New Roman" w:hAnsi="Times New Roman" w:cs="Times New Roman"/>
          <w:sz w:val="28"/>
          <w:szCs w:val="28"/>
          <w:lang w:val="uk-UA"/>
        </w:rPr>
        <w:lastRenderedPageBreak/>
        <w:t xml:space="preserve">впливом імунних та неімунних факторів [21, 22, 88, 214, 215]. Тобто, в основі розвитку фіброзних змін ПЗ при ХП, як наслідок дії динамічного каскаду цитокінів (ЦК), хемокінів, факторів росту та ін., лежать порушення балансу між процесами синтезу та розпаду протеїнів екстрацелюлярного матриксу (ЕЦМ) з його накопиченням та деградацією </w:t>
      </w:r>
      <w:r w:rsidRPr="00C62D22">
        <w:rPr>
          <w:rStyle w:val="hps"/>
          <w:rFonts w:ascii="Times New Roman" w:hAnsi="Times New Roman" w:cs="Times New Roman"/>
          <w:sz w:val="28"/>
          <w:szCs w:val="28"/>
        </w:rPr>
        <w:t>[99, 238, 263, 422, 423].</w:t>
      </w:r>
      <w:r w:rsidRPr="00C62D22">
        <w:rPr>
          <w:rFonts w:ascii="Times New Roman" w:hAnsi="Times New Roman" w:cs="Times New Roman"/>
          <w:sz w:val="28"/>
          <w:szCs w:val="28"/>
        </w:rPr>
        <w:t xml:space="preserve"> </w:t>
      </w:r>
    </w:p>
    <w:p w:rsidR="0021764E" w:rsidRPr="00C62D22" w:rsidRDefault="0021764E" w:rsidP="0021764E">
      <w:pPr>
        <w:pStyle w:val="a5"/>
        <w:spacing w:before="0" w:beforeAutospacing="0" w:after="0" w:afterAutospacing="0" w:line="360" w:lineRule="auto"/>
        <w:ind w:firstLine="540"/>
        <w:jc w:val="both"/>
        <w:rPr>
          <w:sz w:val="28"/>
          <w:szCs w:val="28"/>
          <w:lang w:val="uk-UA"/>
        </w:rPr>
      </w:pPr>
      <w:r w:rsidRPr="00C62D22">
        <w:rPr>
          <w:sz w:val="28"/>
          <w:szCs w:val="28"/>
          <w:lang w:val="uk-UA"/>
        </w:rPr>
        <w:t xml:space="preserve">У літературі особливе місце в розвитку низки патологічних запальних процесів відведено матриксним металопротеїназам (ММП) [380, 382, 404, 411, 420]. Вони відіграють центральну роль в обміні білків сполучної тканини здорових та ушкоджених органів, беручи участь у протеолітичній деградації різних компонентів позаклітинного матриксу, що здійснюють регулюючу та моделюючу функцію в ангіогенезі [55, 178, 234, 356, 398]. Ключовим моментом регуляції ангіогенезу є баланс ангіогенних та ангіостатичних факторів. </w:t>
      </w:r>
      <w:r w:rsidRPr="00C62D22">
        <w:rPr>
          <w:sz w:val="28"/>
          <w:szCs w:val="28"/>
          <w:lang w:val="uk-UA" w:bidi="he-IL"/>
        </w:rPr>
        <w:t xml:space="preserve">Синтез ММП стимулює фактори росту, гормони, ЦК, адгезивні молекули, компоненти позаклітинного матриксу та активні форми кисню [27, 34, 37, 82, 136, 154]. При підвищеній експресії висока активність ММП може призвести до вираженої запальної реакції [302, 338, 380, 381, 398]. Білки ММП експресуються у всіх тканинах на етапі онтогенезу, беруть участь у механізмах ангіогенезу та апоптозу. </w:t>
      </w:r>
      <w:r w:rsidRPr="00C62D22">
        <w:rPr>
          <w:sz w:val="28"/>
          <w:szCs w:val="28"/>
          <w:lang w:val="uk-UA"/>
        </w:rPr>
        <w:t xml:space="preserve">Найбільш розповсюдженими ендогенними антиангіогенними факторами є ангіостатин, ендостатин, арестин та тустатин. Найбільший інтерес представляє ангіостатин, 38-kDa внутрішній фрагмент профібринолізину, який може знижувати експресію </w:t>
      </w:r>
      <w:r w:rsidRPr="00C62D22">
        <w:rPr>
          <w:sz w:val="28"/>
          <w:szCs w:val="28"/>
          <w:lang w:val="en-US"/>
        </w:rPr>
        <w:t>vascular</w:t>
      </w:r>
      <w:r w:rsidRPr="00C62D22">
        <w:rPr>
          <w:sz w:val="28"/>
          <w:szCs w:val="28"/>
          <w:lang w:val="uk-UA"/>
        </w:rPr>
        <w:t xml:space="preserve"> </w:t>
      </w:r>
      <w:r w:rsidRPr="00C62D22">
        <w:rPr>
          <w:sz w:val="28"/>
          <w:szCs w:val="28"/>
          <w:lang w:val="en-US"/>
        </w:rPr>
        <w:t>endothelial</w:t>
      </w:r>
      <w:r w:rsidRPr="00C62D22">
        <w:rPr>
          <w:sz w:val="28"/>
          <w:szCs w:val="28"/>
          <w:lang w:val="uk-UA"/>
        </w:rPr>
        <w:t xml:space="preserve"> </w:t>
      </w:r>
      <w:r w:rsidRPr="00C62D22">
        <w:rPr>
          <w:sz w:val="28"/>
          <w:szCs w:val="28"/>
          <w:lang w:val="en-US"/>
        </w:rPr>
        <w:t>growing</w:t>
      </w:r>
      <w:r w:rsidRPr="00C62D22">
        <w:rPr>
          <w:sz w:val="28"/>
          <w:szCs w:val="28"/>
          <w:lang w:val="uk-UA"/>
        </w:rPr>
        <w:t xml:space="preserve"> </w:t>
      </w:r>
      <w:r w:rsidRPr="00C62D22">
        <w:rPr>
          <w:sz w:val="28"/>
          <w:szCs w:val="28"/>
          <w:lang w:val="en-US"/>
        </w:rPr>
        <w:t>factor</w:t>
      </w:r>
      <w:r w:rsidRPr="00C62D22">
        <w:rPr>
          <w:sz w:val="28"/>
          <w:szCs w:val="28"/>
          <w:lang w:val="uk-UA"/>
        </w:rPr>
        <w:t xml:space="preserve"> (VEGF), інгібувати фактор зросту фібробластів (FGF) та може індукувати апоптоз або зупинку мітотичного циклу ендотеліальних клітин та інгібувати їх міграцію [347, 379, 387]. Порушення балансу між ангіогенними агентами та інгібіторами ангіогенезу є основним механізмом хронізації процесу. Тому вивчення ролі різних ММП украй необхідне для визначення ступеня сформованості ПК, розвитку їх ускладнень та подальшої тактики хірургічного лікування.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В останні роки активно проводиться вивчення ендотеліальної дисфункції у хворих при ГП та ХП, та їх ускладненнях [259, 275, 375]. Ендотеліальна дисфункція є патологічним станом, що виникає на тлі порушення продукції ендотеліальних факторів та призводить до змін у функції органів і систем організму, які виникають </w:t>
      </w:r>
      <w:r w:rsidRPr="00C62D22">
        <w:rPr>
          <w:rFonts w:ascii="Times New Roman" w:hAnsi="Times New Roman" w:cs="Times New Roman"/>
          <w:sz w:val="28"/>
          <w:szCs w:val="28"/>
        </w:rPr>
        <w:lastRenderedPageBreak/>
        <w:t>на фоні дисбалансу між продукцією судинорозширюючих, ангіопротекторних, ангіопроліферативних факторів, з одного боку, і вмістом судинозвужуючих, протромботичних, проліферативних з іншого [307, 397]. Ендотелій бере участь у регуляції судинного тонусу, проникності судин, адгезії тромбоцитів і лейкоцитів, ангіогенезі, тромборезистентності, імунній відповіді, синтезі медіаторів запалення та їх інгібіторів, а також здійснює бар’єрні функції. Тому вивчення ролі ендотеліальної дисфункції в механізмі формування ПК при ГП та ХП украй необхідне для обґрунтування діагностичних та прогностичних критеріїв перебігу захворювання [214, 215].</w:t>
      </w:r>
    </w:p>
    <w:p w:rsidR="0021764E" w:rsidRPr="00C62D22" w:rsidRDefault="0021764E" w:rsidP="0021764E">
      <w:pPr>
        <w:pStyle w:val="a5"/>
        <w:spacing w:before="0" w:beforeAutospacing="0" w:after="0" w:afterAutospacing="0" w:line="360" w:lineRule="auto"/>
        <w:ind w:firstLine="540"/>
        <w:jc w:val="both"/>
        <w:rPr>
          <w:sz w:val="28"/>
          <w:szCs w:val="28"/>
          <w:lang w:val="uk-UA"/>
        </w:rPr>
      </w:pPr>
      <w:r w:rsidRPr="00C62D22">
        <w:rPr>
          <w:sz w:val="28"/>
          <w:szCs w:val="28"/>
          <w:lang w:val="uk-UA"/>
        </w:rPr>
        <w:t xml:space="preserve">Незважаючи на поширене впровадження в програму обстеження хворих із захворюваннями ПЗ високоінформативних методів дослідження, перед хірургами все ж постають питання у виявленні ускладнень ПК ПЗ, зокрема відсутність єдиного алгоритму доопераційної та інтраопераційної діагностики пацієнтів. Так, виявлення кістозного утворення ПЗ у більшості випадків є показанням до оперативного лікування хворого, яке залежить від його загального стану, локалізації ПК, терміну її існування, її розмірів та вмісту, зв’язку ПК із протокою ПЗ, наявності уражень суміжних із ПЗ органів [103, 165, 264, 304, 331]. </w:t>
      </w:r>
    </w:p>
    <w:p w:rsidR="0021764E" w:rsidRPr="00C62D22" w:rsidRDefault="0021764E" w:rsidP="0021764E">
      <w:pPr>
        <w:pStyle w:val="a5"/>
        <w:spacing w:before="0" w:beforeAutospacing="0" w:after="0" w:afterAutospacing="0" w:line="360" w:lineRule="auto"/>
        <w:ind w:firstLine="540"/>
        <w:jc w:val="both"/>
        <w:rPr>
          <w:sz w:val="28"/>
          <w:szCs w:val="28"/>
          <w:lang w:val="uk-UA"/>
        </w:rPr>
      </w:pPr>
      <w:r w:rsidRPr="00C62D22">
        <w:rPr>
          <w:sz w:val="28"/>
          <w:szCs w:val="28"/>
          <w:lang w:val="uk-UA"/>
        </w:rPr>
        <w:t xml:space="preserve">Однак, одночасне застосування великої кількості відомих додаткових методів діагностики подовжує процес обстеження пацієнта, що часом може призвести до розвитку таких ускладнень, як арозивна кровотеча в порожнину ПК [20, 168, 178, 191], її розрив [425, 426], нагноєння вмісту ПК [108, 117, 172, 293] тощо. Прогресуючий розвиток ускладнень ПК також залежить від недостовірної суб’єктивної оцінки результатів додаткових методів дослідження та несвоєчасним зверненням хворих за медичною допомогою. Тому, пошук єдиного алгоритму діагностики ускладнень ПК ПЗ, у якому б застосовували відомі лабораторні та інструментальні методи, у різних варіаціях, який би враховував індивідуальні особливості стану органів і систем кожного хворого окремо та займав короткий проміжок часу, є вкрай необхідним. </w:t>
      </w:r>
    </w:p>
    <w:p w:rsidR="0021764E" w:rsidRPr="00C62D22" w:rsidRDefault="0021764E" w:rsidP="0021764E">
      <w:pPr>
        <w:spacing w:after="0" w:line="360" w:lineRule="auto"/>
        <w:ind w:firstLine="540"/>
        <w:jc w:val="both"/>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Наявність різноманіття хірургічних операцій та широке впровадження в практику «мініінвазивних» втручань, створює дилему щодо вибору методу </w:t>
      </w:r>
      <w:r w:rsidRPr="00C62D22">
        <w:rPr>
          <w:rFonts w:ascii="Times New Roman" w:hAnsi="Times New Roman" w:cs="Times New Roman"/>
          <w:sz w:val="28"/>
          <w:szCs w:val="28"/>
          <w:lang w:val="uk-UA"/>
        </w:rPr>
        <w:lastRenderedPageBreak/>
        <w:t>оперативного лікування хворих з ускладненими ПК ПЗ [30, 31, 64, 76, 388]. До цього часу стандартом у лікуванні ускладнених ПК ПЗ є «відкрите» хірургічне втручання [197, 210, 261, 289, 297], що в більшості випадків передбачає виконання внутрішнього або зовнішнього дренування ПК. Слід зазначити, що при використанні «відкритих» методів лікування спостерігається низка важких післяопераційних ускладнень [211, 212, 269, 283], довготривале перебування хворих у стаціонарі та летальність у післяопераційний період, яка при операціях внутрішнього дренування становить 5 – 10% та при спробі радикального видалення ПК – 25 – 26% [14, 17, 327, 360]. При життєво небезпечних ускладненнях ПК таких, як: нагноєння з утворенням абсцесу або позаочеревної флегмони, прорив у черевну порожнину з розвитком перитоніту, крововиливи та арозивні кровотечі, дуоденальна та тонкокишкова непрохідність, біліарна обструкція та холангіт, летальність зростає утричі, сягаючи 80 – 100% [1, 60, 191, 317]. Тому лапаротомія залишається операцією вибору, але її використання не дозволяє покращити результати хірургічного лікування пацієнтів з ускладненими ПК ПЗ.</w:t>
      </w:r>
    </w:p>
    <w:p w:rsidR="0021764E" w:rsidRPr="00C62D22" w:rsidRDefault="0021764E" w:rsidP="0021764E">
      <w:pPr>
        <w:spacing w:after="0" w:line="360" w:lineRule="auto"/>
        <w:ind w:firstLine="540"/>
        <w:jc w:val="both"/>
        <w:rPr>
          <w:rFonts w:ascii="Times New Roman" w:hAnsi="Times New Roman" w:cs="Times New Roman"/>
          <w:sz w:val="28"/>
          <w:szCs w:val="28"/>
          <w:lang w:val="uk-UA"/>
        </w:rPr>
      </w:pPr>
      <w:r w:rsidRPr="00C62D22">
        <w:rPr>
          <w:rFonts w:ascii="Times New Roman" w:hAnsi="Times New Roman" w:cs="Times New Roman"/>
          <w:sz w:val="28"/>
          <w:szCs w:val="28"/>
          <w:lang w:val="uk-UA"/>
        </w:rPr>
        <w:t>У наш час усе більше хірургів віддають перевагу малотравматичним способам лікування ПК ПЗ: пункції та дренування під контролем ультразвукового дослідження (УЗД) [83, 156, 295, 424, 427], ендоскопічна цистогастростомія (ЦГС) або цистодуоденостомія (ЦДС) [218, 290, 291, 318, 390], лапароскопічні методи формування цистоентероанастомозів (ЦЕА) [58, 164, 368, 373, 376], ендоваскулярні втручання [1, 194, 201, 242], які збільшують вірогідність відкладання необхідного лапаротомного втручання та в деяких випадках є остаточними. Однак на сьогоднішній день не розроблені показання та протипоказання до виконання «мінінвазивних» методик, а, отже, немає сучасних алгоритмів щодо їх застосування при лікуванні хворих з різними ускладненнями ПК ПЗ. Також залишаються незадовільними й віддалені результати оперативного лікування цих пацієнтів у зв'язку великою кількістю рецидивів ускладнень, з прогресуванням хронічного панкреатиту, екзокринної та ендокринної недостатності ПЗ [17, 257, 265, 405, 415].</w:t>
      </w:r>
    </w:p>
    <w:p w:rsidR="0021764E" w:rsidRPr="00C62D22" w:rsidRDefault="0021764E" w:rsidP="0021764E">
      <w:pPr>
        <w:spacing w:after="0" w:line="360" w:lineRule="auto"/>
        <w:ind w:firstLine="540"/>
        <w:jc w:val="both"/>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Таким чином, сучасний стан проблеми діагностики та лікування ускладнених ПК ПЗ визначає актуальність і доцільність поглибленого вивчення всього </w:t>
      </w:r>
      <w:r w:rsidRPr="00C62D22">
        <w:rPr>
          <w:rFonts w:ascii="Times New Roman" w:hAnsi="Times New Roman" w:cs="Times New Roman"/>
          <w:sz w:val="28"/>
          <w:szCs w:val="28"/>
          <w:lang w:val="uk-UA"/>
        </w:rPr>
        <w:lastRenderedPageBreak/>
        <w:t>різноманіття ПК та їх ускладнень, з метою вірного та вчасного встановлення діагнозу на підставі застосування сучасних діагностичних засобів, створення діагностично</w:t>
      </w:r>
      <w:r w:rsidRPr="00C62D22">
        <w:rPr>
          <w:rFonts w:ascii="Times New Roman" w:hAnsi="Times New Roman" w:cs="Times New Roman"/>
          <w:color w:val="000000"/>
          <w:sz w:val="28"/>
          <w:szCs w:val="28"/>
          <w:lang w:val="uk-UA"/>
        </w:rPr>
        <w:t>-</w:t>
      </w:r>
      <w:r w:rsidRPr="00C62D22">
        <w:rPr>
          <w:rFonts w:ascii="Times New Roman" w:hAnsi="Times New Roman" w:cs="Times New Roman"/>
          <w:sz w:val="28"/>
          <w:szCs w:val="28"/>
          <w:lang w:val="uk-UA"/>
        </w:rPr>
        <w:t>лікувального алгоритму з максимальним застосуванням «мініінвазивних» та малотравматичних лікувальних методик, який би дозволив індивідуалізувати лікувальну програму та забезпечити хворого довготривалим лікувальним ефектом з мінімальним ризиком рецидиву захворювання та мінімальною операційною травмою.</w:t>
      </w:r>
    </w:p>
    <w:p w:rsidR="0021764E" w:rsidRPr="00C62D22" w:rsidRDefault="0021764E" w:rsidP="0021764E">
      <w:pPr>
        <w:widowControl w:val="0"/>
        <w:spacing w:after="0" w:line="360" w:lineRule="auto"/>
        <w:ind w:firstLine="540"/>
        <w:jc w:val="both"/>
        <w:rPr>
          <w:rFonts w:ascii="Times New Roman" w:hAnsi="Times New Roman" w:cs="Times New Roman"/>
          <w:b/>
          <w:sz w:val="28"/>
          <w:szCs w:val="28"/>
        </w:rPr>
      </w:pPr>
      <w:r w:rsidRPr="00C62D22">
        <w:rPr>
          <w:rFonts w:ascii="Times New Roman" w:hAnsi="Times New Roman" w:cs="Times New Roman"/>
          <w:b/>
          <w:sz w:val="28"/>
          <w:szCs w:val="28"/>
        </w:rPr>
        <w:t>Зв'язок роботи з науковими програмами, планами, темами.</w:t>
      </w:r>
    </w:p>
    <w:p w:rsidR="0021764E" w:rsidRPr="00C62D22" w:rsidRDefault="0021764E" w:rsidP="0021764E">
      <w:pPr>
        <w:widowControl w:val="0"/>
        <w:spacing w:after="0" w:line="360" w:lineRule="auto"/>
        <w:ind w:firstLine="540"/>
        <w:jc w:val="both"/>
        <w:rPr>
          <w:rFonts w:ascii="Times New Roman" w:hAnsi="Times New Roman" w:cs="Times New Roman"/>
          <w:b/>
          <w:spacing w:val="-2"/>
          <w:sz w:val="28"/>
          <w:szCs w:val="28"/>
        </w:rPr>
      </w:pPr>
      <w:r w:rsidRPr="00C62D22">
        <w:rPr>
          <w:rFonts w:ascii="Times New Roman" w:hAnsi="Times New Roman" w:cs="Times New Roman"/>
          <w:spacing w:val="-2"/>
          <w:sz w:val="28"/>
          <w:szCs w:val="28"/>
        </w:rPr>
        <w:t xml:space="preserve">Дисертаційна робота виконана відповідно до плану науково-дослідницьких робіт Харківського національного медичного університету </w:t>
      </w:r>
      <w:r w:rsidRPr="00C62D22">
        <w:rPr>
          <w:rFonts w:ascii="Times New Roman" w:hAnsi="Times New Roman" w:cs="Times New Roman"/>
          <w:sz w:val="28"/>
          <w:szCs w:val="28"/>
        </w:rPr>
        <w:t>№0113U002537 за темою: “Розробка сучасних методів хірургічного лікування і профілактики ускладнень захворювань і травм органів очеревини та її ускладнень, грудної клітки і черевної порожнини у хворих з високим операційним ризиком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b/>
          <w:sz w:val="28"/>
          <w:szCs w:val="28"/>
        </w:rPr>
        <w:t>Мета дослідження</w:t>
      </w:r>
      <w:r w:rsidRPr="00C62D22">
        <w:rPr>
          <w:rFonts w:ascii="Times New Roman" w:hAnsi="Times New Roman" w:cs="Times New Roman"/>
          <w:sz w:val="28"/>
          <w:szCs w:val="28"/>
        </w:rPr>
        <w:t xml:space="preserve"> – поліпшення результатів хірургічного лікування хворих з ускладненими ПК ПЗ, з урахуванням прогнозування й індивідуалізації хірургічної тактики, шляхом підвищення точності діагностики при використанні сучасних методів обстеження хворого, розробки та впровадження в клінічну практику диференційованого підходу до вибору методів оперативного лікування при різних видах ускладнень та стадії формування ПК ПЗ.</w:t>
      </w:r>
    </w:p>
    <w:p w:rsidR="0021764E" w:rsidRPr="00C62D22" w:rsidRDefault="0021764E" w:rsidP="0021764E">
      <w:pPr>
        <w:tabs>
          <w:tab w:val="left" w:pos="180"/>
          <w:tab w:val="left" w:pos="540"/>
          <w:tab w:val="left" w:pos="720"/>
        </w:tabs>
        <w:spacing w:after="0" w:line="360" w:lineRule="auto"/>
        <w:ind w:firstLine="540"/>
        <w:jc w:val="both"/>
        <w:outlineLvl w:val="0"/>
        <w:rPr>
          <w:rFonts w:ascii="Times New Roman" w:hAnsi="Times New Roman" w:cs="Times New Roman"/>
          <w:b/>
          <w:sz w:val="28"/>
          <w:szCs w:val="28"/>
        </w:rPr>
      </w:pPr>
      <w:r w:rsidRPr="00C62D22">
        <w:rPr>
          <w:rFonts w:ascii="Times New Roman" w:hAnsi="Times New Roman" w:cs="Times New Roman"/>
          <w:b/>
          <w:sz w:val="28"/>
          <w:szCs w:val="28"/>
        </w:rPr>
        <w:t>Завдання дослідження</w:t>
      </w:r>
    </w:p>
    <w:p w:rsidR="0021764E" w:rsidRPr="00C62D22" w:rsidRDefault="0021764E" w:rsidP="0021764E">
      <w:pPr>
        <w:numPr>
          <w:ilvl w:val="0"/>
          <w:numId w:val="2"/>
        </w:numPr>
        <w:tabs>
          <w:tab w:val="clear" w:pos="735"/>
          <w:tab w:val="num" w:pos="180"/>
          <w:tab w:val="left" w:pos="540"/>
        </w:tabs>
        <w:spacing w:after="0" w:line="360" w:lineRule="auto"/>
        <w:ind w:left="0" w:firstLine="180"/>
        <w:jc w:val="both"/>
        <w:rPr>
          <w:rFonts w:ascii="Times New Roman" w:hAnsi="Times New Roman" w:cs="Times New Roman"/>
          <w:sz w:val="28"/>
          <w:szCs w:val="28"/>
        </w:rPr>
      </w:pPr>
      <w:r w:rsidRPr="00C62D22">
        <w:rPr>
          <w:rFonts w:ascii="Times New Roman" w:hAnsi="Times New Roman" w:cs="Times New Roman"/>
          <w:sz w:val="28"/>
          <w:szCs w:val="28"/>
        </w:rPr>
        <w:t>На тлі ретро- й проспективного аналізу вивчити комплекс клініко-лабораторних показників та інструментальних даних для визначення їх діагн</w:t>
      </w:r>
      <w:r w:rsidRPr="00C62D22">
        <w:rPr>
          <w:rFonts w:ascii="Times New Roman" w:hAnsi="Times New Roman" w:cs="Times New Roman"/>
          <w:sz w:val="28"/>
          <w:szCs w:val="28"/>
        </w:rPr>
        <w:t>о</w:t>
      </w:r>
      <w:r w:rsidRPr="00C62D22">
        <w:rPr>
          <w:rFonts w:ascii="Times New Roman" w:hAnsi="Times New Roman" w:cs="Times New Roman"/>
          <w:sz w:val="28"/>
          <w:szCs w:val="28"/>
        </w:rPr>
        <w:t>стичної значущості, а також особливостей клінічного перебігу ускладнених ПК ПЗ із урахува</w:t>
      </w:r>
      <w:r w:rsidRPr="00C62D22">
        <w:rPr>
          <w:rFonts w:ascii="Times New Roman" w:hAnsi="Times New Roman" w:cs="Times New Roman"/>
          <w:sz w:val="28"/>
          <w:szCs w:val="28"/>
        </w:rPr>
        <w:t>н</w:t>
      </w:r>
      <w:r w:rsidRPr="00C62D22">
        <w:rPr>
          <w:rFonts w:ascii="Times New Roman" w:hAnsi="Times New Roman" w:cs="Times New Roman"/>
          <w:sz w:val="28"/>
          <w:szCs w:val="28"/>
        </w:rPr>
        <w:t>ням їх типів.</w:t>
      </w:r>
    </w:p>
    <w:p w:rsidR="0021764E" w:rsidRPr="00C62D22" w:rsidRDefault="0021764E" w:rsidP="0021764E">
      <w:pPr>
        <w:numPr>
          <w:ilvl w:val="0"/>
          <w:numId w:val="2"/>
        </w:numPr>
        <w:tabs>
          <w:tab w:val="clear" w:pos="735"/>
          <w:tab w:val="num" w:pos="180"/>
          <w:tab w:val="left" w:pos="540"/>
        </w:tabs>
        <w:spacing w:after="0" w:line="360" w:lineRule="auto"/>
        <w:ind w:left="0" w:firstLine="180"/>
        <w:jc w:val="both"/>
        <w:rPr>
          <w:rFonts w:ascii="Times New Roman" w:hAnsi="Times New Roman" w:cs="Times New Roman"/>
          <w:sz w:val="28"/>
          <w:szCs w:val="28"/>
        </w:rPr>
      </w:pPr>
      <w:r w:rsidRPr="00C62D22">
        <w:rPr>
          <w:rFonts w:ascii="Times New Roman" w:hAnsi="Times New Roman" w:cs="Times New Roman"/>
          <w:sz w:val="28"/>
          <w:szCs w:val="28"/>
        </w:rPr>
        <w:t xml:space="preserve">Вивчити зміни деяких </w:t>
      </w:r>
      <w:r w:rsidRPr="00C62D22">
        <w:rPr>
          <w:rStyle w:val="hps"/>
          <w:rFonts w:ascii="Times New Roman" w:hAnsi="Times New Roman" w:cs="Times New Roman"/>
          <w:sz w:val="28"/>
          <w:szCs w:val="28"/>
        </w:rPr>
        <w:t xml:space="preserve">профіброгенних медіаторів, маркерів ендотеліальної дисфункції та гомеостазу у хворих з різними типами ускладнених ПК ПЗ </w:t>
      </w:r>
      <w:r w:rsidRPr="00C62D22">
        <w:rPr>
          <w:rFonts w:ascii="Times New Roman" w:hAnsi="Times New Roman" w:cs="Times New Roman"/>
          <w:sz w:val="28"/>
          <w:szCs w:val="28"/>
        </w:rPr>
        <w:t>у сироватці крові.</w:t>
      </w:r>
    </w:p>
    <w:p w:rsidR="0021764E" w:rsidRPr="00C62D22" w:rsidRDefault="0021764E" w:rsidP="0021764E">
      <w:pPr>
        <w:numPr>
          <w:ilvl w:val="0"/>
          <w:numId w:val="2"/>
        </w:numPr>
        <w:tabs>
          <w:tab w:val="clear" w:pos="735"/>
          <w:tab w:val="num" w:pos="180"/>
          <w:tab w:val="left" w:pos="540"/>
        </w:tabs>
        <w:spacing w:after="0" w:line="360" w:lineRule="auto"/>
        <w:ind w:left="0" w:firstLine="180"/>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Визначити патоморфологічні та імуногістохімічні зміни в стінці різних типів ПК та в паренхімі ПЗ</w:t>
      </w:r>
      <w:r w:rsidRPr="00C62D22">
        <w:rPr>
          <w:rFonts w:ascii="Times New Roman" w:hAnsi="Times New Roman" w:cs="Times New Roman"/>
          <w:sz w:val="28"/>
          <w:szCs w:val="28"/>
        </w:rPr>
        <w:t xml:space="preserve"> з метою прогнозування перебігу патологічного процесу</w:t>
      </w:r>
      <w:r w:rsidRPr="00C62D22">
        <w:rPr>
          <w:rStyle w:val="hps"/>
          <w:rFonts w:ascii="Times New Roman" w:hAnsi="Times New Roman" w:cs="Times New Roman"/>
          <w:sz w:val="28"/>
          <w:szCs w:val="28"/>
        </w:rPr>
        <w:t>.</w:t>
      </w:r>
    </w:p>
    <w:p w:rsidR="0021764E" w:rsidRPr="00C62D22" w:rsidRDefault="0021764E" w:rsidP="0021764E">
      <w:pPr>
        <w:numPr>
          <w:ilvl w:val="0"/>
          <w:numId w:val="2"/>
        </w:numPr>
        <w:tabs>
          <w:tab w:val="clear" w:pos="735"/>
          <w:tab w:val="num" w:pos="180"/>
          <w:tab w:val="left" w:pos="540"/>
        </w:tabs>
        <w:spacing w:after="0" w:line="360" w:lineRule="auto"/>
        <w:ind w:left="0" w:firstLine="180"/>
        <w:jc w:val="both"/>
        <w:rPr>
          <w:rFonts w:ascii="Times New Roman" w:hAnsi="Times New Roman" w:cs="Times New Roman"/>
          <w:sz w:val="28"/>
          <w:szCs w:val="28"/>
        </w:rPr>
      </w:pPr>
      <w:r w:rsidRPr="00C62D22">
        <w:rPr>
          <w:rStyle w:val="ab"/>
          <w:rFonts w:ascii="Times New Roman" w:hAnsi="Times New Roman" w:cs="Times New Roman"/>
          <w:b w:val="0"/>
          <w:sz w:val="28"/>
          <w:szCs w:val="28"/>
        </w:rPr>
        <w:lastRenderedPageBreak/>
        <w:t xml:space="preserve">Вивчити стан печінкового й спланхнічного кровотока у хворих з різними типами ускладнених ПК ПЗ. </w:t>
      </w:r>
    </w:p>
    <w:p w:rsidR="0021764E" w:rsidRPr="00C62D22" w:rsidRDefault="0021764E" w:rsidP="0021764E">
      <w:pPr>
        <w:numPr>
          <w:ilvl w:val="0"/>
          <w:numId w:val="2"/>
        </w:numPr>
        <w:tabs>
          <w:tab w:val="clear" w:pos="735"/>
          <w:tab w:val="num" w:pos="180"/>
          <w:tab w:val="left" w:pos="540"/>
        </w:tabs>
        <w:spacing w:after="0" w:line="360" w:lineRule="auto"/>
        <w:ind w:left="0" w:firstLine="180"/>
        <w:jc w:val="both"/>
        <w:rPr>
          <w:rFonts w:ascii="Times New Roman" w:hAnsi="Times New Roman" w:cs="Times New Roman"/>
          <w:sz w:val="28"/>
          <w:szCs w:val="28"/>
        </w:rPr>
      </w:pPr>
      <w:r w:rsidRPr="00C62D22">
        <w:rPr>
          <w:rFonts w:ascii="Times New Roman" w:hAnsi="Times New Roman" w:cs="Times New Roman"/>
          <w:sz w:val="28"/>
          <w:szCs w:val="28"/>
        </w:rPr>
        <w:t>Розробити діагностично-лікувальний алгоритм  залежно від типу ПК ПЗ, виду ускладнення та важкості патологічного процесу в ПЗ та стану хворого.</w:t>
      </w:r>
    </w:p>
    <w:p w:rsidR="0021764E" w:rsidRPr="00C62D22" w:rsidRDefault="0021764E" w:rsidP="0021764E">
      <w:pPr>
        <w:numPr>
          <w:ilvl w:val="0"/>
          <w:numId w:val="2"/>
        </w:numPr>
        <w:tabs>
          <w:tab w:val="clear" w:pos="735"/>
          <w:tab w:val="num" w:pos="180"/>
          <w:tab w:val="left" w:pos="540"/>
        </w:tabs>
        <w:spacing w:after="0" w:line="360" w:lineRule="auto"/>
        <w:ind w:left="0" w:firstLine="180"/>
        <w:jc w:val="both"/>
        <w:rPr>
          <w:rFonts w:ascii="Times New Roman" w:hAnsi="Times New Roman" w:cs="Times New Roman"/>
          <w:sz w:val="28"/>
          <w:szCs w:val="28"/>
        </w:rPr>
      </w:pPr>
      <w:r w:rsidRPr="00C62D22">
        <w:rPr>
          <w:rFonts w:ascii="Times New Roman" w:hAnsi="Times New Roman" w:cs="Times New Roman"/>
          <w:sz w:val="28"/>
          <w:szCs w:val="28"/>
        </w:rPr>
        <w:t>Вивчити можливості застосування мінінвазивних оперативних втручань як інвазивного методу диференційної діагностики та лікувальної маніпуляції при різних типах, ускладнених ПК ПЗ.</w:t>
      </w:r>
    </w:p>
    <w:p w:rsidR="0021764E" w:rsidRPr="00C62D22" w:rsidRDefault="0021764E" w:rsidP="0021764E">
      <w:pPr>
        <w:numPr>
          <w:ilvl w:val="0"/>
          <w:numId w:val="2"/>
        </w:numPr>
        <w:tabs>
          <w:tab w:val="clear" w:pos="735"/>
          <w:tab w:val="num" w:pos="180"/>
          <w:tab w:val="left" w:pos="540"/>
        </w:tabs>
        <w:spacing w:after="0" w:line="360" w:lineRule="auto"/>
        <w:ind w:left="0" w:firstLine="180"/>
        <w:jc w:val="both"/>
        <w:rPr>
          <w:rFonts w:ascii="Times New Roman" w:hAnsi="Times New Roman" w:cs="Times New Roman"/>
          <w:sz w:val="28"/>
          <w:szCs w:val="28"/>
        </w:rPr>
      </w:pPr>
      <w:r w:rsidRPr="00C62D22">
        <w:rPr>
          <w:rFonts w:ascii="Times New Roman" w:hAnsi="Times New Roman" w:cs="Times New Roman"/>
          <w:sz w:val="28"/>
          <w:szCs w:val="28"/>
        </w:rPr>
        <w:t xml:space="preserve">Визначити місце лапаротомних втручань при різних типах ускладнених ПК ПЗ. </w:t>
      </w:r>
    </w:p>
    <w:p w:rsidR="0021764E" w:rsidRPr="00C62D22" w:rsidRDefault="0021764E" w:rsidP="0021764E">
      <w:pPr>
        <w:numPr>
          <w:ilvl w:val="0"/>
          <w:numId w:val="2"/>
        </w:numPr>
        <w:tabs>
          <w:tab w:val="clear" w:pos="735"/>
          <w:tab w:val="num" w:pos="180"/>
          <w:tab w:val="left" w:pos="540"/>
        </w:tabs>
        <w:spacing w:after="0" w:line="360" w:lineRule="auto"/>
        <w:ind w:left="0" w:firstLine="180"/>
        <w:jc w:val="both"/>
        <w:rPr>
          <w:rFonts w:ascii="Times New Roman" w:hAnsi="Times New Roman" w:cs="Times New Roman"/>
          <w:sz w:val="28"/>
          <w:szCs w:val="28"/>
        </w:rPr>
      </w:pPr>
      <w:r w:rsidRPr="00C62D22">
        <w:rPr>
          <w:rFonts w:ascii="Times New Roman" w:hAnsi="Times New Roman" w:cs="Times New Roman"/>
          <w:sz w:val="28"/>
          <w:szCs w:val="28"/>
        </w:rPr>
        <w:t>Визначити місце рентгенендоваскулярних оклюзій судин при кровотечах у порожнину ПК ПЗ.</w:t>
      </w:r>
    </w:p>
    <w:p w:rsidR="0021764E" w:rsidRPr="00C62D22" w:rsidRDefault="0021764E" w:rsidP="0021764E">
      <w:pPr>
        <w:numPr>
          <w:ilvl w:val="0"/>
          <w:numId w:val="2"/>
        </w:numPr>
        <w:tabs>
          <w:tab w:val="clear" w:pos="735"/>
          <w:tab w:val="num" w:pos="180"/>
          <w:tab w:val="left" w:pos="720"/>
        </w:tabs>
        <w:spacing w:after="0" w:line="360" w:lineRule="auto"/>
        <w:ind w:left="0" w:firstLine="180"/>
        <w:jc w:val="both"/>
        <w:rPr>
          <w:rFonts w:ascii="Times New Roman" w:hAnsi="Times New Roman" w:cs="Times New Roman"/>
          <w:sz w:val="28"/>
          <w:szCs w:val="28"/>
        </w:rPr>
      </w:pPr>
      <w:r w:rsidRPr="00C62D22">
        <w:rPr>
          <w:rFonts w:ascii="Times New Roman" w:hAnsi="Times New Roman" w:cs="Times New Roman"/>
          <w:sz w:val="28"/>
          <w:szCs w:val="28"/>
        </w:rPr>
        <w:t>Удосконалити та розробити методики оперативних втручань у хворих з ускладненими ПК ПЗ із урахуванням особливостей їх клінічного перебігу та прогнозуванням розвитку ускладнень.</w:t>
      </w:r>
    </w:p>
    <w:p w:rsidR="0021764E" w:rsidRPr="00C62D22" w:rsidRDefault="0021764E" w:rsidP="0021764E">
      <w:pPr>
        <w:numPr>
          <w:ilvl w:val="0"/>
          <w:numId w:val="2"/>
        </w:numPr>
        <w:tabs>
          <w:tab w:val="clear" w:pos="735"/>
          <w:tab w:val="num" w:pos="180"/>
          <w:tab w:val="left" w:pos="720"/>
        </w:tabs>
        <w:spacing w:after="0" w:line="360" w:lineRule="auto"/>
        <w:ind w:left="0" w:firstLine="180"/>
        <w:jc w:val="both"/>
        <w:rPr>
          <w:rFonts w:ascii="Times New Roman" w:hAnsi="Times New Roman" w:cs="Times New Roman"/>
          <w:sz w:val="28"/>
          <w:szCs w:val="28"/>
        </w:rPr>
      </w:pPr>
      <w:r w:rsidRPr="00C62D22">
        <w:rPr>
          <w:rFonts w:ascii="Times New Roman" w:hAnsi="Times New Roman" w:cs="Times New Roman"/>
          <w:sz w:val="28"/>
          <w:szCs w:val="28"/>
        </w:rPr>
        <w:t xml:space="preserve"> Провести оцінювання безпосередніх та віддалених результатів хірургічного лікування хворих з ускладненими ПК ПЗ залежно від виду ускладнення та тактики лікування.</w:t>
      </w:r>
    </w:p>
    <w:p w:rsidR="0021764E" w:rsidRPr="00C62D22" w:rsidRDefault="0021764E" w:rsidP="0021764E">
      <w:pPr>
        <w:tabs>
          <w:tab w:val="left" w:pos="720"/>
        </w:tabs>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ab/>
      </w:r>
      <w:r w:rsidRPr="00C62D22">
        <w:rPr>
          <w:rFonts w:ascii="Times New Roman" w:hAnsi="Times New Roman" w:cs="Times New Roman"/>
          <w:b/>
          <w:sz w:val="28"/>
          <w:szCs w:val="28"/>
        </w:rPr>
        <w:t xml:space="preserve">Об'єкт дослідження: </w:t>
      </w:r>
      <w:r w:rsidRPr="00C62D22">
        <w:rPr>
          <w:rFonts w:ascii="Times New Roman" w:hAnsi="Times New Roman" w:cs="Times New Roman"/>
          <w:sz w:val="28"/>
          <w:szCs w:val="28"/>
        </w:rPr>
        <w:t xml:space="preserve">різні типи ускладнених ПК ПК за класифікацією </w:t>
      </w:r>
      <w:r w:rsidRPr="00C62D22">
        <w:rPr>
          <w:rFonts w:ascii="Times New Roman" w:hAnsi="Times New Roman" w:cs="Times New Roman"/>
          <w:color w:val="000000"/>
          <w:sz w:val="28"/>
          <w:szCs w:val="28"/>
        </w:rPr>
        <w:t>D'Egidio A. та</w:t>
      </w:r>
      <w:r w:rsidRPr="00C62D22">
        <w:rPr>
          <w:rFonts w:ascii="Times New Roman" w:hAnsi="Times New Roman" w:cs="Times New Roman"/>
          <w:smallCaps/>
          <w:color w:val="000000"/>
          <w:sz w:val="28"/>
          <w:szCs w:val="28"/>
        </w:rPr>
        <w:t xml:space="preserve"> </w:t>
      </w:r>
      <w:r w:rsidRPr="00C62D22">
        <w:rPr>
          <w:rFonts w:ascii="Times New Roman" w:hAnsi="Times New Roman" w:cs="Times New Roman"/>
          <w:color w:val="000000"/>
          <w:sz w:val="28"/>
          <w:szCs w:val="28"/>
        </w:rPr>
        <w:t>Schein M. (1991 р.).</w:t>
      </w:r>
    </w:p>
    <w:p w:rsidR="0021764E" w:rsidRPr="00C62D22" w:rsidRDefault="0021764E" w:rsidP="0021764E">
      <w:pPr>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b/>
          <w:color w:val="000000"/>
          <w:sz w:val="28"/>
          <w:szCs w:val="28"/>
        </w:rPr>
        <w:t>Предмет дослідження:</w:t>
      </w:r>
      <w:r w:rsidRPr="00C62D22">
        <w:rPr>
          <w:rFonts w:ascii="Times New Roman" w:hAnsi="Times New Roman" w:cs="Times New Roman"/>
          <w:color w:val="000000"/>
          <w:sz w:val="28"/>
          <w:szCs w:val="28"/>
        </w:rPr>
        <w:t xml:space="preserve"> діагностична цінність клініко-лабораторних та інструментальних методів; характер та інтенсивність розвитку ускладнень; показники змін </w:t>
      </w:r>
      <w:r w:rsidRPr="00C62D22">
        <w:rPr>
          <w:rStyle w:val="hps"/>
          <w:rFonts w:ascii="Times New Roman" w:hAnsi="Times New Roman" w:cs="Times New Roman"/>
          <w:sz w:val="28"/>
          <w:szCs w:val="28"/>
        </w:rPr>
        <w:t xml:space="preserve">профіброгенних медіаторів, маркерів ендотеліальної дисфункції та гомеостазу у хворих; </w:t>
      </w:r>
      <w:r w:rsidRPr="00C62D22">
        <w:rPr>
          <w:rFonts w:ascii="Times New Roman" w:hAnsi="Times New Roman" w:cs="Times New Roman"/>
          <w:color w:val="000000"/>
          <w:sz w:val="28"/>
          <w:szCs w:val="28"/>
        </w:rPr>
        <w:t>показа</w:t>
      </w:r>
      <w:r w:rsidRPr="00C62D22">
        <w:rPr>
          <w:rFonts w:ascii="Times New Roman" w:hAnsi="Times New Roman" w:cs="Times New Roman"/>
          <w:color w:val="000000"/>
          <w:sz w:val="28"/>
          <w:szCs w:val="28"/>
        </w:rPr>
        <w:t>н</w:t>
      </w:r>
      <w:r w:rsidRPr="00C62D22">
        <w:rPr>
          <w:rFonts w:ascii="Times New Roman" w:hAnsi="Times New Roman" w:cs="Times New Roman"/>
          <w:color w:val="000000"/>
          <w:sz w:val="28"/>
          <w:szCs w:val="28"/>
        </w:rPr>
        <w:t>ня та диференційований вибір хірургічних втручань; якість життя хворих, оп</w:t>
      </w:r>
      <w:r w:rsidRPr="00C62D22">
        <w:rPr>
          <w:rFonts w:ascii="Times New Roman" w:hAnsi="Times New Roman" w:cs="Times New Roman"/>
          <w:color w:val="000000"/>
          <w:sz w:val="28"/>
          <w:szCs w:val="28"/>
        </w:rPr>
        <w:t>е</w:t>
      </w:r>
      <w:r w:rsidRPr="00C62D22">
        <w:rPr>
          <w:rFonts w:ascii="Times New Roman" w:hAnsi="Times New Roman" w:cs="Times New Roman"/>
          <w:color w:val="000000"/>
          <w:sz w:val="28"/>
          <w:szCs w:val="28"/>
        </w:rPr>
        <w:t xml:space="preserve">рованих із приводу ПК ПЗ.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b/>
          <w:sz w:val="28"/>
          <w:szCs w:val="28"/>
        </w:rPr>
        <w:t>Методи дослідження:</w:t>
      </w:r>
      <w:r w:rsidRPr="00C62D22">
        <w:rPr>
          <w:rFonts w:ascii="Times New Roman" w:hAnsi="Times New Roman" w:cs="Times New Roman"/>
          <w:sz w:val="28"/>
          <w:szCs w:val="28"/>
        </w:rPr>
        <w:t xml:space="preserve"> клінічні (клінічний аналіз крові, сечі), біохімічні (визначення рівня загального білка, аланінамінотрансферази (АлАт), аспартатамінотрансферази (АсАт), α-амілази, загального білірубіну та його фракцій, іонного вмісту крові, сечовини, креатиніну, глюкози сироватки крові), імунологічні (рівень </w:t>
      </w:r>
      <w:r w:rsidRPr="00C62D22">
        <w:rPr>
          <w:rFonts w:ascii="Times New Roman" w:eastAsia="MyriadPro-Bold" w:hAnsi="Times New Roman" w:cs="Times New Roman"/>
          <w:bCs/>
          <w:sz w:val="28"/>
          <w:szCs w:val="28"/>
        </w:rPr>
        <w:t xml:space="preserve">VEGF, ММП-9, тканинного інгібітора ТІМП-2, інтерлейкінів: </w:t>
      </w:r>
      <w:r w:rsidRPr="00C62D22">
        <w:rPr>
          <w:rFonts w:ascii="Times New Roman" w:hAnsi="Times New Roman" w:cs="Times New Roman"/>
          <w:sz w:val="28"/>
          <w:szCs w:val="28"/>
        </w:rPr>
        <w:t xml:space="preserve">ІL–6, ІL–8, ІL–10, ІL–18, рівень </w:t>
      </w:r>
      <w:r w:rsidRPr="00C62D22">
        <w:rPr>
          <w:rStyle w:val="hps"/>
          <w:rFonts w:ascii="Times New Roman" w:hAnsi="Times New Roman" w:cs="Times New Roman"/>
          <w:sz w:val="28"/>
          <w:szCs w:val="28"/>
        </w:rPr>
        <w:t xml:space="preserve">трансформуючого фактору росту </w:t>
      </w:r>
      <w:r w:rsidRPr="00C62D22">
        <w:rPr>
          <w:rFonts w:ascii="Times New Roman" w:hAnsi="Times New Roman" w:cs="Times New Roman"/>
          <w:sz w:val="28"/>
          <w:szCs w:val="28"/>
        </w:rPr>
        <w:t>TGF–β1</w:t>
      </w:r>
      <w:r w:rsidRPr="00C62D22">
        <w:rPr>
          <w:rFonts w:ascii="Times New Roman" w:eastAsia="MyriadPro-Bold" w:hAnsi="Times New Roman" w:cs="Times New Roman"/>
          <w:bCs/>
          <w:sz w:val="28"/>
          <w:szCs w:val="28"/>
        </w:rPr>
        <w:t xml:space="preserve">), показників оксидативного стресу: глутатіонпероксидази (ГПО-1) та малонового діальдегіду </w:t>
      </w:r>
      <w:r w:rsidRPr="00C62D22">
        <w:rPr>
          <w:rFonts w:ascii="Times New Roman" w:eastAsia="MyriadPro-Bold" w:hAnsi="Times New Roman" w:cs="Times New Roman"/>
          <w:bCs/>
          <w:sz w:val="28"/>
          <w:szCs w:val="28"/>
        </w:rPr>
        <w:lastRenderedPageBreak/>
        <w:t>(МДА) у сироватці крові</w:t>
      </w:r>
      <w:r w:rsidRPr="00C62D22">
        <w:rPr>
          <w:rFonts w:ascii="Times New Roman" w:hAnsi="Times New Roman" w:cs="Times New Roman"/>
          <w:sz w:val="28"/>
          <w:szCs w:val="28"/>
        </w:rPr>
        <w:t xml:space="preserve">, інструментальні методи: УЗД і кольорове допплерографічне картирування кровотока, фіброгастроезофагодуоденоскопію (ФЕГДС), мультидетекторну спіральну комп’ютерну томографію (МСКТ) з контрастним посиленням, ангіографію, ультрасонографію, магнітно-резонансну томографію (МРТ), ендоскопічну ретроградну холангіопанкреатографію (ЕРХПГ), морфологічні методи дослідження (цитологічні, гістологічні, гістохімічні та імуногістохімічні (визначення колагену І, ІІІ, ІV типів, ендотеліну-1; імунних клітин СD3, СD20, СD18, СD16 у стінках ПК та прилеглій паренхімі; </w:t>
      </w:r>
      <w:r w:rsidRPr="00C62D22">
        <w:rPr>
          <w:rFonts w:ascii="Times New Roman" w:hAnsi="Times New Roman" w:cs="Times New Roman"/>
          <w:bCs/>
          <w:sz w:val="28"/>
          <w:szCs w:val="28"/>
        </w:rPr>
        <w:t xml:space="preserve">кількість клітин, що експресують рецептори до </w:t>
      </w:r>
      <w:r w:rsidRPr="00C62D22">
        <w:rPr>
          <w:rFonts w:ascii="Times New Roman" w:hAnsi="Times New Roman" w:cs="Times New Roman"/>
          <w:sz w:val="28"/>
          <w:szCs w:val="28"/>
          <w:lang w:val="en-US"/>
        </w:rPr>
        <w:t>human</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leucocyte</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antigen</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DR</w:t>
      </w:r>
      <w:r w:rsidRPr="00C62D22">
        <w:rPr>
          <w:rFonts w:ascii="Times New Roman" w:hAnsi="Times New Roman" w:cs="Times New Roman"/>
          <w:sz w:val="28"/>
          <w:szCs w:val="28"/>
        </w:rPr>
        <w:t>-сублокусу</w:t>
      </w:r>
      <w:r w:rsidRPr="00C62D22">
        <w:rPr>
          <w:rFonts w:ascii="Times New Roman" w:hAnsi="Times New Roman" w:cs="Times New Roman"/>
          <w:bCs/>
          <w:sz w:val="28"/>
          <w:szCs w:val="28"/>
        </w:rPr>
        <w:t xml:space="preserve"> (HLА-DR)-антигену в паренхімі ПЗ</w:t>
      </w:r>
      <w:r w:rsidRPr="00C62D22">
        <w:rPr>
          <w:rFonts w:ascii="Times New Roman" w:hAnsi="Times New Roman" w:cs="Times New Roman"/>
          <w:sz w:val="28"/>
          <w:szCs w:val="28"/>
        </w:rPr>
        <w:t>). Статистичний аналіз одержаних результатів з використанням методів параметричної та непараметричної статистики.</w:t>
      </w:r>
    </w:p>
    <w:p w:rsidR="0021764E" w:rsidRPr="00C62D22" w:rsidRDefault="0021764E" w:rsidP="0021764E">
      <w:pPr>
        <w:spacing w:after="0" w:line="360" w:lineRule="auto"/>
        <w:ind w:firstLine="539"/>
        <w:jc w:val="both"/>
        <w:rPr>
          <w:rFonts w:ascii="Times New Roman" w:hAnsi="Times New Roman" w:cs="Times New Roman"/>
          <w:sz w:val="28"/>
          <w:szCs w:val="28"/>
        </w:rPr>
      </w:pPr>
      <w:r w:rsidRPr="00C62D22">
        <w:rPr>
          <w:rFonts w:ascii="Times New Roman" w:hAnsi="Times New Roman" w:cs="Times New Roman"/>
          <w:b/>
          <w:sz w:val="28"/>
          <w:szCs w:val="28"/>
        </w:rPr>
        <w:t xml:space="preserve">Наукова новизна отриманих результатів. </w:t>
      </w:r>
      <w:r w:rsidRPr="00C62D22">
        <w:rPr>
          <w:rFonts w:ascii="Times New Roman" w:hAnsi="Times New Roman" w:cs="Times New Roman"/>
          <w:sz w:val="28"/>
          <w:szCs w:val="28"/>
        </w:rPr>
        <w:t>В роботі отримані наукові дані, на підставі яких розроблено науково-теоретичні положення щодо формування нового напрямку вирішення питань діагностики, патогенезу, прогнозування, профілактики та комплексного лікування хворих на різні типи ускладнених ПК ПЗ. Доповнено наукову гіпотезу, що в умовах гіпоксії та ішемії ПЗ внаслідок її пошкодження, під дією ангіогенних факторів відбувається активація та проліферація ендотелі</w:t>
      </w:r>
      <w:r w:rsidRPr="00C62D22">
        <w:rPr>
          <w:rFonts w:ascii="Times New Roman" w:hAnsi="Times New Roman" w:cs="Times New Roman"/>
          <w:sz w:val="28"/>
          <w:szCs w:val="28"/>
        </w:rPr>
        <w:t>о</w:t>
      </w:r>
      <w:r w:rsidRPr="00C62D22">
        <w:rPr>
          <w:rFonts w:ascii="Times New Roman" w:hAnsi="Times New Roman" w:cs="Times New Roman"/>
          <w:sz w:val="28"/>
          <w:szCs w:val="28"/>
        </w:rPr>
        <w:t>цитів, яка завершується процесами неоваскуляризації, а недостатня деград</w:t>
      </w:r>
      <w:r w:rsidRPr="00C62D22">
        <w:rPr>
          <w:rFonts w:ascii="Times New Roman" w:hAnsi="Times New Roman" w:cs="Times New Roman"/>
          <w:sz w:val="28"/>
          <w:szCs w:val="28"/>
        </w:rPr>
        <w:t>а</w:t>
      </w:r>
      <w:r w:rsidRPr="00C62D22">
        <w:rPr>
          <w:rFonts w:ascii="Times New Roman" w:hAnsi="Times New Roman" w:cs="Times New Roman"/>
          <w:sz w:val="28"/>
          <w:szCs w:val="28"/>
        </w:rPr>
        <w:t>ція позаклітинного матриксу та його накопичення є основною причиною прогресування фіброзу та ремоделювання ПЗ з розвитком ускладнень захворювання.</w:t>
      </w:r>
    </w:p>
    <w:p w:rsidR="0021764E" w:rsidRPr="00C62D22" w:rsidRDefault="0021764E" w:rsidP="0021764E">
      <w:pPr>
        <w:spacing w:after="0" w:line="360" w:lineRule="auto"/>
        <w:ind w:firstLine="851"/>
        <w:jc w:val="both"/>
        <w:rPr>
          <w:rFonts w:ascii="Times New Roman" w:hAnsi="Times New Roman" w:cs="Times New Roman"/>
          <w:sz w:val="28"/>
          <w:szCs w:val="28"/>
        </w:rPr>
      </w:pPr>
      <w:r w:rsidRPr="00C62D22">
        <w:rPr>
          <w:rFonts w:ascii="Times New Roman" w:hAnsi="Times New Roman" w:cs="Times New Roman"/>
          <w:color w:val="000000"/>
          <w:spacing w:val="-6"/>
          <w:sz w:val="28"/>
          <w:szCs w:val="28"/>
        </w:rPr>
        <w:t>Встановлено, що гемодинамічні реакції на рівні печінково-спланхнічного кровотока</w:t>
      </w:r>
      <w:r w:rsidRPr="00C62D22">
        <w:rPr>
          <w:rFonts w:ascii="Times New Roman" w:hAnsi="Times New Roman" w:cs="Times New Roman"/>
          <w:color w:val="FF0000"/>
          <w:spacing w:val="-6"/>
          <w:sz w:val="28"/>
          <w:szCs w:val="28"/>
        </w:rPr>
        <w:t xml:space="preserve"> </w:t>
      </w:r>
      <w:r w:rsidRPr="00C62D22">
        <w:rPr>
          <w:rFonts w:ascii="Times New Roman" w:hAnsi="Times New Roman" w:cs="Times New Roman"/>
          <w:sz w:val="28"/>
          <w:szCs w:val="28"/>
        </w:rPr>
        <w:t>пов’язані з різними механізмами: з паралітичним розширенням резистивних венул у відповідь на гіпоксію та розвиток внутрішньопечінкових портокавальних шунтів (r=0,92, р=0,002); зі збідненням артеріального живлення та зменшенням притоку крові за ВВ (р&lt;0,05); змінами периферичного опору в різних артеріальних басейнах спланхнічної ділянки з негативним взаємозв’язком між індексом Пурсело (RІ</w:t>
      </w:r>
      <w:r w:rsidRPr="00C62D22">
        <w:rPr>
          <w:rFonts w:ascii="Times New Roman" w:hAnsi="Times New Roman" w:cs="Times New Roman"/>
          <w:sz w:val="28"/>
          <w:szCs w:val="28"/>
          <w:vertAlign w:val="subscript"/>
        </w:rPr>
        <w:t>ЗПА</w:t>
      </w:r>
      <w:r w:rsidRPr="00C62D22">
        <w:rPr>
          <w:rFonts w:ascii="Times New Roman" w:hAnsi="Times New Roman" w:cs="Times New Roman"/>
          <w:sz w:val="28"/>
          <w:szCs w:val="28"/>
        </w:rPr>
        <w:t>, RІ</w:t>
      </w:r>
      <w:r w:rsidRPr="00C62D22">
        <w:rPr>
          <w:rFonts w:ascii="Times New Roman" w:hAnsi="Times New Roman" w:cs="Times New Roman"/>
          <w:sz w:val="28"/>
          <w:szCs w:val="28"/>
          <w:vertAlign w:val="subscript"/>
        </w:rPr>
        <w:t>ВБА</w:t>
      </w:r>
      <w:r w:rsidRPr="00C62D22">
        <w:rPr>
          <w:rFonts w:ascii="Times New Roman" w:hAnsi="Times New Roman" w:cs="Times New Roman"/>
          <w:sz w:val="28"/>
          <w:szCs w:val="28"/>
        </w:rPr>
        <w:t>) і співвідношенням об’ємного кровотока у загальній печінковій артерії (ЗПА) і хвилинного обігу кровотоку (ХОК) (Vо</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/ХОК) залежно від тяжкості стану хворих (r = – 0,86, р&lt;0,05) та позитивним взаємозв’язком між швидкістю кровотока та RІ (r=0,83, р=0,013). </w:t>
      </w:r>
    </w:p>
    <w:p w:rsidR="0021764E" w:rsidRPr="00C62D22" w:rsidRDefault="0021764E" w:rsidP="0021764E">
      <w:pPr>
        <w:tabs>
          <w:tab w:val="left" w:pos="180"/>
          <w:tab w:val="left" w:pos="540"/>
          <w:tab w:val="left" w:pos="720"/>
        </w:tabs>
        <w:spacing w:after="0" w:line="360" w:lineRule="auto"/>
        <w:ind w:firstLine="851"/>
        <w:jc w:val="both"/>
        <w:rPr>
          <w:rStyle w:val="hps"/>
          <w:rFonts w:ascii="Times New Roman" w:hAnsi="Times New Roman" w:cs="Times New Roman"/>
          <w:sz w:val="28"/>
          <w:szCs w:val="28"/>
        </w:rPr>
      </w:pPr>
      <w:r w:rsidRPr="00C62D22">
        <w:rPr>
          <w:rFonts w:ascii="Times New Roman" w:hAnsi="Times New Roman" w:cs="Times New Roman"/>
          <w:sz w:val="28"/>
          <w:szCs w:val="28"/>
        </w:rPr>
        <w:lastRenderedPageBreak/>
        <w:t>Уточнена роль профібротичних цитокінів у розвитку інтра- та перилобулярного фіброзу ПЗ, їх залежність між тяжкістю стану хворих та рівнями TGF-</w:t>
      </w:r>
      <w:r w:rsidRPr="00C62D22">
        <w:rPr>
          <w:rFonts w:ascii="Times New Roman" w:hAnsi="Times New Roman" w:cs="Times New Roman"/>
          <w:sz w:val="28"/>
          <w:szCs w:val="28"/>
        </w:rPr>
        <w:sym w:font="Symbol" w:char="F062"/>
      </w:r>
      <w:r w:rsidRPr="00C62D22">
        <w:rPr>
          <w:rFonts w:ascii="Times New Roman" w:hAnsi="Times New Roman" w:cs="Times New Roman"/>
          <w:sz w:val="28"/>
          <w:szCs w:val="28"/>
        </w:rPr>
        <w:t>1 (</w:t>
      </w:r>
      <w:r w:rsidRPr="00C62D22">
        <w:rPr>
          <w:rFonts w:ascii="Times New Roman" w:hAnsi="Times New Roman" w:cs="Times New Roman"/>
          <w:sz w:val="28"/>
          <w:szCs w:val="28"/>
          <w:lang w:val="en-US"/>
        </w:rPr>
        <w:t>r</w:t>
      </w:r>
      <w:r w:rsidRPr="00C62D22">
        <w:rPr>
          <w:rFonts w:ascii="Times New Roman" w:hAnsi="Times New Roman" w:cs="Times New Roman"/>
          <w:sz w:val="28"/>
          <w:szCs w:val="28"/>
          <w:lang w:val="en-US"/>
        </w:rPr>
        <w:sym w:font="Symbol" w:char="F03D"/>
      </w:r>
      <w:r w:rsidRPr="00C62D22">
        <w:rPr>
          <w:rFonts w:ascii="Times New Roman" w:hAnsi="Times New Roman" w:cs="Times New Roman"/>
          <w:sz w:val="28"/>
          <w:szCs w:val="28"/>
        </w:rPr>
        <w:t>0,69), IL-6 (</w:t>
      </w:r>
      <w:r w:rsidRPr="00C62D22">
        <w:rPr>
          <w:rFonts w:ascii="Times New Roman" w:hAnsi="Times New Roman" w:cs="Times New Roman"/>
          <w:sz w:val="28"/>
          <w:szCs w:val="28"/>
          <w:lang w:val="en-US"/>
        </w:rPr>
        <w:t>r</w:t>
      </w:r>
      <w:r w:rsidRPr="00C62D22">
        <w:rPr>
          <w:rFonts w:ascii="Times New Roman" w:hAnsi="Times New Roman" w:cs="Times New Roman"/>
          <w:sz w:val="28"/>
          <w:szCs w:val="28"/>
          <w:lang w:val="en-US"/>
        </w:rPr>
        <w:sym w:font="Symbol" w:char="F03D"/>
      </w:r>
      <w:r w:rsidRPr="00C62D22">
        <w:rPr>
          <w:rFonts w:ascii="Times New Roman" w:hAnsi="Times New Roman" w:cs="Times New Roman"/>
          <w:sz w:val="28"/>
          <w:szCs w:val="28"/>
        </w:rPr>
        <w:t>0,68), IL-8 (</w:t>
      </w:r>
      <w:r w:rsidRPr="00C62D22">
        <w:rPr>
          <w:rFonts w:ascii="Times New Roman" w:hAnsi="Times New Roman" w:cs="Times New Roman"/>
          <w:sz w:val="28"/>
          <w:szCs w:val="28"/>
          <w:lang w:val="en-US"/>
        </w:rPr>
        <w:t>r</w:t>
      </w:r>
      <w:r w:rsidRPr="00C62D22">
        <w:rPr>
          <w:rFonts w:ascii="Times New Roman" w:hAnsi="Times New Roman" w:cs="Times New Roman"/>
          <w:sz w:val="28"/>
          <w:szCs w:val="28"/>
          <w:lang w:val="en-US"/>
        </w:rPr>
        <w:sym w:font="Symbol" w:char="F03D"/>
      </w:r>
      <w:r w:rsidRPr="00C62D22">
        <w:rPr>
          <w:rFonts w:ascii="Times New Roman" w:hAnsi="Times New Roman" w:cs="Times New Roman"/>
          <w:sz w:val="28"/>
          <w:szCs w:val="28"/>
        </w:rPr>
        <w:t>0,57), IL-10 (</w:t>
      </w:r>
      <w:r w:rsidRPr="00C62D22">
        <w:rPr>
          <w:rFonts w:ascii="Times New Roman" w:hAnsi="Times New Roman" w:cs="Times New Roman"/>
          <w:sz w:val="28"/>
          <w:szCs w:val="28"/>
          <w:lang w:val="en-US"/>
        </w:rPr>
        <w:t>r</w:t>
      </w:r>
      <w:r w:rsidRPr="00C62D22">
        <w:rPr>
          <w:rFonts w:ascii="Times New Roman" w:hAnsi="Times New Roman" w:cs="Times New Roman"/>
          <w:sz w:val="28"/>
          <w:szCs w:val="28"/>
          <w:lang w:val="en-US"/>
        </w:rPr>
        <w:sym w:font="Symbol" w:char="F03D"/>
      </w:r>
      <w:r w:rsidRPr="00C62D22">
        <w:rPr>
          <w:rFonts w:ascii="Times New Roman" w:hAnsi="Times New Roman" w:cs="Times New Roman"/>
          <w:sz w:val="28"/>
          <w:szCs w:val="28"/>
        </w:rPr>
        <w:t>0,73) і IL-18 (</w:t>
      </w:r>
      <w:r w:rsidRPr="00C62D22">
        <w:rPr>
          <w:rFonts w:ascii="Times New Roman" w:hAnsi="Times New Roman" w:cs="Times New Roman"/>
          <w:sz w:val="28"/>
          <w:szCs w:val="28"/>
          <w:lang w:val="en-US"/>
        </w:rPr>
        <w:t>r</w:t>
      </w:r>
      <w:r w:rsidRPr="00C62D22">
        <w:rPr>
          <w:rFonts w:ascii="Times New Roman" w:hAnsi="Times New Roman" w:cs="Times New Roman"/>
          <w:sz w:val="28"/>
          <w:szCs w:val="28"/>
          <w:lang w:val="en-US"/>
        </w:rPr>
        <w:sym w:font="Symbol" w:char="F03D"/>
      </w:r>
      <w:r w:rsidRPr="00C62D22">
        <w:rPr>
          <w:rFonts w:ascii="Times New Roman" w:hAnsi="Times New Roman" w:cs="Times New Roman"/>
          <w:sz w:val="28"/>
          <w:szCs w:val="28"/>
        </w:rPr>
        <w:t>0,82) у сироватці крові (р</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 xml:space="preserve">0,05) зі зниженням співвідношення IL-18/IL-10 (p </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 xml:space="preserve">0,05), рівень якого корелює із несприятливим прогнозом захворювання (r= </w:t>
      </w:r>
      <w:r w:rsidRPr="00C62D22">
        <w:rPr>
          <w:rFonts w:ascii="Times New Roman" w:hAnsi="Times New Roman" w:cs="Times New Roman"/>
          <w:sz w:val="28"/>
          <w:szCs w:val="28"/>
        </w:rPr>
        <w:sym w:font="Symbol" w:char="F02D"/>
      </w:r>
      <w:r w:rsidRPr="00C62D22">
        <w:rPr>
          <w:rFonts w:ascii="Times New Roman" w:hAnsi="Times New Roman" w:cs="Times New Roman"/>
          <w:sz w:val="28"/>
          <w:szCs w:val="28"/>
        </w:rPr>
        <w:t>0,87, р&lt;0,01), з глибокою депресією антиоксидантного захисту, виснаженням його резервів в результаті активації перикисного окислення ліпідів (ПОЛ) і оксидативного стресу.</w:t>
      </w:r>
      <w:r w:rsidRPr="00C62D22">
        <w:rPr>
          <w:rStyle w:val="hps"/>
          <w:rFonts w:ascii="Times New Roman" w:hAnsi="Times New Roman" w:cs="Times New Roman"/>
          <w:sz w:val="28"/>
          <w:szCs w:val="28"/>
        </w:rPr>
        <w:t xml:space="preserve"> </w:t>
      </w:r>
    </w:p>
    <w:p w:rsidR="0021764E" w:rsidRPr="00C62D22" w:rsidRDefault="0021764E" w:rsidP="0021764E">
      <w:pPr>
        <w:tabs>
          <w:tab w:val="left" w:pos="180"/>
          <w:tab w:val="left" w:pos="540"/>
          <w:tab w:val="left" w:pos="720"/>
        </w:tabs>
        <w:spacing w:after="0" w:line="360" w:lineRule="auto"/>
        <w:ind w:firstLine="851"/>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 xml:space="preserve">Вперше встановлено, що </w:t>
      </w:r>
      <w:r w:rsidRPr="00C62D22">
        <w:rPr>
          <w:rFonts w:ascii="Times New Roman" w:hAnsi="Times New Roman" w:cs="Times New Roman"/>
          <w:sz w:val="28"/>
          <w:szCs w:val="28"/>
        </w:rPr>
        <w:t xml:space="preserve">при різних типах ускладнених ПК ПЗ має місце порушення балансу ММП-9 та його інгібітору TІMП–2, що має визначальне значення для швидкості протеолізу позаклітинних матриксних компонентів з переважанням процесів їх утворення та накопичення, про що свідчить збільшення коефіцієнту MMП–9/TІMП–2 у хворих з I і II типами ПК ПЗ (0,67 – хворі, 0,25 – контроль, р&lt; 0,001) та його зниження при III типі (0,53 – хворі, р&lt; 0,001). </w:t>
      </w:r>
      <w:r w:rsidRPr="00C62D22">
        <w:rPr>
          <w:rStyle w:val="hps"/>
          <w:rFonts w:ascii="Times New Roman" w:hAnsi="Times New Roman" w:cs="Times New Roman"/>
          <w:sz w:val="28"/>
          <w:szCs w:val="28"/>
        </w:rPr>
        <w:t>При всіх типах ПК ПЗ присутній позитивний зв'язок між рівнем ММП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9 і показником VEGF (p&lt;0,05), а </w:t>
      </w:r>
      <w:r w:rsidRPr="00C62D22">
        <w:rPr>
          <w:rFonts w:ascii="Times New Roman" w:hAnsi="Times New Roman" w:cs="Times New Roman"/>
          <w:sz w:val="28"/>
          <w:szCs w:val="28"/>
        </w:rPr>
        <w:t>сукупність профібротичних цитокінів, що секретуються в кровоток, забезпечує зрушення ендотеліального гомеостазу в прозапальному напрямку, що дозволяє визначити цей механізм як розвиток ендотеліальної протизапальної дисфункції.</w:t>
      </w:r>
    </w:p>
    <w:p w:rsidR="0021764E" w:rsidRPr="00C62D22" w:rsidRDefault="0021764E" w:rsidP="0021764E">
      <w:pPr>
        <w:spacing w:after="0" w:line="360" w:lineRule="auto"/>
        <w:ind w:firstLine="851"/>
        <w:jc w:val="both"/>
        <w:rPr>
          <w:rFonts w:ascii="Times New Roman" w:hAnsi="Times New Roman" w:cs="Times New Roman"/>
          <w:sz w:val="28"/>
          <w:szCs w:val="28"/>
        </w:rPr>
      </w:pPr>
      <w:r w:rsidRPr="00C62D22">
        <w:rPr>
          <w:rFonts w:ascii="Times New Roman" w:hAnsi="Times New Roman" w:cs="Times New Roman"/>
          <w:sz w:val="28"/>
          <w:szCs w:val="28"/>
        </w:rPr>
        <w:t xml:space="preserve">Морфологічні дослідження стінок ПК та прилеглої паренхіми ПЗ підтвердили роль колагенів різних типів у формуванні та визначенні напрямку ремоделювання органу із різною здатністю ендотеліоцитів судин експресувати рецептори до ендотеліну-1 та високу ступінь експресії клітинами HLА-DR-антигену при </w:t>
      </w:r>
      <w:r w:rsidRPr="00C62D22">
        <w:rPr>
          <w:rFonts w:ascii="Times New Roman" w:hAnsi="Times New Roman" w:cs="Times New Roman"/>
          <w:sz w:val="28"/>
          <w:szCs w:val="28"/>
          <w:lang w:val="en-US"/>
        </w:rPr>
        <w:t>III</w:t>
      </w:r>
      <w:r w:rsidRPr="00C62D22">
        <w:rPr>
          <w:rFonts w:ascii="Times New Roman" w:hAnsi="Times New Roman" w:cs="Times New Roman"/>
          <w:sz w:val="28"/>
          <w:szCs w:val="28"/>
        </w:rPr>
        <w:t xml:space="preserve"> типі ПК (на 153,4% та 131,3% щодо ПК </w:t>
      </w:r>
      <w:r w:rsidRPr="00C62D22">
        <w:rPr>
          <w:rFonts w:ascii="Times New Roman" w:hAnsi="Times New Roman" w:cs="Times New Roman"/>
          <w:sz w:val="28"/>
          <w:szCs w:val="28"/>
          <w:lang w:val="en-US"/>
        </w:rPr>
        <w:t>I</w:t>
      </w:r>
      <w:r w:rsidRPr="00C62D22">
        <w:rPr>
          <w:rFonts w:ascii="Times New Roman" w:hAnsi="Times New Roman" w:cs="Times New Roman"/>
          <w:sz w:val="28"/>
          <w:szCs w:val="28"/>
        </w:rPr>
        <w:t xml:space="preserve"> і </w:t>
      </w:r>
      <w:r w:rsidRPr="00C62D22">
        <w:rPr>
          <w:rFonts w:ascii="Times New Roman" w:hAnsi="Times New Roman" w:cs="Times New Roman"/>
          <w:sz w:val="28"/>
          <w:szCs w:val="28"/>
          <w:lang w:val="en-US"/>
        </w:rPr>
        <w:t>II</w:t>
      </w:r>
      <w:r w:rsidRPr="00C62D22">
        <w:rPr>
          <w:rFonts w:ascii="Times New Roman" w:hAnsi="Times New Roman" w:cs="Times New Roman"/>
          <w:sz w:val="28"/>
          <w:szCs w:val="28"/>
        </w:rPr>
        <w:t xml:space="preserve"> типів, </w:t>
      </w:r>
      <w:r w:rsidRPr="00C62D22">
        <w:rPr>
          <w:rFonts w:ascii="Times New Roman" w:hAnsi="Times New Roman" w:cs="Times New Roman"/>
          <w:sz w:val="28"/>
          <w:szCs w:val="28"/>
          <w:lang w:val="en-US"/>
        </w:rPr>
        <w:t>p</w:t>
      </w:r>
      <w:r w:rsidRPr="00C62D22">
        <w:rPr>
          <w:rFonts w:ascii="Times New Roman" w:hAnsi="Times New Roman" w:cs="Times New Roman"/>
          <w:sz w:val="28"/>
          <w:szCs w:val="28"/>
          <w:lang w:val="en-US"/>
        </w:rPr>
        <w:sym w:font="Symbol" w:char="F03C"/>
      </w:r>
      <w:r w:rsidRPr="00C62D22">
        <w:rPr>
          <w:rFonts w:ascii="Times New Roman" w:hAnsi="Times New Roman" w:cs="Times New Roman"/>
          <w:sz w:val="28"/>
          <w:szCs w:val="28"/>
        </w:rPr>
        <w:t xml:space="preserve">0,05) із максимально вираженою макрофагальною реакцією. </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В роботі доповнені дослідження щодо доцільності використання різних методів мініінвазивних хірургічних втручань, проведено їх порівняльний аналіз, а на основі отриманих даних оптимізовані методи лікування хворих з ускладненими ПК ПЗ, шляхом індивідуалізації хірургічної тактики. Було запропоновано і вдосконалено способи хірургічного лікування, які зменшують чи запобігають розвитку післяопераційних ускладнень та покращують якість життя хворих у віддаленому </w:t>
      </w:r>
      <w:r w:rsidRPr="00C62D22">
        <w:rPr>
          <w:rFonts w:ascii="Times New Roman" w:hAnsi="Times New Roman" w:cs="Times New Roman"/>
          <w:sz w:val="28"/>
          <w:szCs w:val="28"/>
        </w:rPr>
        <w:lastRenderedPageBreak/>
        <w:t xml:space="preserve">післяопераційному періоді на основі способу прогнозування вибору тактики «step-up approach» з визначенням відповідних математичних критеріїв, побудови класифікаційних функцій і їх аналізу. </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b/>
          <w:sz w:val="28"/>
          <w:szCs w:val="28"/>
        </w:rPr>
      </w:pPr>
      <w:r w:rsidRPr="00C62D22">
        <w:rPr>
          <w:rFonts w:ascii="Times New Roman" w:hAnsi="Times New Roman" w:cs="Times New Roman"/>
          <w:b/>
          <w:sz w:val="28"/>
          <w:szCs w:val="28"/>
        </w:rPr>
        <w:t>Практичне значення отриманих результатів</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Виконане дослідження дозволило розробити нові та удосконалити існуючі методи діагностики та лікування хворих на ускладнені ПК ПЗ. Використання розробленої раціональної програми комплексної д</w:t>
      </w:r>
      <w:r w:rsidRPr="00C62D22">
        <w:rPr>
          <w:rFonts w:ascii="Times New Roman" w:hAnsi="Times New Roman" w:cs="Times New Roman"/>
          <w:sz w:val="28"/>
          <w:szCs w:val="28"/>
        </w:rPr>
        <w:t>і</w:t>
      </w:r>
      <w:r w:rsidRPr="00C62D22">
        <w:rPr>
          <w:rFonts w:ascii="Times New Roman" w:hAnsi="Times New Roman" w:cs="Times New Roman"/>
          <w:sz w:val="28"/>
          <w:szCs w:val="28"/>
        </w:rPr>
        <w:t xml:space="preserve">агностики у хворих з різними типами ускладнених ПК ПЗ із використанням сучасних методів обстеження хворих сприяло покращенню результатів доопераційної діагностики. Обґрунтовані та математично доведені переваги застосування мініінвазивних методів хірургічного лікування. </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Розроблено та впроваджено в практику нові способи формування панкреатоентероанастомозів (Патент України на корисну модель № 92451, заявка на патент України на винахід № а201610033), та панкреатогастроанастомозу (Патент України на корисну модель № 100246), які спрямовані на попередження розвитку несталості анастомозів та утворення панкреатичних нориць у післяопераційному періоді, що у свою чергу знижувало кількість ранніх післяопераційних ускладнень та покращує якість життя хворих. </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Розроблено та впроваджено в практику спосіб хірургічного лікування ускладнених ПК ПЗ, ускладнених нагноєнням (Патент України на корисну модель № 95264) та спосіб хірургічного лікування ПК ПЗ, ускладнених арозивною кровотечею у порожнину ПК, (Патент України на корисну модель № 95265), які спрямовані на попередження розвитку післяопераційних ускладнень.</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Отримано галузеве нововведення на розроблений спосіб лікування хронічного панкреатиту, ускладненого непрохідністю термінальної частини холедоху (Патент України на корисну модель №77100), який включав формування панкреатоентероанастомозу, холецистоєюноанастомозу та холецистогепатикоанастомозу, що дозволило ефективно відновлювати адекватний </w:t>
      </w:r>
      <w:r w:rsidRPr="00C62D22">
        <w:rPr>
          <w:rFonts w:ascii="Times New Roman" w:hAnsi="Times New Roman" w:cs="Times New Roman"/>
          <w:sz w:val="28"/>
          <w:szCs w:val="28"/>
        </w:rPr>
        <w:lastRenderedPageBreak/>
        <w:t>пасаж панкреатичного соку та жовчі й скоротити терміни стаціонарного лікування та покращити якість життя хворих.</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Розроблено та впроваджено в практику новий спосіб прогнозування ускладненого перебігу післяопераційного панкреатиту (Патент України на корисну модель №100586), що дозволило знизити кількість післяопераційних ускладнень. </w:t>
      </w:r>
    </w:p>
    <w:p w:rsidR="0021764E" w:rsidRPr="00C62D22" w:rsidRDefault="0021764E" w:rsidP="0021764E">
      <w:pPr>
        <w:spacing w:after="0" w:line="360" w:lineRule="auto"/>
        <w:ind w:firstLine="851"/>
        <w:jc w:val="both"/>
        <w:rPr>
          <w:rFonts w:ascii="Times New Roman" w:hAnsi="Times New Roman" w:cs="Times New Roman"/>
          <w:sz w:val="28"/>
          <w:szCs w:val="28"/>
        </w:rPr>
      </w:pPr>
      <w:r w:rsidRPr="00C62D22">
        <w:rPr>
          <w:rFonts w:ascii="Times New Roman" w:hAnsi="Times New Roman" w:cs="Times New Roman"/>
          <w:b/>
          <w:sz w:val="28"/>
          <w:szCs w:val="28"/>
        </w:rPr>
        <w:t>Особистий внесок автора.</w:t>
      </w:r>
      <w:r w:rsidRPr="00C62D22">
        <w:rPr>
          <w:rFonts w:ascii="Times New Roman" w:hAnsi="Times New Roman" w:cs="Times New Roman"/>
          <w:sz w:val="28"/>
          <w:szCs w:val="28"/>
        </w:rPr>
        <w:t xml:space="preserve"> Ідея дисертаційної роботи, обґрунтування мети, завдань та способів їх вирішення належать автору. Автором особисто проведено аналіз вітчизняної та зарубіжної літератури за проблемою, інформаційний пошук, набір клінічного матеріалу, вибір та обґрунтування методів дослідження, статистична обробка отриманих даних,</w:t>
      </w:r>
      <w:r w:rsidRPr="00C62D22">
        <w:rPr>
          <w:rFonts w:ascii="Times New Roman" w:hAnsi="Times New Roman" w:cs="Times New Roman"/>
          <w:b/>
          <w:sz w:val="28"/>
          <w:szCs w:val="28"/>
        </w:rPr>
        <w:t xml:space="preserve"> </w:t>
      </w:r>
      <w:r w:rsidRPr="00C62D22">
        <w:rPr>
          <w:rFonts w:ascii="Times New Roman" w:hAnsi="Times New Roman" w:cs="Times New Roman"/>
          <w:sz w:val="28"/>
          <w:szCs w:val="28"/>
        </w:rPr>
        <w:t>підготовлено до друку наукові статті, окремі розділи до навчального посібника для студентів, заявки на запропоновані винаходи.</w:t>
      </w:r>
    </w:p>
    <w:p w:rsidR="0021764E" w:rsidRPr="00C62D22" w:rsidRDefault="0021764E" w:rsidP="0021764E">
      <w:pPr>
        <w:spacing w:after="0" w:line="360" w:lineRule="auto"/>
        <w:ind w:firstLine="851"/>
        <w:jc w:val="both"/>
        <w:rPr>
          <w:rFonts w:ascii="Times New Roman" w:hAnsi="Times New Roman" w:cs="Times New Roman"/>
          <w:sz w:val="28"/>
          <w:szCs w:val="28"/>
        </w:rPr>
      </w:pPr>
      <w:r w:rsidRPr="00C62D22">
        <w:rPr>
          <w:rFonts w:ascii="Times New Roman" w:hAnsi="Times New Roman" w:cs="Times New Roman"/>
          <w:sz w:val="28"/>
          <w:szCs w:val="28"/>
        </w:rPr>
        <w:t>Робота виконувалася сумісно з відділом хірургії підшлункової залози та реконструктивної хірургії жовчовивідних проток Національного інституту хірургії та трансплантології ім. О.О. Шалімова Академії медичних наук України, м. Києва (консультант – завідувач відділу хірургії підшлункової залози та реконструктивної хірургії жовчовивідних проток, д. мед. н., професор В.М. Копчак).</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Дослідження ЦК, ММП-9 та інгібітора матриксної металопротеїнази ТІМП–2, ГПО-1, </w:t>
      </w:r>
      <w:r w:rsidRPr="00C62D22">
        <w:rPr>
          <w:rFonts w:ascii="Times New Roman" w:eastAsia="MyriadPro-Bold" w:hAnsi="Times New Roman" w:cs="Times New Roman"/>
          <w:bCs/>
          <w:sz w:val="28"/>
          <w:szCs w:val="28"/>
        </w:rPr>
        <w:t xml:space="preserve">показників </w:t>
      </w:r>
      <w:r w:rsidRPr="00C62D22">
        <w:rPr>
          <w:rFonts w:ascii="Times New Roman" w:hAnsi="Times New Roman" w:cs="Times New Roman"/>
          <w:sz w:val="28"/>
          <w:szCs w:val="28"/>
        </w:rPr>
        <w:t xml:space="preserve">VEGF, </w:t>
      </w:r>
      <w:r w:rsidRPr="00C62D22">
        <w:rPr>
          <w:rStyle w:val="hps"/>
          <w:rFonts w:ascii="Times New Roman" w:hAnsi="Times New Roman" w:cs="Times New Roman"/>
          <w:sz w:val="28"/>
          <w:szCs w:val="28"/>
        </w:rPr>
        <w:t>TGF-β1</w:t>
      </w:r>
      <w:r w:rsidRPr="00C62D22">
        <w:rPr>
          <w:rFonts w:ascii="Times New Roman" w:hAnsi="Times New Roman" w:cs="Times New Roman"/>
          <w:sz w:val="28"/>
          <w:szCs w:val="28"/>
        </w:rPr>
        <w:t xml:space="preserve"> проводилося на базі лабораторії радіаційної імунології Національної Академії медичних наук України Державної установи «Інститут медичної радіології ім. С.П. Григор'єва» (завідувач – к. мед. н. П. П. Сорочан).</w:t>
      </w:r>
    </w:p>
    <w:p w:rsidR="0021764E" w:rsidRPr="00C62D22" w:rsidRDefault="0021764E" w:rsidP="0021764E">
      <w:pPr>
        <w:spacing w:after="0" w:line="360" w:lineRule="auto"/>
        <w:ind w:firstLine="720"/>
        <w:jc w:val="both"/>
        <w:rPr>
          <w:rFonts w:ascii="Times New Roman" w:hAnsi="Times New Roman" w:cs="Times New Roman"/>
          <w:color w:val="000000"/>
          <w:sz w:val="28"/>
          <w:szCs w:val="28"/>
        </w:rPr>
      </w:pPr>
      <w:r w:rsidRPr="00C62D22">
        <w:rPr>
          <w:rFonts w:ascii="Times New Roman" w:hAnsi="Times New Roman" w:cs="Times New Roman"/>
          <w:sz w:val="28"/>
          <w:szCs w:val="28"/>
        </w:rPr>
        <w:t xml:space="preserve">Дослідження показників оксидативного стресу (МДА) проводилося сумісно з кафедрою біологічної хімії Харківського національного медичного університету МОЗУ (консультант </w:t>
      </w:r>
      <w:r w:rsidRPr="00C62D22">
        <w:rPr>
          <w:rFonts w:ascii="Times New Roman" w:hAnsi="Times New Roman" w:cs="Times New Roman"/>
          <w:color w:val="000000"/>
          <w:sz w:val="28"/>
          <w:szCs w:val="28"/>
        </w:rPr>
        <w:t>– д. мед. н., д. б. н., професор В. І. Жуков).</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Гістохімічні та імуногістохімічні дослідження проводилися сумісно з кафедрою патоморфології Харківського національного медичного університету МОЗУ (консультант – д. мед. н., професор І. В. Сорокіна).</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Проведення статистичної обробки інформації та дослідження прогнозування післяопераційних ускладнень та якості життя хворих проводилися сумісно з кафедрою фармакоінформатики Харківського національного фармацевтичного </w:t>
      </w:r>
      <w:r w:rsidRPr="00C62D22">
        <w:rPr>
          <w:rFonts w:ascii="Times New Roman" w:hAnsi="Times New Roman" w:cs="Times New Roman"/>
          <w:sz w:val="28"/>
          <w:szCs w:val="28"/>
        </w:rPr>
        <w:lastRenderedPageBreak/>
        <w:t>університету МОЗУ (завідувач – д. фіз.-мат. н., професор Ю. М. Пєнкін, консультант – к. фіз.-мат. н, доцент О. В. Арсеньєв).</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b/>
          <w:sz w:val="28"/>
          <w:szCs w:val="28"/>
        </w:rPr>
        <w:t xml:space="preserve">Апробація результатів дисертації. </w:t>
      </w:r>
      <w:r w:rsidRPr="00C62D22">
        <w:rPr>
          <w:rFonts w:ascii="Times New Roman" w:hAnsi="Times New Roman" w:cs="Times New Roman"/>
          <w:sz w:val="28"/>
          <w:szCs w:val="28"/>
        </w:rPr>
        <w:t xml:space="preserve">Апробація дисертації проведена на спільному засіданні співробітників кафедр хірургії № 1 та хірургії № 2 ХНМУ. </w:t>
      </w:r>
    </w:p>
    <w:p w:rsidR="0021764E" w:rsidRPr="00C62D22" w:rsidRDefault="0021764E" w:rsidP="0021764E">
      <w:pPr>
        <w:spacing w:line="360" w:lineRule="auto"/>
        <w:ind w:firstLine="540"/>
        <w:jc w:val="both"/>
        <w:rPr>
          <w:rFonts w:ascii="Times New Roman" w:hAnsi="Times New Roman" w:cs="Times New Roman"/>
          <w:b/>
          <w:sz w:val="28"/>
          <w:szCs w:val="28"/>
        </w:rPr>
      </w:pPr>
      <w:r w:rsidRPr="00C62D22">
        <w:rPr>
          <w:rFonts w:ascii="Times New Roman" w:hAnsi="Times New Roman" w:cs="Times New Roman"/>
          <w:sz w:val="28"/>
          <w:szCs w:val="28"/>
        </w:rPr>
        <w:t>Основні положення дисертації повідомлені та обговорені на науково-практичних конференціях та з'їздах: на науково-практичній конференції з міжнародною участю «Актуальні питання невідкладної хірургії» (м. Харків,                 2014 р.), на науково-практичній конференції з міжнародною участю «Загальнотерапевтична практика: нові технології та міждисциплінарні питання»               (м. Харків, 2013 р.), на міжвузівській конференції молодих вчених та студентів «Медицина третього тисячоліття» (м. Харків, 2014 р.), на міжвузівській конференції молодих вчених та студентів «Медицина третього тисячоліття» (м. Харків, 2015 р.), на міжнародній науково-практичній конференції «Вісцеро–васкулярний континіум – фізіологія, патологія, клінічні прояви, шляхи корекції» (м. Ужгород, 2014 р.), на «ІІ Прикарпатському хірургічному форумі» (м. Івано-Франківськ-Яремча, 2014 р), на XІX міжнародному медичному конгресі студентів та молодих вчених (м. Тернопіль, 2015 р.), на науково-практичній конференції з міжнародною участю «Актуальні питання торакоабдомінальної хірургії» (м. Харків, 2015 р.), на науково-практичній конференції молодих вчених «Тенденції розвитку клінічної та експериментальної хірургії» (м. Харків, 2015 р.), на міжвузівській конференції молодих вчених та студентів «Медицина третього тисячоліття» (м. Харків, 2016 р.), на ІХ-</w:t>
      </w:r>
      <w:r w:rsidRPr="00C62D22">
        <w:rPr>
          <w:rFonts w:ascii="Times New Roman" w:hAnsi="Times New Roman" w:cs="Times New Roman"/>
          <w:sz w:val="28"/>
          <w:szCs w:val="28"/>
          <w:lang w:val="en-US"/>
        </w:rPr>
        <w:t>th</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International</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Interdisciplinary</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scientific</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conference</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of</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young</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scientists</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and</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medical</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students</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Actual</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problems</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of</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clinical</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and</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theoretical</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medicine</w:t>
      </w:r>
      <w:r w:rsidRPr="00C62D22">
        <w:rPr>
          <w:rFonts w:ascii="Times New Roman" w:hAnsi="Times New Roman" w:cs="Times New Roman"/>
          <w:sz w:val="28"/>
          <w:szCs w:val="28"/>
        </w:rPr>
        <w:t>» (</w:t>
      </w:r>
      <w:r w:rsidRPr="00C62D22">
        <w:rPr>
          <w:rFonts w:ascii="Times New Roman" w:hAnsi="Times New Roman" w:cs="Times New Roman"/>
          <w:sz w:val="28"/>
          <w:szCs w:val="28"/>
          <w:lang w:val="en-US"/>
        </w:rPr>
        <w:t>Kharkiv</w:t>
      </w:r>
      <w:r w:rsidRPr="00C62D22">
        <w:rPr>
          <w:rFonts w:ascii="Times New Roman" w:hAnsi="Times New Roman" w:cs="Times New Roman"/>
          <w:sz w:val="28"/>
          <w:szCs w:val="28"/>
        </w:rPr>
        <w:t xml:space="preserve">, 2016), на науково-практичній конференції з міжнародною участю «Актуальні питання невідкладної хірургії» (м. Харків, 2016 р.), на науково-практичній конференції молодих вчених «Тенденції розвитку клінічної та експериментальної хірургії» (м. Харків, 2016 р.), </w:t>
      </w:r>
      <w:r w:rsidRPr="00C62D22">
        <w:rPr>
          <w:rFonts w:ascii="Times New Roman" w:hAnsi="Times New Roman" w:cs="Times New Roman"/>
          <w:sz w:val="28"/>
          <w:szCs w:val="28"/>
          <w:shd w:val="clear" w:color="auto" w:fill="FFFFFF"/>
        </w:rPr>
        <w:t xml:space="preserve">на ХХII Международном Конгрессе Ассоциации гепатопанкреатобилиарных хирургов стран СНГ «Актуальные проблемы гепатопанкреатобилиарной хирургии» (м. Мінськ, 2016 р.), на заочній науково-практичній конференції з міжнародною участю «Сучасні аспекти морфології </w:t>
      </w:r>
      <w:r w:rsidRPr="00C62D22">
        <w:rPr>
          <w:rFonts w:ascii="Times New Roman" w:hAnsi="Times New Roman" w:cs="Times New Roman"/>
          <w:sz w:val="28"/>
          <w:szCs w:val="28"/>
          <w:shd w:val="clear" w:color="auto" w:fill="FFFFFF"/>
        </w:rPr>
        <w:lastRenderedPageBreak/>
        <w:t xml:space="preserve">людини: успіхи, проблеми та перспективи» (м. Харків, 2016 р.), </w:t>
      </w:r>
      <w:r w:rsidRPr="00C62D22">
        <w:rPr>
          <w:rFonts w:ascii="Times New Roman" w:hAnsi="Times New Roman" w:cs="Times New Roman"/>
          <w:sz w:val="28"/>
          <w:szCs w:val="28"/>
        </w:rPr>
        <w:t>на міжвузівській конференції молодих вчених та студентів «Медицина третього тисячоліття» (м. Харків, 2017 р.)</w:t>
      </w:r>
      <w:r w:rsidRPr="00C62D22">
        <w:rPr>
          <w:rFonts w:ascii="Times New Roman" w:hAnsi="Times New Roman" w:cs="Times New Roman"/>
          <w:sz w:val="28"/>
          <w:szCs w:val="28"/>
          <w:shd w:val="clear" w:color="auto" w:fill="FFFFFF"/>
        </w:rPr>
        <w:t xml:space="preserve">, на науково-практичній конференції з міжнародною участю «Актуальні питання невідкладної хірургії» (м. Харків, 2017 р.), на ІV Всеукраїнській науковій конференції студентів та молодих вчених з фізіології з міжнародною участю «Фізіологія – медицині, фармації та педагогіці: Актуальні проблеми та сучасні досягнення» (м. Харків, 2017 р.), </w:t>
      </w:r>
      <w:r w:rsidRPr="00C62D22">
        <w:rPr>
          <w:rFonts w:ascii="Times New Roman" w:hAnsi="Times New Roman" w:cs="Times New Roman"/>
          <w:sz w:val="28"/>
          <w:szCs w:val="28"/>
        </w:rPr>
        <w:t xml:space="preserve">на </w:t>
      </w:r>
      <w:r w:rsidRPr="00C62D22">
        <w:rPr>
          <w:rStyle w:val="ab"/>
          <w:rFonts w:ascii="Times New Roman" w:hAnsi="Times New Roman" w:cs="Times New Roman"/>
          <w:b w:val="0"/>
          <w:sz w:val="28"/>
          <w:szCs w:val="28"/>
        </w:rPr>
        <w:t>ІV Міжнародному медико-фармацевтичному конгресі студентів і молодих учених «Інновації та перспективи сучасної медицини» (м. Чернівці, 2017 р.), на «</w:t>
      </w:r>
      <w:r w:rsidRPr="00C62D22">
        <w:rPr>
          <w:rFonts w:ascii="Times New Roman" w:hAnsi="Times New Roman" w:cs="Times New Roman"/>
          <w:sz w:val="28"/>
          <w:szCs w:val="28"/>
        </w:rPr>
        <w:t xml:space="preserve">12 </w:t>
      </w:r>
      <w:r w:rsidRPr="00C62D22">
        <w:rPr>
          <w:rFonts w:ascii="Times New Roman" w:hAnsi="Times New Roman" w:cs="Times New Roman"/>
          <w:sz w:val="28"/>
          <w:szCs w:val="28"/>
          <w:lang w:val="en-US"/>
        </w:rPr>
        <w:t>th</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Biennale</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E</w:t>
      </w:r>
      <w:r w:rsidRPr="00C62D22">
        <w:rPr>
          <w:rFonts w:ascii="Times New Roman" w:hAnsi="Times New Roman" w:cs="Times New Roman"/>
          <w:sz w:val="28"/>
          <w:szCs w:val="28"/>
        </w:rPr>
        <w:t>-</w:t>
      </w:r>
      <w:r w:rsidRPr="00C62D22">
        <w:rPr>
          <w:rFonts w:ascii="Times New Roman" w:hAnsi="Times New Roman" w:cs="Times New Roman"/>
          <w:sz w:val="28"/>
          <w:szCs w:val="28"/>
          <w:lang w:val="en-US"/>
        </w:rPr>
        <w:t>AHPBA</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Congress</w:t>
      </w:r>
      <w:r w:rsidRPr="00C62D22">
        <w:rPr>
          <w:rFonts w:ascii="Times New Roman" w:hAnsi="Times New Roman" w:cs="Times New Roman"/>
          <w:sz w:val="28"/>
          <w:szCs w:val="28"/>
        </w:rPr>
        <w:t>» (</w:t>
      </w:r>
      <w:r w:rsidRPr="00C62D22">
        <w:rPr>
          <w:rFonts w:ascii="Times New Roman" w:hAnsi="Times New Roman" w:cs="Times New Roman"/>
          <w:sz w:val="28"/>
          <w:szCs w:val="28"/>
          <w:lang w:val="en-US"/>
        </w:rPr>
        <w:t>Mainz</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Germany</w:t>
      </w:r>
      <w:r w:rsidRPr="00C62D22">
        <w:rPr>
          <w:rFonts w:ascii="Times New Roman" w:hAnsi="Times New Roman" w:cs="Times New Roman"/>
          <w:sz w:val="28"/>
          <w:szCs w:val="28"/>
        </w:rPr>
        <w:t>, 2017 р.)</w:t>
      </w:r>
    </w:p>
    <w:p w:rsidR="0021764E" w:rsidRPr="00C62D22" w:rsidRDefault="0021764E" w:rsidP="0021764E">
      <w:pPr>
        <w:spacing w:after="0" w:line="360" w:lineRule="auto"/>
        <w:ind w:firstLine="540"/>
        <w:jc w:val="both"/>
        <w:rPr>
          <w:rFonts w:ascii="Times New Roman" w:hAnsi="Times New Roman" w:cs="Times New Roman"/>
          <w:b/>
          <w:sz w:val="28"/>
          <w:szCs w:val="28"/>
          <w:shd w:val="clear" w:color="auto" w:fill="FFFFFF"/>
        </w:rPr>
      </w:pPr>
    </w:p>
    <w:p w:rsidR="0021764E" w:rsidRPr="00C62D22" w:rsidRDefault="0021764E" w:rsidP="0021764E">
      <w:pPr>
        <w:pStyle w:val="a8"/>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b/>
          <w:sz w:val="28"/>
          <w:szCs w:val="28"/>
        </w:rPr>
        <w:t>Публікації.</w:t>
      </w:r>
      <w:r w:rsidRPr="00C62D22">
        <w:rPr>
          <w:rFonts w:ascii="Times New Roman" w:hAnsi="Times New Roman" w:cs="Times New Roman"/>
          <w:sz w:val="28"/>
          <w:szCs w:val="28"/>
        </w:rPr>
        <w:t xml:space="preserve"> За темою дисертації опубліковано</w:t>
      </w:r>
      <w:r w:rsidRPr="00C62D22">
        <w:rPr>
          <w:rFonts w:ascii="Times New Roman" w:hAnsi="Times New Roman" w:cs="Times New Roman"/>
          <w:sz w:val="28"/>
          <w:szCs w:val="28"/>
          <w:lang w:val="ru-RU"/>
        </w:rPr>
        <w:t xml:space="preserve"> </w:t>
      </w:r>
      <w:r w:rsidRPr="00C62D22">
        <w:rPr>
          <w:rFonts w:ascii="Times New Roman" w:hAnsi="Times New Roman" w:cs="Times New Roman"/>
          <w:sz w:val="28"/>
          <w:szCs w:val="28"/>
        </w:rPr>
        <w:t>4</w:t>
      </w:r>
      <w:r w:rsidRPr="00C62D22">
        <w:rPr>
          <w:rFonts w:ascii="Times New Roman" w:hAnsi="Times New Roman" w:cs="Times New Roman"/>
          <w:sz w:val="28"/>
          <w:szCs w:val="28"/>
          <w:lang w:val="ru-RU"/>
        </w:rPr>
        <w:t>9</w:t>
      </w:r>
      <w:r w:rsidRPr="00C62D22">
        <w:rPr>
          <w:rFonts w:ascii="Times New Roman" w:hAnsi="Times New Roman" w:cs="Times New Roman"/>
          <w:color w:val="3366FF"/>
          <w:sz w:val="28"/>
          <w:szCs w:val="28"/>
        </w:rPr>
        <w:t xml:space="preserve"> </w:t>
      </w:r>
      <w:r w:rsidRPr="00C62D22">
        <w:rPr>
          <w:rFonts w:ascii="Times New Roman" w:hAnsi="Times New Roman" w:cs="Times New Roman"/>
          <w:sz w:val="28"/>
          <w:szCs w:val="28"/>
        </w:rPr>
        <w:t>наукових праць, з них</w:t>
      </w:r>
      <w:r w:rsidRPr="00C62D22">
        <w:rPr>
          <w:rFonts w:ascii="Times New Roman" w:hAnsi="Times New Roman" w:cs="Times New Roman"/>
          <w:color w:val="3366FF"/>
          <w:sz w:val="28"/>
          <w:szCs w:val="28"/>
        </w:rPr>
        <w:t xml:space="preserve"> </w:t>
      </w:r>
      <w:r w:rsidRPr="00C62D22">
        <w:rPr>
          <w:rFonts w:ascii="Times New Roman" w:hAnsi="Times New Roman" w:cs="Times New Roman"/>
          <w:sz w:val="28"/>
          <w:szCs w:val="28"/>
        </w:rPr>
        <w:t>– 23 у</w:t>
      </w:r>
      <w:r w:rsidRPr="00C62D22">
        <w:rPr>
          <w:rFonts w:ascii="Times New Roman" w:hAnsi="Times New Roman" w:cs="Times New Roman"/>
          <w:sz w:val="28"/>
          <w:szCs w:val="28"/>
          <w:lang w:val="ru-RU"/>
        </w:rPr>
        <w:t xml:space="preserve"> фахових журналах,</w:t>
      </w:r>
      <w:r w:rsidRPr="00C62D22">
        <w:rPr>
          <w:rFonts w:ascii="Times New Roman" w:hAnsi="Times New Roman" w:cs="Times New Roman"/>
          <w:sz w:val="28"/>
          <w:szCs w:val="28"/>
        </w:rPr>
        <w:t xml:space="preserve"> рекомендованих </w:t>
      </w:r>
      <w:r w:rsidRPr="00C62D22">
        <w:rPr>
          <w:rFonts w:ascii="Times New Roman" w:hAnsi="Times New Roman" w:cs="Times New Roman"/>
          <w:sz w:val="28"/>
          <w:szCs w:val="28"/>
          <w:lang w:val="ru-RU"/>
        </w:rPr>
        <w:t>ДАК МОН Укра</w:t>
      </w:r>
      <w:r w:rsidRPr="00C62D22">
        <w:rPr>
          <w:rFonts w:ascii="Times New Roman" w:hAnsi="Times New Roman" w:cs="Times New Roman"/>
          <w:sz w:val="28"/>
          <w:szCs w:val="28"/>
        </w:rPr>
        <w:t xml:space="preserve">їни, </w:t>
      </w:r>
      <w:r w:rsidRPr="00C62D22">
        <w:rPr>
          <w:rFonts w:ascii="Times New Roman" w:hAnsi="Times New Roman" w:cs="Times New Roman"/>
          <w:sz w:val="28"/>
          <w:szCs w:val="28"/>
          <w:lang w:val="ru-RU"/>
        </w:rPr>
        <w:t>7</w:t>
      </w:r>
      <w:r w:rsidRPr="00C62D22">
        <w:rPr>
          <w:rFonts w:ascii="Times New Roman" w:hAnsi="Times New Roman" w:cs="Times New Roman"/>
          <w:sz w:val="28"/>
          <w:szCs w:val="28"/>
        </w:rPr>
        <w:t xml:space="preserve"> – у зарубіжних виданнях</w:t>
      </w:r>
      <w:r w:rsidRPr="00C62D22">
        <w:rPr>
          <w:rFonts w:ascii="Times New Roman" w:hAnsi="Times New Roman" w:cs="Times New Roman"/>
          <w:sz w:val="28"/>
          <w:szCs w:val="28"/>
          <w:lang w:val="ru-RU"/>
        </w:rPr>
        <w:t xml:space="preserve">, 14 </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ru-RU"/>
        </w:rPr>
        <w:t xml:space="preserve">тез у </w:t>
      </w:r>
      <w:r w:rsidRPr="00C62D22">
        <w:rPr>
          <w:rFonts w:ascii="Times New Roman" w:hAnsi="Times New Roman" w:cs="Times New Roman"/>
          <w:sz w:val="28"/>
          <w:szCs w:val="28"/>
        </w:rPr>
        <w:t>матеріалах симпозіумів, з'їздів та конференцій, 4 – у виданнях, які додатково відображають наукові результати; отримано 6 патентів України на корисну модель, 1 заявку на патент України на винахід.</w:t>
      </w:r>
    </w:p>
    <w:p w:rsidR="0021764E" w:rsidRPr="00C62D22" w:rsidRDefault="0021764E" w:rsidP="0021764E">
      <w:pPr>
        <w:spacing w:after="0" w:line="360" w:lineRule="auto"/>
        <w:ind w:firstLine="540"/>
        <w:jc w:val="both"/>
        <w:rPr>
          <w:rFonts w:ascii="Times New Roman" w:hAnsi="Times New Roman" w:cs="Times New Roman"/>
          <w:sz w:val="28"/>
          <w:szCs w:val="28"/>
          <w:lang w:val="uk-UA"/>
        </w:rPr>
      </w:pPr>
      <w:r w:rsidRPr="00C62D22">
        <w:rPr>
          <w:rFonts w:ascii="Times New Roman" w:hAnsi="Times New Roman" w:cs="Times New Roman"/>
          <w:b/>
          <w:sz w:val="28"/>
          <w:szCs w:val="28"/>
          <w:lang w:val="uk-UA"/>
        </w:rPr>
        <w:t xml:space="preserve">Структура та обсяг роботи. </w:t>
      </w:r>
      <w:r w:rsidRPr="00C62D22">
        <w:rPr>
          <w:rFonts w:ascii="Times New Roman" w:hAnsi="Times New Roman" w:cs="Times New Roman"/>
          <w:sz w:val="28"/>
          <w:szCs w:val="28"/>
          <w:lang w:val="uk-UA"/>
        </w:rPr>
        <w:t>Дисертація викладена в одному томі на 360</w:t>
      </w:r>
      <w:r w:rsidRPr="00C62D22">
        <w:rPr>
          <w:rFonts w:ascii="Times New Roman" w:hAnsi="Times New Roman" w:cs="Times New Roman"/>
          <w:color w:val="FF0000"/>
          <w:sz w:val="28"/>
          <w:szCs w:val="28"/>
          <w:lang w:val="uk-UA"/>
        </w:rPr>
        <w:t xml:space="preserve"> </w:t>
      </w:r>
      <w:r w:rsidRPr="00C62D22">
        <w:rPr>
          <w:rFonts w:ascii="Times New Roman" w:hAnsi="Times New Roman" w:cs="Times New Roman"/>
          <w:sz w:val="28"/>
          <w:szCs w:val="28"/>
          <w:lang w:val="uk-UA"/>
        </w:rPr>
        <w:t>сторінках, включає 45 таблиць, 128 рисунків та складається зі вступу, 10 розділів, аналізу та обговорення результатів дослідження, висновків та списку використаних джерел, який вміщує 298 робіт українських авторів та країн СНД і 134 іноземних джерел, 1 додаток.</w:t>
      </w:r>
    </w:p>
    <w:p w:rsidR="0021764E" w:rsidRPr="00C62D22" w:rsidRDefault="0021764E">
      <w:pPr>
        <w:rPr>
          <w:rFonts w:ascii="Times New Roman" w:hAnsi="Times New Roman" w:cs="Times New Roman"/>
          <w:sz w:val="28"/>
          <w:szCs w:val="28"/>
          <w:lang w:val="uk-UA"/>
        </w:rPr>
      </w:pPr>
      <w:r w:rsidRPr="00C62D22">
        <w:rPr>
          <w:rFonts w:ascii="Times New Roman" w:hAnsi="Times New Roman" w:cs="Times New Roman"/>
          <w:sz w:val="28"/>
          <w:szCs w:val="28"/>
          <w:lang w:val="uk-UA"/>
        </w:rPr>
        <w:br w:type="page"/>
      </w:r>
    </w:p>
    <w:p w:rsidR="0021764E" w:rsidRPr="00C62D22" w:rsidRDefault="0021764E" w:rsidP="0021764E">
      <w:pPr>
        <w:tabs>
          <w:tab w:val="left" w:pos="180"/>
          <w:tab w:val="left" w:pos="540"/>
          <w:tab w:val="left" w:pos="720"/>
        </w:tabs>
        <w:spacing w:after="0" w:line="360" w:lineRule="auto"/>
        <w:ind w:firstLine="540"/>
        <w:jc w:val="center"/>
        <w:rPr>
          <w:rFonts w:ascii="Times New Roman" w:hAnsi="Times New Roman" w:cs="Times New Roman"/>
          <w:b/>
          <w:sz w:val="28"/>
          <w:szCs w:val="28"/>
        </w:rPr>
      </w:pPr>
      <w:r w:rsidRPr="00C62D22">
        <w:rPr>
          <w:rFonts w:ascii="Times New Roman" w:hAnsi="Times New Roman" w:cs="Times New Roman"/>
          <w:b/>
          <w:sz w:val="28"/>
          <w:szCs w:val="28"/>
        </w:rPr>
        <w:lastRenderedPageBreak/>
        <w:t>РОЗДІЛ 1</w:t>
      </w:r>
    </w:p>
    <w:p w:rsidR="0021764E" w:rsidRPr="00C62D22" w:rsidRDefault="0021764E" w:rsidP="0021764E">
      <w:pPr>
        <w:tabs>
          <w:tab w:val="left" w:pos="180"/>
          <w:tab w:val="left" w:pos="540"/>
          <w:tab w:val="left" w:pos="720"/>
        </w:tabs>
        <w:spacing w:after="0" w:line="360" w:lineRule="auto"/>
        <w:ind w:firstLine="540"/>
        <w:jc w:val="center"/>
        <w:rPr>
          <w:rFonts w:ascii="Times New Roman" w:hAnsi="Times New Roman" w:cs="Times New Roman"/>
          <w:b/>
          <w:sz w:val="28"/>
          <w:szCs w:val="28"/>
        </w:rPr>
      </w:pPr>
      <w:r w:rsidRPr="00C62D22">
        <w:rPr>
          <w:rFonts w:ascii="Times New Roman" w:hAnsi="Times New Roman" w:cs="Times New Roman"/>
          <w:b/>
          <w:sz w:val="28"/>
          <w:szCs w:val="28"/>
        </w:rPr>
        <w:t>ОГЛЯД ЛІТЕРАТУРИ</w:t>
      </w:r>
    </w:p>
    <w:p w:rsidR="0021764E" w:rsidRPr="00C62D22" w:rsidRDefault="0021764E" w:rsidP="0021764E">
      <w:pPr>
        <w:tabs>
          <w:tab w:val="left" w:pos="180"/>
          <w:tab w:val="left" w:pos="540"/>
          <w:tab w:val="left" w:pos="720"/>
        </w:tabs>
        <w:spacing w:after="0" w:line="360" w:lineRule="auto"/>
        <w:ind w:firstLine="540"/>
        <w:jc w:val="center"/>
        <w:rPr>
          <w:rFonts w:ascii="Times New Roman" w:hAnsi="Times New Roman" w:cs="Times New Roman"/>
          <w:b/>
          <w:sz w:val="28"/>
          <w:szCs w:val="28"/>
        </w:rPr>
      </w:pPr>
    </w:p>
    <w:p w:rsidR="0021764E" w:rsidRPr="00C62D22" w:rsidRDefault="0021764E" w:rsidP="0021764E">
      <w:pPr>
        <w:tabs>
          <w:tab w:val="left" w:pos="180"/>
          <w:tab w:val="left" w:pos="540"/>
          <w:tab w:val="left" w:pos="720"/>
        </w:tabs>
        <w:spacing w:after="0" w:line="360" w:lineRule="auto"/>
        <w:ind w:firstLine="540"/>
        <w:jc w:val="center"/>
        <w:rPr>
          <w:rFonts w:ascii="Times New Roman" w:hAnsi="Times New Roman" w:cs="Times New Roman"/>
          <w:b/>
          <w:sz w:val="28"/>
          <w:szCs w:val="28"/>
        </w:rPr>
      </w:pPr>
    </w:p>
    <w:p w:rsidR="0021764E" w:rsidRPr="00C62D22" w:rsidRDefault="0021764E" w:rsidP="0021764E">
      <w:pPr>
        <w:tabs>
          <w:tab w:val="left" w:pos="180"/>
          <w:tab w:val="left" w:pos="540"/>
          <w:tab w:val="left" w:pos="720"/>
        </w:tabs>
        <w:spacing w:after="0" w:line="360" w:lineRule="auto"/>
        <w:ind w:firstLine="540"/>
        <w:jc w:val="center"/>
        <w:rPr>
          <w:rFonts w:ascii="Times New Roman" w:hAnsi="Times New Roman" w:cs="Times New Roman"/>
          <w:b/>
          <w:sz w:val="28"/>
          <w:szCs w:val="28"/>
        </w:rPr>
      </w:pPr>
    </w:p>
    <w:p w:rsidR="0021764E" w:rsidRPr="00C62D22" w:rsidRDefault="0021764E" w:rsidP="0021764E">
      <w:pPr>
        <w:numPr>
          <w:ilvl w:val="1"/>
          <w:numId w:val="11"/>
        </w:numPr>
        <w:tabs>
          <w:tab w:val="left" w:pos="180"/>
          <w:tab w:val="left" w:pos="540"/>
          <w:tab w:val="left" w:pos="720"/>
        </w:tabs>
        <w:spacing w:after="0" w:line="360" w:lineRule="auto"/>
        <w:ind w:left="0" w:firstLine="540"/>
        <w:jc w:val="both"/>
        <w:rPr>
          <w:rFonts w:ascii="Times New Roman" w:hAnsi="Times New Roman" w:cs="Times New Roman"/>
          <w:b/>
          <w:sz w:val="28"/>
          <w:szCs w:val="28"/>
        </w:rPr>
      </w:pPr>
      <w:r w:rsidRPr="00C62D22">
        <w:rPr>
          <w:rFonts w:ascii="Times New Roman" w:hAnsi="Times New Roman" w:cs="Times New Roman"/>
          <w:b/>
          <w:sz w:val="28"/>
          <w:szCs w:val="28"/>
        </w:rPr>
        <w:t>Сучасні погляди щодо етіології та патогенезу формування псевдокіст підшлункової залози та їх ускладнень</w:t>
      </w:r>
    </w:p>
    <w:p w:rsidR="0021764E" w:rsidRPr="00C62D22" w:rsidRDefault="0021764E" w:rsidP="0021764E">
      <w:pPr>
        <w:tabs>
          <w:tab w:val="left" w:pos="180"/>
          <w:tab w:val="left" w:pos="540"/>
          <w:tab w:val="left" w:pos="720"/>
        </w:tabs>
        <w:spacing w:after="0" w:line="360" w:lineRule="auto"/>
        <w:ind w:left="540" w:firstLine="540"/>
        <w:jc w:val="both"/>
        <w:rPr>
          <w:rFonts w:ascii="Times New Roman" w:hAnsi="Times New Roman" w:cs="Times New Roman"/>
          <w:b/>
          <w:sz w:val="28"/>
          <w:szCs w:val="28"/>
        </w:rPr>
      </w:pPr>
    </w:p>
    <w:p w:rsidR="0021764E" w:rsidRPr="00C62D22" w:rsidRDefault="0021764E" w:rsidP="0021764E">
      <w:pPr>
        <w:pStyle w:val="a5"/>
        <w:spacing w:before="0" w:beforeAutospacing="0" w:after="0" w:afterAutospacing="0" w:line="360" w:lineRule="auto"/>
        <w:ind w:right="22" w:firstLine="540"/>
        <w:jc w:val="both"/>
        <w:rPr>
          <w:sz w:val="28"/>
          <w:szCs w:val="28"/>
          <w:lang w:val="uk-UA"/>
        </w:rPr>
      </w:pPr>
      <w:r w:rsidRPr="00C62D22">
        <w:rPr>
          <w:sz w:val="28"/>
          <w:szCs w:val="28"/>
          <w:lang w:val="uk-UA"/>
        </w:rPr>
        <w:t>В останні десятиріччя спостерігається зростання кількості хворих з панкр</w:t>
      </w:r>
      <w:r w:rsidRPr="00C62D22">
        <w:rPr>
          <w:sz w:val="28"/>
          <w:szCs w:val="28"/>
          <w:lang w:val="uk-UA"/>
        </w:rPr>
        <w:t>е</w:t>
      </w:r>
      <w:r w:rsidRPr="00C62D22">
        <w:rPr>
          <w:sz w:val="28"/>
          <w:szCs w:val="28"/>
          <w:lang w:val="uk-UA"/>
        </w:rPr>
        <w:t>атичними ПК [123, 210], які виникають на тлі ГП [3, 7, 91, 105, 106, 179, 183, 271] чи ХП [100, 203, 206, 246, 269, 273, 276], або внаслідок травми ПЗ [142, 287, 406, 418, 430], що підштовхує науковців вивчати етіологію та патогенез цього з</w:t>
      </w:r>
      <w:r w:rsidRPr="00C62D22">
        <w:rPr>
          <w:sz w:val="28"/>
          <w:szCs w:val="28"/>
          <w:lang w:val="uk-UA"/>
        </w:rPr>
        <w:t>а</w:t>
      </w:r>
      <w:r w:rsidRPr="00C62D22">
        <w:rPr>
          <w:sz w:val="28"/>
          <w:szCs w:val="28"/>
          <w:lang w:val="uk-UA"/>
        </w:rPr>
        <w:t xml:space="preserve">хворювання. </w:t>
      </w:r>
    </w:p>
    <w:p w:rsidR="0021764E" w:rsidRPr="00C62D22" w:rsidRDefault="0021764E" w:rsidP="0021764E">
      <w:pPr>
        <w:pStyle w:val="a5"/>
        <w:spacing w:before="0" w:beforeAutospacing="0" w:after="0" w:afterAutospacing="0" w:line="360" w:lineRule="auto"/>
        <w:ind w:right="22" w:firstLine="540"/>
        <w:jc w:val="both"/>
        <w:rPr>
          <w:sz w:val="28"/>
          <w:szCs w:val="28"/>
          <w:lang w:val="uk-UA"/>
        </w:rPr>
      </w:pPr>
      <w:r w:rsidRPr="00C62D22">
        <w:rPr>
          <w:sz w:val="28"/>
          <w:szCs w:val="28"/>
          <w:lang w:val="uk-UA"/>
        </w:rPr>
        <w:t>Згідно публікацій різних авторів відокремлюється визначення термінів г</w:t>
      </w:r>
      <w:r w:rsidRPr="00C62D22">
        <w:rPr>
          <w:sz w:val="28"/>
          <w:szCs w:val="28"/>
          <w:lang w:val="uk-UA"/>
        </w:rPr>
        <w:t>о</w:t>
      </w:r>
      <w:r w:rsidRPr="00C62D22">
        <w:rPr>
          <w:sz w:val="28"/>
          <w:szCs w:val="28"/>
          <w:lang w:val="uk-UA"/>
        </w:rPr>
        <w:t>строї та хронічної ПК ПЗ. Так, гострою ПК ПЗ називають запальну кісту, яка сформувалася внаслідок перенесеного ГП, тоді, як хронічна ПК може вини</w:t>
      </w:r>
      <w:r w:rsidRPr="00C62D22">
        <w:rPr>
          <w:sz w:val="28"/>
          <w:szCs w:val="28"/>
          <w:lang w:val="uk-UA"/>
        </w:rPr>
        <w:t>к</w:t>
      </w:r>
      <w:r w:rsidRPr="00C62D22">
        <w:rPr>
          <w:sz w:val="28"/>
          <w:szCs w:val="28"/>
          <w:lang w:val="uk-UA"/>
        </w:rPr>
        <w:t>нути лише при ХП [66, 97, 297]. Також прийнято розподіляти ПК ПЗ на гострі та хронічні залежно від часу їх існування, щільності стінки та вірогідності спо</w:t>
      </w:r>
      <w:r w:rsidRPr="00C62D22">
        <w:rPr>
          <w:sz w:val="28"/>
          <w:szCs w:val="28"/>
          <w:lang w:val="uk-UA"/>
        </w:rPr>
        <w:t>н</w:t>
      </w:r>
      <w:r w:rsidRPr="00C62D22">
        <w:rPr>
          <w:sz w:val="28"/>
          <w:szCs w:val="28"/>
          <w:lang w:val="uk-UA"/>
        </w:rPr>
        <w:t>танної резолюції [171]. Виходячи з вищезазначеного, гострою ПК ПЗ називають парапанкреатичне рідинне скупчення, для формування якого необхідно не м</w:t>
      </w:r>
      <w:r w:rsidRPr="00C62D22">
        <w:rPr>
          <w:sz w:val="28"/>
          <w:szCs w:val="28"/>
          <w:lang w:val="uk-UA"/>
        </w:rPr>
        <w:t>е</w:t>
      </w:r>
      <w:r w:rsidRPr="00C62D22">
        <w:rPr>
          <w:sz w:val="28"/>
          <w:szCs w:val="28"/>
          <w:lang w:val="uk-UA"/>
        </w:rPr>
        <w:t>нше ніж 4 тижні, та навколо якого вже сформувалися фіброзна та гран</w:t>
      </w:r>
      <w:r w:rsidRPr="00C62D22">
        <w:rPr>
          <w:sz w:val="28"/>
          <w:szCs w:val="28"/>
          <w:lang w:val="uk-UA"/>
        </w:rPr>
        <w:t>у</w:t>
      </w:r>
      <w:r w:rsidRPr="00C62D22">
        <w:rPr>
          <w:sz w:val="28"/>
          <w:szCs w:val="28"/>
          <w:lang w:val="uk-UA"/>
        </w:rPr>
        <w:t>ляційна тонкі капсули [10, 265, 314]. Хронічна (зріла) ПК ПЗ – парапанкреатичне ріди</w:t>
      </w:r>
      <w:r w:rsidRPr="00C62D22">
        <w:rPr>
          <w:sz w:val="28"/>
          <w:szCs w:val="28"/>
          <w:lang w:val="uk-UA"/>
        </w:rPr>
        <w:t>н</w:t>
      </w:r>
      <w:r w:rsidRPr="00C62D22">
        <w:rPr>
          <w:sz w:val="28"/>
          <w:szCs w:val="28"/>
          <w:lang w:val="uk-UA"/>
        </w:rPr>
        <w:t>не скупчення, що оточене щільною, добре сформованою капсулою, та для утв</w:t>
      </w:r>
      <w:r w:rsidRPr="00C62D22">
        <w:rPr>
          <w:sz w:val="28"/>
          <w:szCs w:val="28"/>
          <w:lang w:val="uk-UA"/>
        </w:rPr>
        <w:t>о</w:t>
      </w:r>
      <w:r w:rsidRPr="00C62D22">
        <w:rPr>
          <w:sz w:val="28"/>
          <w:szCs w:val="28"/>
          <w:lang w:val="uk-UA"/>
        </w:rPr>
        <w:t>рення якого необхідно не менш ніж 6 тижнів [68, 160, 230]. Від хр</w:t>
      </w:r>
      <w:r w:rsidRPr="00C62D22">
        <w:rPr>
          <w:sz w:val="28"/>
          <w:szCs w:val="28"/>
          <w:lang w:val="uk-UA"/>
        </w:rPr>
        <w:t>о</w:t>
      </w:r>
      <w:r w:rsidRPr="00C62D22">
        <w:rPr>
          <w:sz w:val="28"/>
          <w:szCs w:val="28"/>
          <w:lang w:val="uk-UA"/>
        </w:rPr>
        <w:t>нічної ПК ПЗ слід відрізняти постнекротичну ПК, зважаючи на деякі розбіжності в патогенезі та лік</w:t>
      </w:r>
      <w:r w:rsidRPr="00C62D22">
        <w:rPr>
          <w:sz w:val="28"/>
          <w:szCs w:val="28"/>
          <w:lang w:val="uk-UA"/>
        </w:rPr>
        <w:t>у</w:t>
      </w:r>
      <w:r w:rsidRPr="00C62D22">
        <w:rPr>
          <w:sz w:val="28"/>
          <w:szCs w:val="28"/>
          <w:lang w:val="uk-UA"/>
        </w:rPr>
        <w:t xml:space="preserve">вальній тактиці [24, 29, 113, 150, 152, 240]. </w:t>
      </w:r>
    </w:p>
    <w:p w:rsidR="0021764E" w:rsidRPr="00C62D22" w:rsidRDefault="0021764E" w:rsidP="0021764E">
      <w:pPr>
        <w:pStyle w:val="a5"/>
        <w:spacing w:before="0" w:beforeAutospacing="0" w:after="0" w:afterAutospacing="0" w:line="360" w:lineRule="auto"/>
        <w:ind w:right="22" w:firstLine="540"/>
        <w:jc w:val="both"/>
        <w:rPr>
          <w:sz w:val="28"/>
          <w:szCs w:val="28"/>
          <w:lang w:val="uk-UA"/>
        </w:rPr>
      </w:pPr>
      <w:r w:rsidRPr="00C62D22">
        <w:rPr>
          <w:sz w:val="28"/>
          <w:szCs w:val="28"/>
          <w:lang w:val="uk-UA"/>
        </w:rPr>
        <w:t>Етіопатогенетичні особливості ПК ураховані в класифікації, що запропон</w:t>
      </w:r>
      <w:r w:rsidRPr="00C62D22">
        <w:rPr>
          <w:sz w:val="28"/>
          <w:szCs w:val="28"/>
          <w:lang w:val="uk-UA"/>
        </w:rPr>
        <w:t>о</w:t>
      </w:r>
      <w:r w:rsidRPr="00C62D22">
        <w:rPr>
          <w:sz w:val="28"/>
          <w:szCs w:val="28"/>
          <w:lang w:val="uk-UA"/>
        </w:rPr>
        <w:t>вана D'Egidio A. та</w:t>
      </w:r>
      <w:r w:rsidRPr="00C62D22">
        <w:rPr>
          <w:smallCaps/>
          <w:sz w:val="28"/>
          <w:szCs w:val="28"/>
          <w:lang w:val="uk-UA"/>
        </w:rPr>
        <w:t xml:space="preserve"> </w:t>
      </w:r>
      <w:r w:rsidRPr="00C62D22">
        <w:rPr>
          <w:sz w:val="28"/>
          <w:szCs w:val="28"/>
          <w:lang w:val="uk-UA"/>
        </w:rPr>
        <w:t>Schein M. [339], згідно якої всі запальні ПК розподіляют</w:t>
      </w:r>
      <w:r w:rsidRPr="00C62D22">
        <w:rPr>
          <w:sz w:val="28"/>
          <w:szCs w:val="28"/>
          <w:lang w:val="uk-UA"/>
        </w:rPr>
        <w:t>ь</w:t>
      </w:r>
      <w:r w:rsidRPr="00C62D22">
        <w:rPr>
          <w:sz w:val="28"/>
          <w:szCs w:val="28"/>
          <w:lang w:val="uk-UA"/>
        </w:rPr>
        <w:t>ся на три типи. До ПК І типу ПК ПЗ відносили постне</w:t>
      </w:r>
      <w:r w:rsidRPr="00C62D22">
        <w:rPr>
          <w:sz w:val="28"/>
          <w:szCs w:val="28"/>
          <w:lang w:val="uk-UA"/>
        </w:rPr>
        <w:t>к</w:t>
      </w:r>
      <w:r w:rsidRPr="00C62D22">
        <w:rPr>
          <w:sz w:val="28"/>
          <w:szCs w:val="28"/>
          <w:lang w:val="uk-UA"/>
        </w:rPr>
        <w:t xml:space="preserve">ротичні ПК ПЗ, що утворилися після епізоду ГП або травми ПЗ, мали нормальну анатомію головної панкреатичної </w:t>
      </w:r>
      <w:r w:rsidRPr="00C62D22">
        <w:rPr>
          <w:sz w:val="28"/>
          <w:szCs w:val="28"/>
          <w:lang w:val="uk-UA"/>
        </w:rPr>
        <w:lastRenderedPageBreak/>
        <w:t>протоки (ГПП) та зрідка – зв'язок між ГПП та ПК; до II типу – постнекротичні ПК ПЗ, що утворилися внаслідок атак ГП у хворих з ХП, ГПП була змінена, але без ознак стриктури, та часто була пов’язана з ПК; до III типу – хронічні ретенційні ПК, що виникли при ХП унаслідок стри</w:t>
      </w:r>
      <w:r w:rsidRPr="00C62D22">
        <w:rPr>
          <w:sz w:val="28"/>
          <w:szCs w:val="28"/>
          <w:lang w:val="uk-UA"/>
        </w:rPr>
        <w:t>к</w:t>
      </w:r>
      <w:r w:rsidRPr="00C62D22">
        <w:rPr>
          <w:sz w:val="28"/>
          <w:szCs w:val="28"/>
          <w:lang w:val="uk-UA"/>
        </w:rPr>
        <w:t>тури протоків ПЗ та завжди мали зв'язок з ГПП [339].</w:t>
      </w:r>
      <w:r w:rsidRPr="00C62D22">
        <w:rPr>
          <w:color w:val="3366FF"/>
          <w:sz w:val="28"/>
          <w:szCs w:val="28"/>
          <w:lang w:val="uk-UA"/>
        </w:rPr>
        <w:t xml:space="preserve"> </w:t>
      </w:r>
    </w:p>
    <w:p w:rsidR="0021764E" w:rsidRPr="00C62D22" w:rsidRDefault="0021764E" w:rsidP="0021764E">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Загальними причинами виникнення ПК ПЗ є зловживання алкоголем (59 – 78%), жовчнокам’яна хвороба (ЖКХ) (8 – 15%) та травма ПЗ (менш ніж 10%) [63, 69, 87, 171, 287]. У 15 – 16% ПК ПЗ є ідіопатичними, при цьому в більшості випадків має мі</w:t>
      </w:r>
      <w:r w:rsidRPr="00C62D22">
        <w:rPr>
          <w:rFonts w:ascii="Times New Roman" w:hAnsi="Times New Roman" w:cs="Times New Roman"/>
          <w:sz w:val="28"/>
          <w:szCs w:val="28"/>
        </w:rPr>
        <w:t>с</w:t>
      </w:r>
      <w:r w:rsidRPr="00C62D22">
        <w:rPr>
          <w:rFonts w:ascii="Times New Roman" w:hAnsi="Times New Roman" w:cs="Times New Roman"/>
          <w:sz w:val="28"/>
          <w:szCs w:val="28"/>
        </w:rPr>
        <w:t>це прихований алкоголізм [38].</w:t>
      </w:r>
    </w:p>
    <w:p w:rsidR="0021764E" w:rsidRPr="00C62D22" w:rsidRDefault="0021764E" w:rsidP="0021764E">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Для розуміння патофізіологічних механізмів, що відбуваються в тканині ПЗ при утворенні ПК, необхідне вивчення процесів розвитку ГП та ХП, які йому передують. ГП – гостре асептичне запалення ПЗ, основу якого складають пр</w:t>
      </w:r>
      <w:r w:rsidRPr="00C62D22">
        <w:rPr>
          <w:rFonts w:ascii="Times New Roman" w:hAnsi="Times New Roman" w:cs="Times New Roman"/>
          <w:sz w:val="28"/>
          <w:szCs w:val="28"/>
        </w:rPr>
        <w:t>о</w:t>
      </w:r>
      <w:r w:rsidRPr="00C62D22">
        <w:rPr>
          <w:rFonts w:ascii="Times New Roman" w:hAnsi="Times New Roman" w:cs="Times New Roman"/>
          <w:sz w:val="28"/>
          <w:szCs w:val="28"/>
        </w:rPr>
        <w:t>цеси аутоферментного некробіозу, некрозу та ендогенного інфікування із зал</w:t>
      </w:r>
      <w:r w:rsidRPr="00C62D22">
        <w:rPr>
          <w:rFonts w:ascii="Times New Roman" w:hAnsi="Times New Roman" w:cs="Times New Roman"/>
          <w:sz w:val="28"/>
          <w:szCs w:val="28"/>
        </w:rPr>
        <w:t>у</w:t>
      </w:r>
      <w:r w:rsidRPr="00C62D22">
        <w:rPr>
          <w:rFonts w:ascii="Times New Roman" w:hAnsi="Times New Roman" w:cs="Times New Roman"/>
          <w:sz w:val="28"/>
          <w:szCs w:val="28"/>
        </w:rPr>
        <w:t>ченням до процесу навколишніх тканин позаочеревного прост</w:t>
      </w:r>
      <w:r w:rsidRPr="00C62D22">
        <w:rPr>
          <w:rFonts w:ascii="Times New Roman" w:hAnsi="Times New Roman" w:cs="Times New Roman"/>
          <w:sz w:val="28"/>
          <w:szCs w:val="28"/>
        </w:rPr>
        <w:t>о</w:t>
      </w:r>
      <w:r w:rsidRPr="00C62D22">
        <w:rPr>
          <w:rFonts w:ascii="Times New Roman" w:hAnsi="Times New Roman" w:cs="Times New Roman"/>
          <w:sz w:val="28"/>
          <w:szCs w:val="28"/>
        </w:rPr>
        <w:t>ру, черевної порожнини та комплексу органних систем позаочеревної локалізації [21, 27, 143, 214, 215]. Останнім часом велику роль у патогенезі ГП приділяють процесам позаклітинної загибелі (ПКЗ). Виділяють декілька типів ПКЗ: апоптоз, аутоф</w:t>
      </w:r>
      <w:r w:rsidRPr="00C62D22">
        <w:rPr>
          <w:rFonts w:ascii="Times New Roman" w:hAnsi="Times New Roman" w:cs="Times New Roman"/>
          <w:sz w:val="28"/>
          <w:szCs w:val="28"/>
        </w:rPr>
        <w:t>а</w:t>
      </w:r>
      <w:r w:rsidRPr="00C62D22">
        <w:rPr>
          <w:rFonts w:ascii="Times New Roman" w:hAnsi="Times New Roman" w:cs="Times New Roman"/>
          <w:sz w:val="28"/>
          <w:szCs w:val="28"/>
        </w:rPr>
        <w:t>гічну загибель та запрограмований некроз [227]. Принциповим досягненням при вивче</w:t>
      </w:r>
      <w:r w:rsidRPr="00C62D22">
        <w:rPr>
          <w:rFonts w:ascii="Times New Roman" w:hAnsi="Times New Roman" w:cs="Times New Roman"/>
          <w:sz w:val="28"/>
          <w:szCs w:val="28"/>
        </w:rPr>
        <w:t>н</w:t>
      </w:r>
      <w:r w:rsidRPr="00C62D22">
        <w:rPr>
          <w:rFonts w:ascii="Times New Roman" w:hAnsi="Times New Roman" w:cs="Times New Roman"/>
          <w:sz w:val="28"/>
          <w:szCs w:val="28"/>
        </w:rPr>
        <w:t>ні ПК ПЗ є встановлення програмованого характеру біохімічних змін, які призводять до некрозу [183, 214, 215]. У запуску апоптозу беруть участь різні органели, насамперед це плазматична мембрана та мітохондрії. Індукція апоптозу та активація проапоптичних білків призводе до активації каспаз (цистеїнових пр</w:t>
      </w:r>
      <w:r w:rsidRPr="00C62D22">
        <w:rPr>
          <w:rFonts w:ascii="Times New Roman" w:hAnsi="Times New Roman" w:cs="Times New Roman"/>
          <w:sz w:val="28"/>
          <w:szCs w:val="28"/>
        </w:rPr>
        <w:t>о</w:t>
      </w:r>
      <w:r w:rsidRPr="00C62D22">
        <w:rPr>
          <w:rFonts w:ascii="Times New Roman" w:hAnsi="Times New Roman" w:cs="Times New Roman"/>
          <w:sz w:val="28"/>
          <w:szCs w:val="28"/>
        </w:rPr>
        <w:t>теаз). Крім каспазного, в останні роки розрізняють некаспазний механізм апоптичної загибелі, при якому відбув</w:t>
      </w:r>
      <w:r w:rsidRPr="00C62D22">
        <w:rPr>
          <w:rFonts w:ascii="Times New Roman" w:hAnsi="Times New Roman" w:cs="Times New Roman"/>
          <w:sz w:val="28"/>
          <w:szCs w:val="28"/>
        </w:rPr>
        <w:t>а</w:t>
      </w:r>
      <w:r w:rsidRPr="00C62D22">
        <w:rPr>
          <w:rFonts w:ascii="Times New Roman" w:hAnsi="Times New Roman" w:cs="Times New Roman"/>
          <w:sz w:val="28"/>
          <w:szCs w:val="28"/>
        </w:rPr>
        <w:t>ється вихід з мітохондрії та міграція до ядра флавопротеїну IF та ендонуклеази G, які викликають розпад ядерної дезоксинуклеїнової кислоти (ДНК) на великі фрагменти. Апоптичні кліт</w:t>
      </w:r>
      <w:r w:rsidRPr="00C62D22">
        <w:rPr>
          <w:rFonts w:ascii="Times New Roman" w:hAnsi="Times New Roman" w:cs="Times New Roman"/>
          <w:sz w:val="28"/>
          <w:szCs w:val="28"/>
        </w:rPr>
        <w:t>и</w:t>
      </w:r>
      <w:r w:rsidRPr="00C62D22">
        <w:rPr>
          <w:rFonts w:ascii="Times New Roman" w:hAnsi="Times New Roman" w:cs="Times New Roman"/>
          <w:sz w:val="28"/>
          <w:szCs w:val="28"/>
        </w:rPr>
        <w:t>ни та тільця експонують на поверхні сигнальні та адгезивні молекули, які упізнаються сусідніми клітинами та макрофагами та сприяють фагоцит</w:t>
      </w:r>
      <w:r w:rsidRPr="00C62D22">
        <w:rPr>
          <w:rFonts w:ascii="Times New Roman" w:hAnsi="Times New Roman" w:cs="Times New Roman"/>
          <w:sz w:val="28"/>
          <w:szCs w:val="28"/>
        </w:rPr>
        <w:t>о</w:t>
      </w:r>
      <w:r w:rsidRPr="00C62D22">
        <w:rPr>
          <w:rFonts w:ascii="Times New Roman" w:hAnsi="Times New Roman" w:cs="Times New Roman"/>
          <w:sz w:val="28"/>
          <w:szCs w:val="28"/>
        </w:rPr>
        <w:t>зу [227].</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iCs/>
          <w:sz w:val="28"/>
          <w:szCs w:val="28"/>
        </w:rPr>
        <w:t xml:space="preserve">Тривалий час некроз розглядали як варіант неспецифічної загибелі клітини. Фактичною причиною загибелі при некрозі вважають різке падіння вмісту </w:t>
      </w:r>
      <w:r w:rsidRPr="00C62D22">
        <w:rPr>
          <w:rFonts w:ascii="Times New Roman" w:hAnsi="Times New Roman" w:cs="Times New Roman"/>
          <w:iCs/>
          <w:sz w:val="28"/>
          <w:szCs w:val="28"/>
        </w:rPr>
        <w:lastRenderedPageBreak/>
        <w:t xml:space="preserve">аденозинтрифосфату (АТФ) у клітинах до такого рівня, який не сумісний з життям </w:t>
      </w:r>
      <w:r w:rsidRPr="00C62D22">
        <w:rPr>
          <w:rFonts w:ascii="Times New Roman" w:hAnsi="Times New Roman" w:cs="Times New Roman"/>
          <w:sz w:val="28"/>
          <w:szCs w:val="28"/>
        </w:rPr>
        <w:t>[227]. «Енергетична катастрофа» може бути викликана токсинами чи фіз</w:t>
      </w:r>
      <w:r w:rsidRPr="00C62D22">
        <w:rPr>
          <w:rFonts w:ascii="Times New Roman" w:hAnsi="Times New Roman" w:cs="Times New Roman"/>
          <w:sz w:val="28"/>
          <w:szCs w:val="28"/>
        </w:rPr>
        <w:t>и</w:t>
      </w:r>
      <w:r w:rsidRPr="00C62D22">
        <w:rPr>
          <w:rFonts w:ascii="Times New Roman" w:hAnsi="Times New Roman" w:cs="Times New Roman"/>
          <w:sz w:val="28"/>
          <w:szCs w:val="28"/>
        </w:rPr>
        <w:t>чними ушкодженнями. Існує сигнальний шлях ініціації некрозу у відповідь на зв’язування рецепторами таких молекул, як: фактор некрозу пухлин, на тлі ут</w:t>
      </w:r>
      <w:r w:rsidRPr="00C62D22">
        <w:rPr>
          <w:rFonts w:ascii="Times New Roman" w:hAnsi="Times New Roman" w:cs="Times New Roman"/>
          <w:sz w:val="28"/>
          <w:szCs w:val="28"/>
        </w:rPr>
        <w:t>и</w:t>
      </w:r>
      <w:r w:rsidRPr="00C62D22">
        <w:rPr>
          <w:rFonts w:ascii="Times New Roman" w:hAnsi="Times New Roman" w:cs="Times New Roman"/>
          <w:sz w:val="28"/>
          <w:szCs w:val="28"/>
        </w:rPr>
        <w:t>снення апоптозу. Індукувати програму некрозу можна при активації прогр</w:t>
      </w:r>
      <w:r w:rsidRPr="00C62D22">
        <w:rPr>
          <w:rFonts w:ascii="Times New Roman" w:hAnsi="Times New Roman" w:cs="Times New Roman"/>
          <w:sz w:val="28"/>
          <w:szCs w:val="28"/>
        </w:rPr>
        <w:t>а</w:t>
      </w:r>
      <w:r w:rsidRPr="00C62D22">
        <w:rPr>
          <w:rFonts w:ascii="Times New Roman" w:hAnsi="Times New Roman" w:cs="Times New Roman"/>
          <w:sz w:val="28"/>
          <w:szCs w:val="28"/>
        </w:rPr>
        <w:t>ми апоптозу зв’язуванням таких лігандів як Fas, TRAIL або, викликаючи гіперек</w:t>
      </w:r>
      <w:r w:rsidRPr="00C62D22">
        <w:rPr>
          <w:rFonts w:ascii="Times New Roman" w:hAnsi="Times New Roman" w:cs="Times New Roman"/>
          <w:sz w:val="28"/>
          <w:szCs w:val="28"/>
        </w:rPr>
        <w:t>с</w:t>
      </w:r>
      <w:r w:rsidRPr="00C62D22">
        <w:rPr>
          <w:rFonts w:ascii="Times New Roman" w:hAnsi="Times New Roman" w:cs="Times New Roman"/>
          <w:sz w:val="28"/>
          <w:szCs w:val="28"/>
        </w:rPr>
        <w:t>пресію проапоптичного білка Bax, і в той же час, викликаючи гіперекспресію антиап</w:t>
      </w:r>
      <w:r w:rsidRPr="00C62D22">
        <w:rPr>
          <w:rFonts w:ascii="Times New Roman" w:hAnsi="Times New Roman" w:cs="Times New Roman"/>
          <w:sz w:val="28"/>
          <w:szCs w:val="28"/>
        </w:rPr>
        <w:t>о</w:t>
      </w:r>
      <w:r w:rsidRPr="00C62D22">
        <w:rPr>
          <w:rFonts w:ascii="Times New Roman" w:hAnsi="Times New Roman" w:cs="Times New Roman"/>
          <w:sz w:val="28"/>
          <w:szCs w:val="28"/>
        </w:rPr>
        <w:t>птичних білків. На сьогодні відомо, ГП – аутолітичний процес, який супроводжується активацією панкреатичних ензимів у ацинусах та навк</w:t>
      </w:r>
      <w:r w:rsidRPr="00C62D22">
        <w:rPr>
          <w:rFonts w:ascii="Times New Roman" w:hAnsi="Times New Roman" w:cs="Times New Roman"/>
          <w:sz w:val="28"/>
          <w:szCs w:val="28"/>
        </w:rPr>
        <w:t>о</w:t>
      </w:r>
      <w:r w:rsidRPr="00C62D22">
        <w:rPr>
          <w:rFonts w:ascii="Times New Roman" w:hAnsi="Times New Roman" w:cs="Times New Roman"/>
          <w:sz w:val="28"/>
          <w:szCs w:val="28"/>
        </w:rPr>
        <w:t>ло них. Після першої дії на тканини власних ферментів починають дію прозапальні (фа</w:t>
      </w:r>
      <w:r w:rsidRPr="00C62D22">
        <w:rPr>
          <w:rFonts w:ascii="Times New Roman" w:hAnsi="Times New Roman" w:cs="Times New Roman"/>
          <w:sz w:val="28"/>
          <w:szCs w:val="28"/>
        </w:rPr>
        <w:t>к</w:t>
      </w:r>
      <w:r w:rsidRPr="00C62D22">
        <w:rPr>
          <w:rFonts w:ascii="Times New Roman" w:hAnsi="Times New Roman" w:cs="Times New Roman"/>
          <w:sz w:val="28"/>
          <w:szCs w:val="28"/>
        </w:rPr>
        <w:t>тор некрозу пухлин (ТNF–α), ІL–1, ІL–6, ІL–8) [241, 379, 422] та протизапальні (ІL–10, ІL–4) ЦК [422].</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В останні роки активно проводиться вивчення ендотеліальної дисфункції (ЕД) у хворих при ГП та його ускладненнях. ЕД є патологічним станом, що виникає на тлі порушення продукції ендотеліальних факторів. Це призводить до змін функції органів і систем організму, які виникають на тлі дисбалансу між продукцією судинорозширюючих, ангіопротекторних, ангіопроліферат</w:t>
      </w:r>
      <w:r w:rsidRPr="00C62D22">
        <w:rPr>
          <w:rFonts w:ascii="Times New Roman" w:hAnsi="Times New Roman" w:cs="Times New Roman"/>
          <w:sz w:val="28"/>
          <w:szCs w:val="28"/>
        </w:rPr>
        <w:t>и</w:t>
      </w:r>
      <w:r w:rsidRPr="00C62D22">
        <w:rPr>
          <w:rFonts w:ascii="Times New Roman" w:hAnsi="Times New Roman" w:cs="Times New Roman"/>
          <w:sz w:val="28"/>
          <w:szCs w:val="28"/>
        </w:rPr>
        <w:t>вних факторів, з одного боку, і вмістом судинозвужуючих, протромботи</w:t>
      </w:r>
      <w:r w:rsidRPr="00C62D22">
        <w:rPr>
          <w:rFonts w:ascii="Times New Roman" w:hAnsi="Times New Roman" w:cs="Times New Roman"/>
          <w:sz w:val="28"/>
          <w:szCs w:val="28"/>
        </w:rPr>
        <w:t>ч</w:t>
      </w:r>
      <w:r w:rsidRPr="00C62D22">
        <w:rPr>
          <w:rFonts w:ascii="Times New Roman" w:hAnsi="Times New Roman" w:cs="Times New Roman"/>
          <w:sz w:val="28"/>
          <w:szCs w:val="28"/>
        </w:rPr>
        <w:t>них, проліферативних з іншого. Ендотелій бере участь у регуляції суди</w:t>
      </w:r>
      <w:r w:rsidRPr="00C62D22">
        <w:rPr>
          <w:rFonts w:ascii="Times New Roman" w:hAnsi="Times New Roman" w:cs="Times New Roman"/>
          <w:sz w:val="28"/>
          <w:szCs w:val="28"/>
        </w:rPr>
        <w:t>н</w:t>
      </w:r>
      <w:r w:rsidRPr="00C62D22">
        <w:rPr>
          <w:rFonts w:ascii="Times New Roman" w:hAnsi="Times New Roman" w:cs="Times New Roman"/>
          <w:sz w:val="28"/>
          <w:szCs w:val="28"/>
        </w:rPr>
        <w:t>ного тонусу, проникності судин, адгезії тромбоцитів і лейкоцитів, ангіогенезі, тро</w:t>
      </w:r>
      <w:r w:rsidRPr="00C62D22">
        <w:rPr>
          <w:rFonts w:ascii="Times New Roman" w:hAnsi="Times New Roman" w:cs="Times New Roman"/>
          <w:sz w:val="28"/>
          <w:szCs w:val="28"/>
        </w:rPr>
        <w:t>м</w:t>
      </w:r>
      <w:r w:rsidRPr="00C62D22">
        <w:rPr>
          <w:rFonts w:ascii="Times New Roman" w:hAnsi="Times New Roman" w:cs="Times New Roman"/>
          <w:sz w:val="28"/>
          <w:szCs w:val="28"/>
        </w:rPr>
        <w:t>борезистентності, імунній відповіді, синтезі медіаторів запалення та їх інгібіт</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рів, а також здійснює бар’єрні функції [214, 259, 307, 375, 397]. </w:t>
      </w:r>
      <w:r w:rsidRPr="00C62D22">
        <w:rPr>
          <w:rFonts w:ascii="Times New Roman" w:eastAsia="TimesNewRomanPS-ItalicMT" w:hAnsi="Times New Roman" w:cs="Times New Roman"/>
          <w:iCs/>
          <w:sz w:val="28"/>
          <w:szCs w:val="28"/>
        </w:rPr>
        <w:t>Ендотеліальні клітини (ЕК) формують взаємодію між тканинами та запальними клітинами, що дозволяє лок</w:t>
      </w:r>
      <w:r w:rsidRPr="00C62D22">
        <w:rPr>
          <w:rFonts w:ascii="Times New Roman" w:eastAsia="TimesNewRomanPS-ItalicMT" w:hAnsi="Times New Roman" w:cs="Times New Roman"/>
          <w:iCs/>
          <w:sz w:val="28"/>
          <w:szCs w:val="28"/>
        </w:rPr>
        <w:t>а</w:t>
      </w:r>
      <w:r w:rsidRPr="00C62D22">
        <w:rPr>
          <w:rFonts w:ascii="Times New Roman" w:eastAsia="TimesNewRomanPS-ItalicMT" w:hAnsi="Times New Roman" w:cs="Times New Roman"/>
          <w:iCs/>
          <w:sz w:val="28"/>
          <w:szCs w:val="28"/>
        </w:rPr>
        <w:t>лізувати запальну реакцію в місці ушкодження або інфекції, захищаючи оточуючі тканини від ушкоджуючих агентів. Ендотелій забезпечує локальну зап</w:t>
      </w:r>
      <w:r w:rsidRPr="00C62D22">
        <w:rPr>
          <w:rFonts w:ascii="Times New Roman" w:eastAsia="TimesNewRomanPS-ItalicMT" w:hAnsi="Times New Roman" w:cs="Times New Roman"/>
          <w:iCs/>
          <w:sz w:val="28"/>
          <w:szCs w:val="28"/>
        </w:rPr>
        <w:t>а</w:t>
      </w:r>
      <w:r w:rsidRPr="00C62D22">
        <w:rPr>
          <w:rFonts w:ascii="Times New Roman" w:eastAsia="TimesNewRomanPS-ItalicMT" w:hAnsi="Times New Roman" w:cs="Times New Roman"/>
          <w:iCs/>
          <w:sz w:val="28"/>
          <w:szCs w:val="28"/>
        </w:rPr>
        <w:t>льну відповідь крізь модуляцію судинного току, збільшуючи проникнення судинної стінки, індукування протромбогенної поверхні, стимуляції лейкоцит</w:t>
      </w:r>
      <w:r w:rsidRPr="00C62D22">
        <w:rPr>
          <w:rFonts w:ascii="Times New Roman" w:eastAsia="TimesNewRomanPS-ItalicMT" w:hAnsi="Times New Roman" w:cs="Times New Roman"/>
          <w:iCs/>
          <w:sz w:val="28"/>
          <w:szCs w:val="28"/>
        </w:rPr>
        <w:t>а</w:t>
      </w:r>
      <w:r w:rsidRPr="00C62D22">
        <w:rPr>
          <w:rFonts w:ascii="Times New Roman" w:eastAsia="TimesNewRomanPS-ItalicMT" w:hAnsi="Times New Roman" w:cs="Times New Roman"/>
          <w:iCs/>
          <w:sz w:val="28"/>
          <w:szCs w:val="28"/>
        </w:rPr>
        <w:t xml:space="preserve">рної екстравазації, що свідчить про первинну його роль у патогенезі системної відповіді </w:t>
      </w:r>
      <w:r w:rsidRPr="00C62D22">
        <w:rPr>
          <w:rFonts w:ascii="Times New Roman" w:hAnsi="Times New Roman" w:cs="Times New Roman"/>
          <w:sz w:val="28"/>
          <w:szCs w:val="28"/>
        </w:rPr>
        <w:t xml:space="preserve">[214]. </w:t>
      </w:r>
      <w:r w:rsidRPr="00C62D22">
        <w:rPr>
          <w:rFonts w:ascii="Times New Roman" w:eastAsia="TimesNewRomanPS-ItalicMT" w:hAnsi="Times New Roman" w:cs="Times New Roman"/>
          <w:iCs/>
          <w:sz w:val="28"/>
          <w:szCs w:val="28"/>
        </w:rPr>
        <w:t>Усі ендотеліальні фактори поділяються на викликаючі скор</w:t>
      </w:r>
      <w:r w:rsidRPr="00C62D22">
        <w:rPr>
          <w:rFonts w:ascii="Times New Roman" w:eastAsia="TimesNewRomanPS-ItalicMT" w:hAnsi="Times New Roman" w:cs="Times New Roman"/>
          <w:iCs/>
          <w:sz w:val="28"/>
          <w:szCs w:val="28"/>
        </w:rPr>
        <w:t>о</w:t>
      </w:r>
      <w:r w:rsidRPr="00C62D22">
        <w:rPr>
          <w:rFonts w:ascii="Times New Roman" w:eastAsia="TimesNewRomanPS-ItalicMT" w:hAnsi="Times New Roman" w:cs="Times New Roman"/>
          <w:iCs/>
          <w:sz w:val="28"/>
          <w:szCs w:val="28"/>
        </w:rPr>
        <w:t>чення та розслаблення м’язового шару судинної стінки (констриктори та діл</w:t>
      </w:r>
      <w:r w:rsidRPr="00C62D22">
        <w:rPr>
          <w:rFonts w:ascii="Times New Roman" w:eastAsia="TimesNewRomanPS-ItalicMT" w:hAnsi="Times New Roman" w:cs="Times New Roman"/>
          <w:iCs/>
          <w:sz w:val="28"/>
          <w:szCs w:val="28"/>
        </w:rPr>
        <w:t>я</w:t>
      </w:r>
      <w:r w:rsidRPr="00C62D22">
        <w:rPr>
          <w:rFonts w:ascii="Times New Roman" w:eastAsia="TimesNewRomanPS-ItalicMT" w:hAnsi="Times New Roman" w:cs="Times New Roman"/>
          <w:iCs/>
          <w:sz w:val="28"/>
          <w:szCs w:val="28"/>
        </w:rPr>
        <w:t>татори). У ранні терміни перебігу запальної реакції вазодилятація, що розвив</w:t>
      </w:r>
      <w:r w:rsidRPr="00C62D22">
        <w:rPr>
          <w:rFonts w:ascii="Times New Roman" w:eastAsia="TimesNewRomanPS-ItalicMT" w:hAnsi="Times New Roman" w:cs="Times New Roman"/>
          <w:iCs/>
          <w:sz w:val="28"/>
          <w:szCs w:val="28"/>
        </w:rPr>
        <w:t>а</w:t>
      </w:r>
      <w:r w:rsidRPr="00C62D22">
        <w:rPr>
          <w:rFonts w:ascii="Times New Roman" w:eastAsia="TimesNewRomanPS-ItalicMT" w:hAnsi="Times New Roman" w:cs="Times New Roman"/>
          <w:iCs/>
          <w:sz w:val="28"/>
          <w:szCs w:val="28"/>
        </w:rPr>
        <w:t xml:space="preserve">ється, призводе до посилення кровотоку, а значить </w:t>
      </w:r>
      <w:r w:rsidRPr="00C62D22">
        <w:rPr>
          <w:rFonts w:ascii="Times New Roman" w:eastAsia="TimesNewRomanPS-ItalicMT" w:hAnsi="Times New Roman" w:cs="Times New Roman"/>
          <w:iCs/>
          <w:sz w:val="28"/>
          <w:szCs w:val="28"/>
        </w:rPr>
        <w:lastRenderedPageBreak/>
        <w:t>і до транспорту білків пла</w:t>
      </w:r>
      <w:r w:rsidRPr="00C62D22">
        <w:rPr>
          <w:rFonts w:ascii="Times New Roman" w:eastAsia="TimesNewRomanPS-ItalicMT" w:hAnsi="Times New Roman" w:cs="Times New Roman"/>
          <w:iCs/>
          <w:sz w:val="28"/>
          <w:szCs w:val="28"/>
        </w:rPr>
        <w:t>з</w:t>
      </w:r>
      <w:r w:rsidRPr="00C62D22">
        <w:rPr>
          <w:rFonts w:ascii="Times New Roman" w:eastAsia="TimesNewRomanPS-ItalicMT" w:hAnsi="Times New Roman" w:cs="Times New Roman"/>
          <w:iCs/>
          <w:sz w:val="28"/>
          <w:szCs w:val="28"/>
        </w:rPr>
        <w:t>ми та лейкоцитів до ділянки запалення. При цьому більшість вазодилят</w:t>
      </w:r>
      <w:r w:rsidRPr="00C62D22">
        <w:rPr>
          <w:rFonts w:ascii="Times New Roman" w:eastAsia="TimesNewRomanPS-ItalicMT" w:hAnsi="Times New Roman" w:cs="Times New Roman"/>
          <w:iCs/>
          <w:sz w:val="28"/>
          <w:szCs w:val="28"/>
        </w:rPr>
        <w:t>а</w:t>
      </w:r>
      <w:r w:rsidRPr="00C62D22">
        <w:rPr>
          <w:rFonts w:ascii="Times New Roman" w:eastAsia="TimesNewRomanPS-ItalicMT" w:hAnsi="Times New Roman" w:cs="Times New Roman"/>
          <w:iCs/>
          <w:sz w:val="28"/>
          <w:szCs w:val="28"/>
        </w:rPr>
        <w:t>торів, стимулюючи ендотелій, діють опосередковано, у результаті цього виділяються медіатори, які розслабляють м’язовий шар. Такими медіат</w:t>
      </w:r>
      <w:r w:rsidRPr="00C62D22">
        <w:rPr>
          <w:rFonts w:ascii="Times New Roman" w:eastAsia="TimesNewRomanPS-ItalicMT" w:hAnsi="Times New Roman" w:cs="Times New Roman"/>
          <w:iCs/>
          <w:sz w:val="28"/>
          <w:szCs w:val="28"/>
        </w:rPr>
        <w:t>о</w:t>
      </w:r>
      <w:r w:rsidRPr="00C62D22">
        <w:rPr>
          <w:rFonts w:ascii="Times New Roman" w:eastAsia="TimesNewRomanPS-ItalicMT" w:hAnsi="Times New Roman" w:cs="Times New Roman"/>
          <w:iCs/>
          <w:sz w:val="28"/>
          <w:szCs w:val="28"/>
        </w:rPr>
        <w:t>рами є простациклін, який синтезується ендотелієм у відповідь на секрецію супероксидних рад</w:t>
      </w:r>
      <w:r w:rsidRPr="00C62D22">
        <w:rPr>
          <w:rFonts w:ascii="Times New Roman" w:eastAsia="TimesNewRomanPS-ItalicMT" w:hAnsi="Times New Roman" w:cs="Times New Roman"/>
          <w:iCs/>
          <w:sz w:val="28"/>
          <w:szCs w:val="28"/>
        </w:rPr>
        <w:t>и</w:t>
      </w:r>
      <w:r w:rsidRPr="00C62D22">
        <w:rPr>
          <w:rFonts w:ascii="Times New Roman" w:eastAsia="TimesNewRomanPS-ItalicMT" w:hAnsi="Times New Roman" w:cs="Times New Roman"/>
          <w:iCs/>
          <w:sz w:val="28"/>
          <w:szCs w:val="28"/>
        </w:rPr>
        <w:t>калів, тромбіну, лейкотрієну С</w:t>
      </w:r>
      <w:r w:rsidRPr="00C62D22">
        <w:rPr>
          <w:rFonts w:ascii="Times New Roman" w:eastAsia="TimesNewRomanPS-ItalicMT" w:hAnsi="Times New Roman" w:cs="Times New Roman"/>
          <w:iCs/>
          <w:sz w:val="28"/>
          <w:szCs w:val="28"/>
          <w:vertAlign w:val="subscript"/>
        </w:rPr>
        <w:t xml:space="preserve">4 </w:t>
      </w:r>
      <w:r w:rsidRPr="00C62D22">
        <w:rPr>
          <w:rFonts w:ascii="Times New Roman" w:eastAsia="TimesNewRomanPSMT" w:hAnsi="Times New Roman" w:cs="Times New Roman"/>
          <w:sz w:val="28"/>
          <w:szCs w:val="28"/>
        </w:rPr>
        <w:t>(LTC</w:t>
      </w:r>
      <w:r w:rsidRPr="00C62D22">
        <w:rPr>
          <w:rFonts w:ascii="Times New Roman" w:eastAsia="TimesNewRomanPSMT" w:hAnsi="Times New Roman" w:cs="Times New Roman"/>
          <w:sz w:val="28"/>
          <w:szCs w:val="28"/>
          <w:vertAlign w:val="subscript"/>
        </w:rPr>
        <w:t>4</w:t>
      </w:r>
      <w:r w:rsidRPr="00C62D22">
        <w:rPr>
          <w:rFonts w:ascii="Times New Roman" w:eastAsia="TimesNewRomanPSMT" w:hAnsi="Times New Roman" w:cs="Times New Roman"/>
          <w:sz w:val="28"/>
          <w:szCs w:val="28"/>
        </w:rPr>
        <w:t>) та протизапальних цитокінів (ЦК) (ТNF</w:t>
      </w: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α, IL</w:t>
      </w: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1); ендотеліального релаксуючого фактора (ЕDRF), ко</w:t>
      </w:r>
      <w:r w:rsidRPr="00C62D22">
        <w:rPr>
          <w:rFonts w:ascii="Times New Roman" w:eastAsia="TimesNewRomanPSMT" w:hAnsi="Times New Roman" w:cs="Times New Roman"/>
          <w:sz w:val="28"/>
          <w:szCs w:val="28"/>
        </w:rPr>
        <w:t>м</w:t>
      </w:r>
      <w:r w:rsidRPr="00C62D22">
        <w:rPr>
          <w:rFonts w:ascii="Times New Roman" w:eastAsia="TimesNewRomanPSMT" w:hAnsi="Times New Roman" w:cs="Times New Roman"/>
          <w:sz w:val="28"/>
          <w:szCs w:val="28"/>
        </w:rPr>
        <w:t xml:space="preserve">понентом якого є оксид азоту (NO) </w:t>
      </w:r>
      <w:r w:rsidRPr="00C62D22">
        <w:rPr>
          <w:rFonts w:ascii="Times New Roman" w:hAnsi="Times New Roman" w:cs="Times New Roman"/>
          <w:sz w:val="28"/>
          <w:szCs w:val="28"/>
        </w:rPr>
        <w:t>[238, 379, 400, 423]</w:t>
      </w:r>
      <w:r w:rsidRPr="00C62D22">
        <w:rPr>
          <w:rFonts w:ascii="Times New Roman" w:eastAsia="TimesNewRomanPSMT" w:hAnsi="Times New Roman" w:cs="Times New Roman"/>
          <w:sz w:val="28"/>
          <w:szCs w:val="28"/>
        </w:rPr>
        <w:t>. Крім того, ендотелій синтезує вазок</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нстриктори: ендотелін</w:t>
      </w: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1 та тромбоцитарний фактор росту (РDGF), а стимульовані ЦК, ЕК секретують фактор активації тромбоцитів (РАF), який зал</w:t>
      </w:r>
      <w:r w:rsidRPr="00C62D22">
        <w:rPr>
          <w:rFonts w:ascii="Times New Roman" w:eastAsia="TimesNewRomanPSMT" w:hAnsi="Times New Roman" w:cs="Times New Roman"/>
          <w:sz w:val="28"/>
          <w:szCs w:val="28"/>
        </w:rPr>
        <w:t>е</w:t>
      </w:r>
      <w:r w:rsidRPr="00C62D22">
        <w:rPr>
          <w:rFonts w:ascii="Times New Roman" w:eastAsia="TimesNewRomanPSMT" w:hAnsi="Times New Roman" w:cs="Times New Roman"/>
          <w:sz w:val="28"/>
          <w:szCs w:val="28"/>
        </w:rPr>
        <w:t>жно від дозування скорочує чи розслаблює гладкі м’язи судин. РАF експресується ендотелієм у період шоку у відповідь на дію ендотоксину та інших стимуляторів (лейкотрієнів, тромбіну, гістаміну), бере участь в адгезії поліморфно</w:t>
      </w:r>
      <w:r w:rsidRPr="00C62D22">
        <w:rPr>
          <w:rFonts w:ascii="Times New Roman" w:eastAsia="TimesNewRomanPSMT" w:hAnsi="Times New Roman" w:cs="Times New Roman"/>
          <w:sz w:val="28"/>
          <w:szCs w:val="28"/>
        </w:rPr>
        <w:t>я</w:t>
      </w:r>
      <w:r w:rsidRPr="00C62D22">
        <w:rPr>
          <w:rFonts w:ascii="Times New Roman" w:eastAsia="TimesNewRomanPSMT" w:hAnsi="Times New Roman" w:cs="Times New Roman"/>
          <w:sz w:val="28"/>
          <w:szCs w:val="28"/>
        </w:rPr>
        <w:t>дерних нейтрофілів до ЕК крізь РАF-рецептори. Підвищений рівень РАF, що хара</w:t>
      </w:r>
      <w:r w:rsidRPr="00C62D22">
        <w:rPr>
          <w:rFonts w:ascii="Times New Roman" w:eastAsia="TimesNewRomanPSMT" w:hAnsi="Times New Roman" w:cs="Times New Roman"/>
          <w:sz w:val="28"/>
          <w:szCs w:val="28"/>
        </w:rPr>
        <w:t>к</w:t>
      </w:r>
      <w:r w:rsidRPr="00C62D22">
        <w:rPr>
          <w:rFonts w:ascii="Times New Roman" w:eastAsia="TimesNewRomanPSMT" w:hAnsi="Times New Roman" w:cs="Times New Roman"/>
          <w:sz w:val="28"/>
          <w:szCs w:val="28"/>
        </w:rPr>
        <w:t>терний для шоку та сепсису, є важливим токсичним медіатором, який відповідає за органні ушкодження при ГП за рахунок збільшення проникнення судинної стінки. Дії запальних агентів ЦК та активованих нейтрофілів призводять до підвищення проникнення судинної стінки, екстравазації рідини та бі</w:t>
      </w:r>
      <w:r w:rsidRPr="00C62D22">
        <w:rPr>
          <w:rFonts w:ascii="Times New Roman" w:eastAsia="TimesNewRomanPSMT" w:hAnsi="Times New Roman" w:cs="Times New Roman"/>
          <w:sz w:val="28"/>
          <w:szCs w:val="28"/>
        </w:rPr>
        <w:t>л</w:t>
      </w:r>
      <w:r w:rsidRPr="00C62D22">
        <w:rPr>
          <w:rFonts w:ascii="Times New Roman" w:eastAsia="TimesNewRomanPSMT" w:hAnsi="Times New Roman" w:cs="Times New Roman"/>
          <w:sz w:val="28"/>
          <w:szCs w:val="28"/>
        </w:rPr>
        <w:t>ків, стазу крові, викликаючи адгезію лейкоцитів на поверхні ендотелію. Агоністи, які підвищують рівень внутрішньоклітинного кальцію (тромбін, фі</w:t>
      </w:r>
      <w:r w:rsidRPr="00C62D22">
        <w:rPr>
          <w:rFonts w:ascii="Times New Roman" w:eastAsia="TimesNewRomanPSMT" w:hAnsi="Times New Roman" w:cs="Times New Roman"/>
          <w:sz w:val="28"/>
          <w:szCs w:val="28"/>
        </w:rPr>
        <w:t>б</w:t>
      </w:r>
      <w:r w:rsidRPr="00C62D22">
        <w:rPr>
          <w:rFonts w:ascii="Times New Roman" w:eastAsia="TimesNewRomanPSMT" w:hAnsi="Times New Roman" w:cs="Times New Roman"/>
          <w:sz w:val="28"/>
          <w:szCs w:val="28"/>
        </w:rPr>
        <w:t>рин, гістамін), викликають скорочення та сепарацію ЕК у ранній період запал</w:t>
      </w:r>
      <w:r w:rsidRPr="00C62D22">
        <w:rPr>
          <w:rFonts w:ascii="Times New Roman" w:eastAsia="TimesNewRomanPSMT" w:hAnsi="Times New Roman" w:cs="Times New Roman"/>
          <w:sz w:val="28"/>
          <w:szCs w:val="28"/>
        </w:rPr>
        <w:t>ь</w:t>
      </w:r>
      <w:r w:rsidRPr="00C62D22">
        <w:rPr>
          <w:rFonts w:ascii="Times New Roman" w:eastAsia="TimesNewRomanPSMT" w:hAnsi="Times New Roman" w:cs="Times New Roman"/>
          <w:sz w:val="28"/>
          <w:szCs w:val="28"/>
        </w:rPr>
        <w:t>ної реакції. ЦК (ТNF</w:t>
      </w: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α, IL</w:t>
      </w: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1, γ</w:t>
      </w: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інтерферон) сприяють збільшенню пр</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никнення судинної стінки в більш пізніші терміни ГП шляхом перебудови кл</w:t>
      </w:r>
      <w:r w:rsidRPr="00C62D22">
        <w:rPr>
          <w:rFonts w:ascii="Times New Roman" w:eastAsia="TimesNewRomanPSMT" w:hAnsi="Times New Roman" w:cs="Times New Roman"/>
          <w:sz w:val="28"/>
          <w:szCs w:val="28"/>
        </w:rPr>
        <w:t>і</w:t>
      </w:r>
      <w:r w:rsidRPr="00C62D22">
        <w:rPr>
          <w:rFonts w:ascii="Times New Roman" w:eastAsia="TimesNewRomanPSMT" w:hAnsi="Times New Roman" w:cs="Times New Roman"/>
          <w:sz w:val="28"/>
          <w:szCs w:val="28"/>
        </w:rPr>
        <w:t xml:space="preserve">тинної структури ендотелію </w:t>
      </w:r>
      <w:r w:rsidRPr="00C62D22">
        <w:rPr>
          <w:rFonts w:ascii="Times New Roman" w:hAnsi="Times New Roman" w:cs="Times New Roman"/>
          <w:sz w:val="28"/>
          <w:szCs w:val="28"/>
        </w:rPr>
        <w:t>[69, 85, 111]</w:t>
      </w:r>
      <w:r w:rsidRPr="00C62D22">
        <w:rPr>
          <w:rFonts w:ascii="Times New Roman" w:eastAsia="TimesNewRomanPSMT" w:hAnsi="Times New Roman" w:cs="Times New Roman"/>
          <w:sz w:val="28"/>
          <w:szCs w:val="28"/>
        </w:rPr>
        <w:t>. Підвищенню проникнення судинної стінки т</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кож сприяють адгезовані на поверхні ендотелію нейтрофіли, які викликають збіл</w:t>
      </w:r>
      <w:r w:rsidRPr="00C62D22">
        <w:rPr>
          <w:rFonts w:ascii="Times New Roman" w:eastAsia="TimesNewRomanPSMT" w:hAnsi="Times New Roman" w:cs="Times New Roman"/>
          <w:sz w:val="28"/>
          <w:szCs w:val="28"/>
        </w:rPr>
        <w:t>ь</w:t>
      </w:r>
      <w:r w:rsidRPr="00C62D22">
        <w:rPr>
          <w:rFonts w:ascii="Times New Roman" w:eastAsia="TimesNewRomanPSMT" w:hAnsi="Times New Roman" w:cs="Times New Roman"/>
          <w:sz w:val="28"/>
          <w:szCs w:val="28"/>
        </w:rPr>
        <w:t>шення вмісту внутрішньоклітинного кальцію, що призводе до прямого ушкодження ЕК шляхом дегрануляції нейтрофілів, вивільнення кисневих р</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дикалів та протеолітичних ферментів. Перебіг ГП характеризується синдромом систе</w:t>
      </w:r>
      <w:r w:rsidRPr="00C62D22">
        <w:rPr>
          <w:rFonts w:ascii="Times New Roman" w:eastAsia="TimesNewRomanPSMT" w:hAnsi="Times New Roman" w:cs="Times New Roman"/>
          <w:sz w:val="28"/>
          <w:szCs w:val="28"/>
        </w:rPr>
        <w:t>м</w:t>
      </w:r>
      <w:r w:rsidRPr="00C62D22">
        <w:rPr>
          <w:rFonts w:ascii="Times New Roman" w:eastAsia="TimesNewRomanPSMT" w:hAnsi="Times New Roman" w:cs="Times New Roman"/>
          <w:sz w:val="28"/>
          <w:szCs w:val="28"/>
        </w:rPr>
        <w:t xml:space="preserve">ної запальної відповіді (Systemic Inflammatory Response Syndrome – SIRS та </w:t>
      </w:r>
      <w:r w:rsidRPr="00C62D22">
        <w:rPr>
          <w:rFonts w:ascii="Times New Roman" w:hAnsi="Times New Roman" w:cs="Times New Roman"/>
          <w:sz w:val="28"/>
          <w:szCs w:val="28"/>
        </w:rPr>
        <w:t>Multiple Organ Dysfunction Score</w:t>
      </w:r>
      <w:r w:rsidRPr="00C62D22">
        <w:rPr>
          <w:rFonts w:ascii="Times New Roman" w:eastAsia="TimesNewRomanPSMT" w:hAnsi="Times New Roman" w:cs="Times New Roman"/>
          <w:sz w:val="28"/>
          <w:szCs w:val="28"/>
        </w:rPr>
        <w:t xml:space="preserve"> – МОDS), які часто проявляються у вигляді ДВЗ</w:t>
      </w: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синдрому та мікроваскулярного тромбозу [106]. При цьому задіяні сигнали ендотел</w:t>
      </w:r>
      <w:r w:rsidRPr="00C62D22">
        <w:rPr>
          <w:rFonts w:ascii="Times New Roman" w:eastAsia="TimesNewRomanPSMT" w:hAnsi="Times New Roman" w:cs="Times New Roman"/>
          <w:sz w:val="28"/>
          <w:szCs w:val="28"/>
        </w:rPr>
        <w:t>і</w:t>
      </w:r>
      <w:r w:rsidRPr="00C62D22">
        <w:rPr>
          <w:rFonts w:ascii="Times New Roman" w:eastAsia="TimesNewRomanPSMT" w:hAnsi="Times New Roman" w:cs="Times New Roman"/>
          <w:sz w:val="28"/>
          <w:szCs w:val="28"/>
        </w:rPr>
        <w:t xml:space="preserve">ального походження, які </w:t>
      </w:r>
      <w:r w:rsidRPr="00C62D22">
        <w:rPr>
          <w:rFonts w:ascii="Times New Roman" w:eastAsia="TimesNewRomanPSMT" w:hAnsi="Times New Roman" w:cs="Times New Roman"/>
          <w:sz w:val="28"/>
          <w:szCs w:val="28"/>
        </w:rPr>
        <w:lastRenderedPageBreak/>
        <w:t>впливають на утворення тромбіну, фібриноліз та акт</w:t>
      </w:r>
      <w:r w:rsidRPr="00C62D22">
        <w:rPr>
          <w:rFonts w:ascii="Times New Roman" w:eastAsia="TimesNewRomanPSMT" w:hAnsi="Times New Roman" w:cs="Times New Roman"/>
          <w:sz w:val="28"/>
          <w:szCs w:val="28"/>
        </w:rPr>
        <w:t>и</w:t>
      </w:r>
      <w:r w:rsidRPr="00C62D22">
        <w:rPr>
          <w:rFonts w:ascii="Times New Roman" w:eastAsia="TimesNewRomanPSMT" w:hAnsi="Times New Roman" w:cs="Times New Roman"/>
          <w:sz w:val="28"/>
          <w:szCs w:val="28"/>
        </w:rPr>
        <w:t>вацію тромбоцитів. Неактивні ЕК забезпечують три антикоагулянтні механізми, які обмежують внутрішньосудинний тромбоз. Перший включає клітинну поверхневу експресію тромбомодуліну та секрецію протеїну S, забе</w:t>
      </w:r>
      <w:r w:rsidRPr="00C62D22">
        <w:rPr>
          <w:rFonts w:ascii="Times New Roman" w:eastAsia="TimesNewRomanPSMT" w:hAnsi="Times New Roman" w:cs="Times New Roman"/>
          <w:sz w:val="28"/>
          <w:szCs w:val="28"/>
        </w:rPr>
        <w:t>з</w:t>
      </w:r>
      <w:r w:rsidRPr="00C62D22">
        <w:rPr>
          <w:rFonts w:ascii="Times New Roman" w:eastAsia="TimesNewRomanPSMT" w:hAnsi="Times New Roman" w:cs="Times New Roman"/>
          <w:sz w:val="28"/>
          <w:szCs w:val="28"/>
        </w:rPr>
        <w:t>печуючи утворення тромбіну через активацію протеїну</w:t>
      </w: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 xml:space="preserve"> Другий механізм зум</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влений здатністю гепарину, зв’язаного з поверхнею ЕК, каталізувати інактив</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цію сироваткових протеаз за допомогою антитромбіну ІІІ. Третій механізм п</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в'язаний з інгібіцією ЕК агрегації тромбоцитів шляхом синтезу простацикліну та аденозину</w:t>
      </w:r>
      <w:r w:rsidRPr="00C62D22">
        <w:rPr>
          <w:rFonts w:ascii="Times New Roman" w:hAnsi="Times New Roman" w:cs="Times New Roman"/>
          <w:sz w:val="28"/>
          <w:szCs w:val="28"/>
        </w:rPr>
        <w:t>.</w:t>
      </w:r>
      <w:r w:rsidRPr="00C62D22">
        <w:rPr>
          <w:rFonts w:ascii="Times New Roman" w:eastAsia="TimesNewRomanPSMT" w:hAnsi="Times New Roman" w:cs="Times New Roman"/>
          <w:sz w:val="28"/>
          <w:szCs w:val="28"/>
        </w:rPr>
        <w:t xml:space="preserve"> </w:t>
      </w:r>
      <w:r w:rsidRPr="00C62D22">
        <w:rPr>
          <w:rFonts w:ascii="Times New Roman" w:eastAsia="TimesNewRomanPSMT" w:hAnsi="Times New Roman" w:cs="Times New Roman"/>
          <w:sz w:val="28"/>
          <w:szCs w:val="28"/>
          <w:lang w:val="en-US"/>
        </w:rPr>
        <w:t>Tumor</w:t>
      </w:r>
      <w:r w:rsidRPr="00C62D22">
        <w:rPr>
          <w:rFonts w:ascii="Times New Roman" w:eastAsia="TimesNewRomanPSMT" w:hAnsi="Times New Roman" w:cs="Times New Roman"/>
          <w:sz w:val="28"/>
          <w:szCs w:val="28"/>
        </w:rPr>
        <w:t xml:space="preserve"> </w:t>
      </w:r>
      <w:r w:rsidRPr="00C62D22">
        <w:rPr>
          <w:rFonts w:ascii="Times New Roman" w:eastAsia="TimesNewRomanPSMT" w:hAnsi="Times New Roman" w:cs="Times New Roman"/>
          <w:sz w:val="28"/>
          <w:szCs w:val="28"/>
          <w:lang w:val="en-US"/>
        </w:rPr>
        <w:t>necrosis</w:t>
      </w:r>
      <w:r w:rsidRPr="00C62D22">
        <w:rPr>
          <w:rFonts w:ascii="Times New Roman" w:eastAsia="TimesNewRomanPSMT" w:hAnsi="Times New Roman" w:cs="Times New Roman"/>
          <w:sz w:val="28"/>
          <w:szCs w:val="28"/>
        </w:rPr>
        <w:t xml:space="preserve"> </w:t>
      </w:r>
      <w:r w:rsidRPr="00C62D22">
        <w:rPr>
          <w:rFonts w:ascii="Times New Roman" w:eastAsia="TimesNewRomanPSMT" w:hAnsi="Times New Roman" w:cs="Times New Roman"/>
          <w:sz w:val="28"/>
          <w:szCs w:val="28"/>
          <w:lang w:val="en-US"/>
        </w:rPr>
        <w:t>factor</w:t>
      </w:r>
      <w:r w:rsidRPr="00C62D22">
        <w:rPr>
          <w:rFonts w:ascii="Times New Roman" w:eastAsia="TimesNewRomanPSMT" w:hAnsi="Times New Roman" w:cs="Times New Roman"/>
          <w:sz w:val="28"/>
          <w:szCs w:val="28"/>
        </w:rPr>
        <w:t xml:space="preserve"> (ТNF–α) – важливий м</w:t>
      </w:r>
      <w:r w:rsidRPr="00C62D22">
        <w:rPr>
          <w:rFonts w:ascii="Times New Roman" w:eastAsia="TimesNewRomanPSMT" w:hAnsi="Times New Roman" w:cs="Times New Roman"/>
          <w:sz w:val="28"/>
          <w:szCs w:val="28"/>
        </w:rPr>
        <w:t>е</w:t>
      </w:r>
      <w:r w:rsidRPr="00C62D22">
        <w:rPr>
          <w:rFonts w:ascii="Times New Roman" w:eastAsia="TimesNewRomanPSMT" w:hAnsi="Times New Roman" w:cs="Times New Roman"/>
          <w:sz w:val="28"/>
          <w:szCs w:val="28"/>
        </w:rPr>
        <w:t>діатор патогенезу SIRS, експозиція якого, а також пов’язаних із ним ЦК, до інтактних ЕК, призводе до втрати баз</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льної антикоагулянтної активності та викликає індукцію нових прокоагулян</w:t>
      </w:r>
      <w:r w:rsidRPr="00C62D22">
        <w:rPr>
          <w:rFonts w:ascii="Times New Roman" w:eastAsia="TimesNewRomanPSMT" w:hAnsi="Times New Roman" w:cs="Times New Roman"/>
          <w:sz w:val="28"/>
          <w:szCs w:val="28"/>
        </w:rPr>
        <w:t>т</w:t>
      </w:r>
      <w:r w:rsidRPr="00C62D22">
        <w:rPr>
          <w:rFonts w:ascii="Times New Roman" w:eastAsia="TimesNewRomanPSMT" w:hAnsi="Times New Roman" w:cs="Times New Roman"/>
          <w:sz w:val="28"/>
          <w:szCs w:val="28"/>
        </w:rPr>
        <w:t>них та протромбогенних функцій, а самі ТNF–α та IL–1 здатні пригнічувати ек</w:t>
      </w:r>
      <w:r w:rsidRPr="00C62D22">
        <w:rPr>
          <w:rFonts w:ascii="Times New Roman" w:eastAsia="TimesNewRomanPSMT" w:hAnsi="Times New Roman" w:cs="Times New Roman"/>
          <w:sz w:val="28"/>
          <w:szCs w:val="28"/>
        </w:rPr>
        <w:t>с</w:t>
      </w:r>
      <w:r w:rsidRPr="00C62D22">
        <w:rPr>
          <w:rFonts w:ascii="Times New Roman" w:eastAsia="TimesNewRomanPSMT" w:hAnsi="Times New Roman" w:cs="Times New Roman"/>
          <w:sz w:val="28"/>
          <w:szCs w:val="28"/>
        </w:rPr>
        <w:t>пресію тромбомодуліну та утворення активованого протеїну С. Встановл</w:t>
      </w:r>
      <w:r w:rsidRPr="00C62D22">
        <w:rPr>
          <w:rFonts w:ascii="Times New Roman" w:eastAsia="TimesNewRomanPSMT" w:hAnsi="Times New Roman" w:cs="Times New Roman"/>
          <w:sz w:val="28"/>
          <w:szCs w:val="28"/>
        </w:rPr>
        <w:t>е</w:t>
      </w:r>
      <w:r w:rsidRPr="00C62D22">
        <w:rPr>
          <w:rFonts w:ascii="Times New Roman" w:eastAsia="TimesNewRomanPSMT" w:hAnsi="Times New Roman" w:cs="Times New Roman"/>
          <w:sz w:val="28"/>
          <w:szCs w:val="28"/>
        </w:rPr>
        <w:t>но, що РАF активує циркулюючі тромбоцити та огрядні клітини, що може призвести до вивільнення гістаміну та викликати ур</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ження легенів при ГП. Крім того, інтенсивна запальна реакція ПЗ, у виникненні якої РАF відіграє не останню роль, призводе до збільшення в системній циркуляції при ГП активованих м</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ноцитів, а комбінація цих ефектів сприяє розвитку циркулярних та поліорганних порушень, що характерні до ва</w:t>
      </w:r>
      <w:r w:rsidRPr="00C62D22">
        <w:rPr>
          <w:rFonts w:ascii="Times New Roman" w:eastAsia="TimesNewRomanPSMT" w:hAnsi="Times New Roman" w:cs="Times New Roman"/>
          <w:sz w:val="28"/>
          <w:szCs w:val="28"/>
        </w:rPr>
        <w:t>ж</w:t>
      </w:r>
      <w:r w:rsidRPr="00C62D22">
        <w:rPr>
          <w:rFonts w:ascii="Times New Roman" w:eastAsia="TimesNewRomanPSMT" w:hAnsi="Times New Roman" w:cs="Times New Roman"/>
          <w:sz w:val="28"/>
          <w:szCs w:val="28"/>
        </w:rPr>
        <w:t xml:space="preserve">кого перебігу ГП </w:t>
      </w:r>
      <w:r w:rsidRPr="00C62D22">
        <w:rPr>
          <w:rFonts w:ascii="Times New Roman" w:hAnsi="Times New Roman" w:cs="Times New Roman"/>
          <w:sz w:val="28"/>
          <w:szCs w:val="28"/>
        </w:rPr>
        <w:t>[99, 258, 311, 422].</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eastAsia="TimesNewRomanPSMT" w:hAnsi="Times New Roman" w:cs="Times New Roman"/>
          <w:sz w:val="28"/>
          <w:szCs w:val="28"/>
        </w:rPr>
        <w:t xml:space="preserve">Індикатором ЕД також може слугувати </w:t>
      </w:r>
      <w:r w:rsidRPr="00C62D22">
        <w:rPr>
          <w:rFonts w:ascii="Times New Roman" w:eastAsia="TimesNewRomanPS-ItalicMT" w:hAnsi="Times New Roman" w:cs="Times New Roman"/>
          <w:iCs/>
          <w:sz w:val="28"/>
          <w:szCs w:val="28"/>
        </w:rPr>
        <w:t>С</w:t>
      </w:r>
      <w:r w:rsidRPr="00C62D22">
        <w:rPr>
          <w:rFonts w:ascii="Times New Roman" w:eastAsia="TimesNewRomanPSMT" w:hAnsi="Times New Roman" w:cs="Times New Roman"/>
          <w:sz w:val="28"/>
          <w:szCs w:val="28"/>
        </w:rPr>
        <w:t>–</w:t>
      </w:r>
      <w:r w:rsidRPr="00C62D22">
        <w:rPr>
          <w:rFonts w:ascii="Times New Roman" w:eastAsia="TimesNewRomanPS-ItalicMT" w:hAnsi="Times New Roman" w:cs="Times New Roman"/>
          <w:iCs/>
          <w:sz w:val="28"/>
          <w:szCs w:val="28"/>
        </w:rPr>
        <w:t>реактивний білок, який</w:t>
      </w:r>
      <w:r w:rsidRPr="00C62D22">
        <w:rPr>
          <w:rFonts w:ascii="Times New Roman" w:eastAsia="TimesNewRomanPSMT" w:hAnsi="Times New Roman" w:cs="Times New Roman"/>
          <w:sz w:val="28"/>
          <w:szCs w:val="28"/>
        </w:rPr>
        <w:t xml:space="preserve"> ініціює стадії ушкодження судинної стінки: активацію ендотеліальних молекул адгезії (ICAM–l, VCAM–l), секрецію хемотаксичних та протизапальних факторів (МСР–1 – хемотаксичний для макрофагів білків, ІL–6), сприяючи зал</w:t>
      </w:r>
      <w:r w:rsidRPr="00C62D22">
        <w:rPr>
          <w:rFonts w:ascii="Times New Roman" w:eastAsia="TimesNewRomanPSMT" w:hAnsi="Times New Roman" w:cs="Times New Roman"/>
          <w:sz w:val="28"/>
          <w:szCs w:val="28"/>
        </w:rPr>
        <w:t>у</w:t>
      </w:r>
      <w:r w:rsidRPr="00C62D22">
        <w:rPr>
          <w:rFonts w:ascii="Times New Roman" w:eastAsia="TimesNewRomanPSMT" w:hAnsi="Times New Roman" w:cs="Times New Roman"/>
          <w:sz w:val="28"/>
          <w:szCs w:val="28"/>
        </w:rPr>
        <w:t xml:space="preserve">ченню та адгезії імунних клітин до ендотелію [99, 422]. </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eastAsia="TimesNewRomanPSMT" w:hAnsi="Times New Roman" w:cs="Times New Roman"/>
          <w:sz w:val="28"/>
          <w:szCs w:val="28"/>
        </w:rPr>
        <w:t>Гострофазові протизапальні медіатори, які включають ЦК (IL–1, IL–6, IL–8), гранулоцит/макрофагальні колонієстимулюючі фактори (GM–CSF, G–CSF, M–CSF), хемотаксичний фактор (gro–α) та протеїнхемотаксичних моноц</w:t>
      </w:r>
      <w:r w:rsidRPr="00C62D22">
        <w:rPr>
          <w:rFonts w:ascii="Times New Roman" w:eastAsia="TimesNewRomanPSMT" w:hAnsi="Times New Roman" w:cs="Times New Roman"/>
          <w:sz w:val="28"/>
          <w:szCs w:val="28"/>
        </w:rPr>
        <w:t>и</w:t>
      </w:r>
      <w:r w:rsidRPr="00C62D22">
        <w:rPr>
          <w:rFonts w:ascii="Times New Roman" w:eastAsia="TimesNewRomanPSMT" w:hAnsi="Times New Roman" w:cs="Times New Roman"/>
          <w:sz w:val="28"/>
          <w:szCs w:val="28"/>
        </w:rPr>
        <w:t>тів (МСР), чинять плейотропні ефекти на гемостаз, васкулярний тонус, ле</w:t>
      </w:r>
      <w:r w:rsidRPr="00C62D22">
        <w:rPr>
          <w:rFonts w:ascii="Times New Roman" w:eastAsia="TimesNewRomanPSMT" w:hAnsi="Times New Roman" w:cs="Times New Roman"/>
          <w:sz w:val="28"/>
          <w:szCs w:val="28"/>
        </w:rPr>
        <w:t>й</w:t>
      </w:r>
      <w:r w:rsidRPr="00C62D22">
        <w:rPr>
          <w:rFonts w:ascii="Times New Roman" w:eastAsia="TimesNewRomanPSMT" w:hAnsi="Times New Roman" w:cs="Times New Roman"/>
          <w:sz w:val="28"/>
          <w:szCs w:val="28"/>
        </w:rPr>
        <w:t>коцити та на самі ЕК</w:t>
      </w:r>
      <w:r w:rsidRPr="00C62D22">
        <w:rPr>
          <w:rFonts w:ascii="Times New Roman" w:hAnsi="Times New Roman" w:cs="Times New Roman"/>
          <w:sz w:val="28"/>
          <w:szCs w:val="28"/>
        </w:rPr>
        <w:t xml:space="preserve"> [99, 215]. </w:t>
      </w:r>
      <w:r w:rsidRPr="00C62D22">
        <w:rPr>
          <w:rFonts w:ascii="Times New Roman" w:eastAsia="TimesNewRomanPSMT" w:hAnsi="Times New Roman" w:cs="Times New Roman"/>
          <w:sz w:val="28"/>
          <w:szCs w:val="28"/>
        </w:rPr>
        <w:t>При запальному процесі взаємодія нейтр</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 xml:space="preserve">філів та ЕК призводить до їх активації через паракринні сигнали, що сприяє максимальному виразу </w:t>
      </w:r>
      <w:r w:rsidRPr="00C62D22">
        <w:rPr>
          <w:rFonts w:ascii="Times New Roman" w:eastAsia="TimesNewRomanPSMT" w:hAnsi="Times New Roman" w:cs="Times New Roman"/>
          <w:sz w:val="28"/>
          <w:szCs w:val="28"/>
        </w:rPr>
        <w:lastRenderedPageBreak/>
        <w:t>лейкоцитарної адгезії та їх активації у ділянках запал</w:t>
      </w:r>
      <w:r w:rsidRPr="00C62D22">
        <w:rPr>
          <w:rFonts w:ascii="Times New Roman" w:eastAsia="TimesNewRomanPSMT" w:hAnsi="Times New Roman" w:cs="Times New Roman"/>
          <w:sz w:val="28"/>
          <w:szCs w:val="28"/>
        </w:rPr>
        <w:t>е</w:t>
      </w:r>
      <w:r w:rsidRPr="00C62D22">
        <w:rPr>
          <w:rFonts w:ascii="Times New Roman" w:eastAsia="TimesNewRomanPSMT" w:hAnsi="Times New Roman" w:cs="Times New Roman"/>
          <w:sz w:val="28"/>
          <w:szCs w:val="28"/>
        </w:rPr>
        <w:t>ного ендотелію. Медіатори, які виділяються з вогнища запалення, активують ендотелій за допомогою Е-селектину, Р–селектину та РАF. Селектини здатні відновлювати нейтрофіли у фізіологічних умовах кровотока, зв’язувати ней</w:t>
      </w:r>
      <w:r w:rsidRPr="00C62D22">
        <w:rPr>
          <w:rFonts w:ascii="Times New Roman" w:eastAsia="TimesNewRomanPSMT" w:hAnsi="Times New Roman" w:cs="Times New Roman"/>
          <w:sz w:val="28"/>
          <w:szCs w:val="28"/>
        </w:rPr>
        <w:t>т</w:t>
      </w:r>
      <w:r w:rsidRPr="00C62D22">
        <w:rPr>
          <w:rFonts w:ascii="Times New Roman" w:eastAsia="TimesNewRomanPSMT" w:hAnsi="Times New Roman" w:cs="Times New Roman"/>
          <w:sz w:val="28"/>
          <w:szCs w:val="28"/>
        </w:rPr>
        <w:t>рофіли з ендотелієм, що полегшує їх взаємодію із РАF. Нейтрофіли відповід</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ють ростом внутрішньоклітинного кальцію, який збільшує зв’язування повер</w:t>
      </w:r>
      <w:r w:rsidRPr="00C62D22">
        <w:rPr>
          <w:rFonts w:ascii="Times New Roman" w:eastAsia="TimesNewRomanPSMT" w:hAnsi="Times New Roman" w:cs="Times New Roman"/>
          <w:sz w:val="28"/>
          <w:szCs w:val="28"/>
        </w:rPr>
        <w:t>х</w:t>
      </w:r>
      <w:r w:rsidRPr="00C62D22">
        <w:rPr>
          <w:rFonts w:ascii="Times New Roman" w:eastAsia="TimesNewRomanPSMT" w:hAnsi="Times New Roman" w:cs="Times New Roman"/>
          <w:sz w:val="28"/>
          <w:szCs w:val="28"/>
        </w:rPr>
        <w:t>невих інтегринів. Посилення експресії ICAM–l приводе до адгезії нейтрофілів до сті</w:t>
      </w:r>
      <w:r w:rsidRPr="00C62D22">
        <w:rPr>
          <w:rFonts w:ascii="Times New Roman" w:eastAsia="TimesNewRomanPSMT" w:hAnsi="Times New Roman" w:cs="Times New Roman"/>
          <w:sz w:val="28"/>
          <w:szCs w:val="28"/>
        </w:rPr>
        <w:t>н</w:t>
      </w:r>
      <w:r w:rsidRPr="00C62D22">
        <w:rPr>
          <w:rFonts w:ascii="Times New Roman" w:eastAsia="TimesNewRomanPSMT" w:hAnsi="Times New Roman" w:cs="Times New Roman"/>
          <w:sz w:val="28"/>
          <w:szCs w:val="28"/>
        </w:rPr>
        <w:t>ки судини, а ЕК «відводяться», у результаті цього утворюються проміжки (отв</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 xml:space="preserve">ри), іншими словами, зростає васкулярна проникненість, яка полегшує рух нейтрофілів з інтраваскулярного до екстраваскулярного простору </w:t>
      </w:r>
      <w:r w:rsidRPr="00C62D22">
        <w:rPr>
          <w:rFonts w:ascii="Times New Roman" w:hAnsi="Times New Roman" w:cs="Times New Roman"/>
          <w:sz w:val="28"/>
          <w:szCs w:val="28"/>
        </w:rPr>
        <w:t>[21, 401]</w:t>
      </w:r>
      <w:r w:rsidRPr="00C62D22">
        <w:rPr>
          <w:rFonts w:ascii="Times New Roman" w:eastAsia="TimesNewRomanPSMT" w:hAnsi="Times New Roman" w:cs="Times New Roman"/>
          <w:sz w:val="28"/>
          <w:szCs w:val="28"/>
        </w:rPr>
        <w:t>. Акт</w:t>
      </w:r>
      <w:r w:rsidRPr="00C62D22">
        <w:rPr>
          <w:rFonts w:ascii="Times New Roman" w:eastAsia="TimesNewRomanPSMT" w:hAnsi="Times New Roman" w:cs="Times New Roman"/>
          <w:sz w:val="28"/>
          <w:szCs w:val="28"/>
        </w:rPr>
        <w:t>и</w:t>
      </w:r>
      <w:r w:rsidRPr="00C62D22">
        <w:rPr>
          <w:rFonts w:ascii="Times New Roman" w:eastAsia="TimesNewRomanPSMT" w:hAnsi="Times New Roman" w:cs="Times New Roman"/>
          <w:sz w:val="28"/>
          <w:szCs w:val="28"/>
        </w:rPr>
        <w:t>вація молекул аберантної адгезії може спричиняти патологічну взаємодію енд</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телію з активованими гранулоцитами в місцях, віддалених від первинного вогнища інфекції, що призводе до адгезії та передчасної дегрануляції нейтроф</w:t>
      </w:r>
      <w:r w:rsidRPr="00C62D22">
        <w:rPr>
          <w:rFonts w:ascii="Times New Roman" w:eastAsia="TimesNewRomanPSMT" w:hAnsi="Times New Roman" w:cs="Times New Roman"/>
          <w:sz w:val="28"/>
          <w:szCs w:val="28"/>
        </w:rPr>
        <w:t>і</w:t>
      </w:r>
      <w:r w:rsidRPr="00C62D22">
        <w:rPr>
          <w:rFonts w:ascii="Times New Roman" w:eastAsia="TimesNewRomanPSMT" w:hAnsi="Times New Roman" w:cs="Times New Roman"/>
          <w:sz w:val="28"/>
          <w:szCs w:val="28"/>
        </w:rPr>
        <w:t>лів з наступним руйнуванням ЕК. У результаті цих подій рідина та протеїн накопичуються в екстраваскулярному просторі, сприяючи, у кінцевому результаті, у</w:t>
      </w:r>
      <w:r w:rsidRPr="00C62D22">
        <w:rPr>
          <w:rFonts w:ascii="Times New Roman" w:eastAsia="TimesNewRomanPSMT" w:hAnsi="Times New Roman" w:cs="Times New Roman"/>
          <w:sz w:val="28"/>
          <w:szCs w:val="28"/>
        </w:rPr>
        <w:t>ш</w:t>
      </w:r>
      <w:r w:rsidRPr="00C62D22">
        <w:rPr>
          <w:rFonts w:ascii="Times New Roman" w:eastAsia="TimesNewRomanPSMT" w:hAnsi="Times New Roman" w:cs="Times New Roman"/>
          <w:sz w:val="28"/>
          <w:szCs w:val="28"/>
        </w:rPr>
        <w:t>кодженню органа.</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IL–18, первинно був охарактеризований як потенційний індуктор синт</w:t>
      </w:r>
      <w:r w:rsidRPr="00C62D22">
        <w:rPr>
          <w:rFonts w:ascii="Times New Roman" w:hAnsi="Times New Roman" w:cs="Times New Roman"/>
          <w:sz w:val="28"/>
          <w:szCs w:val="28"/>
        </w:rPr>
        <w:t>е</w:t>
      </w:r>
      <w:r w:rsidRPr="00C62D22">
        <w:rPr>
          <w:rFonts w:ascii="Times New Roman" w:hAnsi="Times New Roman" w:cs="Times New Roman"/>
          <w:sz w:val="28"/>
          <w:szCs w:val="28"/>
        </w:rPr>
        <w:t>зу IFN-γ Т- і NK-клітинами. Незалежно від IL–12, IL–18, впливаючи на секр</w:t>
      </w:r>
      <w:r w:rsidRPr="00C62D22">
        <w:rPr>
          <w:rFonts w:ascii="Times New Roman" w:hAnsi="Times New Roman" w:cs="Times New Roman"/>
          <w:sz w:val="28"/>
          <w:szCs w:val="28"/>
        </w:rPr>
        <w:t>е</w:t>
      </w:r>
      <w:r w:rsidRPr="00C62D22">
        <w:rPr>
          <w:rFonts w:ascii="Times New Roman" w:hAnsi="Times New Roman" w:cs="Times New Roman"/>
          <w:sz w:val="28"/>
          <w:szCs w:val="28"/>
        </w:rPr>
        <w:t>цію IFN-γ, швидко активує клітини моноцитарно / макрофагальної си</w:t>
      </w:r>
      <w:r w:rsidRPr="00C62D22">
        <w:rPr>
          <w:rFonts w:ascii="Times New Roman" w:hAnsi="Times New Roman" w:cs="Times New Roman"/>
          <w:sz w:val="28"/>
          <w:szCs w:val="28"/>
        </w:rPr>
        <w:t>с</w:t>
      </w:r>
      <w:r w:rsidRPr="00C62D22">
        <w:rPr>
          <w:rFonts w:ascii="Times New Roman" w:hAnsi="Times New Roman" w:cs="Times New Roman"/>
          <w:sz w:val="28"/>
          <w:szCs w:val="28"/>
        </w:rPr>
        <w:t>теми, призводить до активації безлічі антибактеріальних, протипухлинних та ант</w:t>
      </w:r>
      <w:r w:rsidRPr="00C62D22">
        <w:rPr>
          <w:rFonts w:ascii="Times New Roman" w:hAnsi="Times New Roman" w:cs="Times New Roman"/>
          <w:sz w:val="28"/>
          <w:szCs w:val="28"/>
        </w:rPr>
        <w:t>и</w:t>
      </w:r>
      <w:r w:rsidRPr="00C62D22">
        <w:rPr>
          <w:rFonts w:ascii="Times New Roman" w:hAnsi="Times New Roman" w:cs="Times New Roman"/>
          <w:sz w:val="28"/>
          <w:szCs w:val="28"/>
        </w:rPr>
        <w:t>вірусних відповідних реакцій. Сам IL–18 індукується стресовими сигналами (нейроге</w:t>
      </w:r>
      <w:r w:rsidRPr="00C62D22">
        <w:rPr>
          <w:rFonts w:ascii="Times New Roman" w:hAnsi="Times New Roman" w:cs="Times New Roman"/>
          <w:sz w:val="28"/>
          <w:szCs w:val="28"/>
        </w:rPr>
        <w:t>н</w:t>
      </w:r>
      <w:r w:rsidRPr="00C62D22">
        <w:rPr>
          <w:rFonts w:ascii="Times New Roman" w:hAnsi="Times New Roman" w:cs="Times New Roman"/>
          <w:sz w:val="28"/>
          <w:szCs w:val="28"/>
        </w:rPr>
        <w:t>ними або бактеріального походження). Вважається, що вивільнення IL−18, індуковане стресом ,може вести до посилення циклу IFN-γ / IL–18: слідом за першою хвилею утворення IFN-γ лімфоцитами, індукованого IL–18, знову си</w:t>
      </w:r>
      <w:r w:rsidRPr="00C62D22">
        <w:rPr>
          <w:rFonts w:ascii="Times New Roman" w:hAnsi="Times New Roman" w:cs="Times New Roman"/>
          <w:sz w:val="28"/>
          <w:szCs w:val="28"/>
        </w:rPr>
        <w:t>н</w:t>
      </w:r>
      <w:r w:rsidRPr="00C62D22">
        <w:rPr>
          <w:rFonts w:ascii="Times New Roman" w:hAnsi="Times New Roman" w:cs="Times New Roman"/>
          <w:sz w:val="28"/>
          <w:szCs w:val="28"/>
        </w:rPr>
        <w:t>тезований IFN-γ, у свою чергу, стимулює моноцити / макрофаги, веде до збіл</w:t>
      </w:r>
      <w:r w:rsidRPr="00C62D22">
        <w:rPr>
          <w:rFonts w:ascii="Times New Roman" w:hAnsi="Times New Roman" w:cs="Times New Roman"/>
          <w:sz w:val="28"/>
          <w:szCs w:val="28"/>
        </w:rPr>
        <w:t>ь</w:t>
      </w:r>
      <w:r w:rsidRPr="00C62D22">
        <w:rPr>
          <w:rFonts w:ascii="Times New Roman" w:hAnsi="Times New Roman" w:cs="Times New Roman"/>
          <w:sz w:val="28"/>
          <w:szCs w:val="28"/>
        </w:rPr>
        <w:t>шення їх активності, яка, зокрема, призводить до утворення IL–18. IL–18 не тільки стимулює синтез IFN-γ, а й модулює його функціон</w:t>
      </w:r>
      <w:r w:rsidRPr="00C62D22">
        <w:rPr>
          <w:rFonts w:ascii="Times New Roman" w:hAnsi="Times New Roman" w:cs="Times New Roman"/>
          <w:sz w:val="28"/>
          <w:szCs w:val="28"/>
        </w:rPr>
        <w:t>а</w:t>
      </w:r>
      <w:r w:rsidRPr="00C62D22">
        <w:rPr>
          <w:rFonts w:ascii="Times New Roman" w:hAnsi="Times New Roman" w:cs="Times New Roman"/>
          <w:sz w:val="28"/>
          <w:szCs w:val="28"/>
        </w:rPr>
        <w:t>льну активність. Показано, що експресія Fas-ліганду Tх1 типу і NK-клітинами також відбуваєт</w:t>
      </w:r>
      <w:r w:rsidRPr="00C62D22">
        <w:rPr>
          <w:rFonts w:ascii="Times New Roman" w:hAnsi="Times New Roman" w:cs="Times New Roman"/>
          <w:sz w:val="28"/>
          <w:szCs w:val="28"/>
        </w:rPr>
        <w:t>ь</w:t>
      </w:r>
      <w:r w:rsidRPr="00C62D22">
        <w:rPr>
          <w:rFonts w:ascii="Times New Roman" w:hAnsi="Times New Roman" w:cs="Times New Roman"/>
          <w:sz w:val="28"/>
          <w:szCs w:val="28"/>
        </w:rPr>
        <w:t>ся під впливом IL–18. З іншого боку, показано, що IFN-γ бере участь в активації експресії самого Fas. Таким чином, можна зробити висновок, що IL–18 сам</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стійно (FasL) або за допомогою IFN-γ (Fas) стимулює процеси апоптозу [99, 215, 258]. </w:t>
      </w:r>
    </w:p>
    <w:p w:rsidR="0021764E" w:rsidRPr="00C62D22" w:rsidRDefault="0021764E" w:rsidP="0021764E">
      <w:pPr>
        <w:autoSpaceDE w:val="0"/>
        <w:autoSpaceDN w:val="0"/>
        <w:adjustRightInd w:val="0"/>
        <w:spacing w:after="0" w:line="360" w:lineRule="auto"/>
        <w:ind w:firstLine="540"/>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lastRenderedPageBreak/>
        <w:t>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10, похідний Tх2, може розглядатися як антагоніст ряду цитокінів. Так,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10 пригнічує продукцію IFN-γ Тх1. Крім того, він гальмує проліферат</w:t>
      </w:r>
      <w:r w:rsidRPr="00C62D22">
        <w:rPr>
          <w:rStyle w:val="hps"/>
          <w:rFonts w:ascii="Times New Roman" w:hAnsi="Times New Roman" w:cs="Times New Roman"/>
          <w:sz w:val="28"/>
          <w:szCs w:val="28"/>
        </w:rPr>
        <w:t>и</w:t>
      </w:r>
      <w:r w:rsidRPr="00C62D22">
        <w:rPr>
          <w:rStyle w:val="hps"/>
          <w:rFonts w:ascii="Times New Roman" w:hAnsi="Times New Roman" w:cs="Times New Roman"/>
          <w:sz w:val="28"/>
          <w:szCs w:val="28"/>
        </w:rPr>
        <w:t>вну відповідь Т-клітин на антигени й мітогени, а також пригнічує секрецію а</w:t>
      </w:r>
      <w:r w:rsidRPr="00C62D22">
        <w:rPr>
          <w:rStyle w:val="hps"/>
          <w:rFonts w:ascii="Times New Roman" w:hAnsi="Times New Roman" w:cs="Times New Roman"/>
          <w:sz w:val="28"/>
          <w:szCs w:val="28"/>
        </w:rPr>
        <w:t>к</w:t>
      </w:r>
      <w:r w:rsidRPr="00C62D22">
        <w:rPr>
          <w:rStyle w:val="hps"/>
          <w:rFonts w:ascii="Times New Roman" w:hAnsi="Times New Roman" w:cs="Times New Roman"/>
          <w:sz w:val="28"/>
          <w:szCs w:val="28"/>
        </w:rPr>
        <w:t>тивованими моноцитами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1β,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6 і TNF. У той же час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10 стимулює се</w:t>
      </w:r>
      <w:r w:rsidRPr="00C62D22">
        <w:rPr>
          <w:rStyle w:val="hps"/>
          <w:rFonts w:ascii="Times New Roman" w:hAnsi="Times New Roman" w:cs="Times New Roman"/>
          <w:sz w:val="28"/>
          <w:szCs w:val="28"/>
        </w:rPr>
        <w:t>к</w:t>
      </w:r>
      <w:r w:rsidRPr="00C62D22">
        <w:rPr>
          <w:rStyle w:val="hps"/>
          <w:rFonts w:ascii="Times New Roman" w:hAnsi="Times New Roman" w:cs="Times New Roman"/>
          <w:sz w:val="28"/>
          <w:szCs w:val="28"/>
        </w:rPr>
        <w:t>рецію Ig В-клітинами.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10 також може стимулювати синтез імун</w:t>
      </w:r>
      <w:r w:rsidRPr="00C62D22">
        <w:rPr>
          <w:rStyle w:val="hps"/>
          <w:rFonts w:ascii="Times New Roman" w:hAnsi="Times New Roman" w:cs="Times New Roman"/>
          <w:sz w:val="28"/>
          <w:szCs w:val="28"/>
        </w:rPr>
        <w:t>о</w:t>
      </w:r>
      <w:r w:rsidRPr="00C62D22">
        <w:rPr>
          <w:rStyle w:val="hps"/>
          <w:rFonts w:ascii="Times New Roman" w:hAnsi="Times New Roman" w:cs="Times New Roman"/>
          <w:sz w:val="28"/>
          <w:szCs w:val="28"/>
        </w:rPr>
        <w:t xml:space="preserve">глобуліну Е (IgE), що веде до розвитку гіперчутливості негайного типу </w:t>
      </w:r>
      <w:r w:rsidRPr="00C62D22">
        <w:rPr>
          <w:rFonts w:ascii="Times New Roman" w:hAnsi="Times New Roman" w:cs="Times New Roman"/>
          <w:sz w:val="28"/>
          <w:szCs w:val="28"/>
        </w:rPr>
        <w:t>[422]</w:t>
      </w:r>
      <w:r w:rsidRPr="00C62D22">
        <w:rPr>
          <w:rStyle w:val="hps"/>
          <w:rFonts w:ascii="Times New Roman" w:hAnsi="Times New Roman" w:cs="Times New Roman"/>
          <w:sz w:val="28"/>
          <w:szCs w:val="28"/>
        </w:rPr>
        <w:t>.</w:t>
      </w:r>
    </w:p>
    <w:p w:rsidR="0021764E" w:rsidRPr="00C62D22" w:rsidRDefault="0021764E" w:rsidP="0021764E">
      <w:pPr>
        <w:autoSpaceDE w:val="0"/>
        <w:autoSpaceDN w:val="0"/>
        <w:adjustRightInd w:val="0"/>
        <w:spacing w:after="0" w:line="360" w:lineRule="auto"/>
        <w:ind w:firstLine="540"/>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У своєму впливі на клітинний імунітет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10 синергічний з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4. При р</w:t>
      </w:r>
      <w:r w:rsidRPr="00C62D22">
        <w:rPr>
          <w:rStyle w:val="hps"/>
          <w:rFonts w:ascii="Times New Roman" w:hAnsi="Times New Roman" w:cs="Times New Roman"/>
          <w:sz w:val="28"/>
          <w:szCs w:val="28"/>
        </w:rPr>
        <w:t>і</w:t>
      </w:r>
      <w:r w:rsidRPr="00C62D22">
        <w:rPr>
          <w:rStyle w:val="hps"/>
          <w:rFonts w:ascii="Times New Roman" w:hAnsi="Times New Roman" w:cs="Times New Roman"/>
          <w:sz w:val="28"/>
          <w:szCs w:val="28"/>
        </w:rPr>
        <w:t>зних патологічних станах відмічено підвищення рівня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10, при цьому вваж</w:t>
      </w:r>
      <w:r w:rsidRPr="00C62D22">
        <w:rPr>
          <w:rStyle w:val="hps"/>
          <w:rFonts w:ascii="Times New Roman" w:hAnsi="Times New Roman" w:cs="Times New Roman"/>
          <w:sz w:val="28"/>
          <w:szCs w:val="28"/>
        </w:rPr>
        <w:t>а</w:t>
      </w:r>
      <w:r w:rsidRPr="00C62D22">
        <w:rPr>
          <w:rStyle w:val="hps"/>
          <w:rFonts w:ascii="Times New Roman" w:hAnsi="Times New Roman" w:cs="Times New Roman"/>
          <w:sz w:val="28"/>
          <w:szCs w:val="28"/>
        </w:rPr>
        <w:t>ється, що це підвищення є поганою прогностичною ознакою.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10, потужний TGF-β, контролює фазу регенерації, зменшує фіброз та атрофію </w:t>
      </w:r>
      <w:r w:rsidRPr="00C62D22">
        <w:rPr>
          <w:rFonts w:ascii="Times New Roman" w:hAnsi="Times New Roman" w:cs="Times New Roman"/>
          <w:sz w:val="28"/>
          <w:szCs w:val="28"/>
        </w:rPr>
        <w:t>[305, 347, 379, 422]</w:t>
      </w:r>
      <w:r w:rsidRPr="00C62D22">
        <w:rPr>
          <w:rStyle w:val="hps"/>
          <w:rFonts w:ascii="Times New Roman" w:hAnsi="Times New Roman" w:cs="Times New Roman"/>
          <w:sz w:val="28"/>
          <w:szCs w:val="28"/>
        </w:rPr>
        <w:t>.</w:t>
      </w:r>
    </w:p>
    <w:p w:rsidR="0021764E" w:rsidRPr="00C62D22" w:rsidRDefault="0021764E" w:rsidP="0021764E">
      <w:pPr>
        <w:autoSpaceDE w:val="0"/>
        <w:autoSpaceDN w:val="0"/>
        <w:adjustRightInd w:val="0"/>
        <w:spacing w:after="0" w:line="360" w:lineRule="auto"/>
        <w:ind w:firstLine="540"/>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Детальне вивчення ефектів ЦК може бути базою для розробки мед</w:t>
      </w:r>
      <w:r w:rsidRPr="00C62D22">
        <w:rPr>
          <w:rStyle w:val="hps"/>
          <w:rFonts w:ascii="Times New Roman" w:hAnsi="Times New Roman" w:cs="Times New Roman"/>
          <w:sz w:val="28"/>
          <w:szCs w:val="28"/>
        </w:rPr>
        <w:t>и</w:t>
      </w:r>
      <w:r w:rsidRPr="00C62D22">
        <w:rPr>
          <w:rStyle w:val="hps"/>
          <w:rFonts w:ascii="Times New Roman" w:hAnsi="Times New Roman" w:cs="Times New Roman"/>
          <w:sz w:val="28"/>
          <w:szCs w:val="28"/>
        </w:rPr>
        <w:t>каментів для лікування гострого та ХП [282].</w:t>
      </w:r>
    </w:p>
    <w:p w:rsidR="0021764E" w:rsidRPr="00C62D22" w:rsidRDefault="0021764E" w:rsidP="0021764E">
      <w:pPr>
        <w:spacing w:after="0" w:line="360" w:lineRule="auto"/>
        <w:ind w:firstLine="540"/>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Сучасні дослідження довели, що панкреатит ініціюється як стан запале</w:t>
      </w:r>
      <w:r w:rsidRPr="00C62D22">
        <w:rPr>
          <w:rStyle w:val="hps"/>
          <w:rFonts w:ascii="Times New Roman" w:hAnsi="Times New Roman" w:cs="Times New Roman"/>
          <w:sz w:val="28"/>
          <w:szCs w:val="28"/>
        </w:rPr>
        <w:t>н</w:t>
      </w:r>
      <w:r w:rsidRPr="00C62D22">
        <w:rPr>
          <w:rStyle w:val="hps"/>
          <w:rFonts w:ascii="Times New Roman" w:hAnsi="Times New Roman" w:cs="Times New Roman"/>
          <w:sz w:val="28"/>
          <w:szCs w:val="28"/>
        </w:rPr>
        <w:t xml:space="preserve">ня, деструкції ацинарних і дуктальних клітин, інтра- і перилобулярного фіброзу та склерозу паренхіми ПЗ </w:t>
      </w:r>
      <w:r w:rsidRPr="00C62D22">
        <w:rPr>
          <w:rFonts w:ascii="Times New Roman" w:hAnsi="Times New Roman" w:cs="Times New Roman"/>
          <w:sz w:val="28"/>
          <w:szCs w:val="28"/>
        </w:rPr>
        <w:t>[22, 33, 118, 311, 432]</w:t>
      </w:r>
      <w:r w:rsidRPr="00C62D22">
        <w:rPr>
          <w:rStyle w:val="hps"/>
          <w:rFonts w:ascii="Times New Roman" w:hAnsi="Times New Roman" w:cs="Times New Roman"/>
          <w:sz w:val="28"/>
          <w:szCs w:val="28"/>
        </w:rPr>
        <w:t xml:space="preserve">. </w:t>
      </w:r>
    </w:p>
    <w:p w:rsidR="0021764E" w:rsidRPr="00C62D22" w:rsidRDefault="0021764E" w:rsidP="0021764E">
      <w:pPr>
        <w:spacing w:after="0" w:line="360" w:lineRule="auto"/>
        <w:ind w:firstLine="540"/>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На думку фахівців, некроз, апоптоз і фіброз є процесами динамічними та супроводжуються контролем поліпептидів, до яких і відноситься TGF-β1, одн</w:t>
      </w:r>
      <w:r w:rsidRPr="00C62D22">
        <w:rPr>
          <w:rStyle w:val="hps"/>
          <w:rFonts w:ascii="Times New Roman" w:hAnsi="Times New Roman" w:cs="Times New Roman"/>
          <w:sz w:val="28"/>
          <w:szCs w:val="28"/>
        </w:rPr>
        <w:t>і</w:t>
      </w:r>
      <w:r w:rsidRPr="00C62D22">
        <w:rPr>
          <w:rStyle w:val="hps"/>
          <w:rFonts w:ascii="Times New Roman" w:hAnsi="Times New Roman" w:cs="Times New Roman"/>
          <w:sz w:val="28"/>
          <w:szCs w:val="28"/>
        </w:rPr>
        <w:t>єю з функцій якого є регулювання балансу між негативними і позитивними процесами, що відбуваються в тканинах ПЗ [227, 305, 347, 379, 387]. При експер</w:t>
      </w:r>
      <w:r w:rsidRPr="00C62D22">
        <w:rPr>
          <w:rStyle w:val="hps"/>
          <w:rFonts w:ascii="Times New Roman" w:hAnsi="Times New Roman" w:cs="Times New Roman"/>
          <w:sz w:val="28"/>
          <w:szCs w:val="28"/>
        </w:rPr>
        <w:t>и</w:t>
      </w:r>
      <w:r w:rsidRPr="00C62D22">
        <w:rPr>
          <w:rStyle w:val="hps"/>
          <w:rFonts w:ascii="Times New Roman" w:hAnsi="Times New Roman" w:cs="Times New Roman"/>
          <w:sz w:val="28"/>
          <w:szCs w:val="28"/>
        </w:rPr>
        <w:t>ментальних дослідженнях було встановлено, що гіперпродукція TGF-β1 сприяє індукції у тварин як панкреатиту, так і супутнього TGF-α-цукрового діабету [305, 379]. TGF</w:t>
      </w:r>
      <w:r w:rsidRPr="00C62D22">
        <w:rPr>
          <w:rStyle w:val="atn"/>
          <w:rFonts w:ascii="Times New Roman" w:hAnsi="Times New Roman" w:cs="Times New Roman"/>
          <w:sz w:val="28"/>
          <w:szCs w:val="28"/>
        </w:rPr>
        <w:t>-</w:t>
      </w:r>
      <w:r w:rsidRPr="00C62D22">
        <w:rPr>
          <w:rStyle w:val="hps"/>
          <w:rFonts w:ascii="Times New Roman" w:hAnsi="Times New Roman" w:cs="Times New Roman"/>
          <w:sz w:val="28"/>
          <w:szCs w:val="28"/>
        </w:rPr>
        <w:t>β</w:t>
      </w:r>
      <w:r w:rsidRPr="00C62D22">
        <w:rPr>
          <w:rFonts w:ascii="Times New Roman" w:hAnsi="Times New Roman" w:cs="Times New Roman"/>
          <w:sz w:val="28"/>
          <w:szCs w:val="28"/>
        </w:rPr>
        <w:t>1 активує панкреатичні зірчасті клітини та підсилює ними синтез ЕЦМ, включаючи колаген I і III типів. Крім того, цей ЦК інгібує дегр</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дацію ЕЦМ за рахунок зниження активності специфічних металоферментів [347, 379]. </w:t>
      </w:r>
      <w:r w:rsidRPr="00C62D22">
        <w:rPr>
          <w:rStyle w:val="hps"/>
          <w:rFonts w:ascii="Times New Roman" w:hAnsi="Times New Roman" w:cs="Times New Roman"/>
          <w:sz w:val="28"/>
          <w:szCs w:val="28"/>
        </w:rPr>
        <w:t>Вст</w:t>
      </w:r>
      <w:r w:rsidRPr="00C62D22">
        <w:rPr>
          <w:rStyle w:val="hps"/>
          <w:rFonts w:ascii="Times New Roman" w:hAnsi="Times New Roman" w:cs="Times New Roman"/>
          <w:sz w:val="28"/>
          <w:szCs w:val="28"/>
        </w:rPr>
        <w:t>а</w:t>
      </w:r>
      <w:r w:rsidRPr="00C62D22">
        <w:rPr>
          <w:rStyle w:val="hps"/>
          <w:rFonts w:ascii="Times New Roman" w:hAnsi="Times New Roman" w:cs="Times New Roman"/>
          <w:sz w:val="28"/>
          <w:szCs w:val="28"/>
        </w:rPr>
        <w:t>новлено, що визначення циркулюючого TGF-β1 може відображати різні стадії перебігу панкреатиту та виразу ускладнень, які розвиваються в різні терміни від моменту захв</w:t>
      </w:r>
      <w:r w:rsidRPr="00C62D22">
        <w:rPr>
          <w:rStyle w:val="hps"/>
          <w:rFonts w:ascii="Times New Roman" w:hAnsi="Times New Roman" w:cs="Times New Roman"/>
          <w:sz w:val="28"/>
          <w:szCs w:val="28"/>
        </w:rPr>
        <w:t>о</w:t>
      </w:r>
      <w:r w:rsidRPr="00C62D22">
        <w:rPr>
          <w:rStyle w:val="hps"/>
          <w:rFonts w:ascii="Times New Roman" w:hAnsi="Times New Roman" w:cs="Times New Roman"/>
          <w:sz w:val="28"/>
          <w:szCs w:val="28"/>
        </w:rPr>
        <w:t xml:space="preserve">рювання. Отримані дані узгоджуються з думкою авторів [305, 347, 379], які довели, що TGF-β1 </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предиктор, який впливає на пр</w:t>
      </w:r>
      <w:r w:rsidRPr="00C62D22">
        <w:rPr>
          <w:rStyle w:val="hps"/>
          <w:rFonts w:ascii="Times New Roman" w:hAnsi="Times New Roman" w:cs="Times New Roman"/>
          <w:sz w:val="28"/>
          <w:szCs w:val="28"/>
        </w:rPr>
        <w:t>о</w:t>
      </w:r>
      <w:r w:rsidRPr="00C62D22">
        <w:rPr>
          <w:rStyle w:val="hps"/>
          <w:rFonts w:ascii="Times New Roman" w:hAnsi="Times New Roman" w:cs="Times New Roman"/>
          <w:sz w:val="28"/>
          <w:szCs w:val="28"/>
        </w:rPr>
        <w:t>цеси ініціації проліферації фібробластів, синтез компонентів ЕЦМ, кооперацію клітин зап</w:t>
      </w:r>
      <w:r w:rsidRPr="00C62D22">
        <w:rPr>
          <w:rStyle w:val="hps"/>
          <w:rFonts w:ascii="Times New Roman" w:hAnsi="Times New Roman" w:cs="Times New Roman"/>
          <w:sz w:val="28"/>
          <w:szCs w:val="28"/>
        </w:rPr>
        <w:t>а</w:t>
      </w:r>
      <w:r w:rsidRPr="00C62D22">
        <w:rPr>
          <w:rStyle w:val="hps"/>
          <w:rFonts w:ascii="Times New Roman" w:hAnsi="Times New Roman" w:cs="Times New Roman"/>
          <w:sz w:val="28"/>
          <w:szCs w:val="28"/>
        </w:rPr>
        <w:t xml:space="preserve">лення (у першу чергу макрофагів). В експериментальних роботах на тваринах визначена висока експресія TGF-β1 в </w:t>
      </w:r>
      <w:r w:rsidRPr="00C62D22">
        <w:rPr>
          <w:rStyle w:val="hps"/>
          <w:rFonts w:ascii="Times New Roman" w:hAnsi="Times New Roman" w:cs="Times New Roman"/>
          <w:sz w:val="28"/>
          <w:szCs w:val="28"/>
        </w:rPr>
        <w:lastRenderedPageBreak/>
        <w:t>гостру фазу запалення й у пізню стадію фіброзу, а при впливі на імунну систему переважали ефекти TGF-β1, що володіють інгібуючими функціями.</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TGF-β1, що є фіброгенним ЦК, ст</w:t>
      </w:r>
      <w:r w:rsidRPr="00C62D22">
        <w:rPr>
          <w:rStyle w:val="hps"/>
          <w:rFonts w:ascii="Times New Roman" w:hAnsi="Times New Roman" w:cs="Times New Roman"/>
          <w:sz w:val="28"/>
          <w:szCs w:val="28"/>
        </w:rPr>
        <w:t>и</w:t>
      </w:r>
      <w:r w:rsidRPr="00C62D22">
        <w:rPr>
          <w:rStyle w:val="hps"/>
          <w:rFonts w:ascii="Times New Roman" w:hAnsi="Times New Roman" w:cs="Times New Roman"/>
          <w:sz w:val="28"/>
          <w:szCs w:val="28"/>
        </w:rPr>
        <w:t>мулює зміни структури ПЗ, її ремоделювання, відіграє важливу роль у розви</w:t>
      </w:r>
      <w:r w:rsidRPr="00C62D22">
        <w:rPr>
          <w:rStyle w:val="hps"/>
          <w:rFonts w:ascii="Times New Roman" w:hAnsi="Times New Roman" w:cs="Times New Roman"/>
          <w:sz w:val="28"/>
          <w:szCs w:val="28"/>
        </w:rPr>
        <w:t>т</w:t>
      </w:r>
      <w:r w:rsidRPr="00C62D22">
        <w:rPr>
          <w:rStyle w:val="hps"/>
          <w:rFonts w:ascii="Times New Roman" w:hAnsi="Times New Roman" w:cs="Times New Roman"/>
          <w:sz w:val="28"/>
          <w:szCs w:val="28"/>
        </w:rPr>
        <w:t>ку фіброзу й потенціюванні апоптозу клітин ПЗ. Ця морфологічна перебудова може бути основою патогенезу па</w:t>
      </w:r>
      <w:r w:rsidRPr="00C62D22">
        <w:rPr>
          <w:rStyle w:val="hps"/>
          <w:rFonts w:ascii="Times New Roman" w:hAnsi="Times New Roman" w:cs="Times New Roman"/>
          <w:sz w:val="28"/>
          <w:szCs w:val="28"/>
        </w:rPr>
        <w:t>н</w:t>
      </w:r>
      <w:r w:rsidRPr="00C62D22">
        <w:rPr>
          <w:rStyle w:val="hps"/>
          <w:rFonts w:ascii="Times New Roman" w:hAnsi="Times New Roman" w:cs="Times New Roman"/>
          <w:sz w:val="28"/>
          <w:szCs w:val="28"/>
        </w:rPr>
        <w:t xml:space="preserve">креатиту </w:t>
      </w:r>
      <w:r w:rsidRPr="00C62D22">
        <w:rPr>
          <w:rFonts w:ascii="Times New Roman" w:hAnsi="Times New Roman" w:cs="Times New Roman"/>
          <w:sz w:val="28"/>
          <w:szCs w:val="28"/>
        </w:rPr>
        <w:t>[352, 432]</w:t>
      </w:r>
      <w:r w:rsidRPr="00C62D22">
        <w:rPr>
          <w:rStyle w:val="hps"/>
          <w:rFonts w:ascii="Times New Roman" w:hAnsi="Times New Roman" w:cs="Times New Roman"/>
          <w:sz w:val="28"/>
          <w:szCs w:val="28"/>
        </w:rPr>
        <w:t>.</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Важливою функцією ендотелію є продукція окис азоту (NО), що підтр</w:t>
      </w:r>
      <w:r w:rsidRPr="00C62D22">
        <w:rPr>
          <w:rFonts w:ascii="Times New Roman" w:hAnsi="Times New Roman" w:cs="Times New Roman"/>
          <w:sz w:val="28"/>
          <w:szCs w:val="28"/>
        </w:rPr>
        <w:t>и</w:t>
      </w:r>
      <w:r w:rsidRPr="00C62D22">
        <w:rPr>
          <w:rFonts w:ascii="Times New Roman" w:hAnsi="Times New Roman" w:cs="Times New Roman"/>
          <w:sz w:val="28"/>
          <w:szCs w:val="28"/>
        </w:rPr>
        <w:t>мує базальний тонус судин і бере участь у здійсненні вазодилятації у відповідь на дію різноманітних стимулів. В останні роки в науковій літерат</w:t>
      </w:r>
      <w:r w:rsidRPr="00C62D22">
        <w:rPr>
          <w:rFonts w:ascii="Times New Roman" w:hAnsi="Times New Roman" w:cs="Times New Roman"/>
          <w:sz w:val="28"/>
          <w:szCs w:val="28"/>
        </w:rPr>
        <w:t>у</w:t>
      </w:r>
      <w:r w:rsidRPr="00C62D22">
        <w:rPr>
          <w:rFonts w:ascii="Times New Roman" w:hAnsi="Times New Roman" w:cs="Times New Roman"/>
          <w:sz w:val="28"/>
          <w:szCs w:val="28"/>
        </w:rPr>
        <w:t>рі з'явилася велика кількість робіт, які свідчать про важливу роль окису азоту як поліфун</w:t>
      </w:r>
      <w:r w:rsidRPr="00C62D22">
        <w:rPr>
          <w:rFonts w:ascii="Times New Roman" w:hAnsi="Times New Roman" w:cs="Times New Roman"/>
          <w:sz w:val="28"/>
          <w:szCs w:val="28"/>
        </w:rPr>
        <w:t>к</w:t>
      </w:r>
      <w:r w:rsidRPr="00C62D22">
        <w:rPr>
          <w:rFonts w:ascii="Times New Roman" w:hAnsi="Times New Roman" w:cs="Times New Roman"/>
          <w:sz w:val="28"/>
          <w:szCs w:val="28"/>
        </w:rPr>
        <w:t>ціонального регулятора структурно метаболічних процесів [37, 234, 238, 400]. Щодо сучасних уявлень, хімічний медіатор NО відіграє універсальну роль модул</w:t>
      </w:r>
      <w:r w:rsidRPr="00C62D22">
        <w:rPr>
          <w:rFonts w:ascii="Times New Roman" w:hAnsi="Times New Roman" w:cs="Times New Roman"/>
          <w:sz w:val="28"/>
          <w:szCs w:val="28"/>
        </w:rPr>
        <w:t>я</w:t>
      </w:r>
      <w:r w:rsidRPr="00C62D22">
        <w:rPr>
          <w:rFonts w:ascii="Times New Roman" w:hAnsi="Times New Roman" w:cs="Times New Roman"/>
          <w:sz w:val="28"/>
          <w:szCs w:val="28"/>
        </w:rPr>
        <w:t>тора фізіологічних функцій серцево-судинної, нервової, імунної, м’язової, д</w:t>
      </w:r>
      <w:r w:rsidRPr="00C62D22">
        <w:rPr>
          <w:rFonts w:ascii="Times New Roman" w:hAnsi="Times New Roman" w:cs="Times New Roman"/>
          <w:sz w:val="28"/>
          <w:szCs w:val="28"/>
        </w:rPr>
        <w:t>и</w:t>
      </w:r>
      <w:r w:rsidRPr="00C62D22">
        <w:rPr>
          <w:rFonts w:ascii="Times New Roman" w:hAnsi="Times New Roman" w:cs="Times New Roman"/>
          <w:sz w:val="28"/>
          <w:szCs w:val="28"/>
        </w:rPr>
        <w:t>хальної, травної та інших систем організму. Цей месенджер має відношення до розвитку багатьох патологічних процесів та виступає як патогенетичний рег</w:t>
      </w:r>
      <w:r w:rsidRPr="00C62D22">
        <w:rPr>
          <w:rFonts w:ascii="Times New Roman" w:hAnsi="Times New Roman" w:cs="Times New Roman"/>
          <w:sz w:val="28"/>
          <w:szCs w:val="28"/>
        </w:rPr>
        <w:t>у</w:t>
      </w:r>
      <w:r w:rsidRPr="00C62D22">
        <w:rPr>
          <w:rFonts w:ascii="Times New Roman" w:hAnsi="Times New Roman" w:cs="Times New Roman"/>
          <w:sz w:val="28"/>
          <w:szCs w:val="28"/>
        </w:rPr>
        <w:t>ляторний і медіаторний фактор формування порушень гомеостатичної ф</w:t>
      </w:r>
      <w:r w:rsidRPr="00C62D22">
        <w:rPr>
          <w:rFonts w:ascii="Times New Roman" w:hAnsi="Times New Roman" w:cs="Times New Roman"/>
          <w:sz w:val="28"/>
          <w:szCs w:val="28"/>
        </w:rPr>
        <w:t>у</w:t>
      </w:r>
      <w:r w:rsidRPr="00C62D22">
        <w:rPr>
          <w:rFonts w:ascii="Times New Roman" w:hAnsi="Times New Roman" w:cs="Times New Roman"/>
          <w:sz w:val="28"/>
          <w:szCs w:val="28"/>
        </w:rPr>
        <w:t>нкції організму, як аутокринна сигнальна молекула. NО бере участь у пр</w:t>
      </w:r>
      <w:r w:rsidRPr="00C62D22">
        <w:rPr>
          <w:rFonts w:ascii="Times New Roman" w:hAnsi="Times New Roman" w:cs="Times New Roman"/>
          <w:sz w:val="28"/>
          <w:szCs w:val="28"/>
        </w:rPr>
        <w:t>о</w:t>
      </w:r>
      <w:r w:rsidRPr="00C62D22">
        <w:rPr>
          <w:rFonts w:ascii="Times New Roman" w:hAnsi="Times New Roman" w:cs="Times New Roman"/>
          <w:sz w:val="28"/>
          <w:szCs w:val="28"/>
        </w:rPr>
        <w:t>веденні сигналу від мембранних рецепторів до молекул внутрішньоклітинних структур, у тому числі, і за гуанілатциклазним шляхом як паракринний ефектор, NО вн</w:t>
      </w:r>
      <w:r w:rsidRPr="00C62D22">
        <w:rPr>
          <w:rFonts w:ascii="Times New Roman" w:hAnsi="Times New Roman" w:cs="Times New Roman"/>
          <w:sz w:val="28"/>
          <w:szCs w:val="28"/>
        </w:rPr>
        <w:t>о</w:t>
      </w:r>
      <w:r w:rsidRPr="00C62D22">
        <w:rPr>
          <w:rFonts w:ascii="Times New Roman" w:hAnsi="Times New Roman" w:cs="Times New Roman"/>
          <w:sz w:val="28"/>
          <w:szCs w:val="28"/>
        </w:rPr>
        <w:t>сить частку в злагоджену роботу оточуючих клітин, бере участь в утв</w:t>
      </w:r>
      <w:r w:rsidRPr="00C62D22">
        <w:rPr>
          <w:rFonts w:ascii="Times New Roman" w:hAnsi="Times New Roman" w:cs="Times New Roman"/>
          <w:sz w:val="28"/>
          <w:szCs w:val="28"/>
        </w:rPr>
        <w:t>о</w:t>
      </w:r>
      <w:r w:rsidRPr="00C62D22">
        <w:rPr>
          <w:rFonts w:ascii="Times New Roman" w:hAnsi="Times New Roman" w:cs="Times New Roman"/>
          <w:sz w:val="28"/>
          <w:szCs w:val="28"/>
        </w:rPr>
        <w:t>ренні молекулярних систем міжклітинної сигналізації. Окис аз</w:t>
      </w:r>
      <w:r w:rsidRPr="00C62D22">
        <w:rPr>
          <w:rFonts w:ascii="Times New Roman" w:hAnsi="Times New Roman" w:cs="Times New Roman"/>
          <w:sz w:val="28"/>
          <w:szCs w:val="28"/>
        </w:rPr>
        <w:t>о</w:t>
      </w:r>
      <w:r w:rsidRPr="00C62D22">
        <w:rPr>
          <w:rFonts w:ascii="Times New Roman" w:hAnsi="Times New Roman" w:cs="Times New Roman"/>
          <w:sz w:val="28"/>
          <w:szCs w:val="28"/>
        </w:rPr>
        <w:t>ту відповідає за тонус судин, міжклітинну комунікацію, модуляцію нейротрансмісії, рівень ім</w:t>
      </w:r>
      <w:r w:rsidRPr="00C62D22">
        <w:rPr>
          <w:rFonts w:ascii="Times New Roman" w:hAnsi="Times New Roman" w:cs="Times New Roman"/>
          <w:sz w:val="28"/>
          <w:szCs w:val="28"/>
        </w:rPr>
        <w:t>у</w:t>
      </w:r>
      <w:r w:rsidRPr="00C62D22">
        <w:rPr>
          <w:rFonts w:ascii="Times New Roman" w:hAnsi="Times New Roman" w:cs="Times New Roman"/>
          <w:sz w:val="28"/>
          <w:szCs w:val="28"/>
        </w:rPr>
        <w:t>нної цитотоксичності, секрецію медіаторів та гормонів. Поряд із тим, окис аз</w:t>
      </w:r>
      <w:r w:rsidRPr="00C62D22">
        <w:rPr>
          <w:rFonts w:ascii="Times New Roman" w:hAnsi="Times New Roman" w:cs="Times New Roman"/>
          <w:sz w:val="28"/>
          <w:szCs w:val="28"/>
        </w:rPr>
        <w:t>о</w:t>
      </w:r>
      <w:r w:rsidRPr="00C62D22">
        <w:rPr>
          <w:rFonts w:ascii="Times New Roman" w:hAnsi="Times New Roman" w:cs="Times New Roman"/>
          <w:sz w:val="28"/>
          <w:szCs w:val="28"/>
        </w:rPr>
        <w:t>ту − потенційно токсична молекула, яка широко наведена при гіпертензії, цу</w:t>
      </w:r>
      <w:r w:rsidRPr="00C62D22">
        <w:rPr>
          <w:rFonts w:ascii="Times New Roman" w:hAnsi="Times New Roman" w:cs="Times New Roman"/>
          <w:sz w:val="28"/>
          <w:szCs w:val="28"/>
        </w:rPr>
        <w:t>к</w:t>
      </w:r>
      <w:r w:rsidRPr="00C62D22">
        <w:rPr>
          <w:rFonts w:ascii="Times New Roman" w:hAnsi="Times New Roman" w:cs="Times New Roman"/>
          <w:sz w:val="28"/>
          <w:szCs w:val="28"/>
        </w:rPr>
        <w:t>ровому діабеті, новоутвореннях, нейродегенеративних пр</w:t>
      </w:r>
      <w:r w:rsidRPr="00C62D22">
        <w:rPr>
          <w:rFonts w:ascii="Times New Roman" w:hAnsi="Times New Roman" w:cs="Times New Roman"/>
          <w:sz w:val="28"/>
          <w:szCs w:val="28"/>
        </w:rPr>
        <w:t>о</w:t>
      </w:r>
      <w:r w:rsidRPr="00C62D22">
        <w:rPr>
          <w:rFonts w:ascii="Times New Roman" w:hAnsi="Times New Roman" w:cs="Times New Roman"/>
          <w:sz w:val="28"/>
          <w:szCs w:val="28"/>
        </w:rPr>
        <w:t>цесах, атеросклерозі, цирозі печінки, захворюваннях нирок й інших патологічних ст</w:t>
      </w:r>
      <w:r w:rsidRPr="00C62D22">
        <w:rPr>
          <w:rFonts w:ascii="Times New Roman" w:hAnsi="Times New Roman" w:cs="Times New Roman"/>
          <w:sz w:val="28"/>
          <w:szCs w:val="28"/>
        </w:rPr>
        <w:t>а</w:t>
      </w:r>
      <w:r w:rsidRPr="00C62D22">
        <w:rPr>
          <w:rFonts w:ascii="Times New Roman" w:hAnsi="Times New Roman" w:cs="Times New Roman"/>
          <w:sz w:val="28"/>
          <w:szCs w:val="28"/>
        </w:rPr>
        <w:t>нах організму. Встановлено, що цитотоксичність NО є результатом утворення великої кілько</w:t>
      </w:r>
      <w:r w:rsidRPr="00C62D22">
        <w:rPr>
          <w:rFonts w:ascii="Times New Roman" w:hAnsi="Times New Roman" w:cs="Times New Roman"/>
          <w:sz w:val="28"/>
          <w:szCs w:val="28"/>
        </w:rPr>
        <w:t>с</w:t>
      </w:r>
      <w:r w:rsidRPr="00C62D22">
        <w:rPr>
          <w:rFonts w:ascii="Times New Roman" w:hAnsi="Times New Roman" w:cs="Times New Roman"/>
          <w:sz w:val="28"/>
          <w:szCs w:val="28"/>
        </w:rPr>
        <w:t>ті цих молекул, що супроводжується ініціацією апоптозу. Подвійна дія NО пр</w:t>
      </w:r>
      <w:r w:rsidRPr="00C62D22">
        <w:rPr>
          <w:rFonts w:ascii="Times New Roman" w:hAnsi="Times New Roman" w:cs="Times New Roman"/>
          <w:sz w:val="28"/>
          <w:szCs w:val="28"/>
        </w:rPr>
        <w:t>о</w:t>
      </w:r>
      <w:r w:rsidRPr="00C62D22">
        <w:rPr>
          <w:rFonts w:ascii="Times New Roman" w:hAnsi="Times New Roman" w:cs="Times New Roman"/>
          <w:sz w:val="28"/>
          <w:szCs w:val="28"/>
        </w:rPr>
        <w:t>являється в його здатності захищати клітину від апоптозних сигналів і здійсн</w:t>
      </w:r>
      <w:r w:rsidRPr="00C62D22">
        <w:rPr>
          <w:rFonts w:ascii="Times New Roman" w:hAnsi="Times New Roman" w:cs="Times New Roman"/>
          <w:sz w:val="28"/>
          <w:szCs w:val="28"/>
        </w:rPr>
        <w:t>ю</w:t>
      </w:r>
      <w:r w:rsidRPr="00C62D22">
        <w:rPr>
          <w:rFonts w:ascii="Times New Roman" w:hAnsi="Times New Roman" w:cs="Times New Roman"/>
          <w:sz w:val="28"/>
          <w:szCs w:val="28"/>
        </w:rPr>
        <w:t>вати апоптоз. Буде або ні молекула NО володіти цитотокси</w:t>
      </w:r>
      <w:r w:rsidRPr="00C62D22">
        <w:rPr>
          <w:rFonts w:ascii="Times New Roman" w:hAnsi="Times New Roman" w:cs="Times New Roman"/>
          <w:sz w:val="28"/>
          <w:szCs w:val="28"/>
        </w:rPr>
        <w:t>ч</w:t>
      </w:r>
      <w:r w:rsidRPr="00C62D22">
        <w:rPr>
          <w:rFonts w:ascii="Times New Roman" w:hAnsi="Times New Roman" w:cs="Times New Roman"/>
          <w:sz w:val="28"/>
          <w:szCs w:val="28"/>
        </w:rPr>
        <w:t xml:space="preserve">ними функціями, та чи проявиться її цитотоксичність, залежить </w:t>
      </w:r>
      <w:r w:rsidRPr="00C62D22">
        <w:rPr>
          <w:rFonts w:ascii="Times New Roman" w:hAnsi="Times New Roman" w:cs="Times New Roman"/>
          <w:sz w:val="28"/>
          <w:szCs w:val="28"/>
        </w:rPr>
        <w:lastRenderedPageBreak/>
        <w:t>від типу кліт</w:t>
      </w:r>
      <w:r w:rsidRPr="00C62D22">
        <w:rPr>
          <w:rFonts w:ascii="Times New Roman" w:hAnsi="Times New Roman" w:cs="Times New Roman"/>
          <w:sz w:val="28"/>
          <w:szCs w:val="28"/>
        </w:rPr>
        <w:t>и</w:t>
      </w:r>
      <w:r w:rsidRPr="00C62D22">
        <w:rPr>
          <w:rFonts w:ascii="Times New Roman" w:hAnsi="Times New Roman" w:cs="Times New Roman"/>
          <w:sz w:val="28"/>
          <w:szCs w:val="28"/>
        </w:rPr>
        <w:t>ни, фази її розвитку, біоелектричного потенціалу, локальної концентрації NО й інших акти</w:t>
      </w:r>
      <w:r w:rsidRPr="00C62D22">
        <w:rPr>
          <w:rFonts w:ascii="Times New Roman" w:hAnsi="Times New Roman" w:cs="Times New Roman"/>
          <w:sz w:val="28"/>
          <w:szCs w:val="28"/>
        </w:rPr>
        <w:t>в</w:t>
      </w:r>
      <w:r w:rsidRPr="00C62D22">
        <w:rPr>
          <w:rFonts w:ascii="Times New Roman" w:hAnsi="Times New Roman" w:cs="Times New Roman"/>
          <w:sz w:val="28"/>
          <w:szCs w:val="28"/>
        </w:rPr>
        <w:t>них форм кисню [13, 27, 400].</w:t>
      </w:r>
    </w:p>
    <w:p w:rsidR="0021764E" w:rsidRPr="00C62D22" w:rsidRDefault="0021764E" w:rsidP="0021764E">
      <w:pPr>
        <w:autoSpaceDE w:val="0"/>
        <w:autoSpaceDN w:val="0"/>
        <w:adjustRightInd w:val="0"/>
        <w:spacing w:after="0" w:line="360" w:lineRule="auto"/>
        <w:ind w:firstLine="540"/>
        <w:jc w:val="both"/>
        <w:rPr>
          <w:rFonts w:ascii="Times New Roman" w:eastAsia="TimesNewRomanPSMT" w:hAnsi="Times New Roman" w:cs="Times New Roman"/>
          <w:sz w:val="28"/>
          <w:szCs w:val="28"/>
        </w:rPr>
      </w:pPr>
      <w:r w:rsidRPr="00C62D22">
        <w:rPr>
          <w:rFonts w:ascii="Times New Roman" w:eastAsia="TimesNewRomanPSMT" w:hAnsi="Times New Roman" w:cs="Times New Roman"/>
          <w:sz w:val="28"/>
          <w:szCs w:val="28"/>
        </w:rPr>
        <w:t>Таким чином, судинний ендотелій, знаходячись на межі між кров'ю та і</w:t>
      </w:r>
      <w:r w:rsidRPr="00C62D22">
        <w:rPr>
          <w:rFonts w:ascii="Times New Roman" w:eastAsia="TimesNewRomanPSMT" w:hAnsi="Times New Roman" w:cs="Times New Roman"/>
          <w:sz w:val="28"/>
          <w:szCs w:val="28"/>
        </w:rPr>
        <w:t>н</w:t>
      </w:r>
      <w:r w:rsidRPr="00C62D22">
        <w:rPr>
          <w:rFonts w:ascii="Times New Roman" w:eastAsia="TimesNewRomanPSMT" w:hAnsi="Times New Roman" w:cs="Times New Roman"/>
          <w:sz w:val="28"/>
          <w:szCs w:val="28"/>
        </w:rPr>
        <w:t>шими тканинами організму, повністю виконує свої функції за рахунок біолог</w:t>
      </w:r>
      <w:r w:rsidRPr="00C62D22">
        <w:rPr>
          <w:rFonts w:ascii="Times New Roman" w:eastAsia="TimesNewRomanPSMT" w:hAnsi="Times New Roman" w:cs="Times New Roman"/>
          <w:sz w:val="28"/>
          <w:szCs w:val="28"/>
        </w:rPr>
        <w:t>і</w:t>
      </w:r>
      <w:r w:rsidRPr="00C62D22">
        <w:rPr>
          <w:rFonts w:ascii="Times New Roman" w:eastAsia="TimesNewRomanPSMT" w:hAnsi="Times New Roman" w:cs="Times New Roman"/>
          <w:sz w:val="28"/>
          <w:szCs w:val="28"/>
        </w:rPr>
        <w:t>чно активних речовин: регуляції параметрів гемодинаміки, тромборезистентн</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 xml:space="preserve">сті та участі в процесах гемостазу, запалення та ангіогенезу. </w:t>
      </w:r>
    </w:p>
    <w:p w:rsidR="0021764E" w:rsidRPr="00C62D22" w:rsidRDefault="0021764E" w:rsidP="0021764E">
      <w:pPr>
        <w:autoSpaceDE w:val="0"/>
        <w:autoSpaceDN w:val="0"/>
        <w:adjustRightInd w:val="0"/>
        <w:spacing w:after="0" w:line="360" w:lineRule="auto"/>
        <w:ind w:firstLine="540"/>
        <w:jc w:val="both"/>
        <w:rPr>
          <w:rFonts w:ascii="Times New Roman" w:eastAsia="TimesNewRomanPSMT" w:hAnsi="Times New Roman" w:cs="Times New Roman"/>
          <w:sz w:val="28"/>
          <w:szCs w:val="28"/>
        </w:rPr>
      </w:pPr>
      <w:r w:rsidRPr="00C62D22">
        <w:rPr>
          <w:rFonts w:ascii="Times New Roman" w:eastAsia="TimesNewRomanPSMT" w:hAnsi="Times New Roman" w:cs="Times New Roman"/>
          <w:sz w:val="28"/>
          <w:szCs w:val="28"/>
        </w:rPr>
        <w:t>Проникаючі, закриті, інтраопераційні ятрогенні ушкодження ПЗ, та її протокової системи мають, як наслідок, розвиток ГП різного ступеня важкості, а також його ускладнень у вигляді перитоніту, парапанкреатиту, ПК та панкре</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 xml:space="preserve">тичних нориць </w:t>
      </w:r>
      <w:r w:rsidRPr="00C62D22">
        <w:rPr>
          <w:rFonts w:ascii="Times New Roman" w:hAnsi="Times New Roman" w:cs="Times New Roman"/>
          <w:sz w:val="28"/>
          <w:szCs w:val="28"/>
        </w:rPr>
        <w:t>[107, 151, 286, 364].</w:t>
      </w:r>
      <w:r w:rsidRPr="00C62D22">
        <w:rPr>
          <w:rFonts w:ascii="Times New Roman" w:eastAsia="TimesNewRomanPSMT" w:hAnsi="Times New Roman" w:cs="Times New Roman"/>
          <w:sz w:val="28"/>
          <w:szCs w:val="28"/>
        </w:rPr>
        <w:t xml:space="preserve"> Особливостями посттравматичного ГП є велика вірогідність розвитку його некротичної та гнійно-некротичної форм, відсутність достові</w:t>
      </w:r>
      <w:r w:rsidRPr="00C62D22">
        <w:rPr>
          <w:rFonts w:ascii="Times New Roman" w:eastAsia="TimesNewRomanPSMT" w:hAnsi="Times New Roman" w:cs="Times New Roman"/>
          <w:sz w:val="28"/>
          <w:szCs w:val="28"/>
        </w:rPr>
        <w:t>р</w:t>
      </w:r>
      <w:r w:rsidRPr="00C62D22">
        <w:rPr>
          <w:rFonts w:ascii="Times New Roman" w:eastAsia="TimesNewRomanPSMT" w:hAnsi="Times New Roman" w:cs="Times New Roman"/>
          <w:sz w:val="28"/>
          <w:szCs w:val="28"/>
        </w:rPr>
        <w:t>них клінічних проявів та висока летальність [24, 29, 103, 104, 150, 163].</w:t>
      </w:r>
    </w:p>
    <w:p w:rsidR="0021764E" w:rsidRPr="00C62D22" w:rsidRDefault="0021764E" w:rsidP="0021764E">
      <w:pPr>
        <w:autoSpaceDE w:val="0"/>
        <w:autoSpaceDN w:val="0"/>
        <w:adjustRightInd w:val="0"/>
        <w:spacing w:after="0" w:line="360" w:lineRule="auto"/>
        <w:ind w:firstLine="540"/>
        <w:jc w:val="both"/>
        <w:rPr>
          <w:rFonts w:ascii="Times New Roman" w:eastAsia="TimesNewRomanPSMT" w:hAnsi="Times New Roman" w:cs="Times New Roman"/>
          <w:sz w:val="28"/>
          <w:szCs w:val="28"/>
        </w:rPr>
      </w:pPr>
      <w:r w:rsidRPr="00C62D22">
        <w:rPr>
          <w:rFonts w:ascii="Times New Roman" w:eastAsia="TimesNewRomanPSMT" w:hAnsi="Times New Roman" w:cs="Times New Roman"/>
          <w:sz w:val="28"/>
          <w:szCs w:val="28"/>
        </w:rPr>
        <w:t>Розвиток ГП унаслідок травми ПЗ в основному зумовлений первинним її ушкодженням, перебіг якого характеризується низкою особливостей, а діагн</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стика та лікування мають деякі труднощі. У зв’язку з великим різномані</w:t>
      </w:r>
      <w:r w:rsidRPr="00C62D22">
        <w:rPr>
          <w:rFonts w:ascii="Times New Roman" w:eastAsia="TimesNewRomanPSMT" w:hAnsi="Times New Roman" w:cs="Times New Roman"/>
          <w:sz w:val="28"/>
          <w:szCs w:val="28"/>
        </w:rPr>
        <w:t>т</w:t>
      </w:r>
      <w:r w:rsidRPr="00C62D22">
        <w:rPr>
          <w:rFonts w:ascii="Times New Roman" w:eastAsia="TimesNewRomanPSMT" w:hAnsi="Times New Roman" w:cs="Times New Roman"/>
          <w:sz w:val="28"/>
          <w:szCs w:val="28"/>
        </w:rPr>
        <w:t>тям, виникаючих при травмі ПЗ первинних уражень, на перший план вих</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дять різні пускові механізми запалення, що потребує ретельного аналізу ушкоджуючих факторів та викликаних ними змін. ГП унаслідок травми ПЗ має різний пер</w:t>
      </w:r>
      <w:r w:rsidRPr="00C62D22">
        <w:rPr>
          <w:rFonts w:ascii="Times New Roman" w:eastAsia="TimesNewRomanPSMT" w:hAnsi="Times New Roman" w:cs="Times New Roman"/>
          <w:sz w:val="28"/>
          <w:szCs w:val="28"/>
        </w:rPr>
        <w:t>е</w:t>
      </w:r>
      <w:r w:rsidRPr="00C62D22">
        <w:rPr>
          <w:rFonts w:ascii="Times New Roman" w:eastAsia="TimesNewRomanPSMT" w:hAnsi="Times New Roman" w:cs="Times New Roman"/>
          <w:sz w:val="28"/>
          <w:szCs w:val="28"/>
        </w:rPr>
        <w:t>біг – від легкого до важкого некротичного, перебіг якого ускладнюється яв</w:t>
      </w:r>
      <w:r w:rsidRPr="00C62D22">
        <w:rPr>
          <w:rFonts w:ascii="Times New Roman" w:eastAsia="TimesNewRomanPSMT" w:hAnsi="Times New Roman" w:cs="Times New Roman"/>
          <w:sz w:val="28"/>
          <w:szCs w:val="28"/>
        </w:rPr>
        <w:t>и</w:t>
      </w:r>
      <w:r w:rsidRPr="00C62D22">
        <w:rPr>
          <w:rFonts w:ascii="Times New Roman" w:eastAsia="TimesNewRomanPSMT" w:hAnsi="Times New Roman" w:cs="Times New Roman"/>
          <w:sz w:val="28"/>
          <w:szCs w:val="28"/>
        </w:rPr>
        <w:t>щами SIRS та МОDS [106]. Розвиток місцевих та системних ускладнень ГП має зна</w:t>
      </w:r>
      <w:r w:rsidRPr="00C62D22">
        <w:rPr>
          <w:rFonts w:ascii="Times New Roman" w:eastAsia="TimesNewRomanPSMT" w:hAnsi="Times New Roman" w:cs="Times New Roman"/>
          <w:sz w:val="28"/>
          <w:szCs w:val="28"/>
        </w:rPr>
        <w:t>ч</w:t>
      </w:r>
      <w:r w:rsidRPr="00C62D22">
        <w:rPr>
          <w:rFonts w:ascii="Times New Roman" w:eastAsia="TimesNewRomanPSMT" w:hAnsi="Times New Roman" w:cs="Times New Roman"/>
          <w:sz w:val="28"/>
          <w:szCs w:val="28"/>
        </w:rPr>
        <w:t>ні труднощі в лікуванні та призводе до збільшення летальності, яка сягає 70–90%. Патофізіологія ГП при травмі ПЗ включає активацію та вивільнення па</w:t>
      </w:r>
      <w:r w:rsidRPr="00C62D22">
        <w:rPr>
          <w:rFonts w:ascii="Times New Roman" w:eastAsia="TimesNewRomanPSMT" w:hAnsi="Times New Roman" w:cs="Times New Roman"/>
          <w:sz w:val="28"/>
          <w:szCs w:val="28"/>
        </w:rPr>
        <w:t>н</w:t>
      </w:r>
      <w:r w:rsidRPr="00C62D22">
        <w:rPr>
          <w:rFonts w:ascii="Times New Roman" w:eastAsia="TimesNewRomanPSMT" w:hAnsi="Times New Roman" w:cs="Times New Roman"/>
          <w:sz w:val="28"/>
          <w:szCs w:val="28"/>
        </w:rPr>
        <w:t>креатичних ензимів до інтерстиціального простору, аутодигестію ПЗ та мн</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жинну дисфункцію органів після вивільнення в системну циркуляцію як акт</w:t>
      </w:r>
      <w:r w:rsidRPr="00C62D22">
        <w:rPr>
          <w:rFonts w:ascii="Times New Roman" w:eastAsia="TimesNewRomanPSMT" w:hAnsi="Times New Roman" w:cs="Times New Roman"/>
          <w:sz w:val="28"/>
          <w:szCs w:val="28"/>
        </w:rPr>
        <w:t>и</w:t>
      </w:r>
      <w:r w:rsidRPr="00C62D22">
        <w:rPr>
          <w:rFonts w:ascii="Times New Roman" w:eastAsia="TimesNewRomanPSMT" w:hAnsi="Times New Roman" w:cs="Times New Roman"/>
          <w:sz w:val="28"/>
          <w:szCs w:val="28"/>
        </w:rPr>
        <w:t>вованих панкреатичних ферментів, так і різних вторинних медіаторів. Багат</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чисельні дослідження свідчать про те, що на початковій стадії захвор</w:t>
      </w:r>
      <w:r w:rsidRPr="00C62D22">
        <w:rPr>
          <w:rFonts w:ascii="Times New Roman" w:eastAsia="TimesNewRomanPSMT" w:hAnsi="Times New Roman" w:cs="Times New Roman"/>
          <w:sz w:val="28"/>
          <w:szCs w:val="28"/>
        </w:rPr>
        <w:t>ю</w:t>
      </w:r>
      <w:r w:rsidRPr="00C62D22">
        <w:rPr>
          <w:rFonts w:ascii="Times New Roman" w:eastAsia="TimesNewRomanPSMT" w:hAnsi="Times New Roman" w:cs="Times New Roman"/>
          <w:sz w:val="28"/>
          <w:szCs w:val="28"/>
        </w:rPr>
        <w:t>вання відбувається інтраацинарна активація трипсиногену з переходом його в три</w:t>
      </w:r>
      <w:r w:rsidRPr="00C62D22">
        <w:rPr>
          <w:rFonts w:ascii="Times New Roman" w:eastAsia="TimesNewRomanPSMT" w:hAnsi="Times New Roman" w:cs="Times New Roman"/>
          <w:sz w:val="28"/>
          <w:szCs w:val="28"/>
        </w:rPr>
        <w:t>п</w:t>
      </w:r>
      <w:r w:rsidRPr="00C62D22">
        <w:rPr>
          <w:rFonts w:ascii="Times New Roman" w:eastAsia="TimesNewRomanPSMT" w:hAnsi="Times New Roman" w:cs="Times New Roman"/>
          <w:sz w:val="28"/>
          <w:szCs w:val="28"/>
        </w:rPr>
        <w:t>син, що призводе до активації різних ензимів. Після трипсиногенової актив</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ції починається місцеве запалення, яке викликає активацію таких клітин, як: ней</w:t>
      </w:r>
      <w:r w:rsidRPr="00C62D22">
        <w:rPr>
          <w:rFonts w:ascii="Times New Roman" w:eastAsia="TimesNewRomanPSMT" w:hAnsi="Times New Roman" w:cs="Times New Roman"/>
          <w:sz w:val="28"/>
          <w:szCs w:val="28"/>
        </w:rPr>
        <w:t>т</w:t>
      </w:r>
      <w:r w:rsidRPr="00C62D22">
        <w:rPr>
          <w:rFonts w:ascii="Times New Roman" w:eastAsia="TimesNewRomanPSMT" w:hAnsi="Times New Roman" w:cs="Times New Roman"/>
          <w:sz w:val="28"/>
          <w:szCs w:val="28"/>
        </w:rPr>
        <w:t>рофіли, моноцити, лімфоцити та ендотеліальні, та продукції медіаторів зап</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 xml:space="preserve">лення: ТNF–α, ІL–1, ІL–6, ІL–8 та інш. </w:t>
      </w:r>
      <w:r w:rsidRPr="00C62D22">
        <w:rPr>
          <w:rFonts w:ascii="Times New Roman" w:hAnsi="Times New Roman" w:cs="Times New Roman"/>
          <w:sz w:val="28"/>
          <w:szCs w:val="28"/>
        </w:rPr>
        <w:t>[303, 422].</w:t>
      </w:r>
      <w:r w:rsidRPr="00C62D22">
        <w:rPr>
          <w:rFonts w:ascii="Times New Roman" w:eastAsia="TimesNewRomanPSMT" w:hAnsi="Times New Roman" w:cs="Times New Roman"/>
          <w:sz w:val="28"/>
          <w:szCs w:val="28"/>
        </w:rPr>
        <w:t xml:space="preserve"> </w:t>
      </w:r>
      <w:r w:rsidRPr="00C62D22">
        <w:rPr>
          <w:rFonts w:ascii="Times New Roman" w:eastAsia="TimesNewRomanPSMT" w:hAnsi="Times New Roman" w:cs="Times New Roman"/>
          <w:sz w:val="28"/>
          <w:szCs w:val="28"/>
        </w:rPr>
        <w:lastRenderedPageBreak/>
        <w:t>Активація ЕК призводе до трансендотеліальної міграції нейтрофілів, моноцитів, лімфоцитів у ПЗ, що в сукупності з вивільненою з активованих нейтрофілів еластазою може виклик</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ти більш значні ураження, ніж ураження, викликані активованими панкреати</w:t>
      </w:r>
      <w:r w:rsidRPr="00C62D22">
        <w:rPr>
          <w:rFonts w:ascii="Times New Roman" w:eastAsia="TimesNewRomanPSMT" w:hAnsi="Times New Roman" w:cs="Times New Roman"/>
          <w:sz w:val="28"/>
          <w:szCs w:val="28"/>
        </w:rPr>
        <w:t>ч</w:t>
      </w:r>
      <w:r w:rsidRPr="00C62D22">
        <w:rPr>
          <w:rFonts w:ascii="Times New Roman" w:eastAsia="TimesNewRomanPSMT" w:hAnsi="Times New Roman" w:cs="Times New Roman"/>
          <w:sz w:val="28"/>
          <w:szCs w:val="28"/>
        </w:rPr>
        <w:t>ними ензимами. При цьому зниження доставки кисню до органа та генерація вільних радикалів т</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 xml:space="preserve">кож сприяють ураженню ПЗ </w:t>
      </w:r>
      <w:r w:rsidRPr="00C62D22">
        <w:rPr>
          <w:rFonts w:ascii="Times New Roman" w:hAnsi="Times New Roman" w:cs="Times New Roman"/>
          <w:sz w:val="28"/>
          <w:szCs w:val="28"/>
        </w:rPr>
        <w:t>[227].</w:t>
      </w:r>
    </w:p>
    <w:p w:rsidR="0021764E" w:rsidRPr="00C62D22" w:rsidRDefault="0021764E" w:rsidP="0021764E">
      <w:pPr>
        <w:autoSpaceDE w:val="0"/>
        <w:autoSpaceDN w:val="0"/>
        <w:adjustRightInd w:val="0"/>
        <w:spacing w:after="0" w:line="360" w:lineRule="auto"/>
        <w:ind w:firstLine="540"/>
        <w:jc w:val="both"/>
        <w:rPr>
          <w:rFonts w:ascii="Times New Roman" w:eastAsia="TimesNewRomanPSMT" w:hAnsi="Times New Roman" w:cs="Times New Roman"/>
          <w:sz w:val="28"/>
          <w:szCs w:val="28"/>
        </w:rPr>
      </w:pPr>
      <w:r w:rsidRPr="00C62D22">
        <w:rPr>
          <w:rFonts w:ascii="Times New Roman" w:eastAsia="TimesNewRomanPSMT" w:hAnsi="Times New Roman" w:cs="Times New Roman"/>
          <w:sz w:val="28"/>
          <w:szCs w:val="28"/>
        </w:rPr>
        <w:t>Ушкодження ПЗ при травмі викликає внутрішньоклітинну гіпоксію та зниження білково-синтетичної функції панкреоциту, призводе до порушення виділення секрету ПЗ у позаклітинне середовище, а також до змін у судинах лімфомікроциркуляції. Ці моменти складають першу ланку ГП, яка активується розвитком внутрішньоорганного дисциркуляторного ефекту, який супроводжуєт</w:t>
      </w:r>
      <w:r w:rsidRPr="00C62D22">
        <w:rPr>
          <w:rFonts w:ascii="Times New Roman" w:eastAsia="TimesNewRomanPSMT" w:hAnsi="Times New Roman" w:cs="Times New Roman"/>
          <w:sz w:val="28"/>
          <w:szCs w:val="28"/>
        </w:rPr>
        <w:t>ь</w:t>
      </w:r>
      <w:r w:rsidRPr="00C62D22">
        <w:rPr>
          <w:rFonts w:ascii="Times New Roman" w:eastAsia="TimesNewRomanPSMT" w:hAnsi="Times New Roman" w:cs="Times New Roman"/>
          <w:sz w:val="28"/>
          <w:szCs w:val="28"/>
        </w:rPr>
        <w:t>ся гіпоксією, ацидозом та фокальною вадою енергії. У свою чергу, ці поруше</w:t>
      </w:r>
      <w:r w:rsidRPr="00C62D22">
        <w:rPr>
          <w:rFonts w:ascii="Times New Roman" w:eastAsia="TimesNewRomanPSMT" w:hAnsi="Times New Roman" w:cs="Times New Roman"/>
          <w:sz w:val="28"/>
          <w:szCs w:val="28"/>
        </w:rPr>
        <w:t>н</w:t>
      </w:r>
      <w:r w:rsidRPr="00C62D22">
        <w:rPr>
          <w:rFonts w:ascii="Times New Roman" w:eastAsia="TimesNewRomanPSMT" w:hAnsi="Times New Roman" w:cs="Times New Roman"/>
          <w:sz w:val="28"/>
          <w:szCs w:val="28"/>
        </w:rPr>
        <w:t>ня призводять до змін у внутрішньоклітинних процесах: активації внутрішньоклітинного окислення ліпідів, ліпаз, фосфоліпаз, ураження лізосомальних ме</w:t>
      </w:r>
      <w:r w:rsidRPr="00C62D22">
        <w:rPr>
          <w:rFonts w:ascii="Times New Roman" w:eastAsia="TimesNewRomanPSMT" w:hAnsi="Times New Roman" w:cs="Times New Roman"/>
          <w:sz w:val="28"/>
          <w:szCs w:val="28"/>
        </w:rPr>
        <w:t>м</w:t>
      </w:r>
      <w:r w:rsidRPr="00C62D22">
        <w:rPr>
          <w:rFonts w:ascii="Times New Roman" w:eastAsia="TimesNewRomanPSMT" w:hAnsi="Times New Roman" w:cs="Times New Roman"/>
          <w:sz w:val="28"/>
          <w:szCs w:val="28"/>
        </w:rPr>
        <w:t>бран з вивільненням протеолітичних ферментів, руйнування клітинних мембран, які відповідають за транспортування кальцію, порушення фу</w:t>
      </w:r>
      <w:r w:rsidRPr="00C62D22">
        <w:rPr>
          <w:rFonts w:ascii="Times New Roman" w:eastAsia="TimesNewRomanPSMT" w:hAnsi="Times New Roman" w:cs="Times New Roman"/>
          <w:sz w:val="28"/>
          <w:szCs w:val="28"/>
        </w:rPr>
        <w:t>н</w:t>
      </w:r>
      <w:r w:rsidRPr="00C62D22">
        <w:rPr>
          <w:rFonts w:ascii="Times New Roman" w:eastAsia="TimesNewRomanPSMT" w:hAnsi="Times New Roman" w:cs="Times New Roman"/>
          <w:sz w:val="28"/>
          <w:szCs w:val="28"/>
        </w:rPr>
        <w:t>кції катіонних насосів з розвитком катіонного набухання клітини. Виражений протеоліз, інф</w:t>
      </w:r>
      <w:r w:rsidRPr="00C62D22">
        <w:rPr>
          <w:rFonts w:ascii="Times New Roman" w:eastAsia="TimesNewRomanPSMT" w:hAnsi="Times New Roman" w:cs="Times New Roman"/>
          <w:sz w:val="28"/>
          <w:szCs w:val="28"/>
        </w:rPr>
        <w:t>і</w:t>
      </w:r>
      <w:r w:rsidRPr="00C62D22">
        <w:rPr>
          <w:rFonts w:ascii="Times New Roman" w:eastAsia="TimesNewRomanPSMT" w:hAnsi="Times New Roman" w:cs="Times New Roman"/>
          <w:sz w:val="28"/>
          <w:szCs w:val="28"/>
        </w:rPr>
        <w:t>льтрація тканин ПЗ лейкоцитами та макрофагами – головними джерелами вн</w:t>
      </w:r>
      <w:r w:rsidRPr="00C62D22">
        <w:rPr>
          <w:rFonts w:ascii="Times New Roman" w:eastAsia="TimesNewRomanPSMT" w:hAnsi="Times New Roman" w:cs="Times New Roman"/>
          <w:sz w:val="28"/>
          <w:szCs w:val="28"/>
        </w:rPr>
        <w:t>у</w:t>
      </w:r>
      <w:r w:rsidRPr="00C62D22">
        <w:rPr>
          <w:rFonts w:ascii="Times New Roman" w:eastAsia="TimesNewRomanPSMT" w:hAnsi="Times New Roman" w:cs="Times New Roman"/>
          <w:sz w:val="28"/>
          <w:szCs w:val="28"/>
        </w:rPr>
        <w:t>трішньопанкреатичного синтезу протизапальних цитокінів, призводять до пр</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гресування некрозу ацинозних клітин ПЗ [227]. Збільшення проникнення судинної стінки викликає значний набряк ПЗ як у ділянці пе</w:t>
      </w:r>
      <w:r w:rsidRPr="00C62D22">
        <w:rPr>
          <w:rFonts w:ascii="Times New Roman" w:eastAsia="TimesNewRomanPSMT" w:hAnsi="Times New Roman" w:cs="Times New Roman"/>
          <w:sz w:val="28"/>
          <w:szCs w:val="28"/>
        </w:rPr>
        <w:t>р</w:t>
      </w:r>
      <w:r w:rsidRPr="00C62D22">
        <w:rPr>
          <w:rFonts w:ascii="Times New Roman" w:eastAsia="TimesNewRomanPSMT" w:hAnsi="Times New Roman" w:cs="Times New Roman"/>
          <w:sz w:val="28"/>
          <w:szCs w:val="28"/>
        </w:rPr>
        <w:t>винного ураження, так і в інших її ділянках, а ендотеліальна поверхня стає протромбогенною, що при</w:t>
      </w:r>
      <w:r w:rsidRPr="00C62D22">
        <w:rPr>
          <w:rFonts w:ascii="Times New Roman" w:eastAsia="TimesNewRomanPSMT" w:hAnsi="Times New Roman" w:cs="Times New Roman"/>
          <w:sz w:val="28"/>
          <w:szCs w:val="28"/>
        </w:rPr>
        <w:t>з</w:t>
      </w:r>
      <w:r w:rsidRPr="00C62D22">
        <w:rPr>
          <w:rFonts w:ascii="Times New Roman" w:eastAsia="TimesNewRomanPSMT" w:hAnsi="Times New Roman" w:cs="Times New Roman"/>
          <w:sz w:val="28"/>
          <w:szCs w:val="28"/>
        </w:rPr>
        <w:t>воде до мікротромбозів. Незвичайна адгезія призводить до нейтрофілмедіаторної цитотоксичності. Активація ендотелію сприяє гіперпродукції патологічних аге</w:t>
      </w:r>
      <w:r w:rsidRPr="00C62D22">
        <w:rPr>
          <w:rFonts w:ascii="Times New Roman" w:eastAsia="TimesNewRomanPSMT" w:hAnsi="Times New Roman" w:cs="Times New Roman"/>
          <w:sz w:val="28"/>
          <w:szCs w:val="28"/>
        </w:rPr>
        <w:t>н</w:t>
      </w:r>
      <w:r w:rsidRPr="00C62D22">
        <w:rPr>
          <w:rFonts w:ascii="Times New Roman" w:eastAsia="TimesNewRomanPSMT" w:hAnsi="Times New Roman" w:cs="Times New Roman"/>
          <w:sz w:val="28"/>
          <w:szCs w:val="28"/>
        </w:rPr>
        <w:t>тів, що підтримують адгезію лейкоцитів, які збільшують проникненість капіл</w:t>
      </w:r>
      <w:r w:rsidRPr="00C62D22">
        <w:rPr>
          <w:rFonts w:ascii="Times New Roman" w:eastAsia="TimesNewRomanPSMT" w:hAnsi="Times New Roman" w:cs="Times New Roman"/>
          <w:sz w:val="28"/>
          <w:szCs w:val="28"/>
        </w:rPr>
        <w:t>я</w:t>
      </w:r>
      <w:r w:rsidRPr="00C62D22">
        <w:rPr>
          <w:rFonts w:ascii="Times New Roman" w:eastAsia="TimesNewRomanPSMT" w:hAnsi="Times New Roman" w:cs="Times New Roman"/>
          <w:sz w:val="28"/>
          <w:szCs w:val="28"/>
        </w:rPr>
        <w:t>рної стінки, викид факторів хемотаксису та прискорення фагоцитозу. Цей комплекс патогенетичних ланок детермінує стрес-реакцію, що викликає зб</w:t>
      </w:r>
      <w:r w:rsidRPr="00C62D22">
        <w:rPr>
          <w:rFonts w:ascii="Times New Roman" w:eastAsia="TimesNewRomanPSMT" w:hAnsi="Times New Roman" w:cs="Times New Roman"/>
          <w:sz w:val="28"/>
          <w:szCs w:val="28"/>
        </w:rPr>
        <w:t>у</w:t>
      </w:r>
      <w:r w:rsidRPr="00C62D22">
        <w:rPr>
          <w:rFonts w:ascii="Times New Roman" w:eastAsia="TimesNewRomanPSMT" w:hAnsi="Times New Roman" w:cs="Times New Roman"/>
          <w:sz w:val="28"/>
          <w:szCs w:val="28"/>
        </w:rPr>
        <w:t>дження найвищих вегетативних центрів та багаторазове збільшення дії к</w:t>
      </w:r>
      <w:r w:rsidRPr="00C62D22">
        <w:rPr>
          <w:rFonts w:ascii="Times New Roman" w:eastAsia="TimesNewRomanPSMT" w:hAnsi="Times New Roman" w:cs="Times New Roman"/>
          <w:sz w:val="28"/>
          <w:szCs w:val="28"/>
        </w:rPr>
        <w:t>а</w:t>
      </w:r>
      <w:r w:rsidRPr="00C62D22">
        <w:rPr>
          <w:rFonts w:ascii="Times New Roman" w:eastAsia="TimesNewRomanPSMT" w:hAnsi="Times New Roman" w:cs="Times New Roman"/>
          <w:sz w:val="28"/>
          <w:szCs w:val="28"/>
        </w:rPr>
        <w:t xml:space="preserve">техоламінів, а викид до системного кровотока значної кількості протизапальних ЦК та інших медіаторів запалення викликає низку біохімічних реакцій. При цьому ендотелій забезпечує локальну запальну відповідь крізь </w:t>
      </w:r>
      <w:r w:rsidRPr="00C62D22">
        <w:rPr>
          <w:rFonts w:ascii="Times New Roman" w:eastAsia="TimesNewRomanPSMT" w:hAnsi="Times New Roman" w:cs="Times New Roman"/>
          <w:sz w:val="28"/>
          <w:szCs w:val="28"/>
        </w:rPr>
        <w:lastRenderedPageBreak/>
        <w:t>модуляцію с</w:t>
      </w:r>
      <w:r w:rsidRPr="00C62D22">
        <w:rPr>
          <w:rFonts w:ascii="Times New Roman" w:eastAsia="TimesNewRomanPSMT" w:hAnsi="Times New Roman" w:cs="Times New Roman"/>
          <w:sz w:val="28"/>
          <w:szCs w:val="28"/>
        </w:rPr>
        <w:t>у</w:t>
      </w:r>
      <w:r w:rsidRPr="00C62D22">
        <w:rPr>
          <w:rFonts w:ascii="Times New Roman" w:eastAsia="TimesNewRomanPSMT" w:hAnsi="Times New Roman" w:cs="Times New Roman"/>
          <w:sz w:val="28"/>
          <w:szCs w:val="28"/>
        </w:rPr>
        <w:t>динного обігу, збільшення проникненості судинної стінки, індукування протромбогенної поверхні, стимуляцію лейкоцитарної екстравазації, що свідчить про пе</w:t>
      </w:r>
      <w:r w:rsidRPr="00C62D22">
        <w:rPr>
          <w:rFonts w:ascii="Times New Roman" w:eastAsia="TimesNewRomanPSMT" w:hAnsi="Times New Roman" w:cs="Times New Roman"/>
          <w:sz w:val="28"/>
          <w:szCs w:val="28"/>
        </w:rPr>
        <w:t>р</w:t>
      </w:r>
      <w:r w:rsidRPr="00C62D22">
        <w:rPr>
          <w:rFonts w:ascii="Times New Roman" w:eastAsia="TimesNewRomanPSMT" w:hAnsi="Times New Roman" w:cs="Times New Roman"/>
          <w:sz w:val="28"/>
          <w:szCs w:val="28"/>
        </w:rPr>
        <w:t>винну його роль у патогенезі системної відповіді [214, 259, 375].</w:t>
      </w:r>
    </w:p>
    <w:p w:rsidR="0021764E" w:rsidRPr="00C62D22" w:rsidRDefault="0021764E" w:rsidP="0021764E">
      <w:pPr>
        <w:autoSpaceDE w:val="0"/>
        <w:autoSpaceDN w:val="0"/>
        <w:adjustRightInd w:val="0"/>
        <w:spacing w:after="0" w:line="360" w:lineRule="auto"/>
        <w:ind w:firstLine="540"/>
        <w:jc w:val="both"/>
        <w:rPr>
          <w:rFonts w:ascii="Times New Roman" w:eastAsia="TimesNewRomanPSMT" w:hAnsi="Times New Roman" w:cs="Times New Roman"/>
          <w:sz w:val="28"/>
          <w:szCs w:val="28"/>
        </w:rPr>
      </w:pPr>
      <w:r w:rsidRPr="00C62D22">
        <w:rPr>
          <w:rFonts w:ascii="Times New Roman" w:eastAsia="TimesNewRomanPSMT" w:hAnsi="Times New Roman" w:cs="Times New Roman"/>
          <w:sz w:val="28"/>
          <w:szCs w:val="28"/>
        </w:rPr>
        <w:t>У випадку первинної мікробної контамінації ділянок ураженої ПЗ у різні терміни перебігу ГП після травми ПЗ розвивається гнійний процес. Механізм інфікування уражених ділянок органа пов'язаний не тільки з первинним інфікуванням факторами поранення та з виливами до черевної порожнини ки</w:t>
      </w:r>
      <w:r w:rsidRPr="00C62D22">
        <w:rPr>
          <w:rFonts w:ascii="Times New Roman" w:eastAsia="TimesNewRomanPSMT" w:hAnsi="Times New Roman" w:cs="Times New Roman"/>
          <w:sz w:val="28"/>
          <w:szCs w:val="28"/>
        </w:rPr>
        <w:t>ш</w:t>
      </w:r>
      <w:r w:rsidRPr="00C62D22">
        <w:rPr>
          <w:rFonts w:ascii="Times New Roman" w:eastAsia="TimesNewRomanPSMT" w:hAnsi="Times New Roman" w:cs="Times New Roman"/>
          <w:sz w:val="28"/>
          <w:szCs w:val="28"/>
        </w:rPr>
        <w:t>кового вмісту при сполученій травмі, але й із транслокацією бактерій із ТК [88]. Крім того, не можна виключати можливість інфікування осередків некрозу ПЗ залишен</w:t>
      </w:r>
      <w:r w:rsidRPr="00C62D22">
        <w:rPr>
          <w:rFonts w:ascii="Times New Roman" w:eastAsia="TimesNewRomanPSMT" w:hAnsi="Times New Roman" w:cs="Times New Roman"/>
          <w:sz w:val="28"/>
          <w:szCs w:val="28"/>
        </w:rPr>
        <w:t>и</w:t>
      </w:r>
      <w:r w:rsidRPr="00C62D22">
        <w:rPr>
          <w:rFonts w:ascii="Times New Roman" w:eastAsia="TimesNewRomanPSMT" w:hAnsi="Times New Roman" w:cs="Times New Roman"/>
          <w:sz w:val="28"/>
          <w:szCs w:val="28"/>
        </w:rPr>
        <w:t xml:space="preserve">ми під час операції дренажами та тампонами в чепцевій сумці. </w:t>
      </w:r>
    </w:p>
    <w:p w:rsidR="0021764E" w:rsidRPr="00C62D22" w:rsidRDefault="0021764E" w:rsidP="0021764E">
      <w:pPr>
        <w:autoSpaceDE w:val="0"/>
        <w:autoSpaceDN w:val="0"/>
        <w:adjustRightInd w:val="0"/>
        <w:spacing w:after="0" w:line="360" w:lineRule="auto"/>
        <w:ind w:firstLine="540"/>
        <w:jc w:val="both"/>
        <w:rPr>
          <w:rFonts w:ascii="Times New Roman" w:eastAsia="TimesNewRomanPSMT" w:hAnsi="Times New Roman" w:cs="Times New Roman"/>
          <w:sz w:val="28"/>
          <w:szCs w:val="28"/>
        </w:rPr>
      </w:pPr>
      <w:r w:rsidRPr="00C62D22">
        <w:rPr>
          <w:rFonts w:ascii="Times New Roman" w:eastAsia="TimesNewRomanPSMT" w:hAnsi="Times New Roman" w:cs="Times New Roman"/>
          <w:sz w:val="28"/>
          <w:szCs w:val="28"/>
        </w:rPr>
        <w:t>Особливо небезпечними є також фрагменти ПЗ без адекватного кров</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обігу на мікроциркулярному (струс та забій ПЗ з розвитком мікротромбозів), ткани</w:t>
      </w:r>
      <w:r w:rsidRPr="00C62D22">
        <w:rPr>
          <w:rFonts w:ascii="Times New Roman" w:eastAsia="TimesNewRomanPSMT" w:hAnsi="Times New Roman" w:cs="Times New Roman"/>
          <w:sz w:val="28"/>
          <w:szCs w:val="28"/>
        </w:rPr>
        <w:t>н</w:t>
      </w:r>
      <w:r w:rsidRPr="00C62D22">
        <w:rPr>
          <w:rFonts w:ascii="Times New Roman" w:eastAsia="TimesNewRomanPSMT" w:hAnsi="Times New Roman" w:cs="Times New Roman"/>
          <w:sz w:val="28"/>
          <w:szCs w:val="28"/>
        </w:rPr>
        <w:t>ному (розрив або після травматичний тромбоз судин, які живлять окремі діля</w:t>
      </w:r>
      <w:r w:rsidRPr="00C62D22">
        <w:rPr>
          <w:rFonts w:ascii="Times New Roman" w:eastAsia="TimesNewRomanPSMT" w:hAnsi="Times New Roman" w:cs="Times New Roman"/>
          <w:sz w:val="28"/>
          <w:szCs w:val="28"/>
        </w:rPr>
        <w:t>н</w:t>
      </w:r>
      <w:r w:rsidRPr="00C62D22">
        <w:rPr>
          <w:rFonts w:ascii="Times New Roman" w:eastAsia="TimesNewRomanPSMT" w:hAnsi="Times New Roman" w:cs="Times New Roman"/>
          <w:sz w:val="28"/>
          <w:szCs w:val="28"/>
        </w:rPr>
        <w:t>ки ПЗ, відриви частин ПЗ) та екстраорганному рівні (ушкодження магістрал</w:t>
      </w:r>
      <w:r w:rsidRPr="00C62D22">
        <w:rPr>
          <w:rFonts w:ascii="Times New Roman" w:eastAsia="TimesNewRomanPSMT" w:hAnsi="Times New Roman" w:cs="Times New Roman"/>
          <w:sz w:val="28"/>
          <w:szCs w:val="28"/>
        </w:rPr>
        <w:t>ь</w:t>
      </w:r>
      <w:r w:rsidRPr="00C62D22">
        <w:rPr>
          <w:rFonts w:ascii="Times New Roman" w:eastAsia="TimesNewRomanPSMT" w:hAnsi="Times New Roman" w:cs="Times New Roman"/>
          <w:sz w:val="28"/>
          <w:szCs w:val="28"/>
        </w:rPr>
        <w:t>них артерій та вен). Витікання панкреатичного соку при ураженні протокової системи або протокова гіпертензія можуть викликати посттравматичне «сам</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перетравлювання» ПЗ та навколишніх тканин. Суттєво змінює характер кліні</w:t>
      </w:r>
      <w:r w:rsidRPr="00C62D22">
        <w:rPr>
          <w:rFonts w:ascii="Times New Roman" w:eastAsia="TimesNewRomanPSMT" w:hAnsi="Times New Roman" w:cs="Times New Roman"/>
          <w:sz w:val="28"/>
          <w:szCs w:val="28"/>
        </w:rPr>
        <w:t>ч</w:t>
      </w:r>
      <w:r w:rsidRPr="00C62D22">
        <w:rPr>
          <w:rFonts w:ascii="Times New Roman" w:eastAsia="TimesNewRomanPSMT" w:hAnsi="Times New Roman" w:cs="Times New Roman"/>
          <w:sz w:val="28"/>
          <w:szCs w:val="28"/>
        </w:rPr>
        <w:t>ного перебігу травми ПЗ фактор інфікува</w:t>
      </w:r>
      <w:r w:rsidRPr="00C62D22">
        <w:rPr>
          <w:rFonts w:ascii="Times New Roman" w:eastAsia="TimesNewRomanPSMT" w:hAnsi="Times New Roman" w:cs="Times New Roman"/>
          <w:sz w:val="28"/>
          <w:szCs w:val="28"/>
        </w:rPr>
        <w:t>н</w:t>
      </w:r>
      <w:r w:rsidRPr="00C62D22">
        <w:rPr>
          <w:rFonts w:ascii="Times New Roman" w:eastAsia="TimesNewRomanPSMT" w:hAnsi="Times New Roman" w:cs="Times New Roman"/>
          <w:sz w:val="28"/>
          <w:szCs w:val="28"/>
        </w:rPr>
        <w:t xml:space="preserve">ня скомпрометованих ділянок. У цих випадках клініка ендотоксичного шоку доповнюється елементами сепсису </w:t>
      </w:r>
      <w:r w:rsidRPr="00C62D22">
        <w:rPr>
          <w:rFonts w:ascii="Times New Roman" w:hAnsi="Times New Roman" w:cs="Times New Roman"/>
          <w:sz w:val="28"/>
          <w:szCs w:val="28"/>
        </w:rPr>
        <w:t>[106].</w:t>
      </w:r>
      <w:r w:rsidRPr="00C62D22">
        <w:rPr>
          <w:rFonts w:ascii="Times New Roman" w:eastAsia="TimesNewRomanPSMT" w:hAnsi="Times New Roman" w:cs="Times New Roman"/>
          <w:sz w:val="28"/>
          <w:szCs w:val="28"/>
        </w:rPr>
        <w:t xml:space="preserve"> </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ХП – захворювання поліетіологічне та поліпатогенетичне. Існує думка, що ГП у 10 % випадків переходить у хронічний, унаслідок ускладнень, які пр</w:t>
      </w:r>
      <w:r w:rsidRPr="00C62D22">
        <w:rPr>
          <w:rFonts w:ascii="Times New Roman" w:hAnsi="Times New Roman" w:cs="Times New Roman"/>
          <w:sz w:val="28"/>
          <w:szCs w:val="28"/>
        </w:rPr>
        <w:t>и</w:t>
      </w:r>
      <w:r w:rsidRPr="00C62D22">
        <w:rPr>
          <w:rFonts w:ascii="Times New Roman" w:hAnsi="Times New Roman" w:cs="Times New Roman"/>
          <w:sz w:val="28"/>
          <w:szCs w:val="28"/>
        </w:rPr>
        <w:t>єднуються (ПК, абсцеси, флегмони). Провідну роль у патогенезі захв</w:t>
      </w:r>
      <w:r w:rsidRPr="00C62D22">
        <w:rPr>
          <w:rFonts w:ascii="Times New Roman" w:hAnsi="Times New Roman" w:cs="Times New Roman"/>
          <w:sz w:val="28"/>
          <w:szCs w:val="28"/>
        </w:rPr>
        <w:t>о</w:t>
      </w:r>
      <w:r w:rsidRPr="00C62D22">
        <w:rPr>
          <w:rFonts w:ascii="Times New Roman" w:hAnsi="Times New Roman" w:cs="Times New Roman"/>
          <w:sz w:val="28"/>
          <w:szCs w:val="28"/>
        </w:rPr>
        <w:t>рювання відіграє активація власних протеолітичних ферментів (трипсину, х</w:t>
      </w:r>
      <w:r w:rsidRPr="00C62D22">
        <w:rPr>
          <w:rFonts w:ascii="Times New Roman" w:hAnsi="Times New Roman" w:cs="Times New Roman"/>
          <w:sz w:val="28"/>
          <w:szCs w:val="28"/>
        </w:rPr>
        <w:t>е</w:t>
      </w:r>
      <w:r w:rsidRPr="00C62D22">
        <w:rPr>
          <w:rFonts w:ascii="Times New Roman" w:hAnsi="Times New Roman" w:cs="Times New Roman"/>
          <w:sz w:val="28"/>
          <w:szCs w:val="28"/>
        </w:rPr>
        <w:t>мотрипсину, еластаз). При ХП активація проферментів відбувається в ПЗ з п</w:t>
      </w:r>
      <w:r w:rsidRPr="00C62D22">
        <w:rPr>
          <w:rFonts w:ascii="Times New Roman" w:hAnsi="Times New Roman" w:cs="Times New Roman"/>
          <w:sz w:val="28"/>
          <w:szCs w:val="28"/>
        </w:rPr>
        <w:t>о</w:t>
      </w:r>
      <w:r w:rsidRPr="00C62D22">
        <w:rPr>
          <w:rFonts w:ascii="Times New Roman" w:hAnsi="Times New Roman" w:cs="Times New Roman"/>
          <w:sz w:val="28"/>
          <w:szCs w:val="28"/>
        </w:rPr>
        <w:t>дальшим «самоперетравлюванням» тканин у вигляді запалення (ал</w:t>
      </w:r>
      <w:r w:rsidRPr="00C62D22">
        <w:rPr>
          <w:rFonts w:ascii="Times New Roman" w:hAnsi="Times New Roman" w:cs="Times New Roman"/>
          <w:sz w:val="28"/>
          <w:szCs w:val="28"/>
        </w:rPr>
        <w:t>ь</w:t>
      </w:r>
      <w:r w:rsidRPr="00C62D22">
        <w:rPr>
          <w:rFonts w:ascii="Times New Roman" w:hAnsi="Times New Roman" w:cs="Times New Roman"/>
          <w:sz w:val="28"/>
          <w:szCs w:val="28"/>
        </w:rPr>
        <w:t>терація, ексудація, фіброз) [22, 33, 89, 275]. Запальні медіатори, виникаючи при ГП, виклик</w:t>
      </w:r>
      <w:r w:rsidRPr="00C62D22">
        <w:rPr>
          <w:rFonts w:ascii="Times New Roman" w:hAnsi="Times New Roman" w:cs="Times New Roman"/>
          <w:sz w:val="28"/>
          <w:szCs w:val="28"/>
        </w:rPr>
        <w:t>а</w:t>
      </w:r>
      <w:r w:rsidRPr="00C62D22">
        <w:rPr>
          <w:rFonts w:ascii="Times New Roman" w:hAnsi="Times New Roman" w:cs="Times New Roman"/>
          <w:sz w:val="28"/>
          <w:szCs w:val="28"/>
        </w:rPr>
        <w:t>ють руйнування тканини (некроз), що за мірою долучення імунних механізмів, порушення окислювальних процесів, ішемії та інших факторів, стає персист</w:t>
      </w:r>
      <w:r w:rsidRPr="00C62D22">
        <w:rPr>
          <w:rFonts w:ascii="Times New Roman" w:hAnsi="Times New Roman" w:cs="Times New Roman"/>
          <w:sz w:val="28"/>
          <w:szCs w:val="28"/>
        </w:rPr>
        <w:t>у</w:t>
      </w:r>
      <w:r w:rsidRPr="00C62D22">
        <w:rPr>
          <w:rFonts w:ascii="Times New Roman" w:hAnsi="Times New Roman" w:cs="Times New Roman"/>
          <w:sz w:val="28"/>
          <w:szCs w:val="28"/>
        </w:rPr>
        <w:t>ючим або хронічним, це й призводить до фіброзних змін ПЗ [118, 311, 332, 352, 432]. У наш час розповсюджено обговорюється молекулярна м</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дель, згідно якої фіброгенез при </w:t>
      </w:r>
      <w:r w:rsidRPr="00C62D22">
        <w:rPr>
          <w:rFonts w:ascii="Times New Roman" w:hAnsi="Times New Roman" w:cs="Times New Roman"/>
          <w:sz w:val="28"/>
          <w:szCs w:val="28"/>
        </w:rPr>
        <w:lastRenderedPageBreak/>
        <w:t>ХП – наслідок динамічного каскаду дій різних ушкоджуючих факторів (ЦК, хемокіни, фактори росту та ін.), що призводить до активації панкр</w:t>
      </w:r>
      <w:r w:rsidRPr="00C62D22">
        <w:rPr>
          <w:rFonts w:ascii="Times New Roman" w:hAnsi="Times New Roman" w:cs="Times New Roman"/>
          <w:sz w:val="28"/>
          <w:szCs w:val="28"/>
        </w:rPr>
        <w:t>е</w:t>
      </w:r>
      <w:r w:rsidRPr="00C62D22">
        <w:rPr>
          <w:rFonts w:ascii="Times New Roman" w:hAnsi="Times New Roman" w:cs="Times New Roman"/>
          <w:sz w:val="28"/>
          <w:szCs w:val="28"/>
        </w:rPr>
        <w:t>атичних Stellate cell (зірчасті клітини), які підлягають фенотиповим змінам та синтезують поз</w:t>
      </w:r>
      <w:r w:rsidRPr="00C62D22">
        <w:rPr>
          <w:rFonts w:ascii="Times New Roman" w:hAnsi="Times New Roman" w:cs="Times New Roman"/>
          <w:sz w:val="28"/>
          <w:szCs w:val="28"/>
        </w:rPr>
        <w:t>а</w:t>
      </w:r>
      <w:r w:rsidRPr="00C62D22">
        <w:rPr>
          <w:rFonts w:ascii="Times New Roman" w:hAnsi="Times New Roman" w:cs="Times New Roman"/>
          <w:sz w:val="28"/>
          <w:szCs w:val="28"/>
        </w:rPr>
        <w:t>клітинні матричні протеїни (колаген I і III типів, продукції компонента позаклітинної матриці ECM) та демонстр</w:t>
      </w:r>
      <w:r w:rsidRPr="00C62D22">
        <w:rPr>
          <w:rFonts w:ascii="Times New Roman" w:hAnsi="Times New Roman" w:cs="Times New Roman"/>
          <w:sz w:val="28"/>
          <w:szCs w:val="28"/>
        </w:rPr>
        <w:t>у</w:t>
      </w:r>
      <w:r w:rsidRPr="00C62D22">
        <w:rPr>
          <w:rFonts w:ascii="Times New Roman" w:hAnsi="Times New Roman" w:cs="Times New Roman"/>
          <w:sz w:val="28"/>
          <w:szCs w:val="28"/>
        </w:rPr>
        <w:t>ють підвищений уміст генів таких, як: α–SMA, ICAM–1, хемокіни, ЦК, та ін., що призводить до фіброзу ПЗ [22, 89, 309, 384].</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У патогенезі алкогольного панкреатиту провідну роль відводять підвищ</w:t>
      </w:r>
      <w:r w:rsidRPr="00C62D22">
        <w:rPr>
          <w:rFonts w:ascii="Times New Roman" w:hAnsi="Times New Roman" w:cs="Times New Roman"/>
          <w:sz w:val="28"/>
          <w:szCs w:val="28"/>
        </w:rPr>
        <w:t>е</w:t>
      </w:r>
      <w:r w:rsidRPr="00C62D22">
        <w:rPr>
          <w:rFonts w:ascii="Times New Roman" w:hAnsi="Times New Roman" w:cs="Times New Roman"/>
          <w:sz w:val="28"/>
          <w:szCs w:val="28"/>
        </w:rPr>
        <w:t>ній зовнішній стимуляції ПЗ та затримці евакуації панкреатичного соку, яка призводить до підвищення внутрішньопротокового тиску. Алкоголь та проду</w:t>
      </w:r>
      <w:r w:rsidRPr="00C62D22">
        <w:rPr>
          <w:rFonts w:ascii="Times New Roman" w:hAnsi="Times New Roman" w:cs="Times New Roman"/>
          <w:sz w:val="28"/>
          <w:szCs w:val="28"/>
        </w:rPr>
        <w:t>к</w:t>
      </w:r>
      <w:r w:rsidRPr="00C62D22">
        <w:rPr>
          <w:rFonts w:ascii="Times New Roman" w:hAnsi="Times New Roman" w:cs="Times New Roman"/>
          <w:sz w:val="28"/>
          <w:szCs w:val="28"/>
        </w:rPr>
        <w:t>ти його метаболізму (оцтовий альдегід) мають токсичну дію, знижують акти</w:t>
      </w:r>
      <w:r w:rsidRPr="00C62D22">
        <w:rPr>
          <w:rFonts w:ascii="Times New Roman" w:hAnsi="Times New Roman" w:cs="Times New Roman"/>
          <w:sz w:val="28"/>
          <w:szCs w:val="28"/>
        </w:rPr>
        <w:t>в</w:t>
      </w:r>
      <w:r w:rsidRPr="00C62D22">
        <w:rPr>
          <w:rFonts w:ascii="Times New Roman" w:hAnsi="Times New Roman" w:cs="Times New Roman"/>
          <w:sz w:val="28"/>
          <w:szCs w:val="28"/>
        </w:rPr>
        <w:t>ність ферменту оксидази та призводять до утворення вільних радикалів, відп</w:t>
      </w:r>
      <w:r w:rsidRPr="00C62D22">
        <w:rPr>
          <w:rFonts w:ascii="Times New Roman" w:hAnsi="Times New Roman" w:cs="Times New Roman"/>
          <w:sz w:val="28"/>
          <w:szCs w:val="28"/>
        </w:rPr>
        <w:t>о</w:t>
      </w:r>
      <w:r w:rsidRPr="00C62D22">
        <w:rPr>
          <w:rFonts w:ascii="Times New Roman" w:hAnsi="Times New Roman" w:cs="Times New Roman"/>
          <w:sz w:val="28"/>
          <w:szCs w:val="28"/>
        </w:rPr>
        <w:t>відальних за розвиток некрозів та запалення з наступним фібр</w:t>
      </w:r>
      <w:r w:rsidRPr="00C62D22">
        <w:rPr>
          <w:rFonts w:ascii="Times New Roman" w:hAnsi="Times New Roman" w:cs="Times New Roman"/>
          <w:sz w:val="28"/>
          <w:szCs w:val="28"/>
        </w:rPr>
        <w:t>о</w:t>
      </w:r>
      <w:r w:rsidRPr="00C62D22">
        <w:rPr>
          <w:rFonts w:ascii="Times New Roman" w:hAnsi="Times New Roman" w:cs="Times New Roman"/>
          <w:sz w:val="28"/>
          <w:szCs w:val="28"/>
        </w:rPr>
        <w:t>зуванням та жировим переродженням тканини ПЗ. Під дією етанолу в панкреатичних ациноц</w:t>
      </w:r>
      <w:r w:rsidRPr="00C62D22">
        <w:rPr>
          <w:rFonts w:ascii="Times New Roman" w:hAnsi="Times New Roman" w:cs="Times New Roman"/>
          <w:sz w:val="28"/>
          <w:szCs w:val="28"/>
        </w:rPr>
        <w:t>и</w:t>
      </w:r>
      <w:r w:rsidRPr="00C62D22">
        <w:rPr>
          <w:rFonts w:ascii="Times New Roman" w:hAnsi="Times New Roman" w:cs="Times New Roman"/>
          <w:sz w:val="28"/>
          <w:szCs w:val="28"/>
        </w:rPr>
        <w:t>тах достовірно знижується кількість глутатіону та сульфгідрильних груп і зростає концентрація ГПО та МДА, що призводить до оксидативного стр</w:t>
      </w:r>
      <w:r w:rsidRPr="00C62D22">
        <w:rPr>
          <w:rFonts w:ascii="Times New Roman" w:hAnsi="Times New Roman" w:cs="Times New Roman"/>
          <w:sz w:val="28"/>
          <w:szCs w:val="28"/>
        </w:rPr>
        <w:t>е</w:t>
      </w:r>
      <w:r w:rsidRPr="00C62D22">
        <w:rPr>
          <w:rFonts w:ascii="Times New Roman" w:hAnsi="Times New Roman" w:cs="Times New Roman"/>
          <w:sz w:val="28"/>
          <w:szCs w:val="28"/>
        </w:rPr>
        <w:t>су – дисбалансу між утворенням та нейтралізацією активних форм кисню [136]. Етанол порушує мікроциркуляцію у ПЗ за рахунок перерозподілу панкреати</w:t>
      </w:r>
      <w:r w:rsidRPr="00C62D22">
        <w:rPr>
          <w:rFonts w:ascii="Times New Roman" w:hAnsi="Times New Roman" w:cs="Times New Roman"/>
          <w:sz w:val="28"/>
          <w:szCs w:val="28"/>
        </w:rPr>
        <w:t>ч</w:t>
      </w:r>
      <w:r w:rsidRPr="00C62D22">
        <w:rPr>
          <w:rFonts w:ascii="Times New Roman" w:hAnsi="Times New Roman" w:cs="Times New Roman"/>
          <w:sz w:val="28"/>
          <w:szCs w:val="28"/>
        </w:rPr>
        <w:t>ного кровотока від екзокринної до ендокринної частини крізь вагальні стим</w:t>
      </w:r>
      <w:r w:rsidRPr="00C62D22">
        <w:rPr>
          <w:rFonts w:ascii="Times New Roman" w:hAnsi="Times New Roman" w:cs="Times New Roman"/>
          <w:sz w:val="28"/>
          <w:szCs w:val="28"/>
        </w:rPr>
        <w:t>у</w:t>
      </w:r>
      <w:r w:rsidRPr="00C62D22">
        <w:rPr>
          <w:rFonts w:ascii="Times New Roman" w:hAnsi="Times New Roman" w:cs="Times New Roman"/>
          <w:sz w:val="28"/>
          <w:szCs w:val="28"/>
        </w:rPr>
        <w:t>ли та окис азоту, що призводить до зростання інсулінової секреції та гіпоглік</w:t>
      </w:r>
      <w:r w:rsidRPr="00C62D22">
        <w:rPr>
          <w:rFonts w:ascii="Times New Roman" w:hAnsi="Times New Roman" w:cs="Times New Roman"/>
          <w:sz w:val="28"/>
          <w:szCs w:val="28"/>
        </w:rPr>
        <w:t>е</w:t>
      </w:r>
      <w:r w:rsidRPr="00C62D22">
        <w:rPr>
          <w:rFonts w:ascii="Times New Roman" w:hAnsi="Times New Roman" w:cs="Times New Roman"/>
          <w:sz w:val="28"/>
          <w:szCs w:val="28"/>
        </w:rPr>
        <w:t>мії. Під впливом алкоголю на початку захворювання ушкоджуються прот</w:t>
      </w:r>
      <w:r w:rsidRPr="00C62D22">
        <w:rPr>
          <w:rFonts w:ascii="Times New Roman" w:hAnsi="Times New Roman" w:cs="Times New Roman"/>
          <w:sz w:val="28"/>
          <w:szCs w:val="28"/>
        </w:rPr>
        <w:t>о</w:t>
      </w:r>
      <w:r w:rsidRPr="00C62D22">
        <w:rPr>
          <w:rFonts w:ascii="Times New Roman" w:hAnsi="Times New Roman" w:cs="Times New Roman"/>
          <w:sz w:val="28"/>
          <w:szCs w:val="28"/>
        </w:rPr>
        <w:t>ки 4–7–го порядку, для паренхіми характерні дегенеративно–запальні зміни, з які</w:t>
      </w:r>
      <w:r w:rsidRPr="00C62D22">
        <w:rPr>
          <w:rFonts w:ascii="Times New Roman" w:hAnsi="Times New Roman" w:cs="Times New Roman"/>
          <w:sz w:val="28"/>
          <w:szCs w:val="28"/>
        </w:rPr>
        <w:t>с</w:t>
      </w:r>
      <w:r w:rsidRPr="00C62D22">
        <w:rPr>
          <w:rFonts w:ascii="Times New Roman" w:hAnsi="Times New Roman" w:cs="Times New Roman"/>
          <w:sz w:val="28"/>
          <w:szCs w:val="28"/>
        </w:rPr>
        <w:t>ною зміною складу панкреатичного соку та випаданням в осад білкових преципіт</w:t>
      </w:r>
      <w:r w:rsidRPr="00C62D22">
        <w:rPr>
          <w:rFonts w:ascii="Times New Roman" w:hAnsi="Times New Roman" w:cs="Times New Roman"/>
          <w:sz w:val="28"/>
          <w:szCs w:val="28"/>
        </w:rPr>
        <w:t>а</w:t>
      </w:r>
      <w:r w:rsidRPr="00C62D22">
        <w:rPr>
          <w:rFonts w:ascii="Times New Roman" w:hAnsi="Times New Roman" w:cs="Times New Roman"/>
          <w:sz w:val="28"/>
          <w:szCs w:val="28"/>
        </w:rPr>
        <w:t>тів у вигляді пробок, які кальцифікуються та закупорюють протоки. Цей механізм пояснює розвиток таких ускладнень, як: вірсунголітіаз, ПК та панкреон</w:t>
      </w:r>
      <w:r w:rsidRPr="00C62D22">
        <w:rPr>
          <w:rFonts w:ascii="Times New Roman" w:hAnsi="Times New Roman" w:cs="Times New Roman"/>
          <w:sz w:val="28"/>
          <w:szCs w:val="28"/>
        </w:rPr>
        <w:t>е</w:t>
      </w:r>
      <w:r w:rsidRPr="00C62D22">
        <w:rPr>
          <w:rFonts w:ascii="Times New Roman" w:hAnsi="Times New Roman" w:cs="Times New Roman"/>
          <w:sz w:val="28"/>
          <w:szCs w:val="28"/>
        </w:rPr>
        <w:t>кроз [38].</w:t>
      </w:r>
    </w:p>
    <w:p w:rsidR="0021764E" w:rsidRPr="00C62D22" w:rsidRDefault="0021764E" w:rsidP="0021764E">
      <w:pPr>
        <w:widowControl w:val="0"/>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Як при ГП, так і при ХП ПК проходять аналогічні етапи розвитку. На пе</w:t>
      </w:r>
      <w:r w:rsidRPr="00C62D22">
        <w:rPr>
          <w:rFonts w:ascii="Times New Roman" w:hAnsi="Times New Roman" w:cs="Times New Roman"/>
          <w:sz w:val="28"/>
          <w:szCs w:val="28"/>
        </w:rPr>
        <w:t>р</w:t>
      </w:r>
      <w:r w:rsidRPr="00C62D22">
        <w:rPr>
          <w:rFonts w:ascii="Times New Roman" w:hAnsi="Times New Roman" w:cs="Times New Roman"/>
          <w:sz w:val="28"/>
          <w:szCs w:val="28"/>
        </w:rPr>
        <w:t>шому етапі тригером виникнення ПК ПЗ є деструкція стінки протоки ПЗ та з’єднання його просвіту із черевною порожниною або позаочеревним прост</w:t>
      </w:r>
      <w:r w:rsidRPr="00C62D22">
        <w:rPr>
          <w:rFonts w:ascii="Times New Roman" w:hAnsi="Times New Roman" w:cs="Times New Roman"/>
          <w:sz w:val="28"/>
          <w:szCs w:val="28"/>
        </w:rPr>
        <w:t>о</w:t>
      </w:r>
      <w:r w:rsidRPr="00C62D22">
        <w:rPr>
          <w:rFonts w:ascii="Times New Roman" w:hAnsi="Times New Roman" w:cs="Times New Roman"/>
          <w:sz w:val="28"/>
          <w:szCs w:val="28"/>
        </w:rPr>
        <w:t>ром. При ГП ушкодження протоки зумовлено некрозом ПЗ. У паціє</w:t>
      </w:r>
      <w:r w:rsidRPr="00C62D22">
        <w:rPr>
          <w:rFonts w:ascii="Times New Roman" w:hAnsi="Times New Roman" w:cs="Times New Roman"/>
          <w:sz w:val="28"/>
          <w:szCs w:val="28"/>
        </w:rPr>
        <w:t>н</w:t>
      </w:r>
      <w:r w:rsidRPr="00C62D22">
        <w:rPr>
          <w:rFonts w:ascii="Times New Roman" w:hAnsi="Times New Roman" w:cs="Times New Roman"/>
          <w:sz w:val="28"/>
          <w:szCs w:val="28"/>
        </w:rPr>
        <w:t>тів з ХП протока може «луснути» під дією сили тиску панкреатичного соку, яка підв</w:t>
      </w:r>
      <w:r w:rsidRPr="00C62D22">
        <w:rPr>
          <w:rFonts w:ascii="Times New Roman" w:hAnsi="Times New Roman" w:cs="Times New Roman"/>
          <w:sz w:val="28"/>
          <w:szCs w:val="28"/>
        </w:rPr>
        <w:t>и</w:t>
      </w:r>
      <w:r w:rsidRPr="00C62D22">
        <w:rPr>
          <w:rFonts w:ascii="Times New Roman" w:hAnsi="Times New Roman" w:cs="Times New Roman"/>
          <w:sz w:val="28"/>
          <w:szCs w:val="28"/>
        </w:rPr>
        <w:t>щується внаслідок закупорки конкрементом Вірсунгової протоки або її рубц</w:t>
      </w:r>
      <w:r w:rsidRPr="00C62D22">
        <w:rPr>
          <w:rFonts w:ascii="Times New Roman" w:hAnsi="Times New Roman" w:cs="Times New Roman"/>
          <w:sz w:val="28"/>
          <w:szCs w:val="28"/>
        </w:rPr>
        <w:t>е</w:t>
      </w:r>
      <w:r w:rsidRPr="00C62D22">
        <w:rPr>
          <w:rFonts w:ascii="Times New Roman" w:hAnsi="Times New Roman" w:cs="Times New Roman"/>
          <w:sz w:val="28"/>
          <w:szCs w:val="28"/>
        </w:rPr>
        <w:t xml:space="preserve">вого звуження [69, 90, </w:t>
      </w:r>
      <w:r w:rsidRPr="00C62D22">
        <w:rPr>
          <w:rFonts w:ascii="Times New Roman" w:hAnsi="Times New Roman" w:cs="Times New Roman"/>
          <w:sz w:val="28"/>
          <w:szCs w:val="28"/>
        </w:rPr>
        <w:lastRenderedPageBreak/>
        <w:t>135, 221]. При ХП не можна виключити вірогідність дрібн</w:t>
      </w:r>
      <w:r w:rsidRPr="00C62D22">
        <w:rPr>
          <w:rFonts w:ascii="Times New Roman" w:hAnsi="Times New Roman" w:cs="Times New Roman"/>
          <w:sz w:val="28"/>
          <w:szCs w:val="28"/>
        </w:rPr>
        <w:t>о</w:t>
      </w:r>
      <w:r w:rsidRPr="00C62D22">
        <w:rPr>
          <w:rFonts w:ascii="Times New Roman" w:hAnsi="Times New Roman" w:cs="Times New Roman"/>
          <w:sz w:val="28"/>
          <w:szCs w:val="28"/>
        </w:rPr>
        <w:t>вогнищевого некрозу ПЗ з прямою деструкцією стінки протоки. Панкреати</w:t>
      </w:r>
      <w:r w:rsidRPr="00C62D22">
        <w:rPr>
          <w:rFonts w:ascii="Times New Roman" w:hAnsi="Times New Roman" w:cs="Times New Roman"/>
          <w:sz w:val="28"/>
          <w:szCs w:val="28"/>
        </w:rPr>
        <w:t>ч</w:t>
      </w:r>
      <w:r w:rsidRPr="00C62D22">
        <w:rPr>
          <w:rFonts w:ascii="Times New Roman" w:hAnsi="Times New Roman" w:cs="Times New Roman"/>
          <w:sz w:val="28"/>
          <w:szCs w:val="28"/>
        </w:rPr>
        <w:t>ний сік, який витікає в черевну порожнину або позаочеревну клітковину утворює гострі п</w:t>
      </w:r>
      <w:r w:rsidRPr="00C62D22">
        <w:rPr>
          <w:rFonts w:ascii="Times New Roman" w:hAnsi="Times New Roman" w:cs="Times New Roman"/>
          <w:sz w:val="28"/>
          <w:szCs w:val="28"/>
        </w:rPr>
        <w:t>а</w:t>
      </w:r>
      <w:r w:rsidRPr="00C62D22">
        <w:rPr>
          <w:rFonts w:ascii="Times New Roman" w:hAnsi="Times New Roman" w:cs="Times New Roman"/>
          <w:sz w:val="28"/>
          <w:szCs w:val="28"/>
        </w:rPr>
        <w:t>рапанкреатичні рідинні скупчення [6, 159, 161, 176, 179]. Вони мають тенденцію до розповс</w:t>
      </w:r>
      <w:r w:rsidRPr="00C62D22">
        <w:rPr>
          <w:rFonts w:ascii="Times New Roman" w:hAnsi="Times New Roman" w:cs="Times New Roman"/>
          <w:sz w:val="28"/>
          <w:szCs w:val="28"/>
        </w:rPr>
        <w:t>ю</w:t>
      </w:r>
      <w:r w:rsidRPr="00C62D22">
        <w:rPr>
          <w:rFonts w:ascii="Times New Roman" w:hAnsi="Times New Roman" w:cs="Times New Roman"/>
          <w:sz w:val="28"/>
          <w:szCs w:val="28"/>
        </w:rPr>
        <w:t>дження попереду від ПЗ та найчастіше локалізуються в чепцевій сумці, підпечінк</w:t>
      </w:r>
      <w:r w:rsidRPr="00C62D22">
        <w:rPr>
          <w:rFonts w:ascii="Times New Roman" w:hAnsi="Times New Roman" w:cs="Times New Roman"/>
          <w:sz w:val="28"/>
          <w:szCs w:val="28"/>
        </w:rPr>
        <w:t>о</w:t>
      </w:r>
      <w:r w:rsidRPr="00C62D22">
        <w:rPr>
          <w:rFonts w:ascii="Times New Roman" w:hAnsi="Times New Roman" w:cs="Times New Roman"/>
          <w:sz w:val="28"/>
          <w:szCs w:val="28"/>
        </w:rPr>
        <w:t>вому та піддіафрагмальному просторах, у воротах селезінки [177, 342, 428]. У рідкісних випадках ці рідинні скупчення розташовуються позаду ПЗ у передньому параренальному, периренальному та задньому параренал</w:t>
      </w:r>
      <w:r w:rsidRPr="00C62D22">
        <w:rPr>
          <w:rFonts w:ascii="Times New Roman" w:hAnsi="Times New Roman" w:cs="Times New Roman"/>
          <w:sz w:val="28"/>
          <w:szCs w:val="28"/>
        </w:rPr>
        <w:t>ь</w:t>
      </w:r>
      <w:r w:rsidRPr="00C62D22">
        <w:rPr>
          <w:rFonts w:ascii="Times New Roman" w:hAnsi="Times New Roman" w:cs="Times New Roman"/>
          <w:sz w:val="28"/>
          <w:szCs w:val="28"/>
        </w:rPr>
        <w:t>ному клітинних просторах, а також у малому тазу та плевральній порожнині [170, 213, 222, 294, 320]. Якщо гострі парапанкреатичні скупчення не розрішаються упродовж 4 тижнів, навколо них утв</w:t>
      </w:r>
      <w:r w:rsidRPr="00C62D22">
        <w:rPr>
          <w:rFonts w:ascii="Times New Roman" w:hAnsi="Times New Roman" w:cs="Times New Roman"/>
          <w:sz w:val="28"/>
          <w:szCs w:val="28"/>
        </w:rPr>
        <w:t>о</w:t>
      </w:r>
      <w:r w:rsidRPr="00C62D22">
        <w:rPr>
          <w:rFonts w:ascii="Times New Roman" w:hAnsi="Times New Roman" w:cs="Times New Roman"/>
          <w:sz w:val="28"/>
          <w:szCs w:val="28"/>
        </w:rPr>
        <w:t>рюється тонкостінна оболонка з фіброзної та грануляційної тканини, яку можна в</w:t>
      </w:r>
      <w:r w:rsidRPr="00C62D22">
        <w:rPr>
          <w:rFonts w:ascii="Times New Roman" w:hAnsi="Times New Roman" w:cs="Times New Roman"/>
          <w:sz w:val="28"/>
          <w:szCs w:val="28"/>
        </w:rPr>
        <w:t>и</w:t>
      </w:r>
      <w:r w:rsidRPr="00C62D22">
        <w:rPr>
          <w:rFonts w:ascii="Times New Roman" w:hAnsi="Times New Roman" w:cs="Times New Roman"/>
          <w:sz w:val="28"/>
          <w:szCs w:val="28"/>
        </w:rPr>
        <w:t>явити під час УЗД або МСКТ, та еволюціонують у гострі ПК ПЗ. У 50% хворих вони розрішаються спонтанно, що зумовлено закриттям просвіту ушкодженої панкреатичної протоки та припиненням потрапляння соку ПЗ у порожнину ПК з подальшою її резорбцією. Гострі ПК ПЗ, які проіснували більш ніж 6 тижнів, пер</w:t>
      </w:r>
      <w:r w:rsidRPr="00C62D22">
        <w:rPr>
          <w:rFonts w:ascii="Times New Roman" w:hAnsi="Times New Roman" w:cs="Times New Roman"/>
          <w:sz w:val="28"/>
          <w:szCs w:val="28"/>
        </w:rPr>
        <w:t>е</w:t>
      </w:r>
      <w:r w:rsidRPr="00C62D22">
        <w:rPr>
          <w:rFonts w:ascii="Times New Roman" w:hAnsi="Times New Roman" w:cs="Times New Roman"/>
          <w:sz w:val="28"/>
          <w:szCs w:val="28"/>
        </w:rPr>
        <w:t>ходять до розряду зрілих, що виявляється формуванням щільної стінки кісти [120, 162, 167, 195]. Також ПК ПЗ можуть утв</w:t>
      </w:r>
      <w:r w:rsidRPr="00C62D22">
        <w:rPr>
          <w:rFonts w:ascii="Times New Roman" w:hAnsi="Times New Roman" w:cs="Times New Roman"/>
          <w:sz w:val="28"/>
          <w:szCs w:val="28"/>
        </w:rPr>
        <w:t>о</w:t>
      </w:r>
      <w:r w:rsidRPr="00C62D22">
        <w:rPr>
          <w:rFonts w:ascii="Times New Roman" w:hAnsi="Times New Roman" w:cs="Times New Roman"/>
          <w:sz w:val="28"/>
          <w:szCs w:val="28"/>
        </w:rPr>
        <w:t>рюватися внаслідок резорбції вогнищ некрозу ПЗ, оточених щільним запал</w:t>
      </w:r>
      <w:r w:rsidRPr="00C62D22">
        <w:rPr>
          <w:rFonts w:ascii="Times New Roman" w:hAnsi="Times New Roman" w:cs="Times New Roman"/>
          <w:sz w:val="28"/>
          <w:szCs w:val="28"/>
        </w:rPr>
        <w:t>ь</w:t>
      </w:r>
      <w:r w:rsidRPr="00C62D22">
        <w:rPr>
          <w:rFonts w:ascii="Times New Roman" w:hAnsi="Times New Roman" w:cs="Times New Roman"/>
          <w:sz w:val="28"/>
          <w:szCs w:val="28"/>
        </w:rPr>
        <w:t>ним валом – постнекротичні ПК ПЗ. Хронічні ПК ПЗ найчастіше розвиваються при ХП, тоді як постнекротичні ПК ПЗ більш характерні для гострого деструктивного панкре</w:t>
      </w:r>
      <w:r w:rsidRPr="00C62D22">
        <w:rPr>
          <w:rFonts w:ascii="Times New Roman" w:hAnsi="Times New Roman" w:cs="Times New Roman"/>
          <w:sz w:val="28"/>
          <w:szCs w:val="28"/>
        </w:rPr>
        <w:t>а</w:t>
      </w:r>
      <w:r w:rsidRPr="00C62D22">
        <w:rPr>
          <w:rFonts w:ascii="Times New Roman" w:hAnsi="Times New Roman" w:cs="Times New Roman"/>
          <w:sz w:val="28"/>
          <w:szCs w:val="28"/>
        </w:rPr>
        <w:t>титу. Здатність до самостійної резолюції в них також різна. Основним механі</w:t>
      </w:r>
      <w:r w:rsidRPr="00C62D22">
        <w:rPr>
          <w:rFonts w:ascii="Times New Roman" w:hAnsi="Times New Roman" w:cs="Times New Roman"/>
          <w:sz w:val="28"/>
          <w:szCs w:val="28"/>
        </w:rPr>
        <w:t>з</w:t>
      </w:r>
      <w:r w:rsidRPr="00C62D22">
        <w:rPr>
          <w:rFonts w:ascii="Times New Roman" w:hAnsi="Times New Roman" w:cs="Times New Roman"/>
          <w:sz w:val="28"/>
          <w:szCs w:val="28"/>
        </w:rPr>
        <w:t>мом спонтанної резолюції хронічних ПК ПЗ припустимо є спорожнення її вмісту до ГПП або до просвіту порожнистого о</w:t>
      </w:r>
      <w:r w:rsidRPr="00C62D22">
        <w:rPr>
          <w:rFonts w:ascii="Times New Roman" w:hAnsi="Times New Roman" w:cs="Times New Roman"/>
          <w:sz w:val="28"/>
          <w:szCs w:val="28"/>
        </w:rPr>
        <w:t>р</w:t>
      </w:r>
      <w:r w:rsidRPr="00C62D22">
        <w:rPr>
          <w:rFonts w:ascii="Times New Roman" w:hAnsi="Times New Roman" w:cs="Times New Roman"/>
          <w:sz w:val="28"/>
          <w:szCs w:val="28"/>
        </w:rPr>
        <w:t>гана (при формуванні внутрішньої фістули). Вірогідність самостійної резорбції ПК зме</w:t>
      </w:r>
      <w:r w:rsidRPr="00C62D22">
        <w:rPr>
          <w:rFonts w:ascii="Times New Roman" w:hAnsi="Times New Roman" w:cs="Times New Roman"/>
          <w:sz w:val="28"/>
          <w:szCs w:val="28"/>
        </w:rPr>
        <w:t>н</w:t>
      </w:r>
      <w:r w:rsidRPr="00C62D22">
        <w:rPr>
          <w:rFonts w:ascii="Times New Roman" w:hAnsi="Times New Roman" w:cs="Times New Roman"/>
          <w:sz w:val="28"/>
          <w:szCs w:val="28"/>
        </w:rPr>
        <w:t>шується в пацієнтів з ХП та розширеною панкреатичною протокою, що зумо</w:t>
      </w:r>
      <w:r w:rsidRPr="00C62D22">
        <w:rPr>
          <w:rFonts w:ascii="Times New Roman" w:hAnsi="Times New Roman" w:cs="Times New Roman"/>
          <w:sz w:val="28"/>
          <w:szCs w:val="28"/>
        </w:rPr>
        <w:t>в</w:t>
      </w:r>
      <w:r w:rsidRPr="00C62D22">
        <w:rPr>
          <w:rFonts w:ascii="Times New Roman" w:hAnsi="Times New Roman" w:cs="Times New Roman"/>
          <w:sz w:val="28"/>
          <w:szCs w:val="28"/>
        </w:rPr>
        <w:t>лено стриктурою його проксимального відділу. Іншими факторами, які зме</w:t>
      </w:r>
      <w:r w:rsidRPr="00C62D22">
        <w:rPr>
          <w:rFonts w:ascii="Times New Roman" w:hAnsi="Times New Roman" w:cs="Times New Roman"/>
          <w:sz w:val="28"/>
          <w:szCs w:val="28"/>
        </w:rPr>
        <w:t>н</w:t>
      </w:r>
      <w:r w:rsidRPr="00C62D22">
        <w:rPr>
          <w:rFonts w:ascii="Times New Roman" w:hAnsi="Times New Roman" w:cs="Times New Roman"/>
          <w:sz w:val="28"/>
          <w:szCs w:val="28"/>
        </w:rPr>
        <w:t>шують вірогідність резорбції хронічної кісти, є біліарна та травматична етіологія па</w:t>
      </w:r>
      <w:r w:rsidRPr="00C62D22">
        <w:rPr>
          <w:rFonts w:ascii="Times New Roman" w:hAnsi="Times New Roman" w:cs="Times New Roman"/>
          <w:sz w:val="28"/>
          <w:szCs w:val="28"/>
        </w:rPr>
        <w:t>н</w:t>
      </w:r>
      <w:r w:rsidRPr="00C62D22">
        <w:rPr>
          <w:rFonts w:ascii="Times New Roman" w:hAnsi="Times New Roman" w:cs="Times New Roman"/>
          <w:sz w:val="28"/>
          <w:szCs w:val="28"/>
        </w:rPr>
        <w:t>креатиту, розташування ПК у хвості ПЗ, збільшення діаметру кісти при її динамічн</w:t>
      </w:r>
      <w:r w:rsidRPr="00C62D22">
        <w:rPr>
          <w:rFonts w:ascii="Times New Roman" w:hAnsi="Times New Roman" w:cs="Times New Roman"/>
          <w:sz w:val="28"/>
          <w:szCs w:val="28"/>
        </w:rPr>
        <w:t>о</w:t>
      </w:r>
      <w:r w:rsidRPr="00C62D22">
        <w:rPr>
          <w:rFonts w:ascii="Times New Roman" w:hAnsi="Times New Roman" w:cs="Times New Roman"/>
          <w:sz w:val="28"/>
          <w:szCs w:val="28"/>
        </w:rPr>
        <w:t>му спостереженні. Постнекротичні ПК відрізняються вмістом рідини та секвестрів некротизованої панкреатичної тканини, які не дозволяють їм самостійно розрішитися та потр</w:t>
      </w:r>
      <w:r w:rsidRPr="00C62D22">
        <w:rPr>
          <w:rFonts w:ascii="Times New Roman" w:hAnsi="Times New Roman" w:cs="Times New Roman"/>
          <w:sz w:val="28"/>
          <w:szCs w:val="28"/>
        </w:rPr>
        <w:t>е</w:t>
      </w:r>
      <w:r w:rsidRPr="00C62D22">
        <w:rPr>
          <w:rFonts w:ascii="Times New Roman" w:hAnsi="Times New Roman" w:cs="Times New Roman"/>
          <w:sz w:val="28"/>
          <w:szCs w:val="28"/>
        </w:rPr>
        <w:t xml:space="preserve">бують оперативного втручання [171, </w:t>
      </w:r>
      <w:r w:rsidRPr="00C62D22">
        <w:rPr>
          <w:rFonts w:ascii="Times New Roman" w:hAnsi="Times New Roman" w:cs="Times New Roman"/>
          <w:sz w:val="28"/>
          <w:szCs w:val="28"/>
        </w:rPr>
        <w:lastRenderedPageBreak/>
        <w:t xml:space="preserve">182]. </w:t>
      </w:r>
    </w:p>
    <w:p w:rsidR="0021764E" w:rsidRPr="00C62D22" w:rsidRDefault="0021764E" w:rsidP="0021764E">
      <w:pPr>
        <w:spacing w:after="0" w:line="360" w:lineRule="auto"/>
        <w:ind w:firstLine="540"/>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Відомо, що в процесі свого розвитку ПК ПЗ у ранній період (перші 4-6 тижнів від початку ГП), проходить низку стадій: 1) чітко передбачуване пр</w:t>
      </w:r>
      <w:r w:rsidRPr="00C62D22">
        <w:rPr>
          <w:rStyle w:val="hps"/>
          <w:rFonts w:ascii="Times New Roman" w:hAnsi="Times New Roman" w:cs="Times New Roman"/>
          <w:sz w:val="28"/>
          <w:szCs w:val="28"/>
        </w:rPr>
        <w:t>о</w:t>
      </w:r>
      <w:r w:rsidRPr="00C62D22">
        <w:rPr>
          <w:rStyle w:val="hps"/>
          <w:rFonts w:ascii="Times New Roman" w:hAnsi="Times New Roman" w:cs="Times New Roman"/>
          <w:sz w:val="28"/>
          <w:szCs w:val="28"/>
        </w:rPr>
        <w:t>гресування запального інфільтрату; 2) гостре скупчення рідини; 3) утворення інкапсульованого скупчення рідини, багатого амілазою та обмеженого фібро</w:t>
      </w:r>
      <w:r w:rsidRPr="00C62D22">
        <w:rPr>
          <w:rStyle w:val="hps"/>
          <w:rFonts w:ascii="Times New Roman" w:hAnsi="Times New Roman" w:cs="Times New Roman"/>
          <w:sz w:val="28"/>
          <w:szCs w:val="28"/>
        </w:rPr>
        <w:t>з</w:t>
      </w:r>
      <w:r w:rsidRPr="00C62D22">
        <w:rPr>
          <w:rStyle w:val="hps"/>
          <w:rFonts w:ascii="Times New Roman" w:hAnsi="Times New Roman" w:cs="Times New Roman"/>
          <w:sz w:val="28"/>
          <w:szCs w:val="28"/>
        </w:rPr>
        <w:t>ною тканиною очеревини, та / або ретроперитонеального простору й серозною оболонкою прилеглих органів. Відсутність епітелію дозволяє диференціюв</w:t>
      </w:r>
      <w:r w:rsidRPr="00C62D22">
        <w:rPr>
          <w:rStyle w:val="hps"/>
          <w:rFonts w:ascii="Times New Roman" w:hAnsi="Times New Roman" w:cs="Times New Roman"/>
          <w:sz w:val="28"/>
          <w:szCs w:val="28"/>
        </w:rPr>
        <w:t>а</w:t>
      </w:r>
      <w:r w:rsidRPr="00C62D22">
        <w:rPr>
          <w:rStyle w:val="hps"/>
          <w:rFonts w:ascii="Times New Roman" w:hAnsi="Times New Roman" w:cs="Times New Roman"/>
          <w:sz w:val="28"/>
          <w:szCs w:val="28"/>
        </w:rPr>
        <w:t>ти ПК від кістозних новоутворень. Серед основних компонентів, які продукують активовані PSCs, є колаген I типу і в менших кількостях колагени III і IV т</w:t>
      </w:r>
      <w:r w:rsidRPr="00C62D22">
        <w:rPr>
          <w:rStyle w:val="hps"/>
          <w:rFonts w:ascii="Times New Roman" w:hAnsi="Times New Roman" w:cs="Times New Roman"/>
          <w:sz w:val="28"/>
          <w:szCs w:val="28"/>
        </w:rPr>
        <w:t>и</w:t>
      </w:r>
      <w:r w:rsidRPr="00C62D22">
        <w:rPr>
          <w:rStyle w:val="hps"/>
          <w:rFonts w:ascii="Times New Roman" w:hAnsi="Times New Roman" w:cs="Times New Roman"/>
          <w:sz w:val="28"/>
          <w:szCs w:val="28"/>
        </w:rPr>
        <w:t>пів, а також фібронектин, ламінін, гіалуронова кислота та ін. [316].</w:t>
      </w:r>
    </w:p>
    <w:p w:rsidR="0021764E" w:rsidRPr="00C62D22" w:rsidRDefault="0021764E" w:rsidP="0021764E">
      <w:pPr>
        <w:spacing w:after="0" w:line="360" w:lineRule="auto"/>
        <w:ind w:firstLine="540"/>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 xml:space="preserve">За розпад ЕЦМ відповідають ММП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група енд</w:t>
      </w:r>
      <w:r w:rsidRPr="00C62D22">
        <w:rPr>
          <w:rStyle w:val="hps"/>
          <w:rFonts w:ascii="Times New Roman" w:hAnsi="Times New Roman" w:cs="Times New Roman"/>
          <w:sz w:val="28"/>
          <w:szCs w:val="28"/>
        </w:rPr>
        <w:t>о</w:t>
      </w:r>
      <w:r w:rsidRPr="00C62D22">
        <w:rPr>
          <w:rStyle w:val="hps"/>
          <w:rFonts w:ascii="Times New Roman" w:hAnsi="Times New Roman" w:cs="Times New Roman"/>
          <w:sz w:val="28"/>
          <w:szCs w:val="28"/>
        </w:rPr>
        <w:t>пептидаз, що виробляються PSCs, а їх протеолітична активність регулюєт</w:t>
      </w:r>
      <w:r w:rsidRPr="00C62D22">
        <w:rPr>
          <w:rStyle w:val="hps"/>
          <w:rFonts w:ascii="Times New Roman" w:hAnsi="Times New Roman" w:cs="Times New Roman"/>
          <w:sz w:val="28"/>
          <w:szCs w:val="28"/>
        </w:rPr>
        <w:t>ь</w:t>
      </w:r>
      <w:r w:rsidRPr="00C62D22">
        <w:rPr>
          <w:rStyle w:val="hps"/>
          <w:rFonts w:ascii="Times New Roman" w:hAnsi="Times New Roman" w:cs="Times New Roman"/>
          <w:sz w:val="28"/>
          <w:szCs w:val="28"/>
        </w:rPr>
        <w:t xml:space="preserve">ся тканинними інгібіторами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групою білків, які теж продукуються PSCs. </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ММП відносять до сімейства цинкових металопротеїназ, функція яких п</w:t>
      </w:r>
      <w:r w:rsidRPr="00C62D22">
        <w:rPr>
          <w:rFonts w:ascii="Times New Roman" w:hAnsi="Times New Roman" w:cs="Times New Roman"/>
          <w:sz w:val="28"/>
          <w:szCs w:val="28"/>
        </w:rPr>
        <w:t>о</w:t>
      </w:r>
      <w:r w:rsidRPr="00C62D22">
        <w:rPr>
          <w:rFonts w:ascii="Times New Roman" w:hAnsi="Times New Roman" w:cs="Times New Roman"/>
          <w:sz w:val="28"/>
          <w:szCs w:val="28"/>
        </w:rPr>
        <w:t>в'язана з обміном білків міжклітинного матриксу [55, 154, 302, 379, 398]. Ці ферменти відіграють вирішальну роль при розвитку таких фізіологічних процесів, як: морфогенез, резорбція та ремоделювання тканин, міграція, адгезія, диференціювання та проліферація клітин, а також при патологічних станах таких, як: ре</w:t>
      </w:r>
      <w:r w:rsidRPr="00C62D22">
        <w:rPr>
          <w:rFonts w:ascii="Times New Roman" w:hAnsi="Times New Roman" w:cs="Times New Roman"/>
          <w:sz w:val="28"/>
          <w:szCs w:val="28"/>
        </w:rPr>
        <w:t>в</w:t>
      </w:r>
      <w:r w:rsidRPr="00C62D22">
        <w:rPr>
          <w:rFonts w:ascii="Times New Roman" w:hAnsi="Times New Roman" w:cs="Times New Roman"/>
          <w:sz w:val="28"/>
          <w:szCs w:val="28"/>
        </w:rPr>
        <w:t>матоїдний артрит, цироз печінки, гломерулонефрити, та ін. [353, 358, 380, 381, 382]. Осо</w:t>
      </w:r>
      <w:r w:rsidRPr="00C62D22">
        <w:rPr>
          <w:rFonts w:ascii="Times New Roman" w:hAnsi="Times New Roman" w:cs="Times New Roman"/>
          <w:sz w:val="28"/>
          <w:szCs w:val="28"/>
        </w:rPr>
        <w:t>б</w:t>
      </w:r>
      <w:r w:rsidRPr="00C62D22">
        <w:rPr>
          <w:rFonts w:ascii="Times New Roman" w:hAnsi="Times New Roman" w:cs="Times New Roman"/>
          <w:sz w:val="28"/>
          <w:szCs w:val="28"/>
        </w:rPr>
        <w:t>ливе місце відводиться ММП у генералізації процесів інвазії та метастазуванні пухлин [34, 338, 356, 420]. ММП синтезуються та секретуються цілою низкою клітин: фібробластами, епітелі</w:t>
      </w:r>
      <w:r w:rsidRPr="00C62D22">
        <w:rPr>
          <w:rFonts w:ascii="Times New Roman" w:hAnsi="Times New Roman" w:cs="Times New Roman"/>
          <w:sz w:val="28"/>
          <w:szCs w:val="28"/>
        </w:rPr>
        <w:t>а</w:t>
      </w:r>
      <w:r w:rsidRPr="00C62D22">
        <w:rPr>
          <w:rFonts w:ascii="Times New Roman" w:hAnsi="Times New Roman" w:cs="Times New Roman"/>
          <w:sz w:val="28"/>
          <w:szCs w:val="28"/>
        </w:rPr>
        <w:t>льними клітинами, фагоцитами, лімфоцитами та онкогенно-трансформованими кліт</w:t>
      </w:r>
      <w:r w:rsidRPr="00C62D22">
        <w:rPr>
          <w:rFonts w:ascii="Times New Roman" w:hAnsi="Times New Roman" w:cs="Times New Roman"/>
          <w:sz w:val="28"/>
          <w:szCs w:val="28"/>
        </w:rPr>
        <w:t>и</w:t>
      </w:r>
      <w:r w:rsidRPr="00C62D22">
        <w:rPr>
          <w:rFonts w:ascii="Times New Roman" w:hAnsi="Times New Roman" w:cs="Times New Roman"/>
          <w:sz w:val="28"/>
          <w:szCs w:val="28"/>
        </w:rPr>
        <w:t xml:space="preserve">нами [55, 154, 411]. </w:t>
      </w:r>
    </w:p>
    <w:p w:rsidR="0021764E" w:rsidRPr="00C62D22" w:rsidRDefault="0021764E" w:rsidP="0021764E">
      <w:pPr>
        <w:autoSpaceDE w:val="0"/>
        <w:autoSpaceDN w:val="0"/>
        <w:adjustRightInd w:val="0"/>
        <w:spacing w:after="0" w:line="360" w:lineRule="auto"/>
        <w:ind w:firstLine="540"/>
        <w:jc w:val="both"/>
        <w:rPr>
          <w:rStyle w:val="hps"/>
          <w:rFonts w:ascii="Times New Roman" w:hAnsi="Times New Roman" w:cs="Times New Roman"/>
          <w:sz w:val="28"/>
          <w:szCs w:val="28"/>
        </w:rPr>
      </w:pPr>
      <w:r w:rsidRPr="00C62D22">
        <w:rPr>
          <w:rFonts w:ascii="Times New Roman" w:hAnsi="Times New Roman" w:cs="Times New Roman"/>
          <w:sz w:val="28"/>
          <w:szCs w:val="28"/>
        </w:rPr>
        <w:t xml:space="preserve">Важливу роль у розвитку фіброзу відіграють колагенази </w:t>
      </w:r>
      <w:r w:rsidRPr="00C62D22">
        <w:rPr>
          <w:rFonts w:ascii="Times New Roman" w:eastAsia="TimesNewRomanPSMT" w:hAnsi="Times New Roman" w:cs="Times New Roman"/>
          <w:sz w:val="28"/>
          <w:szCs w:val="28"/>
        </w:rPr>
        <w:t xml:space="preserve">IV типу, – </w:t>
      </w:r>
      <w:r w:rsidRPr="00C62D22">
        <w:rPr>
          <w:rFonts w:ascii="Times New Roman" w:eastAsia="TimesNewRomanPS-ItalicMT" w:hAnsi="Times New Roman" w:cs="Times New Roman"/>
          <w:iCs/>
          <w:sz w:val="28"/>
          <w:szCs w:val="28"/>
        </w:rPr>
        <w:t xml:space="preserve">желатиназа А </w:t>
      </w:r>
      <w:r w:rsidRPr="00C62D22">
        <w:rPr>
          <w:rFonts w:ascii="Times New Roman" w:eastAsia="TimesNewRomanPSMT" w:hAnsi="Times New Roman" w:cs="Times New Roman"/>
          <w:sz w:val="28"/>
          <w:szCs w:val="28"/>
        </w:rPr>
        <w:t xml:space="preserve">(ММП–2) та </w:t>
      </w:r>
      <w:r w:rsidRPr="00C62D22">
        <w:rPr>
          <w:rFonts w:ascii="Times New Roman" w:eastAsia="TimesNewRomanPS-ItalicMT" w:hAnsi="Times New Roman" w:cs="Times New Roman"/>
          <w:iCs/>
          <w:sz w:val="28"/>
          <w:szCs w:val="28"/>
        </w:rPr>
        <w:t xml:space="preserve">желатиназа В </w:t>
      </w:r>
      <w:r w:rsidRPr="00C62D22">
        <w:rPr>
          <w:rFonts w:ascii="Times New Roman" w:eastAsia="TimesNewRomanPSMT" w:hAnsi="Times New Roman" w:cs="Times New Roman"/>
          <w:sz w:val="28"/>
          <w:szCs w:val="28"/>
        </w:rPr>
        <w:t>(ММП–9) [125]. ММП–2 синтезується багат</w:t>
      </w:r>
      <w:r w:rsidRPr="00C62D22">
        <w:rPr>
          <w:rFonts w:ascii="Times New Roman" w:eastAsia="TimesNewRomanPSMT" w:hAnsi="Times New Roman" w:cs="Times New Roman"/>
          <w:sz w:val="28"/>
          <w:szCs w:val="28"/>
        </w:rPr>
        <w:t>ь</w:t>
      </w:r>
      <w:r w:rsidRPr="00C62D22">
        <w:rPr>
          <w:rFonts w:ascii="Times New Roman" w:eastAsia="TimesNewRomanPSMT" w:hAnsi="Times New Roman" w:cs="Times New Roman"/>
          <w:sz w:val="28"/>
          <w:szCs w:val="28"/>
        </w:rPr>
        <w:t>ма нормальними та пухлинними клітинами, секретується у вигляді попередн</w:t>
      </w:r>
      <w:r w:rsidRPr="00C62D22">
        <w:rPr>
          <w:rFonts w:ascii="Times New Roman" w:eastAsia="TimesNewRomanPSMT" w:hAnsi="Times New Roman" w:cs="Times New Roman"/>
          <w:sz w:val="28"/>
          <w:szCs w:val="28"/>
        </w:rPr>
        <w:t>и</w:t>
      </w:r>
      <w:r w:rsidRPr="00C62D22">
        <w:rPr>
          <w:rFonts w:ascii="Times New Roman" w:eastAsia="TimesNewRomanPSMT" w:hAnsi="Times New Roman" w:cs="Times New Roman"/>
          <w:sz w:val="28"/>
          <w:szCs w:val="28"/>
        </w:rPr>
        <w:t>ка [55, 178]. ММП–9 була винайдена в нейтрофілах та макрофагах, а також у фібробла</w:t>
      </w:r>
      <w:r w:rsidRPr="00C62D22">
        <w:rPr>
          <w:rFonts w:ascii="Times New Roman" w:eastAsia="TimesNewRomanPSMT" w:hAnsi="Times New Roman" w:cs="Times New Roman"/>
          <w:sz w:val="28"/>
          <w:szCs w:val="28"/>
        </w:rPr>
        <w:t>с</w:t>
      </w:r>
      <w:r w:rsidRPr="00C62D22">
        <w:rPr>
          <w:rFonts w:ascii="Times New Roman" w:eastAsia="TimesNewRomanPSMT" w:hAnsi="Times New Roman" w:cs="Times New Roman"/>
          <w:sz w:val="28"/>
          <w:szCs w:val="28"/>
        </w:rPr>
        <w:t>тах, хондроцитах та Т–лімфоцитах після стимуляції їх цитокінами, форболовим ефіром, онкогенами, а також в інфікованих клітинах [11, 36, 302, 378, 411]. Ці колагенази інте</w:t>
      </w:r>
      <w:r w:rsidRPr="00C62D22">
        <w:rPr>
          <w:rFonts w:ascii="Times New Roman" w:eastAsia="TimesNewRomanPSMT" w:hAnsi="Times New Roman" w:cs="Times New Roman"/>
          <w:sz w:val="28"/>
          <w:szCs w:val="28"/>
        </w:rPr>
        <w:t>н</w:t>
      </w:r>
      <w:r w:rsidRPr="00C62D22">
        <w:rPr>
          <w:rFonts w:ascii="Times New Roman" w:eastAsia="TimesNewRomanPSMT" w:hAnsi="Times New Roman" w:cs="Times New Roman"/>
          <w:sz w:val="28"/>
          <w:szCs w:val="28"/>
        </w:rPr>
        <w:t xml:space="preserve">сивно гідролізують желатини, які отримані з різних типів колагенів, а також </w:t>
      </w:r>
      <w:r w:rsidRPr="00C62D22">
        <w:rPr>
          <w:rFonts w:ascii="Times New Roman" w:eastAsia="TimesNewRomanPSMT" w:hAnsi="Times New Roman" w:cs="Times New Roman"/>
          <w:sz w:val="28"/>
          <w:szCs w:val="28"/>
        </w:rPr>
        <w:lastRenderedPageBreak/>
        <w:t>білків сполучнотканинного матриксу, у тому числі й еластин. Крім того, желатинази значно краще гідролізують колаген V типу, ніж колаген IV типу, а ММПм2 розщепляє колаген I типу за тим же зв'язком, що й ММП–1. ММП–2 на відміну від ММП–9 гідролізує фібронектин, ламінін та С–білок, a MMП–9 розщепляє ентактин та колаген XIV типу. Багато клітин організму секретують тканинний інгібітор матриксних протеїназ (ТІМП) [36, 302, 369, 381, 404]. На рівень синтезу ТІМП–1 впливають різні зовнішні стимул, такі, як: форболові ефіри, фактори зросту, цитокіни, и той час як експресія ТІМП–2 загалом констутивна. Вважається, що інгібіторна активність ТІМП–3 може збільшуватися в присутності декотрих гепаранс</w:t>
      </w:r>
      <w:r w:rsidRPr="00C62D22">
        <w:rPr>
          <w:rFonts w:ascii="Times New Roman" w:eastAsia="TimesNewRomanPSMT" w:hAnsi="Times New Roman" w:cs="Times New Roman"/>
          <w:sz w:val="28"/>
          <w:szCs w:val="28"/>
        </w:rPr>
        <w:t>у</w:t>
      </w:r>
      <w:r w:rsidRPr="00C62D22">
        <w:rPr>
          <w:rFonts w:ascii="Times New Roman" w:eastAsia="TimesNewRomanPSMT" w:hAnsi="Times New Roman" w:cs="Times New Roman"/>
          <w:sz w:val="28"/>
          <w:szCs w:val="28"/>
        </w:rPr>
        <w:t>льфатпротеогліканів. ТІМП–1 та ТІМП–2 можуть виконувати функції факторів зросту, стимулюючи зростання еритроїдних клітин, фібробластів та кератин</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 xml:space="preserve">цитів [302, 381]. </w:t>
      </w:r>
    </w:p>
    <w:p w:rsidR="0021764E" w:rsidRPr="00C62D22" w:rsidRDefault="0021764E" w:rsidP="0021764E">
      <w:pPr>
        <w:spacing w:after="0" w:line="360" w:lineRule="auto"/>
        <w:ind w:firstLine="540"/>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Регуляція експресії ММП відбувається на трьох рівнях: 1) геномном; 2) за допомогою активації проензиму і 3) інгібуванням активності ензимів за уча</w:t>
      </w:r>
      <w:r w:rsidRPr="00C62D22">
        <w:rPr>
          <w:rStyle w:val="hps"/>
          <w:rFonts w:ascii="Times New Roman" w:hAnsi="Times New Roman" w:cs="Times New Roman"/>
          <w:sz w:val="28"/>
          <w:szCs w:val="28"/>
        </w:rPr>
        <w:t>с</w:t>
      </w:r>
      <w:r w:rsidRPr="00C62D22">
        <w:rPr>
          <w:rStyle w:val="hps"/>
          <w:rFonts w:ascii="Times New Roman" w:hAnsi="Times New Roman" w:cs="Times New Roman"/>
          <w:sz w:val="28"/>
          <w:szCs w:val="28"/>
        </w:rPr>
        <w:t>тю тканинних інгібіторів. Модуляторами експресії ММП є TNFa, IL</w:t>
      </w:r>
      <w:r w:rsidRPr="00C62D22">
        <w:rPr>
          <w:rFonts w:ascii="Times New Roman" w:eastAsia="TimesNewRomanPSMT" w:hAnsi="Times New Roman" w:cs="Times New Roman"/>
          <w:sz w:val="28"/>
          <w:szCs w:val="28"/>
        </w:rPr>
        <w:t>–</w:t>
      </w:r>
      <w:r w:rsidRPr="00C62D22">
        <w:rPr>
          <w:rStyle w:val="hps"/>
          <w:rFonts w:ascii="Times New Roman" w:hAnsi="Times New Roman" w:cs="Times New Roman"/>
          <w:sz w:val="28"/>
          <w:szCs w:val="28"/>
        </w:rPr>
        <w:t>1b, IL</w:t>
      </w:r>
      <w:r w:rsidRPr="00C62D22">
        <w:rPr>
          <w:rFonts w:ascii="Times New Roman" w:eastAsia="TimesNewRomanPSMT" w:hAnsi="Times New Roman" w:cs="Times New Roman"/>
          <w:sz w:val="28"/>
          <w:szCs w:val="28"/>
        </w:rPr>
        <w:t>–</w:t>
      </w:r>
      <w:r w:rsidRPr="00C62D22">
        <w:rPr>
          <w:rStyle w:val="hps"/>
          <w:rFonts w:ascii="Times New Roman" w:hAnsi="Times New Roman" w:cs="Times New Roman"/>
          <w:sz w:val="28"/>
          <w:szCs w:val="28"/>
        </w:rPr>
        <w:t>8, IL</w:t>
      </w:r>
      <w:r w:rsidRPr="00C62D22">
        <w:rPr>
          <w:rFonts w:ascii="Times New Roman" w:eastAsia="TimesNewRomanPSMT" w:hAnsi="Times New Roman" w:cs="Times New Roman"/>
          <w:sz w:val="28"/>
          <w:szCs w:val="28"/>
        </w:rPr>
        <w:t>–</w:t>
      </w:r>
      <w:r w:rsidRPr="00C62D22">
        <w:rPr>
          <w:rStyle w:val="hps"/>
          <w:rFonts w:ascii="Times New Roman" w:hAnsi="Times New Roman" w:cs="Times New Roman"/>
          <w:sz w:val="28"/>
          <w:szCs w:val="28"/>
        </w:rPr>
        <w:t>17, епідермальний фактор росту (EGF), TGF, та ін. [305, 347, 369, 379]. Всі вони викликають стійкі порушення функцій різних типів імунокомпетентних клітин. Інгібують експресію ММП остеокальцитонін, доксициклін, ретиноїди, глюкозаміноглік</w:t>
      </w:r>
      <w:r w:rsidRPr="00C62D22">
        <w:rPr>
          <w:rStyle w:val="hps"/>
          <w:rFonts w:ascii="Times New Roman" w:hAnsi="Times New Roman" w:cs="Times New Roman"/>
          <w:sz w:val="28"/>
          <w:szCs w:val="28"/>
        </w:rPr>
        <w:t>а</w:t>
      </w:r>
      <w:r w:rsidRPr="00C62D22">
        <w:rPr>
          <w:rStyle w:val="hps"/>
          <w:rFonts w:ascii="Times New Roman" w:hAnsi="Times New Roman" w:cs="Times New Roman"/>
          <w:sz w:val="28"/>
          <w:szCs w:val="28"/>
        </w:rPr>
        <w:t xml:space="preserve">ни </w:t>
      </w:r>
      <w:r w:rsidRPr="00C62D22">
        <w:rPr>
          <w:rFonts w:ascii="Times New Roman" w:hAnsi="Times New Roman" w:cs="Times New Roman"/>
          <w:sz w:val="28"/>
          <w:szCs w:val="28"/>
        </w:rPr>
        <w:t>[55, 125, 178]</w:t>
      </w:r>
      <w:r w:rsidRPr="00C62D22">
        <w:rPr>
          <w:rStyle w:val="hps"/>
          <w:rFonts w:ascii="Times New Roman" w:hAnsi="Times New Roman" w:cs="Times New Roman"/>
          <w:sz w:val="28"/>
          <w:szCs w:val="28"/>
        </w:rPr>
        <w:t>.</w:t>
      </w:r>
    </w:p>
    <w:p w:rsidR="0021764E" w:rsidRPr="00C62D22" w:rsidRDefault="0021764E" w:rsidP="0021764E">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C62D22">
        <w:rPr>
          <w:rStyle w:val="hps"/>
          <w:rFonts w:ascii="Times New Roman" w:hAnsi="Times New Roman" w:cs="Times New Roman"/>
          <w:sz w:val="28"/>
          <w:szCs w:val="28"/>
        </w:rPr>
        <w:t>Характер експресії ММП, що є компонентами клітинних мембран, дуже схожий з експресією класичних гострофазових білків і факторів гумор</w:t>
      </w:r>
      <w:r w:rsidRPr="00C62D22">
        <w:rPr>
          <w:rStyle w:val="hps"/>
          <w:rFonts w:ascii="Times New Roman" w:hAnsi="Times New Roman" w:cs="Times New Roman"/>
          <w:sz w:val="28"/>
          <w:szCs w:val="28"/>
        </w:rPr>
        <w:t>а</w:t>
      </w:r>
      <w:r w:rsidRPr="00C62D22">
        <w:rPr>
          <w:rStyle w:val="hps"/>
          <w:rFonts w:ascii="Times New Roman" w:hAnsi="Times New Roman" w:cs="Times New Roman"/>
          <w:sz w:val="28"/>
          <w:szCs w:val="28"/>
        </w:rPr>
        <w:t xml:space="preserve">льного вродженого імунітету й регулюється протизапальними ЦК, а також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бактеріальними ліпополісахаридами [36, 82, 88, 125]. Експресію ММП називають найважлив</w:t>
      </w:r>
      <w:r w:rsidRPr="00C62D22">
        <w:rPr>
          <w:rStyle w:val="hps"/>
          <w:rFonts w:ascii="Times New Roman" w:hAnsi="Times New Roman" w:cs="Times New Roman"/>
          <w:sz w:val="28"/>
          <w:szCs w:val="28"/>
        </w:rPr>
        <w:t>і</w:t>
      </w:r>
      <w:r w:rsidRPr="00C62D22">
        <w:rPr>
          <w:rStyle w:val="hps"/>
          <w:rFonts w:ascii="Times New Roman" w:hAnsi="Times New Roman" w:cs="Times New Roman"/>
          <w:sz w:val="28"/>
          <w:szCs w:val="28"/>
        </w:rPr>
        <w:t>шим фактором у розвитку деградації ЕЦМ, «критичним кроком» у його рем</w:t>
      </w:r>
      <w:r w:rsidRPr="00C62D22">
        <w:rPr>
          <w:rStyle w:val="hps"/>
          <w:rFonts w:ascii="Times New Roman" w:hAnsi="Times New Roman" w:cs="Times New Roman"/>
          <w:sz w:val="28"/>
          <w:szCs w:val="28"/>
        </w:rPr>
        <w:t>о</w:t>
      </w:r>
      <w:r w:rsidRPr="00C62D22">
        <w:rPr>
          <w:rStyle w:val="hps"/>
          <w:rFonts w:ascii="Times New Roman" w:hAnsi="Times New Roman" w:cs="Times New Roman"/>
          <w:sz w:val="28"/>
          <w:szCs w:val="28"/>
        </w:rPr>
        <w:t>делюванні, маркером активності запалення, фіброзу й склерозу ПЗ. Гіалуронова кислота, тканинні інгібітори ММП (ТІМП</w:t>
      </w:r>
      <w:r w:rsidRPr="00C62D22">
        <w:rPr>
          <w:rFonts w:ascii="Times New Roman" w:eastAsia="TimesNewRomanPSMT" w:hAnsi="Times New Roman" w:cs="Times New Roman"/>
          <w:sz w:val="28"/>
          <w:szCs w:val="28"/>
        </w:rPr>
        <w:t>–</w:t>
      </w:r>
      <w:r w:rsidRPr="00C62D22">
        <w:rPr>
          <w:rStyle w:val="hps"/>
          <w:rFonts w:ascii="Times New Roman" w:hAnsi="Times New Roman" w:cs="Times New Roman"/>
          <w:sz w:val="28"/>
          <w:szCs w:val="28"/>
        </w:rPr>
        <w:t>1, ТІМП</w:t>
      </w:r>
      <w:r w:rsidRPr="00C62D22">
        <w:rPr>
          <w:rFonts w:ascii="Times New Roman" w:eastAsia="TimesNewRomanPSMT" w:hAnsi="Times New Roman" w:cs="Times New Roman"/>
          <w:sz w:val="28"/>
          <w:szCs w:val="28"/>
        </w:rPr>
        <w:t>–</w:t>
      </w:r>
      <w:r w:rsidRPr="00C62D22">
        <w:rPr>
          <w:rStyle w:val="hps"/>
          <w:rFonts w:ascii="Times New Roman" w:hAnsi="Times New Roman" w:cs="Times New Roman"/>
          <w:sz w:val="28"/>
          <w:szCs w:val="28"/>
        </w:rPr>
        <w:t xml:space="preserve">2), ламінін, лептин, колаген IV типу та ін. використовуються в якості показників, що відображають кількість сполучної тканини [302, 381]. </w:t>
      </w:r>
    </w:p>
    <w:p w:rsidR="0021764E" w:rsidRPr="00C62D22" w:rsidRDefault="0021764E" w:rsidP="0021764E">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Активність ферментів залежить як від рівня експресії їх генів, так і ная</w:t>
      </w:r>
      <w:r w:rsidRPr="00C62D22">
        <w:rPr>
          <w:rFonts w:ascii="Times New Roman" w:hAnsi="Times New Roman" w:cs="Times New Roman"/>
          <w:sz w:val="28"/>
          <w:szCs w:val="28"/>
        </w:rPr>
        <w:t>в</w:t>
      </w:r>
      <w:r w:rsidRPr="00C62D22">
        <w:rPr>
          <w:rFonts w:ascii="Times New Roman" w:hAnsi="Times New Roman" w:cs="Times New Roman"/>
          <w:sz w:val="28"/>
          <w:szCs w:val="28"/>
        </w:rPr>
        <w:t>ності активаторів та інгібіторів. ММП, в основному, відносяться до «індуков</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них» </w:t>
      </w:r>
      <w:r w:rsidRPr="00C62D22">
        <w:rPr>
          <w:rFonts w:ascii="Times New Roman" w:hAnsi="Times New Roman" w:cs="Times New Roman"/>
          <w:sz w:val="28"/>
          <w:szCs w:val="28"/>
        </w:rPr>
        <w:lastRenderedPageBreak/>
        <w:t>ферментів, транскрипція яких підпорядковується цілій низці чи</w:t>
      </w:r>
      <w:r w:rsidRPr="00C62D22">
        <w:rPr>
          <w:rFonts w:ascii="Times New Roman" w:hAnsi="Times New Roman" w:cs="Times New Roman"/>
          <w:sz w:val="28"/>
          <w:szCs w:val="28"/>
        </w:rPr>
        <w:t>н</w:t>
      </w:r>
      <w:r w:rsidRPr="00C62D22">
        <w:rPr>
          <w:rFonts w:ascii="Times New Roman" w:hAnsi="Times New Roman" w:cs="Times New Roman"/>
          <w:sz w:val="28"/>
          <w:szCs w:val="28"/>
        </w:rPr>
        <w:t>ників: стероїдні та тиреоїдні гормони, ЦК, фактори росту, хімічні аге</w:t>
      </w:r>
      <w:r w:rsidRPr="00C62D22">
        <w:rPr>
          <w:rFonts w:ascii="Times New Roman" w:hAnsi="Times New Roman" w:cs="Times New Roman"/>
          <w:sz w:val="28"/>
          <w:szCs w:val="28"/>
        </w:rPr>
        <w:t>н</w:t>
      </w:r>
      <w:r w:rsidRPr="00C62D22">
        <w:rPr>
          <w:rFonts w:ascii="Times New Roman" w:hAnsi="Times New Roman" w:cs="Times New Roman"/>
          <w:sz w:val="28"/>
          <w:szCs w:val="28"/>
        </w:rPr>
        <w:t>ти та ін. Виняток становить ММП</w:t>
      </w:r>
      <w:r w:rsidRPr="00C62D22">
        <w:rPr>
          <w:rFonts w:ascii="Times New Roman" w:eastAsia="TimesNewRomanPSMT" w:hAnsi="Times New Roman" w:cs="Times New Roman"/>
          <w:sz w:val="28"/>
          <w:szCs w:val="28"/>
        </w:rPr>
        <w:t>–</w:t>
      </w:r>
      <w:r w:rsidRPr="00C62D22">
        <w:rPr>
          <w:rFonts w:ascii="Times New Roman" w:hAnsi="Times New Roman" w:cs="Times New Roman"/>
          <w:sz w:val="28"/>
          <w:szCs w:val="28"/>
        </w:rPr>
        <w:t>2, експресія якого відбувається за конституціонал</w:t>
      </w:r>
      <w:r w:rsidRPr="00C62D22">
        <w:rPr>
          <w:rFonts w:ascii="Times New Roman" w:hAnsi="Times New Roman" w:cs="Times New Roman"/>
          <w:sz w:val="28"/>
          <w:szCs w:val="28"/>
        </w:rPr>
        <w:t>ь</w:t>
      </w:r>
      <w:r w:rsidRPr="00C62D22">
        <w:rPr>
          <w:rFonts w:ascii="Times New Roman" w:hAnsi="Times New Roman" w:cs="Times New Roman"/>
          <w:sz w:val="28"/>
          <w:szCs w:val="28"/>
        </w:rPr>
        <w:t>ним типом, а регуляція активності ферментів на посттрансляційному рівні зді</w:t>
      </w:r>
      <w:r w:rsidRPr="00C62D22">
        <w:rPr>
          <w:rFonts w:ascii="Times New Roman" w:hAnsi="Times New Roman" w:cs="Times New Roman"/>
          <w:sz w:val="28"/>
          <w:szCs w:val="28"/>
        </w:rPr>
        <w:t>й</w:t>
      </w:r>
      <w:r w:rsidRPr="00C62D22">
        <w:rPr>
          <w:rFonts w:ascii="Times New Roman" w:hAnsi="Times New Roman" w:cs="Times New Roman"/>
          <w:sz w:val="28"/>
          <w:szCs w:val="28"/>
        </w:rPr>
        <w:t xml:space="preserve">снюється активацією зимогенів або взаємодією з тканинними інгібіторами ММП [36, 55, 125, 178]. </w:t>
      </w:r>
    </w:p>
    <w:p w:rsidR="0021764E" w:rsidRPr="00C62D22" w:rsidRDefault="0021764E" w:rsidP="0021764E">
      <w:pPr>
        <w:shd w:val="clear" w:color="auto" w:fill="FFFFFF"/>
        <w:spacing w:after="0" w:line="360" w:lineRule="auto"/>
        <w:ind w:firstLine="540"/>
        <w:jc w:val="both"/>
        <w:textAlignment w:val="top"/>
        <w:rPr>
          <w:rStyle w:val="hps"/>
          <w:rFonts w:ascii="Times New Roman" w:hAnsi="Times New Roman" w:cs="Times New Roman"/>
          <w:sz w:val="28"/>
          <w:szCs w:val="28"/>
        </w:rPr>
      </w:pPr>
      <w:r w:rsidRPr="00C62D22">
        <w:rPr>
          <w:rStyle w:val="hps"/>
          <w:rFonts w:ascii="Times New Roman" w:hAnsi="Times New Roman" w:cs="Times New Roman"/>
          <w:sz w:val="28"/>
          <w:szCs w:val="28"/>
        </w:rPr>
        <w:t>Внесок PSCs у патологію ПЗ не обмежується надлишковою продукцією сполучної тканини, але й вони стимулюють фактори росту, а саме: TGF-β, PDGF, та ін. Крім того, сприяють посиленню утворення фіброзу в ПЗ бактері</w:t>
      </w:r>
      <w:r w:rsidRPr="00C62D22">
        <w:rPr>
          <w:rStyle w:val="hps"/>
          <w:rFonts w:ascii="Times New Roman" w:hAnsi="Times New Roman" w:cs="Times New Roman"/>
          <w:sz w:val="28"/>
          <w:szCs w:val="28"/>
        </w:rPr>
        <w:t>а</w:t>
      </w:r>
      <w:r w:rsidRPr="00C62D22">
        <w:rPr>
          <w:rStyle w:val="hps"/>
          <w:rFonts w:ascii="Times New Roman" w:hAnsi="Times New Roman" w:cs="Times New Roman"/>
          <w:sz w:val="28"/>
          <w:szCs w:val="28"/>
        </w:rPr>
        <w:t>льна інфекція й внутрішньоклітинна продукція кисневих радикалів. Проліфер</w:t>
      </w:r>
      <w:r w:rsidRPr="00C62D22">
        <w:rPr>
          <w:rStyle w:val="hps"/>
          <w:rFonts w:ascii="Times New Roman" w:hAnsi="Times New Roman" w:cs="Times New Roman"/>
          <w:sz w:val="28"/>
          <w:szCs w:val="28"/>
        </w:rPr>
        <w:t>а</w:t>
      </w:r>
      <w:r w:rsidRPr="00C62D22">
        <w:rPr>
          <w:rStyle w:val="hps"/>
          <w:rFonts w:ascii="Times New Roman" w:hAnsi="Times New Roman" w:cs="Times New Roman"/>
          <w:sz w:val="28"/>
          <w:szCs w:val="28"/>
        </w:rPr>
        <w:t xml:space="preserve">ція PSCs призводить до формування нових кровоносних судин. Ці процеси є результатом розвитку в ПЗ гіпоксії та дії вазоактивних медіаторів та ЦК: оксиду азоту та інших факторів [36, 89, 125, 309]. </w:t>
      </w:r>
    </w:p>
    <w:p w:rsidR="0021764E" w:rsidRPr="00C62D22" w:rsidRDefault="0021764E" w:rsidP="0021764E">
      <w:pPr>
        <w:shd w:val="clear" w:color="auto" w:fill="FFFFFF"/>
        <w:spacing w:after="0" w:line="360" w:lineRule="auto"/>
        <w:ind w:firstLine="540"/>
        <w:jc w:val="both"/>
        <w:textAlignment w:val="top"/>
        <w:rPr>
          <w:rStyle w:val="hps"/>
          <w:rFonts w:ascii="Times New Roman" w:hAnsi="Times New Roman" w:cs="Times New Roman"/>
          <w:sz w:val="28"/>
          <w:szCs w:val="28"/>
        </w:rPr>
      </w:pPr>
      <w:r w:rsidRPr="00C62D22">
        <w:rPr>
          <w:rStyle w:val="hps"/>
          <w:rFonts w:ascii="Times New Roman" w:hAnsi="Times New Roman" w:cs="Times New Roman"/>
          <w:sz w:val="28"/>
          <w:szCs w:val="28"/>
        </w:rPr>
        <w:t>Процес ангіогенезу є необхідним для тривалої адаптації тканин в ум</w:t>
      </w:r>
      <w:r w:rsidRPr="00C62D22">
        <w:rPr>
          <w:rStyle w:val="hps"/>
          <w:rFonts w:ascii="Times New Roman" w:hAnsi="Times New Roman" w:cs="Times New Roman"/>
          <w:sz w:val="28"/>
          <w:szCs w:val="28"/>
        </w:rPr>
        <w:t>о</w:t>
      </w:r>
      <w:r w:rsidRPr="00C62D22">
        <w:rPr>
          <w:rStyle w:val="hps"/>
          <w:rFonts w:ascii="Times New Roman" w:hAnsi="Times New Roman" w:cs="Times New Roman"/>
          <w:sz w:val="28"/>
          <w:szCs w:val="28"/>
        </w:rPr>
        <w:t>вах ушкодження, а головним механізмом регуляції процесів ангіогенезу є вивіл</w:t>
      </w:r>
      <w:r w:rsidRPr="00C62D22">
        <w:rPr>
          <w:rStyle w:val="hps"/>
          <w:rFonts w:ascii="Times New Roman" w:hAnsi="Times New Roman" w:cs="Times New Roman"/>
          <w:sz w:val="28"/>
          <w:szCs w:val="28"/>
        </w:rPr>
        <w:t>ь</w:t>
      </w:r>
      <w:r w:rsidRPr="00C62D22">
        <w:rPr>
          <w:rStyle w:val="hps"/>
          <w:rFonts w:ascii="Times New Roman" w:hAnsi="Times New Roman" w:cs="Times New Roman"/>
          <w:sz w:val="28"/>
          <w:szCs w:val="28"/>
        </w:rPr>
        <w:t>нення ангіогенних факторів, джерелами яких є ендотеліальні й гладкі клітини, макрофаги та ін. Під дією ангіогенних факторів відбувається активація прол</w:t>
      </w:r>
      <w:r w:rsidRPr="00C62D22">
        <w:rPr>
          <w:rStyle w:val="hps"/>
          <w:rFonts w:ascii="Times New Roman" w:hAnsi="Times New Roman" w:cs="Times New Roman"/>
          <w:sz w:val="28"/>
          <w:szCs w:val="28"/>
        </w:rPr>
        <w:t>і</w:t>
      </w:r>
      <w:r w:rsidRPr="00C62D22">
        <w:rPr>
          <w:rStyle w:val="hps"/>
          <w:rFonts w:ascii="Times New Roman" w:hAnsi="Times New Roman" w:cs="Times New Roman"/>
          <w:sz w:val="28"/>
          <w:szCs w:val="28"/>
        </w:rPr>
        <w:t>ферації ендотеліоцитів (переважно в посткапілярних венулах), яка завершуєт</w:t>
      </w:r>
      <w:r w:rsidRPr="00C62D22">
        <w:rPr>
          <w:rStyle w:val="hps"/>
          <w:rFonts w:ascii="Times New Roman" w:hAnsi="Times New Roman" w:cs="Times New Roman"/>
          <w:sz w:val="28"/>
          <w:szCs w:val="28"/>
        </w:rPr>
        <w:t>ь</w:t>
      </w:r>
      <w:r w:rsidRPr="00C62D22">
        <w:rPr>
          <w:rStyle w:val="hps"/>
          <w:rFonts w:ascii="Times New Roman" w:hAnsi="Times New Roman" w:cs="Times New Roman"/>
          <w:sz w:val="28"/>
          <w:szCs w:val="28"/>
        </w:rPr>
        <w:t>ся ремоделюванням судин, після чого знову сформована судина набуває стаб</w:t>
      </w:r>
      <w:r w:rsidRPr="00C62D22">
        <w:rPr>
          <w:rStyle w:val="hps"/>
          <w:rFonts w:ascii="Times New Roman" w:hAnsi="Times New Roman" w:cs="Times New Roman"/>
          <w:sz w:val="28"/>
          <w:szCs w:val="28"/>
        </w:rPr>
        <w:t>і</w:t>
      </w:r>
      <w:r w:rsidRPr="00C62D22">
        <w:rPr>
          <w:rStyle w:val="hps"/>
          <w:rFonts w:ascii="Times New Roman" w:hAnsi="Times New Roman" w:cs="Times New Roman"/>
          <w:sz w:val="28"/>
          <w:szCs w:val="28"/>
        </w:rPr>
        <w:t>льний стан. Передбачається, що в механізмі міграції ендотеліоцитів велике значення відіграє активація експресії ендотеліальних молекул адгезії, напр</w:t>
      </w:r>
      <w:r w:rsidRPr="00C62D22">
        <w:rPr>
          <w:rStyle w:val="hps"/>
          <w:rFonts w:ascii="Times New Roman" w:hAnsi="Times New Roman" w:cs="Times New Roman"/>
          <w:sz w:val="28"/>
          <w:szCs w:val="28"/>
        </w:rPr>
        <w:t>и</w:t>
      </w:r>
      <w:r w:rsidRPr="00C62D22">
        <w:rPr>
          <w:rStyle w:val="hps"/>
          <w:rFonts w:ascii="Times New Roman" w:hAnsi="Times New Roman" w:cs="Times New Roman"/>
          <w:sz w:val="28"/>
          <w:szCs w:val="28"/>
        </w:rPr>
        <w:t>клад, Є-селектину [307, 397].</w:t>
      </w:r>
    </w:p>
    <w:p w:rsidR="0021764E" w:rsidRPr="00C62D22" w:rsidRDefault="0021764E" w:rsidP="0021764E">
      <w:pPr>
        <w:shd w:val="clear" w:color="auto" w:fill="FFFFFF"/>
        <w:spacing w:after="0" w:line="360" w:lineRule="auto"/>
        <w:ind w:firstLine="540"/>
        <w:jc w:val="both"/>
        <w:textAlignment w:val="top"/>
        <w:rPr>
          <w:rFonts w:ascii="Times New Roman" w:hAnsi="Times New Roman" w:cs="Times New Roman"/>
          <w:sz w:val="28"/>
          <w:szCs w:val="28"/>
        </w:rPr>
      </w:pPr>
      <w:r w:rsidRPr="00C62D22">
        <w:rPr>
          <w:rFonts w:ascii="Times New Roman" w:hAnsi="Times New Roman" w:cs="Times New Roman"/>
          <w:sz w:val="28"/>
          <w:szCs w:val="28"/>
        </w:rPr>
        <w:t>У стабільному стані ендотеліоцити не здатні до проліферації та лише зрі</w:t>
      </w:r>
      <w:r w:rsidRPr="00C62D22">
        <w:rPr>
          <w:rFonts w:ascii="Times New Roman" w:hAnsi="Times New Roman" w:cs="Times New Roman"/>
          <w:sz w:val="28"/>
          <w:szCs w:val="28"/>
        </w:rPr>
        <w:t>д</w:t>
      </w:r>
      <w:r w:rsidRPr="00C62D22">
        <w:rPr>
          <w:rFonts w:ascii="Times New Roman" w:hAnsi="Times New Roman" w:cs="Times New Roman"/>
          <w:sz w:val="28"/>
          <w:szCs w:val="28"/>
        </w:rPr>
        <w:t>ка (1 раз в 7-10 років) діляться.</w:t>
      </w:r>
    </w:p>
    <w:p w:rsidR="0021764E" w:rsidRPr="00C62D22" w:rsidRDefault="0021764E" w:rsidP="0021764E">
      <w:pPr>
        <w:shd w:val="clear" w:color="auto" w:fill="FFFFFF"/>
        <w:spacing w:after="0" w:line="360" w:lineRule="auto"/>
        <w:ind w:firstLine="540"/>
        <w:jc w:val="both"/>
        <w:textAlignment w:val="top"/>
        <w:rPr>
          <w:rFonts w:ascii="Times New Roman" w:hAnsi="Times New Roman" w:cs="Times New Roman"/>
          <w:sz w:val="28"/>
          <w:szCs w:val="28"/>
        </w:rPr>
      </w:pPr>
      <w:r w:rsidRPr="00C62D22">
        <w:rPr>
          <w:rFonts w:ascii="Times New Roman" w:hAnsi="Times New Roman" w:cs="Times New Roman"/>
          <w:sz w:val="28"/>
          <w:szCs w:val="28"/>
        </w:rPr>
        <w:t>Ангіогенез може бути індукований процесами підвищення концентрації стимуляторів і зниженням умісту інгібіторів, або комбінацією того й і</w:t>
      </w:r>
      <w:r w:rsidRPr="00C62D22">
        <w:rPr>
          <w:rFonts w:ascii="Times New Roman" w:hAnsi="Times New Roman" w:cs="Times New Roman"/>
          <w:sz w:val="28"/>
          <w:szCs w:val="28"/>
        </w:rPr>
        <w:t>н</w:t>
      </w:r>
      <w:r w:rsidRPr="00C62D22">
        <w:rPr>
          <w:rFonts w:ascii="Times New Roman" w:hAnsi="Times New Roman" w:cs="Times New Roman"/>
          <w:sz w:val="28"/>
          <w:szCs w:val="28"/>
        </w:rPr>
        <w:t>шого процесів. Таким чином, суть процесів ангіогенезу полягає в тому, що після розширення судин і підвищення їх проникності, відбувається здавлювання ендотеліальних клітин і зменшення щільності міжклітинних контактів. У результаті баз</w:t>
      </w:r>
      <w:r w:rsidRPr="00C62D22">
        <w:rPr>
          <w:rFonts w:ascii="Times New Roman" w:hAnsi="Times New Roman" w:cs="Times New Roman"/>
          <w:sz w:val="28"/>
          <w:szCs w:val="28"/>
        </w:rPr>
        <w:t>а</w:t>
      </w:r>
      <w:r w:rsidRPr="00C62D22">
        <w:rPr>
          <w:rFonts w:ascii="Times New Roman" w:hAnsi="Times New Roman" w:cs="Times New Roman"/>
          <w:sz w:val="28"/>
          <w:szCs w:val="28"/>
        </w:rPr>
        <w:t>льна мембрана руйнується деякими протеазами, включаючи ММП. Потім пул ендотеліальних клітин через зруйновану базальну мембрану мігрує в пар</w:t>
      </w:r>
      <w:r w:rsidRPr="00C62D22">
        <w:rPr>
          <w:rFonts w:ascii="Times New Roman" w:hAnsi="Times New Roman" w:cs="Times New Roman"/>
          <w:sz w:val="28"/>
          <w:szCs w:val="28"/>
        </w:rPr>
        <w:t>е</w:t>
      </w:r>
      <w:r w:rsidRPr="00C62D22">
        <w:rPr>
          <w:rFonts w:ascii="Times New Roman" w:hAnsi="Times New Roman" w:cs="Times New Roman"/>
          <w:sz w:val="28"/>
          <w:szCs w:val="28"/>
        </w:rPr>
        <w:t xml:space="preserve">нхіму під </w:t>
      </w:r>
      <w:r w:rsidRPr="00C62D22">
        <w:rPr>
          <w:rFonts w:ascii="Times New Roman" w:hAnsi="Times New Roman" w:cs="Times New Roman"/>
          <w:sz w:val="28"/>
          <w:szCs w:val="28"/>
        </w:rPr>
        <w:lastRenderedPageBreak/>
        <w:t>дією ангіогенних факторів, у результаті чого формуються нові незрілі кап</w:t>
      </w:r>
      <w:r w:rsidRPr="00C62D22">
        <w:rPr>
          <w:rFonts w:ascii="Times New Roman" w:hAnsi="Times New Roman" w:cs="Times New Roman"/>
          <w:sz w:val="28"/>
          <w:szCs w:val="28"/>
        </w:rPr>
        <w:t>і</w:t>
      </w:r>
      <w:r w:rsidRPr="00C62D22">
        <w:rPr>
          <w:rFonts w:ascii="Times New Roman" w:hAnsi="Times New Roman" w:cs="Times New Roman"/>
          <w:sz w:val="28"/>
          <w:szCs w:val="28"/>
        </w:rPr>
        <w:t>лярні петлі. У свою чергу прогресуючий панкреатичний фіброз може підвищ</w:t>
      </w:r>
      <w:r w:rsidRPr="00C62D22">
        <w:rPr>
          <w:rFonts w:ascii="Times New Roman" w:hAnsi="Times New Roman" w:cs="Times New Roman"/>
          <w:sz w:val="28"/>
          <w:szCs w:val="28"/>
        </w:rPr>
        <w:t>у</w:t>
      </w:r>
      <w:r w:rsidRPr="00C62D22">
        <w:rPr>
          <w:rFonts w:ascii="Times New Roman" w:hAnsi="Times New Roman" w:cs="Times New Roman"/>
          <w:sz w:val="28"/>
          <w:szCs w:val="28"/>
        </w:rPr>
        <w:t>вати резистентність ендотелію інтрапаренхімато</w:t>
      </w:r>
      <w:r w:rsidRPr="00C62D22">
        <w:rPr>
          <w:rFonts w:ascii="Times New Roman" w:hAnsi="Times New Roman" w:cs="Times New Roman"/>
          <w:sz w:val="28"/>
          <w:szCs w:val="28"/>
        </w:rPr>
        <w:t>з</w:t>
      </w:r>
      <w:r w:rsidRPr="00C62D22">
        <w:rPr>
          <w:rFonts w:ascii="Times New Roman" w:hAnsi="Times New Roman" w:cs="Times New Roman"/>
          <w:sz w:val="28"/>
          <w:szCs w:val="28"/>
        </w:rPr>
        <w:t>них судин ПЗ, що ще більше посилює порушення її функціональних можливостей і сприяє прогрес</w:t>
      </w:r>
      <w:r w:rsidRPr="00C62D22">
        <w:rPr>
          <w:rFonts w:ascii="Times New Roman" w:hAnsi="Times New Roman" w:cs="Times New Roman"/>
          <w:sz w:val="28"/>
          <w:szCs w:val="28"/>
        </w:rPr>
        <w:t>у</w:t>
      </w:r>
      <w:r w:rsidRPr="00C62D22">
        <w:rPr>
          <w:rFonts w:ascii="Times New Roman" w:hAnsi="Times New Roman" w:cs="Times New Roman"/>
          <w:sz w:val="28"/>
          <w:szCs w:val="28"/>
        </w:rPr>
        <w:t>ванню фіброзу [311, 352, 432].</w:t>
      </w:r>
    </w:p>
    <w:p w:rsidR="0021764E" w:rsidRPr="00C62D22" w:rsidRDefault="0021764E" w:rsidP="0021764E">
      <w:pPr>
        <w:shd w:val="clear" w:color="auto" w:fill="FFFFFF"/>
        <w:spacing w:after="0" w:line="360" w:lineRule="auto"/>
        <w:ind w:firstLine="540"/>
        <w:jc w:val="both"/>
        <w:textAlignment w:val="top"/>
        <w:rPr>
          <w:rFonts w:ascii="Times New Roman" w:hAnsi="Times New Roman" w:cs="Times New Roman"/>
          <w:sz w:val="28"/>
          <w:szCs w:val="28"/>
        </w:rPr>
      </w:pPr>
      <w:r w:rsidRPr="00C62D22">
        <w:rPr>
          <w:rFonts w:ascii="Times New Roman" w:hAnsi="Times New Roman" w:cs="Times New Roman"/>
          <w:sz w:val="28"/>
          <w:szCs w:val="28"/>
        </w:rPr>
        <w:t>Паренхіматозний фіброз, прогресуючий при ХП, призводить до підвищення тиску в паренхімі ПЗ, що, зрештою, призводить до зниження екзокринної та ендокринної функцій органа, а обструкція протоків другого й третього поря</w:t>
      </w:r>
      <w:r w:rsidRPr="00C62D22">
        <w:rPr>
          <w:rFonts w:ascii="Times New Roman" w:hAnsi="Times New Roman" w:cs="Times New Roman"/>
          <w:sz w:val="28"/>
          <w:szCs w:val="28"/>
        </w:rPr>
        <w:t>д</w:t>
      </w:r>
      <w:r w:rsidRPr="00C62D22">
        <w:rPr>
          <w:rFonts w:ascii="Times New Roman" w:hAnsi="Times New Roman" w:cs="Times New Roman"/>
          <w:sz w:val="28"/>
          <w:szCs w:val="28"/>
        </w:rPr>
        <w:t>ку – до зниження числа функціонуючих ацинарних клітин. При патологічних пр</w:t>
      </w:r>
      <w:r w:rsidRPr="00C62D22">
        <w:rPr>
          <w:rFonts w:ascii="Times New Roman" w:hAnsi="Times New Roman" w:cs="Times New Roman"/>
          <w:sz w:val="28"/>
          <w:szCs w:val="28"/>
        </w:rPr>
        <w:t>о</w:t>
      </w:r>
      <w:r w:rsidRPr="00C62D22">
        <w:rPr>
          <w:rFonts w:ascii="Times New Roman" w:hAnsi="Times New Roman" w:cs="Times New Roman"/>
          <w:sz w:val="28"/>
          <w:szCs w:val="28"/>
        </w:rPr>
        <w:t>цесах ангіогенез посилюється, що може впливати на процеси в ЕЦМ [22, 36, 89, 118, 311, 432].</w:t>
      </w:r>
    </w:p>
    <w:p w:rsidR="0021764E" w:rsidRPr="00C62D22" w:rsidRDefault="0021764E" w:rsidP="0021764E">
      <w:pPr>
        <w:autoSpaceDE w:val="0"/>
        <w:autoSpaceDN w:val="0"/>
        <w:adjustRightInd w:val="0"/>
        <w:spacing w:after="0" w:line="360" w:lineRule="auto"/>
        <w:ind w:firstLine="540"/>
        <w:jc w:val="both"/>
        <w:rPr>
          <w:rFonts w:ascii="Times New Roman" w:eastAsia="TimesNewRoman" w:hAnsi="Times New Roman" w:cs="Times New Roman"/>
          <w:sz w:val="28"/>
          <w:szCs w:val="28"/>
        </w:rPr>
      </w:pPr>
      <w:r w:rsidRPr="00C62D22">
        <w:rPr>
          <w:rFonts w:ascii="Times New Roman" w:eastAsia="TimesNewRoman" w:hAnsi="Times New Roman" w:cs="Times New Roman"/>
          <w:sz w:val="28"/>
          <w:szCs w:val="28"/>
        </w:rPr>
        <w:t>У процесі формування та прогресуючого перебігу ПК ПЗ можливе вини</w:t>
      </w:r>
      <w:r w:rsidRPr="00C62D22">
        <w:rPr>
          <w:rFonts w:ascii="Times New Roman" w:eastAsia="TimesNewRoman" w:hAnsi="Times New Roman" w:cs="Times New Roman"/>
          <w:sz w:val="28"/>
          <w:szCs w:val="28"/>
        </w:rPr>
        <w:t>к</w:t>
      </w:r>
      <w:r w:rsidRPr="00C62D22">
        <w:rPr>
          <w:rFonts w:ascii="Times New Roman" w:eastAsia="TimesNewRoman" w:hAnsi="Times New Roman" w:cs="Times New Roman"/>
          <w:sz w:val="28"/>
          <w:szCs w:val="28"/>
        </w:rPr>
        <w:t>нення ускладнень: нагноєння, перфорація в черевну порожнину або в поро</w:t>
      </w:r>
      <w:r w:rsidRPr="00C62D22">
        <w:rPr>
          <w:rFonts w:ascii="Times New Roman" w:eastAsia="TimesNewRoman" w:hAnsi="Times New Roman" w:cs="Times New Roman"/>
          <w:sz w:val="28"/>
          <w:szCs w:val="28"/>
        </w:rPr>
        <w:t>ж</w:t>
      </w:r>
      <w:r w:rsidRPr="00C62D22">
        <w:rPr>
          <w:rFonts w:ascii="Times New Roman" w:eastAsia="TimesNewRoman" w:hAnsi="Times New Roman" w:cs="Times New Roman"/>
          <w:sz w:val="28"/>
          <w:szCs w:val="28"/>
        </w:rPr>
        <w:t>нинні органи з наступним формуванням внутрішніх та зовнішніх нориць [56</w:t>
      </w:r>
      <w:r w:rsidRPr="00C62D22">
        <w:rPr>
          <w:rFonts w:ascii="Times New Roman" w:hAnsi="Times New Roman" w:cs="Times New Roman"/>
          <w:sz w:val="28"/>
          <w:szCs w:val="28"/>
        </w:rPr>
        <w:t>, 140, 204, 337, 349</w:t>
      </w:r>
      <w:r w:rsidRPr="00C62D22">
        <w:rPr>
          <w:rFonts w:ascii="Times New Roman" w:eastAsia="TimesNewRoman" w:hAnsi="Times New Roman" w:cs="Times New Roman"/>
          <w:sz w:val="28"/>
          <w:szCs w:val="28"/>
        </w:rPr>
        <w:t xml:space="preserve">], арозивна кровотеча в порожнину ПК </w:t>
      </w:r>
      <w:r w:rsidRPr="00C62D22">
        <w:rPr>
          <w:rFonts w:ascii="Times New Roman" w:hAnsi="Times New Roman" w:cs="Times New Roman"/>
          <w:sz w:val="28"/>
          <w:szCs w:val="28"/>
        </w:rPr>
        <w:t>[49, 119, 191, 233, 272, 274, 351, 359]</w:t>
      </w:r>
      <w:r w:rsidRPr="00C62D22">
        <w:rPr>
          <w:rFonts w:ascii="Times New Roman" w:eastAsia="TimesNewRoman" w:hAnsi="Times New Roman" w:cs="Times New Roman"/>
          <w:sz w:val="28"/>
          <w:szCs w:val="28"/>
        </w:rPr>
        <w:t xml:space="preserve">, </w:t>
      </w:r>
      <w:r w:rsidRPr="00C62D22">
        <w:rPr>
          <w:rFonts w:ascii="Times New Roman" w:hAnsi="Times New Roman" w:cs="Times New Roman"/>
          <w:sz w:val="28"/>
          <w:szCs w:val="28"/>
        </w:rPr>
        <w:t>у вільну черевну порожнину [1] та в просвіт ТК [262]</w:t>
      </w:r>
      <w:r w:rsidRPr="00C62D22">
        <w:rPr>
          <w:rFonts w:ascii="Times New Roman" w:eastAsia="TimesNewRoman" w:hAnsi="Times New Roman" w:cs="Times New Roman"/>
          <w:sz w:val="28"/>
          <w:szCs w:val="28"/>
        </w:rPr>
        <w:t xml:space="preserve">, малігнізація кісти [326, 329, 334, 335, 365, 391, 396], </w:t>
      </w:r>
      <w:r w:rsidRPr="00C62D22">
        <w:rPr>
          <w:rFonts w:ascii="Times New Roman" w:hAnsi="Times New Roman" w:cs="Times New Roman"/>
          <w:sz w:val="28"/>
          <w:szCs w:val="28"/>
        </w:rPr>
        <w:t>перфорація та розрив ПК [425, 426], нагноєння ПК [43, 108, 117, 126, 130, 172, 181, 293], здавлювання ЗЖП та МЖ [4, 44, 60, 62, 128, 244], вторинна портальна гіпертензія [50], непрохідність ТК за рахунок компресії шлунка чи ДПК збільшеною ПЗ [26, 127, 144, 160, 209, 231]</w:t>
      </w:r>
      <w:r w:rsidRPr="00C62D22">
        <w:rPr>
          <w:rFonts w:ascii="Times New Roman" w:eastAsia="TimesNewRoman" w:hAnsi="Times New Roman" w:cs="Times New Roman"/>
          <w:sz w:val="28"/>
          <w:szCs w:val="28"/>
        </w:rPr>
        <w:t>, плевролегеневі ускладнення [92, 190, 361], цукровий діабет (ЦД) [148] та екзокринна недостатність [417, 419].</w:t>
      </w:r>
    </w:p>
    <w:p w:rsidR="0021764E" w:rsidRPr="00C62D22" w:rsidRDefault="0021764E" w:rsidP="0021764E">
      <w:pPr>
        <w:widowControl w:val="0"/>
        <w:autoSpaceDE w:val="0"/>
        <w:autoSpaceDN w:val="0"/>
        <w:adjustRightInd w:val="0"/>
        <w:spacing w:after="0" w:line="360" w:lineRule="auto"/>
        <w:ind w:firstLine="540"/>
        <w:jc w:val="both"/>
        <w:rPr>
          <w:rFonts w:ascii="Times New Roman" w:hAnsi="Times New Roman" w:cs="Times New Roman"/>
          <w:spacing w:val="-6"/>
          <w:sz w:val="28"/>
          <w:szCs w:val="28"/>
        </w:rPr>
      </w:pPr>
      <w:r w:rsidRPr="00C62D22">
        <w:rPr>
          <w:rFonts w:ascii="Times New Roman" w:hAnsi="Times New Roman" w:cs="Times New Roman"/>
          <w:spacing w:val="-6"/>
          <w:sz w:val="28"/>
          <w:szCs w:val="28"/>
        </w:rPr>
        <w:t>Найчастішим ускладненням ПК ПЗ є нагноєння, яке зустрічається у 20</w:t>
      </w:r>
      <w:r w:rsidRPr="00C62D22">
        <w:rPr>
          <w:rFonts w:ascii="Times New Roman" w:hAnsi="Times New Roman" w:cs="Times New Roman"/>
          <w:sz w:val="28"/>
          <w:szCs w:val="28"/>
        </w:rPr>
        <w:t>–</w:t>
      </w:r>
      <w:r w:rsidRPr="00C62D22">
        <w:rPr>
          <w:rFonts w:ascii="Times New Roman" w:hAnsi="Times New Roman" w:cs="Times New Roman"/>
          <w:spacing w:val="-6"/>
          <w:sz w:val="28"/>
          <w:szCs w:val="28"/>
        </w:rPr>
        <w:t>79,5% хворих та супроводжується летальністю у 28</w:t>
      </w:r>
      <w:r w:rsidRPr="00C62D22">
        <w:rPr>
          <w:rFonts w:ascii="Times New Roman" w:hAnsi="Times New Roman" w:cs="Times New Roman"/>
          <w:sz w:val="28"/>
          <w:szCs w:val="28"/>
        </w:rPr>
        <w:t>–</w:t>
      </w:r>
      <w:r w:rsidRPr="00C62D22">
        <w:rPr>
          <w:rFonts w:ascii="Times New Roman" w:hAnsi="Times New Roman" w:cs="Times New Roman"/>
          <w:spacing w:val="-6"/>
          <w:sz w:val="28"/>
          <w:szCs w:val="28"/>
        </w:rPr>
        <w:t>35% випадків (у віддалені терміни після нападу) та в 50</w:t>
      </w:r>
      <w:r w:rsidRPr="00C62D22">
        <w:rPr>
          <w:rFonts w:ascii="Times New Roman" w:hAnsi="Times New Roman" w:cs="Times New Roman"/>
          <w:sz w:val="28"/>
          <w:szCs w:val="28"/>
        </w:rPr>
        <w:t>–</w:t>
      </w:r>
      <w:r w:rsidRPr="00C62D22">
        <w:rPr>
          <w:rFonts w:ascii="Times New Roman" w:hAnsi="Times New Roman" w:cs="Times New Roman"/>
          <w:spacing w:val="-6"/>
          <w:sz w:val="28"/>
          <w:szCs w:val="28"/>
        </w:rPr>
        <w:t>67% (у гострий період захворювання) [</w:t>
      </w:r>
      <w:r w:rsidRPr="00C62D22">
        <w:rPr>
          <w:rFonts w:ascii="Times New Roman" w:hAnsi="Times New Roman" w:cs="Times New Roman"/>
          <w:sz w:val="28"/>
          <w:szCs w:val="28"/>
        </w:rPr>
        <w:t>32, 38, 108, 130, 172, 254</w:t>
      </w:r>
      <w:r w:rsidRPr="00C62D22">
        <w:rPr>
          <w:rFonts w:ascii="Times New Roman" w:hAnsi="Times New Roman" w:cs="Times New Roman"/>
          <w:spacing w:val="-6"/>
          <w:sz w:val="28"/>
          <w:szCs w:val="28"/>
        </w:rPr>
        <w:t>]. Інфекція потрапляє до порожнини ПК шляхом транслокації бактерій із ТК чи жовчовивідних шл</w:t>
      </w:r>
      <w:r w:rsidRPr="00C62D22">
        <w:rPr>
          <w:rFonts w:ascii="Times New Roman" w:hAnsi="Times New Roman" w:cs="Times New Roman"/>
          <w:spacing w:val="-6"/>
          <w:sz w:val="28"/>
          <w:szCs w:val="28"/>
        </w:rPr>
        <w:t>я</w:t>
      </w:r>
      <w:r w:rsidRPr="00C62D22">
        <w:rPr>
          <w:rFonts w:ascii="Times New Roman" w:hAnsi="Times New Roman" w:cs="Times New Roman"/>
          <w:spacing w:val="-6"/>
          <w:sz w:val="28"/>
          <w:szCs w:val="28"/>
        </w:rPr>
        <w:t>хів, а також після безпосередніх втручань на самій ПЗ [88].</w:t>
      </w:r>
    </w:p>
    <w:p w:rsidR="0021764E" w:rsidRPr="00C62D22" w:rsidRDefault="0021764E" w:rsidP="0021764E">
      <w:pPr>
        <w:widowControl w:val="0"/>
        <w:autoSpaceDE w:val="0"/>
        <w:autoSpaceDN w:val="0"/>
        <w:adjustRightInd w:val="0"/>
        <w:spacing w:after="0" w:line="360" w:lineRule="auto"/>
        <w:ind w:firstLine="540"/>
        <w:jc w:val="both"/>
        <w:rPr>
          <w:rFonts w:ascii="Times New Roman" w:hAnsi="Times New Roman" w:cs="Times New Roman"/>
          <w:spacing w:val="-6"/>
          <w:sz w:val="28"/>
          <w:szCs w:val="28"/>
        </w:rPr>
      </w:pPr>
      <w:r w:rsidRPr="00C62D22">
        <w:rPr>
          <w:rFonts w:ascii="Times New Roman" w:hAnsi="Times New Roman" w:cs="Times New Roman"/>
          <w:sz w:val="28"/>
          <w:szCs w:val="28"/>
        </w:rPr>
        <w:t>Іншим достатньо розповсюдженим ускладненням ПК (у 20% спостер</w:t>
      </w:r>
      <w:r w:rsidRPr="00C62D22">
        <w:rPr>
          <w:rFonts w:ascii="Times New Roman" w:hAnsi="Times New Roman" w:cs="Times New Roman"/>
          <w:sz w:val="28"/>
          <w:szCs w:val="28"/>
        </w:rPr>
        <w:t>е</w:t>
      </w:r>
      <w:r w:rsidRPr="00C62D22">
        <w:rPr>
          <w:rFonts w:ascii="Times New Roman" w:hAnsi="Times New Roman" w:cs="Times New Roman"/>
          <w:sz w:val="28"/>
          <w:szCs w:val="28"/>
        </w:rPr>
        <w:t>жень) з високою летальністю (27–50%) є перфорація у суміжні органи та у вільну черевну порожнину [425, 426]. Причинами перфорації є ферментативні процеси та суди</w:t>
      </w:r>
      <w:r w:rsidRPr="00C62D22">
        <w:rPr>
          <w:rFonts w:ascii="Times New Roman" w:hAnsi="Times New Roman" w:cs="Times New Roman"/>
          <w:sz w:val="28"/>
          <w:szCs w:val="28"/>
        </w:rPr>
        <w:t>н</w:t>
      </w:r>
      <w:r w:rsidRPr="00C62D22">
        <w:rPr>
          <w:rFonts w:ascii="Times New Roman" w:hAnsi="Times New Roman" w:cs="Times New Roman"/>
          <w:sz w:val="28"/>
          <w:szCs w:val="28"/>
        </w:rPr>
        <w:t xml:space="preserve">ні порушення, які викликають некроз стінки ПК, травми ПЗ, а також різке підвищення </w:t>
      </w:r>
      <w:r w:rsidRPr="00C62D22">
        <w:rPr>
          <w:rFonts w:ascii="Times New Roman" w:hAnsi="Times New Roman" w:cs="Times New Roman"/>
          <w:sz w:val="28"/>
          <w:szCs w:val="28"/>
        </w:rPr>
        <w:lastRenderedPageBreak/>
        <w:t>вну</w:t>
      </w:r>
      <w:r w:rsidRPr="00C62D22">
        <w:rPr>
          <w:rFonts w:ascii="Times New Roman" w:hAnsi="Times New Roman" w:cs="Times New Roman"/>
          <w:sz w:val="28"/>
          <w:szCs w:val="28"/>
        </w:rPr>
        <w:t>т</w:t>
      </w:r>
      <w:r w:rsidRPr="00C62D22">
        <w:rPr>
          <w:rFonts w:ascii="Times New Roman" w:hAnsi="Times New Roman" w:cs="Times New Roman"/>
          <w:sz w:val="28"/>
          <w:szCs w:val="28"/>
        </w:rPr>
        <w:t xml:space="preserve">рішньочеревного тиску. </w:t>
      </w:r>
    </w:p>
    <w:p w:rsidR="0021764E" w:rsidRPr="00C62D22" w:rsidRDefault="0021764E" w:rsidP="0021764E">
      <w:pPr>
        <w:autoSpaceDE w:val="0"/>
        <w:autoSpaceDN w:val="0"/>
        <w:adjustRightInd w:val="0"/>
        <w:spacing w:after="0" w:line="360" w:lineRule="auto"/>
        <w:ind w:firstLine="540"/>
        <w:jc w:val="both"/>
        <w:rPr>
          <w:rFonts w:ascii="Times New Roman" w:eastAsia="TimesNewRomanPSMT" w:hAnsi="Times New Roman" w:cs="Times New Roman"/>
          <w:sz w:val="28"/>
          <w:szCs w:val="28"/>
        </w:rPr>
      </w:pPr>
      <w:r w:rsidRPr="00C62D22">
        <w:rPr>
          <w:rFonts w:ascii="Times New Roman" w:eastAsia="Times-Roman" w:hAnsi="Times New Roman" w:cs="Times New Roman"/>
          <w:sz w:val="28"/>
          <w:szCs w:val="28"/>
          <w:lang w:bidi="or-IN"/>
        </w:rPr>
        <w:t>Кровотечі в порожнини ПК є грізним ускладненням з летальністю 25% [</w:t>
      </w:r>
      <w:r w:rsidRPr="00C62D22">
        <w:rPr>
          <w:rFonts w:ascii="Times New Roman" w:hAnsi="Times New Roman" w:cs="Times New Roman"/>
          <w:sz w:val="28"/>
          <w:szCs w:val="28"/>
        </w:rPr>
        <w:t>20, 35, 72, 96, 119, 272, 351, 359</w:t>
      </w:r>
      <w:r w:rsidRPr="00C62D22">
        <w:rPr>
          <w:rFonts w:ascii="Times New Roman" w:eastAsia="Times-Roman" w:hAnsi="Times New Roman" w:cs="Times New Roman"/>
          <w:sz w:val="28"/>
          <w:szCs w:val="28"/>
          <w:lang w:bidi="or-IN"/>
        </w:rPr>
        <w:t>]. Джерелом геморагії частіше за все є селезінкова, рідше гастрод</w:t>
      </w:r>
      <w:r w:rsidRPr="00C62D22">
        <w:rPr>
          <w:rFonts w:ascii="Times New Roman" w:eastAsia="Times-Roman" w:hAnsi="Times New Roman" w:cs="Times New Roman"/>
          <w:sz w:val="28"/>
          <w:szCs w:val="28"/>
          <w:lang w:bidi="or-IN"/>
        </w:rPr>
        <w:t>у</w:t>
      </w:r>
      <w:r w:rsidRPr="00C62D22">
        <w:rPr>
          <w:rFonts w:ascii="Times New Roman" w:eastAsia="Times-Roman" w:hAnsi="Times New Roman" w:cs="Times New Roman"/>
          <w:sz w:val="28"/>
          <w:szCs w:val="28"/>
          <w:lang w:bidi="or-IN"/>
        </w:rPr>
        <w:t>оденальна чи панкреатодуоденальна артерії, а також судини портальної венозної си</w:t>
      </w:r>
      <w:r w:rsidRPr="00C62D22">
        <w:rPr>
          <w:rFonts w:ascii="Times New Roman" w:eastAsia="Times-Roman" w:hAnsi="Times New Roman" w:cs="Times New Roman"/>
          <w:sz w:val="28"/>
          <w:szCs w:val="28"/>
          <w:lang w:bidi="or-IN"/>
        </w:rPr>
        <w:t>с</w:t>
      </w:r>
      <w:r w:rsidRPr="00C62D22">
        <w:rPr>
          <w:rFonts w:ascii="Times New Roman" w:eastAsia="Times-Roman" w:hAnsi="Times New Roman" w:cs="Times New Roman"/>
          <w:sz w:val="28"/>
          <w:szCs w:val="28"/>
          <w:lang w:bidi="or-IN"/>
        </w:rPr>
        <w:t>теми. Це ускладнення виникає на пізніх стадіях формування ПК та часто є наслідком розриву псевдоаневризми артерії. Кровотечі при посттравматичн</w:t>
      </w:r>
      <w:r w:rsidRPr="00C62D22">
        <w:rPr>
          <w:rFonts w:ascii="Times New Roman" w:eastAsia="Times-Roman" w:hAnsi="Times New Roman" w:cs="Times New Roman"/>
          <w:sz w:val="28"/>
          <w:szCs w:val="28"/>
          <w:lang w:bidi="or-IN"/>
        </w:rPr>
        <w:t>о</w:t>
      </w:r>
      <w:r w:rsidRPr="00C62D22">
        <w:rPr>
          <w:rFonts w:ascii="Times New Roman" w:eastAsia="Times-Roman" w:hAnsi="Times New Roman" w:cs="Times New Roman"/>
          <w:sz w:val="28"/>
          <w:szCs w:val="28"/>
          <w:lang w:bidi="or-IN"/>
        </w:rPr>
        <w:t xml:space="preserve">му ГП зумовлені арозією </w:t>
      </w:r>
      <w:r w:rsidRPr="00C62D22">
        <w:rPr>
          <w:rFonts w:ascii="Times New Roman" w:eastAsia="TimesNewRomanPSMT" w:hAnsi="Times New Roman" w:cs="Times New Roman"/>
          <w:sz w:val="28"/>
          <w:szCs w:val="28"/>
        </w:rPr>
        <w:t>великих судин парапанкреатичної ділянки, унасл</w:t>
      </w:r>
      <w:r w:rsidRPr="00C62D22">
        <w:rPr>
          <w:rFonts w:ascii="Times New Roman" w:eastAsia="TimesNewRomanPSMT" w:hAnsi="Times New Roman" w:cs="Times New Roman"/>
          <w:sz w:val="28"/>
          <w:szCs w:val="28"/>
        </w:rPr>
        <w:t>і</w:t>
      </w:r>
      <w:r w:rsidRPr="00C62D22">
        <w:rPr>
          <w:rFonts w:ascii="Times New Roman" w:eastAsia="TimesNewRomanPSMT" w:hAnsi="Times New Roman" w:cs="Times New Roman"/>
          <w:sz w:val="28"/>
          <w:szCs w:val="28"/>
        </w:rPr>
        <w:t>док роз’їдання [</w:t>
      </w:r>
      <w:r w:rsidRPr="00C62D22">
        <w:rPr>
          <w:rFonts w:ascii="Times New Roman" w:hAnsi="Times New Roman" w:cs="Times New Roman"/>
          <w:sz w:val="28"/>
          <w:szCs w:val="28"/>
        </w:rPr>
        <w:t>168, 173, 191, 233, 274</w:t>
      </w:r>
      <w:r w:rsidRPr="00C62D22">
        <w:rPr>
          <w:rFonts w:ascii="Times New Roman" w:eastAsia="TimesNewRomanPSMT" w:hAnsi="Times New Roman" w:cs="Times New Roman"/>
          <w:sz w:val="28"/>
          <w:szCs w:val="28"/>
        </w:rPr>
        <w:t>]. Агресивний уміст ПК, збільшення в них тиску та мікробний комп</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нент сприяють арозії великих судин із наступною нерідко летальною кровот</w:t>
      </w:r>
      <w:r w:rsidRPr="00C62D22">
        <w:rPr>
          <w:rFonts w:ascii="Times New Roman" w:eastAsia="TimesNewRomanPSMT" w:hAnsi="Times New Roman" w:cs="Times New Roman"/>
          <w:sz w:val="28"/>
          <w:szCs w:val="28"/>
        </w:rPr>
        <w:t>е</w:t>
      </w:r>
      <w:r w:rsidRPr="00C62D22">
        <w:rPr>
          <w:rFonts w:ascii="Times New Roman" w:eastAsia="TimesNewRomanPSMT" w:hAnsi="Times New Roman" w:cs="Times New Roman"/>
          <w:sz w:val="28"/>
          <w:szCs w:val="28"/>
        </w:rPr>
        <w:t>чею в порожнину ПК або в черевну порожнину. У декотрій мірі, розвитку ар</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зивних кровотеч сприяє первинна травма судинних утворень, а також підвищ</w:t>
      </w:r>
      <w:r w:rsidRPr="00C62D22">
        <w:rPr>
          <w:rFonts w:ascii="Times New Roman" w:eastAsia="TimesNewRomanPSMT" w:hAnsi="Times New Roman" w:cs="Times New Roman"/>
          <w:sz w:val="28"/>
          <w:szCs w:val="28"/>
        </w:rPr>
        <w:t>е</w:t>
      </w:r>
      <w:r w:rsidRPr="00C62D22">
        <w:rPr>
          <w:rFonts w:ascii="Times New Roman" w:eastAsia="TimesNewRomanPSMT" w:hAnsi="Times New Roman" w:cs="Times New Roman"/>
          <w:sz w:val="28"/>
          <w:szCs w:val="28"/>
        </w:rPr>
        <w:t>на ламкість судинної стінки, що може визначати механізм кровотечі шляхом розриву судини. Нерідко ПК пенетрують у селезінку, викликаючи внутрішнь</w:t>
      </w:r>
      <w:r w:rsidRPr="00C62D22">
        <w:rPr>
          <w:rFonts w:ascii="Times New Roman" w:eastAsia="TimesNewRomanPSMT" w:hAnsi="Times New Roman" w:cs="Times New Roman"/>
          <w:sz w:val="28"/>
          <w:szCs w:val="28"/>
        </w:rPr>
        <w:t>о</w:t>
      </w:r>
      <w:r w:rsidRPr="00C62D22">
        <w:rPr>
          <w:rFonts w:ascii="Times New Roman" w:eastAsia="TimesNewRomanPSMT" w:hAnsi="Times New Roman" w:cs="Times New Roman"/>
          <w:sz w:val="28"/>
          <w:szCs w:val="28"/>
        </w:rPr>
        <w:t>черевну кровотечу.</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Значно рідше зустрічаються МЖ (9%) [4, 60, 62, 128, 244] та компресія шлунка та ДПК (4-7%) [26, 160, 209, 231]. Основною причиною виникнення МЖ є здавлювання збільшеною голі</w:t>
      </w:r>
      <w:r w:rsidRPr="00C62D22">
        <w:rPr>
          <w:rFonts w:ascii="Times New Roman" w:hAnsi="Times New Roman" w:cs="Times New Roman"/>
          <w:sz w:val="28"/>
          <w:szCs w:val="28"/>
        </w:rPr>
        <w:t>в</w:t>
      </w:r>
      <w:r w:rsidRPr="00C62D22">
        <w:rPr>
          <w:rFonts w:ascii="Times New Roman" w:hAnsi="Times New Roman" w:cs="Times New Roman"/>
          <w:sz w:val="28"/>
          <w:szCs w:val="28"/>
        </w:rPr>
        <w:t>кою ПЗ інтрапанкреатичної частини холедоху, що призводило до появи ознак гіпертензії жовчних проток у вигляді дилатації внутрішньопечінкових та поз</w:t>
      </w:r>
      <w:r w:rsidRPr="00C62D22">
        <w:rPr>
          <w:rFonts w:ascii="Times New Roman" w:hAnsi="Times New Roman" w:cs="Times New Roman"/>
          <w:sz w:val="28"/>
          <w:szCs w:val="28"/>
        </w:rPr>
        <w:t>а</w:t>
      </w:r>
      <w:r w:rsidRPr="00C62D22">
        <w:rPr>
          <w:rFonts w:ascii="Times New Roman" w:hAnsi="Times New Roman" w:cs="Times New Roman"/>
          <w:sz w:val="28"/>
          <w:szCs w:val="28"/>
        </w:rPr>
        <w:t>печінкових жовчних протоків [55, 62].</w:t>
      </w:r>
    </w:p>
    <w:p w:rsidR="0021764E" w:rsidRPr="00C62D22" w:rsidRDefault="0021764E" w:rsidP="0021764E">
      <w:pPr>
        <w:autoSpaceDE w:val="0"/>
        <w:autoSpaceDN w:val="0"/>
        <w:adjustRightInd w:val="0"/>
        <w:spacing w:after="0" w:line="360" w:lineRule="auto"/>
        <w:ind w:firstLine="540"/>
        <w:jc w:val="both"/>
        <w:rPr>
          <w:rFonts w:ascii="Times New Roman" w:eastAsia="TimesNewRomanPSMT" w:hAnsi="Times New Roman" w:cs="Times New Roman"/>
          <w:sz w:val="28"/>
          <w:szCs w:val="28"/>
        </w:rPr>
      </w:pPr>
      <w:r w:rsidRPr="00C62D22">
        <w:rPr>
          <w:rFonts w:ascii="Times New Roman" w:hAnsi="Times New Roman" w:cs="Times New Roman"/>
          <w:sz w:val="28"/>
          <w:szCs w:val="28"/>
        </w:rPr>
        <w:t>У 4-7 % хворих спостерігається порушення ев</w:t>
      </w:r>
      <w:r w:rsidRPr="00C62D22">
        <w:rPr>
          <w:rFonts w:ascii="Times New Roman" w:hAnsi="Times New Roman" w:cs="Times New Roman"/>
          <w:sz w:val="28"/>
          <w:szCs w:val="28"/>
        </w:rPr>
        <w:t>а</w:t>
      </w:r>
      <w:r w:rsidRPr="00C62D22">
        <w:rPr>
          <w:rFonts w:ascii="Times New Roman" w:hAnsi="Times New Roman" w:cs="Times New Roman"/>
          <w:sz w:val="28"/>
          <w:szCs w:val="28"/>
        </w:rPr>
        <w:t>куаторної функції шлунка та ДПК у наслідок здавлювання ПК ПЗ цих органів зз</w:t>
      </w:r>
      <w:r w:rsidRPr="00C62D22">
        <w:rPr>
          <w:rFonts w:ascii="Times New Roman" w:hAnsi="Times New Roman" w:cs="Times New Roman"/>
          <w:sz w:val="28"/>
          <w:szCs w:val="28"/>
        </w:rPr>
        <w:t>о</w:t>
      </w:r>
      <w:r w:rsidRPr="00C62D22">
        <w:rPr>
          <w:rFonts w:ascii="Times New Roman" w:hAnsi="Times New Roman" w:cs="Times New Roman"/>
          <w:sz w:val="28"/>
          <w:szCs w:val="28"/>
        </w:rPr>
        <w:t>вні [127, 160, 209, 231].</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Вторинна портальна гіпертензія зустрічається при ПК ПЗ у 12% випадків, є підпечінковою та, як правило, сегментарного характеру. Вона може бути сприч</w:t>
      </w:r>
      <w:r w:rsidRPr="00C62D22">
        <w:rPr>
          <w:rFonts w:ascii="Times New Roman" w:hAnsi="Times New Roman" w:cs="Times New Roman"/>
          <w:sz w:val="28"/>
          <w:szCs w:val="28"/>
        </w:rPr>
        <w:t>и</w:t>
      </w:r>
      <w:r w:rsidRPr="00C62D22">
        <w:rPr>
          <w:rFonts w:ascii="Times New Roman" w:hAnsi="Times New Roman" w:cs="Times New Roman"/>
          <w:sz w:val="28"/>
          <w:szCs w:val="28"/>
        </w:rPr>
        <w:t>нена як тромбозом, так і здавлюванням мезентерикопортального та селезінкового вен</w:t>
      </w:r>
      <w:r w:rsidRPr="00C62D22">
        <w:rPr>
          <w:rFonts w:ascii="Times New Roman" w:hAnsi="Times New Roman" w:cs="Times New Roman"/>
          <w:sz w:val="28"/>
          <w:szCs w:val="28"/>
        </w:rPr>
        <w:t>о</w:t>
      </w:r>
      <w:r w:rsidRPr="00C62D22">
        <w:rPr>
          <w:rFonts w:ascii="Times New Roman" w:hAnsi="Times New Roman" w:cs="Times New Roman"/>
          <w:sz w:val="28"/>
          <w:szCs w:val="28"/>
        </w:rPr>
        <w:t>зного стовбура ПК та прилягаючою ПЗ [50, 54, 94].</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Одним з найважчих ускладнень ПК щодо виконання хірургічної коре</w:t>
      </w:r>
      <w:r w:rsidRPr="00C62D22">
        <w:rPr>
          <w:rFonts w:ascii="Times New Roman" w:hAnsi="Times New Roman" w:cs="Times New Roman"/>
          <w:sz w:val="28"/>
          <w:szCs w:val="28"/>
        </w:rPr>
        <w:t>к</w:t>
      </w:r>
      <w:r w:rsidRPr="00C62D22">
        <w:rPr>
          <w:rFonts w:ascii="Times New Roman" w:hAnsi="Times New Roman" w:cs="Times New Roman"/>
          <w:sz w:val="28"/>
          <w:szCs w:val="28"/>
        </w:rPr>
        <w:t>ції, є нориці ПЗ. Зовнішні нориці формуються після зовнішнього дренува</w:t>
      </w:r>
      <w:r w:rsidRPr="00C62D22">
        <w:rPr>
          <w:rFonts w:ascii="Times New Roman" w:hAnsi="Times New Roman" w:cs="Times New Roman"/>
          <w:sz w:val="28"/>
          <w:szCs w:val="28"/>
        </w:rPr>
        <w:t>н</w:t>
      </w:r>
      <w:r w:rsidRPr="00C62D22">
        <w:rPr>
          <w:rFonts w:ascii="Times New Roman" w:hAnsi="Times New Roman" w:cs="Times New Roman"/>
          <w:sz w:val="28"/>
          <w:szCs w:val="28"/>
        </w:rPr>
        <w:t>ня ПК ПЗ, після операцій із приводу гострого некротичного панкреатиту та після травми ПЗ [286]. Причинами формування панкреатичних нориць можуть бути негерметичність протокової системи ПЗ (несталість панкреати</w:t>
      </w:r>
      <w:r w:rsidRPr="00C62D22">
        <w:rPr>
          <w:rFonts w:ascii="Times New Roman" w:hAnsi="Times New Roman" w:cs="Times New Roman"/>
          <w:sz w:val="28"/>
          <w:szCs w:val="28"/>
        </w:rPr>
        <w:t>ч</w:t>
      </w:r>
      <w:r w:rsidRPr="00C62D22">
        <w:rPr>
          <w:rFonts w:ascii="Times New Roman" w:hAnsi="Times New Roman" w:cs="Times New Roman"/>
          <w:sz w:val="28"/>
          <w:szCs w:val="28"/>
        </w:rPr>
        <w:t xml:space="preserve">них анастомозів, поранення протоки </w:t>
      </w:r>
      <w:r w:rsidRPr="00C62D22">
        <w:rPr>
          <w:rFonts w:ascii="Times New Roman" w:hAnsi="Times New Roman" w:cs="Times New Roman"/>
          <w:sz w:val="28"/>
          <w:szCs w:val="28"/>
        </w:rPr>
        <w:lastRenderedPageBreak/>
        <w:t>ПЗ) та наявність перешкоди відтоку панкреатичн</w:t>
      </w:r>
      <w:r w:rsidRPr="00C62D22">
        <w:rPr>
          <w:rFonts w:ascii="Times New Roman" w:hAnsi="Times New Roman" w:cs="Times New Roman"/>
          <w:sz w:val="28"/>
          <w:szCs w:val="28"/>
        </w:rPr>
        <w:t>о</w:t>
      </w:r>
      <w:r w:rsidRPr="00C62D22">
        <w:rPr>
          <w:rFonts w:ascii="Times New Roman" w:hAnsi="Times New Roman" w:cs="Times New Roman"/>
          <w:sz w:val="28"/>
          <w:szCs w:val="28"/>
        </w:rPr>
        <w:t>го соку внаслідок стриктур, наявності нежиттєздатних тканин залози та парапанкреатичної клітковини [337]. Гострі нориці не мають сформованого нор</w:t>
      </w:r>
      <w:r w:rsidRPr="00C62D22">
        <w:rPr>
          <w:rFonts w:ascii="Times New Roman" w:hAnsi="Times New Roman" w:cs="Times New Roman"/>
          <w:sz w:val="28"/>
          <w:szCs w:val="28"/>
        </w:rPr>
        <w:t>и</w:t>
      </w:r>
      <w:r w:rsidRPr="00C62D22">
        <w:rPr>
          <w:rFonts w:ascii="Times New Roman" w:hAnsi="Times New Roman" w:cs="Times New Roman"/>
          <w:sz w:val="28"/>
          <w:szCs w:val="28"/>
        </w:rPr>
        <w:t>цевого ходу та можуть закриватися самостійно впродовж 2–3 місяців. Хронічні нориці мають сформований норицевий хід, та функціонують більш ніж 3 міс</w:t>
      </w:r>
      <w:r w:rsidRPr="00C62D22">
        <w:rPr>
          <w:rFonts w:ascii="Times New Roman" w:hAnsi="Times New Roman" w:cs="Times New Roman"/>
          <w:sz w:val="28"/>
          <w:szCs w:val="28"/>
        </w:rPr>
        <w:t>я</w:t>
      </w:r>
      <w:r w:rsidRPr="00C62D22">
        <w:rPr>
          <w:rFonts w:ascii="Times New Roman" w:hAnsi="Times New Roman" w:cs="Times New Roman"/>
          <w:sz w:val="28"/>
          <w:szCs w:val="28"/>
        </w:rPr>
        <w:t>ців після їх формування. Тривалість захворювання на норицю, за даними різних авторів, к</w:t>
      </w:r>
      <w:r w:rsidRPr="00C62D22">
        <w:rPr>
          <w:rFonts w:ascii="Times New Roman" w:hAnsi="Times New Roman" w:cs="Times New Roman"/>
          <w:sz w:val="28"/>
          <w:szCs w:val="28"/>
        </w:rPr>
        <w:t>о</w:t>
      </w:r>
      <w:r w:rsidRPr="00C62D22">
        <w:rPr>
          <w:rFonts w:ascii="Times New Roman" w:hAnsi="Times New Roman" w:cs="Times New Roman"/>
          <w:sz w:val="28"/>
          <w:szCs w:val="28"/>
        </w:rPr>
        <w:t>ливається від 2 до 8 років [140, 190, 349].</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Шлункові та кишкові нориці − одне з найважчих ускладнень некротичного панкреатиту. Такі ускладнення здебільше зустрічаються у хворих з некроти</w:t>
      </w:r>
      <w:r w:rsidRPr="00C62D22">
        <w:rPr>
          <w:rFonts w:ascii="Times New Roman" w:hAnsi="Times New Roman" w:cs="Times New Roman"/>
          <w:sz w:val="28"/>
          <w:szCs w:val="28"/>
        </w:rPr>
        <w:t>ч</w:t>
      </w:r>
      <w:r w:rsidRPr="00C62D22">
        <w:rPr>
          <w:rFonts w:ascii="Times New Roman" w:hAnsi="Times New Roman" w:cs="Times New Roman"/>
          <w:sz w:val="28"/>
          <w:szCs w:val="28"/>
        </w:rPr>
        <w:t>ним інфікованим панкреатитом при відкритих етапних санаціях чепцевої су</w:t>
      </w:r>
      <w:r w:rsidRPr="00C62D22">
        <w:rPr>
          <w:rFonts w:ascii="Times New Roman" w:hAnsi="Times New Roman" w:cs="Times New Roman"/>
          <w:sz w:val="28"/>
          <w:szCs w:val="28"/>
        </w:rPr>
        <w:t>м</w:t>
      </w:r>
      <w:r w:rsidRPr="00C62D22">
        <w:rPr>
          <w:rFonts w:ascii="Times New Roman" w:hAnsi="Times New Roman" w:cs="Times New Roman"/>
          <w:sz w:val="28"/>
          <w:szCs w:val="28"/>
        </w:rPr>
        <w:t>ки, коли черевна порожнина залишається відкритою та ведеться, як лапарост</w:t>
      </w:r>
      <w:r w:rsidRPr="00C62D22">
        <w:rPr>
          <w:rFonts w:ascii="Times New Roman" w:hAnsi="Times New Roman" w:cs="Times New Roman"/>
          <w:sz w:val="28"/>
          <w:szCs w:val="28"/>
        </w:rPr>
        <w:t>о</w:t>
      </w:r>
      <w:r w:rsidRPr="00C62D22">
        <w:rPr>
          <w:rFonts w:ascii="Times New Roman" w:hAnsi="Times New Roman" w:cs="Times New Roman"/>
          <w:sz w:val="28"/>
          <w:szCs w:val="28"/>
        </w:rPr>
        <w:t>ма. Шлункові та кишкові нориці призводять до швидкого виснаження хвор</w:t>
      </w:r>
      <w:r w:rsidRPr="00C62D22">
        <w:rPr>
          <w:rFonts w:ascii="Times New Roman" w:hAnsi="Times New Roman" w:cs="Times New Roman"/>
          <w:sz w:val="28"/>
          <w:szCs w:val="28"/>
        </w:rPr>
        <w:t>о</w:t>
      </w:r>
      <w:r w:rsidRPr="00C62D22">
        <w:rPr>
          <w:rFonts w:ascii="Times New Roman" w:hAnsi="Times New Roman" w:cs="Times New Roman"/>
          <w:sz w:val="28"/>
          <w:szCs w:val="28"/>
        </w:rPr>
        <w:t>го. При виникненні особливо множинних тонко– чи/або товсто кишкових н</w:t>
      </w:r>
      <w:r w:rsidRPr="00C62D22">
        <w:rPr>
          <w:rFonts w:ascii="Times New Roman" w:hAnsi="Times New Roman" w:cs="Times New Roman"/>
          <w:sz w:val="28"/>
          <w:szCs w:val="28"/>
        </w:rPr>
        <w:t>о</w:t>
      </w:r>
      <w:r w:rsidRPr="00C62D22">
        <w:rPr>
          <w:rFonts w:ascii="Times New Roman" w:hAnsi="Times New Roman" w:cs="Times New Roman"/>
          <w:sz w:val="28"/>
          <w:szCs w:val="28"/>
        </w:rPr>
        <w:t>риць прогноз, як правило, несприятливий [286].</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b/>
          <w:sz w:val="28"/>
          <w:szCs w:val="28"/>
        </w:rPr>
      </w:pPr>
      <w:r w:rsidRPr="00C62D22">
        <w:rPr>
          <w:rFonts w:ascii="Times New Roman" w:hAnsi="Times New Roman" w:cs="Times New Roman"/>
          <w:b/>
          <w:sz w:val="28"/>
          <w:szCs w:val="28"/>
        </w:rPr>
        <w:t>1.2.</w:t>
      </w:r>
      <w:r w:rsidRPr="00C62D22">
        <w:rPr>
          <w:rFonts w:ascii="Times New Roman" w:hAnsi="Times New Roman" w:cs="Times New Roman"/>
          <w:sz w:val="28"/>
          <w:szCs w:val="28"/>
        </w:rPr>
        <w:t xml:space="preserve"> </w:t>
      </w:r>
      <w:r w:rsidRPr="00C62D22">
        <w:rPr>
          <w:rFonts w:ascii="Times New Roman" w:hAnsi="Times New Roman" w:cs="Times New Roman"/>
          <w:b/>
          <w:sz w:val="28"/>
          <w:szCs w:val="28"/>
        </w:rPr>
        <w:t>Методи діагностики псевдокіст підшлункової залози та їх ускла</w:t>
      </w:r>
      <w:r w:rsidRPr="00C62D22">
        <w:rPr>
          <w:rFonts w:ascii="Times New Roman" w:hAnsi="Times New Roman" w:cs="Times New Roman"/>
          <w:b/>
          <w:sz w:val="28"/>
          <w:szCs w:val="28"/>
        </w:rPr>
        <w:t>д</w:t>
      </w:r>
      <w:r w:rsidRPr="00C62D22">
        <w:rPr>
          <w:rFonts w:ascii="Times New Roman" w:hAnsi="Times New Roman" w:cs="Times New Roman"/>
          <w:b/>
          <w:sz w:val="28"/>
          <w:szCs w:val="28"/>
        </w:rPr>
        <w:t>нень</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b/>
          <w:sz w:val="28"/>
          <w:szCs w:val="28"/>
        </w:rPr>
      </w:pP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b/>
          <w:sz w:val="28"/>
          <w:szCs w:val="28"/>
        </w:rPr>
      </w:pPr>
      <w:r w:rsidRPr="00C62D22">
        <w:rPr>
          <w:rFonts w:ascii="Times New Roman" w:hAnsi="Times New Roman" w:cs="Times New Roman"/>
          <w:sz w:val="28"/>
          <w:szCs w:val="28"/>
        </w:rPr>
        <w:t>Виявлення заповненої рідиною порожнини в проекції ПЗ не є важким для спеціалістів із різним ступенем кваліфікації та досвідом у УЗД [53, 63, 66, 112, 149, 366] чи МСКТ – діа</w:t>
      </w:r>
      <w:r w:rsidRPr="00C62D22">
        <w:rPr>
          <w:rFonts w:ascii="Times New Roman" w:hAnsi="Times New Roman" w:cs="Times New Roman"/>
          <w:sz w:val="28"/>
          <w:szCs w:val="28"/>
        </w:rPr>
        <w:t>г</w:t>
      </w:r>
      <w:r w:rsidRPr="00C62D22">
        <w:rPr>
          <w:rFonts w:ascii="Times New Roman" w:hAnsi="Times New Roman" w:cs="Times New Roman"/>
          <w:sz w:val="28"/>
          <w:szCs w:val="28"/>
        </w:rPr>
        <w:t>ностиці [61, 146, 174, 235, 328, 402]. Разом з тим нозологічна верифікація кісто</w:t>
      </w:r>
      <w:r w:rsidRPr="00C62D22">
        <w:rPr>
          <w:rFonts w:ascii="Times New Roman" w:hAnsi="Times New Roman" w:cs="Times New Roman"/>
          <w:sz w:val="28"/>
          <w:szCs w:val="28"/>
        </w:rPr>
        <w:t>з</w:t>
      </w:r>
      <w:r w:rsidRPr="00C62D22">
        <w:rPr>
          <w:rFonts w:ascii="Times New Roman" w:hAnsi="Times New Roman" w:cs="Times New Roman"/>
          <w:sz w:val="28"/>
          <w:szCs w:val="28"/>
        </w:rPr>
        <w:t>них утворень ПЗ за допомогою тих же методів дослідження, що так успішно застосовуються для скринінгу, представляє важке завдання. Жоден із запропон</w:t>
      </w:r>
      <w:r w:rsidRPr="00C62D22">
        <w:rPr>
          <w:rFonts w:ascii="Times New Roman" w:hAnsi="Times New Roman" w:cs="Times New Roman"/>
          <w:sz w:val="28"/>
          <w:szCs w:val="28"/>
        </w:rPr>
        <w:t>о</w:t>
      </w:r>
      <w:r w:rsidRPr="00C62D22">
        <w:rPr>
          <w:rFonts w:ascii="Times New Roman" w:hAnsi="Times New Roman" w:cs="Times New Roman"/>
          <w:sz w:val="28"/>
          <w:szCs w:val="28"/>
        </w:rPr>
        <w:t>ваних на сьогодні лабораторних та інструментальних методів дослідження не дозволяє достов</w:t>
      </w:r>
      <w:r w:rsidRPr="00C62D22">
        <w:rPr>
          <w:rFonts w:ascii="Times New Roman" w:hAnsi="Times New Roman" w:cs="Times New Roman"/>
          <w:sz w:val="28"/>
          <w:szCs w:val="28"/>
        </w:rPr>
        <w:t>і</w:t>
      </w:r>
      <w:r w:rsidRPr="00C62D22">
        <w:rPr>
          <w:rFonts w:ascii="Times New Roman" w:hAnsi="Times New Roman" w:cs="Times New Roman"/>
          <w:sz w:val="28"/>
          <w:szCs w:val="28"/>
        </w:rPr>
        <w:t xml:space="preserve">рно точно встановити діагноз ПК ПЗ. </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b/>
          <w:sz w:val="28"/>
          <w:szCs w:val="28"/>
        </w:rPr>
      </w:pPr>
      <w:r w:rsidRPr="00C62D22">
        <w:rPr>
          <w:rFonts w:ascii="Times New Roman" w:hAnsi="Times New Roman" w:cs="Times New Roman"/>
          <w:sz w:val="28"/>
          <w:szCs w:val="28"/>
        </w:rPr>
        <w:t>Положення ускладнюється тим, що ефективність більшості інструментал</w:t>
      </w:r>
      <w:r w:rsidRPr="00C62D22">
        <w:rPr>
          <w:rFonts w:ascii="Times New Roman" w:hAnsi="Times New Roman" w:cs="Times New Roman"/>
          <w:sz w:val="28"/>
          <w:szCs w:val="28"/>
        </w:rPr>
        <w:t>ь</w:t>
      </w:r>
      <w:r w:rsidRPr="00C62D22">
        <w:rPr>
          <w:rFonts w:ascii="Times New Roman" w:hAnsi="Times New Roman" w:cs="Times New Roman"/>
          <w:sz w:val="28"/>
          <w:szCs w:val="28"/>
        </w:rPr>
        <w:t>них методів досліджень напряму залежить від індивідуального досвіду та те</w:t>
      </w:r>
      <w:r w:rsidRPr="00C62D22">
        <w:rPr>
          <w:rFonts w:ascii="Times New Roman" w:hAnsi="Times New Roman" w:cs="Times New Roman"/>
          <w:sz w:val="28"/>
          <w:szCs w:val="28"/>
        </w:rPr>
        <w:t>о</w:t>
      </w:r>
      <w:r w:rsidRPr="00C62D22">
        <w:rPr>
          <w:rFonts w:ascii="Times New Roman" w:hAnsi="Times New Roman" w:cs="Times New Roman"/>
          <w:sz w:val="28"/>
          <w:szCs w:val="28"/>
        </w:rPr>
        <w:t>ретичної підготовки окремого спеціаліста, а також від технічного осн</w:t>
      </w:r>
      <w:r w:rsidRPr="00C62D22">
        <w:rPr>
          <w:rFonts w:ascii="Times New Roman" w:hAnsi="Times New Roman" w:cs="Times New Roman"/>
          <w:sz w:val="28"/>
          <w:szCs w:val="28"/>
        </w:rPr>
        <w:t>а</w:t>
      </w:r>
      <w:r w:rsidRPr="00C62D22">
        <w:rPr>
          <w:rFonts w:ascii="Times New Roman" w:hAnsi="Times New Roman" w:cs="Times New Roman"/>
          <w:sz w:val="28"/>
          <w:szCs w:val="28"/>
        </w:rPr>
        <w:t>щення діагностичного центру.</w:t>
      </w:r>
      <w:r w:rsidRPr="00C62D22">
        <w:rPr>
          <w:rFonts w:ascii="Times New Roman" w:eastAsia="Times-Roman" w:hAnsi="Times New Roman" w:cs="Times New Roman"/>
          <w:sz w:val="28"/>
          <w:szCs w:val="28"/>
          <w:lang w:bidi="or-IN"/>
        </w:rPr>
        <w:t xml:space="preserve"> Проведення інструментальних методів досл</w:t>
      </w:r>
      <w:r w:rsidRPr="00C62D22">
        <w:rPr>
          <w:rFonts w:ascii="Times New Roman" w:eastAsia="Times-Roman" w:hAnsi="Times New Roman" w:cs="Times New Roman"/>
          <w:sz w:val="28"/>
          <w:szCs w:val="28"/>
          <w:lang w:bidi="or-IN"/>
        </w:rPr>
        <w:t>і</w:t>
      </w:r>
      <w:r w:rsidRPr="00C62D22">
        <w:rPr>
          <w:rFonts w:ascii="Times New Roman" w:eastAsia="Times-Roman" w:hAnsi="Times New Roman" w:cs="Times New Roman"/>
          <w:sz w:val="28"/>
          <w:szCs w:val="28"/>
          <w:lang w:bidi="or-IN"/>
        </w:rPr>
        <w:t>дження дозволяє виявляти ПК, її локалізацію, співвідношення з оточуючими органами та структурами, однак не дає можливості адекватно діагностувати наявність та характер ускладнень.</w:t>
      </w:r>
      <w:r w:rsidRPr="00C62D22">
        <w:rPr>
          <w:rFonts w:ascii="Times New Roman" w:hAnsi="Times New Roman" w:cs="Times New Roman"/>
          <w:sz w:val="28"/>
          <w:szCs w:val="28"/>
        </w:rPr>
        <w:t xml:space="preserve"> У зв’язку із </w:t>
      </w:r>
      <w:r w:rsidRPr="00C62D22">
        <w:rPr>
          <w:rFonts w:ascii="Times New Roman" w:hAnsi="Times New Roman" w:cs="Times New Roman"/>
          <w:sz w:val="28"/>
          <w:szCs w:val="28"/>
        </w:rPr>
        <w:lastRenderedPageBreak/>
        <w:t>цим діагностика ПК повинна бути комплек</w:t>
      </w:r>
      <w:r w:rsidRPr="00C62D22">
        <w:rPr>
          <w:rFonts w:ascii="Times New Roman" w:hAnsi="Times New Roman" w:cs="Times New Roman"/>
          <w:sz w:val="28"/>
          <w:szCs w:val="28"/>
        </w:rPr>
        <w:t>с</w:t>
      </w:r>
      <w:r w:rsidRPr="00C62D22">
        <w:rPr>
          <w:rFonts w:ascii="Times New Roman" w:hAnsi="Times New Roman" w:cs="Times New Roman"/>
          <w:sz w:val="28"/>
          <w:szCs w:val="28"/>
        </w:rPr>
        <w:t xml:space="preserve">ною та містити в собі анамнез, фізикальне обстеження, а також лабораторні [13, 234, 419] та інструментальні методи дослідження [196, 289, 296, 314, 321]. </w:t>
      </w:r>
    </w:p>
    <w:p w:rsidR="0021764E" w:rsidRPr="00C62D22" w:rsidRDefault="0021764E" w:rsidP="0021764E">
      <w:pPr>
        <w:pStyle w:val="2"/>
        <w:widowControl w:val="0"/>
        <w:tabs>
          <w:tab w:val="left" w:pos="3724"/>
        </w:tabs>
        <w:spacing w:after="0" w:line="360" w:lineRule="auto"/>
        <w:ind w:firstLine="540"/>
        <w:jc w:val="both"/>
        <w:rPr>
          <w:szCs w:val="28"/>
          <w:lang w:val="uk-UA"/>
        </w:rPr>
      </w:pPr>
      <w:r w:rsidRPr="00C62D22">
        <w:rPr>
          <w:szCs w:val="28"/>
          <w:lang w:val="uk-UA"/>
        </w:rPr>
        <w:t>Діагностику кістозних утворень ПЗ проводять з покроковим збільшенням інвазивності досліджень [123, 126, 181]. При цьому підвищується вірогідність встано</w:t>
      </w:r>
      <w:r w:rsidRPr="00C62D22">
        <w:rPr>
          <w:szCs w:val="28"/>
          <w:lang w:val="uk-UA"/>
        </w:rPr>
        <w:t>в</w:t>
      </w:r>
      <w:r w:rsidRPr="00C62D22">
        <w:rPr>
          <w:szCs w:val="28"/>
          <w:lang w:val="uk-UA"/>
        </w:rPr>
        <w:t>лення вірного діагнозу. Так, на етапі скринінгу та первинної спеціалізованої вериф</w:t>
      </w:r>
      <w:r w:rsidRPr="00C62D22">
        <w:rPr>
          <w:szCs w:val="28"/>
          <w:lang w:val="uk-UA"/>
        </w:rPr>
        <w:t>і</w:t>
      </w:r>
      <w:r w:rsidRPr="00C62D22">
        <w:rPr>
          <w:szCs w:val="28"/>
          <w:lang w:val="uk-UA"/>
        </w:rPr>
        <w:t xml:space="preserve">кації застосовуються неінвазивні інструментальні методи (УЗД, МСКТ, МРТ) [53, 147, 149, 174, 235, 385, 421]. </w:t>
      </w:r>
    </w:p>
    <w:p w:rsidR="0021764E" w:rsidRPr="00C62D22" w:rsidRDefault="0021764E" w:rsidP="0021764E">
      <w:pPr>
        <w:pStyle w:val="2"/>
        <w:widowControl w:val="0"/>
        <w:tabs>
          <w:tab w:val="left" w:pos="3724"/>
        </w:tabs>
        <w:spacing w:after="0" w:line="360" w:lineRule="auto"/>
        <w:ind w:firstLine="540"/>
        <w:jc w:val="both"/>
        <w:rPr>
          <w:szCs w:val="28"/>
          <w:lang w:val="uk-UA"/>
        </w:rPr>
      </w:pPr>
      <w:r w:rsidRPr="00C62D22">
        <w:rPr>
          <w:szCs w:val="28"/>
          <w:lang w:val="uk-UA"/>
        </w:rPr>
        <w:t>Коли діагноз не є чітким, переходять до інвазивних ендоскопічних досл</w:t>
      </w:r>
      <w:r w:rsidRPr="00C62D22">
        <w:rPr>
          <w:szCs w:val="28"/>
          <w:lang w:val="uk-UA"/>
        </w:rPr>
        <w:t>і</w:t>
      </w:r>
      <w:r w:rsidRPr="00C62D22">
        <w:rPr>
          <w:szCs w:val="28"/>
          <w:lang w:val="uk-UA"/>
        </w:rPr>
        <w:t>джень (ЕРХПГ) [341, 367], ендоскопічна ЕСГ [51, 77, 343] ендоскопічна тонкого</w:t>
      </w:r>
      <w:r w:rsidRPr="00C62D22">
        <w:rPr>
          <w:szCs w:val="28"/>
          <w:lang w:val="uk-UA"/>
        </w:rPr>
        <w:t>л</w:t>
      </w:r>
      <w:r w:rsidRPr="00C62D22">
        <w:rPr>
          <w:szCs w:val="28"/>
          <w:lang w:val="uk-UA"/>
        </w:rPr>
        <w:t xml:space="preserve">кова аспірація вмісту ПК та біопсія її стінки) [19, 25, 137, 318, 344]. </w:t>
      </w:r>
    </w:p>
    <w:p w:rsidR="0021764E" w:rsidRPr="00C62D22" w:rsidRDefault="0021764E" w:rsidP="0021764E">
      <w:pPr>
        <w:pStyle w:val="2"/>
        <w:widowControl w:val="0"/>
        <w:tabs>
          <w:tab w:val="left" w:pos="3724"/>
        </w:tabs>
        <w:spacing w:after="0" w:line="360" w:lineRule="auto"/>
        <w:ind w:firstLine="540"/>
        <w:jc w:val="both"/>
        <w:rPr>
          <w:szCs w:val="28"/>
          <w:lang w:val="uk-UA"/>
        </w:rPr>
      </w:pPr>
      <w:r w:rsidRPr="00C62D22">
        <w:rPr>
          <w:szCs w:val="28"/>
          <w:lang w:val="uk-UA"/>
        </w:rPr>
        <w:t>Виконується лабораторна оцінка характеристик кістозної рідини та пл</w:t>
      </w:r>
      <w:r w:rsidRPr="00C62D22">
        <w:rPr>
          <w:szCs w:val="28"/>
          <w:lang w:val="uk-UA"/>
        </w:rPr>
        <w:t>а</w:t>
      </w:r>
      <w:r w:rsidRPr="00C62D22">
        <w:rPr>
          <w:szCs w:val="28"/>
          <w:lang w:val="uk-UA"/>
        </w:rPr>
        <w:t>зми крові пацієнта для виявлення цитоморфологічних, імунологічних та біохімі</w:t>
      </w:r>
      <w:r w:rsidRPr="00C62D22">
        <w:rPr>
          <w:szCs w:val="28"/>
          <w:lang w:val="uk-UA"/>
        </w:rPr>
        <w:t>ч</w:t>
      </w:r>
      <w:r w:rsidRPr="00C62D22">
        <w:rPr>
          <w:szCs w:val="28"/>
          <w:lang w:val="uk-UA"/>
        </w:rPr>
        <w:t>них порушень [300, 329, 344, 391, 413]. Заключним та найбільш інвазивним етапом діагност</w:t>
      </w:r>
      <w:r w:rsidRPr="00C62D22">
        <w:rPr>
          <w:szCs w:val="28"/>
          <w:lang w:val="uk-UA"/>
        </w:rPr>
        <w:t>и</w:t>
      </w:r>
      <w:r w:rsidRPr="00C62D22">
        <w:rPr>
          <w:szCs w:val="28"/>
          <w:lang w:val="uk-UA"/>
        </w:rPr>
        <w:t>ки ПК ПЗ є діагностична лапароскопія та лапаротомія [58, 139, 207, 308]. Матеріал, отриманий у результаті цих досліджень. дозволяє встановити кінцевий патоморф</w:t>
      </w:r>
      <w:r w:rsidRPr="00C62D22">
        <w:rPr>
          <w:szCs w:val="28"/>
          <w:lang w:val="uk-UA"/>
        </w:rPr>
        <w:t>о</w:t>
      </w:r>
      <w:r w:rsidRPr="00C62D22">
        <w:rPr>
          <w:szCs w:val="28"/>
          <w:lang w:val="uk-UA"/>
        </w:rPr>
        <w:t xml:space="preserve">логічний діагноз [145, 192, 319]. </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ПК ПЗ характеризуються різними змінами складу стану плазми крові пац</w:t>
      </w:r>
      <w:r w:rsidRPr="00C62D22">
        <w:rPr>
          <w:rFonts w:ascii="Times New Roman" w:hAnsi="Times New Roman" w:cs="Times New Roman"/>
          <w:sz w:val="28"/>
          <w:szCs w:val="28"/>
        </w:rPr>
        <w:t>і</w:t>
      </w:r>
      <w:r w:rsidRPr="00C62D22">
        <w:rPr>
          <w:rFonts w:ascii="Times New Roman" w:hAnsi="Times New Roman" w:cs="Times New Roman"/>
          <w:sz w:val="28"/>
          <w:szCs w:val="28"/>
        </w:rPr>
        <w:t>єнта. Визначення цих змін дозволяє запідозрити наявність того чи іншого типу кісти. Існує пряма залежність від масштабу некрозу, об’єму ураження паренх</w:t>
      </w:r>
      <w:r w:rsidRPr="00C62D22">
        <w:rPr>
          <w:rFonts w:ascii="Times New Roman" w:hAnsi="Times New Roman" w:cs="Times New Roman"/>
          <w:sz w:val="28"/>
          <w:szCs w:val="28"/>
        </w:rPr>
        <w:t>і</w:t>
      </w:r>
      <w:r w:rsidRPr="00C62D22">
        <w:rPr>
          <w:rFonts w:ascii="Times New Roman" w:hAnsi="Times New Roman" w:cs="Times New Roman"/>
          <w:sz w:val="28"/>
          <w:szCs w:val="28"/>
        </w:rPr>
        <w:t>ми ПЗ та позаочеревної жирової клітковини з вірогідністю інфікування енд</w:t>
      </w:r>
      <w:r w:rsidRPr="00C62D22">
        <w:rPr>
          <w:rFonts w:ascii="Times New Roman" w:hAnsi="Times New Roman" w:cs="Times New Roman"/>
          <w:sz w:val="28"/>
          <w:szCs w:val="28"/>
        </w:rPr>
        <w:t>о</w:t>
      </w:r>
      <w:r w:rsidRPr="00C62D22">
        <w:rPr>
          <w:rFonts w:ascii="Times New Roman" w:hAnsi="Times New Roman" w:cs="Times New Roman"/>
          <w:sz w:val="28"/>
          <w:szCs w:val="28"/>
        </w:rPr>
        <w:t>генною мікрофлорою [88]. Приблизно в 50% пацієнтів відзначається значне підв</w:t>
      </w:r>
      <w:r w:rsidRPr="00C62D22">
        <w:rPr>
          <w:rFonts w:ascii="Times New Roman" w:hAnsi="Times New Roman" w:cs="Times New Roman"/>
          <w:sz w:val="28"/>
          <w:szCs w:val="28"/>
        </w:rPr>
        <w:t>и</w:t>
      </w:r>
      <w:r w:rsidRPr="00C62D22">
        <w:rPr>
          <w:rFonts w:ascii="Times New Roman" w:hAnsi="Times New Roman" w:cs="Times New Roman"/>
          <w:sz w:val="28"/>
          <w:szCs w:val="28"/>
        </w:rPr>
        <w:t>щення рівнів амілази та ліпази крові. Якщо після затихання симптомів ГП р</w:t>
      </w:r>
      <w:r w:rsidRPr="00C62D22">
        <w:rPr>
          <w:rFonts w:ascii="Times New Roman" w:hAnsi="Times New Roman" w:cs="Times New Roman"/>
          <w:sz w:val="28"/>
          <w:szCs w:val="28"/>
        </w:rPr>
        <w:t>і</w:t>
      </w:r>
      <w:r w:rsidRPr="00C62D22">
        <w:rPr>
          <w:rFonts w:ascii="Times New Roman" w:hAnsi="Times New Roman" w:cs="Times New Roman"/>
          <w:sz w:val="28"/>
          <w:szCs w:val="28"/>
        </w:rPr>
        <w:t>вень амілази в плазмі крові тривалий час не знижується до норм</w:t>
      </w:r>
      <w:r w:rsidRPr="00C62D22">
        <w:rPr>
          <w:rFonts w:ascii="Times New Roman" w:hAnsi="Times New Roman" w:cs="Times New Roman"/>
          <w:sz w:val="28"/>
          <w:szCs w:val="28"/>
        </w:rPr>
        <w:t>а</w:t>
      </w:r>
      <w:r w:rsidRPr="00C62D22">
        <w:rPr>
          <w:rFonts w:ascii="Times New Roman" w:hAnsi="Times New Roman" w:cs="Times New Roman"/>
          <w:sz w:val="28"/>
          <w:szCs w:val="28"/>
        </w:rPr>
        <w:t>льних цифр, слід запідозрити формування ПК ПЗ. Як правило, найчастіше гнійні ускладне</w:t>
      </w:r>
      <w:r w:rsidRPr="00C62D22">
        <w:rPr>
          <w:rFonts w:ascii="Times New Roman" w:hAnsi="Times New Roman" w:cs="Times New Roman"/>
          <w:sz w:val="28"/>
          <w:szCs w:val="28"/>
        </w:rPr>
        <w:t>н</w:t>
      </w:r>
      <w:r w:rsidRPr="00C62D22">
        <w:rPr>
          <w:rFonts w:ascii="Times New Roman" w:hAnsi="Times New Roman" w:cs="Times New Roman"/>
          <w:sz w:val="28"/>
          <w:szCs w:val="28"/>
        </w:rPr>
        <w:t>ня з'являються через 2–3 тижні після тяжкого ГП. Найча</w:t>
      </w:r>
      <w:r w:rsidRPr="00C62D22">
        <w:rPr>
          <w:rFonts w:ascii="Times New Roman" w:hAnsi="Times New Roman" w:cs="Times New Roman"/>
          <w:sz w:val="28"/>
          <w:szCs w:val="28"/>
        </w:rPr>
        <w:t>с</w:t>
      </w:r>
      <w:r w:rsidRPr="00C62D22">
        <w:rPr>
          <w:rFonts w:ascii="Times New Roman" w:hAnsi="Times New Roman" w:cs="Times New Roman"/>
          <w:sz w:val="28"/>
          <w:szCs w:val="28"/>
        </w:rPr>
        <w:t>тішими ознаками нагноєння є наростання анемії, стійкий лейкоцитоз, зсув лейкоцитарної форм</w:t>
      </w:r>
      <w:r w:rsidRPr="00C62D22">
        <w:rPr>
          <w:rFonts w:ascii="Times New Roman" w:hAnsi="Times New Roman" w:cs="Times New Roman"/>
          <w:sz w:val="28"/>
          <w:szCs w:val="28"/>
        </w:rPr>
        <w:t>у</w:t>
      </w:r>
      <w:r w:rsidRPr="00C62D22">
        <w:rPr>
          <w:rFonts w:ascii="Times New Roman" w:hAnsi="Times New Roman" w:cs="Times New Roman"/>
          <w:sz w:val="28"/>
          <w:szCs w:val="28"/>
        </w:rPr>
        <w:t>ли вліво, підвищення ШОЕ [107, 108, 195, 295, 364]. Украй рідко при неус</w:t>
      </w:r>
      <w:r w:rsidRPr="00C62D22">
        <w:rPr>
          <w:rFonts w:ascii="Times New Roman" w:hAnsi="Times New Roman" w:cs="Times New Roman"/>
          <w:sz w:val="28"/>
          <w:szCs w:val="28"/>
        </w:rPr>
        <w:t>к</w:t>
      </w:r>
      <w:r w:rsidRPr="00C62D22">
        <w:rPr>
          <w:rFonts w:ascii="Times New Roman" w:hAnsi="Times New Roman" w:cs="Times New Roman"/>
          <w:sz w:val="28"/>
          <w:szCs w:val="28"/>
        </w:rPr>
        <w:t>ладнених ПК ПЗ можуть відзначатися зміни печінкових проб, лейкоцитоз та підвищений рівень С–реактивного білка в плазмі крові. Разом з тим вираж</w:t>
      </w:r>
      <w:r w:rsidRPr="00C62D22">
        <w:rPr>
          <w:rFonts w:ascii="Times New Roman" w:hAnsi="Times New Roman" w:cs="Times New Roman"/>
          <w:sz w:val="28"/>
          <w:szCs w:val="28"/>
        </w:rPr>
        <w:t>е</w:t>
      </w:r>
      <w:r w:rsidRPr="00C62D22">
        <w:rPr>
          <w:rFonts w:ascii="Times New Roman" w:hAnsi="Times New Roman" w:cs="Times New Roman"/>
          <w:sz w:val="28"/>
          <w:szCs w:val="28"/>
        </w:rPr>
        <w:t xml:space="preserve">ні зміни лабораторних </w:t>
      </w:r>
      <w:r w:rsidRPr="00C62D22">
        <w:rPr>
          <w:rFonts w:ascii="Times New Roman" w:hAnsi="Times New Roman" w:cs="Times New Roman"/>
          <w:sz w:val="28"/>
          <w:szCs w:val="28"/>
        </w:rPr>
        <w:lastRenderedPageBreak/>
        <w:t>показників відзначаються при виникненні ускладнень ПК таких, як: МЖ [4, 60, 62, 244], кровотеча [20, 96, 168, 173, 351], інфікування [32, 108, 117, 172, 293]. Дослідження лабор</w:t>
      </w:r>
      <w:r w:rsidRPr="00C62D22">
        <w:rPr>
          <w:rFonts w:ascii="Times New Roman" w:hAnsi="Times New Roman" w:cs="Times New Roman"/>
          <w:sz w:val="28"/>
          <w:szCs w:val="28"/>
        </w:rPr>
        <w:t>а</w:t>
      </w:r>
      <w:r w:rsidRPr="00C62D22">
        <w:rPr>
          <w:rFonts w:ascii="Times New Roman" w:hAnsi="Times New Roman" w:cs="Times New Roman"/>
          <w:sz w:val="28"/>
          <w:szCs w:val="28"/>
        </w:rPr>
        <w:t>торних показників також дозволяє визначати нутритивний статус пацієнта при достов</w:t>
      </w:r>
      <w:r w:rsidRPr="00C62D22">
        <w:rPr>
          <w:rFonts w:ascii="Times New Roman" w:hAnsi="Times New Roman" w:cs="Times New Roman"/>
          <w:sz w:val="28"/>
          <w:szCs w:val="28"/>
        </w:rPr>
        <w:t>і</w:t>
      </w:r>
      <w:r w:rsidRPr="00C62D22">
        <w:rPr>
          <w:rFonts w:ascii="Times New Roman" w:hAnsi="Times New Roman" w:cs="Times New Roman"/>
          <w:sz w:val="28"/>
          <w:szCs w:val="28"/>
        </w:rPr>
        <w:t>рних ознаках виснаження (загальний білок, альбумін крові), що вкрай важливе для о</w:t>
      </w:r>
      <w:r w:rsidRPr="00C62D22">
        <w:rPr>
          <w:rFonts w:ascii="Times New Roman" w:hAnsi="Times New Roman" w:cs="Times New Roman"/>
          <w:sz w:val="28"/>
          <w:szCs w:val="28"/>
        </w:rPr>
        <w:t>б</w:t>
      </w:r>
      <w:r w:rsidRPr="00C62D22">
        <w:rPr>
          <w:rFonts w:ascii="Times New Roman" w:hAnsi="Times New Roman" w:cs="Times New Roman"/>
          <w:sz w:val="28"/>
          <w:szCs w:val="28"/>
        </w:rPr>
        <w:t>рання подальшої лікувальної тактики.</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Гострі ПК ПЗ супроводжуються багаторазовим підвищенням рівнів α–амілази (референсне значення: 28–100 Од/л) та С–реактивного білка (референ</w:t>
      </w:r>
      <w:r w:rsidRPr="00C62D22">
        <w:rPr>
          <w:rFonts w:ascii="Times New Roman" w:hAnsi="Times New Roman" w:cs="Times New Roman"/>
          <w:sz w:val="28"/>
          <w:szCs w:val="28"/>
        </w:rPr>
        <w:t>с</w:t>
      </w:r>
      <w:r w:rsidRPr="00C62D22">
        <w:rPr>
          <w:rFonts w:ascii="Times New Roman" w:hAnsi="Times New Roman" w:cs="Times New Roman"/>
          <w:sz w:val="28"/>
          <w:szCs w:val="28"/>
        </w:rPr>
        <w:t>не значення: &lt; 5 мг/л), що характеризує гострий запальний процес у ткан</w:t>
      </w:r>
      <w:r w:rsidRPr="00C62D22">
        <w:rPr>
          <w:rFonts w:ascii="Times New Roman" w:hAnsi="Times New Roman" w:cs="Times New Roman"/>
          <w:sz w:val="28"/>
          <w:szCs w:val="28"/>
        </w:rPr>
        <w:t>и</w:t>
      </w:r>
      <w:r w:rsidRPr="00C62D22">
        <w:rPr>
          <w:rFonts w:ascii="Times New Roman" w:hAnsi="Times New Roman" w:cs="Times New Roman"/>
          <w:sz w:val="28"/>
          <w:szCs w:val="28"/>
        </w:rPr>
        <w:t>ні ПЗ [38].Однак, подібні зміни не дозволяють достовірно виключити кістозну пухлину. Найбільш дослідженими маркерами пухлин, у тому числі й кісто</w:t>
      </w:r>
      <w:r w:rsidRPr="00C62D22">
        <w:rPr>
          <w:rFonts w:ascii="Times New Roman" w:hAnsi="Times New Roman" w:cs="Times New Roman"/>
          <w:sz w:val="28"/>
          <w:szCs w:val="28"/>
        </w:rPr>
        <w:t>з</w:t>
      </w:r>
      <w:r w:rsidRPr="00C62D22">
        <w:rPr>
          <w:rFonts w:ascii="Times New Roman" w:hAnsi="Times New Roman" w:cs="Times New Roman"/>
          <w:sz w:val="28"/>
          <w:szCs w:val="28"/>
        </w:rPr>
        <w:t>них, є раковий ембріональний антиген (СЕА – carcinoembrionic antigen; рефер</w:t>
      </w:r>
      <w:r w:rsidRPr="00C62D22">
        <w:rPr>
          <w:rFonts w:ascii="Times New Roman" w:hAnsi="Times New Roman" w:cs="Times New Roman"/>
          <w:sz w:val="28"/>
          <w:szCs w:val="28"/>
        </w:rPr>
        <w:t>е</w:t>
      </w:r>
      <w:r w:rsidRPr="00C62D22">
        <w:rPr>
          <w:rFonts w:ascii="Times New Roman" w:hAnsi="Times New Roman" w:cs="Times New Roman"/>
          <w:sz w:val="28"/>
          <w:szCs w:val="28"/>
        </w:rPr>
        <w:t>нсне значення: &lt; 5 нг/мл) і карбогідратний антиген 19–9 (carbohydrate antigen 19–9 – CA 19–9; референсне значення: &lt; 37 Од/мл). Пі</w:t>
      </w:r>
      <w:r w:rsidRPr="00C62D22">
        <w:rPr>
          <w:rFonts w:ascii="Times New Roman" w:hAnsi="Times New Roman" w:cs="Times New Roman"/>
          <w:sz w:val="28"/>
          <w:szCs w:val="28"/>
        </w:rPr>
        <w:t>д</w:t>
      </w:r>
      <w:r w:rsidRPr="00C62D22">
        <w:rPr>
          <w:rFonts w:ascii="Times New Roman" w:hAnsi="Times New Roman" w:cs="Times New Roman"/>
          <w:sz w:val="28"/>
          <w:szCs w:val="28"/>
        </w:rPr>
        <w:t>вищення вмісту цих маркерів у плазмі крові пацієнта спричиняє підозру кістозної пухлини ПЗ. При цьому зл</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якісність пухлини прямо пропорційна концентраціям СЕА і СА 19–9 [334, 335]. </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У сучасній діагностиці ПК розповсюджене використання імунологічних маркерів. При цьому виявлені зміни концентрації протизапальних ЦК (IL–1, IL–6, IL–8, IL–10, IL–18, ТNF–α) у сироватці крові хворих у процесі ф</w:t>
      </w:r>
      <w:r w:rsidRPr="00C62D22">
        <w:rPr>
          <w:rFonts w:ascii="Times New Roman" w:hAnsi="Times New Roman" w:cs="Times New Roman"/>
          <w:sz w:val="28"/>
          <w:szCs w:val="28"/>
        </w:rPr>
        <w:t>о</w:t>
      </w:r>
      <w:r w:rsidRPr="00C62D22">
        <w:rPr>
          <w:rFonts w:ascii="Times New Roman" w:hAnsi="Times New Roman" w:cs="Times New Roman"/>
          <w:sz w:val="28"/>
          <w:szCs w:val="28"/>
        </w:rPr>
        <w:t>рмування ПК та зміни клітинної ланки імунної системи при вираженому та довг</w:t>
      </w:r>
      <w:r w:rsidRPr="00C62D22">
        <w:rPr>
          <w:rFonts w:ascii="Times New Roman" w:hAnsi="Times New Roman" w:cs="Times New Roman"/>
          <w:sz w:val="28"/>
          <w:szCs w:val="28"/>
        </w:rPr>
        <w:t>о</w:t>
      </w:r>
      <w:r w:rsidRPr="00C62D22">
        <w:rPr>
          <w:rFonts w:ascii="Times New Roman" w:hAnsi="Times New Roman" w:cs="Times New Roman"/>
          <w:sz w:val="28"/>
          <w:szCs w:val="28"/>
        </w:rPr>
        <w:t>тривалому перебігу запального процесу в ПЗ [36, 55, 125, 297, 379, 422].</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VEGF – потенційний мітоген для епітеліальних клітин судин. Він сильно впливає на проникність судин, є поту</w:t>
      </w:r>
      <w:r w:rsidRPr="00C62D22">
        <w:rPr>
          <w:rFonts w:ascii="Times New Roman" w:hAnsi="Times New Roman" w:cs="Times New Roman"/>
          <w:sz w:val="28"/>
          <w:szCs w:val="28"/>
        </w:rPr>
        <w:t>ж</w:t>
      </w:r>
      <w:r w:rsidRPr="00C62D22">
        <w:rPr>
          <w:rFonts w:ascii="Times New Roman" w:hAnsi="Times New Roman" w:cs="Times New Roman"/>
          <w:sz w:val="28"/>
          <w:szCs w:val="28"/>
        </w:rPr>
        <w:t>ним ангіогенним білком, бере участь у процесах неоваскуляризації при різних патологічних ситуаціях, вивчається в останні роки, у тому числі й при ХП та його ускладненнях [36, 369, 375].</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Останнім часом усе більше авторів вказують на зміни концентрацій ММП–9 та TІMП–2 у крові при всіх типах ПК ПЗ [36, 55, 125, 302, 379, 381, 411].</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На відміну плазми крові, рідинний вміст порожнини ПК перебуває в безпосередньому контакті з її прошарком. У зв’язку із цим, цінну інформацію для диференційної діагностики ПК ПЗ надає цитологічне, біохімічне та імунологі</w:t>
      </w:r>
      <w:r w:rsidRPr="00C62D22">
        <w:rPr>
          <w:rFonts w:ascii="Times New Roman" w:hAnsi="Times New Roman" w:cs="Times New Roman"/>
          <w:sz w:val="28"/>
          <w:szCs w:val="28"/>
        </w:rPr>
        <w:t>ч</w:t>
      </w:r>
      <w:r w:rsidRPr="00C62D22">
        <w:rPr>
          <w:rFonts w:ascii="Times New Roman" w:hAnsi="Times New Roman" w:cs="Times New Roman"/>
          <w:sz w:val="28"/>
          <w:szCs w:val="28"/>
        </w:rPr>
        <w:t xml:space="preserve">не дослідження рідинного вмісту ПК [300, 329, 344, 413]. При цитологічному </w:t>
      </w:r>
      <w:r w:rsidRPr="00C62D22">
        <w:rPr>
          <w:rFonts w:ascii="Times New Roman" w:hAnsi="Times New Roman" w:cs="Times New Roman"/>
          <w:sz w:val="28"/>
          <w:szCs w:val="28"/>
        </w:rPr>
        <w:lastRenderedPageBreak/>
        <w:t>дослідженні рід</w:t>
      </w:r>
      <w:r w:rsidRPr="00C62D22">
        <w:rPr>
          <w:rFonts w:ascii="Times New Roman" w:hAnsi="Times New Roman" w:cs="Times New Roman"/>
          <w:sz w:val="28"/>
          <w:szCs w:val="28"/>
        </w:rPr>
        <w:t>и</w:t>
      </w:r>
      <w:r w:rsidRPr="00C62D22">
        <w:rPr>
          <w:rFonts w:ascii="Times New Roman" w:hAnsi="Times New Roman" w:cs="Times New Roman"/>
          <w:sz w:val="28"/>
          <w:szCs w:val="28"/>
        </w:rPr>
        <w:t>на переважно ацелюлярна, містить детрит, волокна фібрину, некротизовані адип</w:t>
      </w:r>
      <w:r w:rsidRPr="00C62D22">
        <w:rPr>
          <w:rFonts w:ascii="Times New Roman" w:hAnsi="Times New Roman" w:cs="Times New Roman"/>
          <w:sz w:val="28"/>
          <w:szCs w:val="28"/>
        </w:rPr>
        <w:t>о</w:t>
      </w:r>
      <w:r w:rsidRPr="00C62D22">
        <w:rPr>
          <w:rFonts w:ascii="Times New Roman" w:hAnsi="Times New Roman" w:cs="Times New Roman"/>
          <w:sz w:val="28"/>
          <w:szCs w:val="28"/>
        </w:rPr>
        <w:t>цити, гематоїдин, рідкі скупчення гістіоцитів. Муцин у рідині ПК відсу</w:t>
      </w:r>
      <w:r w:rsidRPr="00C62D22">
        <w:rPr>
          <w:rFonts w:ascii="Times New Roman" w:hAnsi="Times New Roman" w:cs="Times New Roman"/>
          <w:sz w:val="28"/>
          <w:szCs w:val="28"/>
        </w:rPr>
        <w:t>т</w:t>
      </w:r>
      <w:r w:rsidRPr="00C62D22">
        <w:rPr>
          <w:rFonts w:ascii="Times New Roman" w:hAnsi="Times New Roman" w:cs="Times New Roman"/>
          <w:sz w:val="28"/>
          <w:szCs w:val="28"/>
        </w:rPr>
        <w:t>ній у всіх випадках. У рідині недавно сформованих, а також довготривало існуючих ПК, порожнини яких з’єднані з протоковою сист</w:t>
      </w:r>
      <w:r w:rsidRPr="00C62D22">
        <w:rPr>
          <w:rFonts w:ascii="Times New Roman" w:hAnsi="Times New Roman" w:cs="Times New Roman"/>
          <w:sz w:val="28"/>
          <w:szCs w:val="28"/>
        </w:rPr>
        <w:t>е</w:t>
      </w:r>
      <w:r w:rsidRPr="00C62D22">
        <w:rPr>
          <w:rFonts w:ascii="Times New Roman" w:hAnsi="Times New Roman" w:cs="Times New Roman"/>
          <w:sz w:val="28"/>
          <w:szCs w:val="28"/>
        </w:rPr>
        <w:t>мою ПЗ, визначаються високі концентрації амілази та ліпази. Із часом ферменти денатурують та їх концентр</w:t>
      </w:r>
      <w:r w:rsidRPr="00C62D22">
        <w:rPr>
          <w:rFonts w:ascii="Times New Roman" w:hAnsi="Times New Roman" w:cs="Times New Roman"/>
          <w:sz w:val="28"/>
          <w:szCs w:val="28"/>
        </w:rPr>
        <w:t>а</w:t>
      </w:r>
      <w:r w:rsidRPr="00C62D22">
        <w:rPr>
          <w:rFonts w:ascii="Times New Roman" w:hAnsi="Times New Roman" w:cs="Times New Roman"/>
          <w:sz w:val="28"/>
          <w:szCs w:val="28"/>
        </w:rPr>
        <w:t>ція в рідині ПК у декотрій мірі знижується, але ніколи не знижується нижче за 250 Од/л. Пухлинні маркери (СЕА, СЕ 19–9) або повністю відсутні, або визначаються в незначних концентраціях (&lt; 5 нг/мл та &lt; 37 Од/мл відп</w:t>
      </w:r>
      <w:r w:rsidRPr="00C62D22">
        <w:rPr>
          <w:rFonts w:ascii="Times New Roman" w:hAnsi="Times New Roman" w:cs="Times New Roman"/>
          <w:sz w:val="28"/>
          <w:szCs w:val="28"/>
        </w:rPr>
        <w:t>о</w:t>
      </w:r>
      <w:r w:rsidRPr="00C62D22">
        <w:rPr>
          <w:rFonts w:ascii="Times New Roman" w:hAnsi="Times New Roman" w:cs="Times New Roman"/>
          <w:sz w:val="28"/>
          <w:szCs w:val="28"/>
        </w:rPr>
        <w:t>відно).</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Найбільш швидким, безпечним та інформативним методом інструмент</w:t>
      </w:r>
      <w:r w:rsidRPr="00C62D22">
        <w:rPr>
          <w:rFonts w:ascii="Times New Roman" w:hAnsi="Times New Roman" w:cs="Times New Roman"/>
          <w:sz w:val="28"/>
          <w:szCs w:val="28"/>
        </w:rPr>
        <w:t>а</w:t>
      </w:r>
      <w:r w:rsidRPr="00C62D22">
        <w:rPr>
          <w:rFonts w:ascii="Times New Roman" w:hAnsi="Times New Roman" w:cs="Times New Roman"/>
          <w:sz w:val="28"/>
          <w:szCs w:val="28"/>
        </w:rPr>
        <w:t>льного дослідження ПК ПЗ є УЗД, яке дозволяє визначити об’єм патолог</w:t>
      </w:r>
      <w:r w:rsidRPr="00C62D22">
        <w:rPr>
          <w:rFonts w:ascii="Times New Roman" w:hAnsi="Times New Roman" w:cs="Times New Roman"/>
          <w:sz w:val="28"/>
          <w:szCs w:val="28"/>
        </w:rPr>
        <w:t>і</w:t>
      </w:r>
      <w:r w:rsidRPr="00C62D22">
        <w:rPr>
          <w:rFonts w:ascii="Times New Roman" w:hAnsi="Times New Roman" w:cs="Times New Roman"/>
          <w:sz w:val="28"/>
          <w:szCs w:val="28"/>
        </w:rPr>
        <w:t>чних змін у ПЗ та оточуючих тканинах, виявити найбільш ранні ознаки фо</w:t>
      </w:r>
      <w:r w:rsidRPr="00C62D22">
        <w:rPr>
          <w:rFonts w:ascii="Times New Roman" w:hAnsi="Times New Roman" w:cs="Times New Roman"/>
          <w:sz w:val="28"/>
          <w:szCs w:val="28"/>
        </w:rPr>
        <w:t>р</w:t>
      </w:r>
      <w:r w:rsidRPr="00C62D22">
        <w:rPr>
          <w:rFonts w:ascii="Times New Roman" w:hAnsi="Times New Roman" w:cs="Times New Roman"/>
          <w:sz w:val="28"/>
          <w:szCs w:val="28"/>
        </w:rPr>
        <w:t>мування ПК, а також простежити характер змін рідинних колекторів на різних стадіях їх ро</w:t>
      </w:r>
      <w:r w:rsidRPr="00C62D22">
        <w:rPr>
          <w:rFonts w:ascii="Times New Roman" w:hAnsi="Times New Roman" w:cs="Times New Roman"/>
          <w:sz w:val="28"/>
          <w:szCs w:val="28"/>
        </w:rPr>
        <w:t>з</w:t>
      </w:r>
      <w:r w:rsidRPr="00C62D22">
        <w:rPr>
          <w:rFonts w:ascii="Times New Roman" w:hAnsi="Times New Roman" w:cs="Times New Roman"/>
          <w:sz w:val="28"/>
          <w:szCs w:val="28"/>
        </w:rPr>
        <w:t>витку, не застосовуючи іонізуюче випромінювання чи дію електромагнітних хвиль [53, 66, 112, 132, 177, 179]. При трансабдомінальному УЗД ПК ПЗ являє собою кругле порожнинне утворення із чіткою стінкою та дистальним акустичним посиленням. У порожнині постнекротичної ПК відзначаються ехогенні секвес</w:t>
      </w:r>
      <w:r w:rsidRPr="00C62D22">
        <w:rPr>
          <w:rFonts w:ascii="Times New Roman" w:hAnsi="Times New Roman" w:cs="Times New Roman"/>
          <w:sz w:val="28"/>
          <w:szCs w:val="28"/>
        </w:rPr>
        <w:t>т</w:t>
      </w:r>
      <w:r w:rsidRPr="00C62D22">
        <w:rPr>
          <w:rFonts w:ascii="Times New Roman" w:hAnsi="Times New Roman" w:cs="Times New Roman"/>
          <w:sz w:val="28"/>
          <w:szCs w:val="28"/>
        </w:rPr>
        <w:t>ри, які, у декотрих випадках, неможливо відрізнити від пристінкових розро</w:t>
      </w:r>
      <w:r w:rsidRPr="00C62D22">
        <w:rPr>
          <w:rFonts w:ascii="Times New Roman" w:hAnsi="Times New Roman" w:cs="Times New Roman"/>
          <w:sz w:val="28"/>
          <w:szCs w:val="28"/>
        </w:rPr>
        <w:t>с</w:t>
      </w:r>
      <w:r w:rsidRPr="00C62D22">
        <w:rPr>
          <w:rFonts w:ascii="Times New Roman" w:hAnsi="Times New Roman" w:cs="Times New Roman"/>
          <w:sz w:val="28"/>
          <w:szCs w:val="28"/>
        </w:rPr>
        <w:t>тань кістозних пухлин ПЗ [103, 240, 289]. Ехоструктура ПК стає більш комплексною при кровотечі у поро</w:t>
      </w:r>
      <w:r w:rsidRPr="00C62D22">
        <w:rPr>
          <w:rFonts w:ascii="Times New Roman" w:hAnsi="Times New Roman" w:cs="Times New Roman"/>
          <w:sz w:val="28"/>
          <w:szCs w:val="28"/>
        </w:rPr>
        <w:t>ж</w:t>
      </w:r>
      <w:r w:rsidRPr="00C62D22">
        <w:rPr>
          <w:rFonts w:ascii="Times New Roman" w:hAnsi="Times New Roman" w:cs="Times New Roman"/>
          <w:sz w:val="28"/>
          <w:szCs w:val="28"/>
        </w:rPr>
        <w:t>нину ПК та нагноєнні її вмісту [32, 126, 181]. Використання допплерографії дозволяє візуалізувати псевдоаневризми в стінці ПК, скомпрометовані судини та кров</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ток у ПК ПЗ [96, 119, 168, 173, 272, 351].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Не можна не згадати використання УЗД у якості методу для візуального контролю крізьшкірних пункційних маніпуляцій [71, 102, 156, 166, 252, 295].</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Недоліком методу є його неспроможність візуалізувати утворення, що оточені кістковими структурами чи петлями кишківника, які містять газ. У т</w:t>
      </w:r>
      <w:r w:rsidRPr="00C62D22">
        <w:rPr>
          <w:rFonts w:ascii="Times New Roman" w:hAnsi="Times New Roman" w:cs="Times New Roman"/>
          <w:sz w:val="28"/>
          <w:szCs w:val="28"/>
        </w:rPr>
        <w:t>а</w:t>
      </w:r>
      <w:r w:rsidRPr="00C62D22">
        <w:rPr>
          <w:rFonts w:ascii="Times New Roman" w:hAnsi="Times New Roman" w:cs="Times New Roman"/>
          <w:sz w:val="28"/>
          <w:szCs w:val="28"/>
        </w:rPr>
        <w:t>ких випадках покращенню якості картини сприяє пероральний прийом паціє</w:t>
      </w:r>
      <w:r w:rsidRPr="00C62D22">
        <w:rPr>
          <w:rFonts w:ascii="Times New Roman" w:hAnsi="Times New Roman" w:cs="Times New Roman"/>
          <w:sz w:val="28"/>
          <w:szCs w:val="28"/>
        </w:rPr>
        <w:t>н</w:t>
      </w:r>
      <w:r w:rsidRPr="00C62D22">
        <w:rPr>
          <w:rFonts w:ascii="Times New Roman" w:hAnsi="Times New Roman" w:cs="Times New Roman"/>
          <w:sz w:val="28"/>
          <w:szCs w:val="28"/>
        </w:rPr>
        <w:t>том рідини, зміна положення тіла хворого під час дослідження та компресія датчиком на передню черевну стінку з метою зміщення петель кишківника. Чу</w:t>
      </w:r>
      <w:r w:rsidRPr="00C62D22">
        <w:rPr>
          <w:rFonts w:ascii="Times New Roman" w:hAnsi="Times New Roman" w:cs="Times New Roman"/>
          <w:sz w:val="28"/>
          <w:szCs w:val="28"/>
        </w:rPr>
        <w:t>т</w:t>
      </w:r>
      <w:r w:rsidRPr="00C62D22">
        <w:rPr>
          <w:rFonts w:ascii="Times New Roman" w:hAnsi="Times New Roman" w:cs="Times New Roman"/>
          <w:sz w:val="28"/>
          <w:szCs w:val="28"/>
        </w:rPr>
        <w:t>ливість УЗД у діагностиці ПК ПЗ становить 80 % [29, 53, 134, 177].</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З метою підвищення діагностичної точності УЗД та розширення можл</w:t>
      </w:r>
      <w:r w:rsidRPr="00C62D22">
        <w:rPr>
          <w:rFonts w:ascii="Times New Roman" w:hAnsi="Times New Roman" w:cs="Times New Roman"/>
          <w:sz w:val="28"/>
          <w:szCs w:val="28"/>
        </w:rPr>
        <w:t>и</w:t>
      </w:r>
      <w:r w:rsidRPr="00C62D22">
        <w:rPr>
          <w:rFonts w:ascii="Times New Roman" w:hAnsi="Times New Roman" w:cs="Times New Roman"/>
          <w:sz w:val="28"/>
          <w:szCs w:val="28"/>
        </w:rPr>
        <w:t>востей її застосування розроблені та введені в практику такі модифікації цього методу, як: УЗД з внутрішньовенним контрастуванням та 3D–ультрасонографія. УЗД з внутрішньовенним контрастуванням дозволяє вик</w:t>
      </w:r>
      <w:r w:rsidRPr="00C62D22">
        <w:rPr>
          <w:rFonts w:ascii="Times New Roman" w:hAnsi="Times New Roman" w:cs="Times New Roman"/>
          <w:sz w:val="28"/>
          <w:szCs w:val="28"/>
        </w:rPr>
        <w:t>о</w:t>
      </w:r>
      <w:r w:rsidRPr="00C62D22">
        <w:rPr>
          <w:rFonts w:ascii="Times New Roman" w:hAnsi="Times New Roman" w:cs="Times New Roman"/>
          <w:sz w:val="28"/>
          <w:szCs w:val="28"/>
        </w:rPr>
        <w:t>нати достатньо точне дослідження морфології кістозних утворень ПЗ та пр</w:t>
      </w:r>
      <w:r w:rsidRPr="00C62D22">
        <w:rPr>
          <w:rFonts w:ascii="Times New Roman" w:hAnsi="Times New Roman" w:cs="Times New Roman"/>
          <w:sz w:val="28"/>
          <w:szCs w:val="28"/>
        </w:rPr>
        <w:t>и</w:t>
      </w:r>
      <w:r w:rsidRPr="00C62D22">
        <w:rPr>
          <w:rFonts w:ascii="Times New Roman" w:hAnsi="Times New Roman" w:cs="Times New Roman"/>
          <w:sz w:val="28"/>
          <w:szCs w:val="28"/>
        </w:rPr>
        <w:t>леглих до них дрібних судин. Недоліком цього методу є його неспроможність контрастно візуалізув</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ти глибокі структури, розташовані на довжині </w:t>
      </w:r>
      <w:smartTag w:uri="urn:schemas-microsoft-com:office:smarttags" w:element="metricconverter">
        <w:smartTagPr>
          <w:attr w:name="ProductID" w:val="10 см"/>
        </w:smartTagPr>
        <w:r w:rsidRPr="00C62D22">
          <w:rPr>
            <w:rFonts w:ascii="Times New Roman" w:hAnsi="Times New Roman" w:cs="Times New Roman"/>
            <w:sz w:val="28"/>
            <w:szCs w:val="28"/>
          </w:rPr>
          <w:t>10 см</w:t>
        </w:r>
      </w:smartTag>
      <w:r w:rsidRPr="00C62D22">
        <w:rPr>
          <w:rFonts w:ascii="Times New Roman" w:hAnsi="Times New Roman" w:cs="Times New Roman"/>
          <w:sz w:val="28"/>
          <w:szCs w:val="28"/>
        </w:rPr>
        <w:t xml:space="preserve"> та більше від ультразвук</w:t>
      </w:r>
      <w:r w:rsidRPr="00C62D22">
        <w:rPr>
          <w:rFonts w:ascii="Times New Roman" w:hAnsi="Times New Roman" w:cs="Times New Roman"/>
          <w:sz w:val="28"/>
          <w:szCs w:val="28"/>
        </w:rPr>
        <w:t>о</w:t>
      </w:r>
      <w:r w:rsidRPr="00C62D22">
        <w:rPr>
          <w:rFonts w:ascii="Times New Roman" w:hAnsi="Times New Roman" w:cs="Times New Roman"/>
          <w:sz w:val="28"/>
          <w:szCs w:val="28"/>
        </w:rPr>
        <w:t>вого датчика [149, 333, 431]. В останні роки з'явилися згадки про застосування 3D–ультрасонографії в абдомінальній хірургії та панкреатології [149, 333]. На відміну від традиційн</w:t>
      </w:r>
      <w:r w:rsidRPr="00C62D22">
        <w:rPr>
          <w:rFonts w:ascii="Times New Roman" w:hAnsi="Times New Roman" w:cs="Times New Roman"/>
          <w:sz w:val="28"/>
          <w:szCs w:val="28"/>
        </w:rPr>
        <w:t>о</w:t>
      </w:r>
      <w:r w:rsidRPr="00C62D22">
        <w:rPr>
          <w:rFonts w:ascii="Times New Roman" w:hAnsi="Times New Roman" w:cs="Times New Roman"/>
          <w:sz w:val="28"/>
          <w:szCs w:val="28"/>
        </w:rPr>
        <w:t>го двомірного УЗД, 3D–ультрасонографія дозволяє отримати трьохмірне зображення кістозного утворення ПЗ, протокової системи органа та прил</w:t>
      </w:r>
      <w:r w:rsidRPr="00C62D22">
        <w:rPr>
          <w:rFonts w:ascii="Times New Roman" w:hAnsi="Times New Roman" w:cs="Times New Roman"/>
          <w:sz w:val="28"/>
          <w:szCs w:val="28"/>
        </w:rPr>
        <w:t>е</w:t>
      </w:r>
      <w:r w:rsidRPr="00C62D22">
        <w:rPr>
          <w:rFonts w:ascii="Times New Roman" w:hAnsi="Times New Roman" w:cs="Times New Roman"/>
          <w:sz w:val="28"/>
          <w:szCs w:val="28"/>
        </w:rPr>
        <w:t>глих до нього судин, а також відстежити більш точніше, ніж при двомірному зображенні, проведення пункційної голки до порожнини ПК. Зд</w:t>
      </w:r>
      <w:r w:rsidRPr="00C62D22">
        <w:rPr>
          <w:rFonts w:ascii="Times New Roman" w:hAnsi="Times New Roman" w:cs="Times New Roman"/>
          <w:sz w:val="28"/>
          <w:szCs w:val="28"/>
        </w:rPr>
        <w:t>а</w:t>
      </w:r>
      <w:r w:rsidRPr="00C62D22">
        <w:rPr>
          <w:rFonts w:ascii="Times New Roman" w:hAnsi="Times New Roman" w:cs="Times New Roman"/>
          <w:sz w:val="28"/>
          <w:szCs w:val="28"/>
        </w:rPr>
        <w:t>тність 3D–ультрасонографії виконувати трьохмірну реконструкцію ГПП дозволяє визн</w:t>
      </w:r>
      <w:r w:rsidRPr="00C62D22">
        <w:rPr>
          <w:rFonts w:ascii="Times New Roman" w:hAnsi="Times New Roman" w:cs="Times New Roman"/>
          <w:sz w:val="28"/>
          <w:szCs w:val="28"/>
        </w:rPr>
        <w:t>а</w:t>
      </w:r>
      <w:r w:rsidRPr="00C62D22">
        <w:rPr>
          <w:rFonts w:ascii="Times New Roman" w:hAnsi="Times New Roman" w:cs="Times New Roman"/>
          <w:sz w:val="28"/>
          <w:szCs w:val="28"/>
        </w:rPr>
        <w:t>чити наявність співустя порожнини ПК із Вірсунговою протокою. Це ст</w:t>
      </w:r>
      <w:r w:rsidRPr="00C62D22">
        <w:rPr>
          <w:rFonts w:ascii="Times New Roman" w:hAnsi="Times New Roman" w:cs="Times New Roman"/>
          <w:sz w:val="28"/>
          <w:szCs w:val="28"/>
        </w:rPr>
        <w:t>а</w:t>
      </w:r>
      <w:r w:rsidRPr="00C62D22">
        <w:rPr>
          <w:rFonts w:ascii="Times New Roman" w:hAnsi="Times New Roman" w:cs="Times New Roman"/>
          <w:sz w:val="28"/>
          <w:szCs w:val="28"/>
        </w:rPr>
        <w:t>вить 3D–ультрасонографію в одну низку з інструментальними, як: ЕРХПГ та МРХПГ [339]. Рух об’єктів (пульсації артерій, рух пункційної голки) при 3D–ультрасонографії спостерігати не вдається. Для отримання динамічної 3D–картини в реальному часі розр</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блено 4D–ультрасонографію [141]. </w:t>
      </w:r>
    </w:p>
    <w:p w:rsidR="0021764E" w:rsidRPr="00C62D22" w:rsidRDefault="0021764E" w:rsidP="0021764E">
      <w:pPr>
        <w:widowControl w:val="0"/>
        <w:spacing w:after="0" w:line="360" w:lineRule="auto"/>
        <w:ind w:firstLine="540"/>
        <w:jc w:val="both"/>
        <w:rPr>
          <w:rFonts w:ascii="Times New Roman" w:eastAsia="Times-Roman" w:hAnsi="Times New Roman" w:cs="Times New Roman"/>
          <w:sz w:val="28"/>
          <w:szCs w:val="28"/>
          <w:lang w:bidi="or-IN"/>
        </w:rPr>
      </w:pPr>
      <w:r w:rsidRPr="00C62D22">
        <w:rPr>
          <w:rFonts w:ascii="Times New Roman" w:eastAsia="Times-Roman" w:hAnsi="Times New Roman" w:cs="Times New Roman"/>
          <w:sz w:val="28"/>
          <w:szCs w:val="28"/>
          <w:lang w:bidi="or-IN"/>
        </w:rPr>
        <w:t>Із впровадженням до клінічної практики МСКТ суттєво покращилися можл</w:t>
      </w:r>
      <w:r w:rsidRPr="00C62D22">
        <w:rPr>
          <w:rFonts w:ascii="Times New Roman" w:eastAsia="Times-Roman" w:hAnsi="Times New Roman" w:cs="Times New Roman"/>
          <w:sz w:val="28"/>
          <w:szCs w:val="28"/>
          <w:lang w:bidi="or-IN"/>
        </w:rPr>
        <w:t>и</w:t>
      </w:r>
      <w:r w:rsidRPr="00C62D22">
        <w:rPr>
          <w:rFonts w:ascii="Times New Roman" w:eastAsia="Times-Roman" w:hAnsi="Times New Roman" w:cs="Times New Roman"/>
          <w:sz w:val="28"/>
          <w:szCs w:val="28"/>
          <w:lang w:bidi="or-IN"/>
        </w:rPr>
        <w:t xml:space="preserve">вості візуалізації ПЗ </w:t>
      </w:r>
      <w:r w:rsidRPr="00C62D22">
        <w:rPr>
          <w:rFonts w:ascii="Times New Roman" w:hAnsi="Times New Roman" w:cs="Times New Roman"/>
          <w:sz w:val="28"/>
          <w:szCs w:val="28"/>
        </w:rPr>
        <w:t>[61, 100, 146, 328, 402]</w:t>
      </w:r>
      <w:r w:rsidRPr="00C62D22">
        <w:rPr>
          <w:rFonts w:ascii="Times New Roman" w:eastAsia="Times-Roman" w:hAnsi="Times New Roman" w:cs="Times New Roman"/>
          <w:sz w:val="28"/>
          <w:szCs w:val="28"/>
          <w:lang w:bidi="or-IN"/>
        </w:rPr>
        <w:t>. Збільшилася кількість доступних протоколів контра</w:t>
      </w:r>
      <w:r w:rsidRPr="00C62D22">
        <w:rPr>
          <w:rFonts w:ascii="Times New Roman" w:eastAsia="Times-Roman" w:hAnsi="Times New Roman" w:cs="Times New Roman"/>
          <w:sz w:val="28"/>
          <w:szCs w:val="28"/>
          <w:lang w:bidi="or-IN"/>
        </w:rPr>
        <w:t>с</w:t>
      </w:r>
      <w:r w:rsidRPr="00C62D22">
        <w:rPr>
          <w:rFonts w:ascii="Times New Roman" w:eastAsia="Times-Roman" w:hAnsi="Times New Roman" w:cs="Times New Roman"/>
          <w:sz w:val="28"/>
          <w:szCs w:val="28"/>
          <w:lang w:bidi="or-IN"/>
        </w:rPr>
        <w:t>тування органів, кожний з яких дозволяє вирішувати специфічні діагностичні завдання. Іншою перевагою мультидетекторної технології є можливість формув</w:t>
      </w:r>
      <w:r w:rsidRPr="00C62D22">
        <w:rPr>
          <w:rFonts w:ascii="Times New Roman" w:eastAsia="Times-Roman" w:hAnsi="Times New Roman" w:cs="Times New Roman"/>
          <w:sz w:val="28"/>
          <w:szCs w:val="28"/>
          <w:lang w:bidi="or-IN"/>
        </w:rPr>
        <w:t>а</w:t>
      </w:r>
      <w:r w:rsidRPr="00C62D22">
        <w:rPr>
          <w:rFonts w:ascii="Times New Roman" w:eastAsia="Times-Roman" w:hAnsi="Times New Roman" w:cs="Times New Roman"/>
          <w:sz w:val="28"/>
          <w:szCs w:val="28"/>
          <w:lang w:bidi="or-IN"/>
        </w:rPr>
        <w:t>ти зображення в різних площинах, що дозволяє реконструювати двох- або трьохмірну картину протокових структур та судин [</w:t>
      </w:r>
      <w:r w:rsidRPr="00C62D22">
        <w:rPr>
          <w:rFonts w:ascii="Times New Roman" w:hAnsi="Times New Roman" w:cs="Times New Roman"/>
          <w:sz w:val="28"/>
          <w:szCs w:val="28"/>
        </w:rPr>
        <w:t>174, 205, 235, 240</w:t>
      </w:r>
      <w:r w:rsidRPr="00C62D22">
        <w:rPr>
          <w:rFonts w:ascii="Times New Roman" w:eastAsia="Times-Roman" w:hAnsi="Times New Roman" w:cs="Times New Roman"/>
          <w:sz w:val="28"/>
          <w:szCs w:val="28"/>
          <w:lang w:bidi="or-IN"/>
        </w:rPr>
        <w:t>].</w:t>
      </w:r>
      <w:r w:rsidRPr="00C62D22">
        <w:rPr>
          <w:rFonts w:ascii="Times New Roman" w:hAnsi="Times New Roman" w:cs="Times New Roman"/>
          <w:sz w:val="28"/>
          <w:szCs w:val="28"/>
        </w:rPr>
        <w:t xml:space="preserve"> На МСКТ ПК ПЗ являє собою гіподенсивне кругле рідинне утворення з добре вираженою щіл</w:t>
      </w:r>
      <w:r w:rsidRPr="00C62D22">
        <w:rPr>
          <w:rFonts w:ascii="Times New Roman" w:hAnsi="Times New Roman" w:cs="Times New Roman"/>
          <w:sz w:val="28"/>
          <w:szCs w:val="28"/>
        </w:rPr>
        <w:t>ь</w:t>
      </w:r>
      <w:r w:rsidRPr="00C62D22">
        <w:rPr>
          <w:rFonts w:ascii="Times New Roman" w:hAnsi="Times New Roman" w:cs="Times New Roman"/>
          <w:sz w:val="28"/>
          <w:szCs w:val="28"/>
        </w:rPr>
        <w:t>ною стінкою, яке прилягає до ПЗ та розташовується у її паренхімі. МСКТ надає повну інформацію щодо анатомічних співвідношень кістозного утворення з навкол</w:t>
      </w:r>
      <w:r w:rsidRPr="00C62D22">
        <w:rPr>
          <w:rFonts w:ascii="Times New Roman" w:hAnsi="Times New Roman" w:cs="Times New Roman"/>
          <w:sz w:val="28"/>
          <w:szCs w:val="28"/>
        </w:rPr>
        <w:t>и</w:t>
      </w:r>
      <w:r w:rsidRPr="00C62D22">
        <w:rPr>
          <w:rFonts w:ascii="Times New Roman" w:hAnsi="Times New Roman" w:cs="Times New Roman"/>
          <w:sz w:val="28"/>
          <w:szCs w:val="28"/>
        </w:rPr>
        <w:t>шніми органами та судинами, а також щодо супутніх патологічних змін: ро</w:t>
      </w:r>
      <w:r w:rsidRPr="00C62D22">
        <w:rPr>
          <w:rFonts w:ascii="Times New Roman" w:hAnsi="Times New Roman" w:cs="Times New Roman"/>
          <w:sz w:val="28"/>
          <w:szCs w:val="28"/>
        </w:rPr>
        <w:t>з</w:t>
      </w:r>
      <w:r w:rsidRPr="00C62D22">
        <w:rPr>
          <w:rFonts w:ascii="Times New Roman" w:hAnsi="Times New Roman" w:cs="Times New Roman"/>
          <w:sz w:val="28"/>
          <w:szCs w:val="28"/>
        </w:rPr>
        <w:t xml:space="preserve">ширення та кальцифікації ГПП, розширення ЗЖП, наявності </w:t>
      </w:r>
      <w:r w:rsidRPr="00C62D22">
        <w:rPr>
          <w:rFonts w:ascii="Times New Roman" w:hAnsi="Times New Roman" w:cs="Times New Roman"/>
          <w:sz w:val="28"/>
          <w:szCs w:val="28"/>
        </w:rPr>
        <w:lastRenderedPageBreak/>
        <w:t>артеріальних псевдоаневризм, що прилягають до стінки ПК [328, 421]. Викор</w:t>
      </w:r>
      <w:r w:rsidRPr="00C62D22">
        <w:rPr>
          <w:rFonts w:ascii="Times New Roman" w:hAnsi="Times New Roman" w:cs="Times New Roman"/>
          <w:sz w:val="28"/>
          <w:szCs w:val="28"/>
        </w:rPr>
        <w:t>и</w:t>
      </w:r>
      <w:r w:rsidRPr="00C62D22">
        <w:rPr>
          <w:rFonts w:ascii="Times New Roman" w:hAnsi="Times New Roman" w:cs="Times New Roman"/>
          <w:sz w:val="28"/>
          <w:szCs w:val="28"/>
        </w:rPr>
        <w:t>стання МСКТ–зображень, реконструйованих у зігнутих площинах, дозволяє візуалізув</w:t>
      </w:r>
      <w:r w:rsidRPr="00C62D22">
        <w:rPr>
          <w:rFonts w:ascii="Times New Roman" w:hAnsi="Times New Roman" w:cs="Times New Roman"/>
          <w:sz w:val="28"/>
          <w:szCs w:val="28"/>
        </w:rPr>
        <w:t>а</w:t>
      </w:r>
      <w:r w:rsidRPr="00C62D22">
        <w:rPr>
          <w:rFonts w:ascii="Times New Roman" w:hAnsi="Times New Roman" w:cs="Times New Roman"/>
          <w:sz w:val="28"/>
          <w:szCs w:val="28"/>
        </w:rPr>
        <w:t>ти співустя порожнини ПК із протоковою системою ПЗ. Чутливість МСКТ у діа</w:t>
      </w:r>
      <w:r w:rsidRPr="00C62D22">
        <w:rPr>
          <w:rFonts w:ascii="Times New Roman" w:hAnsi="Times New Roman" w:cs="Times New Roman"/>
          <w:sz w:val="28"/>
          <w:szCs w:val="28"/>
        </w:rPr>
        <w:t>г</w:t>
      </w:r>
      <w:r w:rsidRPr="00C62D22">
        <w:rPr>
          <w:rFonts w:ascii="Times New Roman" w:hAnsi="Times New Roman" w:cs="Times New Roman"/>
          <w:sz w:val="28"/>
          <w:szCs w:val="28"/>
        </w:rPr>
        <w:t>ностиці ПК ПЗ становить 90–100% [61, 146, 174, 235, 240].</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eastAsia="Times-Roman" w:hAnsi="Times New Roman" w:cs="Times New Roman"/>
          <w:sz w:val="28"/>
          <w:szCs w:val="28"/>
          <w:lang w:bidi="or-IN"/>
        </w:rPr>
        <w:t>Високе розрішення картини, швидка реконструкція протокових, артеріал</w:t>
      </w:r>
      <w:r w:rsidRPr="00C62D22">
        <w:rPr>
          <w:rFonts w:ascii="Times New Roman" w:eastAsia="Times-Roman" w:hAnsi="Times New Roman" w:cs="Times New Roman"/>
          <w:sz w:val="28"/>
          <w:szCs w:val="28"/>
          <w:lang w:bidi="or-IN"/>
        </w:rPr>
        <w:t>ь</w:t>
      </w:r>
      <w:r w:rsidRPr="00C62D22">
        <w:rPr>
          <w:rFonts w:ascii="Times New Roman" w:eastAsia="Times-Roman" w:hAnsi="Times New Roman" w:cs="Times New Roman"/>
          <w:sz w:val="28"/>
          <w:szCs w:val="28"/>
          <w:lang w:bidi="or-IN"/>
        </w:rPr>
        <w:t>них та венозних структур, які не поступають радіаційній ангіографії, а також можливість одночасної візуалізації печінки та легень, зумовлюють високу то</w:t>
      </w:r>
      <w:r w:rsidRPr="00C62D22">
        <w:rPr>
          <w:rFonts w:ascii="Times New Roman" w:eastAsia="Times-Roman" w:hAnsi="Times New Roman" w:cs="Times New Roman"/>
          <w:sz w:val="28"/>
          <w:szCs w:val="28"/>
          <w:lang w:bidi="or-IN"/>
        </w:rPr>
        <w:t>ч</w:t>
      </w:r>
      <w:r w:rsidRPr="00C62D22">
        <w:rPr>
          <w:rFonts w:ascii="Times New Roman" w:eastAsia="Times-Roman" w:hAnsi="Times New Roman" w:cs="Times New Roman"/>
          <w:sz w:val="28"/>
          <w:szCs w:val="28"/>
          <w:lang w:bidi="or-IN"/>
        </w:rPr>
        <w:t xml:space="preserve">ність МСКТ у діагностиці та стадіюванні пухлинних утворень ПЗ </w:t>
      </w:r>
      <w:r w:rsidRPr="00C62D22">
        <w:rPr>
          <w:rFonts w:ascii="Times New Roman" w:hAnsi="Times New Roman" w:cs="Times New Roman"/>
          <w:sz w:val="28"/>
          <w:szCs w:val="28"/>
        </w:rPr>
        <w:t>[147 ].</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На сьогодні ЕРХПГ не застосовується для рутинної діагностики ПК ПЗ. Однак, ЕРХПГ дозволяє отримати найбільш детальне зображення протокової системи ПЗ та визначити її співустя з порожниною ПК. Ця інформація має ключове значення для вибору ефективного та найменш травматичного методу лікування [341, 367].</w:t>
      </w:r>
    </w:p>
    <w:p w:rsidR="0021764E" w:rsidRPr="00C62D22" w:rsidRDefault="0021764E" w:rsidP="0021764E">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Під час ЕРХПГ є можливим узяття матеріалу для гістолог</w:t>
      </w:r>
      <w:r w:rsidRPr="00C62D22">
        <w:rPr>
          <w:rFonts w:ascii="Times New Roman" w:hAnsi="Times New Roman" w:cs="Times New Roman"/>
          <w:sz w:val="28"/>
          <w:szCs w:val="28"/>
        </w:rPr>
        <w:t>і</w:t>
      </w:r>
      <w:r w:rsidRPr="00C62D22">
        <w:rPr>
          <w:rFonts w:ascii="Times New Roman" w:hAnsi="Times New Roman" w:cs="Times New Roman"/>
          <w:sz w:val="28"/>
          <w:szCs w:val="28"/>
        </w:rPr>
        <w:t>чного та цитологічного досліджень, а також низка лікувальних маніпуляцій. ЕРХПГ надає детальне зображення ГПП ПЗ, на основі якого можливе пров</w:t>
      </w:r>
      <w:r w:rsidRPr="00C62D22">
        <w:rPr>
          <w:rFonts w:ascii="Times New Roman" w:hAnsi="Times New Roman" w:cs="Times New Roman"/>
          <w:sz w:val="28"/>
          <w:szCs w:val="28"/>
        </w:rPr>
        <w:t>е</w:t>
      </w:r>
      <w:r w:rsidRPr="00C62D22">
        <w:rPr>
          <w:rFonts w:ascii="Times New Roman" w:hAnsi="Times New Roman" w:cs="Times New Roman"/>
          <w:sz w:val="28"/>
          <w:szCs w:val="28"/>
        </w:rPr>
        <w:t>дення діагностики ПК, ретенційних кіст та внутрішньопротокових муцино</w:t>
      </w:r>
      <w:r w:rsidRPr="00C62D22">
        <w:rPr>
          <w:rFonts w:ascii="Times New Roman" w:hAnsi="Times New Roman" w:cs="Times New Roman"/>
          <w:sz w:val="28"/>
          <w:szCs w:val="28"/>
        </w:rPr>
        <w:t>з</w:t>
      </w:r>
      <w:r w:rsidRPr="00C62D22">
        <w:rPr>
          <w:rFonts w:ascii="Times New Roman" w:hAnsi="Times New Roman" w:cs="Times New Roman"/>
          <w:sz w:val="28"/>
          <w:szCs w:val="28"/>
        </w:rPr>
        <w:t>них пухлин. Оскільки ЕРХПГ має ризик інфікування вмісту кісти, його слід супр</w:t>
      </w:r>
      <w:r w:rsidRPr="00C62D22">
        <w:rPr>
          <w:rFonts w:ascii="Times New Roman" w:hAnsi="Times New Roman" w:cs="Times New Roman"/>
          <w:sz w:val="28"/>
          <w:szCs w:val="28"/>
        </w:rPr>
        <w:t>о</w:t>
      </w:r>
      <w:r w:rsidRPr="00C62D22">
        <w:rPr>
          <w:rFonts w:ascii="Times New Roman" w:hAnsi="Times New Roman" w:cs="Times New Roman"/>
          <w:sz w:val="28"/>
          <w:szCs w:val="28"/>
        </w:rPr>
        <w:t>воджувати профілактичним введенням антибіотиків широкого спектру дії. Н</w:t>
      </w:r>
      <w:r w:rsidRPr="00C62D22">
        <w:rPr>
          <w:rFonts w:ascii="Times New Roman" w:hAnsi="Times New Roman" w:cs="Times New Roman"/>
          <w:sz w:val="28"/>
          <w:szCs w:val="28"/>
        </w:rPr>
        <w:t>е</w:t>
      </w:r>
      <w:r w:rsidRPr="00C62D22">
        <w:rPr>
          <w:rFonts w:ascii="Times New Roman" w:hAnsi="Times New Roman" w:cs="Times New Roman"/>
          <w:sz w:val="28"/>
          <w:szCs w:val="28"/>
        </w:rPr>
        <w:t>зважаючи на відносну безпеку ЕРХПГ, дослідження може супроводжуватися такими тяжкими ускладненнями, як: ГП (1–7%), гнійний холангіт (0,8–5,5%), кровотеча (0,5–3,7%), перфорація ДПК (0,5–1,5%) [109, 110, 141, 340, 345]. Летальність після ЕРХПГ сягає 0,1%. Тому, ЕРХПГ використовують у пацієнтів, яким планується подальше інтервенційне або хіру</w:t>
      </w:r>
      <w:r w:rsidRPr="00C62D22">
        <w:rPr>
          <w:rFonts w:ascii="Times New Roman" w:hAnsi="Times New Roman" w:cs="Times New Roman"/>
          <w:sz w:val="28"/>
          <w:szCs w:val="28"/>
        </w:rPr>
        <w:t>р</w:t>
      </w:r>
      <w:r w:rsidRPr="00C62D22">
        <w:rPr>
          <w:rFonts w:ascii="Times New Roman" w:hAnsi="Times New Roman" w:cs="Times New Roman"/>
          <w:sz w:val="28"/>
          <w:szCs w:val="28"/>
        </w:rPr>
        <w:t xml:space="preserve">гічне лікування ПК ПЗ [141, 340, 345]. </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В останні роки МРТ усе частіше застосовується для діагностики кісто</w:t>
      </w:r>
      <w:r w:rsidRPr="00C62D22">
        <w:rPr>
          <w:rFonts w:ascii="Times New Roman" w:hAnsi="Times New Roman" w:cs="Times New Roman"/>
          <w:sz w:val="28"/>
          <w:szCs w:val="28"/>
        </w:rPr>
        <w:t>з</w:t>
      </w:r>
      <w:r w:rsidRPr="00C62D22">
        <w:rPr>
          <w:rFonts w:ascii="Times New Roman" w:hAnsi="Times New Roman" w:cs="Times New Roman"/>
          <w:sz w:val="28"/>
          <w:szCs w:val="28"/>
        </w:rPr>
        <w:t xml:space="preserve">них утворень ПЗ. МРТ із внутрішньовенним гадолінієвим контрастуванням надає більш детальне, порівняно з МСКТ, зображення рідинних утворень ПЗ. При цьому вдається візуалізувати пухлини діаметром менш ніж </w:t>
      </w:r>
      <w:smartTag w:uri="urn:schemas-microsoft-com:office:smarttags" w:element="metricconverter">
        <w:smartTagPr>
          <w:attr w:name="ProductID" w:val="1 см"/>
        </w:smartTagPr>
        <w:r w:rsidRPr="00C62D22">
          <w:rPr>
            <w:rFonts w:ascii="Times New Roman" w:hAnsi="Times New Roman" w:cs="Times New Roman"/>
            <w:sz w:val="28"/>
            <w:szCs w:val="28"/>
          </w:rPr>
          <w:t>1 см</w:t>
        </w:r>
      </w:smartTag>
      <w:r w:rsidRPr="00C62D22">
        <w:rPr>
          <w:rFonts w:ascii="Times New Roman" w:hAnsi="Times New Roman" w:cs="Times New Roman"/>
          <w:sz w:val="28"/>
          <w:szCs w:val="28"/>
        </w:rPr>
        <w:t xml:space="preserve"> та дати динам</w:t>
      </w:r>
      <w:r w:rsidRPr="00C62D22">
        <w:rPr>
          <w:rFonts w:ascii="Times New Roman" w:hAnsi="Times New Roman" w:cs="Times New Roman"/>
          <w:sz w:val="28"/>
          <w:szCs w:val="28"/>
        </w:rPr>
        <w:t>і</w:t>
      </w:r>
      <w:r w:rsidRPr="00C62D22">
        <w:rPr>
          <w:rFonts w:ascii="Times New Roman" w:hAnsi="Times New Roman" w:cs="Times New Roman"/>
          <w:sz w:val="28"/>
          <w:szCs w:val="28"/>
        </w:rPr>
        <w:t>чну оцінку їх васкуляризації [201, 240, 336, 377, 385]. Контрастування дозволяє точніше діагностувати наявність секвестрів у порожнині ПК та відрізняти їх від пристінкових пухлинних розростань. На Т2–зважених зображеннях ПК являє с</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бою </w:t>
      </w:r>
      <w:r w:rsidRPr="00C62D22">
        <w:rPr>
          <w:rFonts w:ascii="Times New Roman" w:hAnsi="Times New Roman" w:cs="Times New Roman"/>
          <w:sz w:val="28"/>
          <w:szCs w:val="28"/>
        </w:rPr>
        <w:lastRenderedPageBreak/>
        <w:t>яскраве біле утворення із чіткими контурами. Також на Т2–зважених зображеннях на</w:t>
      </w:r>
      <w:r w:rsidRPr="00C62D22">
        <w:rPr>
          <w:rFonts w:ascii="Times New Roman" w:hAnsi="Times New Roman" w:cs="Times New Roman"/>
          <w:sz w:val="28"/>
          <w:szCs w:val="28"/>
        </w:rPr>
        <w:t>й</w:t>
      </w:r>
      <w:r w:rsidRPr="00C62D22">
        <w:rPr>
          <w:rFonts w:ascii="Times New Roman" w:hAnsi="Times New Roman" w:cs="Times New Roman"/>
          <w:sz w:val="28"/>
          <w:szCs w:val="28"/>
        </w:rPr>
        <w:t xml:space="preserve">більш ефективно вдається візуалізувати рідинний уміст порожнини ПК, її перетинки, а також протокову систему ПЗ та жовчовивідні протоки [336, 377, 385]. </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Високоінтенсивне Т2-зваження використовується для виконання МРХПГ. Багато спеціалістів вважають, що МРХПГ за своїм значенням для діагностики патологічних змін протокової системи ПЗ та біліарного дерева можна прирі</w:t>
      </w:r>
      <w:r w:rsidRPr="00C62D22">
        <w:rPr>
          <w:rFonts w:ascii="Times New Roman" w:hAnsi="Times New Roman" w:cs="Times New Roman"/>
          <w:sz w:val="28"/>
          <w:szCs w:val="28"/>
        </w:rPr>
        <w:t>в</w:t>
      </w:r>
      <w:r w:rsidRPr="00C62D22">
        <w:rPr>
          <w:rFonts w:ascii="Times New Roman" w:hAnsi="Times New Roman" w:cs="Times New Roman"/>
          <w:sz w:val="28"/>
          <w:szCs w:val="28"/>
        </w:rPr>
        <w:t>нювати до ЕРХПГ [378]. Реконструкція трьохмірної картини ГПП спрощує виявлення її співустя з порожниною ПК, що іноді неможливо визначити за д</w:t>
      </w:r>
      <w:r w:rsidRPr="00C62D22">
        <w:rPr>
          <w:rFonts w:ascii="Times New Roman" w:hAnsi="Times New Roman" w:cs="Times New Roman"/>
          <w:sz w:val="28"/>
          <w:szCs w:val="28"/>
        </w:rPr>
        <w:t>о</w:t>
      </w:r>
      <w:r w:rsidRPr="00C62D22">
        <w:rPr>
          <w:rFonts w:ascii="Times New Roman" w:hAnsi="Times New Roman" w:cs="Times New Roman"/>
          <w:sz w:val="28"/>
          <w:szCs w:val="28"/>
        </w:rPr>
        <w:t>помогою двомірної ЕРХПГ. Метод також дозволяє виконати динамічну візуаліз</w:t>
      </w:r>
      <w:r w:rsidRPr="00C62D22">
        <w:rPr>
          <w:rFonts w:ascii="Times New Roman" w:hAnsi="Times New Roman" w:cs="Times New Roman"/>
          <w:sz w:val="28"/>
          <w:szCs w:val="28"/>
        </w:rPr>
        <w:t>а</w:t>
      </w:r>
      <w:r w:rsidRPr="00C62D22">
        <w:rPr>
          <w:rFonts w:ascii="Times New Roman" w:hAnsi="Times New Roman" w:cs="Times New Roman"/>
          <w:sz w:val="28"/>
          <w:szCs w:val="28"/>
        </w:rPr>
        <w:t>цію анатомічних структур, що найбільш необхідно для оцінки дисфункції сфінктера Оді та секреторної а</w:t>
      </w:r>
      <w:r w:rsidRPr="00C62D22">
        <w:rPr>
          <w:rFonts w:ascii="Times New Roman" w:hAnsi="Times New Roman" w:cs="Times New Roman"/>
          <w:sz w:val="28"/>
          <w:szCs w:val="28"/>
        </w:rPr>
        <w:t>к</w:t>
      </w:r>
      <w:r w:rsidRPr="00C62D22">
        <w:rPr>
          <w:rFonts w:ascii="Times New Roman" w:hAnsi="Times New Roman" w:cs="Times New Roman"/>
          <w:sz w:val="28"/>
          <w:szCs w:val="28"/>
        </w:rPr>
        <w:t>тивності ПЗ.</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Магнітно-резонансна ангіографія – ще одна похідна від МРТ, становить Т2–зважене динамічне фіксування артеріальної та венозної васкуляризації пу</w:t>
      </w:r>
      <w:r w:rsidRPr="00C62D22">
        <w:rPr>
          <w:rFonts w:ascii="Times New Roman" w:hAnsi="Times New Roman" w:cs="Times New Roman"/>
          <w:sz w:val="28"/>
          <w:szCs w:val="28"/>
        </w:rPr>
        <w:t>х</w:t>
      </w:r>
      <w:r w:rsidRPr="00C62D22">
        <w:rPr>
          <w:rFonts w:ascii="Times New Roman" w:hAnsi="Times New Roman" w:cs="Times New Roman"/>
          <w:sz w:val="28"/>
          <w:szCs w:val="28"/>
        </w:rPr>
        <w:t>лин ПЗ після інфузії пацієнту гадолінієвого контрасту. Метод дозволяє детал</w:t>
      </w:r>
      <w:r w:rsidRPr="00C62D22">
        <w:rPr>
          <w:rFonts w:ascii="Times New Roman" w:hAnsi="Times New Roman" w:cs="Times New Roman"/>
          <w:sz w:val="28"/>
          <w:szCs w:val="28"/>
        </w:rPr>
        <w:t>ь</w:t>
      </w:r>
      <w:r w:rsidRPr="00C62D22">
        <w:rPr>
          <w:rFonts w:ascii="Times New Roman" w:hAnsi="Times New Roman" w:cs="Times New Roman"/>
          <w:sz w:val="28"/>
          <w:szCs w:val="28"/>
        </w:rPr>
        <w:t>но реконструювати трьохмірне зображення судин ПЗ та розпізнавати екстрав</w:t>
      </w:r>
      <w:r w:rsidRPr="00C62D22">
        <w:rPr>
          <w:rFonts w:ascii="Times New Roman" w:hAnsi="Times New Roman" w:cs="Times New Roman"/>
          <w:sz w:val="28"/>
          <w:szCs w:val="28"/>
        </w:rPr>
        <w:t>а</w:t>
      </w:r>
      <w:r w:rsidRPr="00C62D22">
        <w:rPr>
          <w:rFonts w:ascii="Times New Roman" w:hAnsi="Times New Roman" w:cs="Times New Roman"/>
          <w:sz w:val="28"/>
          <w:szCs w:val="28"/>
        </w:rPr>
        <w:t>зації крововиливів у порожнину ПК чи вірсунгорагії [359, 377].</w:t>
      </w:r>
    </w:p>
    <w:p w:rsidR="0021764E" w:rsidRPr="00C62D22" w:rsidRDefault="0021764E" w:rsidP="0021764E">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Ендоскопічна ультрасонографія (ЕУ) </w:t>
      </w:r>
      <w:r w:rsidRPr="00C62D22">
        <w:rPr>
          <w:rFonts w:ascii="Times New Roman" w:eastAsia="Times-Roman" w:hAnsi="Times New Roman" w:cs="Times New Roman"/>
          <w:sz w:val="28"/>
          <w:szCs w:val="28"/>
          <w:lang w:bidi="or-IN"/>
        </w:rPr>
        <w:t>– діагностичний метод другого р</w:t>
      </w:r>
      <w:r w:rsidRPr="00C62D22">
        <w:rPr>
          <w:rFonts w:ascii="Times New Roman" w:eastAsia="Times-Roman" w:hAnsi="Times New Roman" w:cs="Times New Roman"/>
          <w:sz w:val="28"/>
          <w:szCs w:val="28"/>
          <w:lang w:bidi="or-IN"/>
        </w:rPr>
        <w:t>я</w:t>
      </w:r>
      <w:r w:rsidRPr="00C62D22">
        <w:rPr>
          <w:rFonts w:ascii="Times New Roman" w:eastAsia="Times-Roman" w:hAnsi="Times New Roman" w:cs="Times New Roman"/>
          <w:sz w:val="28"/>
          <w:szCs w:val="28"/>
          <w:lang w:bidi="or-IN"/>
        </w:rPr>
        <w:t xml:space="preserve">ду, використанню якого передують УЗД, МСКТ та МРТ </w:t>
      </w:r>
      <w:r w:rsidRPr="00C62D22">
        <w:rPr>
          <w:rFonts w:ascii="Times New Roman" w:hAnsi="Times New Roman" w:cs="Times New Roman"/>
          <w:sz w:val="28"/>
          <w:szCs w:val="28"/>
        </w:rPr>
        <w:t>[65, 77, 243, 245]</w:t>
      </w:r>
      <w:r w:rsidRPr="00C62D22">
        <w:rPr>
          <w:rFonts w:ascii="Times New Roman" w:eastAsia="Times-Roman" w:hAnsi="Times New Roman" w:cs="Times New Roman"/>
          <w:sz w:val="28"/>
          <w:szCs w:val="28"/>
          <w:lang w:bidi="or-IN"/>
        </w:rPr>
        <w:t>. Ро</w:t>
      </w:r>
      <w:r w:rsidRPr="00C62D22">
        <w:rPr>
          <w:rFonts w:ascii="Times New Roman" w:eastAsia="Times-Roman" w:hAnsi="Times New Roman" w:cs="Times New Roman"/>
          <w:sz w:val="28"/>
          <w:szCs w:val="28"/>
          <w:lang w:bidi="or-IN"/>
        </w:rPr>
        <w:t>з</w:t>
      </w:r>
      <w:r w:rsidRPr="00C62D22">
        <w:rPr>
          <w:rFonts w:ascii="Times New Roman" w:eastAsia="Times-Roman" w:hAnsi="Times New Roman" w:cs="Times New Roman"/>
          <w:sz w:val="28"/>
          <w:szCs w:val="28"/>
          <w:lang w:bidi="or-IN"/>
        </w:rPr>
        <w:t>рішення ЕУ</w:t>
      </w:r>
      <w:r w:rsidRPr="00C62D22">
        <w:rPr>
          <w:rFonts w:ascii="Times New Roman" w:hAnsi="Times New Roman" w:cs="Times New Roman"/>
          <w:sz w:val="28"/>
          <w:szCs w:val="28"/>
        </w:rPr>
        <w:t>–</w:t>
      </w:r>
      <w:r w:rsidRPr="00C62D22">
        <w:rPr>
          <w:rFonts w:ascii="Times New Roman" w:eastAsia="Times-Roman" w:hAnsi="Times New Roman" w:cs="Times New Roman"/>
          <w:sz w:val="28"/>
          <w:szCs w:val="28"/>
          <w:lang w:bidi="or-IN"/>
        </w:rPr>
        <w:t>картини відповідає, а в низці випадків перебільшує розрішення картини, отриманої за допомогою МСКТ та МРТ.</w:t>
      </w:r>
      <w:r w:rsidRPr="00C62D22">
        <w:rPr>
          <w:rFonts w:ascii="Times New Roman" w:hAnsi="Times New Roman" w:cs="Times New Roman"/>
          <w:sz w:val="28"/>
          <w:szCs w:val="28"/>
        </w:rPr>
        <w:t xml:space="preserve"> У зв’язку з розташуванням ультразвукового датчика в безпосередній близькості від патологічної структ</w:t>
      </w:r>
      <w:r w:rsidRPr="00C62D22">
        <w:rPr>
          <w:rFonts w:ascii="Times New Roman" w:hAnsi="Times New Roman" w:cs="Times New Roman"/>
          <w:sz w:val="28"/>
          <w:szCs w:val="28"/>
        </w:rPr>
        <w:t>у</w:t>
      </w:r>
      <w:r w:rsidRPr="00C62D22">
        <w:rPr>
          <w:rFonts w:ascii="Times New Roman" w:hAnsi="Times New Roman" w:cs="Times New Roman"/>
          <w:sz w:val="28"/>
          <w:szCs w:val="28"/>
        </w:rPr>
        <w:t>ри, яка досліджується, під час ЕУ вдається отримати детальну інформацію щодо морфології кісти (пер</w:t>
      </w:r>
      <w:r w:rsidRPr="00C62D22">
        <w:rPr>
          <w:rFonts w:ascii="Times New Roman" w:hAnsi="Times New Roman" w:cs="Times New Roman"/>
          <w:sz w:val="28"/>
          <w:szCs w:val="28"/>
        </w:rPr>
        <w:t>е</w:t>
      </w:r>
      <w:r w:rsidRPr="00C62D22">
        <w:rPr>
          <w:rFonts w:ascii="Times New Roman" w:hAnsi="Times New Roman" w:cs="Times New Roman"/>
          <w:sz w:val="28"/>
          <w:szCs w:val="28"/>
        </w:rPr>
        <w:t>тинки, пристінкові розростання), зміни протокової системи ПЗ та взаємозв’язку стінки ПК з оточуючими її органами [365]. Осно</w:t>
      </w:r>
      <w:r w:rsidRPr="00C62D22">
        <w:rPr>
          <w:rFonts w:ascii="Times New Roman" w:hAnsi="Times New Roman" w:cs="Times New Roman"/>
          <w:sz w:val="28"/>
          <w:szCs w:val="28"/>
        </w:rPr>
        <w:t>в</w:t>
      </w:r>
      <w:r w:rsidRPr="00C62D22">
        <w:rPr>
          <w:rFonts w:ascii="Times New Roman" w:hAnsi="Times New Roman" w:cs="Times New Roman"/>
          <w:sz w:val="28"/>
          <w:szCs w:val="28"/>
        </w:rPr>
        <w:t xml:space="preserve">ними показниками до застосування ЕУ є необхідність диференційної діагностики ПК та кістозна пухлина ПЗ. </w:t>
      </w:r>
    </w:p>
    <w:p w:rsidR="0021764E" w:rsidRPr="00C62D22" w:rsidRDefault="0021764E" w:rsidP="0021764E">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eastAsia="Times-Roman" w:hAnsi="Times New Roman" w:cs="Times New Roman"/>
          <w:sz w:val="28"/>
          <w:szCs w:val="28"/>
          <w:lang w:bidi="or-IN"/>
        </w:rPr>
        <w:t>На відміну від традиційного УЗД дослідження з використанням ЕУ не з</w:t>
      </w:r>
      <w:r w:rsidRPr="00C62D22">
        <w:rPr>
          <w:rFonts w:ascii="Times New Roman" w:eastAsia="Times-Roman" w:hAnsi="Times New Roman" w:cs="Times New Roman"/>
          <w:sz w:val="28"/>
          <w:szCs w:val="28"/>
          <w:lang w:bidi="or-IN"/>
        </w:rPr>
        <w:t>а</w:t>
      </w:r>
      <w:r w:rsidRPr="00C62D22">
        <w:rPr>
          <w:rFonts w:ascii="Times New Roman" w:eastAsia="Times-Roman" w:hAnsi="Times New Roman" w:cs="Times New Roman"/>
          <w:sz w:val="28"/>
          <w:szCs w:val="28"/>
          <w:lang w:bidi="or-IN"/>
        </w:rPr>
        <w:t>важає загазованість кишківника та глибина розташування структур, які вивч</w:t>
      </w:r>
      <w:r w:rsidRPr="00C62D22">
        <w:rPr>
          <w:rFonts w:ascii="Times New Roman" w:eastAsia="Times-Roman" w:hAnsi="Times New Roman" w:cs="Times New Roman"/>
          <w:sz w:val="28"/>
          <w:szCs w:val="28"/>
          <w:lang w:bidi="or-IN"/>
        </w:rPr>
        <w:t>а</w:t>
      </w:r>
      <w:r w:rsidRPr="00C62D22">
        <w:rPr>
          <w:rFonts w:ascii="Times New Roman" w:eastAsia="Times-Roman" w:hAnsi="Times New Roman" w:cs="Times New Roman"/>
          <w:sz w:val="28"/>
          <w:szCs w:val="28"/>
          <w:lang w:bidi="or-IN"/>
        </w:rPr>
        <w:t>ються. Якість зображення, а також його інформативність можуть бути підв</w:t>
      </w:r>
      <w:r w:rsidRPr="00C62D22">
        <w:rPr>
          <w:rFonts w:ascii="Times New Roman" w:eastAsia="Times-Roman" w:hAnsi="Times New Roman" w:cs="Times New Roman"/>
          <w:sz w:val="28"/>
          <w:szCs w:val="28"/>
          <w:lang w:bidi="or-IN"/>
        </w:rPr>
        <w:t>и</w:t>
      </w:r>
      <w:r w:rsidRPr="00C62D22">
        <w:rPr>
          <w:rFonts w:ascii="Times New Roman" w:eastAsia="Times-Roman" w:hAnsi="Times New Roman" w:cs="Times New Roman"/>
          <w:sz w:val="28"/>
          <w:szCs w:val="28"/>
          <w:lang w:bidi="or-IN"/>
        </w:rPr>
        <w:t>щені за допомогою внутрішньовенного контрастування, ендоскопічного доппл</w:t>
      </w:r>
      <w:r w:rsidRPr="00C62D22">
        <w:rPr>
          <w:rFonts w:ascii="Times New Roman" w:eastAsia="Times-Roman" w:hAnsi="Times New Roman" w:cs="Times New Roman"/>
          <w:sz w:val="28"/>
          <w:szCs w:val="28"/>
          <w:lang w:bidi="or-IN"/>
        </w:rPr>
        <w:t>е</w:t>
      </w:r>
      <w:r w:rsidRPr="00C62D22">
        <w:rPr>
          <w:rFonts w:ascii="Times New Roman" w:eastAsia="Times-Roman" w:hAnsi="Times New Roman" w:cs="Times New Roman"/>
          <w:sz w:val="28"/>
          <w:szCs w:val="28"/>
          <w:lang w:bidi="or-IN"/>
        </w:rPr>
        <w:t xml:space="preserve">рівского сканування та трьохмірної ендоультрасонографії </w:t>
      </w:r>
      <w:r w:rsidRPr="00C62D22">
        <w:rPr>
          <w:rFonts w:ascii="Times New Roman" w:hAnsi="Times New Roman" w:cs="Times New Roman"/>
          <w:sz w:val="28"/>
          <w:szCs w:val="28"/>
        </w:rPr>
        <w:t xml:space="preserve">[388]. </w:t>
      </w:r>
    </w:p>
    <w:p w:rsidR="0021764E" w:rsidRPr="00C62D22" w:rsidRDefault="0021764E" w:rsidP="0021764E">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ЕУ використовується також при таких ендоскопічних втручаннях, як: тонкоголкова аспірація рідини кісти, ЦГС, ЦДС, транспапілярне стентува</w:t>
      </w:r>
      <w:r w:rsidRPr="00C62D22">
        <w:rPr>
          <w:rFonts w:ascii="Times New Roman" w:hAnsi="Times New Roman" w:cs="Times New Roman"/>
          <w:sz w:val="28"/>
          <w:szCs w:val="28"/>
        </w:rPr>
        <w:t>н</w:t>
      </w:r>
      <w:r w:rsidRPr="00C62D22">
        <w:rPr>
          <w:rFonts w:ascii="Times New Roman" w:hAnsi="Times New Roman" w:cs="Times New Roman"/>
          <w:sz w:val="28"/>
          <w:szCs w:val="28"/>
        </w:rPr>
        <w:t>ня ГПП та ін. [51]. Основною перевагою ендоскопічної пункційної біопсії – аспір</w:t>
      </w:r>
      <w:r w:rsidRPr="00C62D22">
        <w:rPr>
          <w:rFonts w:ascii="Times New Roman" w:hAnsi="Times New Roman" w:cs="Times New Roman"/>
          <w:sz w:val="28"/>
          <w:szCs w:val="28"/>
        </w:rPr>
        <w:t>а</w:t>
      </w:r>
      <w:r w:rsidRPr="00C62D22">
        <w:rPr>
          <w:rFonts w:ascii="Times New Roman" w:hAnsi="Times New Roman" w:cs="Times New Roman"/>
          <w:sz w:val="28"/>
          <w:szCs w:val="28"/>
        </w:rPr>
        <w:t>ції під контролем ЕУ є зменшення масиву тканин, через які повинна про</w:t>
      </w:r>
      <w:r w:rsidRPr="00C62D22">
        <w:rPr>
          <w:rFonts w:ascii="Times New Roman" w:hAnsi="Times New Roman" w:cs="Times New Roman"/>
          <w:sz w:val="28"/>
          <w:szCs w:val="28"/>
        </w:rPr>
        <w:t>й</w:t>
      </w:r>
      <w:r w:rsidRPr="00C62D22">
        <w:rPr>
          <w:rFonts w:ascii="Times New Roman" w:hAnsi="Times New Roman" w:cs="Times New Roman"/>
          <w:sz w:val="28"/>
          <w:szCs w:val="28"/>
        </w:rPr>
        <w:t>ти голка, щоб досягти ПК та зниження ризику розповсюдження злоякісних пухлинних кл</w:t>
      </w:r>
      <w:r w:rsidRPr="00C62D22">
        <w:rPr>
          <w:rFonts w:ascii="Times New Roman" w:hAnsi="Times New Roman" w:cs="Times New Roman"/>
          <w:sz w:val="28"/>
          <w:szCs w:val="28"/>
        </w:rPr>
        <w:t>і</w:t>
      </w:r>
      <w:r w:rsidRPr="00C62D22">
        <w:rPr>
          <w:rFonts w:ascii="Times New Roman" w:hAnsi="Times New Roman" w:cs="Times New Roman"/>
          <w:sz w:val="28"/>
          <w:szCs w:val="28"/>
        </w:rPr>
        <w:t>тин при їх наявності. Чутливість та специфічність ЕУ в діагно</w:t>
      </w:r>
      <w:r w:rsidRPr="00C62D22">
        <w:rPr>
          <w:rFonts w:ascii="Times New Roman" w:hAnsi="Times New Roman" w:cs="Times New Roman"/>
          <w:sz w:val="28"/>
          <w:szCs w:val="28"/>
        </w:rPr>
        <w:t>с</w:t>
      </w:r>
      <w:r w:rsidRPr="00C62D22">
        <w:rPr>
          <w:rFonts w:ascii="Times New Roman" w:hAnsi="Times New Roman" w:cs="Times New Roman"/>
          <w:sz w:val="28"/>
          <w:szCs w:val="28"/>
        </w:rPr>
        <w:t>тиці ПК ПЗ сягає 100% [388, 392].</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eastAsia="Times-Roman" w:hAnsi="Times New Roman" w:cs="Times New Roman"/>
          <w:sz w:val="28"/>
          <w:szCs w:val="28"/>
          <w:lang w:bidi="or-IN"/>
        </w:rPr>
        <w:t>Для підвищення ефективності ЕУ в диференційній діагностиці кістозних утворень ПЗ запропоновані методи внутрішньопротокової ультрасонографії та панкреатоскопії. Ці дослідження стали можливими завдяки розробки найто</w:t>
      </w:r>
      <w:r w:rsidRPr="00C62D22">
        <w:rPr>
          <w:rFonts w:ascii="Times New Roman" w:eastAsia="Times-Roman" w:hAnsi="Times New Roman" w:cs="Times New Roman"/>
          <w:sz w:val="28"/>
          <w:szCs w:val="28"/>
          <w:lang w:bidi="or-IN"/>
        </w:rPr>
        <w:t>н</w:t>
      </w:r>
      <w:r w:rsidRPr="00C62D22">
        <w:rPr>
          <w:rFonts w:ascii="Times New Roman" w:eastAsia="Times-Roman" w:hAnsi="Times New Roman" w:cs="Times New Roman"/>
          <w:sz w:val="28"/>
          <w:szCs w:val="28"/>
          <w:lang w:bidi="or-IN"/>
        </w:rPr>
        <w:t xml:space="preserve">ших ендоскопів «бебіскопів» </w:t>
      </w:r>
      <w:r w:rsidRPr="00C62D22">
        <w:rPr>
          <w:rFonts w:ascii="Times New Roman" w:hAnsi="Times New Roman" w:cs="Times New Roman"/>
          <w:sz w:val="28"/>
          <w:szCs w:val="28"/>
        </w:rPr>
        <w:t>(babyscope) [366, 431], використання яких дозволяє візуалізувати просвіт ГПП, виконати внутрішньопротокову ультрасоногр</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фію в радіусі </w:t>
      </w:r>
      <w:smartTag w:uri="urn:schemas-microsoft-com:office:smarttags" w:element="metricconverter">
        <w:smartTagPr>
          <w:attr w:name="ProductID" w:val="2 см"/>
        </w:smartTagPr>
        <w:r w:rsidRPr="00C62D22">
          <w:rPr>
            <w:rFonts w:ascii="Times New Roman" w:hAnsi="Times New Roman" w:cs="Times New Roman"/>
            <w:sz w:val="28"/>
            <w:szCs w:val="28"/>
          </w:rPr>
          <w:t>2 см</w:t>
        </w:r>
      </w:smartTag>
      <w:r w:rsidRPr="00C62D22">
        <w:rPr>
          <w:rFonts w:ascii="Times New Roman" w:hAnsi="Times New Roman" w:cs="Times New Roman"/>
          <w:sz w:val="28"/>
          <w:szCs w:val="28"/>
        </w:rPr>
        <w:t xml:space="preserve"> та взяти матеріал для цитологічного дослідження безпосер</w:t>
      </w:r>
      <w:r w:rsidRPr="00C62D22">
        <w:rPr>
          <w:rFonts w:ascii="Times New Roman" w:hAnsi="Times New Roman" w:cs="Times New Roman"/>
          <w:sz w:val="28"/>
          <w:szCs w:val="28"/>
        </w:rPr>
        <w:t>е</w:t>
      </w:r>
      <w:r w:rsidRPr="00C62D22">
        <w:rPr>
          <w:rFonts w:ascii="Times New Roman" w:hAnsi="Times New Roman" w:cs="Times New Roman"/>
          <w:sz w:val="28"/>
          <w:szCs w:val="28"/>
        </w:rPr>
        <w:t>дньо на поверхні зміненої стінки протоки. За попередніми даними, точність цієї мет</w:t>
      </w:r>
      <w:r w:rsidRPr="00C62D22">
        <w:rPr>
          <w:rFonts w:ascii="Times New Roman" w:hAnsi="Times New Roman" w:cs="Times New Roman"/>
          <w:sz w:val="28"/>
          <w:szCs w:val="28"/>
        </w:rPr>
        <w:t>о</w:t>
      </w:r>
      <w:r w:rsidRPr="00C62D22">
        <w:rPr>
          <w:rFonts w:ascii="Times New Roman" w:hAnsi="Times New Roman" w:cs="Times New Roman"/>
          <w:sz w:val="28"/>
          <w:szCs w:val="28"/>
        </w:rPr>
        <w:t>дики становить 85% [431].</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Методи дослідження, описані вище, на сучасному етапі не дозволяють провести точну диференційну діагностику кістозних утворень ПЗ. Тому в</w:t>
      </w:r>
      <w:r w:rsidRPr="00C62D22">
        <w:rPr>
          <w:rFonts w:ascii="Times New Roman" w:hAnsi="Times New Roman" w:cs="Times New Roman"/>
          <w:sz w:val="28"/>
          <w:szCs w:val="28"/>
        </w:rPr>
        <w:t>и</w:t>
      </w:r>
      <w:r w:rsidRPr="00C62D22">
        <w:rPr>
          <w:rFonts w:ascii="Times New Roman" w:hAnsi="Times New Roman" w:cs="Times New Roman"/>
          <w:sz w:val="28"/>
          <w:szCs w:val="28"/>
        </w:rPr>
        <w:t>никає необхідність у більш інформативних діагностичних підходах.</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Пункційна аспіраційна біопсія кісти є «золотим стандартом» диференці</w:t>
      </w:r>
      <w:r w:rsidRPr="00C62D22">
        <w:rPr>
          <w:rFonts w:ascii="Times New Roman" w:hAnsi="Times New Roman" w:cs="Times New Roman"/>
          <w:sz w:val="28"/>
          <w:szCs w:val="28"/>
        </w:rPr>
        <w:t>й</w:t>
      </w:r>
      <w:r w:rsidRPr="00C62D22">
        <w:rPr>
          <w:rFonts w:ascii="Times New Roman" w:hAnsi="Times New Roman" w:cs="Times New Roman"/>
          <w:sz w:val="28"/>
          <w:szCs w:val="28"/>
        </w:rPr>
        <w:t>ної діагностики захворювань ПЗ – морфологічного дослідження рідини кісти та біоптатів її стінки [2, 71, 80, 158, 295]. Для контролю за виконанням тонкоголкової пункційної аспіраційної біопсії (ТПАБ) ПК найбільш часто застосов</w:t>
      </w:r>
      <w:r w:rsidRPr="00C62D22">
        <w:rPr>
          <w:rFonts w:ascii="Times New Roman" w:hAnsi="Times New Roman" w:cs="Times New Roman"/>
          <w:sz w:val="28"/>
          <w:szCs w:val="28"/>
        </w:rPr>
        <w:t>у</w:t>
      </w:r>
      <w:r w:rsidRPr="00C62D22">
        <w:rPr>
          <w:rFonts w:ascii="Times New Roman" w:hAnsi="Times New Roman" w:cs="Times New Roman"/>
          <w:sz w:val="28"/>
          <w:szCs w:val="28"/>
        </w:rPr>
        <w:t>ють УЗД та МСКТ. УЗД є найбільш простим методом, який дозволяє проводити дослідження морфології ПЗ та одночасне спостереження за проходженням го</w:t>
      </w:r>
      <w:r w:rsidRPr="00C62D22">
        <w:rPr>
          <w:rFonts w:ascii="Times New Roman" w:hAnsi="Times New Roman" w:cs="Times New Roman"/>
          <w:sz w:val="28"/>
          <w:szCs w:val="28"/>
        </w:rPr>
        <w:t>л</w:t>
      </w:r>
      <w:r w:rsidRPr="00C62D22">
        <w:rPr>
          <w:rFonts w:ascii="Times New Roman" w:hAnsi="Times New Roman" w:cs="Times New Roman"/>
          <w:sz w:val="28"/>
          <w:szCs w:val="28"/>
        </w:rPr>
        <w:t>ки в напрямку кістозного утворення [41, 42, 43, 198, 354]. Разом з тим візуалізації ПЗ на всь</w:t>
      </w:r>
      <w:r w:rsidRPr="00C62D22">
        <w:rPr>
          <w:rFonts w:ascii="Times New Roman" w:hAnsi="Times New Roman" w:cs="Times New Roman"/>
          <w:sz w:val="28"/>
          <w:szCs w:val="28"/>
        </w:rPr>
        <w:t>о</w:t>
      </w:r>
      <w:r w:rsidRPr="00C62D22">
        <w:rPr>
          <w:rFonts w:ascii="Times New Roman" w:hAnsi="Times New Roman" w:cs="Times New Roman"/>
          <w:sz w:val="28"/>
          <w:szCs w:val="28"/>
        </w:rPr>
        <w:t>му протязі заважає загазованість кишківника. МСКТ дозволяє отримати більш чітке зображення ПЗ, ніж УЗД [12, 18, 59, 235, 328]. Недоліками ТПАБ під контролем МСКТ є вплив на пацієнта та лікаря – дослідника іонізуючого випромінювання, довготривалість дослідження та висока його ціна. Частота ускладнень після крізь</w:t>
      </w:r>
      <w:r w:rsidRPr="00C62D22">
        <w:rPr>
          <w:rFonts w:ascii="Times New Roman" w:hAnsi="Times New Roman" w:cs="Times New Roman"/>
          <w:sz w:val="28"/>
          <w:szCs w:val="28"/>
        </w:rPr>
        <w:t>ш</w:t>
      </w:r>
      <w:r w:rsidRPr="00C62D22">
        <w:rPr>
          <w:rFonts w:ascii="Times New Roman" w:hAnsi="Times New Roman" w:cs="Times New Roman"/>
          <w:sz w:val="28"/>
          <w:szCs w:val="28"/>
        </w:rPr>
        <w:t xml:space="preserve">кірної ТПАБ під УЗД чи МСКТ – контролем становить 1,6–4,9% [219, 220, </w:t>
      </w:r>
      <w:r w:rsidRPr="00C62D22">
        <w:rPr>
          <w:rFonts w:ascii="Times New Roman" w:hAnsi="Times New Roman" w:cs="Times New Roman"/>
          <w:sz w:val="28"/>
          <w:szCs w:val="28"/>
        </w:rPr>
        <w:lastRenderedPageBreak/>
        <w:t>314, 315]. Ризик дисемінації злоякісних пухлинних клітин становить 0,003–0,009% [315]. Перев</w:t>
      </w:r>
      <w:r w:rsidRPr="00C62D22">
        <w:rPr>
          <w:rFonts w:ascii="Times New Roman" w:hAnsi="Times New Roman" w:cs="Times New Roman"/>
          <w:sz w:val="28"/>
          <w:szCs w:val="28"/>
        </w:rPr>
        <w:t>а</w:t>
      </w:r>
      <w:r w:rsidRPr="00C62D22">
        <w:rPr>
          <w:rFonts w:ascii="Times New Roman" w:hAnsi="Times New Roman" w:cs="Times New Roman"/>
          <w:sz w:val="28"/>
          <w:szCs w:val="28"/>
        </w:rPr>
        <w:t>гами ТПАБ під ЕУ контролем,  порівняно з аспіраційною біопсією під УЗД чи МСКТ, є можливість пунктувати дрібні патологічні утворення, розміри яких не дозв</w:t>
      </w:r>
      <w:r w:rsidRPr="00C62D22">
        <w:rPr>
          <w:rFonts w:ascii="Times New Roman" w:hAnsi="Times New Roman" w:cs="Times New Roman"/>
          <w:sz w:val="28"/>
          <w:szCs w:val="28"/>
        </w:rPr>
        <w:t>о</w:t>
      </w:r>
      <w:r w:rsidRPr="00C62D22">
        <w:rPr>
          <w:rFonts w:ascii="Times New Roman" w:hAnsi="Times New Roman" w:cs="Times New Roman"/>
          <w:sz w:val="28"/>
          <w:szCs w:val="28"/>
        </w:rPr>
        <w:t>ляють провести безпечну пункцію за допомогою інших візуалізуючих методів; виконання пункції через стінку ДПК, яка у випадку діагностики злоякісної пухлини підлягає вид</w:t>
      </w:r>
      <w:r w:rsidRPr="00C62D22">
        <w:rPr>
          <w:rFonts w:ascii="Times New Roman" w:hAnsi="Times New Roman" w:cs="Times New Roman"/>
          <w:sz w:val="28"/>
          <w:szCs w:val="28"/>
        </w:rPr>
        <w:t>а</w:t>
      </w:r>
      <w:r w:rsidRPr="00C62D22">
        <w:rPr>
          <w:rFonts w:ascii="Times New Roman" w:hAnsi="Times New Roman" w:cs="Times New Roman"/>
          <w:sz w:val="28"/>
          <w:szCs w:val="28"/>
        </w:rPr>
        <w:t>ленню, що суттєво зменшує ризик дисемінації пухлинних клітин за ходом голки; більш точна візуалізація ПЗ, що дозволяє достовірніше встановити стадію захв</w:t>
      </w:r>
      <w:r w:rsidRPr="00C62D22">
        <w:rPr>
          <w:rFonts w:ascii="Times New Roman" w:hAnsi="Times New Roman" w:cs="Times New Roman"/>
          <w:sz w:val="28"/>
          <w:szCs w:val="28"/>
        </w:rPr>
        <w:t>о</w:t>
      </w:r>
      <w:r w:rsidRPr="00C62D22">
        <w:rPr>
          <w:rFonts w:ascii="Times New Roman" w:hAnsi="Times New Roman" w:cs="Times New Roman"/>
          <w:sz w:val="28"/>
          <w:szCs w:val="28"/>
        </w:rPr>
        <w:t>рювання на доопераційному етапі [326, 396]. Протипоказаннями до дослідження є неможливість чіткої візуалізації патологічного утворення ПЗ, розташування великих судин за траєкторією пр</w:t>
      </w:r>
      <w:r w:rsidRPr="00C62D22">
        <w:rPr>
          <w:rFonts w:ascii="Times New Roman" w:hAnsi="Times New Roman" w:cs="Times New Roman"/>
          <w:sz w:val="28"/>
          <w:szCs w:val="28"/>
        </w:rPr>
        <w:t>о</w:t>
      </w:r>
      <w:r w:rsidRPr="00C62D22">
        <w:rPr>
          <w:rFonts w:ascii="Times New Roman" w:hAnsi="Times New Roman" w:cs="Times New Roman"/>
          <w:sz w:val="28"/>
          <w:szCs w:val="28"/>
        </w:rPr>
        <w:t>ходження пункційної голки, наявність у пацієнта захворювань, які провокують підв</w:t>
      </w:r>
      <w:r w:rsidRPr="00C62D22">
        <w:rPr>
          <w:rFonts w:ascii="Times New Roman" w:hAnsi="Times New Roman" w:cs="Times New Roman"/>
          <w:sz w:val="28"/>
          <w:szCs w:val="28"/>
        </w:rPr>
        <w:t>и</w:t>
      </w:r>
      <w:r w:rsidRPr="00C62D22">
        <w:rPr>
          <w:rFonts w:ascii="Times New Roman" w:hAnsi="Times New Roman" w:cs="Times New Roman"/>
          <w:sz w:val="28"/>
          <w:szCs w:val="28"/>
        </w:rPr>
        <w:t>щену кровоточивість. Частота ускладнень після ТПАБ під ЕУ–контролем 0,6-3% [228, 390]. Серед ускладнень найбільш важкими є ГП (0,29%–2%), кровотеча (0,96%), інфекція (0,3%) та перфорація ДПК (0,09%) [84, 390, 392]. Чутливість, специфічність та точність ТПАБ із цитологічним дослідженням у діагностиці вогнищевої патол</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гії ПЗ при ЕУ–контролі – 77,9%, 100% та 81,7% та при МСКТ–контролі – 78,6%, 100% та 82,0% відповідно. ТПАБ виконана під ЕУ–контролем є більш точною в діагностиці вогнищевої патології ПЗ розмірами менш ніж </w:t>
      </w:r>
      <w:smartTag w:uri="urn:schemas-microsoft-com:office:smarttags" w:element="metricconverter">
        <w:smartTagPr>
          <w:attr w:name="ProductID" w:val="3 см"/>
        </w:smartTagPr>
        <w:r w:rsidRPr="00C62D22">
          <w:rPr>
            <w:rFonts w:ascii="Times New Roman" w:hAnsi="Times New Roman" w:cs="Times New Roman"/>
            <w:sz w:val="28"/>
            <w:szCs w:val="28"/>
          </w:rPr>
          <w:t>3 см</w:t>
        </w:r>
      </w:smartTag>
      <w:r w:rsidRPr="00C62D22">
        <w:rPr>
          <w:rFonts w:ascii="Times New Roman" w:hAnsi="Times New Roman" w:cs="Times New Roman"/>
          <w:sz w:val="28"/>
          <w:szCs w:val="28"/>
        </w:rPr>
        <w:t xml:space="preserve"> пор</w:t>
      </w:r>
      <w:r w:rsidRPr="00C62D22">
        <w:rPr>
          <w:rFonts w:ascii="Times New Roman" w:hAnsi="Times New Roman" w:cs="Times New Roman"/>
          <w:sz w:val="28"/>
          <w:szCs w:val="28"/>
        </w:rPr>
        <w:t>і</w:t>
      </w:r>
      <w:r w:rsidRPr="00C62D22">
        <w:rPr>
          <w:rFonts w:ascii="Times New Roman" w:hAnsi="Times New Roman" w:cs="Times New Roman"/>
          <w:sz w:val="28"/>
          <w:szCs w:val="28"/>
        </w:rPr>
        <w:t>вняно з такою, що виконана під УЗД та МСКТ–контролем, у той час як точність при розмірі патологічного вогнища, яке пер</w:t>
      </w:r>
      <w:r w:rsidRPr="00C62D22">
        <w:rPr>
          <w:rFonts w:ascii="Times New Roman" w:hAnsi="Times New Roman" w:cs="Times New Roman"/>
          <w:sz w:val="28"/>
          <w:szCs w:val="28"/>
        </w:rPr>
        <w:t>е</w:t>
      </w:r>
      <w:r w:rsidRPr="00C62D22">
        <w:rPr>
          <w:rFonts w:ascii="Times New Roman" w:hAnsi="Times New Roman" w:cs="Times New Roman"/>
          <w:sz w:val="28"/>
          <w:szCs w:val="28"/>
        </w:rPr>
        <w:t xml:space="preserve">більшує </w:t>
      </w:r>
      <w:smartTag w:uri="urn:schemas-microsoft-com:office:smarttags" w:element="metricconverter">
        <w:smartTagPr>
          <w:attr w:name="ProductID" w:val="3 см"/>
        </w:smartTagPr>
        <w:r w:rsidRPr="00C62D22">
          <w:rPr>
            <w:rFonts w:ascii="Times New Roman" w:hAnsi="Times New Roman" w:cs="Times New Roman"/>
            <w:sz w:val="28"/>
            <w:szCs w:val="28"/>
          </w:rPr>
          <w:t>3 см</w:t>
        </w:r>
      </w:smartTag>
      <w:r w:rsidRPr="00C62D22">
        <w:rPr>
          <w:rFonts w:ascii="Times New Roman" w:hAnsi="Times New Roman" w:cs="Times New Roman"/>
          <w:sz w:val="28"/>
          <w:szCs w:val="28"/>
        </w:rPr>
        <w:t xml:space="preserve"> приблизно однакова.</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З метою виявлення «прихованих» кровотеч, які ускладнюють перебіг ПК ПЗ,    J. Gabriel (1978) запропонував виборче рентгенологічне контрастування гілок черевної та верхньої брижової артерій, поклавши початок ангіографії. Ангіографічний метод дозволяє з високою достовірністю визначати ная</w:t>
      </w:r>
      <w:r w:rsidRPr="00C62D22">
        <w:rPr>
          <w:rFonts w:ascii="Times New Roman" w:hAnsi="Times New Roman" w:cs="Times New Roman"/>
          <w:sz w:val="28"/>
          <w:szCs w:val="28"/>
        </w:rPr>
        <w:t>в</w:t>
      </w:r>
      <w:r w:rsidRPr="00C62D22">
        <w:rPr>
          <w:rFonts w:ascii="Times New Roman" w:hAnsi="Times New Roman" w:cs="Times New Roman"/>
          <w:sz w:val="28"/>
          <w:szCs w:val="28"/>
        </w:rPr>
        <w:t>ність та джерело кровотечі, тромбози та псевдоаневризми судин [173, 191, 233]. Селективна катетеризація гілок черевної та верхньої брижової артерій не тільки підвищують діагностичну ефективність ангіографії, але й дозволяє забезпечити гемостаз шл</w:t>
      </w:r>
      <w:r w:rsidRPr="00C62D22">
        <w:rPr>
          <w:rFonts w:ascii="Times New Roman" w:hAnsi="Times New Roman" w:cs="Times New Roman"/>
          <w:sz w:val="28"/>
          <w:szCs w:val="28"/>
        </w:rPr>
        <w:t>я</w:t>
      </w:r>
      <w:r w:rsidRPr="00C62D22">
        <w:rPr>
          <w:rFonts w:ascii="Times New Roman" w:hAnsi="Times New Roman" w:cs="Times New Roman"/>
          <w:sz w:val="28"/>
          <w:szCs w:val="28"/>
        </w:rPr>
        <w:t>хом введення емболізуючих препаратів [1, 96, 262, 351].</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Таким чином, у процесі аналізу сучасної літератури достовірних кліні</w:t>
      </w:r>
      <w:r w:rsidRPr="00C62D22">
        <w:rPr>
          <w:rFonts w:ascii="Times New Roman" w:hAnsi="Times New Roman" w:cs="Times New Roman"/>
          <w:sz w:val="28"/>
          <w:szCs w:val="28"/>
        </w:rPr>
        <w:t>ч</w:t>
      </w:r>
      <w:r w:rsidRPr="00C62D22">
        <w:rPr>
          <w:rFonts w:ascii="Times New Roman" w:hAnsi="Times New Roman" w:cs="Times New Roman"/>
          <w:sz w:val="28"/>
          <w:szCs w:val="28"/>
        </w:rPr>
        <w:t xml:space="preserve">них та лабораторних критеріїв діагностики ПК ПЗ не виявлено. Значимість </w:t>
      </w:r>
      <w:r w:rsidRPr="00C62D22">
        <w:rPr>
          <w:rFonts w:ascii="Times New Roman" w:hAnsi="Times New Roman" w:cs="Times New Roman"/>
          <w:sz w:val="28"/>
          <w:szCs w:val="28"/>
        </w:rPr>
        <w:lastRenderedPageBreak/>
        <w:t>інстр</w:t>
      </w:r>
      <w:r w:rsidRPr="00C62D22">
        <w:rPr>
          <w:rFonts w:ascii="Times New Roman" w:hAnsi="Times New Roman" w:cs="Times New Roman"/>
          <w:sz w:val="28"/>
          <w:szCs w:val="28"/>
        </w:rPr>
        <w:t>у</w:t>
      </w:r>
      <w:r w:rsidRPr="00C62D22">
        <w:rPr>
          <w:rFonts w:ascii="Times New Roman" w:hAnsi="Times New Roman" w:cs="Times New Roman"/>
          <w:sz w:val="28"/>
          <w:szCs w:val="28"/>
        </w:rPr>
        <w:t>ментальних методів дослідження в діагностиці ПК ПЗ та при виборі технології хірургічного лікування безперечна, однак не визначені чіткі уль</w:t>
      </w:r>
      <w:r w:rsidRPr="00C62D22">
        <w:rPr>
          <w:rFonts w:ascii="Times New Roman" w:hAnsi="Times New Roman" w:cs="Times New Roman"/>
          <w:sz w:val="28"/>
          <w:szCs w:val="28"/>
        </w:rPr>
        <w:t>т</w:t>
      </w:r>
      <w:r w:rsidRPr="00C62D22">
        <w:rPr>
          <w:rFonts w:ascii="Times New Roman" w:hAnsi="Times New Roman" w:cs="Times New Roman"/>
          <w:sz w:val="28"/>
          <w:szCs w:val="28"/>
        </w:rPr>
        <w:t xml:space="preserve">расонографічні та МСКТ–критерії напрямку еволюції ПК ПЗ та розвитку їх ускладнень. </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b/>
          <w:sz w:val="28"/>
          <w:szCs w:val="28"/>
        </w:rPr>
      </w:pPr>
      <w:r w:rsidRPr="00C62D22">
        <w:rPr>
          <w:rFonts w:ascii="Times New Roman" w:hAnsi="Times New Roman" w:cs="Times New Roman"/>
          <w:b/>
          <w:sz w:val="28"/>
          <w:szCs w:val="28"/>
        </w:rPr>
        <w:t>1.3. Методи хірургічного лікування хворих на ускладнені псевдокісти підшлункової залози</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Раніше вважалося, що всі ПК, які не розрішилися впродовж 6 тижнів п</w:t>
      </w:r>
      <w:r w:rsidRPr="00C62D22">
        <w:rPr>
          <w:rFonts w:ascii="Times New Roman" w:hAnsi="Times New Roman" w:cs="Times New Roman"/>
          <w:sz w:val="28"/>
          <w:szCs w:val="28"/>
        </w:rPr>
        <w:t>і</w:t>
      </w:r>
      <w:r w:rsidRPr="00C62D22">
        <w:rPr>
          <w:rFonts w:ascii="Times New Roman" w:hAnsi="Times New Roman" w:cs="Times New Roman"/>
          <w:sz w:val="28"/>
          <w:szCs w:val="28"/>
        </w:rPr>
        <w:t>сля епізоду панкреатиту, повинні підлягати хірургічному дренуванню із пр</w:t>
      </w:r>
      <w:r w:rsidRPr="00C62D22">
        <w:rPr>
          <w:rFonts w:ascii="Times New Roman" w:hAnsi="Times New Roman" w:cs="Times New Roman"/>
          <w:sz w:val="28"/>
          <w:szCs w:val="28"/>
        </w:rPr>
        <w:t>и</w:t>
      </w:r>
      <w:r w:rsidRPr="00C62D22">
        <w:rPr>
          <w:rFonts w:ascii="Times New Roman" w:hAnsi="Times New Roman" w:cs="Times New Roman"/>
          <w:sz w:val="28"/>
          <w:szCs w:val="28"/>
        </w:rPr>
        <w:t xml:space="preserve">чини високої вірогідності ускладнень [331]. На сьогодні доведено, що ПК діаметром &lt; </w:t>
      </w:r>
      <w:smartTag w:uri="urn:schemas-microsoft-com:office:smarttags" w:element="metricconverter">
        <w:smartTagPr>
          <w:attr w:name="ProductID" w:val="6 см"/>
        </w:smartTagPr>
        <w:r w:rsidRPr="00C62D22">
          <w:rPr>
            <w:rFonts w:ascii="Times New Roman" w:hAnsi="Times New Roman" w:cs="Times New Roman"/>
            <w:sz w:val="28"/>
            <w:szCs w:val="28"/>
          </w:rPr>
          <w:t>6 см</w:t>
        </w:r>
      </w:smartTag>
      <w:r w:rsidRPr="00C62D22">
        <w:rPr>
          <w:rFonts w:ascii="Times New Roman" w:hAnsi="Times New Roman" w:cs="Times New Roman"/>
          <w:sz w:val="28"/>
          <w:szCs w:val="28"/>
        </w:rPr>
        <w:t xml:space="preserve"> можуть спонтанно розрішатися протягом року. Ризик виникнення ускладнень при цьому не перебільшує 10% [131, 260, 394]. Таким ч</w:t>
      </w:r>
      <w:r w:rsidRPr="00C62D22">
        <w:rPr>
          <w:rFonts w:ascii="Times New Roman" w:hAnsi="Times New Roman" w:cs="Times New Roman"/>
          <w:sz w:val="28"/>
          <w:szCs w:val="28"/>
        </w:rPr>
        <w:t>и</w:t>
      </w:r>
      <w:r w:rsidRPr="00C62D22">
        <w:rPr>
          <w:rFonts w:ascii="Times New Roman" w:hAnsi="Times New Roman" w:cs="Times New Roman"/>
          <w:sz w:val="28"/>
          <w:szCs w:val="28"/>
        </w:rPr>
        <w:t xml:space="preserve">ном, пацієнти з невеликими безсимптомними ПК (менш ніж </w:t>
      </w:r>
      <w:smartTag w:uri="urn:schemas-microsoft-com:office:smarttags" w:element="metricconverter">
        <w:smartTagPr>
          <w:attr w:name="ProductID" w:val="6 см"/>
        </w:smartTagPr>
        <w:r w:rsidRPr="00C62D22">
          <w:rPr>
            <w:rFonts w:ascii="Times New Roman" w:hAnsi="Times New Roman" w:cs="Times New Roman"/>
            <w:sz w:val="28"/>
            <w:szCs w:val="28"/>
          </w:rPr>
          <w:t>6 см</w:t>
        </w:r>
      </w:smartTag>
      <w:r w:rsidRPr="00C62D22">
        <w:rPr>
          <w:rFonts w:ascii="Times New Roman" w:hAnsi="Times New Roman" w:cs="Times New Roman"/>
          <w:sz w:val="28"/>
          <w:szCs w:val="28"/>
        </w:rPr>
        <w:t xml:space="preserve"> у діаметрі) підлягають динамічному спостереженню та симптоматичній терапії [229, 236, 266, 363]. Для зменшення панкреатичної секреції та стимуляції спонтанного розр</w:t>
      </w:r>
      <w:r w:rsidRPr="00C62D22">
        <w:rPr>
          <w:rFonts w:ascii="Times New Roman" w:hAnsi="Times New Roman" w:cs="Times New Roman"/>
          <w:sz w:val="28"/>
          <w:szCs w:val="28"/>
        </w:rPr>
        <w:t>і</w:t>
      </w:r>
      <w:r w:rsidRPr="00C62D22">
        <w:rPr>
          <w:rFonts w:ascii="Times New Roman" w:hAnsi="Times New Roman" w:cs="Times New Roman"/>
          <w:sz w:val="28"/>
          <w:szCs w:val="28"/>
        </w:rPr>
        <w:t>шення ПК їм призначають препарати сомато</w:t>
      </w:r>
      <w:r w:rsidRPr="00C62D22">
        <w:rPr>
          <w:rFonts w:ascii="Times New Roman" w:hAnsi="Times New Roman" w:cs="Times New Roman"/>
          <w:sz w:val="28"/>
          <w:szCs w:val="28"/>
        </w:rPr>
        <w:t>с</w:t>
      </w:r>
      <w:r w:rsidRPr="00C62D22">
        <w:rPr>
          <w:rFonts w:ascii="Times New Roman" w:hAnsi="Times New Roman" w:cs="Times New Roman"/>
          <w:sz w:val="28"/>
          <w:szCs w:val="28"/>
        </w:rPr>
        <w:t>татину [87, 93, 394, 430].</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Якщо в ході динамічного спостереження відмічається прогресивне збіл</w:t>
      </w:r>
      <w:r w:rsidRPr="00C62D22">
        <w:rPr>
          <w:rFonts w:ascii="Times New Roman" w:hAnsi="Times New Roman" w:cs="Times New Roman"/>
          <w:sz w:val="28"/>
          <w:szCs w:val="28"/>
        </w:rPr>
        <w:t>ь</w:t>
      </w:r>
      <w:r w:rsidRPr="00C62D22">
        <w:rPr>
          <w:rFonts w:ascii="Times New Roman" w:hAnsi="Times New Roman" w:cs="Times New Roman"/>
          <w:sz w:val="28"/>
          <w:szCs w:val="28"/>
        </w:rPr>
        <w:t>шення розмірів ПК, а також виникає будь-яка симптоматика, перех</w:t>
      </w:r>
      <w:r w:rsidRPr="00C62D22">
        <w:rPr>
          <w:rFonts w:ascii="Times New Roman" w:hAnsi="Times New Roman" w:cs="Times New Roman"/>
          <w:sz w:val="28"/>
          <w:szCs w:val="28"/>
        </w:rPr>
        <w:t>о</w:t>
      </w:r>
      <w:r w:rsidRPr="00C62D22">
        <w:rPr>
          <w:rFonts w:ascii="Times New Roman" w:hAnsi="Times New Roman" w:cs="Times New Roman"/>
          <w:sz w:val="28"/>
          <w:szCs w:val="28"/>
        </w:rPr>
        <w:t>дять до активного інтервенційного або хірургічного лікування [5, 23, 70, 79, 193, 224, 268, 395, 408]. Це й же підхід застосовується в пацієнтів із симптоматичними ПК, діаметр яких на поча</w:t>
      </w:r>
      <w:r w:rsidRPr="00C62D22">
        <w:rPr>
          <w:rFonts w:ascii="Times New Roman" w:hAnsi="Times New Roman" w:cs="Times New Roman"/>
          <w:sz w:val="28"/>
          <w:szCs w:val="28"/>
        </w:rPr>
        <w:t>т</w:t>
      </w:r>
      <w:r w:rsidRPr="00C62D22">
        <w:rPr>
          <w:rFonts w:ascii="Times New Roman" w:hAnsi="Times New Roman" w:cs="Times New Roman"/>
          <w:sz w:val="28"/>
          <w:szCs w:val="28"/>
        </w:rPr>
        <w:t xml:space="preserve">ку перебільшує </w:t>
      </w:r>
      <w:smartTag w:uri="urn:schemas-microsoft-com:office:smarttags" w:element="metricconverter">
        <w:smartTagPr>
          <w:attr w:name="ProductID" w:val="6 см"/>
        </w:smartTagPr>
        <w:r w:rsidRPr="00C62D22">
          <w:rPr>
            <w:rFonts w:ascii="Times New Roman" w:hAnsi="Times New Roman" w:cs="Times New Roman"/>
            <w:sz w:val="28"/>
            <w:szCs w:val="28"/>
          </w:rPr>
          <w:t>6 см</w:t>
        </w:r>
      </w:smartTag>
      <w:r w:rsidRPr="00C62D22">
        <w:rPr>
          <w:rFonts w:ascii="Times New Roman" w:hAnsi="Times New Roman" w:cs="Times New Roman"/>
          <w:sz w:val="28"/>
          <w:szCs w:val="28"/>
        </w:rPr>
        <w:t xml:space="preserve"> та у хворих з постнекротичними ПК будь-якого діаметра, бо їх сп</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нтанне розрішення неможливе [103, 113, 152, 237, 261]. </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eastAsia="TimesNewRoman" w:hAnsi="Times New Roman" w:cs="Times New Roman"/>
          <w:sz w:val="28"/>
          <w:szCs w:val="28"/>
        </w:rPr>
        <w:t>Показаннями до оперативного втручання є ускладнення ПК (кровотеча, перфорація, нагноєння, оклюзії сусідніх органів та ін.), неефективність консервативних методів лікування, неодноразові рецидиви після крізьшкірного др</w:t>
      </w:r>
      <w:r w:rsidRPr="00C62D22">
        <w:rPr>
          <w:rFonts w:ascii="Times New Roman" w:eastAsia="TimesNewRoman" w:hAnsi="Times New Roman" w:cs="Times New Roman"/>
          <w:sz w:val="28"/>
          <w:szCs w:val="28"/>
        </w:rPr>
        <w:t>е</w:t>
      </w:r>
      <w:r w:rsidRPr="00C62D22">
        <w:rPr>
          <w:rFonts w:ascii="Times New Roman" w:eastAsia="TimesNewRoman" w:hAnsi="Times New Roman" w:cs="Times New Roman"/>
          <w:sz w:val="28"/>
          <w:szCs w:val="28"/>
        </w:rPr>
        <w:t>нування [12, 14, 78, 153, 255]. Післяопераційна летальність при оперативних втручаннях сягає 5%, рецидиви спостерігають у 10</w:t>
      </w:r>
      <w:r w:rsidRPr="00C62D22">
        <w:rPr>
          <w:rFonts w:ascii="Times New Roman" w:hAnsi="Times New Roman" w:cs="Times New Roman"/>
          <w:sz w:val="28"/>
          <w:szCs w:val="28"/>
        </w:rPr>
        <w:t>–</w:t>
      </w:r>
      <w:r w:rsidRPr="00C62D22">
        <w:rPr>
          <w:rFonts w:ascii="Times New Roman" w:eastAsia="TimesNewRoman" w:hAnsi="Times New Roman" w:cs="Times New Roman"/>
          <w:sz w:val="28"/>
          <w:szCs w:val="28"/>
        </w:rPr>
        <w:t>30 %, ускладнення (кров</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течі, неспромо</w:t>
      </w:r>
      <w:r w:rsidRPr="00C62D22">
        <w:rPr>
          <w:rFonts w:ascii="Times New Roman" w:eastAsia="TimesNewRoman" w:hAnsi="Times New Roman" w:cs="Times New Roman"/>
          <w:sz w:val="28"/>
          <w:szCs w:val="28"/>
        </w:rPr>
        <w:t>ж</w:t>
      </w:r>
      <w:r w:rsidRPr="00C62D22">
        <w:rPr>
          <w:rFonts w:ascii="Times New Roman" w:eastAsia="TimesNewRoman" w:hAnsi="Times New Roman" w:cs="Times New Roman"/>
          <w:sz w:val="28"/>
          <w:szCs w:val="28"/>
        </w:rPr>
        <w:t>ність анастомозів, утворення зовнішніх панкреатичних нориць) – у 15-30% [15, 57, 92, 135, 199]. Летальність та виникнення ускладнень залежать від пр</w:t>
      </w:r>
      <w:r w:rsidRPr="00C62D22">
        <w:rPr>
          <w:rFonts w:ascii="Times New Roman" w:eastAsia="TimesNewRoman" w:hAnsi="Times New Roman" w:cs="Times New Roman"/>
          <w:sz w:val="28"/>
          <w:szCs w:val="28"/>
        </w:rPr>
        <w:t>а</w:t>
      </w:r>
      <w:r w:rsidRPr="00C62D22">
        <w:rPr>
          <w:rFonts w:ascii="Times New Roman" w:eastAsia="TimesNewRoman" w:hAnsi="Times New Roman" w:cs="Times New Roman"/>
          <w:sz w:val="28"/>
          <w:szCs w:val="28"/>
        </w:rPr>
        <w:t xml:space="preserve">вильності вибору лікувальної тактики в кожному конкретному випадку та </w:t>
      </w:r>
      <w:r w:rsidRPr="00C62D22">
        <w:rPr>
          <w:rFonts w:ascii="Times New Roman" w:eastAsia="TimesNewRoman" w:hAnsi="Times New Roman" w:cs="Times New Roman"/>
          <w:sz w:val="28"/>
          <w:szCs w:val="28"/>
        </w:rPr>
        <w:lastRenderedPageBreak/>
        <w:t>зростають при використа</w:t>
      </w:r>
      <w:r w:rsidRPr="00C62D22">
        <w:rPr>
          <w:rFonts w:ascii="Times New Roman" w:eastAsia="TimesNewRoman" w:hAnsi="Times New Roman" w:cs="Times New Roman"/>
          <w:sz w:val="28"/>
          <w:szCs w:val="28"/>
        </w:rPr>
        <w:t>н</w:t>
      </w:r>
      <w:r w:rsidRPr="00C62D22">
        <w:rPr>
          <w:rFonts w:ascii="Times New Roman" w:eastAsia="TimesNewRoman" w:hAnsi="Times New Roman" w:cs="Times New Roman"/>
          <w:sz w:val="28"/>
          <w:szCs w:val="28"/>
        </w:rPr>
        <w:t>ні травматичних хірургічних втручань [17, 28, 212, 223, 257].</w:t>
      </w:r>
    </w:p>
    <w:p w:rsidR="0021764E" w:rsidRPr="00C62D22" w:rsidRDefault="0021764E" w:rsidP="0021764E">
      <w:pPr>
        <w:tabs>
          <w:tab w:val="left" w:pos="180"/>
          <w:tab w:val="left" w:pos="540"/>
          <w:tab w:val="left" w:pos="720"/>
        </w:tabs>
        <w:spacing w:after="0" w:line="360" w:lineRule="auto"/>
        <w:ind w:firstLine="540"/>
        <w:jc w:val="both"/>
        <w:rPr>
          <w:rFonts w:ascii="Times New Roman" w:eastAsia="TimesNewRoman" w:hAnsi="Times New Roman" w:cs="Times New Roman"/>
          <w:sz w:val="28"/>
          <w:szCs w:val="28"/>
        </w:rPr>
      </w:pPr>
      <w:r w:rsidRPr="00C62D22">
        <w:rPr>
          <w:rFonts w:ascii="Times New Roman" w:eastAsia="TimesNewRoman" w:hAnsi="Times New Roman" w:cs="Times New Roman"/>
          <w:sz w:val="28"/>
          <w:szCs w:val="28"/>
        </w:rPr>
        <w:t>У лікуванні ПК ПЗ традиційно виділяють три основних варіанти опер</w:t>
      </w:r>
      <w:r w:rsidRPr="00C62D22">
        <w:rPr>
          <w:rFonts w:ascii="Times New Roman" w:eastAsia="TimesNewRoman" w:hAnsi="Times New Roman" w:cs="Times New Roman"/>
          <w:sz w:val="28"/>
          <w:szCs w:val="28"/>
        </w:rPr>
        <w:t>а</w:t>
      </w:r>
      <w:r w:rsidRPr="00C62D22">
        <w:rPr>
          <w:rFonts w:ascii="Times New Roman" w:eastAsia="TimesNewRoman" w:hAnsi="Times New Roman" w:cs="Times New Roman"/>
          <w:sz w:val="28"/>
          <w:szCs w:val="28"/>
        </w:rPr>
        <w:t xml:space="preserve">цій: зовнішнє та внутрішнє дренування й резекційні, із видаленням частини ПЗ </w:t>
      </w:r>
      <w:r w:rsidRPr="00C62D22">
        <w:rPr>
          <w:rFonts w:ascii="Times New Roman" w:hAnsi="Times New Roman" w:cs="Times New Roman"/>
          <w:sz w:val="28"/>
          <w:szCs w:val="28"/>
        </w:rPr>
        <w:t>[30, 98, 249, 317, 322, 330, 407]</w:t>
      </w:r>
      <w:r w:rsidRPr="00C62D22">
        <w:rPr>
          <w:rFonts w:ascii="Times New Roman" w:eastAsia="TimesNewRoman" w:hAnsi="Times New Roman" w:cs="Times New Roman"/>
          <w:sz w:val="28"/>
          <w:szCs w:val="28"/>
        </w:rPr>
        <w:t xml:space="preserve">. </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Існує два принципово різних способи дренування ПК ПЗ: зовнішнє та вн</w:t>
      </w:r>
      <w:r w:rsidRPr="00C62D22">
        <w:rPr>
          <w:rFonts w:ascii="Times New Roman" w:hAnsi="Times New Roman" w:cs="Times New Roman"/>
          <w:sz w:val="28"/>
          <w:szCs w:val="28"/>
        </w:rPr>
        <w:t>у</w:t>
      </w:r>
      <w:r w:rsidRPr="00C62D22">
        <w:rPr>
          <w:rFonts w:ascii="Times New Roman" w:hAnsi="Times New Roman" w:cs="Times New Roman"/>
          <w:sz w:val="28"/>
          <w:szCs w:val="28"/>
        </w:rPr>
        <w:t xml:space="preserve">трішнє дренування (ЦДС [231, 292], цистогастро– [277, 280, 330, 377, 389] та ЦЄС) [186], повздовжня панкреатоєюностомія (ППЄС) [269, 322, 368, 373, 405]. Вибір найбільш оптимального втручання залежить від анатомії ГПП та його співустя з порожниною ПК ПЗ, а також від виду ускладнення ПК ПЗ [232, 247, 251, 264, 301]. </w:t>
      </w:r>
    </w:p>
    <w:p w:rsidR="0021764E" w:rsidRPr="00C62D22" w:rsidRDefault="0021764E" w:rsidP="0021764E">
      <w:pPr>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eastAsia="Times-Roman" w:hAnsi="Times New Roman" w:cs="Times New Roman"/>
          <w:sz w:val="28"/>
          <w:szCs w:val="28"/>
          <w:lang w:bidi="or-IN"/>
        </w:rPr>
        <w:t>У наш час зовнішнє дренування ПК ПЗ пізніше ніж 4</w:t>
      </w:r>
      <w:r w:rsidRPr="00C62D22">
        <w:rPr>
          <w:rFonts w:ascii="Times New Roman" w:hAnsi="Times New Roman" w:cs="Times New Roman"/>
          <w:sz w:val="28"/>
          <w:szCs w:val="28"/>
        </w:rPr>
        <w:t>–</w:t>
      </w:r>
      <w:r w:rsidRPr="00C62D22">
        <w:rPr>
          <w:rFonts w:ascii="Times New Roman" w:eastAsia="Times-Roman" w:hAnsi="Times New Roman" w:cs="Times New Roman"/>
          <w:sz w:val="28"/>
          <w:szCs w:val="28"/>
          <w:lang w:bidi="or-IN"/>
        </w:rPr>
        <w:t>6 тижнів після нападу панкреатиту вважається примусовим втручанням, яке викон</w:t>
      </w:r>
      <w:r w:rsidRPr="00C62D22">
        <w:rPr>
          <w:rFonts w:ascii="Times New Roman" w:eastAsia="Times-Roman" w:hAnsi="Times New Roman" w:cs="Times New Roman"/>
          <w:sz w:val="28"/>
          <w:szCs w:val="28"/>
          <w:lang w:bidi="or-IN"/>
        </w:rPr>
        <w:t>у</w:t>
      </w:r>
      <w:r w:rsidRPr="00C62D22">
        <w:rPr>
          <w:rFonts w:ascii="Times New Roman" w:eastAsia="Times-Roman" w:hAnsi="Times New Roman" w:cs="Times New Roman"/>
          <w:sz w:val="28"/>
          <w:szCs w:val="28"/>
          <w:lang w:bidi="or-IN"/>
        </w:rPr>
        <w:t>ється у хворих з підвищеним операційним ризиком та при наявності ускла</w:t>
      </w:r>
      <w:r w:rsidRPr="00C62D22">
        <w:rPr>
          <w:rFonts w:ascii="Times New Roman" w:eastAsia="Times-Roman" w:hAnsi="Times New Roman" w:cs="Times New Roman"/>
          <w:sz w:val="28"/>
          <w:szCs w:val="28"/>
          <w:lang w:bidi="or-IN"/>
        </w:rPr>
        <w:t>д</w:t>
      </w:r>
      <w:r w:rsidRPr="00C62D22">
        <w:rPr>
          <w:rFonts w:ascii="Times New Roman" w:eastAsia="Times-Roman" w:hAnsi="Times New Roman" w:cs="Times New Roman"/>
          <w:sz w:val="28"/>
          <w:szCs w:val="28"/>
          <w:lang w:bidi="or-IN"/>
        </w:rPr>
        <w:t>нень [30, 114, 115, 243, 248, 250, 268]</w:t>
      </w:r>
      <w:r w:rsidRPr="00C62D22">
        <w:rPr>
          <w:rFonts w:ascii="Times New Roman" w:hAnsi="Times New Roman" w:cs="Times New Roman"/>
          <w:sz w:val="28"/>
          <w:szCs w:val="28"/>
        </w:rPr>
        <w:t>. При розривах ПК ПЗ, ускладнених перитонітом, септичним станом, зумовленим нагноєнням кісти, показана операція марсупіалізації – зовнішнє дренува</w:t>
      </w:r>
      <w:r w:rsidRPr="00C62D22">
        <w:rPr>
          <w:rFonts w:ascii="Times New Roman" w:hAnsi="Times New Roman" w:cs="Times New Roman"/>
          <w:sz w:val="28"/>
          <w:szCs w:val="28"/>
        </w:rPr>
        <w:t>н</w:t>
      </w:r>
      <w:r w:rsidRPr="00C62D22">
        <w:rPr>
          <w:rFonts w:ascii="Times New Roman" w:hAnsi="Times New Roman" w:cs="Times New Roman"/>
          <w:sz w:val="28"/>
          <w:szCs w:val="28"/>
        </w:rPr>
        <w:t>ня кісти шляхом підшивання її стінок до парієтальної очеревини та шкіри [116, 121, 254].</w:t>
      </w:r>
      <w:r w:rsidRPr="00C62D22">
        <w:rPr>
          <w:rFonts w:ascii="Times New Roman" w:eastAsia="TimesNewRoman" w:hAnsi="Times New Roman" w:cs="Times New Roman"/>
          <w:sz w:val="28"/>
          <w:szCs w:val="28"/>
        </w:rPr>
        <w:t xml:space="preserve"> </w:t>
      </w:r>
      <w:r w:rsidRPr="00C62D22">
        <w:rPr>
          <w:rFonts w:ascii="Times New Roman" w:hAnsi="Times New Roman" w:cs="Times New Roman"/>
          <w:sz w:val="28"/>
          <w:szCs w:val="28"/>
        </w:rPr>
        <w:t>Хотілося б зазначити, що марсупіалізація на сьогодні не находе широкої пі</w:t>
      </w:r>
      <w:r w:rsidRPr="00C62D22">
        <w:rPr>
          <w:rFonts w:ascii="Times New Roman" w:hAnsi="Times New Roman" w:cs="Times New Roman"/>
          <w:sz w:val="28"/>
          <w:szCs w:val="28"/>
        </w:rPr>
        <w:t>д</w:t>
      </w:r>
      <w:r w:rsidRPr="00C62D22">
        <w:rPr>
          <w:rFonts w:ascii="Times New Roman" w:hAnsi="Times New Roman" w:cs="Times New Roman"/>
          <w:sz w:val="28"/>
          <w:szCs w:val="28"/>
        </w:rPr>
        <w:t>тримки серед спеціалістів у зв’язку із великою кількістю післяопераційних ускладнень (</w:t>
      </w:r>
      <w:r w:rsidRPr="00C62D22">
        <w:rPr>
          <w:rFonts w:ascii="Times New Roman" w:eastAsia="TimesNewRoman" w:hAnsi="Times New Roman" w:cs="Times New Roman"/>
          <w:sz w:val="28"/>
          <w:szCs w:val="28"/>
        </w:rPr>
        <w:t>до 70 %, при нагноєнні кісти летальність досягає 28</w:t>
      </w:r>
      <w:r w:rsidRPr="00C62D22">
        <w:rPr>
          <w:rFonts w:ascii="Times New Roman" w:hAnsi="Times New Roman" w:cs="Times New Roman"/>
          <w:sz w:val="28"/>
          <w:szCs w:val="28"/>
        </w:rPr>
        <w:t>–</w:t>
      </w:r>
      <w:r w:rsidRPr="00C62D22">
        <w:rPr>
          <w:rFonts w:ascii="Times New Roman" w:eastAsia="TimesNewRoman" w:hAnsi="Times New Roman" w:cs="Times New Roman"/>
          <w:sz w:val="28"/>
          <w:szCs w:val="28"/>
        </w:rPr>
        <w:t>35 %)</w:t>
      </w:r>
      <w:r w:rsidRPr="00C62D22">
        <w:rPr>
          <w:rFonts w:ascii="Times New Roman" w:hAnsi="Times New Roman" w:cs="Times New Roman"/>
          <w:sz w:val="28"/>
          <w:szCs w:val="28"/>
        </w:rPr>
        <w:t xml:space="preserve"> та нез</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довільними віддаленими результатами. </w:t>
      </w:r>
      <w:r w:rsidRPr="00C62D22">
        <w:rPr>
          <w:rFonts w:ascii="Times New Roman" w:eastAsia="Times-Roman" w:hAnsi="Times New Roman" w:cs="Times New Roman"/>
          <w:sz w:val="28"/>
          <w:szCs w:val="28"/>
          <w:lang w:bidi="or-IN"/>
        </w:rPr>
        <w:t>Це втручання є технічно простим, однак, призв</w:t>
      </w:r>
      <w:r w:rsidRPr="00C62D22">
        <w:rPr>
          <w:rFonts w:ascii="Times New Roman" w:eastAsia="Times-Roman" w:hAnsi="Times New Roman" w:cs="Times New Roman"/>
          <w:sz w:val="28"/>
          <w:szCs w:val="28"/>
          <w:lang w:bidi="or-IN"/>
        </w:rPr>
        <w:t>о</w:t>
      </w:r>
      <w:r w:rsidRPr="00C62D22">
        <w:rPr>
          <w:rFonts w:ascii="Times New Roman" w:eastAsia="Times-Roman" w:hAnsi="Times New Roman" w:cs="Times New Roman"/>
          <w:sz w:val="28"/>
          <w:szCs w:val="28"/>
          <w:lang w:bidi="or-IN"/>
        </w:rPr>
        <w:t>дить до виникнення панкреатичних нориць у 10</w:t>
      </w:r>
      <w:r w:rsidRPr="00C62D22">
        <w:rPr>
          <w:rFonts w:ascii="Times New Roman" w:hAnsi="Times New Roman" w:cs="Times New Roman"/>
          <w:sz w:val="28"/>
          <w:szCs w:val="28"/>
        </w:rPr>
        <w:t>–</w:t>
      </w:r>
      <w:r w:rsidRPr="00C62D22">
        <w:rPr>
          <w:rFonts w:ascii="Times New Roman" w:eastAsia="Times-Roman" w:hAnsi="Times New Roman" w:cs="Times New Roman"/>
          <w:sz w:val="28"/>
          <w:szCs w:val="28"/>
          <w:lang w:bidi="or-IN"/>
        </w:rPr>
        <w:t>33% та рецидиву ПК у 27</w:t>
      </w:r>
      <w:r w:rsidRPr="00C62D22">
        <w:rPr>
          <w:rFonts w:ascii="Times New Roman" w:hAnsi="Times New Roman" w:cs="Times New Roman"/>
          <w:sz w:val="28"/>
          <w:szCs w:val="28"/>
        </w:rPr>
        <w:t>–</w:t>
      </w:r>
      <w:r w:rsidRPr="00C62D22">
        <w:rPr>
          <w:rFonts w:ascii="Times New Roman" w:eastAsia="Times-Roman" w:hAnsi="Times New Roman" w:cs="Times New Roman"/>
          <w:sz w:val="28"/>
          <w:szCs w:val="28"/>
          <w:lang w:bidi="or-IN"/>
        </w:rPr>
        <w:t xml:space="preserve">57% хворих [140, 304]. </w:t>
      </w:r>
      <w:r w:rsidRPr="00C62D22">
        <w:rPr>
          <w:rFonts w:ascii="Times New Roman" w:hAnsi="Times New Roman" w:cs="Times New Roman"/>
          <w:sz w:val="28"/>
          <w:szCs w:val="28"/>
        </w:rPr>
        <w:t>У то й же час багато авторів пов’язують високу частоту розвитку ускладнень та рецидиву ПК при зовнішньому дренуванні з поп</w:t>
      </w:r>
      <w:r w:rsidRPr="00C62D22">
        <w:rPr>
          <w:rFonts w:ascii="Times New Roman" w:hAnsi="Times New Roman" w:cs="Times New Roman"/>
          <w:sz w:val="28"/>
          <w:szCs w:val="28"/>
        </w:rPr>
        <w:t>е</w:t>
      </w:r>
      <w:r w:rsidRPr="00C62D22">
        <w:rPr>
          <w:rFonts w:ascii="Times New Roman" w:hAnsi="Times New Roman" w:cs="Times New Roman"/>
          <w:sz w:val="28"/>
          <w:szCs w:val="28"/>
        </w:rPr>
        <w:t>редніми змінами в ПЗ та ПК, а також тяжким соматичним станом хворих до операції [265]. Зовнішнє дренування в декотрих випадках є доповненням до внутрішнього дрен</w:t>
      </w:r>
      <w:r w:rsidRPr="00C62D22">
        <w:rPr>
          <w:rFonts w:ascii="Times New Roman" w:hAnsi="Times New Roman" w:cs="Times New Roman"/>
          <w:sz w:val="28"/>
          <w:szCs w:val="28"/>
        </w:rPr>
        <w:t>у</w:t>
      </w:r>
      <w:r w:rsidRPr="00C62D22">
        <w:rPr>
          <w:rFonts w:ascii="Times New Roman" w:hAnsi="Times New Roman" w:cs="Times New Roman"/>
          <w:sz w:val="28"/>
          <w:szCs w:val="28"/>
        </w:rPr>
        <w:t>вання для підвищення надійності анастомозів.</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Найбільш оптимальним методом зовнішнього дренування у цей час вважається активна аспірація рідини з порожнини ПК. Ця методика засн</w:t>
      </w:r>
      <w:r w:rsidRPr="00C62D22">
        <w:rPr>
          <w:rFonts w:ascii="Times New Roman" w:hAnsi="Times New Roman" w:cs="Times New Roman"/>
          <w:sz w:val="28"/>
          <w:szCs w:val="28"/>
        </w:rPr>
        <w:t>о</w:t>
      </w:r>
      <w:r w:rsidRPr="00C62D22">
        <w:rPr>
          <w:rFonts w:ascii="Times New Roman" w:hAnsi="Times New Roman" w:cs="Times New Roman"/>
          <w:sz w:val="28"/>
          <w:szCs w:val="28"/>
        </w:rPr>
        <w:t>вана на механічному вимиванні мікроорганізмів, продуктів їх життєдіял</w:t>
      </w:r>
      <w:r w:rsidRPr="00C62D22">
        <w:rPr>
          <w:rFonts w:ascii="Times New Roman" w:hAnsi="Times New Roman" w:cs="Times New Roman"/>
          <w:sz w:val="28"/>
          <w:szCs w:val="28"/>
        </w:rPr>
        <w:t>ь</w:t>
      </w:r>
      <w:r w:rsidRPr="00C62D22">
        <w:rPr>
          <w:rFonts w:ascii="Times New Roman" w:hAnsi="Times New Roman" w:cs="Times New Roman"/>
          <w:sz w:val="28"/>
          <w:szCs w:val="28"/>
        </w:rPr>
        <w:t xml:space="preserve">ності та дрібних секвестрів [18, </w:t>
      </w:r>
      <w:r w:rsidRPr="00C62D22">
        <w:rPr>
          <w:rFonts w:ascii="Times New Roman" w:hAnsi="Times New Roman" w:cs="Times New Roman"/>
          <w:sz w:val="28"/>
          <w:szCs w:val="28"/>
        </w:rPr>
        <w:lastRenderedPageBreak/>
        <w:t>213, 220, 222].</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eastAsia="Times-Roman" w:hAnsi="Times New Roman" w:cs="Times New Roman"/>
          <w:sz w:val="28"/>
          <w:szCs w:val="28"/>
          <w:lang w:bidi="or-IN"/>
        </w:rPr>
        <w:t>Останнім часом широке розповсюдження отримують мініінвазивні крізьшкірні втручання під контролем УЗД чи МСКТ [2, 31, 41, 43, 69, 71, 126, 328]. Найбільш задовільною є пункція під контролем трьохмірної УЗД, яка запобігає ушк</w:t>
      </w:r>
      <w:r w:rsidRPr="00C62D22">
        <w:rPr>
          <w:rFonts w:ascii="Times New Roman" w:eastAsia="Times-Roman" w:hAnsi="Times New Roman" w:cs="Times New Roman"/>
          <w:sz w:val="28"/>
          <w:szCs w:val="28"/>
          <w:lang w:bidi="or-IN"/>
        </w:rPr>
        <w:t>о</w:t>
      </w:r>
      <w:r w:rsidRPr="00C62D22">
        <w:rPr>
          <w:rFonts w:ascii="Times New Roman" w:eastAsia="Times-Roman" w:hAnsi="Times New Roman" w:cs="Times New Roman"/>
          <w:sz w:val="28"/>
          <w:szCs w:val="28"/>
          <w:lang w:bidi="or-IN"/>
        </w:rPr>
        <w:t xml:space="preserve">дженню великих судин. Важливою перевагою такого лікування є мінімальна травматичність </w:t>
      </w:r>
      <w:r w:rsidRPr="00C62D22">
        <w:rPr>
          <w:rFonts w:ascii="Times New Roman" w:hAnsi="Times New Roman" w:cs="Times New Roman"/>
          <w:sz w:val="28"/>
          <w:szCs w:val="28"/>
        </w:rPr>
        <w:t>[80, 252, 424]</w:t>
      </w:r>
      <w:r w:rsidRPr="00C62D22">
        <w:rPr>
          <w:rFonts w:ascii="Times New Roman" w:eastAsia="Times-Roman" w:hAnsi="Times New Roman" w:cs="Times New Roman"/>
          <w:sz w:val="28"/>
          <w:szCs w:val="28"/>
          <w:lang w:bidi="or-IN"/>
        </w:rPr>
        <w:t>.</w:t>
      </w:r>
      <w:r w:rsidRPr="00C62D22">
        <w:rPr>
          <w:rFonts w:ascii="Times New Roman" w:eastAsia="TimesNewRoman" w:hAnsi="Times New Roman" w:cs="Times New Roman"/>
          <w:sz w:val="28"/>
          <w:szCs w:val="28"/>
        </w:rPr>
        <w:t xml:space="preserve"> Показаннями до крізьшкірної пункції ПК ПЗ є незрілі кісти, які збільшуються, та тривалість їх виникнення до 6 міс </w:t>
      </w:r>
      <w:r w:rsidRPr="00C62D22">
        <w:rPr>
          <w:rFonts w:ascii="Times New Roman" w:hAnsi="Times New Roman" w:cs="Times New Roman"/>
          <w:sz w:val="28"/>
          <w:szCs w:val="28"/>
        </w:rPr>
        <w:t>[81, 153, 166, 427]</w:t>
      </w:r>
      <w:r w:rsidRPr="00C62D22">
        <w:rPr>
          <w:rFonts w:ascii="Times New Roman" w:eastAsia="TimesNewRoman" w:hAnsi="Times New Roman" w:cs="Times New Roman"/>
          <w:sz w:val="28"/>
          <w:szCs w:val="28"/>
        </w:rPr>
        <w:t>.</w:t>
      </w:r>
      <w:r w:rsidRPr="00C62D22">
        <w:rPr>
          <w:rFonts w:ascii="Times New Roman" w:eastAsia="Times-Roman" w:hAnsi="Times New Roman" w:cs="Times New Roman"/>
          <w:sz w:val="28"/>
          <w:szCs w:val="28"/>
          <w:lang w:bidi="or-IN"/>
        </w:rPr>
        <w:t xml:space="preserve"> М</w:t>
      </w:r>
      <w:r w:rsidRPr="00C62D22">
        <w:rPr>
          <w:rFonts w:ascii="Times New Roman" w:eastAsia="TimesNewRoman" w:hAnsi="Times New Roman" w:cs="Times New Roman"/>
          <w:sz w:val="28"/>
          <w:szCs w:val="28"/>
        </w:rPr>
        <w:t>ініінвазивне лікува</w:t>
      </w:r>
      <w:r w:rsidRPr="00C62D22">
        <w:rPr>
          <w:rFonts w:ascii="Times New Roman" w:eastAsia="TimesNewRoman" w:hAnsi="Times New Roman" w:cs="Times New Roman"/>
          <w:sz w:val="28"/>
          <w:szCs w:val="28"/>
        </w:rPr>
        <w:t>н</w:t>
      </w:r>
      <w:r w:rsidRPr="00C62D22">
        <w:rPr>
          <w:rFonts w:ascii="Times New Roman" w:eastAsia="TimesNewRoman" w:hAnsi="Times New Roman" w:cs="Times New Roman"/>
          <w:sz w:val="28"/>
          <w:szCs w:val="28"/>
        </w:rPr>
        <w:t xml:space="preserve">ня потрібно намагатися проводити до появи гнійних ускладнень з боку ПК </w:t>
      </w:r>
      <w:r w:rsidRPr="00C62D22">
        <w:rPr>
          <w:rFonts w:ascii="Times New Roman" w:hAnsi="Times New Roman" w:cs="Times New Roman"/>
          <w:sz w:val="28"/>
          <w:szCs w:val="28"/>
        </w:rPr>
        <w:t>[83]</w:t>
      </w:r>
      <w:r w:rsidRPr="00C62D22">
        <w:rPr>
          <w:rFonts w:ascii="Times New Roman" w:eastAsia="TimesNewRoman" w:hAnsi="Times New Roman" w:cs="Times New Roman"/>
          <w:sz w:val="28"/>
          <w:szCs w:val="28"/>
        </w:rPr>
        <w:t>. Якщо раніше показаннями для використання мініінвазивних те</w:t>
      </w:r>
      <w:r w:rsidRPr="00C62D22">
        <w:rPr>
          <w:rFonts w:ascii="Times New Roman" w:eastAsia="TimesNewRoman" w:hAnsi="Times New Roman" w:cs="Times New Roman"/>
          <w:sz w:val="28"/>
          <w:szCs w:val="28"/>
        </w:rPr>
        <w:t>х</w:t>
      </w:r>
      <w:r w:rsidRPr="00C62D22">
        <w:rPr>
          <w:rFonts w:ascii="Times New Roman" w:eastAsia="TimesNewRoman" w:hAnsi="Times New Roman" w:cs="Times New Roman"/>
          <w:sz w:val="28"/>
          <w:szCs w:val="28"/>
        </w:rPr>
        <w:t>нологій традиційно вважали нагноєння, компресійний, больовий і біліарний синдроми, швидке зростання ПК [42, 44, 47, 49, 50, 151, 198, 294], то останнім часом більше схиляються до викона</w:t>
      </w:r>
      <w:r w:rsidRPr="00C62D22">
        <w:rPr>
          <w:rFonts w:ascii="Times New Roman" w:eastAsia="TimesNewRoman" w:hAnsi="Times New Roman" w:cs="Times New Roman"/>
          <w:sz w:val="28"/>
          <w:szCs w:val="28"/>
        </w:rPr>
        <w:t>н</w:t>
      </w:r>
      <w:r w:rsidRPr="00C62D22">
        <w:rPr>
          <w:rFonts w:ascii="Times New Roman" w:eastAsia="TimesNewRoman" w:hAnsi="Times New Roman" w:cs="Times New Roman"/>
          <w:sz w:val="28"/>
          <w:szCs w:val="28"/>
        </w:rPr>
        <w:t>ня мініінвазивних операцій при неускладненому перебігу кісти, з метою запобігання розвитку після</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пераційних ускладнень [2,</w:t>
      </w:r>
      <w:r w:rsidRPr="00C62D22">
        <w:rPr>
          <w:rFonts w:ascii="Times New Roman" w:eastAsia="TimesNewRoman" w:hAnsi="Times New Roman" w:cs="Times New Roman"/>
          <w:color w:val="3366FF"/>
          <w:sz w:val="28"/>
          <w:szCs w:val="28"/>
        </w:rPr>
        <w:t xml:space="preserve"> </w:t>
      </w:r>
      <w:r w:rsidRPr="00C62D22">
        <w:rPr>
          <w:rFonts w:ascii="Times New Roman" w:eastAsia="TimesNewRoman" w:hAnsi="Times New Roman" w:cs="Times New Roman"/>
          <w:sz w:val="28"/>
          <w:szCs w:val="28"/>
        </w:rPr>
        <w:t>247].</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eastAsia="TimesNewRoman" w:hAnsi="Times New Roman" w:cs="Times New Roman"/>
          <w:sz w:val="28"/>
          <w:szCs w:val="28"/>
        </w:rPr>
        <w:t>При кожній пункції виконують повну аспірацію вмісту ПК, що контр</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люють за допомогою УЗД. Після аспірації вмісту кісти, з метою попередже</w:t>
      </w:r>
      <w:r w:rsidRPr="00C62D22">
        <w:rPr>
          <w:rFonts w:ascii="Times New Roman" w:eastAsia="TimesNewRoman" w:hAnsi="Times New Roman" w:cs="Times New Roman"/>
          <w:sz w:val="28"/>
          <w:szCs w:val="28"/>
        </w:rPr>
        <w:t>н</w:t>
      </w:r>
      <w:r w:rsidRPr="00C62D22">
        <w:rPr>
          <w:rFonts w:ascii="Times New Roman" w:eastAsia="TimesNewRoman" w:hAnsi="Times New Roman" w:cs="Times New Roman"/>
          <w:sz w:val="28"/>
          <w:szCs w:val="28"/>
        </w:rPr>
        <w:t>ня інфікування, процедуру завершують введенням у залишкову порожнину розч</w:t>
      </w:r>
      <w:r w:rsidRPr="00C62D22">
        <w:rPr>
          <w:rFonts w:ascii="Times New Roman" w:eastAsia="TimesNewRoman" w:hAnsi="Times New Roman" w:cs="Times New Roman"/>
          <w:sz w:val="28"/>
          <w:szCs w:val="28"/>
        </w:rPr>
        <w:t>и</w:t>
      </w:r>
      <w:r w:rsidRPr="00C62D22">
        <w:rPr>
          <w:rFonts w:ascii="Times New Roman" w:eastAsia="TimesNewRoman" w:hAnsi="Times New Roman" w:cs="Times New Roman"/>
          <w:sz w:val="28"/>
          <w:szCs w:val="28"/>
        </w:rPr>
        <w:t>ну антибіотика. Повторні пункції проводять через 2–4 дні при повторному н</w:t>
      </w:r>
      <w:r w:rsidRPr="00C62D22">
        <w:rPr>
          <w:rFonts w:ascii="Times New Roman" w:eastAsia="TimesNewRoman" w:hAnsi="Times New Roman" w:cs="Times New Roman"/>
          <w:sz w:val="28"/>
          <w:szCs w:val="28"/>
        </w:rPr>
        <w:t>а</w:t>
      </w:r>
      <w:r w:rsidRPr="00C62D22">
        <w:rPr>
          <w:rFonts w:ascii="Times New Roman" w:eastAsia="TimesNewRoman" w:hAnsi="Times New Roman" w:cs="Times New Roman"/>
          <w:sz w:val="28"/>
          <w:szCs w:val="28"/>
        </w:rPr>
        <w:t>копиченні секрету більше 10–15 мл на добу. Основним напрямком супутньої консервативної терапії є пригнічення секреції ПЗ та шлунка; зменшення цит</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токсичного впливу вільних радикалів та запальних ЦК, активних ферме</w:t>
      </w:r>
      <w:r w:rsidRPr="00C62D22">
        <w:rPr>
          <w:rFonts w:ascii="Times New Roman" w:eastAsia="TimesNewRoman" w:hAnsi="Times New Roman" w:cs="Times New Roman"/>
          <w:sz w:val="28"/>
          <w:szCs w:val="28"/>
        </w:rPr>
        <w:t>н</w:t>
      </w:r>
      <w:r w:rsidRPr="00C62D22">
        <w:rPr>
          <w:rFonts w:ascii="Times New Roman" w:eastAsia="TimesNewRoman" w:hAnsi="Times New Roman" w:cs="Times New Roman"/>
          <w:sz w:val="28"/>
          <w:szCs w:val="28"/>
        </w:rPr>
        <w:t xml:space="preserve">тів, попередження інфікування [57, 85, 88, 415]. </w:t>
      </w:r>
    </w:p>
    <w:p w:rsidR="0021764E" w:rsidRPr="00C62D22" w:rsidRDefault="0021764E" w:rsidP="0021764E">
      <w:pPr>
        <w:widowControl w:val="0"/>
        <w:autoSpaceDE w:val="0"/>
        <w:autoSpaceDN w:val="0"/>
        <w:adjustRightInd w:val="0"/>
        <w:spacing w:after="0" w:line="360" w:lineRule="auto"/>
        <w:ind w:firstLine="540"/>
        <w:jc w:val="both"/>
        <w:rPr>
          <w:rFonts w:ascii="Times New Roman" w:eastAsia="Times-Roman" w:hAnsi="Times New Roman" w:cs="Times New Roman"/>
          <w:sz w:val="28"/>
          <w:szCs w:val="28"/>
          <w:lang w:bidi="or-IN"/>
        </w:rPr>
      </w:pPr>
      <w:r w:rsidRPr="00C62D22">
        <w:rPr>
          <w:rFonts w:ascii="Times New Roman" w:eastAsia="Times-Roman" w:hAnsi="Times New Roman" w:cs="Times New Roman"/>
          <w:sz w:val="28"/>
          <w:szCs w:val="28"/>
          <w:lang w:bidi="or-IN"/>
        </w:rPr>
        <w:t>Разом із тим, є й недоліки такого лікування: небезпека ушкодження пр</w:t>
      </w:r>
      <w:r w:rsidRPr="00C62D22">
        <w:rPr>
          <w:rFonts w:ascii="Times New Roman" w:eastAsia="Times-Roman" w:hAnsi="Times New Roman" w:cs="Times New Roman"/>
          <w:sz w:val="28"/>
          <w:szCs w:val="28"/>
          <w:lang w:bidi="or-IN"/>
        </w:rPr>
        <w:t>и</w:t>
      </w:r>
      <w:r w:rsidRPr="00C62D22">
        <w:rPr>
          <w:rFonts w:ascii="Times New Roman" w:eastAsia="Times-Roman" w:hAnsi="Times New Roman" w:cs="Times New Roman"/>
          <w:sz w:val="28"/>
          <w:szCs w:val="28"/>
          <w:lang w:bidi="or-IN"/>
        </w:rPr>
        <w:t>леглих органів, неможливість евакуації через пункційну голку гною та ткани</w:t>
      </w:r>
      <w:r w:rsidRPr="00C62D22">
        <w:rPr>
          <w:rFonts w:ascii="Times New Roman" w:eastAsia="Times-Roman" w:hAnsi="Times New Roman" w:cs="Times New Roman"/>
          <w:sz w:val="28"/>
          <w:szCs w:val="28"/>
          <w:lang w:bidi="or-IN"/>
        </w:rPr>
        <w:t>н</w:t>
      </w:r>
      <w:r w:rsidRPr="00C62D22">
        <w:rPr>
          <w:rFonts w:ascii="Times New Roman" w:eastAsia="Times-Roman" w:hAnsi="Times New Roman" w:cs="Times New Roman"/>
          <w:sz w:val="28"/>
          <w:szCs w:val="28"/>
          <w:lang w:bidi="or-IN"/>
        </w:rPr>
        <w:t>ного детриту, ненадійна фіксація дренажу в порожнині, необхідність повторн</w:t>
      </w:r>
      <w:r w:rsidRPr="00C62D22">
        <w:rPr>
          <w:rFonts w:ascii="Times New Roman" w:eastAsia="Times-Roman" w:hAnsi="Times New Roman" w:cs="Times New Roman"/>
          <w:sz w:val="28"/>
          <w:szCs w:val="28"/>
          <w:lang w:bidi="or-IN"/>
        </w:rPr>
        <w:t>о</w:t>
      </w:r>
      <w:r w:rsidRPr="00C62D22">
        <w:rPr>
          <w:rFonts w:ascii="Times New Roman" w:eastAsia="Times-Roman" w:hAnsi="Times New Roman" w:cs="Times New Roman"/>
          <w:sz w:val="28"/>
          <w:szCs w:val="28"/>
          <w:lang w:bidi="or-IN"/>
        </w:rPr>
        <w:t>го виконання пункції, витікання вмісту ПК у черевну порожнину [84, 102, 156, 213].</w:t>
      </w:r>
    </w:p>
    <w:p w:rsidR="0021764E" w:rsidRPr="00C62D22" w:rsidRDefault="0021764E" w:rsidP="0021764E">
      <w:pPr>
        <w:widowControl w:val="0"/>
        <w:autoSpaceDE w:val="0"/>
        <w:autoSpaceDN w:val="0"/>
        <w:adjustRightInd w:val="0"/>
        <w:spacing w:after="0" w:line="360" w:lineRule="auto"/>
        <w:ind w:firstLine="540"/>
        <w:jc w:val="both"/>
        <w:rPr>
          <w:rFonts w:ascii="Times New Roman" w:hAnsi="Times New Roman" w:cs="Times New Roman"/>
          <w:iCs/>
          <w:spacing w:val="-4"/>
          <w:sz w:val="28"/>
          <w:szCs w:val="28"/>
        </w:rPr>
      </w:pPr>
      <w:r w:rsidRPr="00C62D22">
        <w:rPr>
          <w:rFonts w:ascii="Times New Roman" w:eastAsia="TimesNewRoman" w:hAnsi="Times New Roman" w:cs="Times New Roman"/>
          <w:sz w:val="28"/>
          <w:szCs w:val="28"/>
        </w:rPr>
        <w:t xml:space="preserve">При розмірах кіст більше </w:t>
      </w:r>
      <w:smartTag w:uri="urn:schemas-microsoft-com:office:smarttags" w:element="metricconverter">
        <w:smartTagPr>
          <w:attr w:name="ProductID" w:val="10 см"/>
        </w:smartTagPr>
        <w:r w:rsidRPr="00C62D22">
          <w:rPr>
            <w:rFonts w:ascii="Times New Roman" w:eastAsia="TimesNewRoman" w:hAnsi="Times New Roman" w:cs="Times New Roman"/>
            <w:sz w:val="28"/>
            <w:szCs w:val="28"/>
          </w:rPr>
          <w:t>10 см</w:t>
        </w:r>
      </w:smartTag>
      <w:r w:rsidRPr="00C62D22">
        <w:rPr>
          <w:rFonts w:ascii="Times New Roman" w:eastAsia="TimesNewRoman" w:hAnsi="Times New Roman" w:cs="Times New Roman"/>
          <w:sz w:val="28"/>
          <w:szCs w:val="28"/>
        </w:rPr>
        <w:t>, несформованих ПК, нагноєння їх вмі</w:t>
      </w:r>
      <w:r w:rsidRPr="00C62D22">
        <w:rPr>
          <w:rFonts w:ascii="Times New Roman" w:eastAsia="TimesNewRoman" w:hAnsi="Times New Roman" w:cs="Times New Roman"/>
          <w:sz w:val="28"/>
          <w:szCs w:val="28"/>
        </w:rPr>
        <w:t>с</w:t>
      </w:r>
      <w:r w:rsidRPr="00C62D22">
        <w:rPr>
          <w:rFonts w:ascii="Times New Roman" w:eastAsia="TimesNewRoman" w:hAnsi="Times New Roman" w:cs="Times New Roman"/>
          <w:sz w:val="28"/>
          <w:szCs w:val="28"/>
        </w:rPr>
        <w:t>ту, відторгнення секвестрів у порожнину ПК, а також хворим з високим операці</w:t>
      </w:r>
      <w:r w:rsidRPr="00C62D22">
        <w:rPr>
          <w:rFonts w:ascii="Times New Roman" w:eastAsia="TimesNewRoman" w:hAnsi="Times New Roman" w:cs="Times New Roman"/>
          <w:sz w:val="28"/>
          <w:szCs w:val="28"/>
        </w:rPr>
        <w:t>й</w:t>
      </w:r>
      <w:r w:rsidRPr="00C62D22">
        <w:rPr>
          <w:rFonts w:ascii="Times New Roman" w:eastAsia="TimesNewRoman" w:hAnsi="Times New Roman" w:cs="Times New Roman"/>
          <w:sz w:val="28"/>
          <w:szCs w:val="28"/>
        </w:rPr>
        <w:t>ним ризиком проводять крізьшкірне дренування кісти та налагодження акти</w:t>
      </w:r>
      <w:r w:rsidRPr="00C62D22">
        <w:rPr>
          <w:rFonts w:ascii="Times New Roman" w:eastAsia="TimesNewRoman" w:hAnsi="Times New Roman" w:cs="Times New Roman"/>
          <w:sz w:val="28"/>
          <w:szCs w:val="28"/>
        </w:rPr>
        <w:t>в</w:t>
      </w:r>
      <w:r w:rsidRPr="00C62D22">
        <w:rPr>
          <w:rFonts w:ascii="Times New Roman" w:eastAsia="TimesNewRoman" w:hAnsi="Times New Roman" w:cs="Times New Roman"/>
          <w:sz w:val="28"/>
          <w:szCs w:val="28"/>
        </w:rPr>
        <w:t xml:space="preserve">ної аспіраційної системи </w:t>
      </w:r>
      <w:r w:rsidRPr="00C62D22">
        <w:rPr>
          <w:rFonts w:ascii="Times New Roman" w:hAnsi="Times New Roman" w:cs="Times New Roman"/>
          <w:sz w:val="28"/>
          <w:szCs w:val="28"/>
        </w:rPr>
        <w:t>[43, 90, 130, 161, 162, 176, 183]</w:t>
      </w:r>
      <w:r w:rsidRPr="00C62D22">
        <w:rPr>
          <w:rFonts w:ascii="Times New Roman" w:eastAsia="TimesNewRoman" w:hAnsi="Times New Roman" w:cs="Times New Roman"/>
          <w:sz w:val="28"/>
          <w:szCs w:val="28"/>
        </w:rPr>
        <w:t xml:space="preserve">. Використання цього методу </w:t>
      </w:r>
      <w:r w:rsidRPr="00C62D22">
        <w:rPr>
          <w:rFonts w:ascii="Times New Roman" w:eastAsia="TimesNewRoman" w:hAnsi="Times New Roman" w:cs="Times New Roman"/>
          <w:sz w:val="28"/>
          <w:szCs w:val="28"/>
        </w:rPr>
        <w:lastRenderedPageBreak/>
        <w:t>при локалізації ПК у ділянці головки чи хвоста ПЗ небезпечне з-за можливості ушкодження п</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рожнинних органів, а протипоказаннями є кровотечі в порожнину ПК чи асцит</w:t>
      </w:r>
      <w:r w:rsidRPr="00C62D22">
        <w:rPr>
          <w:rFonts w:ascii="Times New Roman" w:eastAsia="Times-Roman" w:hAnsi="Times New Roman" w:cs="Times New Roman"/>
          <w:sz w:val="28"/>
          <w:szCs w:val="28"/>
          <w:lang w:bidi="or-IN"/>
        </w:rPr>
        <w:t xml:space="preserve">. </w:t>
      </w:r>
      <w:r w:rsidRPr="00C62D22">
        <w:rPr>
          <w:rFonts w:ascii="Times New Roman" w:eastAsia="TimesNewRoman" w:hAnsi="Times New Roman" w:cs="Times New Roman"/>
          <w:sz w:val="28"/>
          <w:szCs w:val="28"/>
        </w:rPr>
        <w:t>Порожнину ПК промивають розчинами антисептиків. При необхідності вводять додатковий дренаж для налагодження лаважу. Основним недоліком крізьшкірного дренування є висока частота утворення зовнішніх па</w:t>
      </w:r>
      <w:r w:rsidRPr="00C62D22">
        <w:rPr>
          <w:rFonts w:ascii="Times New Roman" w:eastAsia="TimesNewRoman" w:hAnsi="Times New Roman" w:cs="Times New Roman"/>
          <w:sz w:val="28"/>
          <w:szCs w:val="28"/>
        </w:rPr>
        <w:t>н</w:t>
      </w:r>
      <w:r w:rsidRPr="00C62D22">
        <w:rPr>
          <w:rFonts w:ascii="Times New Roman" w:eastAsia="TimesNewRoman" w:hAnsi="Times New Roman" w:cs="Times New Roman"/>
          <w:sz w:val="28"/>
          <w:szCs w:val="28"/>
        </w:rPr>
        <w:t>креатичних нориць, які мають місце в 40 % випадках [140, 182].</w:t>
      </w:r>
      <w:r w:rsidRPr="00C62D22">
        <w:rPr>
          <w:rFonts w:ascii="Times New Roman" w:eastAsia="Times-Roman" w:hAnsi="Times New Roman" w:cs="Times New Roman"/>
          <w:sz w:val="28"/>
          <w:szCs w:val="28"/>
          <w:lang w:bidi="or-IN"/>
        </w:rPr>
        <w:t xml:space="preserve"> Неефективні спроби дренування, як правило, зумовлені зв’язком порожнини ПК з ГПП та його обструкцією</w:t>
      </w:r>
      <w:r w:rsidRPr="00C62D22">
        <w:rPr>
          <w:rFonts w:ascii="Times New Roman" w:hAnsi="Times New Roman" w:cs="Times New Roman"/>
          <w:sz w:val="28"/>
          <w:szCs w:val="28"/>
        </w:rPr>
        <w:t>. У той же час, при наявності цистопанкреатичного співустя з дрі</w:t>
      </w:r>
      <w:r w:rsidRPr="00C62D22">
        <w:rPr>
          <w:rFonts w:ascii="Times New Roman" w:hAnsi="Times New Roman" w:cs="Times New Roman"/>
          <w:sz w:val="28"/>
          <w:szCs w:val="28"/>
        </w:rPr>
        <w:t>б</w:t>
      </w:r>
      <w:r w:rsidRPr="00C62D22">
        <w:rPr>
          <w:rFonts w:ascii="Times New Roman" w:hAnsi="Times New Roman" w:cs="Times New Roman"/>
          <w:sz w:val="28"/>
          <w:szCs w:val="28"/>
        </w:rPr>
        <w:t xml:space="preserve">ними вторинними протоками ПЗ, деякі автори не вважають за необхідне відмовлятися від крізьшкірно-дренуючих втручань [156]. </w:t>
      </w:r>
      <w:r w:rsidRPr="00C62D22">
        <w:rPr>
          <w:rFonts w:ascii="Times New Roman" w:eastAsia="Times-Roman" w:hAnsi="Times New Roman" w:cs="Times New Roman"/>
          <w:sz w:val="28"/>
          <w:szCs w:val="28"/>
          <w:lang w:bidi="or-IN"/>
        </w:rPr>
        <w:t>Згідно з даними низки авторів, трансдермальне дренування ПК ПЗ приводе до позитивного результату в</w:t>
      </w:r>
      <w:r w:rsidRPr="00C62D22">
        <w:rPr>
          <w:rFonts w:ascii="Times New Roman" w:hAnsi="Times New Roman" w:cs="Times New Roman"/>
          <w:sz w:val="28"/>
          <w:szCs w:val="28"/>
          <w:lang w:bidi="or-IN"/>
        </w:rPr>
        <w:t xml:space="preserve"> 42</w:t>
      </w:r>
      <w:r w:rsidRPr="00C62D22">
        <w:rPr>
          <w:rFonts w:ascii="Times New Roman" w:hAnsi="Times New Roman" w:cs="Times New Roman"/>
          <w:sz w:val="28"/>
          <w:szCs w:val="28"/>
        </w:rPr>
        <w:t>–</w:t>
      </w:r>
      <w:r w:rsidRPr="00C62D22">
        <w:rPr>
          <w:rFonts w:ascii="Times New Roman" w:hAnsi="Times New Roman" w:cs="Times New Roman"/>
          <w:sz w:val="28"/>
          <w:szCs w:val="28"/>
          <w:lang w:bidi="or-IN"/>
        </w:rPr>
        <w:t>92% в</w:t>
      </w:r>
      <w:r w:rsidRPr="00C62D22">
        <w:rPr>
          <w:rFonts w:ascii="Times New Roman" w:hAnsi="Times New Roman" w:cs="Times New Roman"/>
          <w:sz w:val="28"/>
          <w:szCs w:val="28"/>
          <w:lang w:bidi="or-IN"/>
        </w:rPr>
        <w:t>и</w:t>
      </w:r>
      <w:r w:rsidRPr="00C62D22">
        <w:rPr>
          <w:rFonts w:ascii="Times New Roman" w:hAnsi="Times New Roman" w:cs="Times New Roman"/>
          <w:sz w:val="28"/>
          <w:szCs w:val="28"/>
          <w:lang w:bidi="or-IN"/>
        </w:rPr>
        <w:t>падків</w:t>
      </w:r>
      <w:r w:rsidRPr="00C62D22">
        <w:rPr>
          <w:rFonts w:ascii="Times New Roman" w:eastAsia="Times-Roman" w:hAnsi="Times New Roman" w:cs="Times New Roman"/>
          <w:sz w:val="28"/>
          <w:szCs w:val="28"/>
          <w:lang w:bidi="or-IN"/>
        </w:rPr>
        <w:t>, а довготривалість, у середньому, становить від 20 до 80 діб [158, 199]. Загалом, ускладнення після пункційно-дренуючих втручань при ПК ПЗ розвиваються у 12</w:t>
      </w:r>
      <w:r w:rsidRPr="00C62D22">
        <w:rPr>
          <w:rFonts w:ascii="Times New Roman" w:hAnsi="Times New Roman" w:cs="Times New Roman"/>
          <w:sz w:val="28"/>
          <w:szCs w:val="28"/>
        </w:rPr>
        <w:t>–</w:t>
      </w:r>
      <w:r w:rsidRPr="00C62D22">
        <w:rPr>
          <w:rFonts w:ascii="Times New Roman" w:eastAsia="Times-Roman" w:hAnsi="Times New Roman" w:cs="Times New Roman"/>
          <w:sz w:val="28"/>
          <w:szCs w:val="28"/>
          <w:lang w:bidi="or-IN"/>
        </w:rPr>
        <w:t>63% випадків [160]</w:t>
      </w:r>
      <w:r w:rsidRPr="00C62D22">
        <w:rPr>
          <w:rFonts w:ascii="Times New Roman" w:hAnsi="Times New Roman" w:cs="Times New Roman"/>
          <w:sz w:val="28"/>
          <w:szCs w:val="28"/>
          <w:lang w:bidi="or-IN"/>
        </w:rPr>
        <w:t>. Така широка варіація даних зумо</w:t>
      </w:r>
      <w:r w:rsidRPr="00C62D22">
        <w:rPr>
          <w:rFonts w:ascii="Times New Roman" w:hAnsi="Times New Roman" w:cs="Times New Roman"/>
          <w:sz w:val="28"/>
          <w:szCs w:val="28"/>
          <w:lang w:bidi="or-IN"/>
        </w:rPr>
        <w:t>в</w:t>
      </w:r>
      <w:r w:rsidRPr="00C62D22">
        <w:rPr>
          <w:rFonts w:ascii="Times New Roman" w:hAnsi="Times New Roman" w:cs="Times New Roman"/>
          <w:sz w:val="28"/>
          <w:szCs w:val="28"/>
          <w:lang w:bidi="or-IN"/>
        </w:rPr>
        <w:t xml:space="preserve">лена дренуванням ПК ПЗ у різні терміни від моменту їх виникнення та розвитком післяопераційних </w:t>
      </w:r>
      <w:r w:rsidRPr="00C62D22">
        <w:rPr>
          <w:rFonts w:ascii="Times New Roman" w:eastAsia="Times-Roman" w:hAnsi="Times New Roman" w:cs="Times New Roman"/>
          <w:sz w:val="28"/>
          <w:szCs w:val="28"/>
          <w:lang w:bidi="or-IN"/>
        </w:rPr>
        <w:t>ускладнень. У зв’язку із тим, що після видалення катет</w:t>
      </w:r>
      <w:r w:rsidRPr="00C62D22">
        <w:rPr>
          <w:rFonts w:ascii="Times New Roman" w:eastAsia="Times-Roman" w:hAnsi="Times New Roman" w:cs="Times New Roman"/>
          <w:sz w:val="28"/>
          <w:szCs w:val="28"/>
          <w:lang w:bidi="or-IN"/>
        </w:rPr>
        <w:t>е</w:t>
      </w:r>
      <w:r w:rsidRPr="00C62D22">
        <w:rPr>
          <w:rFonts w:ascii="Times New Roman" w:eastAsia="Times-Roman" w:hAnsi="Times New Roman" w:cs="Times New Roman"/>
          <w:sz w:val="28"/>
          <w:szCs w:val="28"/>
          <w:lang w:bidi="or-IN"/>
        </w:rPr>
        <w:t>ра достатньо швидко виникає рецидив захворювання, довготривалість дренування повинна бути не менш 2 місяців. Однак із збільшенням часу стояння др</w:t>
      </w:r>
      <w:r w:rsidRPr="00C62D22">
        <w:rPr>
          <w:rFonts w:ascii="Times New Roman" w:eastAsia="Times-Roman" w:hAnsi="Times New Roman" w:cs="Times New Roman"/>
          <w:sz w:val="28"/>
          <w:szCs w:val="28"/>
          <w:lang w:bidi="or-IN"/>
        </w:rPr>
        <w:t>е</w:t>
      </w:r>
      <w:r w:rsidRPr="00C62D22">
        <w:rPr>
          <w:rFonts w:ascii="Times New Roman" w:eastAsia="Times-Roman" w:hAnsi="Times New Roman" w:cs="Times New Roman"/>
          <w:sz w:val="28"/>
          <w:szCs w:val="28"/>
          <w:lang w:bidi="or-IN"/>
        </w:rPr>
        <w:t xml:space="preserve">нажу зростає  й частота розвитку різних ускладнень </w:t>
      </w:r>
      <w:r w:rsidRPr="00C62D22">
        <w:rPr>
          <w:rFonts w:ascii="Times New Roman" w:hAnsi="Times New Roman" w:cs="Times New Roman"/>
          <w:spacing w:val="-4"/>
          <w:sz w:val="28"/>
          <w:szCs w:val="28"/>
          <w:lang w:bidi="or-IN"/>
        </w:rPr>
        <w:t>[170]. Найчастішими з них є випадіння дренажу з наступним просочуванням вмісту у вільну черевну порожнину та інфікування вмісту ПК</w:t>
      </w:r>
      <w:r w:rsidRPr="00C62D22">
        <w:rPr>
          <w:rFonts w:ascii="Times New Roman" w:hAnsi="Times New Roman" w:cs="Times New Roman"/>
          <w:spacing w:val="-4"/>
          <w:sz w:val="28"/>
          <w:szCs w:val="28"/>
        </w:rPr>
        <w:t>. Більш рідкими та небезпечними ускладненнями є се</w:t>
      </w:r>
      <w:r w:rsidRPr="00C62D22">
        <w:rPr>
          <w:rFonts w:ascii="Times New Roman" w:hAnsi="Times New Roman" w:cs="Times New Roman"/>
          <w:spacing w:val="-4"/>
          <w:sz w:val="28"/>
          <w:szCs w:val="28"/>
        </w:rPr>
        <w:t>п</w:t>
      </w:r>
      <w:r w:rsidRPr="00C62D22">
        <w:rPr>
          <w:rFonts w:ascii="Times New Roman" w:hAnsi="Times New Roman" w:cs="Times New Roman"/>
          <w:spacing w:val="-4"/>
          <w:sz w:val="28"/>
          <w:szCs w:val="28"/>
        </w:rPr>
        <w:t xml:space="preserve">сис та некроз стінки порожнинного органа, через який підведений дренаж [159, 163, 195]. </w:t>
      </w:r>
      <w:r w:rsidRPr="00C62D22">
        <w:rPr>
          <w:rFonts w:ascii="Times New Roman" w:hAnsi="Times New Roman" w:cs="Times New Roman"/>
          <w:iCs/>
          <w:spacing w:val="-4"/>
          <w:sz w:val="28"/>
          <w:szCs w:val="28"/>
        </w:rPr>
        <w:t>При неефективності крізьшкірного дренування, а також при ная</w:t>
      </w:r>
      <w:r w:rsidRPr="00C62D22">
        <w:rPr>
          <w:rFonts w:ascii="Times New Roman" w:hAnsi="Times New Roman" w:cs="Times New Roman"/>
          <w:iCs/>
          <w:spacing w:val="-4"/>
          <w:sz w:val="28"/>
          <w:szCs w:val="28"/>
        </w:rPr>
        <w:t>в</w:t>
      </w:r>
      <w:r w:rsidRPr="00C62D22">
        <w:rPr>
          <w:rFonts w:ascii="Times New Roman" w:hAnsi="Times New Roman" w:cs="Times New Roman"/>
          <w:iCs/>
          <w:spacing w:val="-4"/>
          <w:sz w:val="28"/>
          <w:szCs w:val="28"/>
        </w:rPr>
        <w:t>ності секвестрів у порожнині показано виконання некректомії чи секвестректомії із зовнішнім др</w:t>
      </w:r>
      <w:r w:rsidRPr="00C62D22">
        <w:rPr>
          <w:rFonts w:ascii="Times New Roman" w:hAnsi="Times New Roman" w:cs="Times New Roman"/>
          <w:iCs/>
          <w:spacing w:val="-4"/>
          <w:sz w:val="28"/>
          <w:szCs w:val="28"/>
        </w:rPr>
        <w:t>е</w:t>
      </w:r>
      <w:r w:rsidRPr="00C62D22">
        <w:rPr>
          <w:rFonts w:ascii="Times New Roman" w:hAnsi="Times New Roman" w:cs="Times New Roman"/>
          <w:iCs/>
          <w:spacing w:val="-4"/>
          <w:sz w:val="28"/>
          <w:szCs w:val="28"/>
        </w:rPr>
        <w:t xml:space="preserve">нуванням ПК </w:t>
      </w:r>
      <w:r w:rsidRPr="00C62D22">
        <w:rPr>
          <w:rFonts w:ascii="Times New Roman" w:hAnsi="Times New Roman" w:cs="Times New Roman"/>
          <w:spacing w:val="-4"/>
          <w:sz w:val="28"/>
          <w:szCs w:val="28"/>
        </w:rPr>
        <w:t>[197</w:t>
      </w:r>
      <w:r w:rsidRPr="00C62D22">
        <w:rPr>
          <w:rFonts w:ascii="Times New Roman" w:hAnsi="Times New Roman" w:cs="Times New Roman"/>
          <w:iCs/>
          <w:spacing w:val="-4"/>
          <w:sz w:val="28"/>
          <w:szCs w:val="28"/>
        </w:rPr>
        <w:t>].</w:t>
      </w:r>
    </w:p>
    <w:p w:rsidR="0021764E" w:rsidRPr="00C62D22" w:rsidRDefault="0021764E" w:rsidP="0021764E">
      <w:pPr>
        <w:widowControl w:val="0"/>
        <w:autoSpaceDE w:val="0"/>
        <w:autoSpaceDN w:val="0"/>
        <w:adjustRightInd w:val="0"/>
        <w:spacing w:after="0" w:line="360" w:lineRule="auto"/>
        <w:ind w:firstLine="540"/>
        <w:jc w:val="both"/>
        <w:rPr>
          <w:rFonts w:ascii="Times New Roman" w:eastAsia="Times-Roman" w:hAnsi="Times New Roman" w:cs="Times New Roman"/>
          <w:sz w:val="28"/>
          <w:szCs w:val="28"/>
          <w:lang w:bidi="or-IN"/>
        </w:rPr>
      </w:pPr>
      <w:r w:rsidRPr="00C62D22">
        <w:rPr>
          <w:rFonts w:ascii="Times New Roman" w:hAnsi="Times New Roman" w:cs="Times New Roman"/>
          <w:sz w:val="28"/>
          <w:szCs w:val="28"/>
        </w:rPr>
        <w:t>Останнім часом при використанні зовнішнього дренування багато авт</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рів надають перевагу лапароскопічним методикам перед лапаротомією [58, 76, 165, 186, 188, 368, 372]. Лапароскопічно ПК ПЗ можуть дренуватися двома доступами,  залежно від їх локалізації: через шлунково-ободову зв’язку та через брижу попереково-ободової кишки. При цьому вибір доступу визначається локалізацією </w:t>
      </w:r>
      <w:r w:rsidRPr="00C62D22">
        <w:rPr>
          <w:rFonts w:ascii="Times New Roman" w:hAnsi="Times New Roman" w:cs="Times New Roman"/>
          <w:sz w:val="28"/>
          <w:szCs w:val="28"/>
        </w:rPr>
        <w:lastRenderedPageBreak/>
        <w:t>утв</w:t>
      </w:r>
      <w:r w:rsidRPr="00C62D22">
        <w:rPr>
          <w:rFonts w:ascii="Times New Roman" w:hAnsi="Times New Roman" w:cs="Times New Roman"/>
          <w:sz w:val="28"/>
          <w:szCs w:val="28"/>
        </w:rPr>
        <w:t>о</w:t>
      </w:r>
      <w:r w:rsidRPr="00C62D22">
        <w:rPr>
          <w:rFonts w:ascii="Times New Roman" w:hAnsi="Times New Roman" w:cs="Times New Roman"/>
          <w:sz w:val="28"/>
          <w:szCs w:val="28"/>
        </w:rPr>
        <w:t>рення чи його розмірами [164, 330, 368, 416]. Перевагою цієї технології,  порівняно із крізьшкірними втручаннями, є можливість безпосереднього огляду органів черевної порожнини та видалення некротичних тканин</w:t>
      </w:r>
      <w:r w:rsidRPr="00C62D22">
        <w:rPr>
          <w:rFonts w:ascii="Times New Roman" w:eastAsia="Times-Roman" w:hAnsi="Times New Roman" w:cs="Times New Roman"/>
          <w:sz w:val="28"/>
          <w:szCs w:val="28"/>
          <w:lang w:bidi="or-IN"/>
        </w:rPr>
        <w:t>. Показаннями для лапароскопічного лікування ПК є наявність кістозного рідинн</w:t>
      </w:r>
      <w:r w:rsidRPr="00C62D22">
        <w:rPr>
          <w:rFonts w:ascii="Times New Roman" w:eastAsia="Times-Roman" w:hAnsi="Times New Roman" w:cs="Times New Roman"/>
          <w:sz w:val="28"/>
          <w:szCs w:val="28"/>
          <w:lang w:bidi="or-IN"/>
        </w:rPr>
        <w:t>о</w:t>
      </w:r>
      <w:r w:rsidRPr="00C62D22">
        <w:rPr>
          <w:rFonts w:ascii="Times New Roman" w:eastAsia="Times-Roman" w:hAnsi="Times New Roman" w:cs="Times New Roman"/>
          <w:sz w:val="28"/>
          <w:szCs w:val="28"/>
          <w:lang w:bidi="or-IN"/>
        </w:rPr>
        <w:t>го утворення діаметром більш 8</w:t>
      </w:r>
      <w:r w:rsidRPr="00C62D22">
        <w:rPr>
          <w:rFonts w:ascii="Times New Roman" w:hAnsi="Times New Roman" w:cs="Times New Roman"/>
          <w:sz w:val="28"/>
          <w:szCs w:val="28"/>
        </w:rPr>
        <w:t>–</w:t>
      </w:r>
      <w:r w:rsidRPr="00C62D22">
        <w:rPr>
          <w:rFonts w:ascii="Times New Roman" w:eastAsia="Times-Roman" w:hAnsi="Times New Roman" w:cs="Times New Roman"/>
          <w:sz w:val="28"/>
          <w:szCs w:val="28"/>
          <w:lang w:bidi="or-IN"/>
        </w:rPr>
        <w:t>10 см з чіткою топічною діагностикою, при ць</w:t>
      </w:r>
      <w:r w:rsidRPr="00C62D22">
        <w:rPr>
          <w:rFonts w:ascii="Times New Roman" w:eastAsia="Times-Roman" w:hAnsi="Times New Roman" w:cs="Times New Roman"/>
          <w:sz w:val="28"/>
          <w:szCs w:val="28"/>
          <w:lang w:bidi="or-IN"/>
        </w:rPr>
        <w:t>о</w:t>
      </w:r>
      <w:r w:rsidRPr="00C62D22">
        <w:rPr>
          <w:rFonts w:ascii="Times New Roman" w:eastAsia="Times-Roman" w:hAnsi="Times New Roman" w:cs="Times New Roman"/>
          <w:sz w:val="28"/>
          <w:szCs w:val="28"/>
          <w:lang w:bidi="or-IN"/>
        </w:rPr>
        <w:t>му для запобігання ушкодження ободової кишки, вона повинна бути ус</w:t>
      </w:r>
      <w:r w:rsidRPr="00C62D22">
        <w:rPr>
          <w:rFonts w:ascii="Times New Roman" w:eastAsia="Times-Roman" w:hAnsi="Times New Roman" w:cs="Times New Roman"/>
          <w:sz w:val="28"/>
          <w:szCs w:val="28"/>
          <w:lang w:bidi="or-IN"/>
        </w:rPr>
        <w:t>у</w:t>
      </w:r>
      <w:r w:rsidRPr="00C62D22">
        <w:rPr>
          <w:rFonts w:ascii="Times New Roman" w:eastAsia="Times-Roman" w:hAnsi="Times New Roman" w:cs="Times New Roman"/>
          <w:sz w:val="28"/>
          <w:szCs w:val="28"/>
          <w:lang w:bidi="or-IN"/>
        </w:rPr>
        <w:t>нена донизу, а стінка ПК достатньо чітко візуалізуватися та вибухати до чере</w:t>
      </w:r>
      <w:r w:rsidRPr="00C62D22">
        <w:rPr>
          <w:rFonts w:ascii="Times New Roman" w:eastAsia="Times-Roman" w:hAnsi="Times New Roman" w:cs="Times New Roman"/>
          <w:sz w:val="28"/>
          <w:szCs w:val="28"/>
          <w:lang w:bidi="or-IN"/>
        </w:rPr>
        <w:t>в</w:t>
      </w:r>
      <w:r w:rsidRPr="00C62D22">
        <w:rPr>
          <w:rFonts w:ascii="Times New Roman" w:eastAsia="Times-Roman" w:hAnsi="Times New Roman" w:cs="Times New Roman"/>
          <w:sz w:val="28"/>
          <w:szCs w:val="28"/>
          <w:lang w:bidi="or-IN"/>
        </w:rPr>
        <w:t>ної порожнини [186, 188, 330, 373]. Лапароскопічний доступ до постнекротичних ПК парапан</w:t>
      </w:r>
      <w:r w:rsidRPr="00C62D22">
        <w:rPr>
          <w:rFonts w:ascii="Times New Roman" w:eastAsia="Times-Roman" w:hAnsi="Times New Roman" w:cs="Times New Roman"/>
          <w:sz w:val="28"/>
          <w:szCs w:val="28"/>
          <w:lang w:bidi="or-IN"/>
        </w:rPr>
        <w:t>к</w:t>
      </w:r>
      <w:r w:rsidRPr="00C62D22">
        <w:rPr>
          <w:rFonts w:ascii="Times New Roman" w:eastAsia="Times-Roman" w:hAnsi="Times New Roman" w:cs="Times New Roman"/>
          <w:sz w:val="28"/>
          <w:szCs w:val="28"/>
          <w:lang w:bidi="or-IN"/>
        </w:rPr>
        <w:t>реатичної клітковини невеликих розмірів важкий та може ускладнюватися ушкодженням судин чіпця петель кишок, утворенням внутрішньочеревних гем</w:t>
      </w:r>
      <w:r w:rsidRPr="00C62D22">
        <w:rPr>
          <w:rFonts w:ascii="Times New Roman" w:eastAsia="Times-Roman" w:hAnsi="Times New Roman" w:cs="Times New Roman"/>
          <w:sz w:val="28"/>
          <w:szCs w:val="28"/>
          <w:lang w:bidi="or-IN"/>
        </w:rPr>
        <w:t>а</w:t>
      </w:r>
      <w:r w:rsidRPr="00C62D22">
        <w:rPr>
          <w:rFonts w:ascii="Times New Roman" w:eastAsia="Times-Roman" w:hAnsi="Times New Roman" w:cs="Times New Roman"/>
          <w:sz w:val="28"/>
          <w:szCs w:val="28"/>
          <w:lang w:bidi="or-IN"/>
        </w:rPr>
        <w:t>том. Інтрапанкреатична локалізація ПК (у проміжках між голівкою ПЗ та кор</w:t>
      </w:r>
      <w:r w:rsidRPr="00C62D22">
        <w:rPr>
          <w:rFonts w:ascii="Times New Roman" w:eastAsia="Times-Roman" w:hAnsi="Times New Roman" w:cs="Times New Roman"/>
          <w:sz w:val="28"/>
          <w:szCs w:val="28"/>
          <w:lang w:bidi="or-IN"/>
        </w:rPr>
        <w:t>е</w:t>
      </w:r>
      <w:r w:rsidRPr="00C62D22">
        <w:rPr>
          <w:rFonts w:ascii="Times New Roman" w:eastAsia="Times-Roman" w:hAnsi="Times New Roman" w:cs="Times New Roman"/>
          <w:sz w:val="28"/>
          <w:szCs w:val="28"/>
          <w:lang w:bidi="or-IN"/>
        </w:rPr>
        <w:t>нем брижі) дає можливість дренувати їх лапароскопі</w:t>
      </w:r>
      <w:r w:rsidRPr="00C62D22">
        <w:rPr>
          <w:rFonts w:ascii="Times New Roman" w:eastAsia="Times-Roman" w:hAnsi="Times New Roman" w:cs="Times New Roman"/>
          <w:sz w:val="28"/>
          <w:szCs w:val="28"/>
          <w:lang w:bidi="or-IN"/>
        </w:rPr>
        <w:t>ч</w:t>
      </w:r>
      <w:r w:rsidRPr="00C62D22">
        <w:rPr>
          <w:rFonts w:ascii="Times New Roman" w:eastAsia="Times-Roman" w:hAnsi="Times New Roman" w:cs="Times New Roman"/>
          <w:sz w:val="28"/>
          <w:szCs w:val="28"/>
          <w:lang w:bidi="or-IN"/>
        </w:rPr>
        <w:t>ним методом, доступом з боку кореня брижі тонкої кишки. Наявність рідинного утворення розміром більш 3-</w:t>
      </w:r>
      <w:smartTag w:uri="urn:schemas-microsoft-com:office:smarttags" w:element="metricconverter">
        <w:smartTagPr>
          <w:attr w:name="ProductID" w:val="5 см"/>
        </w:smartTagPr>
        <w:r w:rsidRPr="00C62D22">
          <w:rPr>
            <w:rFonts w:ascii="Times New Roman" w:eastAsia="Times-Roman" w:hAnsi="Times New Roman" w:cs="Times New Roman"/>
            <w:sz w:val="28"/>
            <w:szCs w:val="28"/>
            <w:lang w:bidi="or-IN"/>
          </w:rPr>
          <w:t>5 см</w:t>
        </w:r>
      </w:smartTag>
      <w:r w:rsidRPr="00C62D22">
        <w:rPr>
          <w:rFonts w:ascii="Times New Roman" w:eastAsia="Times-Roman" w:hAnsi="Times New Roman" w:cs="Times New Roman"/>
          <w:sz w:val="28"/>
          <w:szCs w:val="28"/>
          <w:lang w:bidi="or-IN"/>
        </w:rPr>
        <w:t>, як правило, чітко візуалізується, особливо у випадках нагноєння. Його в</w:t>
      </w:r>
      <w:r w:rsidRPr="00C62D22">
        <w:rPr>
          <w:rFonts w:ascii="Times New Roman" w:eastAsia="Times-Roman" w:hAnsi="Times New Roman" w:cs="Times New Roman"/>
          <w:sz w:val="28"/>
          <w:szCs w:val="28"/>
          <w:lang w:bidi="or-IN"/>
        </w:rPr>
        <w:t>и</w:t>
      </w:r>
      <w:r w:rsidRPr="00C62D22">
        <w:rPr>
          <w:rFonts w:ascii="Times New Roman" w:eastAsia="Times-Roman" w:hAnsi="Times New Roman" w:cs="Times New Roman"/>
          <w:sz w:val="28"/>
          <w:szCs w:val="28"/>
          <w:lang w:bidi="or-IN"/>
        </w:rPr>
        <w:t>бухання відтісняє судини в цій ділянці, що запобігає їх ушкодженню. Ная</w:t>
      </w:r>
      <w:r w:rsidRPr="00C62D22">
        <w:rPr>
          <w:rFonts w:ascii="Times New Roman" w:eastAsia="Times-Roman" w:hAnsi="Times New Roman" w:cs="Times New Roman"/>
          <w:sz w:val="28"/>
          <w:szCs w:val="28"/>
          <w:lang w:bidi="or-IN"/>
        </w:rPr>
        <w:t>в</w:t>
      </w:r>
      <w:r w:rsidRPr="00C62D22">
        <w:rPr>
          <w:rFonts w:ascii="Times New Roman" w:eastAsia="Times-Roman" w:hAnsi="Times New Roman" w:cs="Times New Roman"/>
          <w:sz w:val="28"/>
          <w:szCs w:val="28"/>
          <w:lang w:bidi="or-IN"/>
        </w:rPr>
        <w:t>ність секвестрів сприяє тривалим процесам некрозу та аутолізу тканин, наявністю вогнищ інфікування в організмі, тому у випадках множинних вогнищ не</w:t>
      </w:r>
      <w:r w:rsidRPr="00C62D22">
        <w:rPr>
          <w:rFonts w:ascii="Times New Roman" w:eastAsia="Times-Roman" w:hAnsi="Times New Roman" w:cs="Times New Roman"/>
          <w:sz w:val="28"/>
          <w:szCs w:val="28"/>
          <w:lang w:bidi="or-IN"/>
        </w:rPr>
        <w:t>к</w:t>
      </w:r>
      <w:r w:rsidRPr="00C62D22">
        <w:rPr>
          <w:rFonts w:ascii="Times New Roman" w:eastAsia="Times-Roman" w:hAnsi="Times New Roman" w:cs="Times New Roman"/>
          <w:sz w:val="28"/>
          <w:szCs w:val="28"/>
          <w:lang w:bidi="or-IN"/>
        </w:rPr>
        <w:t>розів у ПЗ та парапанкреатичній клітковині необхідна секвестректомія, що пр</w:t>
      </w:r>
      <w:r w:rsidRPr="00C62D22">
        <w:rPr>
          <w:rFonts w:ascii="Times New Roman" w:eastAsia="Times-Roman" w:hAnsi="Times New Roman" w:cs="Times New Roman"/>
          <w:sz w:val="28"/>
          <w:szCs w:val="28"/>
          <w:lang w:bidi="or-IN"/>
        </w:rPr>
        <w:t>о</w:t>
      </w:r>
      <w:r w:rsidRPr="00C62D22">
        <w:rPr>
          <w:rFonts w:ascii="Times New Roman" w:eastAsia="Times-Roman" w:hAnsi="Times New Roman" w:cs="Times New Roman"/>
          <w:sz w:val="28"/>
          <w:szCs w:val="28"/>
          <w:lang w:bidi="or-IN"/>
        </w:rPr>
        <w:t>блематично виконати із лапароскопічного доступу, і в цих випадках віддають перевагу л</w:t>
      </w:r>
      <w:r w:rsidRPr="00C62D22">
        <w:rPr>
          <w:rFonts w:ascii="Times New Roman" w:eastAsia="Times-Roman" w:hAnsi="Times New Roman" w:cs="Times New Roman"/>
          <w:sz w:val="28"/>
          <w:szCs w:val="28"/>
          <w:lang w:bidi="or-IN"/>
        </w:rPr>
        <w:t>а</w:t>
      </w:r>
      <w:r w:rsidRPr="00C62D22">
        <w:rPr>
          <w:rFonts w:ascii="Times New Roman" w:eastAsia="Times-Roman" w:hAnsi="Times New Roman" w:cs="Times New Roman"/>
          <w:sz w:val="28"/>
          <w:szCs w:val="28"/>
          <w:lang w:bidi="or-IN"/>
        </w:rPr>
        <w:t>паротомному доступу [262].</w:t>
      </w:r>
    </w:p>
    <w:p w:rsidR="0021764E" w:rsidRPr="00C62D22" w:rsidRDefault="0021764E" w:rsidP="0021764E">
      <w:pPr>
        <w:widowControl w:val="0"/>
        <w:autoSpaceDE w:val="0"/>
        <w:autoSpaceDN w:val="0"/>
        <w:adjustRightInd w:val="0"/>
        <w:spacing w:after="0" w:line="360" w:lineRule="auto"/>
        <w:ind w:firstLine="540"/>
        <w:jc w:val="both"/>
        <w:rPr>
          <w:rFonts w:ascii="Times New Roman" w:eastAsia="Times-Roman" w:hAnsi="Times New Roman" w:cs="Times New Roman"/>
          <w:sz w:val="28"/>
          <w:szCs w:val="28"/>
          <w:lang w:bidi="or-IN"/>
        </w:rPr>
      </w:pPr>
      <w:r w:rsidRPr="00C62D22">
        <w:rPr>
          <w:rFonts w:ascii="Times New Roman" w:eastAsia="TimesNewRoman" w:hAnsi="Times New Roman" w:cs="Times New Roman"/>
          <w:sz w:val="28"/>
          <w:szCs w:val="28"/>
        </w:rPr>
        <w:t>Внутрішнє дренування ПК ПЗ у просвіт ТК є логічним за</w:t>
      </w:r>
      <w:r w:rsidRPr="00C62D22">
        <w:rPr>
          <w:rFonts w:ascii="Times New Roman" w:hAnsi="Times New Roman" w:cs="Times New Roman"/>
          <w:i/>
          <w:sz w:val="28"/>
          <w:szCs w:val="28"/>
        </w:rPr>
        <w:t xml:space="preserve"> </w:t>
      </w:r>
      <w:r w:rsidRPr="00C62D22">
        <w:rPr>
          <w:rFonts w:ascii="Times New Roman" w:eastAsia="TimesNewRoman" w:hAnsi="Times New Roman" w:cs="Times New Roman"/>
          <w:sz w:val="28"/>
          <w:szCs w:val="28"/>
        </w:rPr>
        <w:t>змістом, відн</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сно простим і, при правильному виконанні, ефективним спос</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 xml:space="preserve">бом лікування ПК ПЗ </w:t>
      </w:r>
      <w:r w:rsidRPr="00C62D22">
        <w:rPr>
          <w:rFonts w:ascii="Times New Roman" w:hAnsi="Times New Roman" w:cs="Times New Roman"/>
          <w:sz w:val="28"/>
          <w:szCs w:val="28"/>
        </w:rPr>
        <w:t>[134, 279]</w:t>
      </w:r>
      <w:r w:rsidRPr="00C62D22">
        <w:rPr>
          <w:rFonts w:ascii="Times New Roman" w:eastAsia="TimesNewRoman" w:hAnsi="Times New Roman" w:cs="Times New Roman"/>
          <w:sz w:val="28"/>
          <w:szCs w:val="28"/>
        </w:rPr>
        <w:t>. У другому, і особливо третьому</w:t>
      </w:r>
      <w:r w:rsidRPr="00C62D22">
        <w:rPr>
          <w:rFonts w:ascii="Times New Roman" w:hAnsi="Times New Roman" w:cs="Times New Roman"/>
          <w:sz w:val="28"/>
          <w:szCs w:val="28"/>
        </w:rPr>
        <w:t>-</w:t>
      </w:r>
      <w:r w:rsidRPr="00C62D22">
        <w:rPr>
          <w:rFonts w:ascii="Times New Roman" w:eastAsia="TimesNewRoman" w:hAnsi="Times New Roman" w:cs="Times New Roman"/>
          <w:sz w:val="28"/>
          <w:szCs w:val="28"/>
        </w:rPr>
        <w:t>четвертому періодах ев</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люції ПК, при варіантах стриктури протокової системи ПЗ, згідно з Кембрид</w:t>
      </w:r>
      <w:r w:rsidRPr="00C62D22">
        <w:rPr>
          <w:rFonts w:ascii="Times New Roman" w:eastAsia="TimesNewRoman" w:hAnsi="Times New Roman" w:cs="Times New Roman"/>
          <w:sz w:val="28"/>
          <w:szCs w:val="28"/>
        </w:rPr>
        <w:t>ж</w:t>
      </w:r>
      <w:r w:rsidRPr="00C62D22">
        <w:rPr>
          <w:rFonts w:ascii="Times New Roman" w:eastAsia="TimesNewRoman" w:hAnsi="Times New Roman" w:cs="Times New Roman"/>
          <w:sz w:val="28"/>
          <w:szCs w:val="28"/>
        </w:rPr>
        <w:t xml:space="preserve">ською класифікацією, показано внутрішнє дренування, яке може виконуватись як ендоскопічно </w:t>
      </w:r>
      <w:r w:rsidRPr="00C62D22">
        <w:rPr>
          <w:rFonts w:ascii="Times New Roman" w:hAnsi="Times New Roman" w:cs="Times New Roman"/>
          <w:sz w:val="28"/>
          <w:szCs w:val="28"/>
        </w:rPr>
        <w:t>[51, 105, 184, 305, 306]</w:t>
      </w:r>
      <w:r w:rsidRPr="00C62D22">
        <w:rPr>
          <w:rFonts w:ascii="Times New Roman" w:eastAsia="TimesNewRoman" w:hAnsi="Times New Roman" w:cs="Times New Roman"/>
          <w:sz w:val="28"/>
          <w:szCs w:val="28"/>
        </w:rPr>
        <w:t xml:space="preserve">, так і лапаротомним шляхом </w:t>
      </w:r>
      <w:r w:rsidRPr="00C62D22">
        <w:rPr>
          <w:rFonts w:ascii="Times New Roman" w:hAnsi="Times New Roman" w:cs="Times New Roman"/>
          <w:sz w:val="28"/>
          <w:szCs w:val="28"/>
        </w:rPr>
        <w:t>[127, 128, 144, 319, 322]</w:t>
      </w:r>
      <w:r w:rsidRPr="00C62D22">
        <w:rPr>
          <w:rFonts w:ascii="Times New Roman" w:eastAsia="TimesNewRoman" w:hAnsi="Times New Roman" w:cs="Times New Roman"/>
          <w:sz w:val="28"/>
          <w:szCs w:val="28"/>
        </w:rPr>
        <w:t>.</w:t>
      </w:r>
      <w:r w:rsidRPr="00C62D22">
        <w:rPr>
          <w:rFonts w:ascii="Times New Roman" w:eastAsia="Times-Roman" w:hAnsi="Times New Roman" w:cs="Times New Roman"/>
          <w:sz w:val="28"/>
          <w:szCs w:val="28"/>
          <w:lang w:bidi="or-IN"/>
        </w:rPr>
        <w:t xml:space="preserve"> Згідно з дан</w:t>
      </w:r>
      <w:r w:rsidRPr="00C62D22">
        <w:rPr>
          <w:rFonts w:ascii="Times New Roman" w:eastAsia="Times-Roman" w:hAnsi="Times New Roman" w:cs="Times New Roman"/>
          <w:sz w:val="28"/>
          <w:szCs w:val="28"/>
          <w:lang w:bidi="or-IN"/>
        </w:rPr>
        <w:t>и</w:t>
      </w:r>
      <w:r w:rsidRPr="00C62D22">
        <w:rPr>
          <w:rFonts w:ascii="Times New Roman" w:eastAsia="Times-Roman" w:hAnsi="Times New Roman" w:cs="Times New Roman"/>
          <w:sz w:val="28"/>
          <w:szCs w:val="28"/>
          <w:lang w:bidi="or-IN"/>
        </w:rPr>
        <w:t>ми літератури, накладання цистодигестивного анастомозу дозволяє знизити внутрішньопротокову гіпертензію та утворити новий шлях відтоку панкреати</w:t>
      </w:r>
      <w:r w:rsidRPr="00C62D22">
        <w:rPr>
          <w:rFonts w:ascii="Times New Roman" w:eastAsia="Times-Roman" w:hAnsi="Times New Roman" w:cs="Times New Roman"/>
          <w:sz w:val="28"/>
          <w:szCs w:val="28"/>
          <w:lang w:bidi="or-IN"/>
        </w:rPr>
        <w:t>ч</w:t>
      </w:r>
      <w:r w:rsidRPr="00C62D22">
        <w:rPr>
          <w:rFonts w:ascii="Times New Roman" w:eastAsia="Times-Roman" w:hAnsi="Times New Roman" w:cs="Times New Roman"/>
          <w:sz w:val="28"/>
          <w:szCs w:val="28"/>
          <w:lang w:bidi="or-IN"/>
        </w:rPr>
        <w:t xml:space="preserve">ного соку [50, 134, 322, 330]. </w:t>
      </w:r>
    </w:p>
    <w:p w:rsidR="0021764E" w:rsidRPr="00C62D22" w:rsidRDefault="0021764E" w:rsidP="0021764E">
      <w:pPr>
        <w:widowControl w:val="0"/>
        <w:autoSpaceDE w:val="0"/>
        <w:autoSpaceDN w:val="0"/>
        <w:adjustRightInd w:val="0"/>
        <w:spacing w:after="0" w:line="360" w:lineRule="auto"/>
        <w:ind w:firstLine="540"/>
        <w:jc w:val="both"/>
        <w:rPr>
          <w:rFonts w:ascii="Times New Roman" w:eastAsia="Times-Roman" w:hAnsi="Times New Roman" w:cs="Times New Roman"/>
          <w:sz w:val="28"/>
          <w:szCs w:val="28"/>
          <w:lang w:bidi="or-IN"/>
        </w:rPr>
      </w:pPr>
      <w:r w:rsidRPr="00C62D22">
        <w:rPr>
          <w:rFonts w:ascii="Times New Roman" w:hAnsi="Times New Roman" w:cs="Times New Roman"/>
          <w:sz w:val="28"/>
          <w:szCs w:val="28"/>
        </w:rPr>
        <w:t>При великих ПК, які беруть початок з тіла та голівки ПЗ, показано вик</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нання </w:t>
      </w:r>
      <w:r w:rsidRPr="00C62D22">
        <w:rPr>
          <w:rFonts w:ascii="Times New Roman" w:hAnsi="Times New Roman" w:cs="Times New Roman"/>
          <w:sz w:val="28"/>
          <w:szCs w:val="28"/>
        </w:rPr>
        <w:lastRenderedPageBreak/>
        <w:t>ЦЄС або ЦПЄС на відключеній за Ру петлі порожньої кишки [50, 128, 135, 186, 405]. При невеликих кістах, які локалізовані в голівці ПЗ, можливе формування тра</w:t>
      </w:r>
      <w:r w:rsidRPr="00C62D22">
        <w:rPr>
          <w:rFonts w:ascii="Times New Roman" w:hAnsi="Times New Roman" w:cs="Times New Roman"/>
          <w:sz w:val="28"/>
          <w:szCs w:val="28"/>
        </w:rPr>
        <w:t>н</w:t>
      </w:r>
      <w:r w:rsidRPr="00C62D22">
        <w:rPr>
          <w:rFonts w:ascii="Times New Roman" w:hAnsi="Times New Roman" w:cs="Times New Roman"/>
          <w:sz w:val="28"/>
          <w:szCs w:val="28"/>
        </w:rPr>
        <w:t>сдуоденального ЦДА – створення анастомозу між ПК та ДПК [51, 231]</w:t>
      </w:r>
      <w:r w:rsidRPr="00C62D22">
        <w:rPr>
          <w:rFonts w:ascii="Times New Roman" w:eastAsia="TimesNewRoman" w:hAnsi="Times New Roman" w:cs="Times New Roman"/>
          <w:sz w:val="28"/>
          <w:szCs w:val="28"/>
        </w:rPr>
        <w:t xml:space="preserve">. </w:t>
      </w:r>
      <w:r w:rsidRPr="00C62D22">
        <w:rPr>
          <w:rFonts w:ascii="Times New Roman" w:hAnsi="Times New Roman" w:cs="Times New Roman"/>
          <w:sz w:val="28"/>
          <w:szCs w:val="28"/>
        </w:rPr>
        <w:t>При ПК, розташованих у хвостовій ділянці ПЗ, можливе виконання крізьшлункової ЦГС, яка містить у собі створення співустя між ПК та шлунком, у тому числі  ендоск</w:t>
      </w:r>
      <w:r w:rsidRPr="00C62D22">
        <w:rPr>
          <w:rFonts w:ascii="Times New Roman" w:hAnsi="Times New Roman" w:cs="Times New Roman"/>
          <w:sz w:val="28"/>
          <w:szCs w:val="28"/>
        </w:rPr>
        <w:t>о</w:t>
      </w:r>
      <w:r w:rsidRPr="00C62D22">
        <w:rPr>
          <w:rFonts w:ascii="Times New Roman" w:hAnsi="Times New Roman" w:cs="Times New Roman"/>
          <w:sz w:val="28"/>
          <w:szCs w:val="28"/>
        </w:rPr>
        <w:t>пічним шляхом [51, 389]. ЦГС показані при щільному зрощенні ПК із задньою стінкою шлу</w:t>
      </w:r>
      <w:r w:rsidRPr="00C62D22">
        <w:rPr>
          <w:rFonts w:ascii="Times New Roman" w:hAnsi="Times New Roman" w:cs="Times New Roman"/>
          <w:sz w:val="28"/>
          <w:szCs w:val="28"/>
        </w:rPr>
        <w:t>н</w:t>
      </w:r>
      <w:r w:rsidRPr="00C62D22">
        <w:rPr>
          <w:rFonts w:ascii="Times New Roman" w:hAnsi="Times New Roman" w:cs="Times New Roman"/>
          <w:sz w:val="28"/>
          <w:szCs w:val="28"/>
        </w:rPr>
        <w:t>ка та попереково-ободовою кишкою. Істотним недоліком ЦГС є небезпека нагноєння вмісту ПК та вини</w:t>
      </w:r>
      <w:r w:rsidRPr="00C62D22">
        <w:rPr>
          <w:rFonts w:ascii="Times New Roman" w:hAnsi="Times New Roman" w:cs="Times New Roman"/>
          <w:sz w:val="28"/>
          <w:szCs w:val="28"/>
        </w:rPr>
        <w:t>к</w:t>
      </w:r>
      <w:r w:rsidRPr="00C62D22">
        <w:rPr>
          <w:rFonts w:ascii="Times New Roman" w:hAnsi="Times New Roman" w:cs="Times New Roman"/>
          <w:sz w:val="28"/>
          <w:szCs w:val="28"/>
        </w:rPr>
        <w:t>нення арозивної кровотечі [330, 376].</w:t>
      </w:r>
    </w:p>
    <w:p w:rsidR="0021764E" w:rsidRPr="00C62D22" w:rsidRDefault="0021764E" w:rsidP="0021764E">
      <w:pPr>
        <w:shd w:val="clear" w:color="auto" w:fill="FFFFFF"/>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При ПК ПЗ, які супроводжуються калькульозом ПЗ, порушенням прохі</w:t>
      </w:r>
      <w:r w:rsidRPr="00C62D22">
        <w:rPr>
          <w:rFonts w:ascii="Times New Roman" w:hAnsi="Times New Roman" w:cs="Times New Roman"/>
          <w:sz w:val="28"/>
          <w:szCs w:val="28"/>
        </w:rPr>
        <w:t>д</w:t>
      </w:r>
      <w:r w:rsidRPr="00C62D22">
        <w:rPr>
          <w:rFonts w:ascii="Times New Roman" w:hAnsi="Times New Roman" w:cs="Times New Roman"/>
          <w:sz w:val="28"/>
          <w:szCs w:val="28"/>
        </w:rPr>
        <w:t>ності ТК, реґіонарним портальним блоком, МЖ, норицями, для декомпр</w:t>
      </w:r>
      <w:r w:rsidRPr="00C62D22">
        <w:rPr>
          <w:rFonts w:ascii="Times New Roman" w:hAnsi="Times New Roman" w:cs="Times New Roman"/>
          <w:sz w:val="28"/>
          <w:szCs w:val="28"/>
        </w:rPr>
        <w:t>е</w:t>
      </w:r>
      <w:r w:rsidRPr="00C62D22">
        <w:rPr>
          <w:rFonts w:ascii="Times New Roman" w:hAnsi="Times New Roman" w:cs="Times New Roman"/>
          <w:sz w:val="28"/>
          <w:szCs w:val="28"/>
        </w:rPr>
        <w:t>сії протокової системи найбільш розповсюдженим дренуючим втручанням є ППЄС за Charles B. Pіestow (1958 р.) [127, 128, 129, 267, 322]. Коли звуження та розширення чергуються на достатньо довгому відрізку Вірсунгової протоки, тільки шляхом ППЄС м</w:t>
      </w:r>
      <w:r w:rsidRPr="00C62D22">
        <w:rPr>
          <w:rFonts w:ascii="Times New Roman" w:hAnsi="Times New Roman" w:cs="Times New Roman"/>
          <w:sz w:val="28"/>
          <w:szCs w:val="28"/>
        </w:rPr>
        <w:t>о</w:t>
      </w:r>
      <w:r w:rsidRPr="00C62D22">
        <w:rPr>
          <w:rFonts w:ascii="Times New Roman" w:hAnsi="Times New Roman" w:cs="Times New Roman"/>
          <w:sz w:val="28"/>
          <w:szCs w:val="28"/>
        </w:rPr>
        <w:t>жна забезпечити вільний відтік панкреатичного соку, ліквідувати його застій. При цій методиці протока ПЗ розтинається та розкривається, практично, за всією довжиною чи поміж нею та петлею тонкої кишки утв</w:t>
      </w:r>
      <w:r w:rsidRPr="00C62D22">
        <w:rPr>
          <w:rFonts w:ascii="Times New Roman" w:hAnsi="Times New Roman" w:cs="Times New Roman"/>
          <w:sz w:val="28"/>
          <w:szCs w:val="28"/>
        </w:rPr>
        <w:t>о</w:t>
      </w:r>
      <w:r w:rsidRPr="00C62D22">
        <w:rPr>
          <w:rFonts w:ascii="Times New Roman" w:hAnsi="Times New Roman" w:cs="Times New Roman"/>
          <w:sz w:val="28"/>
          <w:szCs w:val="28"/>
        </w:rPr>
        <w:t>рюють анастомоз [264, 322].</w:t>
      </w:r>
    </w:p>
    <w:p w:rsidR="0021764E" w:rsidRPr="00C62D22" w:rsidRDefault="0021764E" w:rsidP="0021764E">
      <w:pPr>
        <w:shd w:val="clear" w:color="auto" w:fill="FFFFFF"/>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eastAsia="TimesNewRoman" w:hAnsi="Times New Roman" w:cs="Times New Roman"/>
          <w:sz w:val="28"/>
          <w:szCs w:val="28"/>
        </w:rPr>
        <w:t>Одним із способів мініінвазивного внутрішнього дренування ПК ПЗ є е</w:t>
      </w:r>
      <w:r w:rsidRPr="00C62D22">
        <w:rPr>
          <w:rFonts w:ascii="Times New Roman" w:eastAsia="TimesNewRoman" w:hAnsi="Times New Roman" w:cs="Times New Roman"/>
          <w:sz w:val="28"/>
          <w:szCs w:val="28"/>
        </w:rPr>
        <w:t>н</w:t>
      </w:r>
      <w:r w:rsidRPr="00C62D22">
        <w:rPr>
          <w:rFonts w:ascii="Times New Roman" w:eastAsia="TimesNewRoman" w:hAnsi="Times New Roman" w:cs="Times New Roman"/>
          <w:sz w:val="28"/>
          <w:szCs w:val="28"/>
        </w:rPr>
        <w:t xml:space="preserve">доскопічне внутрішнє дренування (ЕВД) </w:t>
      </w:r>
      <w:r w:rsidRPr="00C62D22">
        <w:rPr>
          <w:rFonts w:ascii="Times New Roman" w:hAnsi="Times New Roman" w:cs="Times New Roman"/>
          <w:sz w:val="28"/>
          <w:szCs w:val="28"/>
        </w:rPr>
        <w:t>[51, 172, 218, 342, 390]</w:t>
      </w:r>
      <w:r w:rsidRPr="00C62D22">
        <w:rPr>
          <w:rFonts w:ascii="Times New Roman" w:eastAsia="TimesNewRoman" w:hAnsi="Times New Roman" w:cs="Times New Roman"/>
          <w:sz w:val="28"/>
          <w:szCs w:val="28"/>
        </w:rPr>
        <w:t>. Показаннями до ЕВД є поодинокі ПК голівки або тіла ПЗ, капсула яких синтопічно розташована в контакті зі стінкою шлунка або ДПК, що підтверджується дан</w:t>
      </w:r>
      <w:r w:rsidRPr="00C62D22">
        <w:rPr>
          <w:rFonts w:ascii="Times New Roman" w:eastAsia="TimesNewRoman" w:hAnsi="Times New Roman" w:cs="Times New Roman"/>
          <w:sz w:val="28"/>
          <w:szCs w:val="28"/>
        </w:rPr>
        <w:t>и</w:t>
      </w:r>
      <w:r w:rsidRPr="00C62D22">
        <w:rPr>
          <w:rFonts w:ascii="Times New Roman" w:eastAsia="TimesNewRoman" w:hAnsi="Times New Roman" w:cs="Times New Roman"/>
          <w:sz w:val="28"/>
          <w:szCs w:val="28"/>
        </w:rPr>
        <w:t>ми ФЕГДС у вигляді випинання стінки шлунка або ДПК, а також ПК, які здавлюють шлунок або ДПК. ЕВД більш ефективне при ретенційних ПК прот</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ки ПЗ, при ПК унаслідок ушкодження протоки ПЗ з екстравазацією секрету в паренхіму, у хворих із обструктивним ХП, при ПК унаслідок вогнищевого па</w:t>
      </w:r>
      <w:r w:rsidRPr="00C62D22">
        <w:rPr>
          <w:rFonts w:ascii="Times New Roman" w:eastAsia="TimesNewRoman" w:hAnsi="Times New Roman" w:cs="Times New Roman"/>
          <w:sz w:val="28"/>
          <w:szCs w:val="28"/>
        </w:rPr>
        <w:t>н</w:t>
      </w:r>
      <w:r w:rsidRPr="00C62D22">
        <w:rPr>
          <w:rFonts w:ascii="Times New Roman" w:eastAsia="TimesNewRoman" w:hAnsi="Times New Roman" w:cs="Times New Roman"/>
          <w:sz w:val="28"/>
          <w:szCs w:val="28"/>
        </w:rPr>
        <w:t>креонекрозу [141, 343, 346, 392]. Протипоказаннями до цього виду лікування є тільки полікі</w:t>
      </w:r>
      <w:r w:rsidRPr="00C62D22">
        <w:rPr>
          <w:rFonts w:ascii="Times New Roman" w:eastAsia="TimesNewRoman" w:hAnsi="Times New Roman" w:cs="Times New Roman"/>
          <w:sz w:val="28"/>
          <w:szCs w:val="28"/>
        </w:rPr>
        <w:t>с</w:t>
      </w:r>
      <w:r w:rsidRPr="00C62D22">
        <w:rPr>
          <w:rFonts w:ascii="Times New Roman" w:eastAsia="TimesNewRoman" w:hAnsi="Times New Roman" w:cs="Times New Roman"/>
          <w:sz w:val="28"/>
          <w:szCs w:val="28"/>
        </w:rPr>
        <w:t>тоз ПЗ, природжена ретенційна кіста, підозра на малігнізацію [344]. Відносно зріло</w:t>
      </w:r>
      <w:r w:rsidRPr="00C62D22">
        <w:rPr>
          <w:rFonts w:ascii="Times New Roman" w:eastAsia="TimesNewRoman" w:hAnsi="Times New Roman" w:cs="Times New Roman"/>
          <w:sz w:val="28"/>
          <w:szCs w:val="28"/>
        </w:rPr>
        <w:t>с</w:t>
      </w:r>
      <w:r w:rsidRPr="00C62D22">
        <w:rPr>
          <w:rFonts w:ascii="Times New Roman" w:eastAsia="TimesNewRoman" w:hAnsi="Times New Roman" w:cs="Times New Roman"/>
          <w:sz w:val="28"/>
          <w:szCs w:val="28"/>
        </w:rPr>
        <w:t>ті ПК або її інфікованості дискусії тривають. Безперечно, зріла фіброзна капсула ПК є кращою передумовою успішного внутрішнього др</w:t>
      </w:r>
      <w:r w:rsidRPr="00C62D22">
        <w:rPr>
          <w:rFonts w:ascii="Times New Roman" w:eastAsia="TimesNewRoman" w:hAnsi="Times New Roman" w:cs="Times New Roman"/>
          <w:sz w:val="28"/>
          <w:szCs w:val="28"/>
        </w:rPr>
        <w:t>е</w:t>
      </w:r>
      <w:r w:rsidRPr="00C62D22">
        <w:rPr>
          <w:rFonts w:ascii="Times New Roman" w:eastAsia="TimesNewRoman" w:hAnsi="Times New Roman" w:cs="Times New Roman"/>
          <w:sz w:val="28"/>
          <w:szCs w:val="28"/>
        </w:rPr>
        <w:t xml:space="preserve">нування. </w:t>
      </w:r>
    </w:p>
    <w:p w:rsidR="0021764E" w:rsidRPr="00C62D22" w:rsidRDefault="0021764E" w:rsidP="0021764E">
      <w:pPr>
        <w:autoSpaceDE w:val="0"/>
        <w:autoSpaceDN w:val="0"/>
        <w:adjustRightInd w:val="0"/>
        <w:spacing w:after="0" w:line="360" w:lineRule="auto"/>
        <w:ind w:firstLine="540"/>
        <w:jc w:val="both"/>
        <w:rPr>
          <w:rFonts w:ascii="Times New Roman" w:eastAsia="TimesNewRoman" w:hAnsi="Times New Roman" w:cs="Times New Roman"/>
          <w:sz w:val="28"/>
          <w:szCs w:val="28"/>
        </w:rPr>
      </w:pPr>
      <w:r w:rsidRPr="00C62D22">
        <w:rPr>
          <w:rFonts w:ascii="Times New Roman" w:eastAsia="TimesNewRoman" w:hAnsi="Times New Roman" w:cs="Times New Roman"/>
          <w:sz w:val="28"/>
          <w:szCs w:val="28"/>
        </w:rPr>
        <w:lastRenderedPageBreak/>
        <w:t>Ендоскопічне внутрішнє дренування ПК ПЗ (ЦГС, ЦДС) є ефективною альтернативою традиційному хірургічному лікуванню [51, 204, 218, 280, 306, 318, 414]. Для анастомозування частіше використовують шлунок або проксимальну частину порожньої ки</w:t>
      </w:r>
      <w:r w:rsidRPr="00C62D22">
        <w:rPr>
          <w:rFonts w:ascii="Times New Roman" w:eastAsia="TimesNewRoman" w:hAnsi="Times New Roman" w:cs="Times New Roman"/>
          <w:sz w:val="28"/>
          <w:szCs w:val="28"/>
        </w:rPr>
        <w:t>ш</w:t>
      </w:r>
      <w:r w:rsidRPr="00C62D22">
        <w:rPr>
          <w:rFonts w:ascii="Times New Roman" w:eastAsia="TimesNewRoman" w:hAnsi="Times New Roman" w:cs="Times New Roman"/>
          <w:sz w:val="28"/>
          <w:szCs w:val="28"/>
        </w:rPr>
        <w:t>ки, рідше ДПК [25, 75, 76, 187, 218, 280].</w:t>
      </w:r>
    </w:p>
    <w:p w:rsidR="0021764E" w:rsidRPr="00C62D22" w:rsidRDefault="0021764E" w:rsidP="0021764E">
      <w:pPr>
        <w:autoSpaceDE w:val="0"/>
        <w:autoSpaceDN w:val="0"/>
        <w:adjustRightInd w:val="0"/>
        <w:spacing w:after="0" w:line="360" w:lineRule="auto"/>
        <w:ind w:firstLine="540"/>
        <w:jc w:val="both"/>
        <w:rPr>
          <w:rFonts w:ascii="Times New Roman" w:eastAsia="TimesNewRoman" w:hAnsi="Times New Roman" w:cs="Times New Roman"/>
          <w:sz w:val="28"/>
          <w:szCs w:val="28"/>
        </w:rPr>
      </w:pPr>
      <w:r w:rsidRPr="00C62D22">
        <w:rPr>
          <w:rFonts w:ascii="Times New Roman" w:eastAsia="TimesNewRoman" w:hAnsi="Times New Roman" w:cs="Times New Roman"/>
          <w:sz w:val="28"/>
          <w:szCs w:val="28"/>
        </w:rPr>
        <w:t>Ендоскопічну ЦДС виконують у випадках, коли ПК локалізується в голівці ПЗ та інтимно прилягає до стінки низхідного відділу ДПК, кулеподібно вибухаючи в її просвіт. При локалізації ПК в тілі ПЗ у пацієнтів виконують ендоскопічну ЦГС, розсікаючи вибухаючу поверхню задньої стінки шлунка й капсулу кісти. Під контролем дуоденофіброскопа в ділянці найбільшого виб</w:t>
      </w:r>
      <w:r w:rsidRPr="00C62D22">
        <w:rPr>
          <w:rFonts w:ascii="Times New Roman" w:eastAsia="TimesNewRoman" w:hAnsi="Times New Roman" w:cs="Times New Roman"/>
          <w:sz w:val="28"/>
          <w:szCs w:val="28"/>
        </w:rPr>
        <w:t>у</w:t>
      </w:r>
      <w:r w:rsidRPr="00C62D22">
        <w:rPr>
          <w:rFonts w:ascii="Times New Roman" w:eastAsia="TimesNewRoman" w:hAnsi="Times New Roman" w:cs="Times New Roman"/>
          <w:sz w:val="28"/>
          <w:szCs w:val="28"/>
        </w:rPr>
        <w:t>хання стінки шлунка чи задньомедіальної стінки низхідного відділу ДПК за допомогою голчастих папілотомів виконують пункцію кісти з ретельною ма</w:t>
      </w:r>
      <w:r w:rsidRPr="00C62D22">
        <w:rPr>
          <w:rFonts w:ascii="Times New Roman" w:eastAsia="TimesNewRoman" w:hAnsi="Times New Roman" w:cs="Times New Roman"/>
          <w:sz w:val="28"/>
          <w:szCs w:val="28"/>
        </w:rPr>
        <w:t>к</w:t>
      </w:r>
      <w:r w:rsidRPr="00C62D22">
        <w:rPr>
          <w:rFonts w:ascii="Times New Roman" w:eastAsia="TimesNewRoman" w:hAnsi="Times New Roman" w:cs="Times New Roman"/>
          <w:sz w:val="28"/>
          <w:szCs w:val="28"/>
        </w:rPr>
        <w:t>симальною аспірацією вмісту кісти з її санацією розчинами антисептиків. Після контрастування й візуальної оцінки порожнини кісти виконують балонну дил</w:t>
      </w:r>
      <w:r w:rsidRPr="00C62D22">
        <w:rPr>
          <w:rFonts w:ascii="Times New Roman" w:eastAsia="TimesNewRoman" w:hAnsi="Times New Roman" w:cs="Times New Roman"/>
          <w:sz w:val="28"/>
          <w:szCs w:val="28"/>
        </w:rPr>
        <w:t>а</w:t>
      </w:r>
      <w:r w:rsidRPr="00C62D22">
        <w:rPr>
          <w:rFonts w:ascii="Times New Roman" w:eastAsia="TimesNewRoman" w:hAnsi="Times New Roman" w:cs="Times New Roman"/>
          <w:sz w:val="28"/>
          <w:szCs w:val="28"/>
        </w:rPr>
        <w:t>тацію сформованого вічка з наступним введенням пластикового сте</w:t>
      </w:r>
      <w:r w:rsidRPr="00C62D22">
        <w:rPr>
          <w:rFonts w:ascii="Times New Roman" w:eastAsia="TimesNewRoman" w:hAnsi="Times New Roman" w:cs="Times New Roman"/>
          <w:sz w:val="28"/>
          <w:szCs w:val="28"/>
        </w:rPr>
        <w:t>н</w:t>
      </w:r>
      <w:r w:rsidRPr="00C62D22">
        <w:rPr>
          <w:rFonts w:ascii="Times New Roman" w:eastAsia="TimesNewRoman" w:hAnsi="Times New Roman" w:cs="Times New Roman"/>
          <w:sz w:val="28"/>
          <w:szCs w:val="28"/>
        </w:rPr>
        <w:t xml:space="preserve">ту “dоuble-pigtail” діаметром </w:t>
      </w:r>
      <w:smartTag w:uri="urn:schemas-microsoft-com:office:smarttags" w:element="metricconverter">
        <w:smartTagPr>
          <w:attr w:name="ProductID" w:val="10 F"/>
        </w:smartTagPr>
        <w:r w:rsidRPr="00C62D22">
          <w:rPr>
            <w:rFonts w:ascii="Times New Roman" w:eastAsia="TimesNewRoman" w:hAnsi="Times New Roman" w:cs="Times New Roman"/>
            <w:sz w:val="28"/>
            <w:szCs w:val="28"/>
          </w:rPr>
          <w:t>10 F</w:t>
        </w:r>
      </w:smartTag>
      <w:r w:rsidRPr="00C62D22">
        <w:rPr>
          <w:rFonts w:ascii="Times New Roman" w:eastAsia="TimesNewRoman" w:hAnsi="Times New Roman" w:cs="Times New Roman"/>
          <w:sz w:val="28"/>
          <w:szCs w:val="28"/>
        </w:rPr>
        <w:t>, та залишають ендопротез у порожнині ПК на термін від 1 до 3 тижнів із метою проведення програмованої санації для мінімізації ризику виникнення таких ускладнень, як: інфікування кісти, шлунково-кишкові кров</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течі, рубцювання співвустя [51, 245, 318]. Для подальшої санації порожнини ПК та періодичного ендоскопічного контролю застосовують цистоназальне дрен</w:t>
      </w:r>
      <w:r w:rsidRPr="00C62D22">
        <w:rPr>
          <w:rFonts w:ascii="Times New Roman" w:eastAsia="TimesNewRoman" w:hAnsi="Times New Roman" w:cs="Times New Roman"/>
          <w:sz w:val="28"/>
          <w:szCs w:val="28"/>
        </w:rPr>
        <w:t>у</w:t>
      </w:r>
      <w:r w:rsidRPr="00C62D22">
        <w:rPr>
          <w:rFonts w:ascii="Times New Roman" w:eastAsia="TimesNewRoman" w:hAnsi="Times New Roman" w:cs="Times New Roman"/>
          <w:sz w:val="28"/>
          <w:szCs w:val="28"/>
        </w:rPr>
        <w:t xml:space="preserve">вання. </w:t>
      </w:r>
    </w:p>
    <w:p w:rsidR="0021764E" w:rsidRPr="00C62D22" w:rsidRDefault="0021764E" w:rsidP="0021764E">
      <w:pPr>
        <w:autoSpaceDE w:val="0"/>
        <w:autoSpaceDN w:val="0"/>
        <w:adjustRightInd w:val="0"/>
        <w:spacing w:after="0" w:line="360" w:lineRule="auto"/>
        <w:ind w:firstLine="540"/>
        <w:jc w:val="both"/>
        <w:rPr>
          <w:rFonts w:ascii="Times New Roman" w:eastAsia="TimesNewRoman" w:hAnsi="Times New Roman" w:cs="Times New Roman"/>
          <w:sz w:val="28"/>
          <w:szCs w:val="28"/>
        </w:rPr>
      </w:pPr>
      <w:r w:rsidRPr="00C62D22">
        <w:rPr>
          <w:rFonts w:ascii="Times New Roman" w:eastAsia="TimesNewRoman" w:hAnsi="Times New Roman" w:cs="Times New Roman"/>
          <w:sz w:val="28"/>
          <w:szCs w:val="28"/>
        </w:rPr>
        <w:t xml:space="preserve">При розмірах ПК менше </w:t>
      </w:r>
      <w:smartTag w:uri="urn:schemas-microsoft-com:office:smarttags" w:element="metricconverter">
        <w:smartTagPr>
          <w:attr w:name="ProductID" w:val="6 см"/>
        </w:smartTagPr>
        <w:r w:rsidRPr="00C62D22">
          <w:rPr>
            <w:rFonts w:ascii="Times New Roman" w:eastAsia="TimesNewRoman" w:hAnsi="Times New Roman" w:cs="Times New Roman"/>
            <w:sz w:val="28"/>
            <w:szCs w:val="28"/>
          </w:rPr>
          <w:t>6 см</w:t>
        </w:r>
      </w:smartTag>
      <w:r w:rsidRPr="00C62D22">
        <w:rPr>
          <w:rFonts w:ascii="Times New Roman" w:eastAsia="TimesNewRoman" w:hAnsi="Times New Roman" w:cs="Times New Roman"/>
          <w:sz w:val="28"/>
          <w:szCs w:val="28"/>
        </w:rPr>
        <w:t xml:space="preserve"> у хворих виконують ендоскопічну папіл</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томію з транспапілярним ендопанкреатичним стентуванням. За наявності гні</w:t>
      </w:r>
      <w:r w:rsidRPr="00C62D22">
        <w:rPr>
          <w:rFonts w:ascii="Times New Roman" w:eastAsia="TimesNewRoman" w:hAnsi="Times New Roman" w:cs="Times New Roman"/>
          <w:sz w:val="28"/>
          <w:szCs w:val="28"/>
        </w:rPr>
        <w:t>й</w:t>
      </w:r>
      <w:r w:rsidRPr="00C62D22">
        <w:rPr>
          <w:rFonts w:ascii="Times New Roman" w:eastAsia="TimesNewRoman" w:hAnsi="Times New Roman" w:cs="Times New Roman"/>
          <w:sz w:val="28"/>
          <w:szCs w:val="28"/>
        </w:rPr>
        <w:t xml:space="preserve">ного вмісту ПК та при її діаметрі менше </w:t>
      </w:r>
      <w:smartTag w:uri="urn:schemas-microsoft-com:office:smarttags" w:element="metricconverter">
        <w:smartTagPr>
          <w:attr w:name="ProductID" w:val="6 см"/>
        </w:smartTagPr>
        <w:r w:rsidRPr="00C62D22">
          <w:rPr>
            <w:rFonts w:ascii="Times New Roman" w:eastAsia="TimesNewRoman" w:hAnsi="Times New Roman" w:cs="Times New Roman"/>
            <w:sz w:val="28"/>
            <w:szCs w:val="28"/>
          </w:rPr>
          <w:t>6 см</w:t>
        </w:r>
      </w:smartTag>
      <w:r w:rsidRPr="00C62D22">
        <w:rPr>
          <w:rFonts w:ascii="Times New Roman" w:eastAsia="TimesNewRoman" w:hAnsi="Times New Roman" w:cs="Times New Roman"/>
          <w:sz w:val="28"/>
          <w:szCs w:val="28"/>
        </w:rPr>
        <w:t xml:space="preserve"> застосовують внутрішньо-зовнішнє (комбіноване) дренування. У випадках сполучення порожнини ПК ПЗ з розширеною ГПП показано виконання папілотомії та транспапілярного сте</w:t>
      </w:r>
      <w:r w:rsidRPr="00C62D22">
        <w:rPr>
          <w:rFonts w:ascii="Times New Roman" w:eastAsia="TimesNewRoman" w:hAnsi="Times New Roman" w:cs="Times New Roman"/>
          <w:sz w:val="28"/>
          <w:szCs w:val="28"/>
        </w:rPr>
        <w:t>н</w:t>
      </w:r>
      <w:r w:rsidRPr="00C62D22">
        <w:rPr>
          <w:rFonts w:ascii="Times New Roman" w:eastAsia="TimesNewRoman" w:hAnsi="Times New Roman" w:cs="Times New Roman"/>
          <w:sz w:val="28"/>
          <w:szCs w:val="28"/>
        </w:rPr>
        <w:t>тування протоки з зовнішнім дренуванням ПК під УЗД</w:t>
      </w:r>
      <w:r w:rsidRPr="00C62D22">
        <w:rPr>
          <w:rFonts w:ascii="Times New Roman" w:hAnsi="Times New Roman" w:cs="Times New Roman"/>
          <w:sz w:val="28"/>
          <w:szCs w:val="28"/>
        </w:rPr>
        <w:t>–</w:t>
      </w:r>
      <w:r w:rsidRPr="00C62D22">
        <w:rPr>
          <w:rFonts w:ascii="Times New Roman" w:eastAsia="TimesNewRoman" w:hAnsi="Times New Roman" w:cs="Times New Roman"/>
          <w:sz w:val="28"/>
          <w:szCs w:val="28"/>
        </w:rPr>
        <w:t>контролем [94, 245, 281].</w:t>
      </w:r>
    </w:p>
    <w:p w:rsidR="0021764E" w:rsidRPr="00C62D22" w:rsidRDefault="0021764E" w:rsidP="0021764E">
      <w:pPr>
        <w:autoSpaceDE w:val="0"/>
        <w:autoSpaceDN w:val="0"/>
        <w:adjustRightInd w:val="0"/>
        <w:spacing w:after="0" w:line="360" w:lineRule="auto"/>
        <w:ind w:firstLine="540"/>
        <w:jc w:val="both"/>
        <w:rPr>
          <w:rFonts w:ascii="Times New Roman" w:eastAsia="TimesNewRoman" w:hAnsi="Times New Roman" w:cs="Times New Roman"/>
          <w:sz w:val="28"/>
          <w:szCs w:val="28"/>
        </w:rPr>
      </w:pPr>
      <w:r w:rsidRPr="00C62D22">
        <w:rPr>
          <w:rFonts w:ascii="Times New Roman" w:eastAsia="TimesNewRoman" w:hAnsi="Times New Roman" w:cs="Times New Roman"/>
          <w:sz w:val="28"/>
          <w:szCs w:val="28"/>
        </w:rPr>
        <w:t>Програмований ендоскопічний контроль із санацією порожнини кісти проводять двічі на добу до чистої рідини в перші три дні, скорочуючи терм</w:t>
      </w:r>
      <w:r w:rsidRPr="00C62D22">
        <w:rPr>
          <w:rFonts w:ascii="Times New Roman" w:eastAsia="TimesNewRoman" w:hAnsi="Times New Roman" w:cs="Times New Roman"/>
          <w:sz w:val="28"/>
          <w:szCs w:val="28"/>
        </w:rPr>
        <w:t>і</w:t>
      </w:r>
      <w:r w:rsidRPr="00C62D22">
        <w:rPr>
          <w:rFonts w:ascii="Times New Roman" w:eastAsia="TimesNewRoman" w:hAnsi="Times New Roman" w:cs="Times New Roman"/>
          <w:sz w:val="28"/>
          <w:szCs w:val="28"/>
        </w:rPr>
        <w:t>ни контролю залежно від клінічних проявів та характеру й кількості виділень із дренажу [245].</w:t>
      </w:r>
    </w:p>
    <w:p w:rsidR="0021764E" w:rsidRPr="00C62D22" w:rsidRDefault="0021764E" w:rsidP="0021764E">
      <w:pPr>
        <w:autoSpaceDE w:val="0"/>
        <w:autoSpaceDN w:val="0"/>
        <w:adjustRightInd w:val="0"/>
        <w:spacing w:after="0" w:line="360" w:lineRule="auto"/>
        <w:ind w:firstLine="540"/>
        <w:jc w:val="both"/>
        <w:rPr>
          <w:rFonts w:ascii="Times New Roman" w:eastAsia="TimesNewRoman" w:hAnsi="Times New Roman" w:cs="Times New Roman"/>
          <w:sz w:val="28"/>
          <w:szCs w:val="28"/>
        </w:rPr>
      </w:pPr>
      <w:r w:rsidRPr="00C62D22">
        <w:rPr>
          <w:rFonts w:ascii="Times New Roman" w:eastAsia="TimesNewRoman" w:hAnsi="Times New Roman" w:cs="Times New Roman"/>
          <w:sz w:val="28"/>
          <w:szCs w:val="28"/>
        </w:rPr>
        <w:lastRenderedPageBreak/>
        <w:t>За наявності гнійного вмісту ПК ПЗ та їх розміру &gt;</w:t>
      </w:r>
      <w:smartTag w:uri="urn:schemas-microsoft-com:office:smarttags" w:element="metricconverter">
        <w:smartTagPr>
          <w:attr w:name="ProductID" w:val="6 см"/>
        </w:smartTagPr>
        <w:r w:rsidRPr="00C62D22">
          <w:rPr>
            <w:rFonts w:ascii="Times New Roman" w:eastAsia="TimesNewRoman" w:hAnsi="Times New Roman" w:cs="Times New Roman"/>
            <w:sz w:val="28"/>
            <w:szCs w:val="28"/>
          </w:rPr>
          <w:t>6 см</w:t>
        </w:r>
      </w:smartTag>
      <w:r w:rsidRPr="00C62D22">
        <w:rPr>
          <w:rFonts w:ascii="Times New Roman" w:eastAsia="TimesNewRoman" w:hAnsi="Times New Roman" w:cs="Times New Roman"/>
          <w:sz w:val="28"/>
          <w:szCs w:val="28"/>
        </w:rPr>
        <w:t xml:space="preserve"> у випадках пров</w:t>
      </w:r>
      <w:r w:rsidRPr="00C62D22">
        <w:rPr>
          <w:rFonts w:ascii="Times New Roman" w:eastAsia="TimesNewRoman" w:hAnsi="Times New Roman" w:cs="Times New Roman"/>
          <w:sz w:val="28"/>
          <w:szCs w:val="28"/>
        </w:rPr>
        <w:t>е</w:t>
      </w:r>
      <w:r w:rsidRPr="00C62D22">
        <w:rPr>
          <w:rFonts w:ascii="Times New Roman" w:eastAsia="TimesNewRoman" w:hAnsi="Times New Roman" w:cs="Times New Roman"/>
          <w:sz w:val="28"/>
          <w:szCs w:val="28"/>
        </w:rPr>
        <w:t>дення ЦГС та ЦДС доцільним є виконання комб</w:t>
      </w:r>
      <w:r w:rsidRPr="00C62D22">
        <w:rPr>
          <w:rFonts w:ascii="Times New Roman" w:eastAsia="TimesNewRoman" w:hAnsi="Times New Roman" w:cs="Times New Roman"/>
          <w:sz w:val="28"/>
          <w:szCs w:val="28"/>
        </w:rPr>
        <w:t>і</w:t>
      </w:r>
      <w:r w:rsidRPr="00C62D22">
        <w:rPr>
          <w:rFonts w:ascii="Times New Roman" w:eastAsia="TimesNewRoman" w:hAnsi="Times New Roman" w:cs="Times New Roman"/>
          <w:sz w:val="28"/>
          <w:szCs w:val="28"/>
        </w:rPr>
        <w:t>нованого дренування з метою більш ефективної санації порожнини кісти.</w:t>
      </w:r>
    </w:p>
    <w:p w:rsidR="0021764E" w:rsidRPr="00C62D22" w:rsidRDefault="0021764E" w:rsidP="0021764E">
      <w:pPr>
        <w:autoSpaceDE w:val="0"/>
        <w:autoSpaceDN w:val="0"/>
        <w:adjustRightInd w:val="0"/>
        <w:spacing w:after="0" w:line="360" w:lineRule="auto"/>
        <w:ind w:firstLine="540"/>
        <w:jc w:val="both"/>
        <w:rPr>
          <w:rFonts w:ascii="Times New Roman" w:eastAsia="TimesNewRoman" w:hAnsi="Times New Roman" w:cs="Times New Roman"/>
          <w:sz w:val="28"/>
          <w:szCs w:val="28"/>
        </w:rPr>
      </w:pPr>
      <w:r w:rsidRPr="00C62D22">
        <w:rPr>
          <w:rFonts w:ascii="Times New Roman" w:eastAsia="TimesNewRoman" w:hAnsi="Times New Roman" w:cs="Times New Roman"/>
          <w:sz w:val="28"/>
          <w:szCs w:val="28"/>
        </w:rPr>
        <w:t>Ускладненнями ЕВД є кровотечі, неспроможність анастомозу з розви</w:t>
      </w:r>
      <w:r w:rsidRPr="00C62D22">
        <w:rPr>
          <w:rFonts w:ascii="Times New Roman" w:eastAsia="TimesNewRoman" w:hAnsi="Times New Roman" w:cs="Times New Roman"/>
          <w:sz w:val="28"/>
          <w:szCs w:val="28"/>
        </w:rPr>
        <w:t>т</w:t>
      </w:r>
      <w:r w:rsidRPr="00C62D22">
        <w:rPr>
          <w:rFonts w:ascii="Times New Roman" w:eastAsia="TimesNewRoman" w:hAnsi="Times New Roman" w:cs="Times New Roman"/>
          <w:sz w:val="28"/>
          <w:szCs w:val="28"/>
        </w:rPr>
        <w:t>ком перитоніту, випадання дренажу з ранньою облітерацією та рецидивом ПК. Для усунення кровотеч застосовують ендокліпування судин, що кровоточили, арг</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но-плазмову коагуляцію та електрокоагуляцію. При цистогастро</w:t>
      </w:r>
      <w:r w:rsidRPr="00C62D22">
        <w:rPr>
          <w:rFonts w:ascii="Times New Roman" w:hAnsi="Times New Roman" w:cs="Times New Roman"/>
          <w:sz w:val="28"/>
          <w:szCs w:val="28"/>
        </w:rPr>
        <w:t>–</w:t>
      </w:r>
      <w:r w:rsidRPr="00C62D22">
        <w:rPr>
          <w:rFonts w:ascii="Times New Roman" w:eastAsia="TimesNewRoman" w:hAnsi="Times New Roman" w:cs="Times New Roman"/>
          <w:sz w:val="28"/>
          <w:szCs w:val="28"/>
        </w:rPr>
        <w:t>, цистодуод</w:t>
      </w:r>
      <w:r w:rsidRPr="00C62D22">
        <w:rPr>
          <w:rFonts w:ascii="Times New Roman" w:eastAsia="TimesNewRoman" w:hAnsi="Times New Roman" w:cs="Times New Roman"/>
          <w:sz w:val="28"/>
          <w:szCs w:val="28"/>
        </w:rPr>
        <w:t>е</w:t>
      </w:r>
      <w:r w:rsidRPr="00C62D22">
        <w:rPr>
          <w:rFonts w:ascii="Times New Roman" w:eastAsia="TimesNewRoman" w:hAnsi="Times New Roman" w:cs="Times New Roman"/>
          <w:sz w:val="28"/>
          <w:szCs w:val="28"/>
        </w:rPr>
        <w:t>но</w:t>
      </w:r>
      <w:r w:rsidRPr="00C62D22">
        <w:rPr>
          <w:rFonts w:ascii="Times New Roman" w:hAnsi="Times New Roman" w:cs="Times New Roman"/>
          <w:sz w:val="28"/>
          <w:szCs w:val="28"/>
        </w:rPr>
        <w:t xml:space="preserve"> </w:t>
      </w:r>
      <w:r w:rsidRPr="00C62D22">
        <w:rPr>
          <w:rFonts w:ascii="Times New Roman" w:eastAsia="TimesNewRoman" w:hAnsi="Times New Roman" w:cs="Times New Roman"/>
          <w:sz w:val="28"/>
          <w:szCs w:val="28"/>
        </w:rPr>
        <w:t>та ЦЄА, виконаних ендоскопічно або операційним шляхом, можливе інф</w:t>
      </w:r>
      <w:r w:rsidRPr="00C62D22">
        <w:rPr>
          <w:rFonts w:ascii="Times New Roman" w:eastAsia="TimesNewRoman" w:hAnsi="Times New Roman" w:cs="Times New Roman"/>
          <w:sz w:val="28"/>
          <w:szCs w:val="28"/>
        </w:rPr>
        <w:t>і</w:t>
      </w:r>
      <w:r w:rsidRPr="00C62D22">
        <w:rPr>
          <w:rFonts w:ascii="Times New Roman" w:eastAsia="TimesNewRoman" w:hAnsi="Times New Roman" w:cs="Times New Roman"/>
          <w:sz w:val="28"/>
          <w:szCs w:val="28"/>
        </w:rPr>
        <w:t>кування вмісту ПК унаслідок надходження в її порожнину хімусу [245].</w:t>
      </w:r>
    </w:p>
    <w:p w:rsidR="0021764E" w:rsidRPr="00C62D22" w:rsidRDefault="0021764E" w:rsidP="0021764E">
      <w:pPr>
        <w:autoSpaceDE w:val="0"/>
        <w:autoSpaceDN w:val="0"/>
        <w:adjustRightInd w:val="0"/>
        <w:spacing w:after="0" w:line="360" w:lineRule="auto"/>
        <w:ind w:firstLine="540"/>
        <w:jc w:val="both"/>
        <w:rPr>
          <w:rFonts w:ascii="Times New Roman" w:eastAsia="TimesNewRoman" w:hAnsi="Times New Roman" w:cs="Times New Roman"/>
          <w:sz w:val="28"/>
          <w:szCs w:val="28"/>
        </w:rPr>
      </w:pPr>
      <w:r w:rsidRPr="00C62D22">
        <w:rPr>
          <w:rFonts w:ascii="Times New Roman" w:eastAsia="TimesNewRoman" w:hAnsi="Times New Roman" w:cs="Times New Roman"/>
          <w:sz w:val="28"/>
          <w:szCs w:val="28"/>
        </w:rPr>
        <w:t>При ПК ПЗ, пов'язаних із ушкодженням ГПП ПЗ, можливим є ендоск</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пічне дренування через Фатеров сосок після попередньої папілосфінктер</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томії з проведенням катетера через місце розриву протоки в порожнину кі</w:t>
      </w:r>
      <w:r w:rsidRPr="00C62D22">
        <w:rPr>
          <w:rFonts w:ascii="Times New Roman" w:eastAsia="TimesNewRoman" w:hAnsi="Times New Roman" w:cs="Times New Roman"/>
          <w:sz w:val="28"/>
          <w:szCs w:val="28"/>
        </w:rPr>
        <w:t>с</w:t>
      </w:r>
      <w:r w:rsidRPr="00C62D22">
        <w:rPr>
          <w:rFonts w:ascii="Times New Roman" w:eastAsia="TimesNewRoman" w:hAnsi="Times New Roman" w:cs="Times New Roman"/>
          <w:sz w:val="28"/>
          <w:szCs w:val="28"/>
        </w:rPr>
        <w:t>ти. Однак довготривале дренування протоки ПЗ може порушувати відплив секрету з б</w:t>
      </w:r>
      <w:r w:rsidRPr="00C62D22">
        <w:rPr>
          <w:rFonts w:ascii="Times New Roman" w:eastAsia="TimesNewRoman" w:hAnsi="Times New Roman" w:cs="Times New Roman"/>
          <w:sz w:val="28"/>
          <w:szCs w:val="28"/>
        </w:rPr>
        <w:t>о</w:t>
      </w:r>
      <w:r w:rsidRPr="00C62D22">
        <w:rPr>
          <w:rFonts w:ascii="Times New Roman" w:eastAsia="TimesNewRoman" w:hAnsi="Times New Roman" w:cs="Times New Roman"/>
          <w:sz w:val="28"/>
          <w:szCs w:val="28"/>
        </w:rPr>
        <w:t xml:space="preserve">кових проток ПЗ [251]. </w:t>
      </w:r>
    </w:p>
    <w:p w:rsidR="0021764E" w:rsidRPr="00C62D22" w:rsidRDefault="0021764E" w:rsidP="0021764E">
      <w:pPr>
        <w:autoSpaceDE w:val="0"/>
        <w:autoSpaceDN w:val="0"/>
        <w:adjustRightInd w:val="0"/>
        <w:spacing w:after="0" w:line="360" w:lineRule="auto"/>
        <w:ind w:firstLine="540"/>
        <w:jc w:val="both"/>
        <w:rPr>
          <w:rFonts w:ascii="Times New Roman" w:eastAsia="TimesNewRoman" w:hAnsi="Times New Roman" w:cs="Times New Roman"/>
          <w:sz w:val="28"/>
          <w:szCs w:val="28"/>
        </w:rPr>
      </w:pPr>
      <w:r w:rsidRPr="00C62D22">
        <w:rPr>
          <w:rFonts w:ascii="Times New Roman" w:eastAsia="TimesNewRoman" w:hAnsi="Times New Roman" w:cs="Times New Roman"/>
          <w:sz w:val="28"/>
          <w:szCs w:val="28"/>
        </w:rPr>
        <w:t>Успішне ЕВД ПК ПЗ досягається в 55</w:t>
      </w:r>
      <w:r w:rsidRPr="00C62D22">
        <w:rPr>
          <w:rFonts w:ascii="Times New Roman" w:hAnsi="Times New Roman" w:cs="Times New Roman"/>
          <w:sz w:val="28"/>
          <w:szCs w:val="28"/>
        </w:rPr>
        <w:t>–</w:t>
      </w:r>
      <w:r w:rsidRPr="00C62D22">
        <w:rPr>
          <w:rFonts w:ascii="Times New Roman" w:eastAsia="TimesNewRoman" w:hAnsi="Times New Roman" w:cs="Times New Roman"/>
          <w:sz w:val="28"/>
          <w:szCs w:val="28"/>
        </w:rPr>
        <w:t>76 % хворих при кількості ускла</w:t>
      </w:r>
      <w:r w:rsidRPr="00C62D22">
        <w:rPr>
          <w:rFonts w:ascii="Times New Roman" w:eastAsia="TimesNewRoman" w:hAnsi="Times New Roman" w:cs="Times New Roman"/>
          <w:sz w:val="28"/>
          <w:szCs w:val="28"/>
        </w:rPr>
        <w:t>д</w:t>
      </w:r>
      <w:r w:rsidRPr="00C62D22">
        <w:rPr>
          <w:rFonts w:ascii="Times New Roman" w:eastAsia="TimesNewRoman" w:hAnsi="Times New Roman" w:cs="Times New Roman"/>
          <w:sz w:val="28"/>
          <w:szCs w:val="28"/>
        </w:rPr>
        <w:t>нень 5</w:t>
      </w:r>
      <w:r w:rsidRPr="00C62D22">
        <w:rPr>
          <w:rFonts w:ascii="Times New Roman" w:hAnsi="Times New Roman" w:cs="Times New Roman"/>
          <w:sz w:val="28"/>
          <w:szCs w:val="28"/>
        </w:rPr>
        <w:t>–</w:t>
      </w:r>
      <w:r w:rsidRPr="00C62D22">
        <w:rPr>
          <w:rFonts w:ascii="Times New Roman" w:eastAsia="TimesNewRoman" w:hAnsi="Times New Roman" w:cs="Times New Roman"/>
          <w:sz w:val="28"/>
          <w:szCs w:val="28"/>
        </w:rPr>
        <w:t>10 % і частоті виникнення рецидиву кісти 5</w:t>
      </w:r>
      <w:r w:rsidRPr="00C62D22">
        <w:rPr>
          <w:rFonts w:ascii="Times New Roman" w:hAnsi="Times New Roman" w:cs="Times New Roman"/>
          <w:sz w:val="28"/>
          <w:szCs w:val="28"/>
        </w:rPr>
        <w:t>–</w:t>
      </w:r>
      <w:r w:rsidRPr="00C62D22">
        <w:rPr>
          <w:rFonts w:ascii="Times New Roman" w:eastAsia="TimesNewRoman" w:hAnsi="Times New Roman" w:cs="Times New Roman"/>
          <w:sz w:val="28"/>
          <w:szCs w:val="28"/>
        </w:rPr>
        <w:t>20 % [218, 290, 323]. Повна регресія ПК після ЕВД, згідно з даними літератури, відбувається в 62</w:t>
      </w:r>
      <w:r w:rsidRPr="00C62D22">
        <w:rPr>
          <w:rFonts w:ascii="Times New Roman" w:hAnsi="Times New Roman" w:cs="Times New Roman"/>
          <w:sz w:val="28"/>
          <w:szCs w:val="28"/>
        </w:rPr>
        <w:t>–</w:t>
      </w:r>
      <w:r w:rsidRPr="00C62D22">
        <w:rPr>
          <w:rFonts w:ascii="Times New Roman" w:eastAsia="TimesNewRoman" w:hAnsi="Times New Roman" w:cs="Times New Roman"/>
          <w:sz w:val="28"/>
          <w:szCs w:val="28"/>
        </w:rPr>
        <w:t xml:space="preserve">89 % випадків. При поодиноких ПК ПЗ &gt; </w:t>
      </w:r>
      <w:smartTag w:uri="urn:schemas-microsoft-com:office:smarttags" w:element="metricconverter">
        <w:smartTagPr>
          <w:attr w:name="ProductID" w:val="6 см"/>
        </w:smartTagPr>
        <w:r w:rsidRPr="00C62D22">
          <w:rPr>
            <w:rFonts w:ascii="Times New Roman" w:eastAsia="TimesNewRoman" w:hAnsi="Times New Roman" w:cs="Times New Roman"/>
            <w:sz w:val="28"/>
            <w:szCs w:val="28"/>
          </w:rPr>
          <w:t>6 см</w:t>
        </w:r>
      </w:smartTag>
      <w:r w:rsidRPr="00C62D22">
        <w:rPr>
          <w:rFonts w:ascii="Times New Roman" w:eastAsia="TimesNewRoman" w:hAnsi="Times New Roman" w:cs="Times New Roman"/>
          <w:sz w:val="28"/>
          <w:szCs w:val="28"/>
        </w:rPr>
        <w:t>, розташованих у ділянці голівки або тіла ПЗ, незал</w:t>
      </w:r>
      <w:r w:rsidRPr="00C62D22">
        <w:rPr>
          <w:rFonts w:ascii="Times New Roman" w:eastAsia="TimesNewRoman" w:hAnsi="Times New Roman" w:cs="Times New Roman"/>
          <w:sz w:val="28"/>
          <w:szCs w:val="28"/>
        </w:rPr>
        <w:t>е</w:t>
      </w:r>
      <w:r w:rsidRPr="00C62D22">
        <w:rPr>
          <w:rFonts w:ascii="Times New Roman" w:eastAsia="TimesNewRoman" w:hAnsi="Times New Roman" w:cs="Times New Roman"/>
          <w:sz w:val="28"/>
          <w:szCs w:val="28"/>
        </w:rPr>
        <w:t>жно від сформованості кісти, повний регрес захворювання в результаті ЕВД наступає більш ніж у 90 % випадків [218, 292]. Причинами неуспішного ЕВД можуть стати товщина стінки ПК&gt;</w:t>
      </w:r>
      <w:smartTag w:uri="urn:schemas-microsoft-com:office:smarttags" w:element="metricconverter">
        <w:smartTagPr>
          <w:attr w:name="ProductID" w:val="10 мм"/>
        </w:smartTagPr>
        <w:r w:rsidRPr="00C62D22">
          <w:rPr>
            <w:rFonts w:ascii="Times New Roman" w:eastAsia="TimesNewRoman" w:hAnsi="Times New Roman" w:cs="Times New Roman"/>
            <w:sz w:val="28"/>
            <w:szCs w:val="28"/>
          </w:rPr>
          <w:t>10 мм</w:t>
        </w:r>
      </w:smartTag>
      <w:r w:rsidRPr="00C62D22">
        <w:rPr>
          <w:rFonts w:ascii="Times New Roman" w:eastAsia="TimesNewRoman" w:hAnsi="Times New Roman" w:cs="Times New Roman"/>
          <w:sz w:val="28"/>
          <w:szCs w:val="28"/>
        </w:rPr>
        <w:t>, локалізація ПК у хвостовій частині ПЗ, утворення ПК унасл</w:t>
      </w:r>
      <w:r w:rsidRPr="00C62D22">
        <w:rPr>
          <w:rFonts w:ascii="Times New Roman" w:eastAsia="TimesNewRoman" w:hAnsi="Times New Roman" w:cs="Times New Roman"/>
          <w:sz w:val="28"/>
          <w:szCs w:val="28"/>
        </w:rPr>
        <w:t>і</w:t>
      </w:r>
      <w:r w:rsidRPr="00C62D22">
        <w:rPr>
          <w:rFonts w:ascii="Times New Roman" w:eastAsia="TimesNewRoman" w:hAnsi="Times New Roman" w:cs="Times New Roman"/>
          <w:sz w:val="28"/>
          <w:szCs w:val="28"/>
        </w:rPr>
        <w:t xml:space="preserve">док некротичного панкреатиту </w:t>
      </w:r>
      <w:r w:rsidRPr="00C62D22">
        <w:rPr>
          <w:rFonts w:ascii="Times New Roman" w:hAnsi="Times New Roman" w:cs="Times New Roman"/>
          <w:sz w:val="28"/>
          <w:szCs w:val="28"/>
        </w:rPr>
        <w:t>[280, 291]</w:t>
      </w:r>
      <w:r w:rsidRPr="00C62D22">
        <w:rPr>
          <w:rFonts w:ascii="Times New Roman" w:eastAsia="TimesNewRoman" w:hAnsi="Times New Roman" w:cs="Times New Roman"/>
          <w:sz w:val="28"/>
          <w:szCs w:val="28"/>
        </w:rPr>
        <w:t xml:space="preserve">. </w:t>
      </w:r>
    </w:p>
    <w:p w:rsidR="0021764E" w:rsidRPr="00C62D22" w:rsidRDefault="0021764E" w:rsidP="0021764E">
      <w:pPr>
        <w:widowControl w:val="0"/>
        <w:autoSpaceDE w:val="0"/>
        <w:autoSpaceDN w:val="0"/>
        <w:adjustRightInd w:val="0"/>
        <w:spacing w:after="0" w:line="360" w:lineRule="auto"/>
        <w:ind w:firstLine="540"/>
        <w:jc w:val="both"/>
        <w:rPr>
          <w:rFonts w:ascii="Times New Roman" w:eastAsia="Times-Roman" w:hAnsi="Times New Roman" w:cs="Times New Roman"/>
          <w:sz w:val="28"/>
          <w:szCs w:val="28"/>
          <w:lang w:bidi="or-IN"/>
        </w:rPr>
      </w:pPr>
      <w:r w:rsidRPr="00C62D22">
        <w:rPr>
          <w:rFonts w:ascii="Times New Roman" w:eastAsia="TimesNewRoman" w:hAnsi="Times New Roman" w:cs="Times New Roman"/>
          <w:sz w:val="28"/>
          <w:szCs w:val="28"/>
        </w:rPr>
        <w:t>Намагання досягти повного вилікування хворих з ПК ПЗ у віддаленому періоду після нападу панкреатиту, спричиняє багатьох хірургів до радикальних втручань – цистектомії та резекції частини ПЗ разом із кістою [270, 298, 312, 350, 412, 417]. Це хірургічне втручання технічно важке для виконання з-за грубих анатомічних змін, яке викликане раніше перенесеним ГП та ХП</w:t>
      </w:r>
      <w:r w:rsidRPr="00C62D22">
        <w:rPr>
          <w:rFonts w:ascii="Times New Roman" w:eastAsia="Times-Roman" w:hAnsi="Times New Roman" w:cs="Times New Roman"/>
          <w:sz w:val="28"/>
          <w:szCs w:val="28"/>
          <w:lang w:bidi="or-IN"/>
        </w:rPr>
        <w:t>. Показаннями до виконання рез</w:t>
      </w:r>
      <w:r w:rsidRPr="00C62D22">
        <w:rPr>
          <w:rFonts w:ascii="Times New Roman" w:eastAsia="Times-Roman" w:hAnsi="Times New Roman" w:cs="Times New Roman"/>
          <w:sz w:val="28"/>
          <w:szCs w:val="28"/>
          <w:lang w:bidi="or-IN"/>
        </w:rPr>
        <w:t>е</w:t>
      </w:r>
      <w:r w:rsidRPr="00C62D22">
        <w:rPr>
          <w:rFonts w:ascii="Times New Roman" w:eastAsia="Times-Roman" w:hAnsi="Times New Roman" w:cs="Times New Roman"/>
          <w:sz w:val="28"/>
          <w:szCs w:val="28"/>
          <w:lang w:bidi="or-IN"/>
        </w:rPr>
        <w:t>кції ПЗ повинна бути не наявність ПК, а незворотні грубі зміни паренхіми ПЗ [135, 175, 200, 250, 323, 331], та відсутність можливості інтраопераційно виключити її малігн</w:t>
      </w:r>
      <w:r w:rsidRPr="00C62D22">
        <w:rPr>
          <w:rFonts w:ascii="Times New Roman" w:eastAsia="Times-Roman" w:hAnsi="Times New Roman" w:cs="Times New Roman"/>
          <w:sz w:val="28"/>
          <w:szCs w:val="28"/>
          <w:lang w:bidi="or-IN"/>
        </w:rPr>
        <w:t>і</w:t>
      </w:r>
      <w:r w:rsidRPr="00C62D22">
        <w:rPr>
          <w:rFonts w:ascii="Times New Roman" w:eastAsia="Times-Roman" w:hAnsi="Times New Roman" w:cs="Times New Roman"/>
          <w:sz w:val="28"/>
          <w:szCs w:val="28"/>
          <w:lang w:bidi="or-IN"/>
        </w:rPr>
        <w:t xml:space="preserve">зацію </w:t>
      </w:r>
      <w:r w:rsidRPr="00C62D22">
        <w:rPr>
          <w:rFonts w:ascii="Times New Roman" w:hAnsi="Times New Roman" w:cs="Times New Roman"/>
          <w:sz w:val="28"/>
          <w:szCs w:val="28"/>
        </w:rPr>
        <w:t xml:space="preserve">[284, 325, 396]. Також показаннями до резекції ПЗ є МЖ, нориці ПЗ, </w:t>
      </w:r>
      <w:r w:rsidRPr="00C62D22">
        <w:rPr>
          <w:rFonts w:ascii="Times New Roman" w:hAnsi="Times New Roman" w:cs="Times New Roman"/>
          <w:sz w:val="28"/>
          <w:szCs w:val="28"/>
        </w:rPr>
        <w:lastRenderedPageBreak/>
        <w:t>здавлюва</w:t>
      </w:r>
      <w:r w:rsidRPr="00C62D22">
        <w:rPr>
          <w:rFonts w:ascii="Times New Roman" w:hAnsi="Times New Roman" w:cs="Times New Roman"/>
          <w:sz w:val="28"/>
          <w:szCs w:val="28"/>
        </w:rPr>
        <w:t>н</w:t>
      </w:r>
      <w:r w:rsidRPr="00C62D22">
        <w:rPr>
          <w:rFonts w:ascii="Times New Roman" w:hAnsi="Times New Roman" w:cs="Times New Roman"/>
          <w:sz w:val="28"/>
          <w:szCs w:val="28"/>
        </w:rPr>
        <w:t xml:space="preserve">ня збільшеною голівкою ПЗ шлунка та ДПК, а також геморагія в порожнину ПК при невдалих спробах зупинити кровотечу за допомогою інших </w:t>
      </w:r>
      <w:r w:rsidRPr="00C62D22">
        <w:rPr>
          <w:rFonts w:ascii="Times New Roman" w:eastAsia="Times-Roman" w:hAnsi="Times New Roman" w:cs="Times New Roman"/>
          <w:sz w:val="28"/>
          <w:szCs w:val="28"/>
          <w:lang w:bidi="or-IN"/>
        </w:rPr>
        <w:t>з</w:t>
      </w:r>
      <w:r w:rsidRPr="00C62D22">
        <w:rPr>
          <w:rFonts w:ascii="Times New Roman" w:eastAsia="Times-Roman" w:hAnsi="Times New Roman" w:cs="Times New Roman"/>
          <w:sz w:val="28"/>
          <w:szCs w:val="28"/>
          <w:lang w:bidi="or-IN"/>
        </w:rPr>
        <w:t>а</w:t>
      </w:r>
      <w:r w:rsidRPr="00C62D22">
        <w:rPr>
          <w:rFonts w:ascii="Times New Roman" w:eastAsia="Times-Roman" w:hAnsi="Times New Roman" w:cs="Times New Roman"/>
          <w:sz w:val="28"/>
          <w:szCs w:val="28"/>
          <w:lang w:bidi="or-IN"/>
        </w:rPr>
        <w:t xml:space="preserve">ходів [184, 202, 274, 308, 349]. </w:t>
      </w:r>
    </w:p>
    <w:p w:rsidR="0021764E" w:rsidRPr="00C62D22" w:rsidRDefault="0021764E" w:rsidP="0021764E">
      <w:pPr>
        <w:widowControl w:val="0"/>
        <w:autoSpaceDE w:val="0"/>
        <w:autoSpaceDN w:val="0"/>
        <w:adjustRightInd w:val="0"/>
        <w:spacing w:after="0" w:line="360" w:lineRule="auto"/>
        <w:ind w:firstLine="540"/>
        <w:jc w:val="both"/>
        <w:rPr>
          <w:rFonts w:ascii="Times New Roman" w:eastAsia="Times-Roman" w:hAnsi="Times New Roman" w:cs="Times New Roman"/>
          <w:sz w:val="28"/>
          <w:szCs w:val="28"/>
          <w:lang w:bidi="or-IN"/>
        </w:rPr>
      </w:pPr>
      <w:r w:rsidRPr="00C62D22">
        <w:rPr>
          <w:rFonts w:ascii="Times New Roman" w:eastAsia="Times-Roman" w:hAnsi="Times New Roman" w:cs="Times New Roman"/>
          <w:sz w:val="28"/>
          <w:szCs w:val="28"/>
          <w:lang w:bidi="or-IN"/>
        </w:rPr>
        <w:t xml:space="preserve">Однією з резекційних методик лікування ПК ПЗ є операція </w:t>
      </w:r>
      <w:r w:rsidRPr="00C62D22">
        <w:rPr>
          <w:rFonts w:ascii="Times New Roman" w:hAnsi="Times New Roman" w:cs="Times New Roman"/>
          <w:iCs/>
          <w:sz w:val="28"/>
          <w:szCs w:val="28"/>
        </w:rPr>
        <w:t>Ch.F. Frey, яка є техн</w:t>
      </w:r>
      <w:r w:rsidRPr="00C62D22">
        <w:rPr>
          <w:rFonts w:ascii="Times New Roman" w:hAnsi="Times New Roman" w:cs="Times New Roman"/>
          <w:sz w:val="28"/>
          <w:szCs w:val="28"/>
        </w:rPr>
        <w:t>ічно близькою до ППЄС, але доповнена резекцією вентральної частини тканини голівки ПЗ [81, 208, 246, 248, 324]. Показаннями до її виконання є глибоке ро</w:t>
      </w:r>
      <w:r w:rsidRPr="00C62D22">
        <w:rPr>
          <w:rFonts w:ascii="Times New Roman" w:hAnsi="Times New Roman" w:cs="Times New Roman"/>
          <w:sz w:val="28"/>
          <w:szCs w:val="28"/>
        </w:rPr>
        <w:t>з</w:t>
      </w:r>
      <w:r w:rsidRPr="00C62D22">
        <w:rPr>
          <w:rFonts w:ascii="Times New Roman" w:hAnsi="Times New Roman" w:cs="Times New Roman"/>
          <w:sz w:val="28"/>
          <w:szCs w:val="28"/>
        </w:rPr>
        <w:t>ташування протоків та наявності ПК у збільшеній голівці ПЗ без залучення сусідніх органів [267, 288, 311, 317, 348, 362]. При наявності стриктур упродовж протоки корпок</w:t>
      </w:r>
      <w:r w:rsidRPr="00C62D22">
        <w:rPr>
          <w:rFonts w:ascii="Times New Roman" w:hAnsi="Times New Roman" w:cs="Times New Roman"/>
          <w:sz w:val="28"/>
          <w:szCs w:val="28"/>
        </w:rPr>
        <w:t>а</w:t>
      </w:r>
      <w:r w:rsidRPr="00C62D22">
        <w:rPr>
          <w:rFonts w:ascii="Times New Roman" w:hAnsi="Times New Roman" w:cs="Times New Roman"/>
          <w:sz w:val="28"/>
          <w:szCs w:val="28"/>
        </w:rPr>
        <w:t>удального відділу, операція завершується накладанням ППЕА [184, 207, 313].</w:t>
      </w:r>
    </w:p>
    <w:p w:rsidR="0021764E" w:rsidRPr="00C62D22" w:rsidRDefault="0021764E" w:rsidP="0021764E">
      <w:pPr>
        <w:widowControl w:val="0"/>
        <w:tabs>
          <w:tab w:val="left" w:pos="180"/>
          <w:tab w:val="left" w:pos="540"/>
          <w:tab w:val="left" w:pos="720"/>
        </w:tabs>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Резекції дистального відділу ПЗ є поширеним різновидом операцій на цьому органі при хвостовому розташуванні ПК та їх ускладнень. Необхідно розрізняти два різновиди цих втручань: дистальну резекцію як самостійне (чи основне) втручання на ПЗ та як перший етап при накладанні панкреатодуоден</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анастомозу [67, 139, 374, 386, 429]. </w:t>
      </w:r>
    </w:p>
    <w:p w:rsidR="0021764E" w:rsidRPr="00C62D22" w:rsidRDefault="0021764E" w:rsidP="0021764E">
      <w:pPr>
        <w:widowControl w:val="0"/>
        <w:shd w:val="clear" w:color="auto" w:fill="FFFFFF"/>
        <w:tabs>
          <w:tab w:val="left" w:pos="180"/>
          <w:tab w:val="left" w:pos="540"/>
          <w:tab w:val="left" w:pos="720"/>
        </w:tabs>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Дистальну резекцію ПЗ в якості самостійної операції з погляду М.В. Д</w:t>
      </w:r>
      <w:r w:rsidRPr="00C62D22">
        <w:rPr>
          <w:rFonts w:ascii="Times New Roman" w:hAnsi="Times New Roman" w:cs="Times New Roman"/>
          <w:sz w:val="28"/>
          <w:szCs w:val="28"/>
        </w:rPr>
        <w:t>а</w:t>
      </w:r>
      <w:r w:rsidRPr="00C62D22">
        <w:rPr>
          <w:rFonts w:ascii="Times New Roman" w:hAnsi="Times New Roman" w:cs="Times New Roman"/>
          <w:sz w:val="28"/>
          <w:szCs w:val="28"/>
        </w:rPr>
        <w:t>нилова та В.Д. Федорова (1995 р.), доцільно використовувати в тих окр</w:t>
      </w:r>
      <w:r w:rsidRPr="00C62D22">
        <w:rPr>
          <w:rFonts w:ascii="Times New Roman" w:hAnsi="Times New Roman" w:cs="Times New Roman"/>
          <w:sz w:val="28"/>
          <w:szCs w:val="28"/>
        </w:rPr>
        <w:t>е</w:t>
      </w:r>
      <w:r w:rsidRPr="00C62D22">
        <w:rPr>
          <w:rFonts w:ascii="Times New Roman" w:hAnsi="Times New Roman" w:cs="Times New Roman"/>
          <w:sz w:val="28"/>
          <w:szCs w:val="28"/>
        </w:rPr>
        <w:t>мих випадках ускладненого ХП, коли патологічний процес обмежується ви</w:t>
      </w:r>
      <w:r w:rsidRPr="00C62D22">
        <w:rPr>
          <w:rFonts w:ascii="Times New Roman" w:hAnsi="Times New Roman" w:cs="Times New Roman"/>
          <w:sz w:val="28"/>
          <w:szCs w:val="28"/>
        </w:rPr>
        <w:t>к</w:t>
      </w:r>
      <w:r w:rsidRPr="00C62D22">
        <w:rPr>
          <w:rFonts w:ascii="Times New Roman" w:hAnsi="Times New Roman" w:cs="Times New Roman"/>
          <w:sz w:val="28"/>
          <w:szCs w:val="28"/>
        </w:rPr>
        <w:t>лючно дистальною половиною ПЗ, у той час як її голівка незмінена та є но</w:t>
      </w:r>
      <w:r w:rsidRPr="00C62D22">
        <w:rPr>
          <w:rFonts w:ascii="Times New Roman" w:hAnsi="Times New Roman" w:cs="Times New Roman"/>
          <w:sz w:val="28"/>
          <w:szCs w:val="28"/>
        </w:rPr>
        <w:t>р</w:t>
      </w:r>
      <w:r w:rsidRPr="00C62D22">
        <w:rPr>
          <w:rFonts w:ascii="Times New Roman" w:hAnsi="Times New Roman" w:cs="Times New Roman"/>
          <w:sz w:val="28"/>
          <w:szCs w:val="28"/>
        </w:rPr>
        <w:t>мальною за даними до- та інтраопераційного огляду й пальпації, а також МСКТ [410]. Подібні форми «лівобічного» ХП, які часто ускладнюються утворенням ПК та нориць, вин</w:t>
      </w:r>
      <w:r w:rsidRPr="00C62D22">
        <w:rPr>
          <w:rFonts w:ascii="Times New Roman" w:hAnsi="Times New Roman" w:cs="Times New Roman"/>
          <w:sz w:val="28"/>
          <w:szCs w:val="28"/>
        </w:rPr>
        <w:t>и</w:t>
      </w:r>
      <w:r w:rsidRPr="00C62D22">
        <w:rPr>
          <w:rFonts w:ascii="Times New Roman" w:hAnsi="Times New Roman" w:cs="Times New Roman"/>
          <w:sz w:val="28"/>
          <w:szCs w:val="28"/>
        </w:rPr>
        <w:t>кають унаслідок перенесеного панкреонекрозу чи тупої тра</w:t>
      </w:r>
      <w:r w:rsidRPr="00C62D22">
        <w:rPr>
          <w:rFonts w:ascii="Times New Roman" w:hAnsi="Times New Roman" w:cs="Times New Roman"/>
          <w:sz w:val="28"/>
          <w:szCs w:val="28"/>
        </w:rPr>
        <w:t>в</w:t>
      </w:r>
      <w:r w:rsidRPr="00C62D22">
        <w:rPr>
          <w:rFonts w:ascii="Times New Roman" w:hAnsi="Times New Roman" w:cs="Times New Roman"/>
          <w:sz w:val="28"/>
          <w:szCs w:val="28"/>
        </w:rPr>
        <w:t xml:space="preserve">ми живота та ПЗ, після чого настає звуження або облітерація ГПП звичайно в ділянці перешийка ПЗ [67, 189, 370, 371, 409]. Також дистальні резекції виконуються </w:t>
      </w:r>
      <w:r w:rsidRPr="00C62D22">
        <w:rPr>
          <w:rFonts w:ascii="Times New Roman" w:eastAsia="TimesNewRoman" w:hAnsi="Times New Roman" w:cs="Times New Roman"/>
          <w:sz w:val="28"/>
          <w:szCs w:val="28"/>
        </w:rPr>
        <w:t>при немо</w:t>
      </w:r>
      <w:r w:rsidRPr="00C62D22">
        <w:rPr>
          <w:rFonts w:ascii="Times New Roman" w:eastAsia="TimesNewRoman" w:hAnsi="Times New Roman" w:cs="Times New Roman"/>
          <w:sz w:val="28"/>
          <w:szCs w:val="28"/>
        </w:rPr>
        <w:t>ж</w:t>
      </w:r>
      <w:r w:rsidRPr="00C62D22">
        <w:rPr>
          <w:rFonts w:ascii="Times New Roman" w:eastAsia="TimesNewRoman" w:hAnsi="Times New Roman" w:cs="Times New Roman"/>
          <w:sz w:val="28"/>
          <w:szCs w:val="28"/>
        </w:rPr>
        <w:t>ливості цистектомії, особливо при локалізації ПК у ділянці тіла й хвості та її поєднанні з пс</w:t>
      </w:r>
      <w:r w:rsidRPr="00C62D22">
        <w:rPr>
          <w:rFonts w:ascii="Times New Roman" w:eastAsia="TimesNewRoman" w:hAnsi="Times New Roman" w:cs="Times New Roman"/>
          <w:sz w:val="28"/>
          <w:szCs w:val="28"/>
        </w:rPr>
        <w:t>е</w:t>
      </w:r>
      <w:r w:rsidRPr="00C62D22">
        <w:rPr>
          <w:rFonts w:ascii="Times New Roman" w:eastAsia="TimesNewRoman" w:hAnsi="Times New Roman" w:cs="Times New Roman"/>
          <w:sz w:val="28"/>
          <w:szCs w:val="28"/>
        </w:rPr>
        <w:t>вдоаневризмою або зрощенням із воротами селезінки [200, 383].</w:t>
      </w:r>
    </w:p>
    <w:p w:rsidR="0021764E" w:rsidRPr="00C62D22" w:rsidRDefault="0021764E" w:rsidP="0021764E">
      <w:pPr>
        <w:widowControl w:val="0"/>
        <w:shd w:val="clear" w:color="auto" w:fill="FFFFFF"/>
        <w:tabs>
          <w:tab w:val="left" w:pos="180"/>
          <w:tab w:val="left" w:pos="540"/>
          <w:tab w:val="left" w:pos="720"/>
        </w:tabs>
        <w:autoSpaceDE w:val="0"/>
        <w:autoSpaceDN w:val="0"/>
        <w:adjustRightInd w:val="0"/>
        <w:spacing w:after="0" w:line="360" w:lineRule="auto"/>
        <w:ind w:firstLine="540"/>
        <w:jc w:val="both"/>
        <w:rPr>
          <w:rFonts w:ascii="Times New Roman" w:eastAsia="TimesNewRoman" w:hAnsi="Times New Roman" w:cs="Times New Roman"/>
          <w:sz w:val="28"/>
          <w:szCs w:val="28"/>
        </w:rPr>
      </w:pPr>
      <w:r w:rsidRPr="00C62D22">
        <w:rPr>
          <w:rFonts w:ascii="Times New Roman" w:hAnsi="Times New Roman" w:cs="Times New Roman"/>
          <w:sz w:val="28"/>
          <w:szCs w:val="28"/>
        </w:rPr>
        <w:t>Необхідно зауважити, що спроби використання дистальної резекції ПЗ при дифузному ХП з розрахунком на подальше поліпшення перебігу патологі</w:t>
      </w:r>
      <w:r w:rsidRPr="00C62D22">
        <w:rPr>
          <w:rFonts w:ascii="Times New Roman" w:hAnsi="Times New Roman" w:cs="Times New Roman"/>
          <w:sz w:val="28"/>
          <w:szCs w:val="28"/>
        </w:rPr>
        <w:t>ч</w:t>
      </w:r>
      <w:r w:rsidRPr="00C62D22">
        <w:rPr>
          <w:rFonts w:ascii="Times New Roman" w:hAnsi="Times New Roman" w:cs="Times New Roman"/>
          <w:sz w:val="28"/>
          <w:szCs w:val="28"/>
        </w:rPr>
        <w:t>ного процесу в залишку залози під впливом видалення «основного вогнища», як правило, не завершуються успішно [73, 285, 297, 310, 399].</w:t>
      </w:r>
      <w:r w:rsidRPr="00C62D22">
        <w:rPr>
          <w:rFonts w:ascii="Times New Roman" w:eastAsia="TimesNewRoman" w:hAnsi="Times New Roman" w:cs="Times New Roman"/>
          <w:sz w:val="28"/>
          <w:szCs w:val="28"/>
        </w:rPr>
        <w:t xml:space="preserve"> </w:t>
      </w:r>
    </w:p>
    <w:p w:rsidR="0021764E" w:rsidRPr="00C62D22" w:rsidRDefault="0021764E" w:rsidP="0021764E">
      <w:pPr>
        <w:widowControl w:val="0"/>
        <w:shd w:val="clear" w:color="auto" w:fill="FFFFFF"/>
        <w:tabs>
          <w:tab w:val="left" w:pos="180"/>
          <w:tab w:val="left" w:pos="540"/>
          <w:tab w:val="left" w:pos="720"/>
        </w:tabs>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У зв’язку з тим, що при арозивних кровотечах, які ускладнюють пер</w:t>
      </w:r>
      <w:r w:rsidRPr="00C62D22">
        <w:rPr>
          <w:rFonts w:ascii="Times New Roman" w:hAnsi="Times New Roman" w:cs="Times New Roman"/>
          <w:sz w:val="28"/>
          <w:szCs w:val="28"/>
        </w:rPr>
        <w:t>е</w:t>
      </w:r>
      <w:r w:rsidRPr="00C62D22">
        <w:rPr>
          <w:rFonts w:ascii="Times New Roman" w:hAnsi="Times New Roman" w:cs="Times New Roman"/>
          <w:sz w:val="28"/>
          <w:szCs w:val="28"/>
        </w:rPr>
        <w:t>біг ПК ПЗ, лапаротомія та ревізія позаочеревного простору в пошуках місця кров</w:t>
      </w:r>
      <w:r w:rsidRPr="00C62D22">
        <w:rPr>
          <w:rFonts w:ascii="Times New Roman" w:hAnsi="Times New Roman" w:cs="Times New Roman"/>
          <w:sz w:val="28"/>
          <w:szCs w:val="28"/>
        </w:rPr>
        <w:t>о</w:t>
      </w:r>
      <w:r w:rsidRPr="00C62D22">
        <w:rPr>
          <w:rFonts w:ascii="Times New Roman" w:hAnsi="Times New Roman" w:cs="Times New Roman"/>
          <w:sz w:val="28"/>
          <w:szCs w:val="28"/>
        </w:rPr>
        <w:t>течі, за даними літератури, супроводжується летальністю більш ніж у 50%, останнім часом широко впроваджуються методи рентгенендоваскулярної х</w:t>
      </w:r>
      <w:r w:rsidRPr="00C62D22">
        <w:rPr>
          <w:rFonts w:ascii="Times New Roman" w:hAnsi="Times New Roman" w:cs="Times New Roman"/>
          <w:sz w:val="28"/>
          <w:szCs w:val="28"/>
        </w:rPr>
        <w:t>і</w:t>
      </w:r>
      <w:r w:rsidRPr="00C62D22">
        <w:rPr>
          <w:rFonts w:ascii="Times New Roman" w:hAnsi="Times New Roman" w:cs="Times New Roman"/>
          <w:sz w:val="28"/>
          <w:szCs w:val="28"/>
        </w:rPr>
        <w:t>рургії [1, 20, 71, 168, 173]. Так, ангіографія із селективною канюляцією мезентері</w:t>
      </w:r>
      <w:r w:rsidRPr="00C62D22">
        <w:rPr>
          <w:rFonts w:ascii="Times New Roman" w:hAnsi="Times New Roman" w:cs="Times New Roman"/>
          <w:sz w:val="28"/>
          <w:szCs w:val="28"/>
        </w:rPr>
        <w:t>а</w:t>
      </w:r>
      <w:r w:rsidRPr="00C62D22">
        <w:rPr>
          <w:rFonts w:ascii="Times New Roman" w:hAnsi="Times New Roman" w:cs="Times New Roman"/>
          <w:sz w:val="28"/>
          <w:szCs w:val="28"/>
        </w:rPr>
        <w:t>льної артерії дозволяє не тільки діагностувати кровотечу у важкодоступних мі</w:t>
      </w:r>
      <w:r w:rsidRPr="00C62D22">
        <w:rPr>
          <w:rFonts w:ascii="Times New Roman" w:hAnsi="Times New Roman" w:cs="Times New Roman"/>
          <w:sz w:val="28"/>
          <w:szCs w:val="28"/>
        </w:rPr>
        <w:t>с</w:t>
      </w:r>
      <w:r w:rsidRPr="00C62D22">
        <w:rPr>
          <w:rFonts w:ascii="Times New Roman" w:hAnsi="Times New Roman" w:cs="Times New Roman"/>
          <w:sz w:val="28"/>
          <w:szCs w:val="28"/>
        </w:rPr>
        <w:t>цях, але й виконувати зупинку кровотечі, яка продовжується [1, 168, 233, 351]. У якості лікувальних засобів, які спрямовані на зупинку кровотечі, застосовують введення в</w:t>
      </w:r>
      <w:r w:rsidRPr="00C62D22">
        <w:rPr>
          <w:rFonts w:ascii="Times New Roman" w:hAnsi="Times New Roman" w:cs="Times New Roman"/>
          <w:sz w:val="28"/>
          <w:szCs w:val="28"/>
        </w:rPr>
        <w:t>а</w:t>
      </w:r>
      <w:r w:rsidRPr="00C62D22">
        <w:rPr>
          <w:rFonts w:ascii="Times New Roman" w:hAnsi="Times New Roman" w:cs="Times New Roman"/>
          <w:sz w:val="28"/>
          <w:szCs w:val="28"/>
        </w:rPr>
        <w:t>зопресину, який має прямий вплив на гладкі м'язи артеріол та капілярів, викл</w:t>
      </w:r>
      <w:r w:rsidRPr="00C62D22">
        <w:rPr>
          <w:rFonts w:ascii="Times New Roman" w:hAnsi="Times New Roman" w:cs="Times New Roman"/>
          <w:sz w:val="28"/>
          <w:szCs w:val="28"/>
        </w:rPr>
        <w:t>и</w:t>
      </w:r>
      <w:r w:rsidRPr="00C62D22">
        <w:rPr>
          <w:rFonts w:ascii="Times New Roman" w:hAnsi="Times New Roman" w:cs="Times New Roman"/>
          <w:sz w:val="28"/>
          <w:szCs w:val="28"/>
        </w:rPr>
        <w:t>каючи їх спазм. Верхня брижова, гастродуоденальна, ліва шлункова та шлунковочепцева артерії особливо чутливі до внутрішньоартеріального вв</w:t>
      </w:r>
      <w:r w:rsidRPr="00C62D22">
        <w:rPr>
          <w:rFonts w:ascii="Times New Roman" w:hAnsi="Times New Roman" w:cs="Times New Roman"/>
          <w:sz w:val="28"/>
          <w:szCs w:val="28"/>
        </w:rPr>
        <w:t>е</w:t>
      </w:r>
      <w:r w:rsidRPr="00C62D22">
        <w:rPr>
          <w:rFonts w:ascii="Times New Roman" w:hAnsi="Times New Roman" w:cs="Times New Roman"/>
          <w:sz w:val="28"/>
          <w:szCs w:val="28"/>
        </w:rPr>
        <w:t>дення цього препарату. Ця методика дозволяє досягти зупинки кровотечі в 90% випадків, хоча її рецидив після завершення введення преп</w:t>
      </w:r>
      <w:r w:rsidRPr="00C62D22">
        <w:rPr>
          <w:rFonts w:ascii="Times New Roman" w:hAnsi="Times New Roman" w:cs="Times New Roman"/>
          <w:sz w:val="28"/>
          <w:szCs w:val="28"/>
        </w:rPr>
        <w:t>а</w:t>
      </w:r>
      <w:r w:rsidRPr="00C62D22">
        <w:rPr>
          <w:rFonts w:ascii="Times New Roman" w:hAnsi="Times New Roman" w:cs="Times New Roman"/>
          <w:sz w:val="28"/>
          <w:szCs w:val="28"/>
        </w:rPr>
        <w:t>рату сягає 50–70% [119, 194, 272].</w:t>
      </w:r>
    </w:p>
    <w:p w:rsidR="0021764E" w:rsidRPr="00C62D22" w:rsidRDefault="0021764E" w:rsidP="0021764E">
      <w:pPr>
        <w:widowControl w:val="0"/>
        <w:shd w:val="clear" w:color="auto" w:fill="FFFFFF"/>
        <w:tabs>
          <w:tab w:val="left" w:pos="180"/>
          <w:tab w:val="left" w:pos="540"/>
          <w:tab w:val="left" w:pos="720"/>
        </w:tabs>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Альтернативою є суперселективна емболізація судини, яка спричинила кровотечу [173]. Для цього катетер підводять до місця кровотечі та через його просвіт вводять емболізуючі засоби. Такі засоби можуть давати постійний (полів</w:t>
      </w:r>
      <w:r w:rsidRPr="00C62D22">
        <w:rPr>
          <w:rFonts w:ascii="Times New Roman" w:hAnsi="Times New Roman" w:cs="Times New Roman"/>
          <w:sz w:val="28"/>
          <w:szCs w:val="28"/>
        </w:rPr>
        <w:t>і</w:t>
      </w:r>
      <w:r w:rsidRPr="00C62D22">
        <w:rPr>
          <w:rFonts w:ascii="Times New Roman" w:hAnsi="Times New Roman" w:cs="Times New Roman"/>
          <w:sz w:val="28"/>
          <w:szCs w:val="28"/>
        </w:rPr>
        <w:t>ніловий спирт, різноманітні спіралі, клей, етиловий спирт) або тимчасовий ефект (гелфоам та аутологічні тромби). Так, деякі автори застосовують ендоваскулярну регіональну редукцію кровотоку в басейнах селезінкової або гастродуоденальної артерії з використанням спіралі Гіантурко з наступним застосуванням відеолапароскопії та зовнішнім дренуванням ПК ПЗ та черевної порожнини. Розроблені в останні роки спеціальні направляючі системи та мікрокат</w:t>
      </w:r>
      <w:r w:rsidRPr="00C62D22">
        <w:rPr>
          <w:rFonts w:ascii="Times New Roman" w:hAnsi="Times New Roman" w:cs="Times New Roman"/>
          <w:sz w:val="28"/>
          <w:szCs w:val="28"/>
        </w:rPr>
        <w:t>е</w:t>
      </w:r>
      <w:r w:rsidRPr="00C62D22">
        <w:rPr>
          <w:rFonts w:ascii="Times New Roman" w:hAnsi="Times New Roman" w:cs="Times New Roman"/>
          <w:sz w:val="28"/>
          <w:szCs w:val="28"/>
        </w:rPr>
        <w:t>тери, дозволяють виконати суперселективну катетеризацію та підводити емболізуючий засіб точно до джерела кровотечі. Ефективність ендоваскулярної к</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тетерної емболізації судини, яка спричинила кровотечу, становить 87,2–94,3% [201]. </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eastAsia="Times-Roman" w:hAnsi="Times New Roman" w:cs="Times New Roman"/>
          <w:sz w:val="28"/>
          <w:szCs w:val="28"/>
          <w:lang w:bidi="or-IN"/>
        </w:rPr>
        <w:t>Таким чином, на основі проведеного аналізу літератури виявлена пріор</w:t>
      </w:r>
      <w:r w:rsidRPr="00C62D22">
        <w:rPr>
          <w:rFonts w:ascii="Times New Roman" w:eastAsia="Times-Roman" w:hAnsi="Times New Roman" w:cs="Times New Roman"/>
          <w:sz w:val="28"/>
          <w:szCs w:val="28"/>
          <w:lang w:bidi="or-IN"/>
        </w:rPr>
        <w:t>и</w:t>
      </w:r>
      <w:r w:rsidRPr="00C62D22">
        <w:rPr>
          <w:rFonts w:ascii="Times New Roman" w:eastAsia="Times-Roman" w:hAnsi="Times New Roman" w:cs="Times New Roman"/>
          <w:sz w:val="28"/>
          <w:szCs w:val="28"/>
          <w:lang w:bidi="or-IN"/>
        </w:rPr>
        <w:t>тетність виконання органозберігаючих втручань</w:t>
      </w:r>
      <w:r w:rsidRPr="00C62D22">
        <w:rPr>
          <w:rFonts w:ascii="Times New Roman" w:hAnsi="Times New Roman" w:cs="Times New Roman"/>
          <w:sz w:val="28"/>
          <w:szCs w:val="28"/>
        </w:rPr>
        <w:t>. Операцією вибору у хворих з неускладненими сформованими ПК ПЗ є внутрішнє дренування у ТК, при наявності нагноєння, перфорації та кровотечі – зовнішнє дренування. Викори</w:t>
      </w:r>
      <w:r w:rsidRPr="00C62D22">
        <w:rPr>
          <w:rFonts w:ascii="Times New Roman" w:hAnsi="Times New Roman" w:cs="Times New Roman"/>
          <w:sz w:val="28"/>
          <w:szCs w:val="28"/>
        </w:rPr>
        <w:t>с</w:t>
      </w:r>
      <w:r w:rsidRPr="00C62D22">
        <w:rPr>
          <w:rFonts w:ascii="Times New Roman" w:hAnsi="Times New Roman" w:cs="Times New Roman"/>
          <w:sz w:val="28"/>
          <w:szCs w:val="28"/>
        </w:rPr>
        <w:t xml:space="preserve">тання </w:t>
      </w:r>
      <w:r w:rsidRPr="00C62D22">
        <w:rPr>
          <w:rFonts w:ascii="Times New Roman" w:hAnsi="Times New Roman" w:cs="Times New Roman"/>
          <w:sz w:val="28"/>
          <w:szCs w:val="28"/>
        </w:rPr>
        <w:lastRenderedPageBreak/>
        <w:t>малотравматичних втручань у хірургічному лікуванні ПК ПЗ із застос</w:t>
      </w:r>
      <w:r w:rsidRPr="00C62D22">
        <w:rPr>
          <w:rFonts w:ascii="Times New Roman" w:hAnsi="Times New Roman" w:cs="Times New Roman"/>
          <w:sz w:val="28"/>
          <w:szCs w:val="28"/>
        </w:rPr>
        <w:t>у</w:t>
      </w:r>
      <w:r w:rsidRPr="00C62D22">
        <w:rPr>
          <w:rFonts w:ascii="Times New Roman" w:hAnsi="Times New Roman" w:cs="Times New Roman"/>
          <w:sz w:val="28"/>
          <w:szCs w:val="28"/>
        </w:rPr>
        <w:t>ванням ультрасонографії та лапароскопії дозволяє ліквідувати то</w:t>
      </w:r>
      <w:r w:rsidRPr="00C62D22">
        <w:rPr>
          <w:rFonts w:ascii="Times New Roman" w:hAnsi="Times New Roman" w:cs="Times New Roman"/>
          <w:sz w:val="28"/>
          <w:szCs w:val="28"/>
        </w:rPr>
        <w:t>к</w:t>
      </w:r>
      <w:r w:rsidRPr="00C62D22">
        <w:rPr>
          <w:rFonts w:ascii="Times New Roman" w:hAnsi="Times New Roman" w:cs="Times New Roman"/>
          <w:sz w:val="28"/>
          <w:szCs w:val="28"/>
        </w:rPr>
        <w:t>сичний вплив гострих ПК при деструктивному панкреатиті на ранньому етапі їх формування та попередити генералізацію патологічного процесу при інфікованих ускла</w:t>
      </w:r>
      <w:r w:rsidRPr="00C62D22">
        <w:rPr>
          <w:rFonts w:ascii="Times New Roman" w:hAnsi="Times New Roman" w:cs="Times New Roman"/>
          <w:sz w:val="28"/>
          <w:szCs w:val="28"/>
        </w:rPr>
        <w:t>д</w:t>
      </w:r>
      <w:r w:rsidRPr="00C62D22">
        <w:rPr>
          <w:rFonts w:ascii="Times New Roman" w:hAnsi="Times New Roman" w:cs="Times New Roman"/>
          <w:sz w:val="28"/>
          <w:szCs w:val="28"/>
        </w:rPr>
        <w:t xml:space="preserve">неннях, а також ліквідувати ПК з мінімальним операційним ризиком. </w:t>
      </w: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p>
    <w:p w:rsidR="0021764E" w:rsidRPr="00C62D22" w:rsidRDefault="0021764E">
      <w:pPr>
        <w:rPr>
          <w:rFonts w:ascii="Times New Roman" w:hAnsi="Times New Roman" w:cs="Times New Roman"/>
          <w:sz w:val="28"/>
          <w:szCs w:val="28"/>
        </w:rPr>
      </w:pPr>
      <w:r w:rsidRPr="00C62D22">
        <w:rPr>
          <w:rFonts w:ascii="Times New Roman" w:hAnsi="Times New Roman" w:cs="Times New Roman"/>
          <w:sz w:val="28"/>
          <w:szCs w:val="28"/>
        </w:rPr>
        <w:br w:type="page"/>
      </w:r>
    </w:p>
    <w:p w:rsidR="0021764E" w:rsidRPr="00C62D22" w:rsidRDefault="0021764E" w:rsidP="0021764E">
      <w:pPr>
        <w:tabs>
          <w:tab w:val="left" w:pos="180"/>
          <w:tab w:val="left" w:pos="360"/>
          <w:tab w:val="left" w:pos="540"/>
          <w:tab w:val="left" w:pos="585"/>
          <w:tab w:val="left" w:pos="720"/>
          <w:tab w:val="left" w:pos="6840"/>
        </w:tabs>
        <w:spacing w:after="0" w:line="360" w:lineRule="auto"/>
        <w:jc w:val="center"/>
        <w:outlineLvl w:val="0"/>
        <w:rPr>
          <w:rFonts w:ascii="Times New Roman" w:hAnsi="Times New Roman" w:cs="Times New Roman"/>
          <w:b/>
          <w:sz w:val="28"/>
          <w:szCs w:val="28"/>
        </w:rPr>
      </w:pPr>
      <w:r w:rsidRPr="00C62D22">
        <w:rPr>
          <w:rFonts w:ascii="Times New Roman" w:hAnsi="Times New Roman" w:cs="Times New Roman"/>
          <w:b/>
          <w:sz w:val="28"/>
          <w:szCs w:val="28"/>
        </w:rPr>
        <w:lastRenderedPageBreak/>
        <w:t>РОЗДІЛ 2</w:t>
      </w:r>
    </w:p>
    <w:p w:rsidR="0021764E" w:rsidRPr="00C62D22" w:rsidRDefault="0021764E" w:rsidP="0021764E">
      <w:pPr>
        <w:tabs>
          <w:tab w:val="left" w:pos="-540"/>
          <w:tab w:val="left" w:pos="180"/>
          <w:tab w:val="left" w:pos="360"/>
          <w:tab w:val="left" w:pos="540"/>
          <w:tab w:val="left" w:pos="720"/>
          <w:tab w:val="left" w:pos="6840"/>
        </w:tabs>
        <w:spacing w:after="0" w:line="360" w:lineRule="auto"/>
        <w:jc w:val="center"/>
        <w:outlineLvl w:val="0"/>
        <w:rPr>
          <w:rFonts w:ascii="Times New Roman" w:hAnsi="Times New Roman" w:cs="Times New Roman"/>
          <w:b/>
          <w:sz w:val="28"/>
          <w:szCs w:val="28"/>
        </w:rPr>
      </w:pPr>
      <w:r w:rsidRPr="00C62D22">
        <w:rPr>
          <w:rFonts w:ascii="Times New Roman" w:hAnsi="Times New Roman" w:cs="Times New Roman"/>
          <w:b/>
          <w:sz w:val="28"/>
          <w:szCs w:val="28"/>
        </w:rPr>
        <w:t>МАТЕРІАЛИ ТА МЕТОДИ ДОСЛІДЖЕННЯ</w:t>
      </w:r>
    </w:p>
    <w:p w:rsidR="0021764E" w:rsidRPr="00C62D22" w:rsidRDefault="0021764E" w:rsidP="0021764E">
      <w:pPr>
        <w:tabs>
          <w:tab w:val="left" w:pos="-540"/>
          <w:tab w:val="left" w:pos="180"/>
          <w:tab w:val="left" w:pos="360"/>
          <w:tab w:val="left" w:pos="540"/>
          <w:tab w:val="left" w:pos="720"/>
          <w:tab w:val="left" w:pos="6840"/>
        </w:tabs>
        <w:spacing w:after="0" w:line="360" w:lineRule="auto"/>
        <w:jc w:val="center"/>
        <w:rPr>
          <w:rFonts w:ascii="Times New Roman" w:hAnsi="Times New Roman" w:cs="Times New Roman"/>
          <w:b/>
          <w:sz w:val="28"/>
          <w:szCs w:val="28"/>
        </w:rPr>
      </w:pPr>
    </w:p>
    <w:p w:rsidR="0021764E" w:rsidRPr="00C62D22" w:rsidRDefault="0021764E" w:rsidP="0021764E">
      <w:pPr>
        <w:tabs>
          <w:tab w:val="left" w:pos="-540"/>
          <w:tab w:val="left" w:pos="180"/>
          <w:tab w:val="left" w:pos="360"/>
          <w:tab w:val="left" w:pos="540"/>
          <w:tab w:val="left" w:pos="720"/>
          <w:tab w:val="left" w:pos="6840"/>
        </w:tabs>
        <w:spacing w:after="0" w:line="360" w:lineRule="auto"/>
        <w:jc w:val="center"/>
        <w:rPr>
          <w:rFonts w:ascii="Times New Roman" w:hAnsi="Times New Roman" w:cs="Times New Roman"/>
          <w:b/>
          <w:sz w:val="28"/>
          <w:szCs w:val="28"/>
        </w:rPr>
      </w:pPr>
    </w:p>
    <w:p w:rsidR="0021764E" w:rsidRPr="00C62D22" w:rsidRDefault="0021764E" w:rsidP="0021764E">
      <w:pPr>
        <w:tabs>
          <w:tab w:val="left" w:pos="-540"/>
          <w:tab w:val="left" w:pos="180"/>
          <w:tab w:val="left" w:pos="360"/>
          <w:tab w:val="left" w:pos="540"/>
          <w:tab w:val="left" w:pos="720"/>
          <w:tab w:val="left" w:pos="6840"/>
        </w:tabs>
        <w:spacing w:after="0" w:line="360" w:lineRule="auto"/>
        <w:jc w:val="center"/>
        <w:rPr>
          <w:rFonts w:ascii="Times New Roman" w:hAnsi="Times New Roman" w:cs="Times New Roman"/>
          <w:b/>
          <w:sz w:val="28"/>
          <w:szCs w:val="28"/>
        </w:rPr>
      </w:pPr>
    </w:p>
    <w:p w:rsidR="0021764E" w:rsidRPr="00C62D22" w:rsidRDefault="0021764E" w:rsidP="0021764E">
      <w:pPr>
        <w:tabs>
          <w:tab w:val="left" w:pos="-540"/>
        </w:tabs>
        <w:spacing w:after="0" w:line="360" w:lineRule="auto"/>
        <w:ind w:firstLine="709"/>
        <w:jc w:val="both"/>
        <w:rPr>
          <w:rFonts w:ascii="Times New Roman" w:hAnsi="Times New Roman" w:cs="Times New Roman"/>
          <w:b/>
          <w:sz w:val="28"/>
          <w:szCs w:val="28"/>
        </w:rPr>
      </w:pPr>
      <w:r w:rsidRPr="00C62D22">
        <w:rPr>
          <w:rFonts w:ascii="Times New Roman" w:hAnsi="Times New Roman" w:cs="Times New Roman"/>
          <w:b/>
          <w:sz w:val="28"/>
          <w:szCs w:val="28"/>
        </w:rPr>
        <w:t>2.1. Матеріали клінічних досліджень</w:t>
      </w:r>
    </w:p>
    <w:p w:rsidR="0021764E" w:rsidRPr="00C62D22" w:rsidRDefault="0021764E" w:rsidP="0021764E">
      <w:pPr>
        <w:tabs>
          <w:tab w:val="left" w:pos="-540"/>
        </w:tabs>
        <w:spacing w:after="0" w:line="360" w:lineRule="auto"/>
        <w:ind w:firstLine="709"/>
        <w:jc w:val="both"/>
        <w:rPr>
          <w:rFonts w:ascii="Times New Roman" w:hAnsi="Times New Roman" w:cs="Times New Roman"/>
          <w:b/>
          <w:sz w:val="28"/>
          <w:szCs w:val="28"/>
        </w:rPr>
      </w:pPr>
    </w:p>
    <w:p w:rsidR="0021764E" w:rsidRPr="00C62D22" w:rsidRDefault="0021764E" w:rsidP="0021764E">
      <w:pPr>
        <w:autoSpaceDE w:val="0"/>
        <w:autoSpaceDN w:val="0"/>
        <w:adjustRightInd w:val="0"/>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 xml:space="preserve">Робота заснована на ретроспективному та проспективному аналізу результатів хірургічного лікування 505 хворих на ускладнені ПК ПЗ. Хворих (81) було прооперовано в хірургічній клініці Комунального закладу охорони здоров’я «Харківська обласна клінічна лікарня – Центр екстреної медичної допомоги та медицини катастроф» (головний лікар – д. мед. н. Б. С. Федак), яка є клінічною базою кафедри хірургії № 2 Харківського національного медичного університету. На основі </w:t>
      </w:r>
      <w:r w:rsidRPr="00C62D22">
        <w:rPr>
          <w:rFonts w:ascii="Times New Roman" w:hAnsi="Times New Roman" w:cs="Times New Roman"/>
          <w:b/>
          <w:sz w:val="28"/>
          <w:szCs w:val="28"/>
        </w:rPr>
        <w:t>договору № 622/05-13 від 29.05.2013 р.</w:t>
      </w:r>
      <w:r w:rsidRPr="00C62D22">
        <w:rPr>
          <w:rFonts w:ascii="Times New Roman" w:hAnsi="Times New Roman" w:cs="Times New Roman"/>
          <w:sz w:val="28"/>
          <w:szCs w:val="28"/>
        </w:rPr>
        <w:t xml:space="preserve"> про науково-практичне співробітництво між Харківським національним медичним університетом та ДУ Національної академії медичних наук України «Національний інститут хірургії та трансплантології ім. О.О. Шалімова», з метою виконання наукових досліджень щодо вивчення особливостей хірургічного лікування хворих на захворювання підшлункової залози та жовчовивідних протоків, дисертантом було проведено ретроспективний аналіз 346 історій хвороб хворих з ускладненими ПК ПЗ, оперованих за період з 2000 по 2013 рр. включно, з дотриманням норм чинного законодавства та етичних норм, і безпосередньо взято участь у лікуванні 78 пацієнтів, оперованих у відділі хірургії підшлункової залози та реконструктивної хірургії жовчовивідних протоків ДУ Національної академії медичних наук України «Національний інститут хірургії та трансплантології ім. О. О. Шалімова» за період з 2014-2015 рр. (завідувач відділу – д. мед. н., професор В. М. Копчак). </w:t>
      </w:r>
    </w:p>
    <w:p w:rsidR="0021764E" w:rsidRPr="00C62D22" w:rsidRDefault="0021764E" w:rsidP="0021764E">
      <w:pPr>
        <w:autoSpaceDE w:val="0"/>
        <w:autoSpaceDN w:val="0"/>
        <w:adjustRightInd w:val="0"/>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Хворих було розпод</w:t>
      </w:r>
      <w:r w:rsidRPr="00C62D22">
        <w:rPr>
          <w:rFonts w:ascii="Times New Roman" w:hAnsi="Times New Roman" w:cs="Times New Roman"/>
          <w:sz w:val="28"/>
          <w:szCs w:val="28"/>
        </w:rPr>
        <w:t>і</w:t>
      </w:r>
      <w:r w:rsidRPr="00C62D22">
        <w:rPr>
          <w:rFonts w:ascii="Times New Roman" w:hAnsi="Times New Roman" w:cs="Times New Roman"/>
          <w:sz w:val="28"/>
          <w:szCs w:val="28"/>
        </w:rPr>
        <w:t>лено згідно класифікації D'Egidio A. та</w:t>
      </w:r>
      <w:r w:rsidRPr="00C62D22">
        <w:rPr>
          <w:rFonts w:ascii="Times New Roman" w:hAnsi="Times New Roman" w:cs="Times New Roman"/>
          <w:smallCaps/>
          <w:sz w:val="28"/>
          <w:szCs w:val="28"/>
        </w:rPr>
        <w:t xml:space="preserve"> </w:t>
      </w:r>
      <w:r w:rsidRPr="00C62D22">
        <w:rPr>
          <w:rFonts w:ascii="Times New Roman" w:hAnsi="Times New Roman" w:cs="Times New Roman"/>
          <w:sz w:val="28"/>
          <w:szCs w:val="28"/>
        </w:rPr>
        <w:t xml:space="preserve">Schein M. (1991 р.) [339]: </w:t>
      </w:r>
      <w:r w:rsidRPr="00C62D22">
        <w:rPr>
          <w:rFonts w:ascii="Times New Roman" w:hAnsi="Times New Roman" w:cs="Times New Roman"/>
          <w:b/>
          <w:sz w:val="28"/>
          <w:szCs w:val="28"/>
        </w:rPr>
        <w:t>критерії залучення</w:t>
      </w:r>
      <w:r w:rsidRPr="00C62D22">
        <w:rPr>
          <w:rFonts w:ascii="Times New Roman" w:hAnsi="Times New Roman" w:cs="Times New Roman"/>
          <w:sz w:val="28"/>
          <w:szCs w:val="28"/>
        </w:rPr>
        <w:t xml:space="preserve"> </w:t>
      </w:r>
      <w:r w:rsidRPr="00C62D22">
        <w:rPr>
          <w:rFonts w:ascii="Times New Roman" w:hAnsi="Times New Roman" w:cs="Times New Roman"/>
          <w:sz w:val="28"/>
          <w:szCs w:val="28"/>
        </w:rPr>
        <w:sym w:font="Symbol" w:char="002D"/>
      </w:r>
      <w:r w:rsidRPr="00C62D22">
        <w:rPr>
          <w:rFonts w:ascii="Times New Roman" w:hAnsi="Times New Roman" w:cs="Times New Roman"/>
          <w:sz w:val="28"/>
          <w:szCs w:val="28"/>
        </w:rPr>
        <w:t xml:space="preserve"> ПК ПЗ I типу – постне</w:t>
      </w:r>
      <w:r w:rsidRPr="00C62D22">
        <w:rPr>
          <w:rFonts w:ascii="Times New Roman" w:hAnsi="Times New Roman" w:cs="Times New Roman"/>
          <w:sz w:val="28"/>
          <w:szCs w:val="28"/>
        </w:rPr>
        <w:t>к</w:t>
      </w:r>
      <w:r w:rsidRPr="00C62D22">
        <w:rPr>
          <w:rFonts w:ascii="Times New Roman" w:hAnsi="Times New Roman" w:cs="Times New Roman"/>
          <w:sz w:val="28"/>
          <w:szCs w:val="28"/>
        </w:rPr>
        <w:t xml:space="preserve">ротичні ПК ПЗ, які утворилися після епізоду ГП або травми ПЗ, мали нормальну анатомію ГПП та зрідка – зв'язок між ГПП та ПК; II типу – постнекротичні ПК ПЗ, які утворилися внаслідок атак ГП </w:t>
      </w:r>
      <w:r w:rsidRPr="00C62D22">
        <w:rPr>
          <w:rFonts w:ascii="Times New Roman" w:hAnsi="Times New Roman" w:cs="Times New Roman"/>
          <w:sz w:val="28"/>
          <w:szCs w:val="28"/>
        </w:rPr>
        <w:lastRenderedPageBreak/>
        <w:t>у хворих з ХП, ГПП була змінена, але без ознак стриктури, та часто була пов’язана з ПК; III типу – хронічні ретенційні ПК, які виникли при ХП унаслідок стри</w:t>
      </w:r>
      <w:r w:rsidRPr="00C62D22">
        <w:rPr>
          <w:rFonts w:ascii="Times New Roman" w:hAnsi="Times New Roman" w:cs="Times New Roman"/>
          <w:sz w:val="28"/>
          <w:szCs w:val="28"/>
        </w:rPr>
        <w:t>к</w:t>
      </w:r>
      <w:r w:rsidRPr="00C62D22">
        <w:rPr>
          <w:rFonts w:ascii="Times New Roman" w:hAnsi="Times New Roman" w:cs="Times New Roman"/>
          <w:sz w:val="28"/>
          <w:szCs w:val="28"/>
        </w:rPr>
        <w:t xml:space="preserve">тури протоків ПЗ та завжди мали зв'язок із ГПП. </w:t>
      </w:r>
      <w:r w:rsidRPr="00C62D22">
        <w:rPr>
          <w:rStyle w:val="hps"/>
          <w:rFonts w:ascii="Times New Roman" w:hAnsi="Times New Roman" w:cs="Times New Roman"/>
          <w:b/>
          <w:sz w:val="28"/>
          <w:szCs w:val="28"/>
        </w:rPr>
        <w:t>Критерії виключення:</w:t>
      </w:r>
      <w:r w:rsidRPr="00C62D22">
        <w:rPr>
          <w:rStyle w:val="hps"/>
          <w:rFonts w:ascii="Times New Roman" w:hAnsi="Times New Roman" w:cs="Times New Roman"/>
          <w:sz w:val="28"/>
          <w:szCs w:val="28"/>
        </w:rPr>
        <w:t xml:space="preserve"> до дослідження не включали паціє</w:t>
      </w:r>
      <w:r w:rsidRPr="00C62D22">
        <w:rPr>
          <w:rStyle w:val="hps"/>
          <w:rFonts w:ascii="Times New Roman" w:hAnsi="Times New Roman" w:cs="Times New Roman"/>
          <w:sz w:val="28"/>
          <w:szCs w:val="28"/>
        </w:rPr>
        <w:t>н</w:t>
      </w:r>
      <w:r w:rsidRPr="00C62D22">
        <w:rPr>
          <w:rStyle w:val="hps"/>
          <w:rFonts w:ascii="Times New Roman" w:hAnsi="Times New Roman" w:cs="Times New Roman"/>
          <w:sz w:val="28"/>
          <w:szCs w:val="28"/>
        </w:rPr>
        <w:t>тів з патологією печінки (гепатит, цироз, рак) та раком ПЗ, супутньою аутоімунною, онкологічною патологією, з вираженими порушеннями серцевого ритму та провідності, з го</w:t>
      </w:r>
      <w:r w:rsidRPr="00C62D22">
        <w:rPr>
          <w:rStyle w:val="hps"/>
          <w:rFonts w:ascii="Times New Roman" w:hAnsi="Times New Roman" w:cs="Times New Roman"/>
          <w:sz w:val="28"/>
          <w:szCs w:val="28"/>
        </w:rPr>
        <w:t>с</w:t>
      </w:r>
      <w:r w:rsidRPr="00C62D22">
        <w:rPr>
          <w:rStyle w:val="hps"/>
          <w:rFonts w:ascii="Times New Roman" w:hAnsi="Times New Roman" w:cs="Times New Roman"/>
          <w:sz w:val="28"/>
          <w:szCs w:val="28"/>
        </w:rPr>
        <w:t>трим і</w:t>
      </w:r>
      <w:r w:rsidRPr="00C62D22">
        <w:rPr>
          <w:rFonts w:ascii="Times New Roman" w:hAnsi="Times New Roman" w:cs="Times New Roman"/>
          <w:sz w:val="28"/>
          <w:szCs w:val="28"/>
        </w:rPr>
        <w:t>нфарктом міокарда чи інсультом, гострою ліво- чи правошлуночковою нед</w:t>
      </w:r>
      <w:r w:rsidRPr="00C62D22">
        <w:rPr>
          <w:rFonts w:ascii="Times New Roman" w:hAnsi="Times New Roman" w:cs="Times New Roman"/>
          <w:sz w:val="28"/>
          <w:szCs w:val="28"/>
        </w:rPr>
        <w:t>о</w:t>
      </w:r>
      <w:r w:rsidRPr="00C62D22">
        <w:rPr>
          <w:rFonts w:ascii="Times New Roman" w:hAnsi="Times New Roman" w:cs="Times New Roman"/>
          <w:sz w:val="28"/>
          <w:szCs w:val="28"/>
        </w:rPr>
        <w:t>статністю, хронічною серцевою недостатністю III ст., супутніми психічними захворюва</w:t>
      </w:r>
      <w:r w:rsidRPr="00C62D22">
        <w:rPr>
          <w:rFonts w:ascii="Times New Roman" w:hAnsi="Times New Roman" w:cs="Times New Roman"/>
          <w:sz w:val="28"/>
          <w:szCs w:val="28"/>
        </w:rPr>
        <w:t>н</w:t>
      </w:r>
      <w:r w:rsidRPr="00C62D22">
        <w:rPr>
          <w:rFonts w:ascii="Times New Roman" w:hAnsi="Times New Roman" w:cs="Times New Roman"/>
          <w:sz w:val="28"/>
          <w:szCs w:val="28"/>
        </w:rPr>
        <w:t xml:space="preserve">нями, наркоманією. </w:t>
      </w:r>
    </w:p>
    <w:p w:rsidR="0021764E" w:rsidRPr="00C62D22" w:rsidRDefault="0021764E" w:rsidP="0021764E">
      <w:pPr>
        <w:widowControl w:val="0"/>
        <w:spacing w:after="0" w:line="360" w:lineRule="auto"/>
        <w:ind w:firstLine="720"/>
        <w:jc w:val="both"/>
        <w:rPr>
          <w:rFonts w:ascii="Times New Roman" w:hAnsi="Times New Roman" w:cs="Times New Roman"/>
          <w:sz w:val="28"/>
          <w:szCs w:val="28"/>
        </w:rPr>
      </w:pPr>
      <w:r w:rsidRPr="00C62D22">
        <w:rPr>
          <w:rFonts w:ascii="Times New Roman" w:hAnsi="Times New Roman" w:cs="Times New Roman"/>
          <w:sz w:val="28"/>
          <w:szCs w:val="28"/>
        </w:rPr>
        <w:t>Так, до І групи було залучено 81 (16,04%) хворий, до ІІ групи – 247 (48,91%;) пацієнтів, до ІІІ групи – 177 (35,05%) хворих.</w:t>
      </w:r>
    </w:p>
    <w:p w:rsidR="0021764E" w:rsidRPr="00C62D22" w:rsidRDefault="0021764E" w:rsidP="0021764E">
      <w:pPr>
        <w:pStyle w:val="a5"/>
        <w:spacing w:before="0" w:beforeAutospacing="0" w:after="0" w:afterAutospacing="0" w:line="360" w:lineRule="auto"/>
        <w:ind w:firstLine="709"/>
        <w:jc w:val="both"/>
        <w:rPr>
          <w:sz w:val="28"/>
          <w:szCs w:val="28"/>
          <w:lang w:val="uk-UA"/>
        </w:rPr>
      </w:pPr>
      <w:r w:rsidRPr="00C62D22">
        <w:rPr>
          <w:sz w:val="28"/>
          <w:szCs w:val="28"/>
          <w:lang w:val="uk-UA"/>
        </w:rPr>
        <w:t xml:space="preserve">З 505 досліджуваних хворих, чоловіків було 423 (83,8%), жінок </w:t>
      </w:r>
      <w:r w:rsidRPr="00C62D22">
        <w:rPr>
          <w:sz w:val="28"/>
          <w:szCs w:val="28"/>
          <w:lang w:val="uk-UA"/>
        </w:rPr>
        <w:sym w:font="Symbol" w:char="002D"/>
      </w:r>
      <w:r w:rsidRPr="00C62D22">
        <w:rPr>
          <w:sz w:val="28"/>
          <w:szCs w:val="28"/>
          <w:lang w:val="uk-UA"/>
        </w:rPr>
        <w:t xml:space="preserve"> 82 (16,2%), віком від 18 до 72 років</w:t>
      </w:r>
      <w:r w:rsidRPr="00C62D22">
        <w:rPr>
          <w:b/>
          <w:sz w:val="28"/>
          <w:szCs w:val="28"/>
          <w:lang w:val="uk-UA"/>
        </w:rPr>
        <w:t>,</w:t>
      </w:r>
      <w:r w:rsidRPr="00C62D22">
        <w:rPr>
          <w:sz w:val="28"/>
          <w:szCs w:val="28"/>
          <w:lang w:val="uk-UA"/>
        </w:rPr>
        <w:t xml:space="preserve"> у середн</w:t>
      </w:r>
      <w:r w:rsidRPr="00C62D22">
        <w:rPr>
          <w:sz w:val="28"/>
          <w:szCs w:val="28"/>
          <w:lang w:val="uk-UA"/>
        </w:rPr>
        <w:t>ь</w:t>
      </w:r>
      <w:r w:rsidRPr="00C62D22">
        <w:rPr>
          <w:sz w:val="28"/>
          <w:szCs w:val="28"/>
          <w:lang w:val="uk-UA"/>
        </w:rPr>
        <w:t>ому 43,3 ± 1,2 років. Дизайн дослідження наведено на рис. 2.1.</w:t>
      </w:r>
    </w:p>
    <w:p w:rsidR="0021764E" w:rsidRPr="00C62D22" w:rsidRDefault="0021764E" w:rsidP="0021764E">
      <w:pPr>
        <w:pStyle w:val="a5"/>
        <w:spacing w:before="0" w:beforeAutospacing="0" w:after="0" w:afterAutospacing="0" w:line="360" w:lineRule="auto"/>
        <w:ind w:firstLine="709"/>
        <w:jc w:val="both"/>
        <w:rPr>
          <w:sz w:val="28"/>
          <w:szCs w:val="28"/>
          <w:lang w:val="uk-UA"/>
        </w:rPr>
      </w:pPr>
      <w:r w:rsidRPr="00C62D22">
        <w:rPr>
          <w:noProof/>
          <w:sz w:val="28"/>
          <w:szCs w:val="28"/>
          <w:lang w:val="uk-UA"/>
        </w:rPr>
        <w:pict>
          <v:group id="_x0000_s1026" style="position:absolute;left:0;text-align:left;margin-left:9pt;margin-top:11.8pt;width:477pt;height:426pt;z-index:251660288" coordorigin="1455,6177" coordsize="9457,8520">
            <v:shapetype id="_x0000_t202" coordsize="21600,21600" o:spt="202" path="m,l,21600r21600,l21600,xe">
              <v:stroke joinstyle="miter"/>
              <v:path gradientshapeok="t" o:connecttype="rect"/>
            </v:shapetype>
            <v:shape id="_x0000_s1027" type="#_x0000_t202" style="position:absolute;left:1455;top:6177;width:9457;height:8520" stroked="f">
              <v:textbox style="mso-next-textbox:#_x0000_s1027">
                <w:txbxContent>
                  <w:p w:rsidR="0021764E" w:rsidRDefault="0021764E" w:rsidP="0021764E">
                    <w:r w:rsidRPr="00112B0F">
                      <w:rPr>
                        <w:noProof/>
                      </w:rPr>
                      <w:pict>
                        <v:shape id="_x0000_i1621" type="#_x0000_t75" style="width:456pt;height:386.25pt;visibility:visible" o:gfxdata="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">
                          <v:imagedata r:id="rId7" o:title="" cropright="-43f"/>
                          <o:lock v:ext="edit" aspectratio="f"/>
                        </v:shape>
                      </w:pict>
                    </w:r>
                  </w:p>
                </w:txbxContent>
              </v:textbox>
            </v:shape>
            <v:shape id="_x0000_s1028" type="#_x0000_t202" style="position:absolute;left:2961;top:13554;width:7764;height:540" stroked="f">
              <v:textbox style="mso-next-textbox:#_x0000_s1028">
                <w:txbxContent>
                  <w:p w:rsidR="0021764E" w:rsidRPr="00396AC3" w:rsidRDefault="0021764E" w:rsidP="0021764E">
                    <w:pPr>
                      <w:ind w:firstLine="708"/>
                      <w:jc w:val="right"/>
                      <w:rPr>
                        <w:rFonts w:ascii="Times New Roman" w:hAnsi="Times New Roman"/>
                        <w:sz w:val="28"/>
                        <w:szCs w:val="28"/>
                      </w:rPr>
                    </w:pPr>
                    <w:r>
                      <w:rPr>
                        <w:rFonts w:ascii="Times New Roman" w:hAnsi="Times New Roman"/>
                        <w:sz w:val="28"/>
                        <w:szCs w:val="28"/>
                      </w:rPr>
                      <w:t>Рис. 2.1. Дизайн дослідження</w:t>
                    </w:r>
                  </w:p>
                </w:txbxContent>
              </v:textbox>
            </v:shape>
          </v:group>
        </w:pict>
      </w: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pStyle w:val="a5"/>
        <w:spacing w:before="0" w:beforeAutospacing="0" w:after="0" w:afterAutospacing="0" w:line="360" w:lineRule="auto"/>
        <w:ind w:firstLine="709"/>
        <w:jc w:val="both"/>
        <w:rPr>
          <w:sz w:val="28"/>
          <w:szCs w:val="28"/>
          <w:lang w:val="uk-UA"/>
        </w:rPr>
      </w:pPr>
    </w:p>
    <w:p w:rsidR="0021764E" w:rsidRPr="00C62D22" w:rsidRDefault="0021764E" w:rsidP="0021764E">
      <w:pPr>
        <w:spacing w:after="0" w:line="360" w:lineRule="auto"/>
        <w:jc w:val="both"/>
        <w:rPr>
          <w:rFonts w:ascii="Times New Roman" w:hAnsi="Times New Roman" w:cs="Times New Roman"/>
          <w:kern w:val="28"/>
          <w:sz w:val="28"/>
          <w:szCs w:val="28"/>
        </w:rPr>
      </w:pPr>
    </w:p>
    <w:p w:rsidR="0021764E" w:rsidRPr="00C62D22" w:rsidRDefault="0021764E" w:rsidP="0021764E">
      <w:pPr>
        <w:spacing w:after="0" w:line="360" w:lineRule="auto"/>
        <w:ind w:firstLine="708"/>
        <w:jc w:val="both"/>
        <w:rPr>
          <w:rFonts w:ascii="Times New Roman" w:hAnsi="Times New Roman" w:cs="Times New Roman"/>
          <w:sz w:val="28"/>
          <w:szCs w:val="28"/>
        </w:rPr>
      </w:pPr>
      <w:r w:rsidRPr="00C62D22">
        <w:rPr>
          <w:rFonts w:ascii="Times New Roman" w:eastAsia="GaramondC-Light" w:hAnsi="Times New Roman" w:cs="Times New Roman"/>
          <w:sz w:val="28"/>
          <w:szCs w:val="28"/>
        </w:rPr>
        <w:lastRenderedPageBreak/>
        <w:t>Питання пошуку класифікації запальних кіст ПЗ має безпосереднє зн</w:t>
      </w:r>
      <w:r w:rsidRPr="00C62D22">
        <w:rPr>
          <w:rFonts w:ascii="Times New Roman" w:eastAsia="GaramondC-Light" w:hAnsi="Times New Roman" w:cs="Times New Roman"/>
          <w:sz w:val="28"/>
          <w:szCs w:val="28"/>
        </w:rPr>
        <w:t>а</w:t>
      </w:r>
      <w:r w:rsidRPr="00C62D22">
        <w:rPr>
          <w:rFonts w:ascii="Times New Roman" w:eastAsia="GaramondC-Light" w:hAnsi="Times New Roman" w:cs="Times New Roman"/>
          <w:sz w:val="28"/>
          <w:szCs w:val="28"/>
        </w:rPr>
        <w:t>чення для вибору тактики їх лікування.</w:t>
      </w:r>
      <w:r w:rsidRPr="00C62D22">
        <w:rPr>
          <w:rFonts w:ascii="Times New Roman" w:hAnsi="Times New Roman" w:cs="Times New Roman"/>
          <w:sz w:val="28"/>
          <w:szCs w:val="28"/>
        </w:rPr>
        <w:t xml:space="preserve"> </w:t>
      </w:r>
    </w:p>
    <w:p w:rsidR="0021764E" w:rsidRPr="00C62D22" w:rsidRDefault="0021764E" w:rsidP="0021764E">
      <w:pPr>
        <w:spacing w:after="0" w:line="360" w:lineRule="auto"/>
        <w:ind w:firstLine="708"/>
        <w:jc w:val="both"/>
        <w:rPr>
          <w:rFonts w:ascii="Times New Roman" w:hAnsi="Times New Roman" w:cs="Times New Roman"/>
          <w:sz w:val="28"/>
          <w:szCs w:val="28"/>
        </w:rPr>
      </w:pPr>
      <w:r w:rsidRPr="00C62D22">
        <w:rPr>
          <w:rFonts w:ascii="Times New Roman" w:hAnsi="Times New Roman" w:cs="Times New Roman"/>
          <w:sz w:val="28"/>
          <w:szCs w:val="28"/>
        </w:rPr>
        <w:t>Згідно класифікації ГП, яка прийнята в Атланті (США) у 1992 р., та переглядом її робочої групи у 2012 р., визн</w:t>
      </w:r>
      <w:r w:rsidRPr="00C62D22">
        <w:rPr>
          <w:rFonts w:ascii="Times New Roman" w:hAnsi="Times New Roman" w:cs="Times New Roman"/>
          <w:sz w:val="28"/>
          <w:szCs w:val="28"/>
        </w:rPr>
        <w:t>а</w:t>
      </w:r>
      <w:r w:rsidRPr="00C62D22">
        <w:rPr>
          <w:rFonts w:ascii="Times New Roman" w:hAnsi="Times New Roman" w:cs="Times New Roman"/>
          <w:sz w:val="28"/>
          <w:szCs w:val="28"/>
        </w:rPr>
        <w:t>чені критерії тяжкості ГП (легка, середня та важка), типи захворювання (інтерстиц</w:t>
      </w:r>
      <w:r w:rsidRPr="00C62D22">
        <w:rPr>
          <w:rFonts w:ascii="Times New Roman" w:hAnsi="Times New Roman" w:cs="Times New Roman"/>
          <w:sz w:val="28"/>
          <w:szCs w:val="28"/>
        </w:rPr>
        <w:t>і</w:t>
      </w:r>
      <w:r w:rsidRPr="00C62D22">
        <w:rPr>
          <w:rFonts w:ascii="Times New Roman" w:hAnsi="Times New Roman" w:cs="Times New Roman"/>
          <w:sz w:val="28"/>
          <w:szCs w:val="28"/>
        </w:rPr>
        <w:t>альний набряковий ГП та некротичний), фази перебігу (рання та пізня), ускла</w:t>
      </w:r>
      <w:r w:rsidRPr="00C62D22">
        <w:rPr>
          <w:rFonts w:ascii="Times New Roman" w:hAnsi="Times New Roman" w:cs="Times New Roman"/>
          <w:sz w:val="28"/>
          <w:szCs w:val="28"/>
        </w:rPr>
        <w:t>д</w:t>
      </w:r>
      <w:r w:rsidRPr="00C62D22">
        <w:rPr>
          <w:rFonts w:ascii="Times New Roman" w:hAnsi="Times New Roman" w:cs="Times New Roman"/>
          <w:sz w:val="28"/>
          <w:szCs w:val="28"/>
        </w:rPr>
        <w:t>нення до 4-х тижнів та після 4-х тижнів захворювання. Експе</w:t>
      </w:r>
      <w:r w:rsidRPr="00C62D22">
        <w:rPr>
          <w:rFonts w:ascii="Times New Roman" w:hAnsi="Times New Roman" w:cs="Times New Roman"/>
          <w:sz w:val="28"/>
          <w:szCs w:val="28"/>
        </w:rPr>
        <w:t>р</w:t>
      </w:r>
      <w:r w:rsidRPr="00C62D22">
        <w:rPr>
          <w:rFonts w:ascii="Times New Roman" w:hAnsi="Times New Roman" w:cs="Times New Roman"/>
          <w:sz w:val="28"/>
          <w:szCs w:val="28"/>
        </w:rPr>
        <w:t>тами виключене таке поняття, як: «абсцес ПЗ»,  ускладнення ГП, а панкреатична ПК (стерил</w:t>
      </w:r>
      <w:r w:rsidRPr="00C62D22">
        <w:rPr>
          <w:rFonts w:ascii="Times New Roman" w:hAnsi="Times New Roman" w:cs="Times New Roman"/>
          <w:sz w:val="28"/>
          <w:szCs w:val="28"/>
        </w:rPr>
        <w:t>ь</w:t>
      </w:r>
      <w:r w:rsidRPr="00C62D22">
        <w:rPr>
          <w:rFonts w:ascii="Times New Roman" w:hAnsi="Times New Roman" w:cs="Times New Roman"/>
          <w:sz w:val="28"/>
          <w:szCs w:val="28"/>
        </w:rPr>
        <w:t xml:space="preserve">на або інфікована) віднесена до ускладнень, які виникають після 4-х тижнів захворювання [97, 421]. </w:t>
      </w:r>
    </w:p>
    <w:p w:rsidR="0021764E" w:rsidRPr="00C62D22" w:rsidRDefault="0021764E" w:rsidP="0021764E">
      <w:pPr>
        <w:widowControl w:val="0"/>
        <w:spacing w:after="0" w:line="360" w:lineRule="auto"/>
        <w:ind w:firstLine="720"/>
        <w:jc w:val="both"/>
        <w:rPr>
          <w:rFonts w:ascii="Times New Roman" w:hAnsi="Times New Roman" w:cs="Times New Roman"/>
          <w:sz w:val="28"/>
          <w:szCs w:val="28"/>
        </w:rPr>
      </w:pPr>
      <w:r w:rsidRPr="00C62D22">
        <w:rPr>
          <w:rFonts w:ascii="Times New Roman" w:hAnsi="Times New Roman" w:cs="Times New Roman"/>
          <w:sz w:val="28"/>
          <w:szCs w:val="28"/>
        </w:rPr>
        <w:t>Етіопатогенетичні особливості ПК ураховані в класифікації, яка запроп</w:t>
      </w:r>
      <w:r w:rsidRPr="00C62D22">
        <w:rPr>
          <w:rFonts w:ascii="Times New Roman" w:hAnsi="Times New Roman" w:cs="Times New Roman"/>
          <w:sz w:val="28"/>
          <w:szCs w:val="28"/>
        </w:rPr>
        <w:t>о</w:t>
      </w:r>
      <w:r w:rsidRPr="00C62D22">
        <w:rPr>
          <w:rFonts w:ascii="Times New Roman" w:hAnsi="Times New Roman" w:cs="Times New Roman"/>
          <w:sz w:val="28"/>
          <w:szCs w:val="28"/>
        </w:rPr>
        <w:t>нована D'Egidio A. та</w:t>
      </w:r>
      <w:r w:rsidRPr="00C62D22">
        <w:rPr>
          <w:rFonts w:ascii="Times New Roman" w:hAnsi="Times New Roman" w:cs="Times New Roman"/>
          <w:smallCaps/>
          <w:sz w:val="28"/>
          <w:szCs w:val="28"/>
        </w:rPr>
        <w:t xml:space="preserve"> </w:t>
      </w:r>
      <w:r w:rsidRPr="00C62D22">
        <w:rPr>
          <w:rFonts w:ascii="Times New Roman" w:hAnsi="Times New Roman" w:cs="Times New Roman"/>
          <w:sz w:val="28"/>
          <w:szCs w:val="28"/>
        </w:rPr>
        <w:t>Schein M. Критерії, які враховані в класифікації D'Egidio A. та</w:t>
      </w:r>
      <w:r w:rsidRPr="00C62D22">
        <w:rPr>
          <w:rFonts w:ascii="Times New Roman" w:hAnsi="Times New Roman" w:cs="Times New Roman"/>
          <w:smallCaps/>
          <w:sz w:val="28"/>
          <w:szCs w:val="28"/>
        </w:rPr>
        <w:t xml:space="preserve"> </w:t>
      </w:r>
      <w:r w:rsidRPr="00C62D22">
        <w:rPr>
          <w:rFonts w:ascii="Times New Roman" w:hAnsi="Times New Roman" w:cs="Times New Roman"/>
          <w:sz w:val="28"/>
          <w:szCs w:val="28"/>
        </w:rPr>
        <w:t>Schein M. (1991), навед</w:t>
      </w:r>
      <w:r w:rsidRPr="00C62D22">
        <w:rPr>
          <w:rFonts w:ascii="Times New Roman" w:hAnsi="Times New Roman" w:cs="Times New Roman"/>
          <w:sz w:val="28"/>
          <w:szCs w:val="28"/>
        </w:rPr>
        <w:t>е</w:t>
      </w:r>
      <w:r w:rsidRPr="00C62D22">
        <w:rPr>
          <w:rFonts w:ascii="Times New Roman" w:hAnsi="Times New Roman" w:cs="Times New Roman"/>
          <w:sz w:val="28"/>
          <w:szCs w:val="28"/>
        </w:rPr>
        <w:t>но в табл. 2.1. [339].</w:t>
      </w:r>
    </w:p>
    <w:p w:rsidR="0021764E" w:rsidRPr="00C62D22" w:rsidRDefault="0021764E" w:rsidP="0021764E">
      <w:pPr>
        <w:spacing w:after="0" w:line="360" w:lineRule="auto"/>
        <w:rPr>
          <w:rFonts w:ascii="Times New Roman" w:eastAsia="GaramondC-Light" w:hAnsi="Times New Roman" w:cs="Times New Roman"/>
          <w:i/>
          <w:sz w:val="28"/>
          <w:szCs w:val="28"/>
        </w:rPr>
      </w:pPr>
    </w:p>
    <w:p w:rsidR="0021764E" w:rsidRPr="00C62D22" w:rsidRDefault="0021764E" w:rsidP="0021764E">
      <w:pPr>
        <w:spacing w:after="0" w:line="360" w:lineRule="auto"/>
        <w:jc w:val="right"/>
        <w:outlineLvl w:val="0"/>
        <w:rPr>
          <w:rFonts w:ascii="Times New Roman" w:eastAsia="GaramondC-Light" w:hAnsi="Times New Roman" w:cs="Times New Roman"/>
          <w:i/>
          <w:sz w:val="28"/>
          <w:szCs w:val="28"/>
        </w:rPr>
      </w:pPr>
      <w:r w:rsidRPr="00C62D22">
        <w:rPr>
          <w:rFonts w:ascii="Times New Roman" w:eastAsia="GaramondC-Light" w:hAnsi="Times New Roman" w:cs="Times New Roman"/>
          <w:i/>
          <w:sz w:val="28"/>
          <w:szCs w:val="28"/>
        </w:rPr>
        <w:t>Таблиця 2.1</w:t>
      </w:r>
    </w:p>
    <w:p w:rsidR="0021764E" w:rsidRPr="00C62D22" w:rsidRDefault="0021764E" w:rsidP="0021764E">
      <w:pPr>
        <w:spacing w:after="0" w:line="360" w:lineRule="auto"/>
        <w:jc w:val="center"/>
        <w:outlineLvl w:val="0"/>
        <w:rPr>
          <w:rFonts w:ascii="Times New Roman" w:eastAsia="GaramondC-Light" w:hAnsi="Times New Roman" w:cs="Times New Roman"/>
          <w:b/>
          <w:sz w:val="28"/>
          <w:szCs w:val="28"/>
        </w:rPr>
      </w:pPr>
      <w:r w:rsidRPr="00C62D22">
        <w:rPr>
          <w:rFonts w:ascii="Times New Roman" w:eastAsia="GaramondC-Light" w:hAnsi="Times New Roman" w:cs="Times New Roman"/>
          <w:b/>
          <w:sz w:val="28"/>
          <w:szCs w:val="28"/>
        </w:rPr>
        <w:t xml:space="preserve">Критерії, ураховані в класифікації </w:t>
      </w:r>
      <w:r w:rsidRPr="00C62D22">
        <w:rPr>
          <w:rFonts w:ascii="Times New Roman" w:hAnsi="Times New Roman" w:cs="Times New Roman"/>
          <w:b/>
          <w:sz w:val="28"/>
          <w:szCs w:val="28"/>
        </w:rPr>
        <w:t>D'Egidio A. та</w:t>
      </w:r>
      <w:r w:rsidRPr="00C62D22">
        <w:rPr>
          <w:rFonts w:ascii="Times New Roman" w:hAnsi="Times New Roman" w:cs="Times New Roman"/>
          <w:b/>
          <w:smallCaps/>
          <w:sz w:val="28"/>
          <w:szCs w:val="28"/>
        </w:rPr>
        <w:t xml:space="preserve"> </w:t>
      </w:r>
      <w:r w:rsidRPr="00C62D22">
        <w:rPr>
          <w:rFonts w:ascii="Times New Roman" w:hAnsi="Times New Roman" w:cs="Times New Roman"/>
          <w:b/>
          <w:sz w:val="28"/>
          <w:szCs w:val="28"/>
        </w:rPr>
        <w:t>Schein M. (1991)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68"/>
        <w:gridCol w:w="2520"/>
        <w:gridCol w:w="2340"/>
        <w:gridCol w:w="2160"/>
      </w:tblGrid>
      <w:tr w:rsidR="0021764E" w:rsidRPr="00C62D22" w:rsidTr="006E5FD4">
        <w:tc>
          <w:tcPr>
            <w:tcW w:w="3168" w:type="dxa"/>
          </w:tcPr>
          <w:p w:rsidR="0021764E" w:rsidRPr="00C62D22" w:rsidRDefault="0021764E" w:rsidP="006E5FD4">
            <w:pPr>
              <w:spacing w:after="0" w:line="360" w:lineRule="auto"/>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Характеристика</w:t>
            </w:r>
          </w:p>
        </w:tc>
        <w:tc>
          <w:tcPr>
            <w:tcW w:w="252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Тип І</w:t>
            </w:r>
          </w:p>
        </w:tc>
        <w:tc>
          <w:tcPr>
            <w:tcW w:w="234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Тип ІІ</w:t>
            </w:r>
          </w:p>
        </w:tc>
        <w:tc>
          <w:tcPr>
            <w:tcW w:w="216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Тип ІІІ</w:t>
            </w:r>
          </w:p>
        </w:tc>
      </w:tr>
      <w:tr w:rsidR="0021764E" w:rsidRPr="00C62D22" w:rsidTr="006E5FD4">
        <w:trPr>
          <w:trHeight w:val="1318"/>
        </w:trPr>
        <w:tc>
          <w:tcPr>
            <w:tcW w:w="3168" w:type="dxa"/>
          </w:tcPr>
          <w:p w:rsidR="0021764E" w:rsidRPr="00C62D22" w:rsidRDefault="0021764E" w:rsidP="006E5FD4">
            <w:pPr>
              <w:spacing w:after="0" w:line="360" w:lineRule="auto"/>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Патогенез</w:t>
            </w:r>
          </w:p>
        </w:tc>
        <w:tc>
          <w:tcPr>
            <w:tcW w:w="252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Кіста, яка виникла на тлі ГП </w:t>
            </w:r>
          </w:p>
          <w:p w:rsidR="0021764E" w:rsidRPr="00C62D22" w:rsidRDefault="0021764E" w:rsidP="006E5FD4">
            <w:pPr>
              <w:spacing w:after="0" w:line="360" w:lineRule="auto"/>
              <w:jc w:val="center"/>
              <w:rPr>
                <w:rFonts w:ascii="Times New Roman" w:eastAsia="GaramondC-Light" w:hAnsi="Times New Roman" w:cs="Times New Roman"/>
                <w:sz w:val="28"/>
                <w:szCs w:val="28"/>
              </w:rPr>
            </w:pPr>
          </w:p>
        </w:tc>
        <w:tc>
          <w:tcPr>
            <w:tcW w:w="234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Кіста, яка виникла на тлі ХП</w:t>
            </w:r>
          </w:p>
        </w:tc>
        <w:tc>
          <w:tcPr>
            <w:tcW w:w="216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«Ретенційна» кіста (на тлі ХП)</w:t>
            </w:r>
          </w:p>
        </w:tc>
      </w:tr>
      <w:tr w:rsidR="0021764E" w:rsidRPr="00C62D22" w:rsidTr="006E5FD4">
        <w:trPr>
          <w:trHeight w:val="417"/>
        </w:trPr>
        <w:tc>
          <w:tcPr>
            <w:tcW w:w="3168" w:type="dxa"/>
          </w:tcPr>
          <w:p w:rsidR="0021764E" w:rsidRPr="00C62D22" w:rsidRDefault="0021764E" w:rsidP="006E5FD4">
            <w:pPr>
              <w:spacing w:after="0" w:line="360" w:lineRule="auto"/>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Попередній н</w:t>
            </w:r>
            <w:r w:rsidRPr="00C62D22">
              <w:rPr>
                <w:rFonts w:ascii="Times New Roman" w:eastAsia="GaramondC-Light" w:hAnsi="Times New Roman" w:cs="Times New Roman"/>
                <w:sz w:val="28"/>
                <w:szCs w:val="28"/>
              </w:rPr>
              <w:t>а</w:t>
            </w:r>
            <w:r w:rsidRPr="00C62D22">
              <w:rPr>
                <w:rFonts w:ascii="Times New Roman" w:eastAsia="GaramondC-Light" w:hAnsi="Times New Roman" w:cs="Times New Roman"/>
                <w:sz w:val="28"/>
                <w:szCs w:val="28"/>
              </w:rPr>
              <w:t>пад ГП</w:t>
            </w:r>
          </w:p>
        </w:tc>
        <w:tc>
          <w:tcPr>
            <w:tcW w:w="252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Так</w:t>
            </w:r>
          </w:p>
        </w:tc>
        <w:tc>
          <w:tcPr>
            <w:tcW w:w="234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Так</w:t>
            </w:r>
          </w:p>
        </w:tc>
        <w:tc>
          <w:tcPr>
            <w:tcW w:w="216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Ні</w:t>
            </w:r>
          </w:p>
        </w:tc>
      </w:tr>
      <w:tr w:rsidR="0021764E" w:rsidRPr="00C62D22" w:rsidTr="006E5FD4">
        <w:trPr>
          <w:trHeight w:val="70"/>
        </w:trPr>
        <w:tc>
          <w:tcPr>
            <w:tcW w:w="3168" w:type="dxa"/>
          </w:tcPr>
          <w:p w:rsidR="0021764E" w:rsidRPr="00C62D22" w:rsidRDefault="0021764E" w:rsidP="006E5FD4">
            <w:pPr>
              <w:spacing w:after="0" w:line="360" w:lineRule="auto"/>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Анатомія ГПП</w:t>
            </w:r>
          </w:p>
        </w:tc>
        <w:tc>
          <w:tcPr>
            <w:tcW w:w="252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Не змінена</w:t>
            </w:r>
          </w:p>
        </w:tc>
        <w:tc>
          <w:tcPr>
            <w:tcW w:w="234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Змінена </w:t>
            </w:r>
          </w:p>
        </w:tc>
        <w:tc>
          <w:tcPr>
            <w:tcW w:w="216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Стриктура </w:t>
            </w:r>
          </w:p>
        </w:tc>
      </w:tr>
      <w:tr w:rsidR="0021764E" w:rsidRPr="00C62D22" w:rsidTr="006E5FD4">
        <w:trPr>
          <w:trHeight w:val="714"/>
        </w:trPr>
        <w:tc>
          <w:tcPr>
            <w:tcW w:w="3168" w:type="dxa"/>
          </w:tcPr>
          <w:p w:rsidR="0021764E" w:rsidRPr="00C62D22" w:rsidRDefault="0021764E" w:rsidP="006E5FD4">
            <w:pPr>
              <w:spacing w:after="0" w:line="360" w:lineRule="auto"/>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Співустя поро</w:t>
            </w:r>
            <w:r w:rsidRPr="00C62D22">
              <w:rPr>
                <w:rFonts w:ascii="Times New Roman" w:eastAsia="GaramondC-Light" w:hAnsi="Times New Roman" w:cs="Times New Roman"/>
                <w:sz w:val="28"/>
                <w:szCs w:val="28"/>
              </w:rPr>
              <w:t>ж</w:t>
            </w:r>
            <w:r w:rsidRPr="00C62D22">
              <w:rPr>
                <w:rFonts w:ascii="Times New Roman" w:eastAsia="GaramondC-Light" w:hAnsi="Times New Roman" w:cs="Times New Roman"/>
                <w:sz w:val="28"/>
                <w:szCs w:val="28"/>
              </w:rPr>
              <w:t>нини ПК з ГПП</w:t>
            </w:r>
          </w:p>
        </w:tc>
        <w:tc>
          <w:tcPr>
            <w:tcW w:w="252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Рідко </w:t>
            </w:r>
          </w:p>
        </w:tc>
        <w:tc>
          <w:tcPr>
            <w:tcW w:w="234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Часто </w:t>
            </w:r>
          </w:p>
        </w:tc>
        <w:tc>
          <w:tcPr>
            <w:tcW w:w="216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Завжди </w:t>
            </w:r>
          </w:p>
        </w:tc>
      </w:tr>
      <w:tr w:rsidR="0021764E" w:rsidRPr="00C62D22" w:rsidTr="006E5FD4">
        <w:trPr>
          <w:trHeight w:val="896"/>
        </w:trPr>
        <w:tc>
          <w:tcPr>
            <w:tcW w:w="3168" w:type="dxa"/>
          </w:tcPr>
          <w:p w:rsidR="0021764E" w:rsidRPr="00C62D22" w:rsidRDefault="0021764E" w:rsidP="006E5FD4">
            <w:pPr>
              <w:spacing w:after="0" w:line="360" w:lineRule="auto"/>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ХП</w:t>
            </w:r>
          </w:p>
        </w:tc>
        <w:tc>
          <w:tcPr>
            <w:tcW w:w="2520" w:type="dxa"/>
          </w:tcPr>
          <w:p w:rsidR="0021764E" w:rsidRPr="00C62D22" w:rsidRDefault="0021764E" w:rsidP="006E5FD4">
            <w:pPr>
              <w:tabs>
                <w:tab w:val="left" w:pos="510"/>
                <w:tab w:val="center" w:pos="1055"/>
              </w:tabs>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Ні</w:t>
            </w:r>
          </w:p>
        </w:tc>
        <w:tc>
          <w:tcPr>
            <w:tcW w:w="234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Так </w:t>
            </w:r>
          </w:p>
        </w:tc>
        <w:tc>
          <w:tcPr>
            <w:tcW w:w="216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Так</w:t>
            </w:r>
          </w:p>
        </w:tc>
      </w:tr>
    </w:tbl>
    <w:p w:rsidR="0021764E" w:rsidRPr="00C62D22" w:rsidRDefault="0021764E" w:rsidP="0021764E">
      <w:pPr>
        <w:widowControl w:val="0"/>
        <w:spacing w:after="0" w:line="360" w:lineRule="auto"/>
        <w:ind w:firstLine="720"/>
        <w:jc w:val="both"/>
        <w:rPr>
          <w:rFonts w:ascii="Times New Roman" w:hAnsi="Times New Roman" w:cs="Times New Roman"/>
          <w:sz w:val="28"/>
          <w:szCs w:val="28"/>
        </w:rPr>
      </w:pPr>
    </w:p>
    <w:p w:rsidR="0021764E" w:rsidRPr="00C62D22" w:rsidRDefault="0021764E" w:rsidP="0021764E">
      <w:pPr>
        <w:widowControl w:val="0"/>
        <w:spacing w:after="0" w:line="360" w:lineRule="auto"/>
        <w:ind w:firstLine="720"/>
        <w:jc w:val="both"/>
        <w:rPr>
          <w:rFonts w:ascii="Times New Roman" w:hAnsi="Times New Roman" w:cs="Times New Roman"/>
          <w:sz w:val="28"/>
          <w:szCs w:val="28"/>
        </w:rPr>
      </w:pPr>
      <w:r w:rsidRPr="00C62D22">
        <w:rPr>
          <w:rFonts w:ascii="Times New Roman" w:hAnsi="Times New Roman" w:cs="Times New Roman"/>
          <w:sz w:val="28"/>
          <w:szCs w:val="28"/>
        </w:rPr>
        <w:t>У ній усі запальні ПК розподілені на три типи. До ПК ПЗ I типу відносили постне</w:t>
      </w:r>
      <w:r w:rsidRPr="00C62D22">
        <w:rPr>
          <w:rFonts w:ascii="Times New Roman" w:hAnsi="Times New Roman" w:cs="Times New Roman"/>
          <w:sz w:val="28"/>
          <w:szCs w:val="28"/>
        </w:rPr>
        <w:t>к</w:t>
      </w:r>
      <w:r w:rsidRPr="00C62D22">
        <w:rPr>
          <w:rFonts w:ascii="Times New Roman" w:hAnsi="Times New Roman" w:cs="Times New Roman"/>
          <w:sz w:val="28"/>
          <w:szCs w:val="28"/>
        </w:rPr>
        <w:t xml:space="preserve">ротичні ПК ПЗ, які утворилися після епізоду ГП або травми ПЗ, мали нормальну анатомію ГПП та зрідка – зв'язок між ГПП та ПК. </w:t>
      </w:r>
    </w:p>
    <w:p w:rsidR="0021764E" w:rsidRPr="00C62D22" w:rsidRDefault="0021764E" w:rsidP="0021764E">
      <w:pPr>
        <w:widowControl w:val="0"/>
        <w:spacing w:after="0" w:line="360" w:lineRule="auto"/>
        <w:ind w:firstLine="720"/>
        <w:jc w:val="both"/>
        <w:rPr>
          <w:rFonts w:ascii="Times New Roman" w:hAnsi="Times New Roman" w:cs="Times New Roman"/>
          <w:sz w:val="28"/>
          <w:szCs w:val="28"/>
        </w:rPr>
      </w:pPr>
      <w:r w:rsidRPr="00C62D22">
        <w:rPr>
          <w:rFonts w:ascii="Times New Roman" w:hAnsi="Times New Roman" w:cs="Times New Roman"/>
          <w:sz w:val="28"/>
          <w:szCs w:val="28"/>
        </w:rPr>
        <w:t xml:space="preserve">ПК ПЗ II типу являли собою постнекротичні ПК ПЗ, які утворилися внаслідок </w:t>
      </w:r>
      <w:r w:rsidRPr="00C62D22">
        <w:rPr>
          <w:rFonts w:ascii="Times New Roman" w:hAnsi="Times New Roman" w:cs="Times New Roman"/>
          <w:sz w:val="28"/>
          <w:szCs w:val="28"/>
        </w:rPr>
        <w:lastRenderedPageBreak/>
        <w:t>атак ГП у хворих з ХП, ГПП була змінена, але без ознак стриктури, часто була пов’язана з ПК. ПК III типу були хронічними ретенційними ПК, які виникли при ХП унаслідок стри</w:t>
      </w:r>
      <w:r w:rsidRPr="00C62D22">
        <w:rPr>
          <w:rFonts w:ascii="Times New Roman" w:hAnsi="Times New Roman" w:cs="Times New Roman"/>
          <w:sz w:val="28"/>
          <w:szCs w:val="28"/>
        </w:rPr>
        <w:t>к</w:t>
      </w:r>
      <w:r w:rsidRPr="00C62D22">
        <w:rPr>
          <w:rFonts w:ascii="Times New Roman" w:hAnsi="Times New Roman" w:cs="Times New Roman"/>
          <w:sz w:val="28"/>
          <w:szCs w:val="28"/>
        </w:rPr>
        <w:t xml:space="preserve">тури протоків ПЗ та завжди мали зв'язок з ГПП. </w:t>
      </w:r>
    </w:p>
    <w:p w:rsidR="0021764E" w:rsidRPr="00C62D22" w:rsidRDefault="0021764E" w:rsidP="0021764E">
      <w:pPr>
        <w:widowControl w:val="0"/>
        <w:spacing w:after="0" w:line="360" w:lineRule="auto"/>
        <w:ind w:firstLine="720"/>
        <w:jc w:val="both"/>
        <w:rPr>
          <w:rFonts w:ascii="Times New Roman" w:hAnsi="Times New Roman" w:cs="Times New Roman"/>
          <w:sz w:val="28"/>
          <w:szCs w:val="28"/>
        </w:rPr>
      </w:pPr>
      <w:r w:rsidRPr="00C62D22">
        <w:rPr>
          <w:rFonts w:ascii="Times New Roman" w:hAnsi="Times New Roman" w:cs="Times New Roman"/>
          <w:sz w:val="28"/>
          <w:szCs w:val="28"/>
        </w:rPr>
        <w:t xml:space="preserve">Основною причиною виникнення ПК ПЗ у 505 хворих було зловживання алкоголем у (79,8%), ЖКХ (13,2%) та травма ПЗ (7%) випадків. </w:t>
      </w:r>
    </w:p>
    <w:p w:rsidR="0021764E" w:rsidRPr="00C62D22" w:rsidRDefault="0021764E" w:rsidP="0021764E">
      <w:pPr>
        <w:widowControl w:val="0"/>
        <w:spacing w:after="0" w:line="360" w:lineRule="auto"/>
        <w:ind w:firstLine="720"/>
        <w:jc w:val="both"/>
        <w:rPr>
          <w:rFonts w:ascii="Times New Roman" w:hAnsi="Times New Roman" w:cs="Times New Roman"/>
          <w:sz w:val="28"/>
          <w:szCs w:val="28"/>
        </w:rPr>
      </w:pPr>
      <w:r w:rsidRPr="00C62D22">
        <w:rPr>
          <w:rFonts w:ascii="Times New Roman" w:hAnsi="Times New Roman" w:cs="Times New Roman"/>
          <w:sz w:val="28"/>
          <w:szCs w:val="28"/>
        </w:rPr>
        <w:t>Розподіл хв</w:t>
      </w:r>
      <w:r w:rsidRPr="00C62D22">
        <w:rPr>
          <w:rFonts w:ascii="Times New Roman" w:hAnsi="Times New Roman" w:cs="Times New Roman"/>
          <w:sz w:val="28"/>
          <w:szCs w:val="28"/>
        </w:rPr>
        <w:t>о</w:t>
      </w:r>
      <w:r w:rsidRPr="00C62D22">
        <w:rPr>
          <w:rFonts w:ascii="Times New Roman" w:hAnsi="Times New Roman" w:cs="Times New Roman"/>
          <w:sz w:val="28"/>
          <w:szCs w:val="28"/>
        </w:rPr>
        <w:t>рих за віком наведений на рис. 2.2.</w:t>
      </w:r>
    </w:p>
    <w:p w:rsidR="0021764E" w:rsidRPr="00C62D22" w:rsidRDefault="0021764E" w:rsidP="0021764E">
      <w:pPr>
        <w:shd w:val="clear" w:color="auto" w:fill="FFFFFF"/>
        <w:autoSpaceDE w:val="0"/>
        <w:autoSpaceDN w:val="0"/>
        <w:adjustRightInd w:val="0"/>
        <w:spacing w:after="0" w:line="360" w:lineRule="auto"/>
        <w:ind w:firstLine="420"/>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rPr>
          <w:rFonts w:ascii="Times New Roman" w:hAnsi="Times New Roman" w:cs="Times New Roman"/>
          <w:sz w:val="28"/>
          <w:szCs w:val="28"/>
        </w:rPr>
      </w:pPr>
      <w:r w:rsidRPr="00C62D22">
        <w:rPr>
          <w:rFonts w:ascii="Times New Roman" w:hAnsi="Times New Roman" w:cs="Times New Roman"/>
          <w:noProof/>
          <w:sz w:val="28"/>
          <w:szCs w:val="28"/>
        </w:rPr>
        <w:pict>
          <v:shape id="_x0000_s1029" type="#_x0000_t202" style="position:absolute;margin-left:0;margin-top:0;width:472.9pt;height:213.65pt;z-index:251661312;mso-wrap-style:none" stroked="f">
            <v:textbox style="mso-next-textbox:#_x0000_s1029;mso-fit-shape-to-text:t">
              <w:txbxContent>
                <w:p w:rsidR="0021764E" w:rsidRPr="00E91450" w:rsidRDefault="0021764E" w:rsidP="0021764E">
                  <w:pPr>
                    <w:autoSpaceDE w:val="0"/>
                    <w:autoSpaceDN w:val="0"/>
                    <w:adjustRightInd w:val="0"/>
                    <w:spacing w:line="360" w:lineRule="auto"/>
                    <w:ind w:left="709"/>
                    <w:jc w:val="center"/>
                  </w:pPr>
                  <w:r>
                    <w:rPr>
                      <w:rFonts w:ascii="Times New Roman" w:hAnsi="Times New Roman"/>
                      <w:noProof/>
                    </w:rPr>
                    <w:drawing>
                      <wp:inline distT="0" distB="0" distL="0" distR="0">
                        <wp:extent cx="5372100" cy="240982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5372100" cy="2409825"/>
                                </a:xfrm>
                                <a:prstGeom prst="rect">
                                  <a:avLst/>
                                </a:prstGeom>
                                <a:noFill/>
                                <a:ln w="9525">
                                  <a:noFill/>
                                  <a:miter lim="800000"/>
                                  <a:headEnd/>
                                  <a:tailEnd/>
                                </a:ln>
                              </pic:spPr>
                            </pic:pic>
                          </a:graphicData>
                        </a:graphic>
                      </wp:inline>
                    </w:drawing>
                  </w:r>
                </w:p>
              </w:txbxContent>
            </v:textbox>
            <w10:wrap type="square"/>
          </v:shape>
        </w:pict>
      </w: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r w:rsidRPr="00C62D22">
        <w:rPr>
          <w:rFonts w:ascii="Times New Roman" w:hAnsi="Times New Roman" w:cs="Times New Roman"/>
          <w:noProof/>
          <w:sz w:val="28"/>
          <w:szCs w:val="28"/>
          <w:lang w:eastAsia="en-US"/>
        </w:rPr>
        <w:pict>
          <v:shape id="_x0000_s1032" type="#_x0000_t202" style="position:absolute;left:0;text-align:left;margin-left:0;margin-top:5.8pt;width:444.4pt;height:24.6pt;z-index:251664384;mso-position-horizontal:center;mso-width-relative:margin;mso-height-relative:margin" strokecolor="white">
            <v:textbox style="mso-next-textbox:#_x0000_s1032">
              <w:txbxContent>
                <w:p w:rsidR="0021764E" w:rsidRPr="000446ED" w:rsidRDefault="0021764E" w:rsidP="0021764E">
                  <w:pPr>
                    <w:jc w:val="right"/>
                    <w:rPr>
                      <w:rFonts w:ascii="Times New Roman" w:hAnsi="Times New Roman"/>
                      <w:sz w:val="28"/>
                      <w:szCs w:val="28"/>
                    </w:rPr>
                  </w:pPr>
                  <w:r w:rsidRPr="000446ED">
                    <w:rPr>
                      <w:rFonts w:ascii="Times New Roman" w:hAnsi="Times New Roman"/>
                      <w:sz w:val="28"/>
                      <w:szCs w:val="28"/>
                    </w:rPr>
                    <w:t xml:space="preserve">Рис.2.2. Розподіл хворих </w:t>
                  </w:r>
                  <w:r>
                    <w:rPr>
                      <w:rFonts w:ascii="Times New Roman" w:hAnsi="Times New Roman"/>
                      <w:sz w:val="28"/>
                      <w:szCs w:val="28"/>
                    </w:rPr>
                    <w:t xml:space="preserve">з ускладненими ПК ПЗ </w:t>
                  </w:r>
                  <w:r w:rsidRPr="000446ED">
                    <w:rPr>
                      <w:rFonts w:ascii="Times New Roman" w:hAnsi="Times New Roman"/>
                      <w:sz w:val="28"/>
                      <w:szCs w:val="28"/>
                    </w:rPr>
                    <w:t>за віком</w:t>
                  </w:r>
                </w:p>
              </w:txbxContent>
            </v:textbox>
          </v:shape>
        </w:pict>
      </w:r>
    </w:p>
    <w:p w:rsidR="0021764E" w:rsidRPr="00C62D22" w:rsidRDefault="0021764E" w:rsidP="0021764E">
      <w:pPr>
        <w:spacing w:after="0" w:line="360" w:lineRule="auto"/>
        <w:jc w:val="both"/>
        <w:outlineLvl w:val="0"/>
        <w:rPr>
          <w:rFonts w:ascii="Times New Roman" w:hAnsi="Times New Roman" w:cs="Times New Roman"/>
          <w:sz w:val="28"/>
          <w:szCs w:val="28"/>
        </w:rPr>
      </w:pP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r w:rsidRPr="00C62D22">
        <w:rPr>
          <w:rFonts w:ascii="Times New Roman" w:hAnsi="Times New Roman" w:cs="Times New Roman"/>
          <w:sz w:val="28"/>
          <w:szCs w:val="28"/>
        </w:rPr>
        <w:t>Розподіл хворих за статтю наведений на рис. 2.3.</w:t>
      </w: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pStyle w:val="a5"/>
        <w:tabs>
          <w:tab w:val="left" w:pos="0"/>
        </w:tabs>
        <w:spacing w:before="0" w:beforeAutospacing="0" w:after="0" w:afterAutospacing="0" w:line="360" w:lineRule="auto"/>
        <w:jc w:val="center"/>
        <w:rPr>
          <w:noProof/>
          <w:kern w:val="28"/>
          <w:sz w:val="28"/>
          <w:szCs w:val="28"/>
          <w:lang w:val="uk-UA" w:eastAsia="uk-UA"/>
        </w:rPr>
      </w:pPr>
      <w:r w:rsidRPr="00C62D22">
        <w:rPr>
          <w:noProof/>
          <w:sz w:val="28"/>
          <w:szCs w:val="28"/>
          <w:lang w:val="uk-UA"/>
        </w:rPr>
        <w:pict>
          <v:shape id="_x0000_s1030" type="#_x0000_t202" style="position:absolute;left:0;text-align:left;margin-left:9pt;margin-top:194pt;width:468pt;height:34.6pt;z-index:251662336" stroked="f">
            <v:textbox style="mso-next-textbox:#_x0000_s1030">
              <w:txbxContent>
                <w:p w:rsidR="0021764E" w:rsidRPr="008E7468" w:rsidRDefault="0021764E" w:rsidP="0021764E">
                  <w:pPr>
                    <w:spacing w:after="0" w:line="360" w:lineRule="auto"/>
                    <w:ind w:firstLine="708"/>
                    <w:jc w:val="right"/>
                    <w:rPr>
                      <w:rFonts w:ascii="Times New Roman" w:hAnsi="Times New Roman"/>
                      <w:sz w:val="28"/>
                      <w:szCs w:val="28"/>
                    </w:rPr>
                  </w:pPr>
                  <w:r w:rsidRPr="008E7468">
                    <w:rPr>
                      <w:rFonts w:ascii="Times New Roman" w:hAnsi="Times New Roman"/>
                      <w:sz w:val="28"/>
                      <w:szCs w:val="28"/>
                    </w:rPr>
                    <w:t>Рис. 2.</w:t>
                  </w:r>
                  <w:r>
                    <w:rPr>
                      <w:rFonts w:ascii="Times New Roman" w:hAnsi="Times New Roman"/>
                      <w:sz w:val="28"/>
                      <w:szCs w:val="28"/>
                    </w:rPr>
                    <w:t>3. Розподіл хворих з ускладненими</w:t>
                  </w:r>
                  <w:r w:rsidRPr="008E7468">
                    <w:rPr>
                      <w:rFonts w:ascii="Times New Roman" w:hAnsi="Times New Roman"/>
                      <w:sz w:val="28"/>
                      <w:szCs w:val="28"/>
                    </w:rPr>
                    <w:t xml:space="preserve"> ПК ПЗ за статтю</w:t>
                  </w:r>
                </w:p>
                <w:p w:rsidR="0021764E" w:rsidRPr="00761C03" w:rsidRDefault="0021764E" w:rsidP="0021764E"/>
              </w:txbxContent>
            </v:textbox>
          </v:shape>
        </w:pict>
      </w:r>
      <w:r w:rsidRPr="00C62D22">
        <w:rPr>
          <w:noProof/>
          <w:sz w:val="28"/>
          <w:szCs w:val="28"/>
        </w:rPr>
        <w:drawing>
          <wp:inline distT="0" distB="0" distL="0" distR="0">
            <wp:extent cx="5353050" cy="22955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353050" cy="2295525"/>
                    </a:xfrm>
                    <a:prstGeom prst="rect">
                      <a:avLst/>
                    </a:prstGeom>
                    <a:noFill/>
                    <a:ln w="9525">
                      <a:noFill/>
                      <a:miter lim="800000"/>
                      <a:headEnd/>
                      <a:tailEnd/>
                    </a:ln>
                  </pic:spPr>
                </pic:pic>
              </a:graphicData>
            </a:graphic>
          </wp:inline>
        </w:drawing>
      </w:r>
    </w:p>
    <w:p w:rsidR="0021764E" w:rsidRPr="00C62D22" w:rsidRDefault="0021764E" w:rsidP="0021764E">
      <w:pPr>
        <w:pStyle w:val="a5"/>
        <w:spacing w:before="0" w:beforeAutospacing="0" w:after="0" w:afterAutospacing="0" w:line="360" w:lineRule="auto"/>
        <w:jc w:val="both"/>
        <w:rPr>
          <w:kern w:val="28"/>
          <w:sz w:val="28"/>
          <w:szCs w:val="28"/>
          <w:lang w:val="uk-UA"/>
        </w:rPr>
      </w:pPr>
    </w:p>
    <w:p w:rsidR="0021764E" w:rsidRPr="00C62D22" w:rsidRDefault="0021764E" w:rsidP="0021764E">
      <w:pPr>
        <w:pStyle w:val="a5"/>
        <w:spacing w:before="0" w:beforeAutospacing="0" w:after="0" w:afterAutospacing="0" w:line="360" w:lineRule="auto"/>
        <w:ind w:firstLine="709"/>
        <w:jc w:val="both"/>
        <w:rPr>
          <w:kern w:val="28"/>
          <w:sz w:val="28"/>
          <w:szCs w:val="28"/>
          <w:lang w:val="uk-UA"/>
        </w:rPr>
      </w:pPr>
      <w:r w:rsidRPr="00C62D22">
        <w:rPr>
          <w:kern w:val="28"/>
          <w:sz w:val="28"/>
          <w:szCs w:val="28"/>
          <w:lang w:val="uk-UA"/>
        </w:rPr>
        <w:lastRenderedPageBreak/>
        <w:t>Дані, наведені на рис. 2.2 та 2.3, свідчать, що серед оперованих хворих б</w:t>
      </w:r>
      <w:r w:rsidRPr="00C62D22">
        <w:rPr>
          <w:kern w:val="28"/>
          <w:sz w:val="28"/>
          <w:szCs w:val="28"/>
          <w:lang w:val="uk-UA"/>
        </w:rPr>
        <w:t>і</w:t>
      </w:r>
      <w:r w:rsidRPr="00C62D22">
        <w:rPr>
          <w:kern w:val="28"/>
          <w:sz w:val="28"/>
          <w:szCs w:val="28"/>
          <w:lang w:val="uk-UA"/>
        </w:rPr>
        <w:t>льшість чоловіків – 423 (83,8%), жінок було 82 (16,2%), серед яких віком до 50 років було 373 (73,9%), тобто більшість оперованих пацієнтів – люди працездатного віку, що свідчить про соціальній аспект проблеми, яка розгляд</w:t>
      </w:r>
      <w:r w:rsidRPr="00C62D22">
        <w:rPr>
          <w:kern w:val="28"/>
          <w:sz w:val="28"/>
          <w:szCs w:val="28"/>
          <w:lang w:val="uk-UA"/>
        </w:rPr>
        <w:t>а</w:t>
      </w:r>
      <w:r w:rsidRPr="00C62D22">
        <w:rPr>
          <w:kern w:val="28"/>
          <w:sz w:val="28"/>
          <w:szCs w:val="28"/>
          <w:lang w:val="uk-UA"/>
        </w:rPr>
        <w:t>ється.</w:t>
      </w:r>
    </w:p>
    <w:p w:rsidR="0021764E" w:rsidRPr="00C62D22" w:rsidRDefault="0021764E" w:rsidP="0021764E">
      <w:pPr>
        <w:autoSpaceDE w:val="0"/>
        <w:autoSpaceDN w:val="0"/>
        <w:adjustRightInd w:val="0"/>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lang w:val="uk-UA"/>
        </w:rPr>
        <w:t xml:space="preserve">Також у хворих з ПК ПЗ визначали ступінь дисфункції органів </w:t>
      </w:r>
      <w:r w:rsidRPr="00C62D22">
        <w:rPr>
          <w:rFonts w:ascii="Times New Roman" w:hAnsi="Times New Roman" w:cs="Times New Roman"/>
          <w:sz w:val="28"/>
          <w:szCs w:val="28"/>
        </w:rPr>
        <w:t>SOFA</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Sequential</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Organ</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Failure</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Assessment</w:t>
      </w:r>
      <w:r w:rsidRPr="00C62D22">
        <w:rPr>
          <w:rFonts w:ascii="Times New Roman" w:hAnsi="Times New Roman" w:cs="Times New Roman"/>
          <w:sz w:val="28"/>
          <w:szCs w:val="28"/>
          <w:lang w:val="uk-UA"/>
        </w:rPr>
        <w:t xml:space="preserve">). Шкала </w:t>
      </w:r>
      <w:r w:rsidRPr="00C62D22">
        <w:rPr>
          <w:rFonts w:ascii="Times New Roman" w:hAnsi="Times New Roman" w:cs="Times New Roman"/>
          <w:sz w:val="28"/>
          <w:szCs w:val="28"/>
        </w:rPr>
        <w:t>SOFA</w:t>
      </w:r>
      <w:r w:rsidRPr="00C62D22">
        <w:rPr>
          <w:rFonts w:ascii="Times New Roman" w:hAnsi="Times New Roman" w:cs="Times New Roman"/>
          <w:sz w:val="28"/>
          <w:szCs w:val="28"/>
          <w:lang w:val="uk-UA"/>
        </w:rPr>
        <w:t xml:space="preserve"> заснована на оці</w:t>
      </w:r>
      <w:r w:rsidRPr="00C62D22">
        <w:rPr>
          <w:rFonts w:ascii="Times New Roman" w:hAnsi="Times New Roman" w:cs="Times New Roman"/>
          <w:sz w:val="28"/>
          <w:szCs w:val="28"/>
          <w:lang w:val="uk-UA"/>
        </w:rPr>
        <w:t>н</w:t>
      </w:r>
      <w:r w:rsidRPr="00C62D22">
        <w:rPr>
          <w:rFonts w:ascii="Times New Roman" w:hAnsi="Times New Roman" w:cs="Times New Roman"/>
          <w:sz w:val="28"/>
          <w:szCs w:val="28"/>
          <w:lang w:val="uk-UA"/>
        </w:rPr>
        <w:t>ці ступеня дисфункції 6 систем – дихання (показник РаО</w:t>
      </w:r>
      <w:r w:rsidRPr="00C62D22">
        <w:rPr>
          <w:rFonts w:ascii="Times New Roman" w:hAnsi="Times New Roman" w:cs="Times New Roman"/>
          <w:sz w:val="28"/>
          <w:szCs w:val="28"/>
          <w:vertAlign w:val="subscript"/>
          <w:lang w:val="uk-UA"/>
        </w:rPr>
        <w:t>2</w:t>
      </w:r>
      <w:r w:rsidRPr="00C62D22">
        <w:rPr>
          <w:rFonts w:ascii="Times New Roman" w:hAnsi="Times New Roman" w:cs="Times New Roman"/>
          <w:sz w:val="28"/>
          <w:szCs w:val="28"/>
          <w:lang w:val="uk-UA"/>
        </w:rPr>
        <w:t>/</w:t>
      </w:r>
      <w:r w:rsidRPr="00C62D22">
        <w:rPr>
          <w:rFonts w:ascii="Times New Roman" w:hAnsi="Times New Roman" w:cs="Times New Roman"/>
          <w:sz w:val="28"/>
          <w:szCs w:val="28"/>
        </w:rPr>
        <w:t>FiO</w:t>
      </w:r>
      <w:r w:rsidRPr="00C62D22">
        <w:rPr>
          <w:rFonts w:ascii="Times New Roman" w:hAnsi="Times New Roman" w:cs="Times New Roman"/>
          <w:sz w:val="28"/>
          <w:szCs w:val="28"/>
          <w:vertAlign w:val="subscript"/>
          <w:lang w:val="uk-UA"/>
        </w:rPr>
        <w:t>2</w:t>
      </w:r>
      <w:r w:rsidRPr="00C62D22">
        <w:rPr>
          <w:rFonts w:ascii="Times New Roman" w:hAnsi="Times New Roman" w:cs="Times New Roman"/>
          <w:sz w:val="28"/>
          <w:szCs w:val="28"/>
          <w:lang w:val="uk-UA"/>
        </w:rPr>
        <w:t>), нирок (кре</w:t>
      </w:r>
      <w:r w:rsidRPr="00C62D22">
        <w:rPr>
          <w:rFonts w:ascii="Times New Roman" w:hAnsi="Times New Roman" w:cs="Times New Roman"/>
          <w:sz w:val="28"/>
          <w:szCs w:val="28"/>
          <w:lang w:val="uk-UA"/>
        </w:rPr>
        <w:t>а</w:t>
      </w:r>
      <w:r w:rsidRPr="00C62D22">
        <w:rPr>
          <w:rFonts w:ascii="Times New Roman" w:hAnsi="Times New Roman" w:cs="Times New Roman"/>
          <w:sz w:val="28"/>
          <w:szCs w:val="28"/>
          <w:lang w:val="uk-UA"/>
        </w:rPr>
        <w:t>тинін, олігурія), печінки (білірубін), гемокоагуляції (тромбоцити), центральної нерв</w:t>
      </w:r>
      <w:r w:rsidRPr="00C62D22">
        <w:rPr>
          <w:rFonts w:ascii="Times New Roman" w:hAnsi="Times New Roman" w:cs="Times New Roman"/>
          <w:sz w:val="28"/>
          <w:szCs w:val="28"/>
          <w:lang w:val="uk-UA"/>
        </w:rPr>
        <w:t>о</w:t>
      </w:r>
      <w:r w:rsidRPr="00C62D22">
        <w:rPr>
          <w:rFonts w:ascii="Times New Roman" w:hAnsi="Times New Roman" w:cs="Times New Roman"/>
          <w:sz w:val="28"/>
          <w:szCs w:val="28"/>
          <w:lang w:val="uk-UA"/>
        </w:rPr>
        <w:t xml:space="preserve">вої системи (ЦНС) (показник за шкалою </w:t>
      </w:r>
      <w:r w:rsidRPr="00C62D22">
        <w:rPr>
          <w:rFonts w:ascii="Times New Roman" w:hAnsi="Times New Roman" w:cs="Times New Roman"/>
          <w:sz w:val="28"/>
          <w:szCs w:val="28"/>
        </w:rPr>
        <w:t>Glasgow</w:t>
      </w:r>
      <w:r w:rsidRPr="00C62D22">
        <w:rPr>
          <w:rFonts w:ascii="Times New Roman" w:hAnsi="Times New Roman" w:cs="Times New Roman"/>
          <w:sz w:val="28"/>
          <w:szCs w:val="28"/>
          <w:lang w:val="uk-UA"/>
        </w:rPr>
        <w:t xml:space="preserve">), серцево-судинної системи (ССС) (гіпотензія або ступінь ізотропної підтримки). </w:t>
      </w:r>
      <w:r w:rsidRPr="00C62D22">
        <w:rPr>
          <w:rFonts w:ascii="Times New Roman" w:hAnsi="Times New Roman" w:cs="Times New Roman"/>
          <w:sz w:val="28"/>
          <w:szCs w:val="28"/>
        </w:rPr>
        <w:t>Шк</w:t>
      </w:r>
      <w:r w:rsidRPr="00C62D22">
        <w:rPr>
          <w:rFonts w:ascii="Times New Roman" w:hAnsi="Times New Roman" w:cs="Times New Roman"/>
          <w:sz w:val="28"/>
          <w:szCs w:val="28"/>
        </w:rPr>
        <w:t>а</w:t>
      </w:r>
      <w:r w:rsidRPr="00C62D22">
        <w:rPr>
          <w:rFonts w:ascii="Times New Roman" w:hAnsi="Times New Roman" w:cs="Times New Roman"/>
          <w:sz w:val="28"/>
          <w:szCs w:val="28"/>
        </w:rPr>
        <w:t>ла SOFA дозволяла визначати в кількісному вираженні тяжкість органно-системних порушень. При показнику SOFA до 3 дисфункції органа не відм</w:t>
      </w:r>
      <w:r w:rsidRPr="00C62D22">
        <w:rPr>
          <w:rFonts w:ascii="Times New Roman" w:hAnsi="Times New Roman" w:cs="Times New Roman"/>
          <w:sz w:val="28"/>
          <w:szCs w:val="28"/>
        </w:rPr>
        <w:t>і</w:t>
      </w:r>
      <w:r w:rsidRPr="00C62D22">
        <w:rPr>
          <w:rFonts w:ascii="Times New Roman" w:hAnsi="Times New Roman" w:cs="Times New Roman"/>
          <w:sz w:val="28"/>
          <w:szCs w:val="28"/>
        </w:rPr>
        <w:t>чалося, при SOFA від 3 до 8 (прогнозована летальність 22,5%), дисфункцію органа вважали помірною, тоді як при показниках SOFA 8 або більше, ди</w:t>
      </w:r>
      <w:r w:rsidRPr="00C62D22">
        <w:rPr>
          <w:rFonts w:ascii="Times New Roman" w:hAnsi="Times New Roman" w:cs="Times New Roman"/>
          <w:sz w:val="28"/>
          <w:szCs w:val="28"/>
        </w:rPr>
        <w:t>с</w:t>
      </w:r>
      <w:r w:rsidRPr="00C62D22">
        <w:rPr>
          <w:rFonts w:ascii="Times New Roman" w:hAnsi="Times New Roman" w:cs="Times New Roman"/>
          <w:sz w:val="28"/>
          <w:szCs w:val="28"/>
        </w:rPr>
        <w:t>функцію органа вважали важкою. Розрахунок показників здійснювали за допомогою автоматичного розрахунку на сайті ClinCalc.com.</w:t>
      </w:r>
    </w:p>
    <w:p w:rsidR="0021764E" w:rsidRPr="00C62D22" w:rsidRDefault="0021764E" w:rsidP="0021764E">
      <w:pPr>
        <w:autoSpaceDE w:val="0"/>
        <w:autoSpaceDN w:val="0"/>
        <w:adjustRightInd w:val="0"/>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З метою оцінки системних розладів усі пацієнти були розподілені згідно градації, що запропонована American Society of Anesthesiologists – ASA (Saklad M., 1941 р.; Keats A.S., 1978 р.). Основним класифікаційним критер</w:t>
      </w:r>
      <w:r w:rsidRPr="00C62D22">
        <w:rPr>
          <w:rFonts w:ascii="Times New Roman" w:hAnsi="Times New Roman" w:cs="Times New Roman"/>
          <w:sz w:val="28"/>
          <w:szCs w:val="28"/>
        </w:rPr>
        <w:t>і</w:t>
      </w:r>
      <w:r w:rsidRPr="00C62D22">
        <w:rPr>
          <w:rFonts w:ascii="Times New Roman" w:hAnsi="Times New Roman" w:cs="Times New Roman"/>
          <w:sz w:val="28"/>
          <w:szCs w:val="28"/>
        </w:rPr>
        <w:t>єм цієї шкали є вираз супутньої системної патології, залежно від якої пацієнти розподіл</w:t>
      </w:r>
      <w:r w:rsidRPr="00C62D22">
        <w:rPr>
          <w:rFonts w:ascii="Times New Roman" w:hAnsi="Times New Roman" w:cs="Times New Roman"/>
          <w:sz w:val="28"/>
          <w:szCs w:val="28"/>
        </w:rPr>
        <w:t>я</w:t>
      </w:r>
      <w:r w:rsidRPr="00C62D22">
        <w:rPr>
          <w:rFonts w:ascii="Times New Roman" w:hAnsi="Times New Roman" w:cs="Times New Roman"/>
          <w:sz w:val="28"/>
          <w:szCs w:val="28"/>
        </w:rPr>
        <w:t>лися на 5 градацій: здорові (ASA I), помірного/середнього (ASA II), високого (ASA III), дуже високого ризику (ASA IV) та вмираючі (ASA V). Критерії кл</w:t>
      </w:r>
      <w:r w:rsidRPr="00C62D22">
        <w:rPr>
          <w:rFonts w:ascii="Times New Roman" w:hAnsi="Times New Roman" w:cs="Times New Roman"/>
          <w:sz w:val="28"/>
          <w:szCs w:val="28"/>
        </w:rPr>
        <w:t>а</w:t>
      </w:r>
      <w:r w:rsidRPr="00C62D22">
        <w:rPr>
          <w:rFonts w:ascii="Times New Roman" w:hAnsi="Times New Roman" w:cs="Times New Roman"/>
          <w:sz w:val="28"/>
          <w:szCs w:val="28"/>
        </w:rPr>
        <w:t>сифікації фізичного стану пацієнта ASA наведені в табл. 2.2.</w:t>
      </w:r>
    </w:p>
    <w:p w:rsidR="0021764E" w:rsidRPr="00C62D22" w:rsidRDefault="0021764E" w:rsidP="0021764E">
      <w:pPr>
        <w:autoSpaceDE w:val="0"/>
        <w:autoSpaceDN w:val="0"/>
        <w:adjustRightInd w:val="0"/>
        <w:spacing w:after="0" w:line="360" w:lineRule="auto"/>
        <w:ind w:firstLine="709"/>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ind w:firstLine="709"/>
        <w:jc w:val="right"/>
        <w:rPr>
          <w:rFonts w:ascii="Times New Roman" w:hAnsi="Times New Roman" w:cs="Times New Roman"/>
          <w:i/>
          <w:sz w:val="28"/>
          <w:szCs w:val="28"/>
        </w:rPr>
      </w:pPr>
      <w:r w:rsidRPr="00C62D22">
        <w:rPr>
          <w:rFonts w:ascii="Times New Roman" w:hAnsi="Times New Roman" w:cs="Times New Roman"/>
          <w:i/>
          <w:sz w:val="28"/>
          <w:szCs w:val="28"/>
        </w:rPr>
        <w:t>Таблиця 2.2</w:t>
      </w:r>
    </w:p>
    <w:p w:rsidR="0021764E" w:rsidRPr="00C62D22" w:rsidRDefault="0021764E" w:rsidP="0021764E">
      <w:pPr>
        <w:pStyle w:val="a5"/>
        <w:shd w:val="clear" w:color="auto" w:fill="FFFFFF"/>
        <w:spacing w:before="0" w:beforeAutospacing="0" w:after="0" w:afterAutospacing="0" w:line="360" w:lineRule="auto"/>
        <w:ind w:right="225"/>
        <w:jc w:val="center"/>
        <w:outlineLvl w:val="0"/>
        <w:rPr>
          <w:b/>
          <w:sz w:val="28"/>
          <w:szCs w:val="28"/>
          <w:lang w:val="uk-UA"/>
        </w:rPr>
      </w:pPr>
      <w:r w:rsidRPr="00C62D22">
        <w:rPr>
          <w:b/>
          <w:sz w:val="28"/>
          <w:szCs w:val="28"/>
          <w:lang w:val="uk-UA"/>
        </w:rPr>
        <w:t>Класифікація фізичного стану пацієнта ASA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2700"/>
        <w:gridCol w:w="5886"/>
      </w:tblGrid>
      <w:tr w:rsidR="0021764E" w:rsidRPr="00C62D22" w:rsidTr="006E5FD4">
        <w:tc>
          <w:tcPr>
            <w:tcW w:w="1620" w:type="dxa"/>
          </w:tcPr>
          <w:p w:rsidR="0021764E" w:rsidRPr="00C62D22" w:rsidRDefault="0021764E" w:rsidP="006E5FD4">
            <w:pPr>
              <w:pStyle w:val="a5"/>
              <w:spacing w:before="0" w:beforeAutospacing="0" w:after="0" w:afterAutospacing="0" w:line="360" w:lineRule="auto"/>
              <w:ind w:right="-1"/>
              <w:jc w:val="both"/>
              <w:rPr>
                <w:sz w:val="28"/>
                <w:szCs w:val="28"/>
                <w:lang w:val="uk-UA"/>
              </w:rPr>
            </w:pPr>
            <w:r w:rsidRPr="00C62D22">
              <w:rPr>
                <w:sz w:val="28"/>
                <w:szCs w:val="28"/>
                <w:lang w:val="uk-UA"/>
              </w:rPr>
              <w:t>Шкала ASA</w:t>
            </w:r>
          </w:p>
        </w:tc>
        <w:tc>
          <w:tcPr>
            <w:tcW w:w="2700" w:type="dxa"/>
          </w:tcPr>
          <w:p w:rsidR="0021764E" w:rsidRPr="00C62D22" w:rsidRDefault="0021764E" w:rsidP="006E5FD4">
            <w:pPr>
              <w:pStyle w:val="a5"/>
              <w:spacing w:before="0" w:beforeAutospacing="0" w:after="0" w:afterAutospacing="0" w:line="360" w:lineRule="auto"/>
              <w:ind w:right="-1" w:firstLine="708"/>
              <w:rPr>
                <w:sz w:val="28"/>
                <w:szCs w:val="28"/>
                <w:lang w:val="uk-UA"/>
              </w:rPr>
            </w:pPr>
            <w:r w:rsidRPr="00C62D22">
              <w:rPr>
                <w:sz w:val="28"/>
                <w:szCs w:val="28"/>
                <w:lang w:val="uk-UA"/>
              </w:rPr>
              <w:t>Ризик</w:t>
            </w:r>
          </w:p>
        </w:tc>
        <w:tc>
          <w:tcPr>
            <w:tcW w:w="5886" w:type="dxa"/>
          </w:tcPr>
          <w:p w:rsidR="0021764E" w:rsidRPr="00C62D22" w:rsidRDefault="0021764E" w:rsidP="006E5FD4">
            <w:pPr>
              <w:pStyle w:val="a5"/>
              <w:spacing w:before="0" w:beforeAutospacing="0" w:after="0" w:afterAutospacing="0" w:line="360" w:lineRule="auto"/>
              <w:ind w:right="-1"/>
              <w:jc w:val="center"/>
              <w:rPr>
                <w:sz w:val="28"/>
                <w:szCs w:val="28"/>
                <w:lang w:val="uk-UA"/>
              </w:rPr>
            </w:pPr>
            <w:r w:rsidRPr="00C62D22">
              <w:rPr>
                <w:sz w:val="28"/>
                <w:szCs w:val="28"/>
                <w:lang w:val="uk-UA"/>
              </w:rPr>
              <w:t>Стан хворого</w:t>
            </w:r>
          </w:p>
        </w:tc>
      </w:tr>
      <w:tr w:rsidR="0021764E" w:rsidRPr="00C62D22" w:rsidTr="006E5FD4">
        <w:trPr>
          <w:trHeight w:val="783"/>
        </w:trPr>
        <w:tc>
          <w:tcPr>
            <w:tcW w:w="1620" w:type="dxa"/>
          </w:tcPr>
          <w:p w:rsidR="0021764E" w:rsidRPr="00C62D22" w:rsidRDefault="0021764E" w:rsidP="006E5FD4">
            <w:pPr>
              <w:pStyle w:val="a5"/>
              <w:spacing w:before="0" w:beforeAutospacing="0" w:after="0" w:afterAutospacing="0" w:line="360" w:lineRule="auto"/>
              <w:ind w:right="-1"/>
              <w:jc w:val="both"/>
              <w:rPr>
                <w:sz w:val="28"/>
                <w:szCs w:val="28"/>
                <w:lang w:val="uk-UA"/>
              </w:rPr>
            </w:pPr>
            <w:r w:rsidRPr="00C62D22">
              <w:rPr>
                <w:sz w:val="28"/>
                <w:szCs w:val="28"/>
                <w:lang w:val="uk-UA"/>
              </w:rPr>
              <w:t>ASA І</w:t>
            </w:r>
          </w:p>
        </w:tc>
        <w:tc>
          <w:tcPr>
            <w:tcW w:w="2700" w:type="dxa"/>
          </w:tcPr>
          <w:p w:rsidR="0021764E" w:rsidRPr="00C62D22" w:rsidRDefault="0021764E" w:rsidP="006E5FD4">
            <w:pPr>
              <w:pStyle w:val="a5"/>
              <w:spacing w:before="0" w:beforeAutospacing="0" w:after="0" w:afterAutospacing="0" w:line="360" w:lineRule="auto"/>
              <w:ind w:right="-1"/>
              <w:jc w:val="center"/>
              <w:rPr>
                <w:sz w:val="28"/>
                <w:szCs w:val="28"/>
                <w:lang w:val="uk-UA"/>
              </w:rPr>
            </w:pPr>
            <w:r w:rsidRPr="00C62D22">
              <w:rPr>
                <w:sz w:val="28"/>
                <w:szCs w:val="28"/>
                <w:lang w:val="uk-UA"/>
              </w:rPr>
              <w:t>Здоровий</w:t>
            </w:r>
          </w:p>
        </w:tc>
        <w:tc>
          <w:tcPr>
            <w:tcW w:w="5886" w:type="dxa"/>
          </w:tcPr>
          <w:p w:rsidR="0021764E" w:rsidRPr="00C62D22" w:rsidRDefault="0021764E" w:rsidP="006E5FD4">
            <w:pPr>
              <w:pStyle w:val="a5"/>
              <w:spacing w:before="0" w:beforeAutospacing="0" w:after="0" w:afterAutospacing="0" w:line="360" w:lineRule="auto"/>
              <w:ind w:right="-1"/>
              <w:jc w:val="both"/>
              <w:rPr>
                <w:sz w:val="28"/>
                <w:szCs w:val="28"/>
                <w:lang w:val="uk-UA"/>
              </w:rPr>
            </w:pPr>
            <w:r w:rsidRPr="00C62D22">
              <w:rPr>
                <w:sz w:val="28"/>
                <w:szCs w:val="28"/>
                <w:lang w:val="uk-UA"/>
              </w:rPr>
              <w:t>Відсутність органічних, фізіологічних, біох</w:t>
            </w:r>
            <w:r w:rsidRPr="00C62D22">
              <w:rPr>
                <w:sz w:val="28"/>
                <w:szCs w:val="28"/>
                <w:lang w:val="uk-UA"/>
              </w:rPr>
              <w:t>і</w:t>
            </w:r>
            <w:r w:rsidRPr="00C62D22">
              <w:rPr>
                <w:sz w:val="28"/>
                <w:szCs w:val="28"/>
                <w:lang w:val="uk-UA"/>
              </w:rPr>
              <w:t>мічних та психічних розладів</w:t>
            </w:r>
          </w:p>
        </w:tc>
      </w:tr>
    </w:tbl>
    <w:p w:rsidR="0021764E" w:rsidRPr="00C62D22" w:rsidRDefault="0021764E" w:rsidP="0021764E">
      <w:pPr>
        <w:widowControl w:val="0"/>
        <w:spacing w:after="0" w:line="360" w:lineRule="auto"/>
        <w:ind w:right="-1"/>
        <w:jc w:val="both"/>
        <w:rPr>
          <w:rFonts w:ascii="Times New Roman" w:hAnsi="Times New Roman" w:cs="Times New Roman"/>
          <w:i/>
          <w:sz w:val="28"/>
          <w:szCs w:val="28"/>
          <w:lang w:val="uk-UA"/>
        </w:rPr>
      </w:pPr>
    </w:p>
    <w:p w:rsidR="0021764E" w:rsidRPr="00C62D22" w:rsidRDefault="0021764E" w:rsidP="0021764E">
      <w:pPr>
        <w:widowControl w:val="0"/>
        <w:spacing w:after="0" w:line="360" w:lineRule="auto"/>
        <w:ind w:right="-1"/>
        <w:jc w:val="right"/>
        <w:rPr>
          <w:rFonts w:ascii="Times New Roman" w:hAnsi="Times New Roman" w:cs="Times New Roman"/>
          <w:i/>
          <w:sz w:val="28"/>
          <w:szCs w:val="28"/>
          <w:lang w:bidi="ar-OM"/>
        </w:rPr>
      </w:pPr>
      <w:r w:rsidRPr="00C62D22">
        <w:rPr>
          <w:rFonts w:ascii="Times New Roman" w:hAnsi="Times New Roman" w:cs="Times New Roman"/>
          <w:i/>
          <w:sz w:val="28"/>
          <w:szCs w:val="28"/>
          <w:lang w:bidi="ar-OM"/>
        </w:rPr>
        <w:lastRenderedPageBreak/>
        <w:t>Продовження табл. 2.2</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620"/>
        <w:gridCol w:w="2700"/>
        <w:gridCol w:w="5886"/>
      </w:tblGrid>
      <w:tr w:rsidR="0021764E" w:rsidRPr="00C62D22" w:rsidTr="006E5FD4">
        <w:tc>
          <w:tcPr>
            <w:tcW w:w="1620" w:type="dxa"/>
          </w:tcPr>
          <w:p w:rsidR="0021764E" w:rsidRPr="00C62D22" w:rsidRDefault="0021764E" w:rsidP="006E5FD4">
            <w:pPr>
              <w:pStyle w:val="a5"/>
              <w:spacing w:before="0" w:beforeAutospacing="0" w:after="0" w:afterAutospacing="0" w:line="360" w:lineRule="auto"/>
              <w:ind w:right="-1"/>
              <w:rPr>
                <w:sz w:val="28"/>
                <w:szCs w:val="28"/>
                <w:lang w:val="uk-UA"/>
              </w:rPr>
            </w:pPr>
            <w:r w:rsidRPr="00C62D22">
              <w:rPr>
                <w:sz w:val="28"/>
                <w:szCs w:val="28"/>
                <w:lang w:val="uk-UA"/>
              </w:rPr>
              <w:t>ASA ІІ</w:t>
            </w:r>
          </w:p>
        </w:tc>
        <w:tc>
          <w:tcPr>
            <w:tcW w:w="2700" w:type="dxa"/>
          </w:tcPr>
          <w:p w:rsidR="0021764E" w:rsidRPr="00C62D22" w:rsidRDefault="0021764E" w:rsidP="006E5FD4">
            <w:pPr>
              <w:pStyle w:val="a5"/>
              <w:spacing w:before="0" w:beforeAutospacing="0" w:after="0" w:afterAutospacing="0" w:line="360" w:lineRule="auto"/>
              <w:ind w:right="-1"/>
              <w:jc w:val="center"/>
              <w:rPr>
                <w:sz w:val="28"/>
                <w:szCs w:val="28"/>
                <w:lang w:val="uk-UA"/>
              </w:rPr>
            </w:pPr>
            <w:r w:rsidRPr="00C62D22">
              <w:rPr>
                <w:sz w:val="28"/>
                <w:szCs w:val="28"/>
                <w:lang w:val="uk-UA"/>
              </w:rPr>
              <w:t>Помірний р</w:t>
            </w:r>
            <w:r w:rsidRPr="00C62D22">
              <w:rPr>
                <w:sz w:val="28"/>
                <w:szCs w:val="28"/>
                <w:lang w:val="uk-UA"/>
              </w:rPr>
              <w:t>и</w:t>
            </w:r>
            <w:r w:rsidRPr="00C62D22">
              <w:rPr>
                <w:sz w:val="28"/>
                <w:szCs w:val="28"/>
                <w:lang w:val="uk-UA"/>
              </w:rPr>
              <w:t>зик</w:t>
            </w:r>
          </w:p>
        </w:tc>
        <w:tc>
          <w:tcPr>
            <w:tcW w:w="5886" w:type="dxa"/>
          </w:tcPr>
          <w:p w:rsidR="0021764E" w:rsidRPr="00C62D22" w:rsidRDefault="0021764E" w:rsidP="006E5FD4">
            <w:pPr>
              <w:pStyle w:val="a5"/>
              <w:shd w:val="clear" w:color="auto" w:fill="FFFFFF"/>
              <w:spacing w:before="0" w:beforeAutospacing="0" w:after="0" w:afterAutospacing="0" w:line="360" w:lineRule="auto"/>
              <w:ind w:right="-1"/>
              <w:jc w:val="both"/>
              <w:rPr>
                <w:sz w:val="28"/>
                <w:szCs w:val="28"/>
                <w:lang w:val="uk-UA"/>
              </w:rPr>
            </w:pPr>
            <w:r w:rsidRPr="00C62D22">
              <w:rPr>
                <w:sz w:val="28"/>
                <w:szCs w:val="28"/>
                <w:lang w:val="uk-UA"/>
              </w:rPr>
              <w:t>Легкі та помірні системні розлади, які не можуть бути пов’язані з хірургічним втр</w:t>
            </w:r>
            <w:r w:rsidRPr="00C62D22">
              <w:rPr>
                <w:sz w:val="28"/>
                <w:szCs w:val="28"/>
                <w:lang w:val="uk-UA"/>
              </w:rPr>
              <w:t>у</w:t>
            </w:r>
            <w:r w:rsidRPr="00C62D22">
              <w:rPr>
                <w:sz w:val="28"/>
                <w:szCs w:val="28"/>
                <w:lang w:val="uk-UA"/>
              </w:rPr>
              <w:t xml:space="preserve">чанням </w:t>
            </w:r>
          </w:p>
        </w:tc>
      </w:tr>
      <w:tr w:rsidR="0021764E" w:rsidRPr="00C62D22" w:rsidTr="006E5FD4">
        <w:tc>
          <w:tcPr>
            <w:tcW w:w="1620" w:type="dxa"/>
          </w:tcPr>
          <w:p w:rsidR="0021764E" w:rsidRPr="00C62D22" w:rsidRDefault="0021764E" w:rsidP="006E5FD4">
            <w:pPr>
              <w:pStyle w:val="a5"/>
              <w:spacing w:before="0" w:beforeAutospacing="0" w:after="0" w:afterAutospacing="0" w:line="360" w:lineRule="auto"/>
              <w:ind w:right="-1"/>
              <w:rPr>
                <w:sz w:val="28"/>
                <w:szCs w:val="28"/>
                <w:lang w:val="uk-UA"/>
              </w:rPr>
            </w:pPr>
            <w:r w:rsidRPr="00C62D22">
              <w:rPr>
                <w:sz w:val="28"/>
                <w:szCs w:val="28"/>
                <w:lang w:val="uk-UA"/>
              </w:rPr>
              <w:t>ASA ІІІ</w:t>
            </w:r>
          </w:p>
        </w:tc>
        <w:tc>
          <w:tcPr>
            <w:tcW w:w="2700" w:type="dxa"/>
          </w:tcPr>
          <w:p w:rsidR="0021764E" w:rsidRPr="00C62D22" w:rsidRDefault="0021764E" w:rsidP="006E5FD4">
            <w:pPr>
              <w:pStyle w:val="a5"/>
              <w:spacing w:before="0" w:beforeAutospacing="0" w:after="0" w:afterAutospacing="0" w:line="360" w:lineRule="auto"/>
              <w:ind w:right="-1"/>
              <w:jc w:val="center"/>
              <w:rPr>
                <w:sz w:val="28"/>
                <w:szCs w:val="28"/>
                <w:lang w:val="uk-UA"/>
              </w:rPr>
            </w:pPr>
            <w:r w:rsidRPr="00C62D22">
              <w:rPr>
                <w:sz w:val="28"/>
                <w:szCs w:val="28"/>
                <w:lang w:val="uk-UA"/>
              </w:rPr>
              <w:t>Високий ризик</w:t>
            </w:r>
          </w:p>
        </w:tc>
        <w:tc>
          <w:tcPr>
            <w:tcW w:w="5886" w:type="dxa"/>
          </w:tcPr>
          <w:p w:rsidR="0021764E" w:rsidRPr="00C62D22" w:rsidRDefault="0021764E" w:rsidP="006E5FD4">
            <w:pPr>
              <w:pStyle w:val="a5"/>
              <w:shd w:val="clear" w:color="auto" w:fill="FFFFFF"/>
              <w:spacing w:before="0" w:beforeAutospacing="0" w:after="0" w:afterAutospacing="0" w:line="360" w:lineRule="auto"/>
              <w:ind w:right="-1"/>
              <w:jc w:val="both"/>
              <w:rPr>
                <w:sz w:val="28"/>
                <w:szCs w:val="28"/>
                <w:lang w:val="uk-UA"/>
              </w:rPr>
            </w:pPr>
            <w:r w:rsidRPr="00C62D22">
              <w:rPr>
                <w:sz w:val="28"/>
                <w:szCs w:val="28"/>
                <w:lang w:val="uk-UA"/>
              </w:rPr>
              <w:t xml:space="preserve">Тяжкі системні розлади, які пов’язані або не пов’язані з причиною хірургічного втручання </w:t>
            </w:r>
          </w:p>
        </w:tc>
      </w:tr>
      <w:tr w:rsidR="0021764E" w:rsidRPr="00C62D22" w:rsidTr="006E5FD4">
        <w:tc>
          <w:tcPr>
            <w:tcW w:w="1620" w:type="dxa"/>
          </w:tcPr>
          <w:p w:rsidR="0021764E" w:rsidRPr="00C62D22" w:rsidRDefault="0021764E" w:rsidP="006E5FD4">
            <w:pPr>
              <w:pStyle w:val="a5"/>
              <w:spacing w:before="0" w:beforeAutospacing="0" w:after="0" w:afterAutospacing="0" w:line="360" w:lineRule="auto"/>
              <w:ind w:right="-1"/>
              <w:rPr>
                <w:sz w:val="28"/>
                <w:szCs w:val="28"/>
                <w:lang w:val="uk-UA"/>
              </w:rPr>
            </w:pPr>
            <w:r w:rsidRPr="00C62D22">
              <w:rPr>
                <w:sz w:val="28"/>
                <w:szCs w:val="28"/>
                <w:lang w:val="uk-UA"/>
              </w:rPr>
              <w:t>АSA ІV</w:t>
            </w:r>
          </w:p>
        </w:tc>
        <w:tc>
          <w:tcPr>
            <w:tcW w:w="2700" w:type="dxa"/>
          </w:tcPr>
          <w:p w:rsidR="0021764E" w:rsidRPr="00C62D22" w:rsidRDefault="0021764E" w:rsidP="006E5FD4">
            <w:pPr>
              <w:pStyle w:val="a5"/>
              <w:spacing w:before="0" w:beforeAutospacing="0" w:after="0" w:afterAutospacing="0" w:line="360" w:lineRule="auto"/>
              <w:ind w:right="-1"/>
              <w:jc w:val="center"/>
              <w:rPr>
                <w:sz w:val="28"/>
                <w:szCs w:val="28"/>
                <w:lang w:val="uk-UA"/>
              </w:rPr>
            </w:pPr>
            <w:r w:rsidRPr="00C62D22">
              <w:rPr>
                <w:sz w:val="28"/>
                <w:szCs w:val="28"/>
                <w:lang w:val="uk-UA"/>
              </w:rPr>
              <w:t>Дуже високий ризик</w:t>
            </w:r>
          </w:p>
        </w:tc>
        <w:tc>
          <w:tcPr>
            <w:tcW w:w="5886" w:type="dxa"/>
          </w:tcPr>
          <w:p w:rsidR="0021764E" w:rsidRPr="00C62D22" w:rsidRDefault="0021764E" w:rsidP="006E5FD4">
            <w:pPr>
              <w:pStyle w:val="a5"/>
              <w:spacing w:before="0" w:beforeAutospacing="0" w:after="0" w:afterAutospacing="0" w:line="360" w:lineRule="auto"/>
              <w:ind w:right="-1"/>
              <w:jc w:val="both"/>
              <w:rPr>
                <w:sz w:val="28"/>
                <w:szCs w:val="28"/>
                <w:lang w:val="uk-UA"/>
              </w:rPr>
            </w:pPr>
            <w:r w:rsidRPr="00C62D22">
              <w:rPr>
                <w:sz w:val="28"/>
                <w:szCs w:val="28"/>
                <w:lang w:val="uk-UA"/>
              </w:rPr>
              <w:t>Тяжкі системні некомпенсовані розлади, які являють постійну загрозу для життя</w:t>
            </w:r>
          </w:p>
        </w:tc>
      </w:tr>
      <w:tr w:rsidR="0021764E" w:rsidRPr="00C62D22" w:rsidTr="006E5FD4">
        <w:trPr>
          <w:trHeight w:val="1284"/>
        </w:trPr>
        <w:tc>
          <w:tcPr>
            <w:tcW w:w="1620" w:type="dxa"/>
          </w:tcPr>
          <w:p w:rsidR="0021764E" w:rsidRPr="00C62D22" w:rsidRDefault="0021764E" w:rsidP="006E5FD4">
            <w:pPr>
              <w:pStyle w:val="a5"/>
              <w:spacing w:before="0" w:beforeAutospacing="0" w:after="0" w:afterAutospacing="0" w:line="360" w:lineRule="auto"/>
              <w:ind w:right="-1"/>
              <w:rPr>
                <w:sz w:val="28"/>
                <w:szCs w:val="28"/>
                <w:lang w:val="uk-UA"/>
              </w:rPr>
            </w:pPr>
            <w:r w:rsidRPr="00C62D22">
              <w:rPr>
                <w:sz w:val="28"/>
                <w:szCs w:val="28"/>
                <w:lang w:val="uk-UA"/>
              </w:rPr>
              <w:t>ASA V</w:t>
            </w:r>
          </w:p>
        </w:tc>
        <w:tc>
          <w:tcPr>
            <w:tcW w:w="2700" w:type="dxa"/>
          </w:tcPr>
          <w:p w:rsidR="0021764E" w:rsidRPr="00C62D22" w:rsidRDefault="0021764E" w:rsidP="006E5FD4">
            <w:pPr>
              <w:pStyle w:val="a5"/>
              <w:spacing w:before="0" w:beforeAutospacing="0" w:after="0" w:afterAutospacing="0" w:line="360" w:lineRule="auto"/>
              <w:ind w:right="-1"/>
              <w:jc w:val="center"/>
              <w:rPr>
                <w:sz w:val="28"/>
                <w:szCs w:val="28"/>
                <w:lang w:val="uk-UA"/>
              </w:rPr>
            </w:pPr>
            <w:r w:rsidRPr="00C62D22">
              <w:rPr>
                <w:sz w:val="28"/>
                <w:szCs w:val="28"/>
                <w:lang w:val="uk-UA"/>
              </w:rPr>
              <w:t>Вмираючі</w:t>
            </w:r>
          </w:p>
        </w:tc>
        <w:tc>
          <w:tcPr>
            <w:tcW w:w="5886" w:type="dxa"/>
          </w:tcPr>
          <w:p w:rsidR="0021764E" w:rsidRPr="00C62D22" w:rsidRDefault="0021764E" w:rsidP="006E5FD4">
            <w:pPr>
              <w:pStyle w:val="a5"/>
              <w:spacing w:before="0" w:beforeAutospacing="0" w:after="0" w:afterAutospacing="0" w:line="360" w:lineRule="auto"/>
              <w:ind w:right="-1"/>
              <w:jc w:val="both"/>
              <w:rPr>
                <w:sz w:val="28"/>
                <w:szCs w:val="28"/>
                <w:lang w:val="uk-UA"/>
              </w:rPr>
            </w:pPr>
            <w:r w:rsidRPr="00C62D22">
              <w:rPr>
                <w:sz w:val="28"/>
                <w:szCs w:val="28"/>
                <w:lang w:val="uk-UA"/>
              </w:rPr>
              <w:t>Умираючий пацієнт, смерть якого очікується упродовж 24 годин незалежно від проведе</w:t>
            </w:r>
            <w:r w:rsidRPr="00C62D22">
              <w:rPr>
                <w:sz w:val="28"/>
                <w:szCs w:val="28"/>
                <w:lang w:val="uk-UA"/>
              </w:rPr>
              <w:t>н</w:t>
            </w:r>
            <w:r w:rsidRPr="00C62D22">
              <w:rPr>
                <w:sz w:val="28"/>
                <w:szCs w:val="28"/>
                <w:lang w:val="uk-UA"/>
              </w:rPr>
              <w:t>ня хірургічного втручання</w:t>
            </w:r>
          </w:p>
        </w:tc>
      </w:tr>
      <w:tr w:rsidR="0021764E" w:rsidRPr="00C62D22" w:rsidTr="006E5FD4">
        <w:trPr>
          <w:trHeight w:val="810"/>
        </w:trPr>
        <w:tc>
          <w:tcPr>
            <w:tcW w:w="1620" w:type="dxa"/>
          </w:tcPr>
          <w:p w:rsidR="0021764E" w:rsidRPr="00C62D22" w:rsidRDefault="0021764E" w:rsidP="006E5FD4">
            <w:pPr>
              <w:pStyle w:val="a5"/>
              <w:spacing w:before="0" w:beforeAutospacing="0" w:after="0" w:afterAutospacing="0" w:line="360" w:lineRule="auto"/>
              <w:ind w:right="-1"/>
              <w:rPr>
                <w:sz w:val="28"/>
                <w:szCs w:val="28"/>
                <w:lang w:val="uk-UA"/>
              </w:rPr>
            </w:pPr>
            <w:r w:rsidRPr="00C62D22">
              <w:rPr>
                <w:sz w:val="28"/>
                <w:szCs w:val="28"/>
                <w:lang w:val="uk-UA"/>
              </w:rPr>
              <w:t>Е</w:t>
            </w:r>
          </w:p>
        </w:tc>
        <w:tc>
          <w:tcPr>
            <w:tcW w:w="2700" w:type="dxa"/>
          </w:tcPr>
          <w:p w:rsidR="0021764E" w:rsidRPr="00C62D22" w:rsidRDefault="0021764E" w:rsidP="006E5FD4">
            <w:pPr>
              <w:pStyle w:val="a5"/>
              <w:spacing w:before="0" w:beforeAutospacing="0" w:after="0" w:afterAutospacing="0" w:line="360" w:lineRule="auto"/>
              <w:ind w:right="-1"/>
              <w:jc w:val="center"/>
              <w:rPr>
                <w:sz w:val="28"/>
                <w:szCs w:val="28"/>
                <w:lang w:val="uk-UA"/>
              </w:rPr>
            </w:pPr>
            <w:r w:rsidRPr="00C62D22">
              <w:rPr>
                <w:sz w:val="28"/>
                <w:szCs w:val="28"/>
                <w:lang w:val="uk-UA"/>
              </w:rPr>
              <w:t>Екстрені вип</w:t>
            </w:r>
            <w:r w:rsidRPr="00C62D22">
              <w:rPr>
                <w:sz w:val="28"/>
                <w:szCs w:val="28"/>
                <w:lang w:val="uk-UA"/>
              </w:rPr>
              <w:t>а</w:t>
            </w:r>
            <w:r w:rsidRPr="00C62D22">
              <w:rPr>
                <w:sz w:val="28"/>
                <w:szCs w:val="28"/>
                <w:lang w:val="uk-UA"/>
              </w:rPr>
              <w:t xml:space="preserve">дки </w:t>
            </w:r>
          </w:p>
        </w:tc>
        <w:tc>
          <w:tcPr>
            <w:tcW w:w="5886" w:type="dxa"/>
          </w:tcPr>
          <w:p w:rsidR="0021764E" w:rsidRPr="00C62D22" w:rsidRDefault="0021764E" w:rsidP="006E5FD4">
            <w:pPr>
              <w:pStyle w:val="a5"/>
              <w:spacing w:before="0" w:beforeAutospacing="0" w:after="0" w:afterAutospacing="0" w:line="360" w:lineRule="auto"/>
              <w:ind w:right="-1"/>
              <w:jc w:val="both"/>
              <w:rPr>
                <w:sz w:val="28"/>
                <w:szCs w:val="28"/>
                <w:lang w:val="uk-UA"/>
              </w:rPr>
            </w:pPr>
          </w:p>
        </w:tc>
      </w:tr>
    </w:tbl>
    <w:p w:rsidR="0021764E" w:rsidRPr="00C62D22" w:rsidRDefault="0021764E" w:rsidP="0021764E">
      <w:pPr>
        <w:widowControl w:val="0"/>
        <w:spacing w:after="0" w:line="360" w:lineRule="auto"/>
        <w:jc w:val="right"/>
        <w:rPr>
          <w:rFonts w:ascii="Times New Roman" w:hAnsi="Times New Roman" w:cs="Times New Roman"/>
          <w:i/>
          <w:sz w:val="28"/>
          <w:szCs w:val="28"/>
          <w:lang w:bidi="ar-OM"/>
        </w:rPr>
      </w:pPr>
    </w:p>
    <w:p w:rsidR="0021764E" w:rsidRPr="00C62D22" w:rsidRDefault="0021764E" w:rsidP="0021764E">
      <w:pPr>
        <w:widowControl w:val="0"/>
        <w:spacing w:after="0" w:line="360" w:lineRule="auto"/>
        <w:ind w:firstLine="567"/>
        <w:jc w:val="both"/>
        <w:rPr>
          <w:rFonts w:ascii="Times New Roman" w:hAnsi="Times New Roman" w:cs="Times New Roman"/>
          <w:sz w:val="28"/>
          <w:szCs w:val="28"/>
          <w:lang w:bidi="ar-OM"/>
        </w:rPr>
      </w:pPr>
      <w:r w:rsidRPr="00C62D22">
        <w:rPr>
          <w:rFonts w:ascii="Times New Roman" w:hAnsi="Times New Roman" w:cs="Times New Roman"/>
          <w:sz w:val="28"/>
          <w:szCs w:val="28"/>
          <w:lang w:bidi="ar-OM"/>
        </w:rPr>
        <w:t xml:space="preserve">Для оцінки особливостей клінічного перебігу були виділені основні ознаки ПК ПЗ, структура яких наведена в табл. 2.3. </w:t>
      </w:r>
    </w:p>
    <w:p w:rsidR="0021764E" w:rsidRPr="00C62D22" w:rsidRDefault="0021764E" w:rsidP="0021764E">
      <w:pPr>
        <w:widowControl w:val="0"/>
        <w:spacing w:after="0" w:line="360" w:lineRule="auto"/>
        <w:ind w:firstLine="567"/>
        <w:jc w:val="both"/>
        <w:rPr>
          <w:rFonts w:ascii="Times New Roman" w:hAnsi="Times New Roman" w:cs="Times New Roman"/>
          <w:sz w:val="28"/>
          <w:szCs w:val="28"/>
          <w:lang w:bidi="ar-OM"/>
        </w:rPr>
      </w:pPr>
    </w:p>
    <w:p w:rsidR="0021764E" w:rsidRPr="00C62D22" w:rsidRDefault="0021764E" w:rsidP="0021764E">
      <w:pPr>
        <w:widowControl w:val="0"/>
        <w:spacing w:after="0" w:line="360" w:lineRule="auto"/>
        <w:jc w:val="right"/>
        <w:outlineLvl w:val="0"/>
        <w:rPr>
          <w:rFonts w:ascii="Times New Roman" w:hAnsi="Times New Roman" w:cs="Times New Roman"/>
          <w:i/>
          <w:sz w:val="28"/>
          <w:szCs w:val="28"/>
          <w:lang w:bidi="ar-OM"/>
        </w:rPr>
      </w:pPr>
      <w:r w:rsidRPr="00C62D22">
        <w:rPr>
          <w:rFonts w:ascii="Times New Roman" w:hAnsi="Times New Roman" w:cs="Times New Roman"/>
          <w:i/>
          <w:sz w:val="28"/>
          <w:szCs w:val="28"/>
          <w:lang w:bidi="ar-OM"/>
        </w:rPr>
        <w:t>Таблиця 2.3</w:t>
      </w:r>
    </w:p>
    <w:p w:rsidR="0021764E" w:rsidRPr="00C62D22" w:rsidRDefault="0021764E" w:rsidP="0021764E">
      <w:pPr>
        <w:widowControl w:val="0"/>
        <w:tabs>
          <w:tab w:val="left" w:pos="180"/>
        </w:tabs>
        <w:spacing w:after="0" w:line="360" w:lineRule="auto"/>
        <w:jc w:val="center"/>
        <w:outlineLvl w:val="0"/>
        <w:rPr>
          <w:rFonts w:ascii="Times New Roman" w:eastAsia="GaramondC-Light" w:hAnsi="Times New Roman" w:cs="Times New Roman"/>
          <w:b/>
          <w:sz w:val="28"/>
          <w:szCs w:val="28"/>
        </w:rPr>
      </w:pPr>
      <w:r w:rsidRPr="00C62D22">
        <w:rPr>
          <w:rFonts w:ascii="Times New Roman" w:hAnsi="Times New Roman" w:cs="Times New Roman"/>
          <w:b/>
          <w:sz w:val="28"/>
          <w:szCs w:val="28"/>
        </w:rPr>
        <w:t>Клінічна симптоматика перебігу ПК ПЗ залежно від їх т</w:t>
      </w:r>
      <w:r w:rsidRPr="00C62D22">
        <w:rPr>
          <w:rFonts w:ascii="Times New Roman" w:hAnsi="Times New Roman" w:cs="Times New Roman"/>
          <w:b/>
          <w:sz w:val="28"/>
          <w:szCs w:val="28"/>
        </w:rPr>
        <w:t>и</w:t>
      </w:r>
      <w:r w:rsidRPr="00C62D22">
        <w:rPr>
          <w:rFonts w:ascii="Times New Roman" w:hAnsi="Times New Roman" w:cs="Times New Roman"/>
          <w:b/>
          <w:sz w:val="28"/>
          <w:szCs w:val="28"/>
        </w:rPr>
        <w:t>пів</w:t>
      </w:r>
      <w:r w:rsidRPr="00C62D22">
        <w:rPr>
          <w:rFonts w:ascii="Times New Roman" w:eastAsia="GaramondC-Light" w:hAnsi="Times New Roman" w:cs="Times New Roman"/>
          <w:b/>
          <w:sz w:val="28"/>
          <w:szCs w:val="28"/>
        </w:rPr>
        <w:t>(n=505)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265"/>
        <w:gridCol w:w="1134"/>
        <w:gridCol w:w="1134"/>
        <w:gridCol w:w="1134"/>
        <w:gridCol w:w="1134"/>
        <w:gridCol w:w="1144"/>
      </w:tblGrid>
      <w:tr w:rsidR="0021764E" w:rsidRPr="00C62D22" w:rsidTr="006E5FD4">
        <w:trPr>
          <w:trHeight w:val="454"/>
          <w:jc w:val="center"/>
        </w:trPr>
        <w:tc>
          <w:tcPr>
            <w:tcW w:w="4265" w:type="dxa"/>
            <w:vMerge w:val="restart"/>
            <w:tcBorders>
              <w:top w:val="single" w:sz="4" w:space="0" w:color="auto"/>
              <w:left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Клінічна ознака</w:t>
            </w:r>
          </w:p>
        </w:tc>
        <w:tc>
          <w:tcPr>
            <w:tcW w:w="3402" w:type="dxa"/>
            <w:gridSpan w:val="3"/>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Кількість хворих</w:t>
            </w:r>
          </w:p>
        </w:tc>
        <w:tc>
          <w:tcPr>
            <w:tcW w:w="2278" w:type="dxa"/>
            <w:gridSpan w:val="2"/>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 xml:space="preserve">Усього </w:t>
            </w:r>
          </w:p>
        </w:tc>
      </w:tr>
      <w:tr w:rsidR="0021764E" w:rsidRPr="00C62D22" w:rsidTr="006E5FD4">
        <w:trPr>
          <w:trHeight w:val="435"/>
          <w:jc w:val="center"/>
        </w:trPr>
        <w:tc>
          <w:tcPr>
            <w:tcW w:w="4265" w:type="dxa"/>
            <w:vMerge/>
            <w:tcBorders>
              <w:left w:val="single" w:sz="4" w:space="0" w:color="auto"/>
              <w:right w:val="single" w:sz="4" w:space="0" w:color="auto"/>
            </w:tcBorders>
            <w:vAlign w:val="center"/>
          </w:tcPr>
          <w:p w:rsidR="0021764E" w:rsidRPr="00C62D22" w:rsidRDefault="0021764E" w:rsidP="006E5FD4">
            <w:pPr>
              <w:spacing w:after="0" w:line="360" w:lineRule="auto"/>
              <w:rPr>
                <w:rFonts w:ascii="Times New Roman" w:hAnsi="Times New Roman" w:cs="Times New Roman"/>
                <w:sz w:val="28"/>
                <w:szCs w:val="28"/>
              </w:rPr>
            </w:pP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ind w:right="-202"/>
              <w:jc w:val="center"/>
              <w:rPr>
                <w:rFonts w:ascii="Times New Roman" w:hAnsi="Times New Roman" w:cs="Times New Roman"/>
                <w:sz w:val="28"/>
                <w:szCs w:val="28"/>
              </w:rPr>
            </w:pPr>
            <w:r w:rsidRPr="00C62D22">
              <w:rPr>
                <w:rFonts w:ascii="Times New Roman" w:hAnsi="Times New Roman" w:cs="Times New Roman"/>
                <w:sz w:val="28"/>
                <w:szCs w:val="28"/>
              </w:rPr>
              <w:t>І тип</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ind w:right="-202"/>
              <w:jc w:val="center"/>
              <w:rPr>
                <w:rFonts w:ascii="Times New Roman" w:hAnsi="Times New Roman" w:cs="Times New Roman"/>
                <w:sz w:val="28"/>
                <w:szCs w:val="28"/>
              </w:rPr>
            </w:pPr>
            <w:r w:rsidRPr="00C62D22">
              <w:rPr>
                <w:rFonts w:ascii="Times New Roman" w:hAnsi="Times New Roman" w:cs="Times New Roman"/>
                <w:sz w:val="28"/>
                <w:szCs w:val="28"/>
              </w:rPr>
              <w:t>ІІ тип</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ind w:right="-202"/>
              <w:jc w:val="center"/>
              <w:rPr>
                <w:rFonts w:ascii="Times New Roman" w:hAnsi="Times New Roman" w:cs="Times New Roman"/>
                <w:sz w:val="28"/>
                <w:szCs w:val="28"/>
              </w:rPr>
            </w:pPr>
            <w:r w:rsidRPr="00C62D22">
              <w:rPr>
                <w:rFonts w:ascii="Times New Roman" w:hAnsi="Times New Roman" w:cs="Times New Roman"/>
                <w:sz w:val="28"/>
                <w:szCs w:val="28"/>
              </w:rPr>
              <w:t>ІІІ тип</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ind w:right="-202"/>
              <w:jc w:val="center"/>
              <w:rPr>
                <w:rFonts w:ascii="Times New Roman" w:hAnsi="Times New Roman" w:cs="Times New Roman"/>
                <w:sz w:val="28"/>
                <w:szCs w:val="28"/>
              </w:rPr>
            </w:pPr>
            <w:r w:rsidRPr="00C62D22">
              <w:rPr>
                <w:rFonts w:ascii="Times New Roman" w:hAnsi="Times New Roman" w:cs="Times New Roman"/>
                <w:sz w:val="28"/>
                <w:szCs w:val="28"/>
              </w:rPr>
              <w:t>Абс.</w:t>
            </w:r>
          </w:p>
        </w:tc>
        <w:tc>
          <w:tcPr>
            <w:tcW w:w="114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ind w:left="-69" w:right="-202"/>
              <w:jc w:val="center"/>
              <w:rPr>
                <w:rFonts w:ascii="Times New Roman" w:hAnsi="Times New Roman" w:cs="Times New Roman"/>
                <w:sz w:val="28"/>
                <w:szCs w:val="28"/>
              </w:rPr>
            </w:pPr>
            <w:r w:rsidRPr="00C62D22">
              <w:rPr>
                <w:rFonts w:ascii="Times New Roman" w:hAnsi="Times New Roman" w:cs="Times New Roman"/>
                <w:sz w:val="28"/>
                <w:szCs w:val="28"/>
              </w:rPr>
              <w:t>%</w:t>
            </w:r>
          </w:p>
        </w:tc>
      </w:tr>
      <w:tr w:rsidR="0021764E" w:rsidRPr="00C62D22" w:rsidTr="006E5FD4">
        <w:trPr>
          <w:trHeight w:val="454"/>
          <w:jc w:val="center"/>
        </w:trPr>
        <w:tc>
          <w:tcPr>
            <w:tcW w:w="4265"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rPr>
                <w:rFonts w:ascii="Times New Roman" w:hAnsi="Times New Roman" w:cs="Times New Roman"/>
                <w:sz w:val="28"/>
                <w:szCs w:val="28"/>
              </w:rPr>
            </w:pPr>
            <w:r w:rsidRPr="00C62D22">
              <w:rPr>
                <w:rFonts w:ascii="Times New Roman" w:hAnsi="Times New Roman" w:cs="Times New Roman"/>
                <w:sz w:val="28"/>
                <w:szCs w:val="28"/>
              </w:rPr>
              <w:t>Біль</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79</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240</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157</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476</w:t>
            </w:r>
          </w:p>
        </w:tc>
        <w:tc>
          <w:tcPr>
            <w:tcW w:w="114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94,3</w:t>
            </w:r>
          </w:p>
        </w:tc>
      </w:tr>
      <w:tr w:rsidR="0021764E" w:rsidRPr="00C62D22" w:rsidTr="006E5FD4">
        <w:trPr>
          <w:trHeight w:val="454"/>
          <w:jc w:val="center"/>
        </w:trPr>
        <w:tc>
          <w:tcPr>
            <w:tcW w:w="4265"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rPr>
                <w:rFonts w:ascii="Times New Roman" w:hAnsi="Times New Roman" w:cs="Times New Roman"/>
                <w:sz w:val="28"/>
                <w:szCs w:val="28"/>
              </w:rPr>
            </w:pPr>
            <w:r w:rsidRPr="00C62D22">
              <w:rPr>
                <w:rFonts w:ascii="Times New Roman" w:hAnsi="Times New Roman" w:cs="Times New Roman"/>
                <w:sz w:val="28"/>
                <w:szCs w:val="28"/>
              </w:rPr>
              <w:t>Слабкість</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67</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178</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132</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377</w:t>
            </w:r>
          </w:p>
        </w:tc>
        <w:tc>
          <w:tcPr>
            <w:tcW w:w="114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74,7</w:t>
            </w:r>
          </w:p>
        </w:tc>
      </w:tr>
      <w:tr w:rsidR="0021764E" w:rsidRPr="00C62D22" w:rsidTr="006E5FD4">
        <w:trPr>
          <w:trHeight w:val="454"/>
          <w:jc w:val="center"/>
        </w:trPr>
        <w:tc>
          <w:tcPr>
            <w:tcW w:w="4265"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rPr>
                <w:rFonts w:ascii="Times New Roman" w:hAnsi="Times New Roman" w:cs="Times New Roman"/>
                <w:sz w:val="28"/>
                <w:szCs w:val="28"/>
              </w:rPr>
            </w:pPr>
            <w:r w:rsidRPr="00C62D22">
              <w:rPr>
                <w:rFonts w:ascii="Times New Roman" w:hAnsi="Times New Roman" w:cs="Times New Roman"/>
                <w:sz w:val="28"/>
                <w:szCs w:val="28"/>
              </w:rPr>
              <w:t>Нудота, блювота</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43</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234</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113</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390</w:t>
            </w:r>
          </w:p>
        </w:tc>
        <w:tc>
          <w:tcPr>
            <w:tcW w:w="114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77,2</w:t>
            </w:r>
          </w:p>
        </w:tc>
      </w:tr>
      <w:tr w:rsidR="0021764E" w:rsidRPr="00C62D22" w:rsidTr="006E5FD4">
        <w:trPr>
          <w:trHeight w:val="454"/>
          <w:jc w:val="center"/>
        </w:trPr>
        <w:tc>
          <w:tcPr>
            <w:tcW w:w="4265"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Порушення випорожнення</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36</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87</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59</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182</w:t>
            </w:r>
          </w:p>
        </w:tc>
        <w:tc>
          <w:tcPr>
            <w:tcW w:w="114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36</w:t>
            </w:r>
          </w:p>
        </w:tc>
      </w:tr>
      <w:tr w:rsidR="0021764E" w:rsidRPr="00C62D22" w:rsidTr="006E5FD4">
        <w:trPr>
          <w:trHeight w:val="454"/>
          <w:jc w:val="center"/>
        </w:trPr>
        <w:tc>
          <w:tcPr>
            <w:tcW w:w="4265"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rPr>
                <w:rFonts w:ascii="Times New Roman" w:hAnsi="Times New Roman" w:cs="Times New Roman"/>
                <w:sz w:val="28"/>
                <w:szCs w:val="28"/>
              </w:rPr>
            </w:pPr>
            <w:r w:rsidRPr="00C62D22">
              <w:rPr>
                <w:rFonts w:ascii="Times New Roman" w:hAnsi="Times New Roman" w:cs="Times New Roman"/>
                <w:sz w:val="28"/>
                <w:szCs w:val="28"/>
              </w:rPr>
              <w:t>Втрата ваги</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12</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56</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77</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145</w:t>
            </w:r>
          </w:p>
        </w:tc>
        <w:tc>
          <w:tcPr>
            <w:tcW w:w="114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28,7</w:t>
            </w:r>
          </w:p>
        </w:tc>
      </w:tr>
      <w:tr w:rsidR="0021764E" w:rsidRPr="00C62D22" w:rsidTr="006E5FD4">
        <w:trPr>
          <w:trHeight w:val="454"/>
          <w:jc w:val="center"/>
        </w:trPr>
        <w:tc>
          <w:tcPr>
            <w:tcW w:w="4265"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rPr>
                <w:rFonts w:ascii="Times New Roman" w:hAnsi="Times New Roman" w:cs="Times New Roman"/>
                <w:sz w:val="28"/>
                <w:szCs w:val="28"/>
              </w:rPr>
            </w:pPr>
            <w:r w:rsidRPr="00C62D22">
              <w:rPr>
                <w:rFonts w:ascii="Times New Roman" w:hAnsi="Times New Roman" w:cs="Times New Roman"/>
                <w:sz w:val="28"/>
                <w:szCs w:val="28"/>
              </w:rPr>
              <w:t>Утворення в черевній порожнині, яке пальп</w:t>
            </w:r>
            <w:r w:rsidRPr="00C62D22">
              <w:rPr>
                <w:rFonts w:ascii="Times New Roman" w:hAnsi="Times New Roman" w:cs="Times New Roman"/>
                <w:sz w:val="28"/>
                <w:szCs w:val="28"/>
              </w:rPr>
              <w:t>у</w:t>
            </w:r>
            <w:r w:rsidRPr="00C62D22">
              <w:rPr>
                <w:rFonts w:ascii="Times New Roman" w:hAnsi="Times New Roman" w:cs="Times New Roman"/>
                <w:sz w:val="28"/>
                <w:szCs w:val="28"/>
              </w:rPr>
              <w:t xml:space="preserve">ється у верхніх ділянках живота </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78</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239</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127</w:t>
            </w:r>
          </w:p>
        </w:tc>
        <w:tc>
          <w:tcPr>
            <w:tcW w:w="113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444</w:t>
            </w:r>
          </w:p>
        </w:tc>
        <w:tc>
          <w:tcPr>
            <w:tcW w:w="1144" w:type="dxa"/>
            <w:tcBorders>
              <w:top w:val="single" w:sz="4" w:space="0" w:color="auto"/>
              <w:left w:val="single" w:sz="4" w:space="0" w:color="auto"/>
              <w:bottom w:val="single" w:sz="4" w:space="0" w:color="auto"/>
              <w:right w:val="single" w:sz="4" w:space="0" w:color="auto"/>
            </w:tcBorders>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87,9</w:t>
            </w:r>
          </w:p>
        </w:tc>
      </w:tr>
    </w:tbl>
    <w:p w:rsidR="0021764E" w:rsidRPr="00C62D22" w:rsidRDefault="0021764E" w:rsidP="0021764E">
      <w:pPr>
        <w:widowControl w:val="0"/>
        <w:spacing w:after="0" w:line="360" w:lineRule="auto"/>
        <w:rPr>
          <w:rFonts w:ascii="Times New Roman" w:hAnsi="Times New Roman" w:cs="Times New Roman"/>
          <w:i/>
          <w:sz w:val="28"/>
          <w:szCs w:val="28"/>
          <w:lang w:bidi="ar-OM"/>
        </w:rPr>
      </w:pPr>
    </w:p>
    <w:p w:rsidR="0021764E" w:rsidRPr="00C62D22" w:rsidRDefault="0021764E" w:rsidP="0021764E">
      <w:pPr>
        <w:widowControl w:val="0"/>
        <w:spacing w:after="0" w:line="360" w:lineRule="auto"/>
        <w:ind w:firstLine="567"/>
        <w:jc w:val="right"/>
        <w:rPr>
          <w:rFonts w:ascii="Times New Roman" w:hAnsi="Times New Roman" w:cs="Times New Roman"/>
          <w:i/>
          <w:sz w:val="28"/>
          <w:szCs w:val="28"/>
          <w:lang w:bidi="ar-OM"/>
        </w:rPr>
      </w:pPr>
      <w:r w:rsidRPr="00C62D22">
        <w:rPr>
          <w:rFonts w:ascii="Times New Roman" w:hAnsi="Times New Roman" w:cs="Times New Roman"/>
          <w:i/>
          <w:sz w:val="28"/>
          <w:szCs w:val="28"/>
          <w:lang w:bidi="ar-OM"/>
        </w:rPr>
        <w:lastRenderedPageBreak/>
        <w:t>Продовження табл. 2.3</w:t>
      </w:r>
    </w:p>
    <w:tbl>
      <w:tblPr>
        <w:tblW w:w="0" w:type="auto"/>
        <w:jc w:val="center"/>
        <w:tblInd w:w="-30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30"/>
        <w:gridCol w:w="1134"/>
        <w:gridCol w:w="1134"/>
        <w:gridCol w:w="1134"/>
        <w:gridCol w:w="1134"/>
        <w:gridCol w:w="1109"/>
      </w:tblGrid>
      <w:tr w:rsidR="0021764E" w:rsidRPr="00C62D22" w:rsidTr="006E5FD4">
        <w:trPr>
          <w:jc w:val="center"/>
        </w:trPr>
        <w:tc>
          <w:tcPr>
            <w:tcW w:w="4230"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rPr>
                <w:rFonts w:ascii="Times New Roman" w:hAnsi="Times New Roman" w:cs="Times New Roman"/>
                <w:sz w:val="28"/>
                <w:szCs w:val="28"/>
              </w:rPr>
            </w:pPr>
            <w:r w:rsidRPr="00C62D22">
              <w:rPr>
                <w:rFonts w:ascii="Times New Roman" w:hAnsi="Times New Roman" w:cs="Times New Roman"/>
                <w:sz w:val="28"/>
                <w:szCs w:val="28"/>
              </w:rPr>
              <w:t>Лихоманка</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65</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89</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61</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215</w:t>
            </w:r>
          </w:p>
        </w:tc>
        <w:tc>
          <w:tcPr>
            <w:tcW w:w="1109"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42,6</w:t>
            </w:r>
          </w:p>
        </w:tc>
      </w:tr>
      <w:tr w:rsidR="0021764E" w:rsidRPr="00C62D22" w:rsidTr="006E5FD4">
        <w:trPr>
          <w:jc w:val="center"/>
        </w:trPr>
        <w:tc>
          <w:tcPr>
            <w:tcW w:w="4230"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rPr>
                <w:rFonts w:ascii="Times New Roman" w:hAnsi="Times New Roman" w:cs="Times New Roman"/>
                <w:sz w:val="28"/>
                <w:szCs w:val="28"/>
              </w:rPr>
            </w:pPr>
            <w:r w:rsidRPr="00C62D22">
              <w:rPr>
                <w:rFonts w:ascii="Times New Roman" w:hAnsi="Times New Roman" w:cs="Times New Roman"/>
                <w:sz w:val="28"/>
                <w:szCs w:val="28"/>
              </w:rPr>
              <w:t>Лейкоцитоз</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74</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97</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56</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227</w:t>
            </w:r>
          </w:p>
        </w:tc>
        <w:tc>
          <w:tcPr>
            <w:tcW w:w="1109"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44,9</w:t>
            </w:r>
          </w:p>
        </w:tc>
      </w:tr>
      <w:tr w:rsidR="0021764E" w:rsidRPr="00C62D22" w:rsidTr="006E5FD4">
        <w:trPr>
          <w:jc w:val="center"/>
        </w:trPr>
        <w:tc>
          <w:tcPr>
            <w:tcW w:w="4230"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Прискорення ШОЕ</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63</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84</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46</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193</w:t>
            </w:r>
          </w:p>
        </w:tc>
        <w:tc>
          <w:tcPr>
            <w:tcW w:w="1109"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38,2</w:t>
            </w:r>
          </w:p>
        </w:tc>
      </w:tr>
      <w:tr w:rsidR="0021764E" w:rsidRPr="00C62D22" w:rsidTr="006E5FD4">
        <w:trPr>
          <w:jc w:val="center"/>
        </w:trPr>
        <w:tc>
          <w:tcPr>
            <w:tcW w:w="4230"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Підвищення рівня амілази сирова</w:t>
            </w:r>
            <w:r w:rsidRPr="00C62D22">
              <w:rPr>
                <w:rFonts w:ascii="Times New Roman" w:hAnsi="Times New Roman" w:cs="Times New Roman"/>
                <w:sz w:val="28"/>
                <w:szCs w:val="28"/>
              </w:rPr>
              <w:t>т</w:t>
            </w:r>
            <w:r w:rsidRPr="00C62D22">
              <w:rPr>
                <w:rFonts w:ascii="Times New Roman" w:hAnsi="Times New Roman" w:cs="Times New Roman"/>
                <w:sz w:val="28"/>
                <w:szCs w:val="28"/>
              </w:rPr>
              <w:t>ки крові</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81</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179</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128</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388</w:t>
            </w:r>
          </w:p>
        </w:tc>
        <w:tc>
          <w:tcPr>
            <w:tcW w:w="1109"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76,8</w:t>
            </w:r>
          </w:p>
        </w:tc>
      </w:tr>
      <w:tr w:rsidR="0021764E" w:rsidRPr="00C62D22" w:rsidTr="006E5FD4">
        <w:trPr>
          <w:jc w:val="center"/>
        </w:trPr>
        <w:tc>
          <w:tcPr>
            <w:tcW w:w="4230"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rPr>
                <w:rFonts w:ascii="Times New Roman" w:hAnsi="Times New Roman" w:cs="Times New Roman"/>
                <w:sz w:val="28"/>
                <w:szCs w:val="28"/>
              </w:rPr>
            </w:pPr>
            <w:r w:rsidRPr="00C62D22">
              <w:rPr>
                <w:rFonts w:ascii="Times New Roman" w:hAnsi="Times New Roman" w:cs="Times New Roman"/>
                <w:sz w:val="28"/>
                <w:szCs w:val="28"/>
              </w:rPr>
              <w:t>Підвищення рівня глюкози сиров</w:t>
            </w:r>
            <w:r w:rsidRPr="00C62D22">
              <w:rPr>
                <w:rFonts w:ascii="Times New Roman" w:hAnsi="Times New Roman" w:cs="Times New Roman"/>
                <w:sz w:val="28"/>
                <w:szCs w:val="28"/>
              </w:rPr>
              <w:t>а</w:t>
            </w:r>
            <w:r w:rsidRPr="00C62D22">
              <w:rPr>
                <w:rFonts w:ascii="Times New Roman" w:hAnsi="Times New Roman" w:cs="Times New Roman"/>
                <w:sz w:val="28"/>
                <w:szCs w:val="28"/>
              </w:rPr>
              <w:t>тки крові</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43</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67</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46</w:t>
            </w:r>
          </w:p>
        </w:tc>
        <w:tc>
          <w:tcPr>
            <w:tcW w:w="1134"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156</w:t>
            </w:r>
          </w:p>
        </w:tc>
        <w:tc>
          <w:tcPr>
            <w:tcW w:w="1109" w:type="dxa"/>
            <w:tcBorders>
              <w:top w:val="single" w:sz="4" w:space="0" w:color="auto"/>
              <w:left w:val="single" w:sz="4" w:space="0" w:color="auto"/>
              <w:bottom w:val="single" w:sz="4" w:space="0" w:color="auto"/>
              <w:right w:val="single" w:sz="4" w:space="0" w:color="auto"/>
            </w:tcBorders>
            <w:vAlign w:val="center"/>
          </w:tcPr>
          <w:p w:rsidR="0021764E" w:rsidRPr="00C62D22" w:rsidRDefault="0021764E" w:rsidP="006E5FD4">
            <w:pPr>
              <w:widowControl w:val="0"/>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30,9</w:t>
            </w:r>
          </w:p>
        </w:tc>
      </w:tr>
    </w:tbl>
    <w:p w:rsidR="0021764E" w:rsidRPr="00C62D22" w:rsidRDefault="0021764E" w:rsidP="0021764E">
      <w:pPr>
        <w:widowControl w:val="0"/>
        <w:spacing w:after="0" w:line="360" w:lineRule="auto"/>
        <w:ind w:firstLine="567"/>
        <w:jc w:val="right"/>
        <w:rPr>
          <w:rFonts w:ascii="Times New Roman" w:hAnsi="Times New Roman" w:cs="Times New Roman"/>
          <w:i/>
          <w:sz w:val="28"/>
          <w:szCs w:val="28"/>
          <w:lang w:bidi="ar-OM"/>
        </w:rPr>
      </w:pPr>
    </w:p>
    <w:p w:rsidR="0021764E" w:rsidRPr="00C62D22" w:rsidRDefault="0021764E" w:rsidP="0021764E">
      <w:pPr>
        <w:widowControl w:val="0"/>
        <w:spacing w:after="0" w:line="360" w:lineRule="auto"/>
        <w:ind w:firstLine="567"/>
        <w:jc w:val="both"/>
        <w:rPr>
          <w:rFonts w:ascii="Times New Roman" w:hAnsi="Times New Roman" w:cs="Times New Roman"/>
          <w:sz w:val="28"/>
          <w:szCs w:val="28"/>
          <w:lang w:bidi="ar-OM"/>
        </w:rPr>
      </w:pPr>
      <w:r w:rsidRPr="00C62D22">
        <w:rPr>
          <w:rFonts w:ascii="Times New Roman" w:hAnsi="Times New Roman" w:cs="Times New Roman"/>
          <w:sz w:val="28"/>
          <w:szCs w:val="28"/>
          <w:lang w:bidi="ar-OM"/>
        </w:rPr>
        <w:t>Найчастішим си</w:t>
      </w:r>
      <w:r w:rsidRPr="00C62D22">
        <w:rPr>
          <w:rFonts w:ascii="Times New Roman" w:hAnsi="Times New Roman" w:cs="Times New Roman"/>
          <w:sz w:val="28"/>
          <w:szCs w:val="28"/>
          <w:lang w:bidi="ar-OM"/>
        </w:rPr>
        <w:t>м</w:t>
      </w:r>
      <w:r w:rsidRPr="00C62D22">
        <w:rPr>
          <w:rFonts w:ascii="Times New Roman" w:hAnsi="Times New Roman" w:cs="Times New Roman"/>
          <w:sz w:val="28"/>
          <w:szCs w:val="28"/>
          <w:lang w:bidi="ar-OM"/>
        </w:rPr>
        <w:t>птомом був біль у верхніх відділах животу, лівому підребер’ї, який періодично підсилюв</w:t>
      </w:r>
      <w:r w:rsidRPr="00C62D22">
        <w:rPr>
          <w:rFonts w:ascii="Times New Roman" w:hAnsi="Times New Roman" w:cs="Times New Roman"/>
          <w:sz w:val="28"/>
          <w:szCs w:val="28"/>
          <w:lang w:bidi="ar-OM"/>
        </w:rPr>
        <w:t>а</w:t>
      </w:r>
      <w:r w:rsidRPr="00C62D22">
        <w:rPr>
          <w:rFonts w:ascii="Times New Roman" w:hAnsi="Times New Roman" w:cs="Times New Roman"/>
          <w:sz w:val="28"/>
          <w:szCs w:val="28"/>
          <w:lang w:bidi="ar-OM"/>
        </w:rPr>
        <w:t>вся після вживання їжі, та відмічався в 476 (94,3%) випадків. Іншими, на</w:t>
      </w:r>
      <w:r w:rsidRPr="00C62D22">
        <w:rPr>
          <w:rFonts w:ascii="Times New Roman" w:hAnsi="Times New Roman" w:cs="Times New Roman"/>
          <w:sz w:val="28"/>
          <w:szCs w:val="28"/>
          <w:lang w:bidi="ar-OM"/>
        </w:rPr>
        <w:t>й</w:t>
      </w:r>
      <w:r w:rsidRPr="00C62D22">
        <w:rPr>
          <w:rFonts w:ascii="Times New Roman" w:hAnsi="Times New Roman" w:cs="Times New Roman"/>
          <w:sz w:val="28"/>
          <w:szCs w:val="28"/>
          <w:lang w:bidi="ar-OM"/>
        </w:rPr>
        <w:t>більш частими проявами захворювання, були слабкість у 377 (74,9%) хворих та прояви диспепсичного синдрому в 390 (77,2%) пацієнтів. При пальпації у 87,9% хворих у верхніх відділах живота визначали пухл</w:t>
      </w:r>
      <w:r w:rsidRPr="00C62D22">
        <w:rPr>
          <w:rFonts w:ascii="Times New Roman" w:hAnsi="Times New Roman" w:cs="Times New Roman"/>
          <w:sz w:val="28"/>
          <w:szCs w:val="28"/>
          <w:lang w:bidi="ar-OM"/>
        </w:rPr>
        <w:t>и</w:t>
      </w:r>
      <w:r w:rsidRPr="00C62D22">
        <w:rPr>
          <w:rFonts w:ascii="Times New Roman" w:hAnsi="Times New Roman" w:cs="Times New Roman"/>
          <w:sz w:val="28"/>
          <w:szCs w:val="28"/>
          <w:lang w:bidi="ar-OM"/>
        </w:rPr>
        <w:t>ноподібне утворення. При визначенні рівня амілази крові в 388 (76,8%) хворих спостерігалася гіпераміл</w:t>
      </w:r>
      <w:r w:rsidRPr="00C62D22">
        <w:rPr>
          <w:rFonts w:ascii="Times New Roman" w:hAnsi="Times New Roman" w:cs="Times New Roman"/>
          <w:sz w:val="28"/>
          <w:szCs w:val="28"/>
          <w:lang w:bidi="ar-OM"/>
        </w:rPr>
        <w:t>а</w:t>
      </w:r>
      <w:r w:rsidRPr="00C62D22">
        <w:rPr>
          <w:rFonts w:ascii="Times New Roman" w:hAnsi="Times New Roman" w:cs="Times New Roman"/>
          <w:sz w:val="28"/>
          <w:szCs w:val="28"/>
          <w:lang w:bidi="ar-OM"/>
        </w:rPr>
        <w:t>земія.</w:t>
      </w:r>
    </w:p>
    <w:p w:rsidR="0021764E" w:rsidRPr="00C62D22" w:rsidRDefault="0021764E" w:rsidP="0021764E">
      <w:pPr>
        <w:widowControl w:val="0"/>
        <w:tabs>
          <w:tab w:val="left" w:pos="180"/>
        </w:tabs>
        <w:spacing w:after="0" w:line="360" w:lineRule="auto"/>
        <w:ind w:firstLine="540"/>
        <w:jc w:val="both"/>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Ускладнення ПК ПЗ відзначені у всіх 505 хворих, які аналізуються. Хара</w:t>
      </w:r>
      <w:r w:rsidRPr="00C62D22">
        <w:rPr>
          <w:rFonts w:ascii="Times New Roman" w:eastAsia="GaramondC-Light" w:hAnsi="Times New Roman" w:cs="Times New Roman"/>
          <w:sz w:val="28"/>
          <w:szCs w:val="28"/>
        </w:rPr>
        <w:t>к</w:t>
      </w:r>
      <w:r w:rsidRPr="00C62D22">
        <w:rPr>
          <w:rFonts w:ascii="Times New Roman" w:eastAsia="GaramondC-Light" w:hAnsi="Times New Roman" w:cs="Times New Roman"/>
          <w:sz w:val="28"/>
          <w:szCs w:val="28"/>
        </w:rPr>
        <w:t xml:space="preserve">тер ускладнень наведений у табл. 2.4. </w:t>
      </w:r>
    </w:p>
    <w:p w:rsidR="0021764E" w:rsidRPr="00C62D22" w:rsidRDefault="0021764E" w:rsidP="0021764E">
      <w:pPr>
        <w:widowControl w:val="0"/>
        <w:tabs>
          <w:tab w:val="left" w:pos="180"/>
        </w:tabs>
        <w:spacing w:after="0" w:line="360" w:lineRule="auto"/>
        <w:ind w:firstLine="540"/>
        <w:jc w:val="both"/>
        <w:rPr>
          <w:rFonts w:ascii="Times New Roman" w:eastAsia="GaramondC-Light" w:hAnsi="Times New Roman" w:cs="Times New Roman"/>
          <w:sz w:val="28"/>
          <w:szCs w:val="28"/>
        </w:rPr>
      </w:pPr>
    </w:p>
    <w:p w:rsidR="0021764E" w:rsidRPr="00C62D22" w:rsidRDefault="0021764E" w:rsidP="0021764E">
      <w:pPr>
        <w:widowControl w:val="0"/>
        <w:tabs>
          <w:tab w:val="left" w:pos="180"/>
        </w:tabs>
        <w:spacing w:after="0" w:line="360" w:lineRule="auto"/>
        <w:jc w:val="right"/>
        <w:rPr>
          <w:rFonts w:ascii="Times New Roman" w:eastAsia="GaramondC-Light" w:hAnsi="Times New Roman" w:cs="Times New Roman"/>
          <w:i/>
          <w:sz w:val="28"/>
          <w:szCs w:val="28"/>
        </w:rPr>
      </w:pPr>
      <w:r w:rsidRPr="00C62D22">
        <w:rPr>
          <w:rFonts w:ascii="Times New Roman" w:eastAsia="GaramondC-Light" w:hAnsi="Times New Roman" w:cs="Times New Roman"/>
          <w:i/>
          <w:sz w:val="28"/>
          <w:szCs w:val="28"/>
        </w:rPr>
        <w:t>Таблиця 2.4</w:t>
      </w:r>
    </w:p>
    <w:p w:rsidR="0021764E" w:rsidRPr="00C62D22" w:rsidRDefault="0021764E" w:rsidP="0021764E">
      <w:pPr>
        <w:widowControl w:val="0"/>
        <w:tabs>
          <w:tab w:val="left" w:pos="180"/>
        </w:tabs>
        <w:spacing w:after="0" w:line="360" w:lineRule="auto"/>
        <w:ind w:firstLine="540"/>
        <w:jc w:val="center"/>
        <w:outlineLvl w:val="0"/>
        <w:rPr>
          <w:rFonts w:ascii="Times New Roman" w:eastAsia="GaramondC-Light" w:hAnsi="Times New Roman" w:cs="Times New Roman"/>
          <w:b/>
          <w:sz w:val="28"/>
          <w:szCs w:val="28"/>
        </w:rPr>
      </w:pPr>
      <w:r w:rsidRPr="00C62D22">
        <w:rPr>
          <w:rFonts w:ascii="Times New Roman" w:eastAsia="GaramondC-Light" w:hAnsi="Times New Roman" w:cs="Times New Roman"/>
          <w:b/>
          <w:sz w:val="28"/>
          <w:szCs w:val="28"/>
        </w:rPr>
        <w:t>Характер ускладнень у хворих з ПК ПЗ (n=505)</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119"/>
        <w:gridCol w:w="850"/>
        <w:gridCol w:w="851"/>
        <w:gridCol w:w="850"/>
        <w:gridCol w:w="993"/>
        <w:gridCol w:w="850"/>
        <w:gridCol w:w="851"/>
        <w:gridCol w:w="992"/>
        <w:gridCol w:w="850"/>
      </w:tblGrid>
      <w:tr w:rsidR="0021764E" w:rsidRPr="00C62D22" w:rsidTr="006E5FD4">
        <w:trPr>
          <w:trHeight w:val="165"/>
        </w:trPr>
        <w:tc>
          <w:tcPr>
            <w:tcW w:w="3119" w:type="dxa"/>
            <w:vMerge w:val="restart"/>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Ускладнення ПК ПЗ</w:t>
            </w:r>
          </w:p>
        </w:tc>
        <w:tc>
          <w:tcPr>
            <w:tcW w:w="1701" w:type="dxa"/>
            <w:gridSpan w:val="2"/>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Тип І</w:t>
            </w:r>
          </w:p>
        </w:tc>
        <w:tc>
          <w:tcPr>
            <w:tcW w:w="1843" w:type="dxa"/>
            <w:gridSpan w:val="2"/>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Тип ІІ</w:t>
            </w:r>
          </w:p>
        </w:tc>
        <w:tc>
          <w:tcPr>
            <w:tcW w:w="1701" w:type="dxa"/>
            <w:gridSpan w:val="2"/>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Тип ІІІ</w:t>
            </w:r>
          </w:p>
        </w:tc>
        <w:tc>
          <w:tcPr>
            <w:tcW w:w="1842" w:type="dxa"/>
            <w:gridSpan w:val="2"/>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Усього</w:t>
            </w:r>
          </w:p>
        </w:tc>
      </w:tr>
      <w:tr w:rsidR="0021764E" w:rsidRPr="00C62D22" w:rsidTr="006E5FD4">
        <w:trPr>
          <w:trHeight w:val="315"/>
        </w:trPr>
        <w:tc>
          <w:tcPr>
            <w:tcW w:w="3119" w:type="dxa"/>
            <w:vMerge/>
          </w:tcPr>
          <w:p w:rsidR="0021764E" w:rsidRPr="00C62D22" w:rsidRDefault="0021764E" w:rsidP="006E5FD4">
            <w:pPr>
              <w:spacing w:after="0" w:line="360" w:lineRule="auto"/>
              <w:jc w:val="center"/>
              <w:rPr>
                <w:rFonts w:ascii="Times New Roman" w:hAnsi="Times New Roman" w:cs="Times New Roman"/>
                <w:sz w:val="28"/>
                <w:szCs w:val="28"/>
              </w:rPr>
            </w:pPr>
          </w:p>
        </w:tc>
        <w:tc>
          <w:tcPr>
            <w:tcW w:w="85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Абс.</w:t>
            </w:r>
          </w:p>
        </w:tc>
        <w:tc>
          <w:tcPr>
            <w:tcW w:w="851"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w:t>
            </w:r>
          </w:p>
        </w:tc>
        <w:tc>
          <w:tcPr>
            <w:tcW w:w="85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Абс.</w:t>
            </w:r>
          </w:p>
        </w:tc>
        <w:tc>
          <w:tcPr>
            <w:tcW w:w="993"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w:t>
            </w:r>
          </w:p>
        </w:tc>
        <w:tc>
          <w:tcPr>
            <w:tcW w:w="85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Абс.</w:t>
            </w:r>
          </w:p>
        </w:tc>
        <w:tc>
          <w:tcPr>
            <w:tcW w:w="851"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w:t>
            </w:r>
          </w:p>
        </w:tc>
        <w:tc>
          <w:tcPr>
            <w:tcW w:w="992"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Абс.</w:t>
            </w:r>
          </w:p>
        </w:tc>
        <w:tc>
          <w:tcPr>
            <w:tcW w:w="85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w:t>
            </w:r>
          </w:p>
        </w:tc>
      </w:tr>
      <w:tr w:rsidR="0021764E" w:rsidRPr="00C62D22" w:rsidTr="006E5FD4">
        <w:trPr>
          <w:trHeight w:val="195"/>
        </w:trPr>
        <w:tc>
          <w:tcPr>
            <w:tcW w:w="3119" w:type="dxa"/>
          </w:tcPr>
          <w:p w:rsidR="0021764E" w:rsidRPr="00C62D22" w:rsidRDefault="0021764E" w:rsidP="006E5FD4">
            <w:pPr>
              <w:spacing w:after="0" w:line="360" w:lineRule="auto"/>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Нагноєння</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40</w:t>
            </w:r>
          </w:p>
        </w:tc>
        <w:tc>
          <w:tcPr>
            <w:tcW w:w="851"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7,92</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54</w:t>
            </w:r>
          </w:p>
        </w:tc>
        <w:tc>
          <w:tcPr>
            <w:tcW w:w="993"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10,69</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19</w:t>
            </w:r>
          </w:p>
        </w:tc>
        <w:tc>
          <w:tcPr>
            <w:tcW w:w="851"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3,76</w:t>
            </w:r>
          </w:p>
        </w:tc>
        <w:tc>
          <w:tcPr>
            <w:tcW w:w="992"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113</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22,37</w:t>
            </w:r>
          </w:p>
        </w:tc>
      </w:tr>
      <w:tr w:rsidR="0021764E" w:rsidRPr="00C62D22" w:rsidTr="006E5FD4">
        <w:trPr>
          <w:trHeight w:val="195"/>
        </w:trPr>
        <w:tc>
          <w:tcPr>
            <w:tcW w:w="3119" w:type="dxa"/>
          </w:tcPr>
          <w:p w:rsidR="0021764E" w:rsidRPr="00C62D22" w:rsidRDefault="0021764E" w:rsidP="006E5FD4">
            <w:pPr>
              <w:spacing w:after="0" w:line="360" w:lineRule="auto"/>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Розрив ПК</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9</w:t>
            </w:r>
          </w:p>
        </w:tc>
        <w:tc>
          <w:tcPr>
            <w:tcW w:w="851"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1,78</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10</w:t>
            </w:r>
          </w:p>
        </w:tc>
        <w:tc>
          <w:tcPr>
            <w:tcW w:w="993"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1,98</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5</w:t>
            </w:r>
          </w:p>
        </w:tc>
        <w:tc>
          <w:tcPr>
            <w:tcW w:w="851"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w:t>
            </w:r>
          </w:p>
        </w:tc>
        <w:tc>
          <w:tcPr>
            <w:tcW w:w="992"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24</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4,76</w:t>
            </w:r>
          </w:p>
        </w:tc>
      </w:tr>
      <w:tr w:rsidR="0021764E" w:rsidRPr="00C62D22" w:rsidTr="006E5FD4">
        <w:trPr>
          <w:trHeight w:val="195"/>
        </w:trPr>
        <w:tc>
          <w:tcPr>
            <w:tcW w:w="3119" w:type="dxa"/>
          </w:tcPr>
          <w:p w:rsidR="0021764E" w:rsidRPr="00C62D22" w:rsidRDefault="0021764E" w:rsidP="006E5FD4">
            <w:pPr>
              <w:spacing w:after="0" w:line="360" w:lineRule="auto"/>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Кровотеча в пор</w:t>
            </w:r>
            <w:r w:rsidRPr="00C62D22">
              <w:rPr>
                <w:rFonts w:ascii="Times New Roman" w:eastAsia="GaramondC-Light" w:hAnsi="Times New Roman" w:cs="Times New Roman"/>
                <w:sz w:val="28"/>
                <w:szCs w:val="28"/>
              </w:rPr>
              <w:t>о</w:t>
            </w:r>
            <w:r w:rsidRPr="00C62D22">
              <w:rPr>
                <w:rFonts w:ascii="Times New Roman" w:eastAsia="GaramondC-Light" w:hAnsi="Times New Roman" w:cs="Times New Roman"/>
                <w:sz w:val="28"/>
                <w:szCs w:val="28"/>
              </w:rPr>
              <w:t>жнину ПК</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13</w:t>
            </w:r>
          </w:p>
        </w:tc>
        <w:tc>
          <w:tcPr>
            <w:tcW w:w="851"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2,57</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55</w:t>
            </w:r>
          </w:p>
        </w:tc>
        <w:tc>
          <w:tcPr>
            <w:tcW w:w="993"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10,89</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22</w:t>
            </w:r>
          </w:p>
        </w:tc>
        <w:tc>
          <w:tcPr>
            <w:tcW w:w="851"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4,36</w:t>
            </w:r>
          </w:p>
        </w:tc>
        <w:tc>
          <w:tcPr>
            <w:tcW w:w="992"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90</w:t>
            </w:r>
          </w:p>
        </w:tc>
        <w:tc>
          <w:tcPr>
            <w:tcW w:w="850" w:type="dxa"/>
            <w:vAlign w:val="center"/>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17,82</w:t>
            </w:r>
          </w:p>
        </w:tc>
      </w:tr>
      <w:tr w:rsidR="0021764E" w:rsidRPr="00C62D22" w:rsidTr="006E5FD4">
        <w:trPr>
          <w:trHeight w:val="300"/>
        </w:trPr>
        <w:tc>
          <w:tcPr>
            <w:tcW w:w="3119" w:type="dxa"/>
          </w:tcPr>
          <w:p w:rsidR="0021764E" w:rsidRPr="00C62D22" w:rsidRDefault="0021764E" w:rsidP="006E5FD4">
            <w:pPr>
              <w:spacing w:after="0" w:line="360" w:lineRule="auto"/>
              <w:jc w:val="both"/>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Механічна жовт</w:t>
            </w:r>
            <w:r w:rsidRPr="00C62D22">
              <w:rPr>
                <w:rFonts w:ascii="Times New Roman" w:eastAsia="GaramondC-Light" w:hAnsi="Times New Roman" w:cs="Times New Roman"/>
                <w:sz w:val="28"/>
                <w:szCs w:val="28"/>
              </w:rPr>
              <w:t>я</w:t>
            </w:r>
            <w:r w:rsidRPr="00C62D22">
              <w:rPr>
                <w:rFonts w:ascii="Times New Roman" w:eastAsia="GaramondC-Light" w:hAnsi="Times New Roman" w:cs="Times New Roman"/>
                <w:sz w:val="28"/>
                <w:szCs w:val="28"/>
              </w:rPr>
              <w:t>ниця</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4</w:t>
            </w:r>
          </w:p>
        </w:tc>
        <w:tc>
          <w:tcPr>
            <w:tcW w:w="851"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0,8</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35</w:t>
            </w:r>
          </w:p>
        </w:tc>
        <w:tc>
          <w:tcPr>
            <w:tcW w:w="993"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6,93</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58</w:t>
            </w:r>
          </w:p>
        </w:tc>
        <w:tc>
          <w:tcPr>
            <w:tcW w:w="851"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11,48</w:t>
            </w:r>
          </w:p>
        </w:tc>
        <w:tc>
          <w:tcPr>
            <w:tcW w:w="992"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97</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19,21</w:t>
            </w:r>
          </w:p>
        </w:tc>
      </w:tr>
    </w:tbl>
    <w:p w:rsidR="0021764E" w:rsidRPr="00C62D22" w:rsidRDefault="0021764E" w:rsidP="0021764E">
      <w:pPr>
        <w:widowControl w:val="0"/>
        <w:tabs>
          <w:tab w:val="left" w:pos="180"/>
        </w:tabs>
        <w:spacing w:after="0" w:line="360" w:lineRule="auto"/>
        <w:ind w:firstLine="540"/>
        <w:jc w:val="both"/>
        <w:rPr>
          <w:rFonts w:ascii="Times New Roman" w:eastAsia="GaramondC-Light" w:hAnsi="Times New Roman" w:cs="Times New Roman"/>
          <w:sz w:val="28"/>
          <w:szCs w:val="28"/>
        </w:rPr>
      </w:pPr>
    </w:p>
    <w:p w:rsidR="0021764E" w:rsidRPr="00C62D22" w:rsidRDefault="0021764E" w:rsidP="0021764E">
      <w:pPr>
        <w:widowControl w:val="0"/>
        <w:tabs>
          <w:tab w:val="left" w:pos="180"/>
        </w:tabs>
        <w:spacing w:after="0" w:line="360" w:lineRule="auto"/>
        <w:jc w:val="both"/>
        <w:rPr>
          <w:rFonts w:ascii="Times New Roman" w:eastAsia="GaramondC-Light" w:hAnsi="Times New Roman" w:cs="Times New Roman"/>
          <w:sz w:val="28"/>
          <w:szCs w:val="28"/>
        </w:rPr>
      </w:pPr>
    </w:p>
    <w:p w:rsidR="0021764E" w:rsidRPr="00C62D22" w:rsidRDefault="0021764E" w:rsidP="0021764E">
      <w:pPr>
        <w:widowControl w:val="0"/>
        <w:tabs>
          <w:tab w:val="left" w:pos="180"/>
        </w:tabs>
        <w:spacing w:after="0" w:line="360" w:lineRule="auto"/>
        <w:jc w:val="right"/>
        <w:rPr>
          <w:rFonts w:ascii="Times New Roman" w:eastAsia="GaramondC-Light" w:hAnsi="Times New Roman" w:cs="Times New Roman"/>
          <w:i/>
          <w:sz w:val="28"/>
          <w:szCs w:val="28"/>
        </w:rPr>
      </w:pPr>
      <w:r w:rsidRPr="00C62D22">
        <w:rPr>
          <w:rFonts w:ascii="Times New Roman" w:eastAsia="GaramondC-Light" w:hAnsi="Times New Roman" w:cs="Times New Roman"/>
          <w:i/>
          <w:sz w:val="28"/>
          <w:szCs w:val="28"/>
        </w:rPr>
        <w:lastRenderedPageBreak/>
        <w:t>Продовження табл. 2.4.</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119"/>
        <w:gridCol w:w="850"/>
        <w:gridCol w:w="851"/>
        <w:gridCol w:w="850"/>
        <w:gridCol w:w="993"/>
        <w:gridCol w:w="850"/>
        <w:gridCol w:w="851"/>
        <w:gridCol w:w="992"/>
        <w:gridCol w:w="850"/>
      </w:tblGrid>
      <w:tr w:rsidR="0021764E" w:rsidRPr="00C62D22" w:rsidTr="006E5FD4">
        <w:trPr>
          <w:trHeight w:val="300"/>
        </w:trPr>
        <w:tc>
          <w:tcPr>
            <w:tcW w:w="3119" w:type="dxa"/>
          </w:tcPr>
          <w:p w:rsidR="0021764E" w:rsidRPr="00C62D22" w:rsidRDefault="0021764E" w:rsidP="006E5FD4">
            <w:pPr>
              <w:spacing w:after="0" w:line="360" w:lineRule="auto"/>
              <w:jc w:val="both"/>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Компресія шлунка та ДПК</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13</w:t>
            </w:r>
          </w:p>
        </w:tc>
        <w:tc>
          <w:tcPr>
            <w:tcW w:w="851"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2,57</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93</w:t>
            </w:r>
          </w:p>
        </w:tc>
        <w:tc>
          <w:tcPr>
            <w:tcW w:w="993"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18,42</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66</w:t>
            </w:r>
          </w:p>
        </w:tc>
        <w:tc>
          <w:tcPr>
            <w:tcW w:w="851"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13,07</w:t>
            </w:r>
          </w:p>
        </w:tc>
        <w:tc>
          <w:tcPr>
            <w:tcW w:w="992"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172</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34,06</w:t>
            </w:r>
          </w:p>
        </w:tc>
      </w:tr>
      <w:tr w:rsidR="0021764E" w:rsidRPr="00C62D22" w:rsidTr="006E5FD4">
        <w:trPr>
          <w:trHeight w:val="300"/>
        </w:trPr>
        <w:tc>
          <w:tcPr>
            <w:tcW w:w="3119" w:type="dxa"/>
          </w:tcPr>
          <w:p w:rsidR="0021764E" w:rsidRPr="00C62D22" w:rsidRDefault="0021764E" w:rsidP="006E5FD4">
            <w:pPr>
              <w:spacing w:after="0" w:line="360" w:lineRule="auto"/>
              <w:jc w:val="both"/>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Нориці </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2</w:t>
            </w:r>
          </w:p>
        </w:tc>
        <w:tc>
          <w:tcPr>
            <w:tcW w:w="851"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0,4</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w:t>
            </w:r>
          </w:p>
        </w:tc>
        <w:tc>
          <w:tcPr>
            <w:tcW w:w="993"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7</w:t>
            </w:r>
          </w:p>
        </w:tc>
        <w:tc>
          <w:tcPr>
            <w:tcW w:w="851"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1,38</w:t>
            </w:r>
          </w:p>
        </w:tc>
        <w:tc>
          <w:tcPr>
            <w:tcW w:w="992"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9</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1,78</w:t>
            </w:r>
          </w:p>
        </w:tc>
      </w:tr>
      <w:tr w:rsidR="0021764E" w:rsidRPr="00C62D22" w:rsidTr="006E5FD4">
        <w:trPr>
          <w:trHeight w:val="300"/>
        </w:trPr>
        <w:tc>
          <w:tcPr>
            <w:tcW w:w="3119" w:type="dxa"/>
          </w:tcPr>
          <w:p w:rsidR="0021764E" w:rsidRPr="00C62D22" w:rsidRDefault="0021764E" w:rsidP="006E5FD4">
            <w:pPr>
              <w:spacing w:after="0" w:line="360" w:lineRule="auto"/>
              <w:jc w:val="both"/>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Усього </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81</w:t>
            </w:r>
          </w:p>
        </w:tc>
        <w:tc>
          <w:tcPr>
            <w:tcW w:w="851"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16,04</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247</w:t>
            </w:r>
          </w:p>
        </w:tc>
        <w:tc>
          <w:tcPr>
            <w:tcW w:w="993"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48,91</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177</w:t>
            </w:r>
          </w:p>
        </w:tc>
        <w:tc>
          <w:tcPr>
            <w:tcW w:w="851"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35,05</w:t>
            </w:r>
          </w:p>
        </w:tc>
        <w:tc>
          <w:tcPr>
            <w:tcW w:w="992"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505</w:t>
            </w:r>
          </w:p>
        </w:tc>
        <w:tc>
          <w:tcPr>
            <w:tcW w:w="850" w:type="dxa"/>
          </w:tcPr>
          <w:p w:rsidR="0021764E" w:rsidRPr="00C62D22" w:rsidRDefault="0021764E" w:rsidP="006E5FD4">
            <w:pPr>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100</w:t>
            </w:r>
          </w:p>
        </w:tc>
      </w:tr>
    </w:tbl>
    <w:p w:rsidR="0021764E" w:rsidRPr="00C62D22" w:rsidRDefault="0021764E" w:rsidP="0021764E">
      <w:pPr>
        <w:widowControl w:val="0"/>
        <w:tabs>
          <w:tab w:val="left" w:pos="180"/>
        </w:tabs>
        <w:spacing w:after="0" w:line="360" w:lineRule="auto"/>
        <w:ind w:firstLine="540"/>
        <w:jc w:val="both"/>
        <w:rPr>
          <w:rFonts w:ascii="Times New Roman" w:eastAsia="GaramondC-Light" w:hAnsi="Times New Roman" w:cs="Times New Roman"/>
          <w:sz w:val="28"/>
          <w:szCs w:val="28"/>
        </w:rPr>
      </w:pPr>
    </w:p>
    <w:p w:rsidR="0021764E" w:rsidRPr="00C62D22" w:rsidRDefault="0021764E" w:rsidP="0021764E">
      <w:pPr>
        <w:widowControl w:val="0"/>
        <w:tabs>
          <w:tab w:val="left" w:pos="180"/>
        </w:tabs>
        <w:spacing w:after="0" w:line="360" w:lineRule="auto"/>
        <w:ind w:firstLine="540"/>
        <w:jc w:val="both"/>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Найчастіше у якості ускладнень у хворих виявлялися компресія шлу</w:t>
      </w:r>
      <w:r w:rsidRPr="00C62D22">
        <w:rPr>
          <w:rFonts w:ascii="Times New Roman" w:eastAsia="GaramondC-Light" w:hAnsi="Times New Roman" w:cs="Times New Roman"/>
          <w:sz w:val="28"/>
          <w:szCs w:val="28"/>
        </w:rPr>
        <w:t>н</w:t>
      </w:r>
      <w:r w:rsidRPr="00C62D22">
        <w:rPr>
          <w:rFonts w:ascii="Times New Roman" w:eastAsia="GaramondC-Light" w:hAnsi="Times New Roman" w:cs="Times New Roman"/>
          <w:sz w:val="28"/>
          <w:szCs w:val="28"/>
        </w:rPr>
        <w:t xml:space="preserve">ка та/або ДПК у 172 (34,06%), нагноєння – у 113 (22,4%), механічна жовтяниця – у 97             (19,2%), кровотеча у порожнину ПК – у 90 (17,8%) хворих. </w:t>
      </w:r>
    </w:p>
    <w:p w:rsidR="0021764E" w:rsidRPr="00C62D22" w:rsidRDefault="0021764E" w:rsidP="0021764E">
      <w:pPr>
        <w:widowControl w:val="0"/>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У 46 (9,1%) пацієнтів до госпіталізації були виконані різні хірургічні втручання, з них: операції на ПЗ виконані 13 (2,6%) хворим, з приводу ПК ПЗ раніше прооперовано 33 (6,5%) пацієнтів. Розподіл хворих, залежно від р</w:t>
      </w:r>
      <w:r w:rsidRPr="00C62D22">
        <w:rPr>
          <w:rFonts w:ascii="Times New Roman" w:hAnsi="Times New Roman" w:cs="Times New Roman"/>
          <w:sz w:val="28"/>
          <w:szCs w:val="28"/>
        </w:rPr>
        <w:t>а</w:t>
      </w:r>
      <w:r w:rsidRPr="00C62D22">
        <w:rPr>
          <w:rFonts w:ascii="Times New Roman" w:hAnsi="Times New Roman" w:cs="Times New Roman"/>
          <w:sz w:val="28"/>
          <w:szCs w:val="28"/>
        </w:rPr>
        <w:t>ніше перенесених оперативних втручань, наведений на рис. 2.4.</w:t>
      </w:r>
    </w:p>
    <w:p w:rsidR="0021764E" w:rsidRPr="00C62D22" w:rsidRDefault="0021764E" w:rsidP="0021764E">
      <w:pPr>
        <w:widowControl w:val="0"/>
        <w:spacing w:after="0" w:line="360" w:lineRule="auto"/>
        <w:ind w:firstLine="709"/>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57"/>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031" type="#_x0000_t202" style="position:absolute;left:0;text-align:left;margin-left:-7.2pt;margin-top:208.95pt;width:516.75pt;height:54.95pt;z-index:251663360" stroked="f">
            <v:textbox style="mso-next-textbox:#_x0000_s1031">
              <w:txbxContent>
                <w:p w:rsidR="0021764E" w:rsidRPr="008E7468" w:rsidRDefault="0021764E" w:rsidP="0021764E">
                  <w:pPr>
                    <w:widowControl w:val="0"/>
                    <w:tabs>
                      <w:tab w:val="left" w:pos="8651"/>
                    </w:tabs>
                    <w:spacing w:after="0" w:line="360" w:lineRule="auto"/>
                    <w:ind w:right="57"/>
                    <w:jc w:val="right"/>
                    <w:rPr>
                      <w:rFonts w:ascii="Times New Roman" w:hAnsi="Times New Roman"/>
                      <w:sz w:val="28"/>
                      <w:szCs w:val="28"/>
                    </w:rPr>
                  </w:pPr>
                  <w:r w:rsidRPr="008E7468">
                    <w:rPr>
                      <w:rFonts w:ascii="Times New Roman" w:hAnsi="Times New Roman"/>
                      <w:sz w:val="28"/>
                      <w:szCs w:val="28"/>
                    </w:rPr>
                    <w:t xml:space="preserve">Рис. 2.4.  Розподіл хворих </w:t>
                  </w:r>
                  <w:r>
                    <w:rPr>
                      <w:rFonts w:ascii="Times New Roman" w:hAnsi="Times New Roman"/>
                      <w:sz w:val="28"/>
                      <w:szCs w:val="28"/>
                    </w:rPr>
                    <w:t xml:space="preserve">з ускладненими ПК ПЗ </w:t>
                  </w:r>
                  <w:r w:rsidRPr="008E7468">
                    <w:rPr>
                      <w:rFonts w:ascii="Times New Roman" w:hAnsi="Times New Roman"/>
                      <w:sz w:val="28"/>
                      <w:szCs w:val="28"/>
                    </w:rPr>
                    <w:t xml:space="preserve"> зал</w:t>
                  </w:r>
                  <w:r>
                    <w:rPr>
                      <w:rFonts w:ascii="Times New Roman" w:hAnsi="Times New Roman"/>
                      <w:sz w:val="28"/>
                      <w:szCs w:val="28"/>
                    </w:rPr>
                    <w:t>ежно</w:t>
                  </w:r>
                  <w:r w:rsidRPr="008E7468">
                    <w:rPr>
                      <w:rFonts w:ascii="Times New Roman" w:hAnsi="Times New Roman"/>
                      <w:sz w:val="28"/>
                      <w:szCs w:val="28"/>
                    </w:rPr>
                    <w:t xml:space="preserve"> від раніше перенесених втручань </w:t>
                  </w:r>
                </w:p>
                <w:p w:rsidR="0021764E" w:rsidRDefault="0021764E" w:rsidP="0021764E">
                  <w:pPr>
                    <w:ind w:firstLine="540"/>
                  </w:pPr>
                </w:p>
              </w:txbxContent>
            </v:textbox>
          </v:shape>
        </w:pict>
      </w:r>
      <w:r w:rsidRPr="00C62D22">
        <w:rPr>
          <w:rFonts w:ascii="Times New Roman" w:hAnsi="Times New Roman" w:cs="Times New Roman"/>
          <w:noProof/>
          <w:sz w:val="28"/>
          <w:szCs w:val="28"/>
        </w:rPr>
        <w:drawing>
          <wp:inline distT="0" distB="0" distL="0" distR="0">
            <wp:extent cx="5829300" cy="265747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srcRect/>
                    <a:stretch>
                      <a:fillRect/>
                    </a:stretch>
                  </pic:blipFill>
                  <pic:spPr bwMode="auto">
                    <a:xfrm>
                      <a:off x="0" y="0"/>
                      <a:ext cx="5829300" cy="2657475"/>
                    </a:xfrm>
                    <a:prstGeom prst="rect">
                      <a:avLst/>
                    </a:prstGeom>
                    <a:noFill/>
                    <a:ln w="9525">
                      <a:noFill/>
                      <a:miter lim="800000"/>
                      <a:headEnd/>
                      <a:tailEnd/>
                    </a:ln>
                  </pic:spPr>
                </pic:pic>
              </a:graphicData>
            </a:graphic>
          </wp:inline>
        </w:drawing>
      </w:r>
    </w:p>
    <w:p w:rsidR="0021764E" w:rsidRPr="00C62D22" w:rsidRDefault="0021764E" w:rsidP="0021764E">
      <w:pPr>
        <w:widowControl w:val="0"/>
        <w:tabs>
          <w:tab w:val="left" w:pos="8651"/>
        </w:tabs>
        <w:spacing w:after="0" w:line="360" w:lineRule="auto"/>
        <w:ind w:right="57"/>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57"/>
        <w:jc w:val="both"/>
        <w:rPr>
          <w:rFonts w:ascii="Times New Roman" w:hAnsi="Times New Roman" w:cs="Times New Roman"/>
          <w:sz w:val="28"/>
          <w:szCs w:val="28"/>
        </w:rPr>
      </w:pPr>
    </w:p>
    <w:p w:rsidR="0021764E" w:rsidRPr="00C62D22" w:rsidRDefault="0021764E" w:rsidP="0021764E">
      <w:pPr>
        <w:tabs>
          <w:tab w:val="left" w:pos="0"/>
          <w:tab w:val="left" w:pos="180"/>
          <w:tab w:val="left" w:pos="540"/>
          <w:tab w:val="left" w:pos="720"/>
        </w:tabs>
        <w:spacing w:after="0" w:line="360" w:lineRule="auto"/>
        <w:jc w:val="both"/>
        <w:rPr>
          <w:rFonts w:ascii="Times New Roman" w:hAnsi="Times New Roman" w:cs="Times New Roman"/>
          <w:b/>
          <w:sz w:val="28"/>
          <w:szCs w:val="28"/>
        </w:rPr>
      </w:pPr>
      <w:r w:rsidRPr="00C62D22">
        <w:rPr>
          <w:rFonts w:ascii="Times New Roman" w:hAnsi="Times New Roman" w:cs="Times New Roman"/>
          <w:b/>
          <w:sz w:val="28"/>
          <w:szCs w:val="28"/>
        </w:rPr>
        <w:t>2.2. Клініко-лабораторні та інструментальні методи дослідження</w:t>
      </w:r>
    </w:p>
    <w:p w:rsidR="0021764E" w:rsidRPr="00C62D22" w:rsidRDefault="0021764E" w:rsidP="0021764E">
      <w:pPr>
        <w:tabs>
          <w:tab w:val="left" w:pos="0"/>
          <w:tab w:val="left" w:pos="180"/>
          <w:tab w:val="left" w:pos="540"/>
          <w:tab w:val="left" w:pos="720"/>
        </w:tabs>
        <w:spacing w:after="0" w:line="360" w:lineRule="auto"/>
        <w:ind w:firstLine="709"/>
        <w:jc w:val="both"/>
        <w:rPr>
          <w:rFonts w:ascii="Times New Roman" w:hAnsi="Times New Roman" w:cs="Times New Roman"/>
          <w:b/>
          <w:kern w:val="28"/>
          <w:sz w:val="28"/>
          <w:szCs w:val="28"/>
        </w:rPr>
      </w:pPr>
    </w:p>
    <w:p w:rsidR="0021764E" w:rsidRPr="00C62D22" w:rsidRDefault="0021764E" w:rsidP="0021764E">
      <w:pPr>
        <w:shd w:val="clear" w:color="auto" w:fill="FFFFFF"/>
        <w:tabs>
          <w:tab w:val="left" w:pos="180"/>
          <w:tab w:val="left" w:pos="540"/>
          <w:tab w:val="left" w:pos="720"/>
        </w:tabs>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Діагноз ПК ПЗ встановлювали на підставі скарг, анамнезу захворювання та даних, які отримані при проведенні комплексного обстеження [123]. Для обст</w:t>
      </w:r>
      <w:r w:rsidRPr="00C62D22">
        <w:rPr>
          <w:rFonts w:ascii="Times New Roman" w:hAnsi="Times New Roman" w:cs="Times New Roman"/>
          <w:sz w:val="28"/>
          <w:szCs w:val="28"/>
        </w:rPr>
        <w:t>е</w:t>
      </w:r>
      <w:r w:rsidRPr="00C62D22">
        <w:rPr>
          <w:rFonts w:ascii="Times New Roman" w:hAnsi="Times New Roman" w:cs="Times New Roman"/>
          <w:sz w:val="28"/>
          <w:szCs w:val="28"/>
        </w:rPr>
        <w:t xml:space="preserve">ження хворих, які надійшли до стаціонару та в післяопераційному періоду, </w:t>
      </w:r>
      <w:r w:rsidRPr="00C62D22">
        <w:rPr>
          <w:rFonts w:ascii="Times New Roman" w:hAnsi="Times New Roman" w:cs="Times New Roman"/>
          <w:sz w:val="28"/>
          <w:szCs w:val="28"/>
        </w:rPr>
        <w:lastRenderedPageBreak/>
        <w:t>використовували клініко-лабораторні, біохімічні та інструментальні методи дослідження. Усім хворим проводили лабораторні дослідження крові, сечі, біох</w:t>
      </w:r>
      <w:r w:rsidRPr="00C62D22">
        <w:rPr>
          <w:rFonts w:ascii="Times New Roman" w:hAnsi="Times New Roman" w:cs="Times New Roman"/>
          <w:sz w:val="28"/>
          <w:szCs w:val="28"/>
        </w:rPr>
        <w:t>і</w:t>
      </w:r>
      <w:r w:rsidRPr="00C62D22">
        <w:rPr>
          <w:rFonts w:ascii="Times New Roman" w:hAnsi="Times New Roman" w:cs="Times New Roman"/>
          <w:sz w:val="28"/>
          <w:szCs w:val="28"/>
        </w:rPr>
        <w:t>мічні дослідження крові, визначення показників згортання крові, групи крові та резус-фактора за уніфікованими методиками.</w:t>
      </w:r>
    </w:p>
    <w:p w:rsidR="0021764E" w:rsidRPr="00C62D22" w:rsidRDefault="0021764E" w:rsidP="0021764E">
      <w:pPr>
        <w:widowControl w:val="0"/>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Концентрацію α-амілази сироватки крові та вмісту ПК ПЗ визначали м</w:t>
      </w:r>
      <w:r w:rsidRPr="00C62D22">
        <w:rPr>
          <w:rFonts w:ascii="Times New Roman" w:hAnsi="Times New Roman" w:cs="Times New Roman"/>
          <w:sz w:val="28"/>
          <w:szCs w:val="28"/>
        </w:rPr>
        <w:t>е</w:t>
      </w:r>
      <w:r w:rsidRPr="00C62D22">
        <w:rPr>
          <w:rFonts w:ascii="Times New Roman" w:hAnsi="Times New Roman" w:cs="Times New Roman"/>
          <w:sz w:val="28"/>
          <w:szCs w:val="28"/>
        </w:rPr>
        <w:t xml:space="preserve">тодом Каравея. </w:t>
      </w:r>
    </w:p>
    <w:p w:rsidR="0021764E" w:rsidRPr="00C62D22" w:rsidRDefault="0021764E" w:rsidP="0021764E">
      <w:pPr>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Для оцінювання ендокринної функції ПЗ усім хворим на ускладнені ПК ПЗ визначали рівень глюкози в сироватці крові.</w:t>
      </w:r>
    </w:p>
    <w:p w:rsidR="0021764E" w:rsidRPr="00C62D22" w:rsidRDefault="0021764E" w:rsidP="0021764E">
      <w:pPr>
        <w:spacing w:after="0" w:line="360" w:lineRule="auto"/>
        <w:ind w:firstLine="720"/>
        <w:jc w:val="both"/>
        <w:rPr>
          <w:rFonts w:ascii="Times New Roman" w:hAnsi="Times New Roman" w:cs="Times New Roman"/>
          <w:b/>
          <w:sz w:val="28"/>
          <w:szCs w:val="28"/>
        </w:rPr>
      </w:pPr>
      <w:r w:rsidRPr="00C62D22">
        <w:rPr>
          <w:rFonts w:ascii="Times New Roman" w:eastAsia="MyriadPro-Bold" w:hAnsi="Times New Roman" w:cs="Times New Roman"/>
          <w:bCs/>
          <w:sz w:val="28"/>
          <w:szCs w:val="28"/>
        </w:rPr>
        <w:t xml:space="preserve">Визначали VEGF на </w:t>
      </w:r>
      <w:r w:rsidRPr="00C62D22">
        <w:rPr>
          <w:rFonts w:ascii="Times New Roman" w:hAnsi="Times New Roman" w:cs="Times New Roman"/>
          <w:sz w:val="28"/>
          <w:szCs w:val="28"/>
        </w:rPr>
        <w:t>базі лабораторії радіаційної імунології Національної Академії медичних наук Укр</w:t>
      </w:r>
      <w:r w:rsidRPr="00C62D22">
        <w:rPr>
          <w:rFonts w:ascii="Times New Roman" w:hAnsi="Times New Roman" w:cs="Times New Roman"/>
          <w:sz w:val="28"/>
          <w:szCs w:val="28"/>
        </w:rPr>
        <w:t>а</w:t>
      </w:r>
      <w:r w:rsidRPr="00C62D22">
        <w:rPr>
          <w:rFonts w:ascii="Times New Roman" w:hAnsi="Times New Roman" w:cs="Times New Roman"/>
          <w:sz w:val="28"/>
          <w:szCs w:val="28"/>
        </w:rPr>
        <w:t>їни Державної установи «Інститут медичної радіології ім. С.П. Григор'єва» (свідо</w:t>
      </w:r>
      <w:r w:rsidRPr="00C62D22">
        <w:rPr>
          <w:rFonts w:ascii="Times New Roman" w:hAnsi="Times New Roman" w:cs="Times New Roman"/>
          <w:sz w:val="28"/>
          <w:szCs w:val="28"/>
        </w:rPr>
        <w:t>ц</w:t>
      </w:r>
      <w:r w:rsidRPr="00C62D22">
        <w:rPr>
          <w:rFonts w:ascii="Times New Roman" w:hAnsi="Times New Roman" w:cs="Times New Roman"/>
          <w:sz w:val="28"/>
          <w:szCs w:val="28"/>
        </w:rPr>
        <w:t>тво про атестацію № 100-059/2012 від 26.03.2012 р.) – завідувач к. мед. н. П.П. Сор</w:t>
      </w:r>
      <w:r w:rsidRPr="00C62D22">
        <w:rPr>
          <w:rFonts w:ascii="Times New Roman" w:hAnsi="Times New Roman" w:cs="Times New Roman"/>
          <w:sz w:val="28"/>
          <w:szCs w:val="28"/>
        </w:rPr>
        <w:t>о</w:t>
      </w:r>
      <w:r w:rsidRPr="00C62D22">
        <w:rPr>
          <w:rFonts w:ascii="Times New Roman" w:hAnsi="Times New Roman" w:cs="Times New Roman"/>
          <w:sz w:val="28"/>
          <w:szCs w:val="28"/>
        </w:rPr>
        <w:t>чан.</w:t>
      </w:r>
      <w:r w:rsidRPr="00C62D22">
        <w:rPr>
          <w:rFonts w:ascii="Times New Roman" w:hAnsi="Times New Roman" w:cs="Times New Roman"/>
          <w:b/>
          <w:sz w:val="28"/>
          <w:szCs w:val="28"/>
        </w:rPr>
        <w:t xml:space="preserve"> </w:t>
      </w:r>
      <w:r w:rsidRPr="00C62D22">
        <w:rPr>
          <w:rFonts w:ascii="Times New Roman" w:eastAsia="GaramondC-Light" w:hAnsi="Times New Roman" w:cs="Times New Roman"/>
          <w:sz w:val="28"/>
          <w:szCs w:val="28"/>
        </w:rPr>
        <w:t>Для дослідження концентрації фактора росту ендотелію судин кров у обстежуваних пацієнтів відбирали в ранкові г</w:t>
      </w:r>
      <w:r w:rsidRPr="00C62D22">
        <w:rPr>
          <w:rFonts w:ascii="Times New Roman" w:eastAsia="GaramondC-Light" w:hAnsi="Times New Roman" w:cs="Times New Roman"/>
          <w:sz w:val="28"/>
          <w:szCs w:val="28"/>
        </w:rPr>
        <w:t>о</w:t>
      </w:r>
      <w:r w:rsidRPr="00C62D22">
        <w:rPr>
          <w:rFonts w:ascii="Times New Roman" w:eastAsia="GaramondC-Light" w:hAnsi="Times New Roman" w:cs="Times New Roman"/>
          <w:sz w:val="28"/>
          <w:szCs w:val="28"/>
        </w:rPr>
        <w:t>дини до прийому їжі з кубітальної вени для отримання плазми без домішок та протягом години після забору пробірки з кров'ю доставляли в лабораторію для наступної обробки. Концентрацію VEGF в плазмі крові визначали із застосуванням наб</w:t>
      </w:r>
      <w:r w:rsidRPr="00C62D22">
        <w:rPr>
          <w:rFonts w:ascii="Times New Roman" w:eastAsia="GaramondC-Light" w:hAnsi="Times New Roman" w:cs="Times New Roman"/>
          <w:sz w:val="28"/>
          <w:szCs w:val="28"/>
        </w:rPr>
        <w:t>о</w:t>
      </w:r>
      <w:r w:rsidRPr="00C62D22">
        <w:rPr>
          <w:rFonts w:ascii="Times New Roman" w:eastAsia="GaramondC-Light" w:hAnsi="Times New Roman" w:cs="Times New Roman"/>
          <w:sz w:val="28"/>
          <w:szCs w:val="28"/>
        </w:rPr>
        <w:t xml:space="preserve">ру реактивів для твердофазного імуноферментного аналізу "VEGF </w:t>
      </w:r>
      <w:r w:rsidRPr="00C62D22">
        <w:rPr>
          <w:rFonts w:ascii="Times New Roman" w:hAnsi="Times New Roman" w:cs="Times New Roman"/>
          <w:sz w:val="28"/>
          <w:szCs w:val="28"/>
        </w:rPr>
        <w:t>–</w:t>
      </w:r>
      <w:r w:rsidRPr="00C62D22">
        <w:rPr>
          <w:rFonts w:ascii="Times New Roman" w:eastAsia="GaramondC-Light" w:hAnsi="Times New Roman" w:cs="Times New Roman"/>
          <w:sz w:val="28"/>
          <w:szCs w:val="28"/>
        </w:rPr>
        <w:t xml:space="preserve"> ІФА </w:t>
      </w:r>
      <w:r w:rsidRPr="00C62D22">
        <w:rPr>
          <w:rFonts w:ascii="Times New Roman" w:hAnsi="Times New Roman" w:cs="Times New Roman"/>
          <w:sz w:val="28"/>
          <w:szCs w:val="28"/>
        </w:rPr>
        <w:t xml:space="preserve">– </w:t>
      </w:r>
      <w:r w:rsidRPr="00C62D22">
        <w:rPr>
          <w:rFonts w:ascii="Times New Roman" w:eastAsia="GaramondC-Light" w:hAnsi="Times New Roman" w:cs="Times New Roman"/>
          <w:sz w:val="28"/>
          <w:szCs w:val="28"/>
        </w:rPr>
        <w:t>ЕСТ" (ЗАТ «Вектор</w:t>
      </w:r>
      <w:r w:rsidRPr="00C62D22">
        <w:rPr>
          <w:rFonts w:ascii="Times New Roman" w:hAnsi="Times New Roman" w:cs="Times New Roman"/>
          <w:sz w:val="28"/>
          <w:szCs w:val="28"/>
        </w:rPr>
        <w:t>–</w:t>
      </w:r>
      <w:r w:rsidRPr="00C62D22">
        <w:rPr>
          <w:rFonts w:ascii="Times New Roman" w:eastAsia="GaramondC-Light" w:hAnsi="Times New Roman" w:cs="Times New Roman"/>
          <w:sz w:val="28"/>
          <w:szCs w:val="28"/>
        </w:rPr>
        <w:t>Бест», Новосибірськ), а також набору "Human VEGF Quantikine ELISA" ("R&amp;D Systems", США). Дослідження в</w:t>
      </w:r>
      <w:r w:rsidRPr="00C62D22">
        <w:rPr>
          <w:rFonts w:ascii="Times New Roman" w:eastAsia="GaramondC-Light" w:hAnsi="Times New Roman" w:cs="Times New Roman"/>
          <w:sz w:val="28"/>
          <w:szCs w:val="28"/>
        </w:rPr>
        <w:t>и</w:t>
      </w:r>
      <w:r w:rsidRPr="00C62D22">
        <w:rPr>
          <w:rFonts w:ascii="Times New Roman" w:eastAsia="GaramondC-Light" w:hAnsi="Times New Roman" w:cs="Times New Roman"/>
          <w:sz w:val="28"/>
          <w:szCs w:val="28"/>
        </w:rPr>
        <w:t>конувалися до операції, на 3</w:t>
      </w:r>
      <w:r w:rsidRPr="00C62D22">
        <w:rPr>
          <w:rFonts w:ascii="Times New Roman" w:hAnsi="Times New Roman" w:cs="Times New Roman"/>
          <w:sz w:val="28"/>
          <w:szCs w:val="28"/>
        </w:rPr>
        <w:t>–</w:t>
      </w:r>
      <w:r w:rsidRPr="00C62D22">
        <w:rPr>
          <w:rFonts w:ascii="Times New Roman" w:eastAsia="GaramondC-Light" w:hAnsi="Times New Roman" w:cs="Times New Roman"/>
          <w:sz w:val="28"/>
          <w:szCs w:val="28"/>
        </w:rPr>
        <w:t>5 та на 10</w:t>
      </w:r>
      <w:r w:rsidRPr="00C62D22">
        <w:rPr>
          <w:rFonts w:ascii="Times New Roman" w:hAnsi="Times New Roman" w:cs="Times New Roman"/>
          <w:sz w:val="28"/>
          <w:szCs w:val="28"/>
        </w:rPr>
        <w:t>–</w:t>
      </w:r>
      <w:r w:rsidRPr="00C62D22">
        <w:rPr>
          <w:rFonts w:ascii="Times New Roman" w:eastAsia="GaramondC-Light" w:hAnsi="Times New Roman" w:cs="Times New Roman"/>
          <w:sz w:val="28"/>
          <w:szCs w:val="28"/>
        </w:rPr>
        <w:t>14 добу після неї.</w:t>
      </w:r>
    </w:p>
    <w:p w:rsidR="0021764E" w:rsidRPr="00C62D22" w:rsidRDefault="0021764E" w:rsidP="0021764E">
      <w:pPr>
        <w:spacing w:after="0" w:line="360" w:lineRule="auto"/>
        <w:ind w:firstLine="720"/>
        <w:jc w:val="both"/>
        <w:rPr>
          <w:rFonts w:ascii="Times New Roman" w:hAnsi="Times New Roman" w:cs="Times New Roman"/>
          <w:b/>
          <w:sz w:val="28"/>
          <w:szCs w:val="28"/>
        </w:rPr>
      </w:pPr>
      <w:r w:rsidRPr="00C62D22">
        <w:rPr>
          <w:rFonts w:ascii="Times New Roman" w:eastAsia="MyriadPro-Bold" w:hAnsi="Times New Roman" w:cs="Times New Roman"/>
          <w:bCs/>
          <w:sz w:val="28"/>
          <w:szCs w:val="28"/>
        </w:rPr>
        <w:t xml:space="preserve">Рівень </w:t>
      </w:r>
      <w:r w:rsidRPr="00C62D22">
        <w:rPr>
          <w:rFonts w:ascii="Times New Roman" w:hAnsi="Times New Roman" w:cs="Times New Roman"/>
          <w:sz w:val="28"/>
          <w:szCs w:val="28"/>
        </w:rPr>
        <w:t>ММП-9, її інгібітор ТІМП-2 та комплекс з інгібітором (ММП–9/ТІМП–2 у сироватці крові з використанням імуноферментного м</w:t>
      </w:r>
      <w:r w:rsidRPr="00C62D22">
        <w:rPr>
          <w:rFonts w:ascii="Times New Roman" w:hAnsi="Times New Roman" w:cs="Times New Roman"/>
          <w:sz w:val="28"/>
          <w:szCs w:val="28"/>
        </w:rPr>
        <w:t>е</w:t>
      </w:r>
      <w:r w:rsidRPr="00C62D22">
        <w:rPr>
          <w:rFonts w:ascii="Times New Roman" w:hAnsi="Times New Roman" w:cs="Times New Roman"/>
          <w:sz w:val="28"/>
          <w:szCs w:val="28"/>
        </w:rPr>
        <w:t>тоду, ММП–9, ТІМП–2 досліджували за допомогою комерційних діагностичних наборів фірм R&amp;D Diagnostics Inc. (США): Human ММP–9 Quant</w:t>
      </w:r>
      <w:r w:rsidRPr="00C62D22">
        <w:rPr>
          <w:rFonts w:ascii="Times New Roman" w:hAnsi="Times New Roman" w:cs="Times New Roman"/>
          <w:sz w:val="28"/>
          <w:szCs w:val="28"/>
        </w:rPr>
        <w:t>i</w:t>
      </w:r>
      <w:r w:rsidRPr="00C62D22">
        <w:rPr>
          <w:rFonts w:ascii="Times New Roman" w:hAnsi="Times New Roman" w:cs="Times New Roman"/>
          <w:sz w:val="28"/>
          <w:szCs w:val="28"/>
        </w:rPr>
        <w:t>kine ELISA Kit, кат.GA30092; Human ТІМP–2 Quantikine ELISA Kit, кат. ВЕ69073) на базі лаб</w:t>
      </w:r>
      <w:r w:rsidRPr="00C62D22">
        <w:rPr>
          <w:rFonts w:ascii="Times New Roman" w:hAnsi="Times New Roman" w:cs="Times New Roman"/>
          <w:sz w:val="28"/>
          <w:szCs w:val="28"/>
        </w:rPr>
        <w:t>о</w:t>
      </w:r>
      <w:r w:rsidRPr="00C62D22">
        <w:rPr>
          <w:rFonts w:ascii="Times New Roman" w:hAnsi="Times New Roman" w:cs="Times New Roman"/>
          <w:sz w:val="28"/>
          <w:szCs w:val="28"/>
        </w:rPr>
        <w:t>раторії радіаційної імунології Національної Академії медичних наук України Державної установи «Інститут медичної радіології ім. С.П. Григор'єва».</w:t>
      </w:r>
    </w:p>
    <w:p w:rsidR="0021764E" w:rsidRPr="00C62D22" w:rsidRDefault="0021764E" w:rsidP="0021764E">
      <w:pPr>
        <w:autoSpaceDE w:val="0"/>
        <w:autoSpaceDN w:val="0"/>
        <w:adjustRightInd w:val="0"/>
        <w:spacing w:after="0" w:line="360" w:lineRule="auto"/>
        <w:ind w:firstLine="708"/>
        <w:jc w:val="both"/>
        <w:rPr>
          <w:rFonts w:ascii="Times New Roman" w:hAnsi="Times New Roman" w:cs="Times New Roman"/>
          <w:sz w:val="28"/>
          <w:szCs w:val="28"/>
        </w:rPr>
      </w:pPr>
      <w:r w:rsidRPr="00C62D22">
        <w:rPr>
          <w:rFonts w:ascii="Times New Roman" w:hAnsi="Times New Roman" w:cs="Times New Roman"/>
          <w:sz w:val="28"/>
          <w:szCs w:val="28"/>
        </w:rPr>
        <w:t xml:space="preserve">Визначення концентрації ММП–9 у сироватці крові використовувалося для отримання інформації щодо стану тканинної реконструкції та дозволяло оцінити динаміку проявів патологічного процесу та ефективності лікування. Для визначення </w:t>
      </w:r>
      <w:r w:rsidRPr="00C62D22">
        <w:rPr>
          <w:rFonts w:ascii="Times New Roman" w:hAnsi="Times New Roman" w:cs="Times New Roman"/>
          <w:sz w:val="28"/>
          <w:szCs w:val="28"/>
        </w:rPr>
        <w:lastRenderedPageBreak/>
        <w:t>ММП–9 з венозної крові пацієнта відокремлювали сироватку та зберігали її при температурі –20 °С до наступного дослідження. Безпос</w:t>
      </w:r>
      <w:r w:rsidRPr="00C62D22">
        <w:rPr>
          <w:rFonts w:ascii="Times New Roman" w:hAnsi="Times New Roman" w:cs="Times New Roman"/>
          <w:sz w:val="28"/>
          <w:szCs w:val="28"/>
        </w:rPr>
        <w:t>е</w:t>
      </w:r>
      <w:r w:rsidRPr="00C62D22">
        <w:rPr>
          <w:rFonts w:ascii="Times New Roman" w:hAnsi="Times New Roman" w:cs="Times New Roman"/>
          <w:sz w:val="28"/>
          <w:szCs w:val="28"/>
        </w:rPr>
        <w:t>редньо перед початком аналізу мікропланшет промивали сольовим буферним розчином. Далі у відповідні мікростріпи вносили аліквоту (100 мкл) станда</w:t>
      </w:r>
      <w:r w:rsidRPr="00C62D22">
        <w:rPr>
          <w:rFonts w:ascii="Times New Roman" w:hAnsi="Times New Roman" w:cs="Times New Roman"/>
          <w:sz w:val="28"/>
          <w:szCs w:val="28"/>
        </w:rPr>
        <w:t>р</w:t>
      </w:r>
      <w:r w:rsidRPr="00C62D22">
        <w:rPr>
          <w:rFonts w:ascii="Times New Roman" w:hAnsi="Times New Roman" w:cs="Times New Roman"/>
          <w:sz w:val="28"/>
          <w:szCs w:val="28"/>
        </w:rPr>
        <w:t>тних розчинів ММП–9 та зразків сироватки, розведених робочим буфером (1:10). Перша інкубація відбувалася на шейкері впродовж 2 годин при кімнатній те</w:t>
      </w:r>
      <w:r w:rsidRPr="00C62D22">
        <w:rPr>
          <w:rFonts w:ascii="Times New Roman" w:hAnsi="Times New Roman" w:cs="Times New Roman"/>
          <w:sz w:val="28"/>
          <w:szCs w:val="28"/>
        </w:rPr>
        <w:t>м</w:t>
      </w:r>
      <w:r w:rsidRPr="00C62D22">
        <w:rPr>
          <w:rFonts w:ascii="Times New Roman" w:hAnsi="Times New Roman" w:cs="Times New Roman"/>
          <w:sz w:val="28"/>
          <w:szCs w:val="28"/>
        </w:rPr>
        <w:t>пературі +18–20º С після внесення в кожну лунку по 50 мкл біотинового кон'</w:t>
      </w:r>
      <w:r w:rsidRPr="00C62D22">
        <w:rPr>
          <w:rFonts w:ascii="Times New Roman" w:hAnsi="Times New Roman" w:cs="Times New Roman"/>
          <w:sz w:val="28"/>
          <w:szCs w:val="28"/>
        </w:rPr>
        <w:t>ю</w:t>
      </w:r>
      <w:r w:rsidRPr="00C62D22">
        <w:rPr>
          <w:rFonts w:ascii="Times New Roman" w:hAnsi="Times New Roman" w:cs="Times New Roman"/>
          <w:sz w:val="28"/>
          <w:szCs w:val="28"/>
        </w:rPr>
        <w:t>гату. Другу інкубацію проводили впродовж 1 години при темпер</w:t>
      </w:r>
      <w:r w:rsidRPr="00C62D22">
        <w:rPr>
          <w:rFonts w:ascii="Times New Roman" w:hAnsi="Times New Roman" w:cs="Times New Roman"/>
          <w:sz w:val="28"/>
          <w:szCs w:val="28"/>
        </w:rPr>
        <w:t>а</w:t>
      </w:r>
      <w:r w:rsidRPr="00C62D22">
        <w:rPr>
          <w:rFonts w:ascii="Times New Roman" w:hAnsi="Times New Roman" w:cs="Times New Roman"/>
          <w:sz w:val="28"/>
          <w:szCs w:val="28"/>
        </w:rPr>
        <w:t>турі +18–20º С з додаванням у кожну лунку по 100 мкл розчину стрептавідин – пероксидази. Абсорбцію зразків вимірювали на імуноферментному аналізаторі при довжині хвилі 450 нм проти 650 нм. Результати (в пг/мл) фіксували автоматично за д</w:t>
      </w:r>
      <w:r w:rsidRPr="00C62D22">
        <w:rPr>
          <w:rFonts w:ascii="Times New Roman" w:hAnsi="Times New Roman" w:cs="Times New Roman"/>
          <w:sz w:val="28"/>
          <w:szCs w:val="28"/>
        </w:rPr>
        <w:t>о</w:t>
      </w:r>
      <w:r w:rsidRPr="00C62D22">
        <w:rPr>
          <w:rFonts w:ascii="Times New Roman" w:hAnsi="Times New Roman" w:cs="Times New Roman"/>
          <w:sz w:val="28"/>
          <w:szCs w:val="28"/>
        </w:rPr>
        <w:t>помогою відповідного програмного забезпечення та згідно калібрувальної кр</w:t>
      </w:r>
      <w:r w:rsidRPr="00C62D22">
        <w:rPr>
          <w:rFonts w:ascii="Times New Roman" w:hAnsi="Times New Roman" w:cs="Times New Roman"/>
          <w:sz w:val="28"/>
          <w:szCs w:val="28"/>
        </w:rPr>
        <w:t>и</w:t>
      </w:r>
      <w:r w:rsidRPr="00C62D22">
        <w:rPr>
          <w:rFonts w:ascii="Times New Roman" w:hAnsi="Times New Roman" w:cs="Times New Roman"/>
          <w:sz w:val="28"/>
          <w:szCs w:val="28"/>
        </w:rPr>
        <w:t xml:space="preserve">вої. Діапазон вимірів: 0,05–15,0 пг/мл. Чутливість: 0,05 пг/мл. До уваги також приймали коефіцієнт розведення зразків. </w:t>
      </w:r>
    </w:p>
    <w:p w:rsidR="0021764E" w:rsidRPr="00C62D22" w:rsidRDefault="0021764E" w:rsidP="0021764E">
      <w:pPr>
        <w:spacing w:after="0" w:line="360" w:lineRule="auto"/>
        <w:ind w:firstLine="708"/>
        <w:jc w:val="both"/>
        <w:rPr>
          <w:rFonts w:ascii="Times New Roman" w:hAnsi="Times New Roman" w:cs="Times New Roman"/>
          <w:i/>
          <w:sz w:val="28"/>
          <w:szCs w:val="28"/>
          <w:u w:val="single"/>
        </w:rPr>
      </w:pPr>
      <w:r w:rsidRPr="00C62D22">
        <w:rPr>
          <w:rFonts w:ascii="Times New Roman" w:hAnsi="Times New Roman" w:cs="Times New Roman"/>
          <w:sz w:val="28"/>
          <w:szCs w:val="28"/>
        </w:rPr>
        <w:t>Набір Human TIMP–2 Quantikine ELISA Kit використовували для кількі</w:t>
      </w:r>
      <w:r w:rsidRPr="00C62D22">
        <w:rPr>
          <w:rFonts w:ascii="Times New Roman" w:hAnsi="Times New Roman" w:cs="Times New Roman"/>
          <w:sz w:val="28"/>
          <w:szCs w:val="28"/>
        </w:rPr>
        <w:t>с</w:t>
      </w:r>
      <w:r w:rsidRPr="00C62D22">
        <w:rPr>
          <w:rFonts w:ascii="Times New Roman" w:hAnsi="Times New Roman" w:cs="Times New Roman"/>
          <w:sz w:val="28"/>
          <w:szCs w:val="28"/>
        </w:rPr>
        <w:t>ного визначення тканинного інгібітору металопротеїнази – 2 (TIMP–2) у зра</w:t>
      </w:r>
      <w:r w:rsidRPr="00C62D22">
        <w:rPr>
          <w:rFonts w:ascii="Times New Roman" w:hAnsi="Times New Roman" w:cs="Times New Roman"/>
          <w:sz w:val="28"/>
          <w:szCs w:val="28"/>
        </w:rPr>
        <w:t>з</w:t>
      </w:r>
      <w:r w:rsidRPr="00C62D22">
        <w:rPr>
          <w:rFonts w:ascii="Times New Roman" w:hAnsi="Times New Roman" w:cs="Times New Roman"/>
          <w:sz w:val="28"/>
          <w:szCs w:val="28"/>
        </w:rPr>
        <w:t>ках сироватки крові методом імунофлюоресцентного аналізу. З венозної крові пац</w:t>
      </w:r>
      <w:r w:rsidRPr="00C62D22">
        <w:rPr>
          <w:rFonts w:ascii="Times New Roman" w:hAnsi="Times New Roman" w:cs="Times New Roman"/>
          <w:sz w:val="28"/>
          <w:szCs w:val="28"/>
        </w:rPr>
        <w:t>і</w:t>
      </w:r>
      <w:r w:rsidRPr="00C62D22">
        <w:rPr>
          <w:rFonts w:ascii="Times New Roman" w:hAnsi="Times New Roman" w:cs="Times New Roman"/>
          <w:sz w:val="28"/>
          <w:szCs w:val="28"/>
        </w:rPr>
        <w:t>єнта відокремлювали сироватку та зберігали її при температурі –20 °С до н</w:t>
      </w:r>
      <w:r w:rsidRPr="00C62D22">
        <w:rPr>
          <w:rFonts w:ascii="Times New Roman" w:hAnsi="Times New Roman" w:cs="Times New Roman"/>
          <w:sz w:val="28"/>
          <w:szCs w:val="28"/>
        </w:rPr>
        <w:t>а</w:t>
      </w:r>
      <w:r w:rsidRPr="00C62D22">
        <w:rPr>
          <w:rFonts w:ascii="Times New Roman" w:hAnsi="Times New Roman" w:cs="Times New Roman"/>
          <w:sz w:val="28"/>
          <w:szCs w:val="28"/>
        </w:rPr>
        <w:t>ступного дослідження. Безпосередньо перед початком аналізу мікропланшет промивали сольовим буферним розчином. Далі у відповідні мікростріпи внос</w:t>
      </w:r>
      <w:r w:rsidRPr="00C62D22">
        <w:rPr>
          <w:rFonts w:ascii="Times New Roman" w:hAnsi="Times New Roman" w:cs="Times New Roman"/>
          <w:sz w:val="28"/>
          <w:szCs w:val="28"/>
        </w:rPr>
        <w:t>и</w:t>
      </w:r>
      <w:r w:rsidRPr="00C62D22">
        <w:rPr>
          <w:rFonts w:ascii="Times New Roman" w:hAnsi="Times New Roman" w:cs="Times New Roman"/>
          <w:sz w:val="28"/>
          <w:szCs w:val="28"/>
        </w:rPr>
        <w:t>ли аліквоту (100 мкл) стандартних розчинів ТІМП–2 та зразків сироватки, ро</w:t>
      </w:r>
      <w:r w:rsidRPr="00C62D22">
        <w:rPr>
          <w:rFonts w:ascii="Times New Roman" w:hAnsi="Times New Roman" w:cs="Times New Roman"/>
          <w:sz w:val="28"/>
          <w:szCs w:val="28"/>
        </w:rPr>
        <w:t>з</w:t>
      </w:r>
      <w:r w:rsidRPr="00C62D22">
        <w:rPr>
          <w:rFonts w:ascii="Times New Roman" w:hAnsi="Times New Roman" w:cs="Times New Roman"/>
          <w:sz w:val="28"/>
          <w:szCs w:val="28"/>
        </w:rPr>
        <w:t>ведених робочим буфером (1:10). Перша інкубація відбувалася на шейкері впродовж 2 годин при кімнатній температурі +18–20ºС після внесення в кожну лунку по 50 мкл біотинового кон'югату. Другу інкубацію пр</w:t>
      </w:r>
      <w:r w:rsidRPr="00C62D22">
        <w:rPr>
          <w:rFonts w:ascii="Times New Roman" w:hAnsi="Times New Roman" w:cs="Times New Roman"/>
          <w:sz w:val="28"/>
          <w:szCs w:val="28"/>
        </w:rPr>
        <w:t>о</w:t>
      </w:r>
      <w:r w:rsidRPr="00C62D22">
        <w:rPr>
          <w:rFonts w:ascii="Times New Roman" w:hAnsi="Times New Roman" w:cs="Times New Roman"/>
          <w:sz w:val="28"/>
          <w:szCs w:val="28"/>
        </w:rPr>
        <w:t>водили впродовж 1 години при температурі +18–20ºС з додаванням у кожну лунку по 100 мкл розчину стрептавідин – пероксидази. Абсорбцію зразків вимірювали на імун</w:t>
      </w:r>
      <w:r w:rsidRPr="00C62D22">
        <w:rPr>
          <w:rFonts w:ascii="Times New Roman" w:hAnsi="Times New Roman" w:cs="Times New Roman"/>
          <w:sz w:val="28"/>
          <w:szCs w:val="28"/>
        </w:rPr>
        <w:t>о</w:t>
      </w:r>
      <w:r w:rsidRPr="00C62D22">
        <w:rPr>
          <w:rFonts w:ascii="Times New Roman" w:hAnsi="Times New Roman" w:cs="Times New Roman"/>
          <w:sz w:val="28"/>
          <w:szCs w:val="28"/>
        </w:rPr>
        <w:t>ферментному аналізаторі при довжині хвилі 450 нм проти 650 нм. Результати (у пг/мл) фіксували автоматично за допомогою відповідного програмного забе</w:t>
      </w:r>
      <w:r w:rsidRPr="00C62D22">
        <w:rPr>
          <w:rFonts w:ascii="Times New Roman" w:hAnsi="Times New Roman" w:cs="Times New Roman"/>
          <w:sz w:val="28"/>
          <w:szCs w:val="28"/>
        </w:rPr>
        <w:t>з</w:t>
      </w:r>
      <w:r w:rsidRPr="00C62D22">
        <w:rPr>
          <w:rFonts w:ascii="Times New Roman" w:hAnsi="Times New Roman" w:cs="Times New Roman"/>
          <w:sz w:val="28"/>
          <w:szCs w:val="28"/>
        </w:rPr>
        <w:t>печення та згідно калібрувальної кривої. Діапазон вимірів: 0,064–10 пг/мл. Аналітична чутливість: 0,064 пг/мл. До уваги також брали коефіцієнт ро</w:t>
      </w:r>
      <w:r w:rsidRPr="00C62D22">
        <w:rPr>
          <w:rFonts w:ascii="Times New Roman" w:hAnsi="Times New Roman" w:cs="Times New Roman"/>
          <w:sz w:val="28"/>
          <w:szCs w:val="28"/>
        </w:rPr>
        <w:t>з</w:t>
      </w:r>
      <w:r w:rsidRPr="00C62D22">
        <w:rPr>
          <w:rFonts w:ascii="Times New Roman" w:hAnsi="Times New Roman" w:cs="Times New Roman"/>
          <w:sz w:val="28"/>
          <w:szCs w:val="28"/>
        </w:rPr>
        <w:t xml:space="preserve">ведення зразків. </w:t>
      </w:r>
    </w:p>
    <w:p w:rsidR="0021764E" w:rsidRPr="00C62D22" w:rsidRDefault="0021764E" w:rsidP="0021764E">
      <w:pPr>
        <w:spacing w:after="0" w:line="360" w:lineRule="auto"/>
        <w:ind w:firstLine="720"/>
        <w:jc w:val="both"/>
        <w:rPr>
          <w:rFonts w:ascii="Times New Roman" w:hAnsi="Times New Roman" w:cs="Times New Roman"/>
          <w:sz w:val="28"/>
          <w:szCs w:val="28"/>
        </w:rPr>
      </w:pPr>
      <w:r w:rsidRPr="00C62D22">
        <w:rPr>
          <w:rFonts w:ascii="Times New Roman" w:hAnsi="Times New Roman" w:cs="Times New Roman"/>
          <w:sz w:val="28"/>
          <w:szCs w:val="28"/>
        </w:rPr>
        <w:lastRenderedPageBreak/>
        <w:t>Визначення плазматичних рівнів ІL–6 та ІL–10 проводилося імунофе</w:t>
      </w:r>
      <w:r w:rsidRPr="00C62D22">
        <w:rPr>
          <w:rFonts w:ascii="Times New Roman" w:hAnsi="Times New Roman" w:cs="Times New Roman"/>
          <w:sz w:val="28"/>
          <w:szCs w:val="28"/>
        </w:rPr>
        <w:t>р</w:t>
      </w:r>
      <w:r w:rsidRPr="00C62D22">
        <w:rPr>
          <w:rFonts w:ascii="Times New Roman" w:hAnsi="Times New Roman" w:cs="Times New Roman"/>
          <w:sz w:val="28"/>
          <w:szCs w:val="28"/>
        </w:rPr>
        <w:t>ментним методом за допомогою набору реагентів виробництва ЗАТ «Ве</w:t>
      </w:r>
      <w:r w:rsidRPr="00C62D22">
        <w:rPr>
          <w:rFonts w:ascii="Times New Roman" w:hAnsi="Times New Roman" w:cs="Times New Roman"/>
          <w:sz w:val="28"/>
          <w:szCs w:val="28"/>
        </w:rPr>
        <w:t>к</w:t>
      </w:r>
      <w:r w:rsidRPr="00C62D22">
        <w:rPr>
          <w:rFonts w:ascii="Times New Roman" w:hAnsi="Times New Roman" w:cs="Times New Roman"/>
          <w:sz w:val="28"/>
          <w:szCs w:val="28"/>
        </w:rPr>
        <w:t>тор–Бест» (Росія): інтерлейкін–6–ІФА–БЕСТ, сер. А–8768; інтерлейкін–10–ІФА–БЕСТ, сер. А–8774 на базі лабораторії радіаційної імунології Національної Академії медичних наук України Державної установи «Інститут медичної р</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діології ім. С.П. Григор'єва». </w:t>
      </w:r>
    </w:p>
    <w:p w:rsidR="0021764E" w:rsidRPr="00C62D22" w:rsidRDefault="0021764E" w:rsidP="0021764E">
      <w:pPr>
        <w:spacing w:after="0" w:line="360" w:lineRule="auto"/>
        <w:ind w:firstLine="720"/>
        <w:jc w:val="both"/>
        <w:rPr>
          <w:rFonts w:ascii="Times New Roman" w:hAnsi="Times New Roman" w:cs="Times New Roman"/>
          <w:sz w:val="28"/>
          <w:szCs w:val="28"/>
        </w:rPr>
      </w:pPr>
      <w:r w:rsidRPr="00C62D22">
        <w:rPr>
          <w:rFonts w:ascii="Times New Roman" w:hAnsi="Times New Roman" w:cs="Times New Roman"/>
          <w:sz w:val="28"/>
          <w:szCs w:val="28"/>
        </w:rPr>
        <w:t>Визначення плазматичного рівня IL–8 проводилося імуноферментним методом за допомогою тест-систем виробництва «</w:t>
      </w:r>
      <w:r w:rsidRPr="00C62D22">
        <w:rPr>
          <w:rFonts w:ascii="Times New Roman" w:eastAsia="MyriadPro-Regular" w:hAnsi="Times New Roman" w:cs="Times New Roman"/>
          <w:sz w:val="28"/>
          <w:szCs w:val="28"/>
        </w:rPr>
        <w:t>BIOSOURCE IL</w:t>
      </w:r>
      <w:r w:rsidRPr="00C62D22">
        <w:rPr>
          <w:rFonts w:ascii="Times New Roman" w:hAnsi="Times New Roman" w:cs="Times New Roman"/>
          <w:sz w:val="28"/>
          <w:szCs w:val="28"/>
        </w:rPr>
        <w:t>–8 EASIA kit», кат. КАС1301 (Бельгія) на базі лабораторії радіаційної імунології Наці</w:t>
      </w:r>
      <w:r w:rsidRPr="00C62D22">
        <w:rPr>
          <w:rFonts w:ascii="Times New Roman" w:hAnsi="Times New Roman" w:cs="Times New Roman"/>
          <w:sz w:val="28"/>
          <w:szCs w:val="28"/>
        </w:rPr>
        <w:t>о</w:t>
      </w:r>
      <w:r w:rsidRPr="00C62D22">
        <w:rPr>
          <w:rFonts w:ascii="Times New Roman" w:hAnsi="Times New Roman" w:cs="Times New Roman"/>
          <w:sz w:val="28"/>
          <w:szCs w:val="28"/>
        </w:rPr>
        <w:t>нальної Академії медичних наук України Державної установи «Інститут медичної р</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діології ім. С.П. Григор'єва». </w:t>
      </w:r>
    </w:p>
    <w:p w:rsidR="0021764E" w:rsidRPr="00C62D22" w:rsidRDefault="0021764E" w:rsidP="0021764E">
      <w:pPr>
        <w:spacing w:after="0" w:line="360" w:lineRule="auto"/>
        <w:ind w:firstLine="720"/>
        <w:jc w:val="both"/>
        <w:rPr>
          <w:rFonts w:ascii="Times New Roman" w:hAnsi="Times New Roman" w:cs="Times New Roman"/>
          <w:sz w:val="28"/>
          <w:szCs w:val="28"/>
        </w:rPr>
      </w:pPr>
      <w:r w:rsidRPr="00C62D22">
        <w:rPr>
          <w:rFonts w:ascii="Times New Roman" w:hAnsi="Times New Roman" w:cs="Times New Roman"/>
          <w:sz w:val="28"/>
          <w:szCs w:val="28"/>
        </w:rPr>
        <w:t>Визначення плазматичного рівня IL–18 проводилося імуноферментним методом за допомогою тест-систем Human IL–18, кат. ВМS267/2МSТ, виро</w:t>
      </w:r>
      <w:r w:rsidRPr="00C62D22">
        <w:rPr>
          <w:rFonts w:ascii="Times New Roman" w:hAnsi="Times New Roman" w:cs="Times New Roman"/>
          <w:sz w:val="28"/>
          <w:szCs w:val="28"/>
        </w:rPr>
        <w:t>б</w:t>
      </w:r>
      <w:r w:rsidRPr="00C62D22">
        <w:rPr>
          <w:rFonts w:ascii="Times New Roman" w:hAnsi="Times New Roman" w:cs="Times New Roman"/>
          <w:sz w:val="28"/>
          <w:szCs w:val="28"/>
        </w:rPr>
        <w:t>ництва «Bender MedSystems» (Австрія) на базі лабораторії радіаційної імунол</w:t>
      </w:r>
      <w:r w:rsidRPr="00C62D22">
        <w:rPr>
          <w:rFonts w:ascii="Times New Roman" w:hAnsi="Times New Roman" w:cs="Times New Roman"/>
          <w:sz w:val="28"/>
          <w:szCs w:val="28"/>
        </w:rPr>
        <w:t>о</w:t>
      </w:r>
      <w:r w:rsidRPr="00C62D22">
        <w:rPr>
          <w:rFonts w:ascii="Times New Roman" w:hAnsi="Times New Roman" w:cs="Times New Roman"/>
          <w:sz w:val="28"/>
          <w:szCs w:val="28"/>
        </w:rPr>
        <w:t>гії Національної Академії медичних наук України Державної установи «Інст</w:t>
      </w:r>
      <w:r w:rsidRPr="00C62D22">
        <w:rPr>
          <w:rFonts w:ascii="Times New Roman" w:hAnsi="Times New Roman" w:cs="Times New Roman"/>
          <w:sz w:val="28"/>
          <w:szCs w:val="28"/>
        </w:rPr>
        <w:t>и</w:t>
      </w:r>
      <w:r w:rsidRPr="00C62D22">
        <w:rPr>
          <w:rFonts w:ascii="Times New Roman" w:hAnsi="Times New Roman" w:cs="Times New Roman"/>
          <w:sz w:val="28"/>
          <w:szCs w:val="28"/>
        </w:rPr>
        <w:t xml:space="preserve">тут медичної радіології ім. С.П. Григор'єва». </w:t>
      </w:r>
    </w:p>
    <w:p w:rsidR="0021764E" w:rsidRPr="00C62D22" w:rsidRDefault="0021764E" w:rsidP="0021764E">
      <w:pPr>
        <w:spacing w:after="0" w:line="360" w:lineRule="auto"/>
        <w:ind w:firstLine="720"/>
        <w:jc w:val="both"/>
        <w:rPr>
          <w:rFonts w:ascii="Times New Roman" w:hAnsi="Times New Roman" w:cs="Times New Roman"/>
          <w:sz w:val="28"/>
          <w:szCs w:val="28"/>
        </w:rPr>
      </w:pPr>
      <w:r w:rsidRPr="00C62D22">
        <w:rPr>
          <w:rFonts w:ascii="Times New Roman" w:hAnsi="Times New Roman" w:cs="Times New Roman"/>
          <w:sz w:val="28"/>
          <w:szCs w:val="28"/>
        </w:rPr>
        <w:t xml:space="preserve">Метод визначення ЦК заснований на твердофазному «сандвіч» – варіанті імуноферментного аналізу. </w:t>
      </w:r>
    </w:p>
    <w:p w:rsidR="0021764E" w:rsidRPr="00C62D22" w:rsidRDefault="0021764E" w:rsidP="0021764E">
      <w:pPr>
        <w:spacing w:after="0" w:line="360" w:lineRule="auto"/>
        <w:ind w:firstLine="708"/>
        <w:jc w:val="both"/>
        <w:rPr>
          <w:rFonts w:ascii="Times New Roman" w:hAnsi="Times New Roman" w:cs="Times New Roman"/>
          <w:sz w:val="28"/>
          <w:szCs w:val="28"/>
        </w:rPr>
      </w:pPr>
      <w:r w:rsidRPr="00C62D22">
        <w:rPr>
          <w:rFonts w:ascii="Times New Roman" w:hAnsi="Times New Roman" w:cs="Times New Roman"/>
          <w:sz w:val="28"/>
          <w:szCs w:val="28"/>
        </w:rPr>
        <w:t>Для визначення рівня ЦК використовувався набір реагентів, призначений для кількісного визначення ЦК людини в сироватці крові. Специфічними реагентами набору є моноклональні антитіла до ЦК, сорбов</w:t>
      </w:r>
      <w:r w:rsidRPr="00C62D22">
        <w:rPr>
          <w:rFonts w:ascii="Times New Roman" w:hAnsi="Times New Roman" w:cs="Times New Roman"/>
          <w:sz w:val="28"/>
          <w:szCs w:val="28"/>
        </w:rPr>
        <w:t>а</w:t>
      </w:r>
      <w:r w:rsidRPr="00C62D22">
        <w:rPr>
          <w:rFonts w:ascii="Times New Roman" w:hAnsi="Times New Roman" w:cs="Times New Roman"/>
          <w:sz w:val="28"/>
          <w:szCs w:val="28"/>
        </w:rPr>
        <w:t>ні на поверхні лунок розбірного планшету полістиролу, кон'югат поліклональних антитіл до ЦК з біотином та калібрувальними зразк</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ми, які містять ЦК. </w:t>
      </w:r>
    </w:p>
    <w:p w:rsidR="0021764E" w:rsidRPr="00C62D22" w:rsidRDefault="0021764E" w:rsidP="0021764E">
      <w:pPr>
        <w:spacing w:after="0" w:line="360" w:lineRule="auto"/>
        <w:ind w:firstLine="708"/>
        <w:jc w:val="both"/>
        <w:rPr>
          <w:rFonts w:ascii="Times New Roman" w:hAnsi="Times New Roman" w:cs="Times New Roman"/>
          <w:sz w:val="28"/>
          <w:szCs w:val="28"/>
        </w:rPr>
      </w:pPr>
      <w:r w:rsidRPr="00C62D22">
        <w:rPr>
          <w:rFonts w:ascii="Times New Roman" w:hAnsi="Times New Roman" w:cs="Times New Roman"/>
          <w:sz w:val="28"/>
          <w:szCs w:val="28"/>
        </w:rPr>
        <w:t>На першій стадії аналізу досліджувані та контрольні зразки інкубували в лунках з імобілізованими антитілами. ЦК, які присутні в зразках зв'яз</w:t>
      </w:r>
      <w:r w:rsidRPr="00C62D22">
        <w:rPr>
          <w:rFonts w:ascii="Times New Roman" w:hAnsi="Times New Roman" w:cs="Times New Roman"/>
          <w:sz w:val="28"/>
          <w:szCs w:val="28"/>
        </w:rPr>
        <w:t>у</w:t>
      </w:r>
      <w:r w:rsidRPr="00C62D22">
        <w:rPr>
          <w:rFonts w:ascii="Times New Roman" w:hAnsi="Times New Roman" w:cs="Times New Roman"/>
          <w:sz w:val="28"/>
          <w:szCs w:val="28"/>
        </w:rPr>
        <w:t>ються з іммобілізованими антитілами. Непов'язаний матеріал видалявся відм</w:t>
      </w:r>
      <w:r w:rsidRPr="00C62D22">
        <w:rPr>
          <w:rFonts w:ascii="Times New Roman" w:hAnsi="Times New Roman" w:cs="Times New Roman"/>
          <w:sz w:val="28"/>
          <w:szCs w:val="28"/>
        </w:rPr>
        <w:t>и</w:t>
      </w:r>
      <w:r w:rsidRPr="00C62D22">
        <w:rPr>
          <w:rFonts w:ascii="Times New Roman" w:hAnsi="Times New Roman" w:cs="Times New Roman"/>
          <w:sz w:val="28"/>
          <w:szCs w:val="28"/>
        </w:rPr>
        <w:t>ванням. На другій стадії – зв'язані ЦК взаємодіють при інкубації з кон'</w:t>
      </w:r>
      <w:r w:rsidRPr="00C62D22">
        <w:rPr>
          <w:rFonts w:ascii="Times New Roman" w:hAnsi="Times New Roman" w:cs="Times New Roman"/>
          <w:sz w:val="28"/>
          <w:szCs w:val="28"/>
        </w:rPr>
        <w:t>ю</w:t>
      </w:r>
      <w:r w:rsidRPr="00C62D22">
        <w:rPr>
          <w:rFonts w:ascii="Times New Roman" w:hAnsi="Times New Roman" w:cs="Times New Roman"/>
          <w:sz w:val="28"/>
          <w:szCs w:val="28"/>
        </w:rPr>
        <w:t>гатом № 1 (антитіла до ЦК людини з біотином). Непов'язаний кон'югат № 1 видалявся відмиванням. На третій стадії зв'язаний кон'югат № 1 взаємод</w:t>
      </w:r>
      <w:r w:rsidRPr="00C62D22">
        <w:rPr>
          <w:rFonts w:ascii="Times New Roman" w:hAnsi="Times New Roman" w:cs="Times New Roman"/>
          <w:sz w:val="28"/>
          <w:szCs w:val="28"/>
        </w:rPr>
        <w:t>і</w:t>
      </w:r>
      <w:r w:rsidRPr="00C62D22">
        <w:rPr>
          <w:rFonts w:ascii="Times New Roman" w:hAnsi="Times New Roman" w:cs="Times New Roman"/>
          <w:sz w:val="28"/>
          <w:szCs w:val="28"/>
        </w:rPr>
        <w:t>яв при інкубації з кон'югатом № 2 (стрептавідин з пероксидазою хрону). Після третього відмивання кількість зв'язаного кон'югату № 2 визн</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чали кольоровою реакцією з використанням </w:t>
      </w:r>
      <w:r w:rsidRPr="00C62D22">
        <w:rPr>
          <w:rFonts w:ascii="Times New Roman" w:hAnsi="Times New Roman" w:cs="Times New Roman"/>
          <w:sz w:val="28"/>
          <w:szCs w:val="28"/>
        </w:rPr>
        <w:lastRenderedPageBreak/>
        <w:t>субстрату пероксидази хрону – перекису водню та хромогену – тетраметилбензидину. Реакцію зупиняли дод</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ванням стоп-реагенту та вимірювали оптичну щільність розчинів у лунках при довжині хвилі 450 нм. Інтенсивність забарвлення пропорційна кількості ЦК, який міститься в зразку. </w:t>
      </w:r>
    </w:p>
    <w:p w:rsidR="0021764E" w:rsidRPr="00C62D22" w:rsidRDefault="0021764E" w:rsidP="0021764E">
      <w:pPr>
        <w:spacing w:after="0" w:line="360" w:lineRule="auto"/>
        <w:ind w:firstLine="720"/>
        <w:jc w:val="both"/>
        <w:rPr>
          <w:rFonts w:ascii="Times New Roman" w:hAnsi="Times New Roman" w:cs="Times New Roman"/>
          <w:b/>
          <w:sz w:val="28"/>
          <w:szCs w:val="28"/>
        </w:rPr>
      </w:pPr>
      <w:r w:rsidRPr="00C62D22">
        <w:rPr>
          <w:rFonts w:ascii="Times New Roman" w:hAnsi="Times New Roman" w:cs="Times New Roman"/>
          <w:sz w:val="28"/>
          <w:szCs w:val="28"/>
        </w:rPr>
        <w:t>Активність ГПО-1 крові визначали за допомогою спектрофотометра на базі лабораторії радіаційної імунології Національної Ак</w:t>
      </w:r>
      <w:r w:rsidRPr="00C62D22">
        <w:rPr>
          <w:rFonts w:ascii="Times New Roman" w:hAnsi="Times New Roman" w:cs="Times New Roman"/>
          <w:sz w:val="28"/>
          <w:szCs w:val="28"/>
        </w:rPr>
        <w:t>а</w:t>
      </w:r>
      <w:r w:rsidRPr="00C62D22">
        <w:rPr>
          <w:rFonts w:ascii="Times New Roman" w:hAnsi="Times New Roman" w:cs="Times New Roman"/>
          <w:sz w:val="28"/>
          <w:szCs w:val="28"/>
        </w:rPr>
        <w:t>демії медичних наук України Державної установи «Інститут медичної радіол</w:t>
      </w:r>
      <w:r w:rsidRPr="00C62D22">
        <w:rPr>
          <w:rFonts w:ascii="Times New Roman" w:hAnsi="Times New Roman" w:cs="Times New Roman"/>
          <w:sz w:val="28"/>
          <w:szCs w:val="28"/>
        </w:rPr>
        <w:t>о</w:t>
      </w:r>
      <w:r w:rsidRPr="00C62D22">
        <w:rPr>
          <w:rFonts w:ascii="Times New Roman" w:hAnsi="Times New Roman" w:cs="Times New Roman"/>
          <w:sz w:val="28"/>
          <w:szCs w:val="28"/>
        </w:rPr>
        <w:t>гії ім. С.П. Григор'єва» за допомогою комерційного набору GPX1 (human) (I</w:t>
      </w:r>
      <w:r w:rsidRPr="00C62D22">
        <w:rPr>
          <w:rFonts w:ascii="Times New Roman" w:hAnsi="Times New Roman" w:cs="Times New Roman"/>
          <w:sz w:val="28"/>
          <w:szCs w:val="28"/>
        </w:rPr>
        <w:t>n</w:t>
      </w:r>
      <w:r w:rsidRPr="00C62D22">
        <w:rPr>
          <w:rFonts w:ascii="Times New Roman" w:hAnsi="Times New Roman" w:cs="Times New Roman"/>
          <w:sz w:val="28"/>
          <w:szCs w:val="28"/>
        </w:rPr>
        <w:t>traCellular) ELISA Kit Cat. No. AG-45A-0034YEK-KI01 фірми «AdipoGen» (Швейцарія).</w:t>
      </w:r>
    </w:p>
    <w:p w:rsidR="0021764E" w:rsidRPr="00C62D22" w:rsidRDefault="0021764E" w:rsidP="0021764E">
      <w:pPr>
        <w:spacing w:after="0" w:line="360" w:lineRule="auto"/>
        <w:ind w:firstLine="708"/>
        <w:jc w:val="both"/>
        <w:rPr>
          <w:rFonts w:ascii="Times New Roman" w:hAnsi="Times New Roman" w:cs="Times New Roman"/>
          <w:sz w:val="28"/>
          <w:szCs w:val="28"/>
        </w:rPr>
      </w:pPr>
      <w:r w:rsidRPr="00C62D22">
        <w:rPr>
          <w:rFonts w:ascii="Times New Roman" w:hAnsi="Times New Roman" w:cs="Times New Roman"/>
          <w:sz w:val="28"/>
          <w:szCs w:val="28"/>
        </w:rPr>
        <w:t>Уміст МДА у сироватці крові визначали спек</w:t>
      </w:r>
      <w:r w:rsidRPr="00C62D22">
        <w:rPr>
          <w:rFonts w:ascii="Times New Roman" w:hAnsi="Times New Roman" w:cs="Times New Roman"/>
          <w:sz w:val="28"/>
          <w:szCs w:val="28"/>
        </w:rPr>
        <w:t>т</w:t>
      </w:r>
      <w:r w:rsidRPr="00C62D22">
        <w:rPr>
          <w:rFonts w:ascii="Times New Roman" w:hAnsi="Times New Roman" w:cs="Times New Roman"/>
          <w:sz w:val="28"/>
          <w:szCs w:val="28"/>
        </w:rPr>
        <w:t>рофотометричним методом за   Л. І. Андреєвою та співавт. (1988 р.) [138] на базі лабораторії кафедри біологічної хімії Харківського національного медичного університету (консультант – д. мед. н., д. б. н., професор В.І. Жуков). Принцип мет</w:t>
      </w:r>
      <w:r w:rsidRPr="00C62D22">
        <w:rPr>
          <w:rFonts w:ascii="Times New Roman" w:hAnsi="Times New Roman" w:cs="Times New Roman"/>
          <w:sz w:val="28"/>
          <w:szCs w:val="28"/>
        </w:rPr>
        <w:t>о</w:t>
      </w:r>
      <w:r w:rsidRPr="00C62D22">
        <w:rPr>
          <w:rFonts w:ascii="Times New Roman" w:hAnsi="Times New Roman" w:cs="Times New Roman"/>
          <w:sz w:val="28"/>
          <w:szCs w:val="28"/>
        </w:rPr>
        <w:t>ду: при високій температурі в кислому середовищі МДА реагує з 2–тіобарбітуровою кислотою з утворенням забарвленого триметилового компле</w:t>
      </w:r>
      <w:r w:rsidRPr="00C62D22">
        <w:rPr>
          <w:rFonts w:ascii="Times New Roman" w:hAnsi="Times New Roman" w:cs="Times New Roman"/>
          <w:sz w:val="28"/>
          <w:szCs w:val="28"/>
        </w:rPr>
        <w:t>к</w:t>
      </w:r>
      <w:r w:rsidRPr="00C62D22">
        <w:rPr>
          <w:rFonts w:ascii="Times New Roman" w:hAnsi="Times New Roman" w:cs="Times New Roman"/>
          <w:sz w:val="28"/>
          <w:szCs w:val="28"/>
        </w:rPr>
        <w:t>су (ТМК), який має максимум поглинання при 532 нм.</w:t>
      </w:r>
    </w:p>
    <w:p w:rsidR="0021764E" w:rsidRPr="00C62D22" w:rsidRDefault="0021764E" w:rsidP="0021764E">
      <w:pPr>
        <w:spacing w:after="0" w:line="360" w:lineRule="auto"/>
        <w:ind w:firstLine="708"/>
        <w:jc w:val="both"/>
        <w:rPr>
          <w:rFonts w:ascii="Times New Roman" w:hAnsi="Times New Roman" w:cs="Times New Roman"/>
          <w:sz w:val="28"/>
          <w:szCs w:val="28"/>
        </w:rPr>
      </w:pPr>
      <w:r w:rsidRPr="00C62D22">
        <w:rPr>
          <w:rFonts w:ascii="Times New Roman" w:hAnsi="Times New Roman" w:cs="Times New Roman"/>
          <w:sz w:val="28"/>
          <w:szCs w:val="28"/>
        </w:rPr>
        <w:t>Матеріалом для дослідження слугувала гепаринізована кров. До 2,5 мл гепаринізованої крові, розміщеної до центрифужної пробірки, додавали 2,5 мл 10% розчину трихлороцтової кислоти, добре змішували скляною паличкою. Проби центрифугували впродовж 15 хвилин при 3000 об/хв. 3,0 мл надосадової рідини переносили до чистих центрифужних пробірок та додавали 1,5 мл 0,8% розчину 2–тіобарбітурової кислоти (розчин 2–тіобарбітурової ки</w:t>
      </w:r>
      <w:r w:rsidRPr="00C62D22">
        <w:rPr>
          <w:rFonts w:ascii="Times New Roman" w:hAnsi="Times New Roman" w:cs="Times New Roman"/>
          <w:sz w:val="28"/>
          <w:szCs w:val="28"/>
        </w:rPr>
        <w:t>с</w:t>
      </w:r>
      <w:r w:rsidRPr="00C62D22">
        <w:rPr>
          <w:rFonts w:ascii="Times New Roman" w:hAnsi="Times New Roman" w:cs="Times New Roman"/>
          <w:sz w:val="28"/>
          <w:szCs w:val="28"/>
        </w:rPr>
        <w:t>лоти (2–ТБК) готували при нагріванні у водяній бані в день дослідження). Проби розміщув</w:t>
      </w:r>
      <w:r w:rsidRPr="00C62D22">
        <w:rPr>
          <w:rFonts w:ascii="Times New Roman" w:hAnsi="Times New Roman" w:cs="Times New Roman"/>
          <w:sz w:val="28"/>
          <w:szCs w:val="28"/>
        </w:rPr>
        <w:t>а</w:t>
      </w:r>
      <w:r w:rsidRPr="00C62D22">
        <w:rPr>
          <w:rFonts w:ascii="Times New Roman" w:hAnsi="Times New Roman" w:cs="Times New Roman"/>
          <w:sz w:val="28"/>
          <w:szCs w:val="28"/>
        </w:rPr>
        <w:t>ли у водяній бані, що кипіла, на 15 хвилин. У ході реакції утворювалося рожеве забарвлення. Ураховували, що час нагрівання при 100°С не повинен перебільшув</w:t>
      </w:r>
      <w:r w:rsidRPr="00C62D22">
        <w:rPr>
          <w:rFonts w:ascii="Times New Roman" w:hAnsi="Times New Roman" w:cs="Times New Roman"/>
          <w:sz w:val="28"/>
          <w:szCs w:val="28"/>
        </w:rPr>
        <w:t>а</w:t>
      </w:r>
      <w:r w:rsidRPr="00C62D22">
        <w:rPr>
          <w:rFonts w:ascii="Times New Roman" w:hAnsi="Times New Roman" w:cs="Times New Roman"/>
          <w:sz w:val="28"/>
          <w:szCs w:val="28"/>
        </w:rPr>
        <w:t>ти 15 хвилин, бо при більш довготривалому нагріванні з 2–тіобарбітуровою кисл</w:t>
      </w:r>
      <w:r w:rsidRPr="00C62D22">
        <w:rPr>
          <w:rFonts w:ascii="Times New Roman" w:hAnsi="Times New Roman" w:cs="Times New Roman"/>
          <w:sz w:val="28"/>
          <w:szCs w:val="28"/>
        </w:rPr>
        <w:t>о</w:t>
      </w:r>
      <w:r w:rsidRPr="00C62D22">
        <w:rPr>
          <w:rFonts w:ascii="Times New Roman" w:hAnsi="Times New Roman" w:cs="Times New Roman"/>
          <w:sz w:val="28"/>
          <w:szCs w:val="28"/>
        </w:rPr>
        <w:t>тою реагують інші хімічні сполуки, які містяться в крові та які дають з 2-ТБК забарвлені компоненти й мають спектр поглинання в тій ділянці спек</w:t>
      </w:r>
      <w:r w:rsidRPr="00C62D22">
        <w:rPr>
          <w:rFonts w:ascii="Times New Roman" w:hAnsi="Times New Roman" w:cs="Times New Roman"/>
          <w:sz w:val="28"/>
          <w:szCs w:val="28"/>
        </w:rPr>
        <w:t>т</w:t>
      </w:r>
      <w:r w:rsidRPr="00C62D22">
        <w:rPr>
          <w:rFonts w:ascii="Times New Roman" w:hAnsi="Times New Roman" w:cs="Times New Roman"/>
          <w:sz w:val="28"/>
          <w:szCs w:val="28"/>
        </w:rPr>
        <w:t>ру, що й триметіновий комплекс МДА з 2–ТБК.</w:t>
      </w:r>
    </w:p>
    <w:p w:rsidR="0021764E" w:rsidRPr="00C62D22" w:rsidRDefault="0021764E" w:rsidP="0021764E">
      <w:pPr>
        <w:spacing w:after="0" w:line="360" w:lineRule="auto"/>
        <w:ind w:firstLine="708"/>
        <w:jc w:val="both"/>
        <w:rPr>
          <w:rFonts w:ascii="Times New Roman" w:hAnsi="Times New Roman" w:cs="Times New Roman"/>
          <w:sz w:val="28"/>
          <w:szCs w:val="28"/>
        </w:rPr>
      </w:pPr>
      <w:r w:rsidRPr="00C62D22">
        <w:rPr>
          <w:rFonts w:ascii="Times New Roman" w:hAnsi="Times New Roman" w:cs="Times New Roman"/>
          <w:sz w:val="28"/>
          <w:szCs w:val="28"/>
        </w:rPr>
        <w:t xml:space="preserve">Проби виймали з водяної бані та охолоджували під цівкою холодної води. Після охолодження їх центрифугували впродовж 5 хвилин при 3000 об/хв. </w:t>
      </w:r>
      <w:r w:rsidRPr="00C62D22">
        <w:rPr>
          <w:rFonts w:ascii="Times New Roman" w:hAnsi="Times New Roman" w:cs="Times New Roman"/>
          <w:sz w:val="28"/>
          <w:szCs w:val="28"/>
        </w:rPr>
        <w:lastRenderedPageBreak/>
        <w:t>Одночасно з досліджуваними встановлюють контрольну пробу, яка вміщує 2,5 мл дист</w:t>
      </w:r>
      <w:r w:rsidRPr="00C62D22">
        <w:rPr>
          <w:rFonts w:ascii="Times New Roman" w:hAnsi="Times New Roman" w:cs="Times New Roman"/>
          <w:sz w:val="28"/>
          <w:szCs w:val="28"/>
        </w:rPr>
        <w:t>и</w:t>
      </w:r>
      <w:r w:rsidRPr="00C62D22">
        <w:rPr>
          <w:rFonts w:ascii="Times New Roman" w:hAnsi="Times New Roman" w:cs="Times New Roman"/>
          <w:sz w:val="28"/>
          <w:szCs w:val="28"/>
        </w:rPr>
        <w:t>льованої води, 2,5 мл 10% трихлороцтової кислоти, 1,5 мл 0,8% розчину 2–тіобарбітурової кислоти та обробляли аналогічно досліджуваної проби. Отриманий центрифугат обережно, не струшуючи, пер</w:t>
      </w:r>
      <w:r w:rsidRPr="00C62D22">
        <w:rPr>
          <w:rFonts w:ascii="Times New Roman" w:hAnsi="Times New Roman" w:cs="Times New Roman"/>
          <w:sz w:val="28"/>
          <w:szCs w:val="28"/>
        </w:rPr>
        <w:t>е</w:t>
      </w:r>
      <w:r w:rsidRPr="00C62D22">
        <w:rPr>
          <w:rFonts w:ascii="Times New Roman" w:hAnsi="Times New Roman" w:cs="Times New Roman"/>
          <w:sz w:val="28"/>
          <w:szCs w:val="28"/>
        </w:rPr>
        <w:t>носили до хімічних пробірок та вимірювали оптичну щільність досліджув</w:t>
      </w:r>
      <w:r w:rsidRPr="00C62D22">
        <w:rPr>
          <w:rFonts w:ascii="Times New Roman" w:hAnsi="Times New Roman" w:cs="Times New Roman"/>
          <w:sz w:val="28"/>
          <w:szCs w:val="28"/>
        </w:rPr>
        <w:t>а</w:t>
      </w:r>
      <w:r w:rsidRPr="00C62D22">
        <w:rPr>
          <w:rFonts w:ascii="Times New Roman" w:hAnsi="Times New Roman" w:cs="Times New Roman"/>
          <w:sz w:val="28"/>
          <w:szCs w:val="28"/>
        </w:rPr>
        <w:t>них проб при 532 нм проти контрольної проби в 10-ти міліметрових кюветах. Уміст МДА розраховували за формулою 2.1:</w:t>
      </w:r>
    </w:p>
    <w:p w:rsidR="0021764E" w:rsidRPr="00C62D22" w:rsidRDefault="0021764E" w:rsidP="0021764E">
      <w:pPr>
        <w:spacing w:after="0" w:line="360" w:lineRule="auto"/>
        <w:ind w:firstLine="708"/>
        <w:jc w:val="both"/>
        <w:rPr>
          <w:rFonts w:ascii="Times New Roman" w:hAnsi="Times New Roman" w:cs="Times New Roman"/>
          <w:sz w:val="28"/>
          <w:szCs w:val="28"/>
        </w:rPr>
      </w:pPr>
    </w:p>
    <w:p w:rsidR="0021764E" w:rsidRPr="00C62D22" w:rsidRDefault="0021764E" w:rsidP="0021764E">
      <w:pPr>
        <w:spacing w:after="0" w:line="360" w:lineRule="auto"/>
        <w:ind w:firstLine="708"/>
        <w:jc w:val="center"/>
        <w:rPr>
          <w:rFonts w:ascii="Times New Roman" w:hAnsi="Times New Roman" w:cs="Times New Roman"/>
          <w:sz w:val="28"/>
          <w:szCs w:val="28"/>
        </w:rPr>
      </w:pPr>
      <w:r w:rsidRPr="00C62D22">
        <w:rPr>
          <w:rFonts w:ascii="Times New Roman" w:hAnsi="Times New Roman" w:cs="Times New Roman"/>
          <w:sz w:val="28"/>
          <w:szCs w:val="28"/>
        </w:rPr>
        <w:t xml:space="preserve">                                 С= Е х 10 </w:t>
      </w:r>
      <w:r w:rsidRPr="00C62D22">
        <w:rPr>
          <w:rFonts w:ascii="Times New Roman" w:hAnsi="Times New Roman" w:cs="Times New Roman"/>
          <w:sz w:val="28"/>
          <w:szCs w:val="28"/>
          <w:vertAlign w:val="superscript"/>
        </w:rPr>
        <w:t xml:space="preserve">6 </w:t>
      </w:r>
      <w:r w:rsidRPr="00C62D22">
        <w:rPr>
          <w:rFonts w:ascii="Times New Roman" w:hAnsi="Times New Roman" w:cs="Times New Roman"/>
          <w:sz w:val="28"/>
          <w:szCs w:val="28"/>
        </w:rPr>
        <w:t xml:space="preserve">х 3/ 1,56 х 10 </w:t>
      </w:r>
      <w:r w:rsidRPr="00C62D22">
        <w:rPr>
          <w:rFonts w:ascii="Times New Roman" w:hAnsi="Times New Roman" w:cs="Times New Roman"/>
          <w:sz w:val="28"/>
          <w:szCs w:val="28"/>
          <w:vertAlign w:val="superscript"/>
        </w:rPr>
        <w:t>5</w:t>
      </w:r>
      <w:r w:rsidRPr="00C62D22">
        <w:rPr>
          <w:rFonts w:ascii="Times New Roman" w:hAnsi="Times New Roman" w:cs="Times New Roman"/>
          <w:sz w:val="28"/>
          <w:szCs w:val="28"/>
        </w:rPr>
        <w:t>,                                          (2.1)</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де С – концентрація малонового діальд</w:t>
      </w:r>
      <w:r w:rsidRPr="00C62D22">
        <w:rPr>
          <w:rFonts w:ascii="Times New Roman" w:hAnsi="Times New Roman" w:cs="Times New Roman"/>
          <w:sz w:val="28"/>
          <w:szCs w:val="28"/>
        </w:rPr>
        <w:t>е</w:t>
      </w:r>
      <w:r w:rsidRPr="00C62D22">
        <w:rPr>
          <w:rFonts w:ascii="Times New Roman" w:hAnsi="Times New Roman" w:cs="Times New Roman"/>
          <w:sz w:val="28"/>
          <w:szCs w:val="28"/>
        </w:rPr>
        <w:t xml:space="preserve">гіду, мкМ/л; Е – оптична щільність проби, 106 – коефіцієнт перерахування в мкМ, 1,56 х 10 </w:t>
      </w:r>
      <w:r w:rsidRPr="00C62D22">
        <w:rPr>
          <w:rFonts w:ascii="Times New Roman" w:hAnsi="Times New Roman" w:cs="Times New Roman"/>
          <w:sz w:val="28"/>
          <w:szCs w:val="28"/>
          <w:vertAlign w:val="superscript"/>
        </w:rPr>
        <w:t>5</w:t>
      </w:r>
      <w:r w:rsidRPr="00C62D22">
        <w:rPr>
          <w:rFonts w:ascii="Times New Roman" w:hAnsi="Times New Roman" w:cs="Times New Roman"/>
          <w:sz w:val="28"/>
          <w:szCs w:val="28"/>
        </w:rPr>
        <w:t xml:space="preserve"> – коефіцієнт молярної екстинції ТМК МДА з 2–ТБК, 3 – фа</w:t>
      </w:r>
      <w:r w:rsidRPr="00C62D22">
        <w:rPr>
          <w:rFonts w:ascii="Times New Roman" w:hAnsi="Times New Roman" w:cs="Times New Roman"/>
          <w:sz w:val="28"/>
          <w:szCs w:val="28"/>
        </w:rPr>
        <w:t>к</w:t>
      </w:r>
      <w:r w:rsidRPr="00C62D22">
        <w:rPr>
          <w:rFonts w:ascii="Times New Roman" w:hAnsi="Times New Roman" w:cs="Times New Roman"/>
          <w:sz w:val="28"/>
          <w:szCs w:val="28"/>
        </w:rPr>
        <w:t>тор розведення.</w:t>
      </w:r>
    </w:p>
    <w:p w:rsidR="0021764E" w:rsidRPr="00C62D22" w:rsidRDefault="0021764E" w:rsidP="0021764E">
      <w:pPr>
        <w:spacing w:after="0" w:line="360" w:lineRule="auto"/>
        <w:ind w:firstLine="720"/>
        <w:jc w:val="both"/>
        <w:rPr>
          <w:rFonts w:ascii="Times New Roman" w:hAnsi="Times New Roman" w:cs="Times New Roman"/>
          <w:b/>
          <w:sz w:val="28"/>
          <w:szCs w:val="28"/>
        </w:rPr>
      </w:pPr>
      <w:r w:rsidRPr="00C62D22">
        <w:rPr>
          <w:rFonts w:ascii="Times New Roman" w:hAnsi="Times New Roman" w:cs="Times New Roman"/>
          <w:sz w:val="28"/>
          <w:szCs w:val="28"/>
        </w:rPr>
        <w:t>TGF – β1 вивчали на базі лаборат</w:t>
      </w:r>
      <w:r w:rsidRPr="00C62D22">
        <w:rPr>
          <w:rFonts w:ascii="Times New Roman" w:hAnsi="Times New Roman" w:cs="Times New Roman"/>
          <w:sz w:val="28"/>
          <w:szCs w:val="28"/>
        </w:rPr>
        <w:t>о</w:t>
      </w:r>
      <w:r w:rsidRPr="00C62D22">
        <w:rPr>
          <w:rFonts w:ascii="Times New Roman" w:hAnsi="Times New Roman" w:cs="Times New Roman"/>
          <w:sz w:val="28"/>
          <w:szCs w:val="28"/>
        </w:rPr>
        <w:t>рії радіаційної імунології Національної Академії медичних наук України Де</w:t>
      </w:r>
      <w:r w:rsidRPr="00C62D22">
        <w:rPr>
          <w:rFonts w:ascii="Times New Roman" w:hAnsi="Times New Roman" w:cs="Times New Roman"/>
          <w:sz w:val="28"/>
          <w:szCs w:val="28"/>
        </w:rPr>
        <w:t>р</w:t>
      </w:r>
      <w:r w:rsidRPr="00C62D22">
        <w:rPr>
          <w:rFonts w:ascii="Times New Roman" w:hAnsi="Times New Roman" w:cs="Times New Roman"/>
          <w:sz w:val="28"/>
          <w:szCs w:val="28"/>
        </w:rPr>
        <w:t>жавної установи «Інститут медичної радіології ім. С.П. Григор'єва» за допом</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гою комерційного набору DRG </w:t>
      </w:r>
      <w:r w:rsidRPr="00C62D22">
        <w:rPr>
          <w:rFonts w:ascii="Times New Roman" w:hAnsi="Times New Roman" w:cs="Times New Roman"/>
          <w:sz w:val="28"/>
          <w:szCs w:val="28"/>
          <w:vertAlign w:val="superscript"/>
        </w:rPr>
        <w:t>®</w:t>
      </w:r>
      <w:r w:rsidRPr="00C62D22">
        <w:rPr>
          <w:rFonts w:ascii="Times New Roman" w:hAnsi="Times New Roman" w:cs="Times New Roman"/>
          <w:sz w:val="28"/>
          <w:szCs w:val="28"/>
        </w:rPr>
        <w:t>TGF-β1 ELISA (EIA-1864) фірми DRG Intern</w:t>
      </w:r>
      <w:r w:rsidRPr="00C62D22">
        <w:rPr>
          <w:rFonts w:ascii="Times New Roman" w:hAnsi="Times New Roman" w:cs="Times New Roman"/>
          <w:sz w:val="28"/>
          <w:szCs w:val="28"/>
        </w:rPr>
        <w:t>a</w:t>
      </w:r>
      <w:r w:rsidRPr="00C62D22">
        <w:rPr>
          <w:rFonts w:ascii="Times New Roman" w:hAnsi="Times New Roman" w:cs="Times New Roman"/>
          <w:sz w:val="28"/>
          <w:szCs w:val="28"/>
        </w:rPr>
        <w:t>tional, Inc. (США).</w:t>
      </w:r>
    </w:p>
    <w:p w:rsidR="0021764E" w:rsidRPr="00C62D22" w:rsidRDefault="0021764E" w:rsidP="0021764E">
      <w:pPr>
        <w:pStyle w:val="2"/>
        <w:spacing w:after="0" w:line="360" w:lineRule="auto"/>
        <w:ind w:right="-58" w:firstLine="851"/>
        <w:jc w:val="both"/>
        <w:rPr>
          <w:szCs w:val="28"/>
          <w:lang w:val="uk-UA"/>
        </w:rPr>
      </w:pPr>
      <w:r w:rsidRPr="00C62D22">
        <w:rPr>
          <w:szCs w:val="28"/>
          <w:lang w:val="uk-UA"/>
        </w:rPr>
        <w:t>Морфологічні дослідження виконані на базі кафедри патологічної анат</w:t>
      </w:r>
      <w:r w:rsidRPr="00C62D22">
        <w:rPr>
          <w:szCs w:val="28"/>
          <w:lang w:val="uk-UA"/>
        </w:rPr>
        <w:t>о</w:t>
      </w:r>
      <w:r w:rsidRPr="00C62D22">
        <w:rPr>
          <w:szCs w:val="28"/>
          <w:lang w:val="uk-UA"/>
        </w:rPr>
        <w:t>мії та морфології Харківського національного медичного університету (конс</w:t>
      </w:r>
      <w:r w:rsidRPr="00C62D22">
        <w:rPr>
          <w:szCs w:val="28"/>
          <w:lang w:val="uk-UA"/>
        </w:rPr>
        <w:t>у</w:t>
      </w:r>
      <w:r w:rsidRPr="00C62D22">
        <w:rPr>
          <w:szCs w:val="28"/>
          <w:lang w:val="uk-UA"/>
        </w:rPr>
        <w:t>льтант –        д. мед. н., професор І.В. Сорокіна). Матеріалом для досліджень були інтраопераційно резектовані ділянки ПЗ та стінки ПК ПЗ. Гістологічне досл</w:t>
      </w:r>
      <w:r w:rsidRPr="00C62D22">
        <w:rPr>
          <w:szCs w:val="28"/>
          <w:lang w:val="uk-UA"/>
        </w:rPr>
        <w:t>і</w:t>
      </w:r>
      <w:r w:rsidRPr="00C62D22">
        <w:rPr>
          <w:szCs w:val="28"/>
          <w:lang w:val="uk-UA"/>
        </w:rPr>
        <w:t>дження проводилося шляхом мікроскопії зі збільшенням х 100–х 400 із попер</w:t>
      </w:r>
      <w:r w:rsidRPr="00C62D22">
        <w:rPr>
          <w:szCs w:val="28"/>
          <w:lang w:val="uk-UA"/>
        </w:rPr>
        <w:t>е</w:t>
      </w:r>
      <w:r w:rsidRPr="00C62D22">
        <w:rPr>
          <w:szCs w:val="28"/>
          <w:lang w:val="uk-UA"/>
        </w:rPr>
        <w:t>днім забарвленням гістологічних препаратів гематоксиліном та еозином з метою визначення характеру змін у паренхімі та в стінці ПК ПЗ. Мат</w:t>
      </w:r>
      <w:r w:rsidRPr="00C62D22">
        <w:rPr>
          <w:szCs w:val="28"/>
          <w:lang w:val="uk-UA"/>
        </w:rPr>
        <w:t>е</w:t>
      </w:r>
      <w:r w:rsidRPr="00C62D22">
        <w:rPr>
          <w:szCs w:val="28"/>
          <w:lang w:val="uk-UA"/>
        </w:rPr>
        <w:t>ріал фіксували в 10 % нейтральному формаліні, після чого він підлягав спи</w:t>
      </w:r>
      <w:r w:rsidRPr="00C62D22">
        <w:rPr>
          <w:szCs w:val="28"/>
          <w:lang w:val="uk-UA"/>
        </w:rPr>
        <w:t>р</w:t>
      </w:r>
      <w:r w:rsidRPr="00C62D22">
        <w:rPr>
          <w:szCs w:val="28"/>
          <w:lang w:val="uk-UA"/>
        </w:rPr>
        <w:t>товій проводці та парафіновій заливці, виготовляли зрізи товщиною 5–6 мкм. Оглядові препарати, які забарвлені гематоксиліном та еозином, використов</w:t>
      </w:r>
      <w:r w:rsidRPr="00C62D22">
        <w:rPr>
          <w:szCs w:val="28"/>
          <w:lang w:val="uk-UA"/>
        </w:rPr>
        <w:t>у</w:t>
      </w:r>
      <w:r w:rsidRPr="00C62D22">
        <w:rPr>
          <w:szCs w:val="28"/>
          <w:lang w:val="uk-UA"/>
        </w:rPr>
        <w:t>валися для загальної оцінки стану тканин, що досліджувалися. Забарвлення препаратів фукселіном на еластичні волокна за Вейгертом з дозабарвленням пікрофуксином за методом Ван Гізона, а також забарвлення за Маллорі вик</w:t>
      </w:r>
      <w:r w:rsidRPr="00C62D22">
        <w:rPr>
          <w:szCs w:val="28"/>
          <w:lang w:val="uk-UA"/>
        </w:rPr>
        <w:t>о</w:t>
      </w:r>
      <w:r w:rsidRPr="00C62D22">
        <w:rPr>
          <w:szCs w:val="28"/>
          <w:lang w:val="uk-UA"/>
        </w:rPr>
        <w:t>ристовувалися для виявлення та диференціювання сполучнотканинних стру</w:t>
      </w:r>
      <w:r w:rsidRPr="00C62D22">
        <w:rPr>
          <w:szCs w:val="28"/>
          <w:lang w:val="uk-UA"/>
        </w:rPr>
        <w:t>к</w:t>
      </w:r>
      <w:r w:rsidRPr="00C62D22">
        <w:rPr>
          <w:szCs w:val="28"/>
          <w:lang w:val="uk-UA"/>
        </w:rPr>
        <w:t xml:space="preserve">тур. Для оцінки функціональної активності тканин </w:t>
      </w:r>
      <w:r w:rsidRPr="00C62D22">
        <w:rPr>
          <w:szCs w:val="28"/>
          <w:lang w:val="uk-UA"/>
        </w:rPr>
        <w:lastRenderedPageBreak/>
        <w:t>використовували комплекс гістохімічних методик. Дезокс</w:t>
      </w:r>
      <w:r w:rsidRPr="00C62D22">
        <w:rPr>
          <w:szCs w:val="28"/>
          <w:lang w:val="uk-UA"/>
        </w:rPr>
        <w:t>и</w:t>
      </w:r>
      <w:r w:rsidRPr="00C62D22">
        <w:rPr>
          <w:szCs w:val="28"/>
          <w:lang w:val="uk-UA"/>
        </w:rPr>
        <w:t>нуклеопротеїди (ДНП) виявляли за допом</w:t>
      </w:r>
      <w:r w:rsidRPr="00C62D22">
        <w:rPr>
          <w:szCs w:val="28"/>
          <w:lang w:val="uk-UA"/>
        </w:rPr>
        <w:t>о</w:t>
      </w:r>
      <w:r w:rsidRPr="00C62D22">
        <w:rPr>
          <w:szCs w:val="28"/>
          <w:lang w:val="uk-UA"/>
        </w:rPr>
        <w:t>гою реакції Фельгена–Россенбека (контроль – гідроліз з HCl). Рибонуклеопр</w:t>
      </w:r>
      <w:r w:rsidRPr="00C62D22">
        <w:rPr>
          <w:szCs w:val="28"/>
          <w:lang w:val="uk-UA"/>
        </w:rPr>
        <w:t>о</w:t>
      </w:r>
      <w:r w:rsidRPr="00C62D22">
        <w:rPr>
          <w:szCs w:val="28"/>
          <w:lang w:val="uk-UA"/>
        </w:rPr>
        <w:t>теїди (РНП) виявляли забарвленням за методом Браше (контроль кристалічною рибонуклеазою). За допомогою ШИК– реакції за Мак Манусом Хочкисом (контроль з амілазою) виявляли ней</w:t>
      </w:r>
      <w:r w:rsidRPr="00C62D22">
        <w:rPr>
          <w:szCs w:val="28"/>
          <w:lang w:val="uk-UA"/>
        </w:rPr>
        <w:t>т</w:t>
      </w:r>
      <w:r w:rsidRPr="00C62D22">
        <w:rPr>
          <w:szCs w:val="28"/>
          <w:lang w:val="uk-UA"/>
        </w:rPr>
        <w:t>ральні глікозаміноглікани (ГАГ), а Хейл–реакцією з толуїдиновим синім – кислі ГАГ (контроль за В. В. Виноградовим та Б. Б. Фіксом). Гістологічні та гістох</w:t>
      </w:r>
      <w:r w:rsidRPr="00C62D22">
        <w:rPr>
          <w:szCs w:val="28"/>
          <w:lang w:val="uk-UA"/>
        </w:rPr>
        <w:t>і</w:t>
      </w:r>
      <w:r w:rsidRPr="00C62D22">
        <w:rPr>
          <w:szCs w:val="28"/>
          <w:lang w:val="uk-UA"/>
        </w:rPr>
        <w:t>мічні методики виконувалися за прописами, які наведені у вказівках з гістолог</w:t>
      </w:r>
      <w:r w:rsidRPr="00C62D22">
        <w:rPr>
          <w:szCs w:val="28"/>
          <w:lang w:val="uk-UA"/>
        </w:rPr>
        <w:t>і</w:t>
      </w:r>
      <w:r w:rsidRPr="00C62D22">
        <w:rPr>
          <w:szCs w:val="28"/>
          <w:lang w:val="uk-UA"/>
        </w:rPr>
        <w:t>чної техніки та гістохімії [145, 192].</w:t>
      </w:r>
    </w:p>
    <w:p w:rsidR="0021764E" w:rsidRPr="00C62D22" w:rsidRDefault="0021764E" w:rsidP="0021764E">
      <w:pPr>
        <w:pStyle w:val="a5"/>
        <w:spacing w:before="0" w:beforeAutospacing="0" w:after="0" w:afterAutospacing="0" w:line="360" w:lineRule="auto"/>
        <w:ind w:right="22" w:firstLine="540"/>
        <w:jc w:val="both"/>
        <w:rPr>
          <w:sz w:val="28"/>
          <w:szCs w:val="28"/>
          <w:lang w:val="uk-UA"/>
        </w:rPr>
      </w:pPr>
      <w:r w:rsidRPr="00C62D22">
        <w:rPr>
          <w:sz w:val="28"/>
          <w:szCs w:val="28"/>
          <w:lang w:val="uk-UA"/>
        </w:rPr>
        <w:t>Імуногістохімічне дослідження проводили на парафінових зрізах, товщ</w:t>
      </w:r>
      <w:r w:rsidRPr="00C62D22">
        <w:rPr>
          <w:sz w:val="28"/>
          <w:szCs w:val="28"/>
          <w:lang w:val="uk-UA"/>
        </w:rPr>
        <w:t>и</w:t>
      </w:r>
      <w:r w:rsidRPr="00C62D22">
        <w:rPr>
          <w:sz w:val="28"/>
          <w:szCs w:val="28"/>
          <w:lang w:val="uk-UA"/>
        </w:rPr>
        <w:t>ною 5–6 мкм непрямим методом Кунса за методикою Brosman (1979 р.) [319]. Інтерлейкін-продуценти диференціювали за допомогою моноклональних антитіл (МКА) до інтерлейкіну 2 (IL–2) IL–6 фірми Serotec. Колагени тип</w:t>
      </w:r>
      <w:r w:rsidRPr="00C62D22">
        <w:rPr>
          <w:sz w:val="28"/>
          <w:szCs w:val="28"/>
          <w:lang w:val="uk-UA"/>
        </w:rPr>
        <w:t>у</w:t>
      </w:r>
      <w:r w:rsidRPr="00C62D22">
        <w:rPr>
          <w:sz w:val="28"/>
          <w:szCs w:val="28"/>
          <w:lang w:val="uk-UA"/>
        </w:rPr>
        <w:t>вали МКА до колагенів I, IV типів, (Novocastra Laboratories Ltd.) Колаген III типу визначали МКА до колагену III типу (IMTEK, Ltd, Росія). У якості люмінесцентної мітки використовували F (ab)–2 – фрагменти антитіл кроля проти імуноглобулінів миші, мічених ФІТЦ. Препарати вивчали в люмінесцентному мікроскопі ЛЮМАМ-ІЛ2 з використанням світофільтрів: ФС–1–2, СЗС–24, БС–8–2, УФС–6–3. Оптичну щільність імунофлюоресценції колагенів визначали за методом В.Д. Марковського та співавторів («Спосіб кількісного визначення вмісту антигену в біологічних тканинах», патент на корисну модель №46489 від 25. 12. 2009 р.). За допомогою сітки Г.Г. Автанділова (при збільшенні 400) на мікроскопі ЛЮМАМ–ІЛ2 та програмного забезпечення Biostat визначалася кількість клітин-продуцентів IL–2 та IL–6 на препаратах ПЗ. Цифрові дані оброблені метод</w:t>
      </w:r>
      <w:r w:rsidRPr="00C62D22">
        <w:rPr>
          <w:sz w:val="28"/>
          <w:szCs w:val="28"/>
          <w:lang w:val="uk-UA"/>
        </w:rPr>
        <w:t>а</w:t>
      </w:r>
      <w:r w:rsidRPr="00C62D22">
        <w:rPr>
          <w:sz w:val="28"/>
          <w:szCs w:val="28"/>
          <w:lang w:val="uk-UA"/>
        </w:rPr>
        <w:t>ми варіаційної статистики.</w:t>
      </w: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r w:rsidRPr="00C62D22">
        <w:rPr>
          <w:rFonts w:ascii="Times New Roman" w:hAnsi="Times New Roman" w:cs="Times New Roman"/>
          <w:sz w:val="28"/>
          <w:szCs w:val="28"/>
          <w:lang w:val="uk-UA"/>
        </w:rPr>
        <w:t>Для виконання бактеріологічних та цитологічних досліджень під час операції виконували забір матеріалу (рідини з порожнини), а дослідження проводили згідно з рек</w:t>
      </w:r>
      <w:r w:rsidRPr="00C62D22">
        <w:rPr>
          <w:rFonts w:ascii="Times New Roman" w:hAnsi="Times New Roman" w:cs="Times New Roman"/>
          <w:sz w:val="28"/>
          <w:szCs w:val="28"/>
          <w:lang w:val="uk-UA"/>
        </w:rPr>
        <w:t>о</w:t>
      </w:r>
      <w:r w:rsidRPr="00C62D22">
        <w:rPr>
          <w:rFonts w:ascii="Times New Roman" w:hAnsi="Times New Roman" w:cs="Times New Roman"/>
          <w:sz w:val="28"/>
          <w:szCs w:val="28"/>
          <w:lang w:val="uk-UA"/>
        </w:rPr>
        <w:t>мендаціями [300, 329, 344, 413].</w:t>
      </w:r>
    </w:p>
    <w:p w:rsidR="0021764E" w:rsidRPr="00C62D22" w:rsidRDefault="0021764E" w:rsidP="0021764E">
      <w:pPr>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lang w:val="uk-UA"/>
        </w:rPr>
        <w:t>У якості скринінг-методу УЗД органів черевної порожнини та позаочер</w:t>
      </w:r>
      <w:r w:rsidRPr="00C62D22">
        <w:rPr>
          <w:rFonts w:ascii="Times New Roman" w:hAnsi="Times New Roman" w:cs="Times New Roman"/>
          <w:sz w:val="28"/>
          <w:szCs w:val="28"/>
          <w:lang w:val="uk-UA"/>
        </w:rPr>
        <w:t>е</w:t>
      </w:r>
      <w:r w:rsidRPr="00C62D22">
        <w:rPr>
          <w:rFonts w:ascii="Times New Roman" w:hAnsi="Times New Roman" w:cs="Times New Roman"/>
          <w:sz w:val="28"/>
          <w:szCs w:val="28"/>
          <w:lang w:val="uk-UA"/>
        </w:rPr>
        <w:t>вного простору виконували при госпіталізації хворих, а також у динаміці сп</w:t>
      </w:r>
      <w:r w:rsidRPr="00C62D22">
        <w:rPr>
          <w:rFonts w:ascii="Times New Roman" w:hAnsi="Times New Roman" w:cs="Times New Roman"/>
          <w:sz w:val="28"/>
          <w:szCs w:val="28"/>
          <w:lang w:val="uk-UA"/>
        </w:rPr>
        <w:t>о</w:t>
      </w:r>
      <w:r w:rsidRPr="00C62D22">
        <w:rPr>
          <w:rFonts w:ascii="Times New Roman" w:hAnsi="Times New Roman" w:cs="Times New Roman"/>
          <w:sz w:val="28"/>
          <w:szCs w:val="28"/>
          <w:lang w:val="uk-UA"/>
        </w:rPr>
        <w:t xml:space="preserve">стереження на ультразвукових сканерах трьох типів: </w:t>
      </w:r>
      <w:r w:rsidRPr="00C62D22">
        <w:rPr>
          <w:rFonts w:ascii="Times New Roman" w:hAnsi="Times New Roman" w:cs="Times New Roman"/>
          <w:sz w:val="28"/>
          <w:szCs w:val="28"/>
        </w:rPr>
        <w:t>General</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Electric</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Voluson</w:t>
      </w:r>
      <w:r w:rsidRPr="00C62D22">
        <w:rPr>
          <w:rFonts w:ascii="Times New Roman" w:hAnsi="Times New Roman" w:cs="Times New Roman"/>
          <w:sz w:val="28"/>
          <w:szCs w:val="28"/>
          <w:lang w:val="uk-UA"/>
        </w:rPr>
        <w:t xml:space="preserve"> 730 </w:t>
      </w:r>
      <w:r w:rsidRPr="00C62D22">
        <w:rPr>
          <w:rFonts w:ascii="Times New Roman" w:hAnsi="Times New Roman" w:cs="Times New Roman"/>
          <w:sz w:val="28"/>
          <w:szCs w:val="28"/>
        </w:rPr>
        <w:t>pro</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Radmir</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Ultima</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Pro</w:t>
      </w:r>
      <w:r w:rsidRPr="00C62D22">
        <w:rPr>
          <w:rFonts w:ascii="Times New Roman" w:hAnsi="Times New Roman" w:cs="Times New Roman"/>
          <w:sz w:val="28"/>
          <w:szCs w:val="28"/>
          <w:lang w:val="uk-UA"/>
        </w:rPr>
        <w:t xml:space="preserve">–30 та </w:t>
      </w:r>
      <w:r w:rsidRPr="00C62D22">
        <w:rPr>
          <w:rFonts w:ascii="Times New Roman" w:hAnsi="Times New Roman" w:cs="Times New Roman"/>
          <w:sz w:val="28"/>
          <w:szCs w:val="28"/>
        </w:rPr>
        <w:t>Simens</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Sonoline</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Sl</w:t>
      </w:r>
      <w:r w:rsidRPr="00C62D22">
        <w:rPr>
          <w:rFonts w:ascii="Times New Roman" w:hAnsi="Times New Roman" w:cs="Times New Roman"/>
          <w:sz w:val="28"/>
          <w:szCs w:val="28"/>
          <w:lang w:val="uk-UA"/>
        </w:rPr>
        <w:t>–50 з використанням датч</w:t>
      </w:r>
      <w:r w:rsidRPr="00C62D22">
        <w:rPr>
          <w:rFonts w:ascii="Times New Roman" w:hAnsi="Times New Roman" w:cs="Times New Roman"/>
          <w:sz w:val="28"/>
          <w:szCs w:val="28"/>
          <w:lang w:val="uk-UA"/>
        </w:rPr>
        <w:t>и</w:t>
      </w:r>
      <w:r w:rsidRPr="00C62D22">
        <w:rPr>
          <w:rFonts w:ascii="Times New Roman" w:hAnsi="Times New Roman" w:cs="Times New Roman"/>
          <w:sz w:val="28"/>
          <w:szCs w:val="28"/>
          <w:lang w:val="uk-UA"/>
        </w:rPr>
        <w:t xml:space="preserve">ків конвексного типу </w:t>
      </w:r>
      <w:r w:rsidRPr="00C62D22">
        <w:rPr>
          <w:rFonts w:ascii="Times New Roman" w:hAnsi="Times New Roman" w:cs="Times New Roman"/>
          <w:sz w:val="28"/>
          <w:szCs w:val="28"/>
          <w:lang w:val="uk-UA"/>
        </w:rPr>
        <w:lastRenderedPageBreak/>
        <w:t xml:space="preserve">частотою </w:t>
      </w:r>
      <w:r w:rsidRPr="00C62D22">
        <w:rPr>
          <w:rFonts w:ascii="Times New Roman" w:hAnsi="Times New Roman" w:cs="Times New Roman"/>
          <w:sz w:val="28"/>
          <w:szCs w:val="28"/>
        </w:rPr>
        <w:t>2–5 МГц та лінійного типу част</w:t>
      </w:r>
      <w:r w:rsidRPr="00C62D22">
        <w:rPr>
          <w:rFonts w:ascii="Times New Roman" w:hAnsi="Times New Roman" w:cs="Times New Roman"/>
          <w:sz w:val="28"/>
          <w:szCs w:val="28"/>
        </w:rPr>
        <w:t>о</w:t>
      </w:r>
      <w:r w:rsidRPr="00C62D22">
        <w:rPr>
          <w:rFonts w:ascii="Times New Roman" w:hAnsi="Times New Roman" w:cs="Times New Roman"/>
          <w:sz w:val="28"/>
          <w:szCs w:val="28"/>
        </w:rPr>
        <w:t>тою 5–10 МГц. При обстеженні всіх пацієнтів використовували стандартні настройки приборів для органів черевної порожнини та позаочеревного простору, які частково к</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ректувалися в процесі огляду.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Проводили ультразвукову допплерівську флуометрію (УЗДФ) кровотока за ворітною веною (ВВ), загальною печінковою артерією (ЗПА), верхньою брижовою артерією (ВБА) з використанням апарата SL-450 Siemens (Німечч</w:t>
      </w:r>
      <w:r w:rsidRPr="00C62D22">
        <w:rPr>
          <w:rFonts w:ascii="Times New Roman" w:hAnsi="Times New Roman" w:cs="Times New Roman"/>
          <w:sz w:val="28"/>
          <w:szCs w:val="28"/>
        </w:rPr>
        <w:t>и</w:t>
      </w:r>
      <w:r w:rsidRPr="00C62D22">
        <w:rPr>
          <w:rFonts w:ascii="Times New Roman" w:hAnsi="Times New Roman" w:cs="Times New Roman"/>
          <w:sz w:val="28"/>
          <w:szCs w:val="28"/>
        </w:rPr>
        <w:t>на) в імпульсно-хвильовому режимі, кольорового допплерівського картування та енергетичної кольорової допплерографії з використанням сектор</w:t>
      </w:r>
      <w:r w:rsidRPr="00C62D22">
        <w:rPr>
          <w:rFonts w:ascii="Times New Roman" w:hAnsi="Times New Roman" w:cs="Times New Roman"/>
          <w:sz w:val="28"/>
          <w:szCs w:val="28"/>
        </w:rPr>
        <w:t>а</w:t>
      </w:r>
      <w:r w:rsidRPr="00C62D22">
        <w:rPr>
          <w:rFonts w:ascii="Times New Roman" w:hAnsi="Times New Roman" w:cs="Times New Roman"/>
          <w:sz w:val="28"/>
          <w:szCs w:val="28"/>
        </w:rPr>
        <w:t>льних і конвексних датчиків із частотою 3,5 – 5 МГц. УЗДФ ВВ проводили в ділянці внутрішньопечінкового відділу її основного стовбура, а також у п</w:t>
      </w:r>
      <w:r w:rsidRPr="00C62D22">
        <w:rPr>
          <w:rFonts w:ascii="Times New Roman" w:hAnsi="Times New Roman" w:cs="Times New Roman"/>
          <w:sz w:val="28"/>
          <w:szCs w:val="28"/>
        </w:rPr>
        <w:t>о</w:t>
      </w:r>
      <w:r w:rsidRPr="00C62D22">
        <w:rPr>
          <w:rFonts w:ascii="Times New Roman" w:hAnsi="Times New Roman" w:cs="Times New Roman"/>
          <w:sz w:val="28"/>
          <w:szCs w:val="28"/>
        </w:rPr>
        <w:t>чатковій частині біфуркації в правій гілці і /або у внутрішньопечінкових гілках синхр</w:t>
      </w:r>
      <w:r w:rsidRPr="00C62D22">
        <w:rPr>
          <w:rFonts w:ascii="Times New Roman" w:hAnsi="Times New Roman" w:cs="Times New Roman"/>
          <w:sz w:val="28"/>
          <w:szCs w:val="28"/>
        </w:rPr>
        <w:t>о</w:t>
      </w:r>
      <w:r w:rsidRPr="00C62D22">
        <w:rPr>
          <w:rFonts w:ascii="Times New Roman" w:hAnsi="Times New Roman" w:cs="Times New Roman"/>
          <w:sz w:val="28"/>
          <w:szCs w:val="28"/>
        </w:rPr>
        <w:t>нно з ЕКГ – маркером систоли й діастоли. Кровоток у ВВ оцінювали за метод</w:t>
      </w:r>
      <w:r w:rsidRPr="00C62D22">
        <w:rPr>
          <w:rFonts w:ascii="Times New Roman" w:hAnsi="Times New Roman" w:cs="Times New Roman"/>
          <w:sz w:val="28"/>
          <w:szCs w:val="28"/>
        </w:rPr>
        <w:t>и</w:t>
      </w:r>
      <w:r w:rsidRPr="00C62D22">
        <w:rPr>
          <w:rFonts w:ascii="Times New Roman" w:hAnsi="Times New Roman" w:cs="Times New Roman"/>
          <w:sz w:val="28"/>
          <w:szCs w:val="28"/>
        </w:rPr>
        <w:t>кою Т. Ноsoki і співавт. (1990), при затримці дихання в положенні зі встано</w:t>
      </w:r>
      <w:r w:rsidRPr="00C62D22">
        <w:rPr>
          <w:rFonts w:ascii="Times New Roman" w:hAnsi="Times New Roman" w:cs="Times New Roman"/>
          <w:sz w:val="28"/>
          <w:szCs w:val="28"/>
        </w:rPr>
        <w:t>в</w:t>
      </w:r>
      <w:r w:rsidRPr="00C62D22">
        <w:rPr>
          <w:rFonts w:ascii="Times New Roman" w:hAnsi="Times New Roman" w:cs="Times New Roman"/>
          <w:sz w:val="28"/>
          <w:szCs w:val="28"/>
        </w:rPr>
        <w:t xml:space="preserve">ленням контрольного об’єму в центрі ВВ під кутом, що не перевищував 45 </w:t>
      </w:r>
      <w:r w:rsidRPr="00C62D22">
        <w:rPr>
          <w:rFonts w:ascii="Times New Roman" w:hAnsi="Times New Roman" w:cs="Times New Roman"/>
          <w:sz w:val="28"/>
          <w:szCs w:val="28"/>
          <w:vertAlign w:val="superscript"/>
        </w:rPr>
        <w:t xml:space="preserve">0 </w:t>
      </w:r>
      <w:r w:rsidRPr="00C62D22">
        <w:rPr>
          <w:rFonts w:ascii="Times New Roman" w:hAnsi="Times New Roman" w:cs="Times New Roman"/>
          <w:sz w:val="28"/>
          <w:szCs w:val="28"/>
        </w:rPr>
        <w:t>. Дослідження проводили вранці, натщесерце, у спокійному стані хворого. Вих</w:t>
      </w:r>
      <w:r w:rsidRPr="00C62D22">
        <w:rPr>
          <w:rFonts w:ascii="Times New Roman" w:hAnsi="Times New Roman" w:cs="Times New Roman"/>
          <w:sz w:val="28"/>
          <w:szCs w:val="28"/>
        </w:rPr>
        <w:t>і</w:t>
      </w:r>
      <w:r w:rsidRPr="00C62D22">
        <w:rPr>
          <w:rFonts w:ascii="Times New Roman" w:hAnsi="Times New Roman" w:cs="Times New Roman"/>
          <w:sz w:val="28"/>
          <w:szCs w:val="28"/>
        </w:rPr>
        <w:t xml:space="preserve">дний діаметр ВВ (Д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 визначали в ділянці воріт печінки, також визначали площу поперекового перерізу ВВ (ППП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середню шви</w:t>
      </w:r>
      <w:r w:rsidRPr="00C62D22">
        <w:rPr>
          <w:rFonts w:ascii="Times New Roman" w:hAnsi="Times New Roman" w:cs="Times New Roman"/>
          <w:sz w:val="28"/>
          <w:szCs w:val="28"/>
        </w:rPr>
        <w:t>д</w:t>
      </w:r>
      <w:r w:rsidRPr="00C62D22">
        <w:rPr>
          <w:rFonts w:ascii="Times New Roman" w:hAnsi="Times New Roman" w:cs="Times New Roman"/>
          <w:sz w:val="28"/>
          <w:szCs w:val="28"/>
        </w:rPr>
        <w:t xml:space="preserve">кість кровотока (V </w:t>
      </w:r>
      <w:r w:rsidRPr="00C62D22">
        <w:rPr>
          <w:rFonts w:ascii="Times New Roman" w:hAnsi="Times New Roman" w:cs="Times New Roman"/>
          <w:sz w:val="28"/>
          <w:szCs w:val="28"/>
          <w:vertAlign w:val="subscript"/>
        </w:rPr>
        <w:t>cр</w:t>
      </w:r>
      <w:r w:rsidRPr="00C62D22">
        <w:rPr>
          <w:rFonts w:ascii="Times New Roman" w:hAnsi="Times New Roman" w:cs="Times New Roman"/>
          <w:sz w:val="28"/>
          <w:szCs w:val="28"/>
        </w:rPr>
        <w:t xml:space="preserve">), максимальну, або пікову, лінійну, швидкість (V </w:t>
      </w:r>
      <w:r w:rsidRPr="00C62D22">
        <w:rPr>
          <w:rFonts w:ascii="Times New Roman" w:hAnsi="Times New Roman" w:cs="Times New Roman"/>
          <w:sz w:val="28"/>
          <w:szCs w:val="28"/>
          <w:vertAlign w:val="subscript"/>
        </w:rPr>
        <w:t>max</w:t>
      </w:r>
      <w:r w:rsidRPr="00C62D22">
        <w:rPr>
          <w:rFonts w:ascii="Times New Roman" w:hAnsi="Times New Roman" w:cs="Times New Roman"/>
          <w:sz w:val="28"/>
          <w:szCs w:val="28"/>
        </w:rPr>
        <w:t xml:space="preserve">) і мінімальну лінійну, або діастолічну, швидкість (V </w:t>
      </w:r>
      <w:r w:rsidRPr="00C62D22">
        <w:rPr>
          <w:rFonts w:ascii="Times New Roman" w:hAnsi="Times New Roman" w:cs="Times New Roman"/>
          <w:sz w:val="28"/>
          <w:szCs w:val="28"/>
          <w:vertAlign w:val="subscript"/>
        </w:rPr>
        <w:t>min</w:t>
      </w:r>
      <w:r w:rsidRPr="00C62D22">
        <w:rPr>
          <w:rFonts w:ascii="Times New Roman" w:hAnsi="Times New Roman" w:cs="Times New Roman"/>
          <w:sz w:val="28"/>
          <w:szCs w:val="28"/>
        </w:rPr>
        <w:t>).</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У форматі кардіосумісної УЗДФ на підставі цих параметрів обчислювали такі показники: індекс об’ємного кровотока ВВ (ІОК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 співвідношення Vmax/Д </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тобто «індекс застою» – відношення лінійної швидкості кровот</w:t>
      </w:r>
      <w:r w:rsidRPr="00C62D22">
        <w:rPr>
          <w:rFonts w:ascii="Times New Roman" w:hAnsi="Times New Roman" w:cs="Times New Roman"/>
          <w:sz w:val="28"/>
          <w:szCs w:val="28"/>
        </w:rPr>
        <w:t>о</w:t>
      </w:r>
      <w:r w:rsidRPr="00C62D22">
        <w:rPr>
          <w:rFonts w:ascii="Times New Roman" w:hAnsi="Times New Roman" w:cs="Times New Roman"/>
          <w:sz w:val="28"/>
          <w:szCs w:val="28"/>
        </w:rPr>
        <w:t>ка до діаметра ВВ. Для оцінки об’ємного портального кровотока (венозного пр</w:t>
      </w:r>
      <w:r w:rsidRPr="00C62D22">
        <w:rPr>
          <w:rFonts w:ascii="Times New Roman" w:hAnsi="Times New Roman" w:cs="Times New Roman"/>
          <w:sz w:val="28"/>
          <w:szCs w:val="28"/>
        </w:rPr>
        <w:t>и</w:t>
      </w:r>
      <w:r w:rsidRPr="00C62D22">
        <w:rPr>
          <w:rFonts w:ascii="Times New Roman" w:hAnsi="Times New Roman" w:cs="Times New Roman"/>
          <w:sz w:val="28"/>
          <w:szCs w:val="28"/>
        </w:rPr>
        <w:t xml:space="preserve">току) у печінку використовували швидкісний індекс – ІОК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за 1 хв, який вираховували за формулою 2.2:</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center"/>
        <w:rPr>
          <w:rFonts w:ascii="Times New Roman" w:hAnsi="Times New Roman" w:cs="Times New Roman"/>
          <w:sz w:val="28"/>
          <w:szCs w:val="28"/>
        </w:rPr>
      </w:pPr>
      <w:r w:rsidRPr="00C62D22">
        <w:rPr>
          <w:rFonts w:ascii="Times New Roman" w:hAnsi="Times New Roman" w:cs="Times New Roman"/>
          <w:sz w:val="28"/>
          <w:szCs w:val="28"/>
        </w:rPr>
        <w:t xml:space="preserve">ІОК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мл/ (хв х м </w:t>
      </w:r>
      <w:r w:rsidRPr="00C62D22">
        <w:rPr>
          <w:rFonts w:ascii="Times New Roman" w:hAnsi="Times New Roman" w:cs="Times New Roman"/>
          <w:sz w:val="28"/>
          <w:szCs w:val="28"/>
          <w:vertAlign w:val="superscript"/>
        </w:rPr>
        <w:t xml:space="preserve">2 </w:t>
      </w:r>
      <w:r w:rsidRPr="00C62D22">
        <w:rPr>
          <w:rFonts w:ascii="Times New Roman" w:hAnsi="Times New Roman" w:cs="Times New Roman"/>
          <w:sz w:val="28"/>
          <w:szCs w:val="28"/>
        </w:rPr>
        <w:t xml:space="preserve">) = 1,055 х ППП </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xml:space="preserve">, см </w:t>
      </w:r>
      <w:r w:rsidRPr="00C62D22">
        <w:rPr>
          <w:rFonts w:ascii="Times New Roman" w:hAnsi="Times New Roman" w:cs="Times New Roman"/>
          <w:sz w:val="28"/>
          <w:szCs w:val="28"/>
          <w:vertAlign w:val="superscript"/>
        </w:rPr>
        <w:t xml:space="preserve">2 </w:t>
      </w:r>
      <w:r w:rsidRPr="00C62D22">
        <w:rPr>
          <w:rFonts w:ascii="Times New Roman" w:hAnsi="Times New Roman" w:cs="Times New Roman"/>
          <w:sz w:val="28"/>
          <w:szCs w:val="28"/>
        </w:rPr>
        <w:t>х V</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xml:space="preserve">, см/с х 60/ВМА, м </w:t>
      </w:r>
      <w:r w:rsidRPr="00C62D22">
        <w:rPr>
          <w:rFonts w:ascii="Times New Roman" w:hAnsi="Times New Roman" w:cs="Times New Roman"/>
          <w:sz w:val="28"/>
          <w:szCs w:val="28"/>
          <w:vertAlign w:val="superscript"/>
        </w:rPr>
        <w:t xml:space="preserve">2  </w:t>
      </w:r>
      <w:r w:rsidRPr="00C62D22">
        <w:rPr>
          <w:rFonts w:ascii="Times New Roman" w:hAnsi="Times New Roman" w:cs="Times New Roman"/>
          <w:sz w:val="28"/>
          <w:szCs w:val="28"/>
        </w:rPr>
        <w:t>=</w:t>
      </w:r>
    </w:p>
    <w:p w:rsidR="0021764E" w:rsidRPr="00C62D22" w:rsidRDefault="0021764E" w:rsidP="0021764E">
      <w:pPr>
        <w:spacing w:after="0" w:line="360" w:lineRule="auto"/>
        <w:ind w:firstLine="540"/>
        <w:jc w:val="center"/>
        <w:rPr>
          <w:rFonts w:ascii="Times New Roman" w:hAnsi="Times New Roman" w:cs="Times New Roman"/>
          <w:sz w:val="28"/>
          <w:szCs w:val="28"/>
        </w:rPr>
      </w:pPr>
      <w:r w:rsidRPr="00C62D22">
        <w:rPr>
          <w:rFonts w:ascii="Times New Roman" w:hAnsi="Times New Roman" w:cs="Times New Roman"/>
          <w:sz w:val="28"/>
          <w:szCs w:val="28"/>
        </w:rPr>
        <w:t xml:space="preserve">                              63,3 х ППП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см </w:t>
      </w:r>
      <w:r w:rsidRPr="00C62D22">
        <w:rPr>
          <w:rFonts w:ascii="Times New Roman" w:hAnsi="Times New Roman" w:cs="Times New Roman"/>
          <w:sz w:val="28"/>
          <w:szCs w:val="28"/>
          <w:vertAlign w:val="superscript"/>
        </w:rPr>
        <w:t xml:space="preserve">2 </w:t>
      </w:r>
      <w:r w:rsidRPr="00C62D22">
        <w:rPr>
          <w:rFonts w:ascii="Times New Roman" w:hAnsi="Times New Roman" w:cs="Times New Roman"/>
          <w:sz w:val="28"/>
          <w:szCs w:val="28"/>
        </w:rPr>
        <w:t xml:space="preserve">х Р, см/с/ВМА, м </w:t>
      </w:r>
      <w:r w:rsidRPr="00C62D22">
        <w:rPr>
          <w:rFonts w:ascii="Times New Roman" w:hAnsi="Times New Roman" w:cs="Times New Roman"/>
          <w:sz w:val="28"/>
          <w:szCs w:val="28"/>
          <w:vertAlign w:val="superscript"/>
        </w:rPr>
        <w:t>2</w:t>
      </w:r>
      <w:r w:rsidRPr="00C62D22">
        <w:rPr>
          <w:rFonts w:ascii="Times New Roman" w:hAnsi="Times New Roman" w:cs="Times New Roman"/>
          <w:sz w:val="28"/>
          <w:szCs w:val="28"/>
        </w:rPr>
        <w:t>,                                (2.2)</w:t>
      </w:r>
    </w:p>
    <w:p w:rsidR="0021764E" w:rsidRPr="00C62D22" w:rsidRDefault="0021764E" w:rsidP="0021764E">
      <w:pPr>
        <w:spacing w:after="0" w:line="360" w:lineRule="auto"/>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де ІОК </w:t>
      </w:r>
      <w:r w:rsidRPr="00C62D22">
        <w:rPr>
          <w:rFonts w:ascii="Times New Roman" w:hAnsi="Times New Roman" w:cs="Times New Roman"/>
          <w:sz w:val="28"/>
          <w:szCs w:val="28"/>
          <w:vertAlign w:val="subscript"/>
        </w:rPr>
        <w:t xml:space="preserve">ВВ – </w:t>
      </w:r>
      <w:r w:rsidRPr="00C62D22">
        <w:rPr>
          <w:rFonts w:ascii="Times New Roman" w:hAnsi="Times New Roman" w:cs="Times New Roman"/>
          <w:sz w:val="28"/>
          <w:szCs w:val="28"/>
        </w:rPr>
        <w:t xml:space="preserve">швидкісний індекс, ППП </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площа поперекового перетину ворітної вени, V</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 – швидкість у ворітній вені, Р – лінійна швидкість кровотока (ЛШК) у ВВ, ВМА – площа поверхні тіла, м</w:t>
      </w:r>
      <w:r w:rsidRPr="00C62D22">
        <w:rPr>
          <w:rFonts w:ascii="Times New Roman" w:hAnsi="Times New Roman" w:cs="Times New Roman"/>
          <w:sz w:val="28"/>
          <w:szCs w:val="28"/>
          <w:vertAlign w:val="superscript"/>
        </w:rPr>
        <w:t xml:space="preserve">2 </w:t>
      </w:r>
      <w:r w:rsidRPr="00C62D22">
        <w:rPr>
          <w:rFonts w:ascii="Times New Roman" w:hAnsi="Times New Roman" w:cs="Times New Roman"/>
          <w:sz w:val="28"/>
          <w:szCs w:val="28"/>
        </w:rPr>
        <w:t>.</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УЗДФ ЗПА проводили в місці її відходження від черевного стовбура, де кут між УЗ–променем і ходом судини не перевищував 45 </w:t>
      </w:r>
      <w:r w:rsidRPr="00C62D22">
        <w:rPr>
          <w:rFonts w:ascii="Times New Roman" w:hAnsi="Times New Roman" w:cs="Times New Roman"/>
          <w:sz w:val="28"/>
          <w:szCs w:val="28"/>
          <w:vertAlign w:val="superscript"/>
        </w:rPr>
        <w:t>0</w:t>
      </w:r>
      <w:r w:rsidRPr="00C62D22">
        <w:rPr>
          <w:rFonts w:ascii="Times New Roman" w:hAnsi="Times New Roman" w:cs="Times New Roman"/>
          <w:sz w:val="28"/>
          <w:szCs w:val="28"/>
        </w:rPr>
        <w:t>, а також власної п</w:t>
      </w:r>
      <w:r w:rsidRPr="00C62D22">
        <w:rPr>
          <w:rFonts w:ascii="Times New Roman" w:hAnsi="Times New Roman" w:cs="Times New Roman"/>
          <w:sz w:val="28"/>
          <w:szCs w:val="28"/>
        </w:rPr>
        <w:t>е</w:t>
      </w:r>
      <w:r w:rsidRPr="00C62D22">
        <w:rPr>
          <w:rFonts w:ascii="Times New Roman" w:hAnsi="Times New Roman" w:cs="Times New Roman"/>
          <w:sz w:val="28"/>
          <w:szCs w:val="28"/>
        </w:rPr>
        <w:t xml:space="preserve">чінкової артерії під внутрішньопечінковою ділянкою, де вона розташована між ВВ і спільною жовчною протокою.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Аналізували допплерограми з максимальним спектром кровотока. Оцін</w:t>
      </w:r>
      <w:r w:rsidRPr="00C62D22">
        <w:rPr>
          <w:rFonts w:ascii="Times New Roman" w:hAnsi="Times New Roman" w:cs="Times New Roman"/>
          <w:sz w:val="28"/>
          <w:szCs w:val="28"/>
        </w:rPr>
        <w:t>ю</w:t>
      </w:r>
      <w:r w:rsidRPr="00C62D22">
        <w:rPr>
          <w:rFonts w:ascii="Times New Roman" w:hAnsi="Times New Roman" w:cs="Times New Roman"/>
          <w:sz w:val="28"/>
          <w:szCs w:val="28"/>
        </w:rPr>
        <w:t xml:space="preserve">вали: діаметр ЗПА (Д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 її площу поперекового перерізу (ППП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 під позапечінковим відділом; V </w:t>
      </w:r>
      <w:r w:rsidRPr="00C62D22">
        <w:rPr>
          <w:rFonts w:ascii="Times New Roman" w:hAnsi="Times New Roman" w:cs="Times New Roman"/>
          <w:sz w:val="28"/>
          <w:szCs w:val="28"/>
          <w:vertAlign w:val="subscript"/>
        </w:rPr>
        <w:t xml:space="preserve">max </w:t>
      </w:r>
      <w:r w:rsidRPr="00C62D22">
        <w:rPr>
          <w:rFonts w:ascii="Times New Roman" w:hAnsi="Times New Roman" w:cs="Times New Roman"/>
          <w:sz w:val="28"/>
          <w:szCs w:val="28"/>
        </w:rPr>
        <w:t xml:space="preserve"> – кінцеву систолічну швидкість кровотока в ЗПА; V </w:t>
      </w:r>
      <w:r w:rsidRPr="00C62D22">
        <w:rPr>
          <w:rFonts w:ascii="Times New Roman" w:hAnsi="Times New Roman" w:cs="Times New Roman"/>
          <w:sz w:val="28"/>
          <w:szCs w:val="28"/>
          <w:vertAlign w:val="subscript"/>
        </w:rPr>
        <w:t>min</w:t>
      </w:r>
      <w:r w:rsidRPr="00C62D22">
        <w:rPr>
          <w:rFonts w:ascii="Times New Roman" w:hAnsi="Times New Roman" w:cs="Times New Roman"/>
          <w:sz w:val="28"/>
          <w:szCs w:val="28"/>
        </w:rPr>
        <w:t xml:space="preserve"> – кінцеву діастолічну швидкість кровотока в ЗПА; РІ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(пульсативний і</w:t>
      </w:r>
      <w:r w:rsidRPr="00C62D22">
        <w:rPr>
          <w:rFonts w:ascii="Times New Roman" w:hAnsi="Times New Roman" w:cs="Times New Roman"/>
          <w:sz w:val="28"/>
          <w:szCs w:val="28"/>
        </w:rPr>
        <w:t>н</w:t>
      </w:r>
      <w:r w:rsidRPr="00C62D22">
        <w:rPr>
          <w:rFonts w:ascii="Times New Roman" w:hAnsi="Times New Roman" w:cs="Times New Roman"/>
          <w:sz w:val="28"/>
          <w:szCs w:val="28"/>
        </w:rPr>
        <w:t xml:space="preserve">декс Гослінга); RІ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(індекс резистентності Пурсело). RІ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визначали з вик</w:t>
      </w:r>
      <w:r w:rsidRPr="00C62D22">
        <w:rPr>
          <w:rFonts w:ascii="Times New Roman" w:hAnsi="Times New Roman" w:cs="Times New Roman"/>
          <w:sz w:val="28"/>
          <w:szCs w:val="28"/>
        </w:rPr>
        <w:t>о</w:t>
      </w:r>
      <w:r w:rsidRPr="00C62D22">
        <w:rPr>
          <w:rFonts w:ascii="Times New Roman" w:hAnsi="Times New Roman" w:cs="Times New Roman"/>
          <w:sz w:val="28"/>
          <w:szCs w:val="28"/>
        </w:rPr>
        <w:t>ристанням програмного забезпечення ультразвукового сканеру за форм</w:t>
      </w:r>
      <w:r w:rsidRPr="00C62D22">
        <w:rPr>
          <w:rFonts w:ascii="Times New Roman" w:hAnsi="Times New Roman" w:cs="Times New Roman"/>
          <w:sz w:val="28"/>
          <w:szCs w:val="28"/>
        </w:rPr>
        <w:t>у</w:t>
      </w:r>
      <w:r w:rsidRPr="00C62D22">
        <w:rPr>
          <w:rFonts w:ascii="Times New Roman" w:hAnsi="Times New Roman" w:cs="Times New Roman"/>
          <w:sz w:val="28"/>
          <w:szCs w:val="28"/>
        </w:rPr>
        <w:t xml:space="preserve">лою 2.3: </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tabs>
          <w:tab w:val="center" w:pos="5372"/>
          <w:tab w:val="right" w:pos="10205"/>
        </w:tabs>
        <w:spacing w:after="0" w:line="360" w:lineRule="auto"/>
        <w:ind w:firstLine="540"/>
        <w:rPr>
          <w:rFonts w:ascii="Times New Roman" w:hAnsi="Times New Roman" w:cs="Times New Roman"/>
          <w:sz w:val="28"/>
          <w:szCs w:val="28"/>
        </w:rPr>
      </w:pPr>
      <w:r w:rsidRPr="00C62D22">
        <w:rPr>
          <w:rFonts w:ascii="Times New Roman" w:hAnsi="Times New Roman" w:cs="Times New Roman"/>
          <w:sz w:val="28"/>
          <w:szCs w:val="28"/>
        </w:rPr>
        <w:tab/>
        <w:t xml:space="preserve">RІ= V </w:t>
      </w:r>
      <w:r w:rsidRPr="00C62D22">
        <w:rPr>
          <w:rFonts w:ascii="Times New Roman" w:hAnsi="Times New Roman" w:cs="Times New Roman"/>
          <w:sz w:val="28"/>
          <w:szCs w:val="28"/>
          <w:vertAlign w:val="subscript"/>
        </w:rPr>
        <w:t xml:space="preserve">ms </w:t>
      </w:r>
      <w:r w:rsidRPr="00C62D22">
        <w:rPr>
          <w:rFonts w:ascii="Times New Roman" w:hAnsi="Times New Roman" w:cs="Times New Roman"/>
          <w:sz w:val="28"/>
          <w:szCs w:val="28"/>
        </w:rPr>
        <w:t>– V</w:t>
      </w:r>
      <w:r w:rsidRPr="00C62D22">
        <w:rPr>
          <w:rFonts w:ascii="Times New Roman" w:hAnsi="Times New Roman" w:cs="Times New Roman"/>
          <w:sz w:val="28"/>
          <w:szCs w:val="28"/>
          <w:vertAlign w:val="subscript"/>
        </w:rPr>
        <w:t xml:space="preserve">ed </w:t>
      </w:r>
      <w:r w:rsidRPr="00C62D22">
        <w:rPr>
          <w:rFonts w:ascii="Times New Roman" w:hAnsi="Times New Roman" w:cs="Times New Roman"/>
          <w:sz w:val="28"/>
          <w:szCs w:val="28"/>
        </w:rPr>
        <w:t>/ V</w:t>
      </w:r>
      <w:r w:rsidRPr="00C62D22">
        <w:rPr>
          <w:rFonts w:ascii="Times New Roman" w:hAnsi="Times New Roman" w:cs="Times New Roman"/>
          <w:sz w:val="28"/>
          <w:szCs w:val="28"/>
          <w:vertAlign w:val="subscript"/>
        </w:rPr>
        <w:t>ms</w:t>
      </w:r>
      <w:r w:rsidRPr="00C62D22">
        <w:rPr>
          <w:rFonts w:ascii="Times New Roman" w:hAnsi="Times New Roman" w:cs="Times New Roman"/>
          <w:sz w:val="28"/>
          <w:szCs w:val="28"/>
        </w:rPr>
        <w:t xml:space="preserve"> ,</w:t>
      </w:r>
      <w:r w:rsidRPr="00C62D22">
        <w:rPr>
          <w:rFonts w:ascii="Times New Roman" w:hAnsi="Times New Roman" w:cs="Times New Roman"/>
          <w:sz w:val="28"/>
          <w:szCs w:val="28"/>
        </w:rPr>
        <w:tab/>
        <w:t>(2.3)</w:t>
      </w:r>
    </w:p>
    <w:p w:rsidR="0021764E" w:rsidRPr="00C62D22" w:rsidRDefault="0021764E" w:rsidP="0021764E">
      <w:pPr>
        <w:spacing w:after="0" w:line="360" w:lineRule="auto"/>
        <w:ind w:firstLine="540"/>
        <w:jc w:val="right"/>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де RІ</w:t>
      </w:r>
      <w:r w:rsidRPr="00C62D22">
        <w:rPr>
          <w:rFonts w:ascii="Times New Roman" w:hAnsi="Times New Roman" w:cs="Times New Roman"/>
          <w:sz w:val="28"/>
          <w:szCs w:val="28"/>
          <w:vertAlign w:val="subscript"/>
        </w:rPr>
        <w:t xml:space="preserve"> </w:t>
      </w:r>
      <w:r w:rsidRPr="00C62D22">
        <w:rPr>
          <w:rFonts w:ascii="Times New Roman" w:hAnsi="Times New Roman" w:cs="Times New Roman"/>
          <w:sz w:val="28"/>
          <w:szCs w:val="28"/>
        </w:rPr>
        <w:t>– індекс резистентності Пурсело, V</w:t>
      </w:r>
      <w:r w:rsidRPr="00C62D22">
        <w:rPr>
          <w:rFonts w:ascii="Times New Roman" w:hAnsi="Times New Roman" w:cs="Times New Roman"/>
          <w:sz w:val="28"/>
          <w:szCs w:val="28"/>
          <w:vertAlign w:val="subscript"/>
        </w:rPr>
        <w:t xml:space="preserve">ms </w:t>
      </w:r>
      <w:r w:rsidRPr="00C62D22">
        <w:rPr>
          <w:rFonts w:ascii="Times New Roman" w:hAnsi="Times New Roman" w:cs="Times New Roman"/>
          <w:sz w:val="28"/>
          <w:szCs w:val="28"/>
        </w:rPr>
        <w:t>– максимальна систолічна швидкість кровотока, V</w:t>
      </w:r>
      <w:r w:rsidRPr="00C62D22">
        <w:rPr>
          <w:rFonts w:ascii="Times New Roman" w:hAnsi="Times New Roman" w:cs="Times New Roman"/>
          <w:sz w:val="28"/>
          <w:szCs w:val="28"/>
          <w:vertAlign w:val="subscript"/>
        </w:rPr>
        <w:t>ed</w:t>
      </w:r>
      <w:r w:rsidRPr="00C62D22">
        <w:rPr>
          <w:rFonts w:ascii="Times New Roman" w:hAnsi="Times New Roman" w:cs="Times New Roman"/>
          <w:sz w:val="28"/>
          <w:szCs w:val="28"/>
        </w:rPr>
        <w:t xml:space="preserve"> – кінцева діаст</w:t>
      </w:r>
      <w:r w:rsidRPr="00C62D22">
        <w:rPr>
          <w:rFonts w:ascii="Times New Roman" w:hAnsi="Times New Roman" w:cs="Times New Roman"/>
          <w:sz w:val="28"/>
          <w:szCs w:val="28"/>
        </w:rPr>
        <w:t>о</w:t>
      </w:r>
      <w:r w:rsidRPr="00C62D22">
        <w:rPr>
          <w:rFonts w:ascii="Times New Roman" w:hAnsi="Times New Roman" w:cs="Times New Roman"/>
          <w:sz w:val="28"/>
          <w:szCs w:val="28"/>
        </w:rPr>
        <w:t>лічна швидкість кровотока.</w:t>
      </w: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Цей параметр відображав величину периферійного опору в судинах артер</w:t>
      </w:r>
      <w:r w:rsidRPr="00C62D22">
        <w:rPr>
          <w:rFonts w:ascii="Times New Roman" w:hAnsi="Times New Roman" w:cs="Times New Roman"/>
          <w:sz w:val="28"/>
          <w:szCs w:val="28"/>
        </w:rPr>
        <w:t>і</w:t>
      </w:r>
      <w:r w:rsidRPr="00C62D22">
        <w:rPr>
          <w:rFonts w:ascii="Times New Roman" w:hAnsi="Times New Roman" w:cs="Times New Roman"/>
          <w:sz w:val="28"/>
          <w:szCs w:val="28"/>
        </w:rPr>
        <w:t xml:space="preserve">ального гирла. Також обчислювали параметри об’ємного кровотока, об’ємну швидкість кровотоку за ЗПА (ОШК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 мл/хв, індекс об’ємного кровотока за ЗПА (ІОК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мл/ (хв х м</w:t>
      </w:r>
      <w:r w:rsidRPr="00C62D22">
        <w:rPr>
          <w:rFonts w:ascii="Times New Roman" w:hAnsi="Times New Roman" w:cs="Times New Roman"/>
          <w:sz w:val="28"/>
          <w:szCs w:val="28"/>
          <w:vertAlign w:val="superscript"/>
        </w:rPr>
        <w:t>2</w:t>
      </w:r>
      <w:r w:rsidRPr="00C62D22">
        <w:rPr>
          <w:rFonts w:ascii="Times New Roman" w:hAnsi="Times New Roman" w:cs="Times New Roman"/>
          <w:sz w:val="28"/>
          <w:szCs w:val="28"/>
        </w:rPr>
        <w:t xml:space="preserve"> ) за 1 хв за формулами 2.4 – 2.5:</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tabs>
          <w:tab w:val="center" w:pos="5372"/>
          <w:tab w:val="right" w:pos="10205"/>
        </w:tabs>
        <w:spacing w:after="0" w:line="360" w:lineRule="auto"/>
        <w:ind w:firstLine="540"/>
        <w:rPr>
          <w:rFonts w:ascii="Times New Roman" w:hAnsi="Times New Roman" w:cs="Times New Roman"/>
          <w:sz w:val="28"/>
          <w:szCs w:val="28"/>
        </w:rPr>
      </w:pPr>
      <w:r w:rsidRPr="00C62D22">
        <w:rPr>
          <w:rFonts w:ascii="Times New Roman" w:hAnsi="Times New Roman" w:cs="Times New Roman"/>
          <w:sz w:val="28"/>
          <w:szCs w:val="28"/>
        </w:rPr>
        <w:tab/>
        <w:t xml:space="preserve">ІОК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 1,055 х ППП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х V </w:t>
      </w:r>
      <w:r w:rsidRPr="00C62D22">
        <w:rPr>
          <w:rFonts w:ascii="Times New Roman" w:hAnsi="Times New Roman" w:cs="Times New Roman"/>
          <w:sz w:val="28"/>
          <w:szCs w:val="28"/>
          <w:vertAlign w:val="subscript"/>
        </w:rPr>
        <w:t xml:space="preserve">ср ЗПА </w:t>
      </w:r>
      <w:r w:rsidRPr="00C62D22">
        <w:rPr>
          <w:rFonts w:ascii="Times New Roman" w:hAnsi="Times New Roman" w:cs="Times New Roman"/>
          <w:sz w:val="28"/>
          <w:szCs w:val="28"/>
        </w:rPr>
        <w:t xml:space="preserve"> х ЧСС/ВМА,</w:t>
      </w:r>
      <w:r w:rsidRPr="00C62D22">
        <w:rPr>
          <w:rFonts w:ascii="Times New Roman" w:hAnsi="Times New Roman" w:cs="Times New Roman"/>
          <w:sz w:val="28"/>
          <w:szCs w:val="28"/>
        </w:rPr>
        <w:tab/>
        <w:t>(2.4)</w:t>
      </w:r>
    </w:p>
    <w:p w:rsidR="0021764E" w:rsidRPr="00C62D22" w:rsidRDefault="0021764E" w:rsidP="0021764E">
      <w:pPr>
        <w:spacing w:after="0" w:line="360" w:lineRule="auto"/>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де ІОК </w:t>
      </w:r>
      <w:r w:rsidRPr="00C62D22">
        <w:rPr>
          <w:rFonts w:ascii="Times New Roman" w:hAnsi="Times New Roman" w:cs="Times New Roman"/>
          <w:sz w:val="28"/>
          <w:szCs w:val="28"/>
          <w:vertAlign w:val="subscript"/>
        </w:rPr>
        <w:t>ЗПА</w:t>
      </w:r>
      <w:r w:rsidRPr="00C62D22">
        <w:rPr>
          <w:rFonts w:ascii="Times New Roman" w:hAnsi="Times New Roman" w:cs="Times New Roman"/>
          <w:sz w:val="28"/>
          <w:szCs w:val="28"/>
        </w:rPr>
        <w:t xml:space="preserve"> – індекс об’ємного кровотока за ЗПА, ППП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 площа поперекового перетину ЗПА, V </w:t>
      </w:r>
      <w:r w:rsidRPr="00C62D22">
        <w:rPr>
          <w:rFonts w:ascii="Times New Roman" w:hAnsi="Times New Roman" w:cs="Times New Roman"/>
          <w:sz w:val="28"/>
          <w:szCs w:val="28"/>
          <w:vertAlign w:val="subscript"/>
        </w:rPr>
        <w:t xml:space="preserve">ср ЗПА </w:t>
      </w:r>
      <w:r w:rsidRPr="00C62D22">
        <w:rPr>
          <w:rFonts w:ascii="Times New Roman" w:hAnsi="Times New Roman" w:cs="Times New Roman"/>
          <w:sz w:val="28"/>
          <w:szCs w:val="28"/>
        </w:rPr>
        <w:t xml:space="preserve"> – середня швидкість кровотока за ЗПА, ЧСС – частота </w:t>
      </w:r>
      <w:r w:rsidRPr="00C62D22">
        <w:rPr>
          <w:rFonts w:ascii="Times New Roman" w:hAnsi="Times New Roman" w:cs="Times New Roman"/>
          <w:sz w:val="28"/>
          <w:szCs w:val="28"/>
        </w:rPr>
        <w:lastRenderedPageBreak/>
        <w:t xml:space="preserve">серцевих скорочень за 1 хв, індекс артеріального кровотока в ЗПА і хвилинного об’єму крові – Vо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/ХОК), ВМА – площа поверхні тіла, м</w:t>
      </w:r>
      <w:r w:rsidRPr="00C62D22">
        <w:rPr>
          <w:rFonts w:ascii="Times New Roman" w:hAnsi="Times New Roman" w:cs="Times New Roman"/>
          <w:sz w:val="28"/>
          <w:szCs w:val="28"/>
          <w:vertAlign w:val="superscript"/>
        </w:rPr>
        <w:t xml:space="preserve">2 </w:t>
      </w:r>
      <w:r w:rsidRPr="00C62D22">
        <w:rPr>
          <w:rFonts w:ascii="Times New Roman" w:hAnsi="Times New Roman" w:cs="Times New Roman"/>
          <w:sz w:val="28"/>
          <w:szCs w:val="28"/>
        </w:rPr>
        <w:t>;</w:t>
      </w: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tabs>
          <w:tab w:val="center" w:pos="5372"/>
          <w:tab w:val="right" w:pos="10205"/>
        </w:tabs>
        <w:spacing w:after="0" w:line="360" w:lineRule="auto"/>
        <w:ind w:firstLine="540"/>
        <w:outlineLvl w:val="0"/>
        <w:rPr>
          <w:rFonts w:ascii="Times New Roman" w:hAnsi="Times New Roman" w:cs="Times New Roman"/>
          <w:sz w:val="28"/>
          <w:szCs w:val="28"/>
        </w:rPr>
      </w:pPr>
      <w:r w:rsidRPr="00C62D22">
        <w:rPr>
          <w:rFonts w:ascii="Times New Roman" w:hAnsi="Times New Roman" w:cs="Times New Roman"/>
          <w:sz w:val="28"/>
          <w:szCs w:val="28"/>
        </w:rPr>
        <w:tab/>
        <w:t xml:space="preserve">Vо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/ХОК = 0,1 х ІОК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/СІ,</w:t>
      </w:r>
      <w:r w:rsidRPr="00C62D22">
        <w:rPr>
          <w:rFonts w:ascii="Times New Roman" w:hAnsi="Times New Roman" w:cs="Times New Roman"/>
          <w:sz w:val="28"/>
          <w:szCs w:val="28"/>
        </w:rPr>
        <w:tab/>
        <w:t>(2.5)</w:t>
      </w:r>
    </w:p>
    <w:p w:rsidR="0021764E" w:rsidRPr="00C62D22" w:rsidRDefault="0021764E" w:rsidP="0021764E">
      <w:pPr>
        <w:spacing w:after="0" w:line="360" w:lineRule="auto"/>
        <w:ind w:firstLine="540"/>
        <w:jc w:val="right"/>
        <w:outlineLvl w:val="0"/>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де Vо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 швидкість кровотока за ЗПА, ХОК – об’ємний об’єм кровотока, ІОК </w:t>
      </w:r>
      <w:r w:rsidRPr="00C62D22">
        <w:rPr>
          <w:rFonts w:ascii="Times New Roman" w:hAnsi="Times New Roman" w:cs="Times New Roman"/>
          <w:sz w:val="28"/>
          <w:szCs w:val="28"/>
          <w:vertAlign w:val="subscript"/>
        </w:rPr>
        <w:t>ЗПА</w:t>
      </w:r>
      <w:r w:rsidRPr="00C62D22">
        <w:rPr>
          <w:rFonts w:ascii="Times New Roman" w:hAnsi="Times New Roman" w:cs="Times New Roman"/>
          <w:sz w:val="28"/>
          <w:szCs w:val="28"/>
        </w:rPr>
        <w:t xml:space="preserve"> – індекс об’ємного кровотока за ЗПА, СІ – серцевий індекс, який обчислювали за величиною трансаортальн</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го потоку методом постійної хвильової допплерехокардіографії. </w:t>
      </w:r>
    </w:p>
    <w:p w:rsidR="0021764E" w:rsidRPr="00C62D22" w:rsidRDefault="0021764E" w:rsidP="0021764E">
      <w:pPr>
        <w:spacing w:after="0" w:line="360" w:lineRule="auto"/>
        <w:ind w:firstLine="539"/>
        <w:jc w:val="both"/>
        <w:rPr>
          <w:rFonts w:ascii="Times New Roman" w:hAnsi="Times New Roman" w:cs="Times New Roman"/>
          <w:sz w:val="28"/>
          <w:szCs w:val="28"/>
        </w:rPr>
      </w:pPr>
      <w:r w:rsidRPr="00C62D22">
        <w:rPr>
          <w:rFonts w:ascii="Times New Roman" w:hAnsi="Times New Roman" w:cs="Times New Roman"/>
          <w:sz w:val="28"/>
          <w:szCs w:val="28"/>
        </w:rPr>
        <w:t xml:space="preserve">Визначали об’ємну швидкість кровотока за ВБА (ОШК </w:t>
      </w:r>
      <w:r w:rsidRPr="00C62D22">
        <w:rPr>
          <w:rFonts w:ascii="Times New Roman" w:hAnsi="Times New Roman" w:cs="Times New Roman"/>
          <w:sz w:val="28"/>
          <w:szCs w:val="28"/>
          <w:vertAlign w:val="subscript"/>
        </w:rPr>
        <w:t>ВБА</w:t>
      </w:r>
      <w:r w:rsidRPr="00C62D22">
        <w:rPr>
          <w:rFonts w:ascii="Times New Roman" w:hAnsi="Times New Roman" w:cs="Times New Roman"/>
          <w:sz w:val="28"/>
          <w:szCs w:val="28"/>
        </w:rPr>
        <w:t xml:space="preserve"> ) і RI </w:t>
      </w:r>
      <w:r w:rsidRPr="00C62D22">
        <w:rPr>
          <w:rFonts w:ascii="Times New Roman" w:hAnsi="Times New Roman" w:cs="Times New Roman"/>
          <w:sz w:val="28"/>
          <w:szCs w:val="28"/>
          <w:vertAlign w:val="subscript"/>
        </w:rPr>
        <w:t xml:space="preserve">ВБА </w:t>
      </w:r>
      <w:r w:rsidRPr="00C62D22">
        <w:rPr>
          <w:rFonts w:ascii="Times New Roman" w:hAnsi="Times New Roman" w:cs="Times New Roman"/>
          <w:sz w:val="28"/>
          <w:szCs w:val="28"/>
        </w:rPr>
        <w:t xml:space="preserve"> – індекс резистивно</w:t>
      </w:r>
      <w:r w:rsidRPr="00C62D22">
        <w:rPr>
          <w:rFonts w:ascii="Times New Roman" w:hAnsi="Times New Roman" w:cs="Times New Roman"/>
          <w:sz w:val="28"/>
          <w:szCs w:val="28"/>
        </w:rPr>
        <w:t>с</w:t>
      </w:r>
      <w:r w:rsidRPr="00C62D22">
        <w:rPr>
          <w:rFonts w:ascii="Times New Roman" w:hAnsi="Times New Roman" w:cs="Times New Roman"/>
          <w:sz w:val="28"/>
          <w:szCs w:val="28"/>
        </w:rPr>
        <w:t>ті Пурсело у ВБА.</w:t>
      </w:r>
    </w:p>
    <w:p w:rsidR="0021764E" w:rsidRPr="00C62D22" w:rsidRDefault="0021764E" w:rsidP="0021764E">
      <w:pPr>
        <w:spacing w:after="0" w:line="360" w:lineRule="auto"/>
        <w:ind w:firstLine="539"/>
        <w:jc w:val="both"/>
        <w:rPr>
          <w:rFonts w:ascii="Times New Roman" w:hAnsi="Times New Roman" w:cs="Times New Roman"/>
          <w:sz w:val="28"/>
          <w:szCs w:val="28"/>
        </w:rPr>
      </w:pPr>
      <w:r w:rsidRPr="00C62D22">
        <w:rPr>
          <w:rFonts w:ascii="Times New Roman" w:hAnsi="Times New Roman" w:cs="Times New Roman"/>
          <w:sz w:val="28"/>
          <w:szCs w:val="28"/>
        </w:rPr>
        <w:t>За даними ехокардіоскопії, визначали деякі показники центральної гем</w:t>
      </w:r>
      <w:r w:rsidRPr="00C62D22">
        <w:rPr>
          <w:rFonts w:ascii="Times New Roman" w:hAnsi="Times New Roman" w:cs="Times New Roman"/>
          <w:sz w:val="28"/>
          <w:szCs w:val="28"/>
        </w:rPr>
        <w:t>о</w:t>
      </w:r>
      <w:r w:rsidRPr="00C62D22">
        <w:rPr>
          <w:rFonts w:ascii="Times New Roman" w:hAnsi="Times New Roman" w:cs="Times New Roman"/>
          <w:sz w:val="28"/>
          <w:szCs w:val="28"/>
        </w:rPr>
        <w:t>динаміки з використанням апарата «CS 9100» фірми «PICKER» (Німеччина) та датчика із частотою 3 МГц в М – і В – режимах. За формулами 2.6 – 2.10 визначали кінцево-систолічний (КСО) і кінцево-діастолічний (КДО) об’єм лівого шл</w:t>
      </w:r>
      <w:r w:rsidRPr="00C62D22">
        <w:rPr>
          <w:rFonts w:ascii="Times New Roman" w:hAnsi="Times New Roman" w:cs="Times New Roman"/>
          <w:sz w:val="28"/>
          <w:szCs w:val="28"/>
        </w:rPr>
        <w:t>у</w:t>
      </w:r>
      <w:r w:rsidRPr="00C62D22">
        <w:rPr>
          <w:rFonts w:ascii="Times New Roman" w:hAnsi="Times New Roman" w:cs="Times New Roman"/>
          <w:sz w:val="28"/>
          <w:szCs w:val="28"/>
        </w:rPr>
        <w:t>ночка (ЛШ), ударний об’єм (УО), фракцію викиду (ФВ) ЛШ, серцевий індекс (СІ), серцевий викид (СВ), ЗПОС:</w:t>
      </w:r>
    </w:p>
    <w:p w:rsidR="0021764E" w:rsidRPr="00C62D22" w:rsidRDefault="0021764E" w:rsidP="0021764E">
      <w:pPr>
        <w:spacing w:after="0" w:line="360" w:lineRule="auto"/>
        <w:ind w:firstLine="539"/>
        <w:jc w:val="both"/>
        <w:rPr>
          <w:rFonts w:ascii="Times New Roman" w:hAnsi="Times New Roman" w:cs="Times New Roman"/>
          <w:sz w:val="28"/>
          <w:szCs w:val="28"/>
        </w:rPr>
      </w:pPr>
    </w:p>
    <w:p w:rsidR="0021764E" w:rsidRPr="00C62D22" w:rsidRDefault="0021764E" w:rsidP="0021764E">
      <w:pPr>
        <w:tabs>
          <w:tab w:val="center" w:pos="5372"/>
          <w:tab w:val="left" w:pos="9480"/>
          <w:tab w:val="right" w:pos="10205"/>
        </w:tabs>
        <w:spacing w:after="0" w:line="360" w:lineRule="auto"/>
        <w:ind w:firstLine="540"/>
        <w:outlineLvl w:val="0"/>
        <w:rPr>
          <w:rFonts w:ascii="Times New Roman" w:hAnsi="Times New Roman" w:cs="Times New Roman"/>
          <w:sz w:val="28"/>
          <w:szCs w:val="28"/>
        </w:rPr>
      </w:pPr>
      <w:r w:rsidRPr="00C62D22">
        <w:rPr>
          <w:rFonts w:ascii="Times New Roman" w:hAnsi="Times New Roman" w:cs="Times New Roman"/>
          <w:sz w:val="28"/>
          <w:szCs w:val="28"/>
        </w:rPr>
        <w:tab/>
        <w:t>УО=КДО –КСО,</w:t>
      </w:r>
      <w:r w:rsidRPr="00C62D22">
        <w:rPr>
          <w:rFonts w:ascii="Times New Roman" w:hAnsi="Times New Roman" w:cs="Times New Roman"/>
          <w:sz w:val="28"/>
          <w:szCs w:val="28"/>
        </w:rPr>
        <w:tab/>
      </w:r>
      <w:r w:rsidRPr="00C62D22">
        <w:rPr>
          <w:rFonts w:ascii="Times New Roman" w:hAnsi="Times New Roman" w:cs="Times New Roman"/>
          <w:sz w:val="28"/>
          <w:szCs w:val="28"/>
        </w:rPr>
        <w:tab/>
        <w:t xml:space="preserve">(2.6) </w:t>
      </w:r>
    </w:p>
    <w:p w:rsidR="0021764E" w:rsidRPr="00C62D22" w:rsidRDefault="0021764E" w:rsidP="0021764E">
      <w:pPr>
        <w:tabs>
          <w:tab w:val="center" w:pos="5372"/>
          <w:tab w:val="left" w:pos="9480"/>
          <w:tab w:val="right" w:pos="10205"/>
        </w:tabs>
        <w:spacing w:after="0" w:line="360" w:lineRule="auto"/>
        <w:ind w:firstLine="540"/>
        <w:outlineLvl w:val="0"/>
        <w:rPr>
          <w:rFonts w:ascii="Times New Roman" w:hAnsi="Times New Roman" w:cs="Times New Roman"/>
          <w:sz w:val="28"/>
          <w:szCs w:val="28"/>
        </w:rPr>
      </w:pPr>
    </w:p>
    <w:p w:rsidR="0021764E" w:rsidRPr="00C62D22" w:rsidRDefault="0021764E" w:rsidP="0021764E">
      <w:pPr>
        <w:spacing w:after="0" w:line="360" w:lineRule="auto"/>
        <w:jc w:val="both"/>
        <w:outlineLvl w:val="0"/>
        <w:rPr>
          <w:rFonts w:ascii="Times New Roman" w:hAnsi="Times New Roman" w:cs="Times New Roman"/>
          <w:sz w:val="28"/>
          <w:szCs w:val="28"/>
        </w:rPr>
      </w:pPr>
      <w:r w:rsidRPr="00C62D22">
        <w:rPr>
          <w:rFonts w:ascii="Times New Roman" w:hAnsi="Times New Roman" w:cs="Times New Roman"/>
          <w:sz w:val="28"/>
          <w:szCs w:val="28"/>
        </w:rPr>
        <w:t>де УО – ударний об’єм, КДО – кінцево-діастолічний об’єм лівого шлуночка, КСО – кінцево-систолічний об’єм лівого шлуночка.</w:t>
      </w: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p>
    <w:p w:rsidR="0021764E" w:rsidRPr="00C62D22" w:rsidRDefault="0021764E" w:rsidP="0021764E">
      <w:pPr>
        <w:tabs>
          <w:tab w:val="center" w:pos="5372"/>
          <w:tab w:val="right" w:pos="10205"/>
        </w:tabs>
        <w:spacing w:after="0" w:line="360" w:lineRule="auto"/>
        <w:ind w:firstLine="540"/>
        <w:rPr>
          <w:rFonts w:ascii="Times New Roman" w:hAnsi="Times New Roman" w:cs="Times New Roman"/>
          <w:sz w:val="28"/>
          <w:szCs w:val="28"/>
        </w:rPr>
      </w:pPr>
      <w:r w:rsidRPr="00C62D22">
        <w:rPr>
          <w:rFonts w:ascii="Times New Roman" w:hAnsi="Times New Roman" w:cs="Times New Roman"/>
          <w:sz w:val="28"/>
          <w:szCs w:val="28"/>
        </w:rPr>
        <w:tab/>
        <w:t>ФВ=(УО/КДО) х 100,</w:t>
      </w:r>
      <w:r w:rsidRPr="00C62D22">
        <w:rPr>
          <w:rFonts w:ascii="Times New Roman" w:hAnsi="Times New Roman" w:cs="Times New Roman"/>
          <w:sz w:val="28"/>
          <w:szCs w:val="28"/>
        </w:rPr>
        <w:tab/>
        <w:t>(2.7)</w:t>
      </w:r>
    </w:p>
    <w:p w:rsidR="0021764E" w:rsidRPr="00C62D22" w:rsidRDefault="0021764E" w:rsidP="0021764E">
      <w:pPr>
        <w:spacing w:after="0" w:line="360" w:lineRule="auto"/>
        <w:ind w:firstLine="540"/>
        <w:jc w:val="right"/>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де ФВ – фракція викиду, УО – ударний об’єм, КДО – кінцево-діастолічний об’єм лівого шлуночка.</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tabs>
          <w:tab w:val="center" w:pos="5372"/>
          <w:tab w:val="right" w:pos="10205"/>
        </w:tabs>
        <w:spacing w:after="0" w:line="360" w:lineRule="auto"/>
        <w:ind w:firstLine="540"/>
        <w:rPr>
          <w:rFonts w:ascii="Times New Roman" w:hAnsi="Times New Roman" w:cs="Times New Roman"/>
          <w:sz w:val="28"/>
          <w:szCs w:val="28"/>
        </w:rPr>
      </w:pPr>
      <w:r w:rsidRPr="00C62D22">
        <w:rPr>
          <w:rFonts w:ascii="Times New Roman" w:hAnsi="Times New Roman" w:cs="Times New Roman"/>
          <w:sz w:val="28"/>
          <w:szCs w:val="28"/>
        </w:rPr>
        <w:tab/>
        <w:t>СВ=УО х 60 х ЧСС,</w:t>
      </w:r>
      <w:r w:rsidRPr="00C62D22">
        <w:rPr>
          <w:rFonts w:ascii="Times New Roman" w:hAnsi="Times New Roman" w:cs="Times New Roman"/>
          <w:sz w:val="28"/>
          <w:szCs w:val="28"/>
        </w:rPr>
        <w:tab/>
        <w:t>(2.8)</w:t>
      </w:r>
    </w:p>
    <w:p w:rsidR="0021764E" w:rsidRPr="00C62D22" w:rsidRDefault="0021764E" w:rsidP="0021764E">
      <w:pPr>
        <w:spacing w:after="0" w:line="360" w:lineRule="auto"/>
        <w:ind w:firstLine="540"/>
        <w:jc w:val="right"/>
        <w:rPr>
          <w:rFonts w:ascii="Times New Roman" w:hAnsi="Times New Roman" w:cs="Times New Roman"/>
          <w:sz w:val="28"/>
          <w:szCs w:val="28"/>
        </w:rPr>
      </w:pP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r w:rsidRPr="00C62D22">
        <w:rPr>
          <w:rFonts w:ascii="Times New Roman" w:hAnsi="Times New Roman" w:cs="Times New Roman"/>
          <w:sz w:val="28"/>
          <w:szCs w:val="28"/>
        </w:rPr>
        <w:lastRenderedPageBreak/>
        <w:t>де СВ – серцевий викид, УО – ударний об’єм, ЧСС – частота серцевих скорочень.</w:t>
      </w:r>
    </w:p>
    <w:p w:rsidR="0021764E" w:rsidRPr="00C62D22" w:rsidRDefault="0021764E" w:rsidP="0021764E">
      <w:pPr>
        <w:spacing w:after="0" w:line="360" w:lineRule="auto"/>
        <w:ind w:firstLine="540"/>
        <w:jc w:val="both"/>
        <w:outlineLvl w:val="0"/>
        <w:rPr>
          <w:rFonts w:ascii="Times New Roman" w:hAnsi="Times New Roman" w:cs="Times New Roman"/>
          <w:sz w:val="28"/>
          <w:szCs w:val="28"/>
        </w:rPr>
      </w:pPr>
    </w:p>
    <w:p w:rsidR="0021764E" w:rsidRPr="00C62D22" w:rsidRDefault="0021764E" w:rsidP="0021764E">
      <w:pPr>
        <w:tabs>
          <w:tab w:val="center" w:pos="5372"/>
          <w:tab w:val="right" w:pos="10205"/>
        </w:tabs>
        <w:spacing w:after="0" w:line="360" w:lineRule="auto"/>
        <w:ind w:firstLine="540"/>
        <w:outlineLvl w:val="0"/>
        <w:rPr>
          <w:rFonts w:ascii="Times New Roman" w:hAnsi="Times New Roman" w:cs="Times New Roman"/>
          <w:sz w:val="28"/>
          <w:szCs w:val="28"/>
        </w:rPr>
      </w:pPr>
      <w:r w:rsidRPr="00C62D22">
        <w:rPr>
          <w:rFonts w:ascii="Times New Roman" w:hAnsi="Times New Roman" w:cs="Times New Roman"/>
          <w:sz w:val="28"/>
          <w:szCs w:val="28"/>
        </w:rPr>
        <w:tab/>
        <w:t>СІ=СВ/ВМА,</w:t>
      </w:r>
      <w:r w:rsidRPr="00C62D22">
        <w:rPr>
          <w:rFonts w:ascii="Times New Roman" w:hAnsi="Times New Roman" w:cs="Times New Roman"/>
          <w:sz w:val="28"/>
          <w:szCs w:val="28"/>
        </w:rPr>
        <w:tab/>
        <w:t>(2.9)</w:t>
      </w:r>
    </w:p>
    <w:p w:rsidR="0021764E" w:rsidRPr="00C62D22" w:rsidRDefault="0021764E" w:rsidP="0021764E">
      <w:pPr>
        <w:spacing w:after="0" w:line="360" w:lineRule="auto"/>
        <w:ind w:firstLine="540"/>
        <w:jc w:val="right"/>
        <w:outlineLvl w:val="0"/>
        <w:rPr>
          <w:rFonts w:ascii="Times New Roman" w:hAnsi="Times New Roman" w:cs="Times New Roman"/>
          <w:sz w:val="28"/>
          <w:szCs w:val="28"/>
        </w:rPr>
      </w:pPr>
    </w:p>
    <w:p w:rsidR="0021764E" w:rsidRPr="00C62D22" w:rsidRDefault="0021764E" w:rsidP="0021764E">
      <w:pPr>
        <w:spacing w:after="0" w:line="360" w:lineRule="auto"/>
        <w:ind w:firstLine="540"/>
        <w:outlineLvl w:val="0"/>
        <w:rPr>
          <w:rFonts w:ascii="Times New Roman" w:hAnsi="Times New Roman" w:cs="Times New Roman"/>
          <w:sz w:val="28"/>
          <w:szCs w:val="28"/>
        </w:rPr>
      </w:pPr>
      <w:r w:rsidRPr="00C62D22">
        <w:rPr>
          <w:rFonts w:ascii="Times New Roman" w:hAnsi="Times New Roman" w:cs="Times New Roman"/>
          <w:sz w:val="28"/>
          <w:szCs w:val="28"/>
        </w:rPr>
        <w:t>де СІ – серцевий індекс, СВ – серцевий викид, ВМА – площа поверхні тіла, м</w:t>
      </w:r>
      <w:r w:rsidRPr="00C62D22">
        <w:rPr>
          <w:rFonts w:ascii="Times New Roman" w:hAnsi="Times New Roman" w:cs="Times New Roman"/>
          <w:sz w:val="28"/>
          <w:szCs w:val="28"/>
          <w:vertAlign w:val="superscript"/>
        </w:rPr>
        <w:t xml:space="preserve">2 </w:t>
      </w:r>
      <w:r w:rsidRPr="00C62D22">
        <w:rPr>
          <w:rFonts w:ascii="Times New Roman" w:hAnsi="Times New Roman" w:cs="Times New Roman"/>
          <w:sz w:val="28"/>
          <w:szCs w:val="28"/>
        </w:rPr>
        <w:t>,</w:t>
      </w: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tabs>
          <w:tab w:val="center" w:pos="5372"/>
          <w:tab w:val="right" w:pos="10205"/>
        </w:tabs>
        <w:spacing w:after="0" w:line="360" w:lineRule="auto"/>
        <w:ind w:firstLine="540"/>
        <w:rPr>
          <w:rFonts w:ascii="Times New Roman" w:hAnsi="Times New Roman" w:cs="Times New Roman"/>
          <w:sz w:val="28"/>
          <w:szCs w:val="28"/>
        </w:rPr>
      </w:pPr>
      <w:r w:rsidRPr="00C62D22">
        <w:rPr>
          <w:rFonts w:ascii="Times New Roman" w:hAnsi="Times New Roman" w:cs="Times New Roman"/>
          <w:sz w:val="28"/>
          <w:szCs w:val="28"/>
        </w:rPr>
        <w:tab/>
        <w:t xml:space="preserve">ЗПОС=АТ </w:t>
      </w:r>
      <w:r w:rsidRPr="00C62D22">
        <w:rPr>
          <w:rFonts w:ascii="Times New Roman" w:hAnsi="Times New Roman" w:cs="Times New Roman"/>
          <w:sz w:val="28"/>
          <w:szCs w:val="28"/>
          <w:vertAlign w:val="subscript"/>
        </w:rPr>
        <w:t xml:space="preserve">ср. </w:t>
      </w:r>
      <w:r w:rsidRPr="00C62D22">
        <w:rPr>
          <w:rFonts w:ascii="Times New Roman" w:hAnsi="Times New Roman" w:cs="Times New Roman"/>
          <w:sz w:val="28"/>
          <w:szCs w:val="28"/>
        </w:rPr>
        <w:t>х 80/ СВ,</w:t>
      </w:r>
      <w:r w:rsidRPr="00C62D22">
        <w:rPr>
          <w:rFonts w:ascii="Times New Roman" w:hAnsi="Times New Roman" w:cs="Times New Roman"/>
          <w:sz w:val="28"/>
          <w:szCs w:val="28"/>
        </w:rPr>
        <w:tab/>
        <w:t>(2.10)</w:t>
      </w:r>
    </w:p>
    <w:p w:rsidR="0021764E" w:rsidRPr="00C62D22" w:rsidRDefault="0021764E" w:rsidP="0021764E">
      <w:pPr>
        <w:spacing w:after="0" w:line="360" w:lineRule="auto"/>
        <w:ind w:firstLine="540"/>
        <w:jc w:val="right"/>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де ЗПОС – загальний периферичний опір судини, АТ </w:t>
      </w:r>
      <w:r w:rsidRPr="00C62D22">
        <w:rPr>
          <w:rFonts w:ascii="Times New Roman" w:hAnsi="Times New Roman" w:cs="Times New Roman"/>
          <w:sz w:val="28"/>
          <w:szCs w:val="28"/>
          <w:vertAlign w:val="subscript"/>
        </w:rPr>
        <w:t xml:space="preserve">ср </w:t>
      </w:r>
      <w:r w:rsidRPr="00C62D22">
        <w:rPr>
          <w:rFonts w:ascii="Times New Roman" w:hAnsi="Times New Roman" w:cs="Times New Roman"/>
          <w:sz w:val="28"/>
          <w:szCs w:val="28"/>
        </w:rPr>
        <w:t>– середній артеріальний тиск, СВ – серцевий викид.</w:t>
      </w:r>
    </w:p>
    <w:p w:rsidR="0021764E" w:rsidRPr="00C62D22" w:rsidRDefault="0021764E" w:rsidP="0021764E">
      <w:pPr>
        <w:spacing w:after="0" w:line="360" w:lineRule="auto"/>
        <w:ind w:firstLine="540"/>
        <w:jc w:val="center"/>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Лінійну швидкість кровотока у ВВ (ЛШК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визначали в її основному стовбурі на рівні воріт печінки під час сканування через міжребер'я. ОШКК</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xml:space="preserve"> визначали за формулою 2.11:</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tabs>
          <w:tab w:val="center" w:pos="5372"/>
          <w:tab w:val="right" w:pos="10205"/>
        </w:tabs>
        <w:spacing w:after="0" w:line="360" w:lineRule="auto"/>
        <w:ind w:firstLine="540"/>
        <w:rPr>
          <w:rFonts w:ascii="Times New Roman" w:hAnsi="Times New Roman" w:cs="Times New Roman"/>
          <w:sz w:val="28"/>
          <w:szCs w:val="28"/>
        </w:rPr>
      </w:pPr>
      <w:r w:rsidRPr="00C62D22">
        <w:rPr>
          <w:rFonts w:ascii="Times New Roman" w:hAnsi="Times New Roman" w:cs="Times New Roman"/>
          <w:sz w:val="28"/>
          <w:szCs w:val="28"/>
        </w:rPr>
        <w:tab/>
        <w:t>Q= V х А х 60, мл/хв,</w:t>
      </w:r>
      <w:r w:rsidRPr="00C62D22">
        <w:rPr>
          <w:rFonts w:ascii="Times New Roman" w:hAnsi="Times New Roman" w:cs="Times New Roman"/>
          <w:sz w:val="28"/>
          <w:szCs w:val="28"/>
        </w:rPr>
        <w:tab/>
        <w:t>(2.11)</w:t>
      </w:r>
    </w:p>
    <w:p w:rsidR="0021764E" w:rsidRPr="00C62D22" w:rsidRDefault="0021764E" w:rsidP="0021764E">
      <w:pPr>
        <w:spacing w:after="0" w:line="360" w:lineRule="auto"/>
        <w:ind w:firstLine="540"/>
        <w:jc w:val="right"/>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де V – ЛШК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 см/с, А – ППП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w:t>
      </w: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Крізьшкірну пункцію виконували з використанням голок фірми Rusch розм</w:t>
      </w:r>
      <w:r w:rsidRPr="00C62D22">
        <w:rPr>
          <w:rFonts w:ascii="Times New Roman" w:hAnsi="Times New Roman" w:cs="Times New Roman"/>
          <w:sz w:val="28"/>
          <w:szCs w:val="28"/>
        </w:rPr>
        <w:t>і</w:t>
      </w:r>
      <w:r w:rsidRPr="00C62D22">
        <w:rPr>
          <w:rFonts w:ascii="Times New Roman" w:hAnsi="Times New Roman" w:cs="Times New Roman"/>
          <w:sz w:val="28"/>
          <w:szCs w:val="28"/>
        </w:rPr>
        <w:t xml:space="preserve">ром </w:t>
      </w:r>
      <w:smartTag w:uri="urn:schemas-microsoft-com:office:smarttags" w:element="metricconverter">
        <w:smartTagPr>
          <w:attr w:name="ProductID" w:val="17,5 G"/>
        </w:smartTagPr>
        <w:r w:rsidRPr="00C62D22">
          <w:rPr>
            <w:rFonts w:ascii="Times New Roman" w:hAnsi="Times New Roman" w:cs="Times New Roman"/>
            <w:sz w:val="28"/>
            <w:szCs w:val="28"/>
          </w:rPr>
          <w:t>17,5 G</w:t>
        </w:r>
      </w:smartTag>
      <w:r w:rsidRPr="00C62D22">
        <w:rPr>
          <w:rFonts w:ascii="Times New Roman" w:hAnsi="Times New Roman" w:cs="Times New Roman"/>
          <w:sz w:val="28"/>
          <w:szCs w:val="28"/>
        </w:rPr>
        <w:t>, а дренування – за допомогою комплектів для трансдермального дренування фірми Balton розміром 6-</w:t>
      </w:r>
      <w:smartTag w:uri="urn:schemas-microsoft-com:office:smarttags" w:element="metricconverter">
        <w:smartTagPr>
          <w:attr w:name="ProductID" w:val="12 F"/>
        </w:smartTagPr>
        <w:r w:rsidRPr="00C62D22">
          <w:rPr>
            <w:rFonts w:ascii="Times New Roman" w:hAnsi="Times New Roman" w:cs="Times New Roman"/>
            <w:sz w:val="28"/>
            <w:szCs w:val="28"/>
          </w:rPr>
          <w:t>12 F</w:t>
        </w:r>
      </w:smartTag>
      <w:r w:rsidRPr="00C62D22">
        <w:rPr>
          <w:rFonts w:ascii="Times New Roman" w:hAnsi="Times New Roman" w:cs="Times New Roman"/>
          <w:sz w:val="28"/>
          <w:szCs w:val="28"/>
        </w:rPr>
        <w:t>.</w:t>
      </w:r>
    </w:p>
    <w:p w:rsidR="0021764E" w:rsidRPr="00C62D22" w:rsidRDefault="0021764E" w:rsidP="0021764E">
      <w:pPr>
        <w:widowControl w:val="0"/>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 xml:space="preserve">З 2000 по 2004 рік хворим, які знаходилися на лікуванні у КЗОЗ                      «ОКЛ – ЦЕМД та МК», виконували комп’ютерну томографію на апараті CT MAX фірми General Electric (США) у покроковому режимі. Крок томографу та відповідна товщина зрізів становили 10 та </w:t>
      </w:r>
      <w:smartTag w:uri="urn:schemas-microsoft-com:office:smarttags" w:element="metricconverter">
        <w:smartTagPr>
          <w:attr w:name="ProductID" w:val="5 мм"/>
        </w:smartTagPr>
        <w:r w:rsidRPr="00C62D22">
          <w:rPr>
            <w:rFonts w:ascii="Times New Roman" w:hAnsi="Times New Roman" w:cs="Times New Roman"/>
            <w:sz w:val="28"/>
            <w:szCs w:val="28"/>
          </w:rPr>
          <w:t>5 мм</w:t>
        </w:r>
      </w:smartTag>
      <w:r w:rsidRPr="00C62D22">
        <w:rPr>
          <w:rFonts w:ascii="Times New Roman" w:hAnsi="Times New Roman" w:cs="Times New Roman"/>
          <w:sz w:val="28"/>
          <w:szCs w:val="28"/>
        </w:rPr>
        <w:t>. З 2004 по 2009 рік хворі проходили обст</w:t>
      </w:r>
      <w:r w:rsidRPr="00C62D22">
        <w:rPr>
          <w:rFonts w:ascii="Times New Roman" w:hAnsi="Times New Roman" w:cs="Times New Roman"/>
          <w:sz w:val="28"/>
          <w:szCs w:val="28"/>
        </w:rPr>
        <w:t>е</w:t>
      </w:r>
      <w:r w:rsidRPr="00C62D22">
        <w:rPr>
          <w:rFonts w:ascii="Times New Roman" w:hAnsi="Times New Roman" w:cs="Times New Roman"/>
          <w:sz w:val="28"/>
          <w:szCs w:val="28"/>
        </w:rPr>
        <w:t xml:space="preserve">ження переважно на спіральному томографі Somatom Emotion фірми Simens (Німеччина). Дослідження проводилося в спіральному режимі з шагом томографу </w:t>
      </w:r>
      <w:smartTag w:uri="urn:schemas-microsoft-com:office:smarttags" w:element="metricconverter">
        <w:smartTagPr>
          <w:attr w:name="ProductID" w:val="5 мм"/>
        </w:smartTagPr>
        <w:r w:rsidRPr="00C62D22">
          <w:rPr>
            <w:rFonts w:ascii="Times New Roman" w:hAnsi="Times New Roman" w:cs="Times New Roman"/>
            <w:sz w:val="28"/>
            <w:szCs w:val="28"/>
          </w:rPr>
          <w:t>5 мм</w:t>
        </w:r>
      </w:smartTag>
      <w:r w:rsidRPr="00C62D22">
        <w:rPr>
          <w:rFonts w:ascii="Times New Roman" w:hAnsi="Times New Roman" w:cs="Times New Roman"/>
          <w:sz w:val="28"/>
          <w:szCs w:val="28"/>
        </w:rPr>
        <w:t xml:space="preserve">. При обстеженні всіх пацієнтів використовували стандартні настройки приборів, </w:t>
      </w:r>
      <w:r w:rsidRPr="00C62D22">
        <w:rPr>
          <w:rFonts w:ascii="Times New Roman" w:hAnsi="Times New Roman" w:cs="Times New Roman"/>
          <w:sz w:val="28"/>
          <w:szCs w:val="28"/>
        </w:rPr>
        <w:lastRenderedPageBreak/>
        <w:t>які використовуються для досліджень органів черевної п</w:t>
      </w:r>
      <w:r w:rsidRPr="00C62D22">
        <w:rPr>
          <w:rFonts w:ascii="Times New Roman" w:hAnsi="Times New Roman" w:cs="Times New Roman"/>
          <w:sz w:val="28"/>
          <w:szCs w:val="28"/>
        </w:rPr>
        <w:t>о</w:t>
      </w:r>
      <w:r w:rsidRPr="00C62D22">
        <w:rPr>
          <w:rFonts w:ascii="Times New Roman" w:hAnsi="Times New Roman" w:cs="Times New Roman"/>
          <w:sz w:val="28"/>
          <w:szCs w:val="28"/>
        </w:rPr>
        <w:t>рожнини та позаочеревного простору, які частково коректувалися у процесі проведення дослідження. Контрастне посилення, залежно від встановлених завдань, проводилося перорально розчином «Урографін» 2% – 300 мл (контра</w:t>
      </w:r>
      <w:r w:rsidRPr="00C62D22">
        <w:rPr>
          <w:rFonts w:ascii="Times New Roman" w:hAnsi="Times New Roman" w:cs="Times New Roman"/>
          <w:sz w:val="28"/>
          <w:szCs w:val="28"/>
        </w:rPr>
        <w:t>с</w:t>
      </w:r>
      <w:r w:rsidRPr="00C62D22">
        <w:rPr>
          <w:rFonts w:ascii="Times New Roman" w:hAnsi="Times New Roman" w:cs="Times New Roman"/>
          <w:sz w:val="28"/>
          <w:szCs w:val="28"/>
        </w:rPr>
        <w:t>тування ТК) чи внутрішньовенно болісно зі швидкістю 3 мл/с «Ультравіст 300» – 100,0 мл.</w:t>
      </w:r>
    </w:p>
    <w:p w:rsidR="0021764E" w:rsidRPr="00C62D22" w:rsidRDefault="0021764E" w:rsidP="0021764E">
      <w:pPr>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МРТ проводили за допомогою апарата Siemens Symphony для оцінюва</w:t>
      </w:r>
      <w:r w:rsidRPr="00C62D22">
        <w:rPr>
          <w:rFonts w:ascii="Times New Roman" w:hAnsi="Times New Roman" w:cs="Times New Roman"/>
          <w:sz w:val="28"/>
          <w:szCs w:val="28"/>
        </w:rPr>
        <w:t>н</w:t>
      </w:r>
      <w:r w:rsidRPr="00C62D22">
        <w:rPr>
          <w:rFonts w:ascii="Times New Roman" w:hAnsi="Times New Roman" w:cs="Times New Roman"/>
          <w:sz w:val="28"/>
          <w:szCs w:val="28"/>
        </w:rPr>
        <w:t>ня стану не тільки ПЗ, але й суміжних з нею органів та м'яких тканин, які важко доступні для дослідження: позаочеревної клітковини, лімфатичних вузлів, елементів печі</w:t>
      </w:r>
      <w:r w:rsidRPr="00C62D22">
        <w:rPr>
          <w:rFonts w:ascii="Times New Roman" w:hAnsi="Times New Roman" w:cs="Times New Roman"/>
          <w:sz w:val="28"/>
          <w:szCs w:val="28"/>
        </w:rPr>
        <w:t>н</w:t>
      </w:r>
      <w:r w:rsidRPr="00C62D22">
        <w:rPr>
          <w:rFonts w:ascii="Times New Roman" w:hAnsi="Times New Roman" w:cs="Times New Roman"/>
          <w:sz w:val="28"/>
          <w:szCs w:val="28"/>
        </w:rPr>
        <w:t xml:space="preserve">ково-дуоденальної зв'язки. </w:t>
      </w:r>
    </w:p>
    <w:p w:rsidR="0021764E" w:rsidRPr="00C62D22" w:rsidRDefault="0021764E" w:rsidP="0021764E">
      <w:pPr>
        <w:widowControl w:val="0"/>
        <w:spacing w:after="0" w:line="360" w:lineRule="auto"/>
        <w:ind w:firstLine="709"/>
        <w:jc w:val="both"/>
        <w:rPr>
          <w:rFonts w:ascii="Times New Roman" w:hAnsi="Times New Roman" w:cs="Times New Roman"/>
          <w:spacing w:val="4"/>
          <w:sz w:val="28"/>
          <w:szCs w:val="28"/>
        </w:rPr>
      </w:pPr>
      <w:r w:rsidRPr="00C62D22">
        <w:rPr>
          <w:rFonts w:ascii="Times New Roman" w:hAnsi="Times New Roman" w:cs="Times New Roman"/>
          <w:spacing w:val="4"/>
          <w:sz w:val="28"/>
          <w:szCs w:val="28"/>
        </w:rPr>
        <w:t>Ангіографічне дослідження гілок черевного відділу аорти провод</w:t>
      </w:r>
      <w:r w:rsidRPr="00C62D22">
        <w:rPr>
          <w:rFonts w:ascii="Times New Roman" w:hAnsi="Times New Roman" w:cs="Times New Roman"/>
          <w:spacing w:val="4"/>
          <w:sz w:val="28"/>
          <w:szCs w:val="28"/>
        </w:rPr>
        <w:t>и</w:t>
      </w:r>
      <w:r w:rsidRPr="00C62D22">
        <w:rPr>
          <w:rFonts w:ascii="Times New Roman" w:hAnsi="Times New Roman" w:cs="Times New Roman"/>
          <w:spacing w:val="4"/>
          <w:sz w:val="28"/>
          <w:szCs w:val="28"/>
        </w:rPr>
        <w:t>лося на агіографічній установці Siemens AXIOM Artis MP у режимі су</w:t>
      </w:r>
      <w:r w:rsidRPr="00C62D22">
        <w:rPr>
          <w:rFonts w:ascii="Times New Roman" w:hAnsi="Times New Roman" w:cs="Times New Roman"/>
          <w:spacing w:val="4"/>
          <w:sz w:val="28"/>
          <w:szCs w:val="28"/>
        </w:rPr>
        <w:t>б</w:t>
      </w:r>
      <w:r w:rsidRPr="00C62D22">
        <w:rPr>
          <w:rFonts w:ascii="Times New Roman" w:hAnsi="Times New Roman" w:cs="Times New Roman"/>
          <w:spacing w:val="4"/>
          <w:sz w:val="28"/>
          <w:szCs w:val="28"/>
        </w:rPr>
        <w:t>тракції в різних проекціях. Катетеризація відбувалася трасфеморально за Сельдінг</w:t>
      </w:r>
      <w:r w:rsidRPr="00C62D22">
        <w:rPr>
          <w:rFonts w:ascii="Times New Roman" w:hAnsi="Times New Roman" w:cs="Times New Roman"/>
          <w:spacing w:val="4"/>
          <w:sz w:val="28"/>
          <w:szCs w:val="28"/>
        </w:rPr>
        <w:t>е</w:t>
      </w:r>
      <w:r w:rsidRPr="00C62D22">
        <w:rPr>
          <w:rFonts w:ascii="Times New Roman" w:hAnsi="Times New Roman" w:cs="Times New Roman"/>
          <w:spacing w:val="4"/>
          <w:sz w:val="28"/>
          <w:szCs w:val="28"/>
        </w:rPr>
        <w:t>ром, а введення контрастної речовини – автоматичним шприцом – ін'єктором ТМР ДS</w:t>
      </w:r>
      <w:r w:rsidRPr="00C62D22">
        <w:rPr>
          <w:rFonts w:ascii="Times New Roman" w:hAnsi="Times New Roman" w:cs="Times New Roman"/>
          <w:sz w:val="28"/>
          <w:szCs w:val="28"/>
        </w:rPr>
        <w:t>–</w:t>
      </w:r>
      <w:r w:rsidRPr="00C62D22">
        <w:rPr>
          <w:rFonts w:ascii="Times New Roman" w:hAnsi="Times New Roman" w:cs="Times New Roman"/>
          <w:spacing w:val="4"/>
          <w:sz w:val="28"/>
          <w:szCs w:val="28"/>
        </w:rPr>
        <w:t>IZ зі швидкістю від 4 до 12 мл за секунду.</w:t>
      </w:r>
    </w:p>
    <w:p w:rsidR="0021764E" w:rsidRPr="00C62D22" w:rsidRDefault="0021764E" w:rsidP="0021764E">
      <w:pPr>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Для виявлення супутніх захворювань шлунка та ДПК, патології парапап</w:t>
      </w:r>
      <w:r w:rsidRPr="00C62D22">
        <w:rPr>
          <w:rFonts w:ascii="Times New Roman" w:hAnsi="Times New Roman" w:cs="Times New Roman"/>
          <w:sz w:val="28"/>
          <w:szCs w:val="28"/>
        </w:rPr>
        <w:t>і</w:t>
      </w:r>
      <w:r w:rsidRPr="00C62D22">
        <w:rPr>
          <w:rFonts w:ascii="Times New Roman" w:hAnsi="Times New Roman" w:cs="Times New Roman"/>
          <w:sz w:val="28"/>
          <w:szCs w:val="28"/>
        </w:rPr>
        <w:t>лярної зони всім хворим виконували ФЕГДС за допомогою апарата Olimpus GIF C150 (Японія) та дуоденоскопію, а для дослідження порушення прохідності ГПП, зв'язку з нею ПК ПЗ, верифікації характеру біліарної гіпертензії застос</w:t>
      </w:r>
      <w:r w:rsidRPr="00C62D22">
        <w:rPr>
          <w:rFonts w:ascii="Times New Roman" w:hAnsi="Times New Roman" w:cs="Times New Roman"/>
          <w:sz w:val="28"/>
          <w:szCs w:val="28"/>
        </w:rPr>
        <w:t>о</w:t>
      </w:r>
      <w:r w:rsidRPr="00C62D22">
        <w:rPr>
          <w:rFonts w:ascii="Times New Roman" w:hAnsi="Times New Roman" w:cs="Times New Roman"/>
          <w:sz w:val="28"/>
          <w:szCs w:val="28"/>
        </w:rPr>
        <w:t>вували ЕРХПГ та ЕПСТ з екстракцією конкрементів при їх наявності в загал</w:t>
      </w:r>
      <w:r w:rsidRPr="00C62D22">
        <w:rPr>
          <w:rFonts w:ascii="Times New Roman" w:hAnsi="Times New Roman" w:cs="Times New Roman"/>
          <w:sz w:val="28"/>
          <w:szCs w:val="28"/>
        </w:rPr>
        <w:t>ь</w:t>
      </w:r>
      <w:r w:rsidRPr="00C62D22">
        <w:rPr>
          <w:rFonts w:ascii="Times New Roman" w:hAnsi="Times New Roman" w:cs="Times New Roman"/>
          <w:sz w:val="28"/>
          <w:szCs w:val="28"/>
        </w:rPr>
        <w:t>ній ЖП, стенозу ВСДК або їх сполученні. Рентгенконтрастне дослідження ТК та фістулографію, при наявності зовнішнього дренажу та зовнішніх нориць, проводили за загально відомими мет</w:t>
      </w:r>
      <w:r w:rsidRPr="00C62D22">
        <w:rPr>
          <w:rFonts w:ascii="Times New Roman" w:hAnsi="Times New Roman" w:cs="Times New Roman"/>
          <w:sz w:val="28"/>
          <w:szCs w:val="28"/>
        </w:rPr>
        <w:t>о</w:t>
      </w:r>
      <w:r w:rsidRPr="00C62D22">
        <w:rPr>
          <w:rFonts w:ascii="Times New Roman" w:hAnsi="Times New Roman" w:cs="Times New Roman"/>
          <w:sz w:val="28"/>
          <w:szCs w:val="28"/>
        </w:rPr>
        <w:t>диками. Для встановлення супутньої патології всім хворим на ускладнені ПК ПЗ застосовували електрокардіографію, рентгенографію органів грудної кл</w:t>
      </w:r>
      <w:r w:rsidRPr="00C62D22">
        <w:rPr>
          <w:rFonts w:ascii="Times New Roman" w:hAnsi="Times New Roman" w:cs="Times New Roman"/>
          <w:sz w:val="28"/>
          <w:szCs w:val="28"/>
        </w:rPr>
        <w:t>і</w:t>
      </w:r>
      <w:r w:rsidRPr="00C62D22">
        <w:rPr>
          <w:rFonts w:ascii="Times New Roman" w:hAnsi="Times New Roman" w:cs="Times New Roman"/>
          <w:sz w:val="28"/>
          <w:szCs w:val="28"/>
        </w:rPr>
        <w:t>тки тощо.</w:t>
      </w:r>
    </w:p>
    <w:p w:rsidR="0021764E" w:rsidRPr="00C62D22" w:rsidRDefault="0021764E" w:rsidP="0021764E">
      <w:pPr>
        <w:widowControl w:val="0"/>
        <w:spacing w:after="0" w:line="360" w:lineRule="auto"/>
        <w:ind w:firstLine="709"/>
        <w:jc w:val="both"/>
        <w:rPr>
          <w:rFonts w:ascii="Times New Roman" w:hAnsi="Times New Roman" w:cs="Times New Roman"/>
          <w:color w:val="222222"/>
          <w:sz w:val="28"/>
          <w:szCs w:val="28"/>
        </w:rPr>
      </w:pPr>
      <w:r w:rsidRPr="00C62D22">
        <w:rPr>
          <w:rFonts w:ascii="Times New Roman" w:hAnsi="Times New Roman" w:cs="Times New Roman"/>
          <w:color w:val="222222"/>
          <w:sz w:val="28"/>
          <w:szCs w:val="28"/>
        </w:rPr>
        <w:t>Для визначення достовірності проведених методів діагностики ми оцінювали загальноприйняті критерії, а саме: їх чутливість, специфічність і точність. Чутливість методу розраховувалася за формулою 2.12, як відношення істинно позитивних результатів до суми істинно позитивних і хибно-позитивних, помножене на 100%:</w:t>
      </w:r>
    </w:p>
    <w:p w:rsidR="0021764E" w:rsidRPr="00C62D22" w:rsidRDefault="0021764E" w:rsidP="0021764E">
      <w:pPr>
        <w:widowControl w:val="0"/>
        <w:tabs>
          <w:tab w:val="center" w:pos="5457"/>
          <w:tab w:val="right" w:pos="10205"/>
        </w:tabs>
        <w:spacing w:after="0" w:line="360" w:lineRule="auto"/>
        <w:ind w:firstLine="709"/>
        <w:rPr>
          <w:rFonts w:ascii="Times New Roman" w:hAnsi="Times New Roman" w:cs="Times New Roman"/>
          <w:color w:val="000000"/>
          <w:sz w:val="28"/>
          <w:szCs w:val="28"/>
        </w:rPr>
      </w:pPr>
      <w:r w:rsidRPr="00C62D22">
        <w:rPr>
          <w:rFonts w:ascii="Times New Roman" w:hAnsi="Times New Roman" w:cs="Times New Roman"/>
          <w:color w:val="000000"/>
          <w:sz w:val="28"/>
          <w:szCs w:val="28"/>
        </w:rPr>
        <w:tab/>
        <w:t>ЧМ = Nіп / (Nіп + Nпп) х 100%,</w:t>
      </w:r>
      <w:r w:rsidRPr="00C62D22">
        <w:rPr>
          <w:rFonts w:ascii="Times New Roman" w:hAnsi="Times New Roman" w:cs="Times New Roman"/>
          <w:color w:val="000000"/>
          <w:sz w:val="28"/>
          <w:szCs w:val="28"/>
        </w:rPr>
        <w:tab/>
        <w:t>(2.12)</w:t>
      </w:r>
    </w:p>
    <w:p w:rsidR="0021764E" w:rsidRPr="00C62D22" w:rsidRDefault="0021764E" w:rsidP="0021764E">
      <w:pPr>
        <w:widowControl w:val="0"/>
        <w:spacing w:after="0" w:line="360" w:lineRule="auto"/>
        <w:ind w:firstLine="709"/>
        <w:jc w:val="right"/>
        <w:rPr>
          <w:rFonts w:ascii="Times New Roman" w:hAnsi="Times New Roman" w:cs="Times New Roman"/>
          <w:color w:val="000000"/>
          <w:sz w:val="28"/>
          <w:szCs w:val="28"/>
        </w:rPr>
      </w:pPr>
    </w:p>
    <w:p w:rsidR="0021764E" w:rsidRPr="00C62D22" w:rsidRDefault="0021764E" w:rsidP="0021764E">
      <w:pPr>
        <w:widowControl w:val="0"/>
        <w:spacing w:after="0" w:line="360" w:lineRule="auto"/>
        <w:ind w:firstLine="540"/>
        <w:jc w:val="both"/>
        <w:rPr>
          <w:rStyle w:val="shorttext"/>
          <w:rFonts w:ascii="Times New Roman" w:hAnsi="Times New Roman" w:cs="Times New Roman"/>
          <w:color w:val="000000"/>
          <w:sz w:val="28"/>
          <w:szCs w:val="28"/>
        </w:rPr>
      </w:pPr>
      <w:r w:rsidRPr="00C62D22">
        <w:rPr>
          <w:rFonts w:ascii="Times New Roman" w:hAnsi="Times New Roman" w:cs="Times New Roman"/>
          <w:color w:val="000000"/>
          <w:sz w:val="28"/>
          <w:szCs w:val="28"/>
        </w:rPr>
        <w:t xml:space="preserve">де ЧМ − </w:t>
      </w:r>
      <w:r w:rsidRPr="00C62D22">
        <w:rPr>
          <w:rStyle w:val="shorttext"/>
          <w:rFonts w:ascii="Times New Roman" w:hAnsi="Times New Roman" w:cs="Times New Roman"/>
          <w:color w:val="000000"/>
          <w:sz w:val="28"/>
          <w:szCs w:val="28"/>
        </w:rPr>
        <w:t xml:space="preserve">чутливість методу; </w:t>
      </w:r>
      <w:r w:rsidRPr="00C62D22">
        <w:rPr>
          <w:rFonts w:ascii="Times New Roman" w:hAnsi="Times New Roman" w:cs="Times New Roman"/>
          <w:color w:val="000000"/>
          <w:sz w:val="28"/>
          <w:szCs w:val="28"/>
        </w:rPr>
        <w:t xml:space="preserve">Nіп − кількість істинно позитивних результатів; Nпп − </w:t>
      </w:r>
      <w:r w:rsidRPr="00C62D22">
        <w:rPr>
          <w:rStyle w:val="shorttext"/>
          <w:rFonts w:ascii="Times New Roman" w:hAnsi="Times New Roman" w:cs="Times New Roman"/>
          <w:color w:val="000000"/>
          <w:sz w:val="28"/>
          <w:szCs w:val="28"/>
        </w:rPr>
        <w:t>кількість псевдопозитивних результатів.</w:t>
      </w:r>
    </w:p>
    <w:p w:rsidR="0021764E" w:rsidRPr="00C62D22" w:rsidRDefault="0021764E" w:rsidP="0021764E">
      <w:pPr>
        <w:widowControl w:val="0"/>
        <w:spacing w:after="0" w:line="360" w:lineRule="auto"/>
        <w:ind w:firstLine="540"/>
        <w:jc w:val="both"/>
        <w:rPr>
          <w:rFonts w:ascii="Times New Roman" w:hAnsi="Times New Roman" w:cs="Times New Roman"/>
          <w:color w:val="000000"/>
          <w:sz w:val="28"/>
          <w:szCs w:val="28"/>
        </w:rPr>
      </w:pPr>
    </w:p>
    <w:p w:rsidR="0021764E" w:rsidRPr="00C62D22" w:rsidRDefault="0021764E" w:rsidP="0021764E">
      <w:pPr>
        <w:widowControl w:val="0"/>
        <w:spacing w:after="0" w:line="360" w:lineRule="auto"/>
        <w:ind w:firstLine="709"/>
        <w:jc w:val="both"/>
        <w:rPr>
          <w:rFonts w:ascii="Times New Roman" w:hAnsi="Times New Roman" w:cs="Times New Roman"/>
          <w:color w:val="000000"/>
          <w:sz w:val="28"/>
          <w:szCs w:val="28"/>
        </w:rPr>
      </w:pPr>
      <w:r w:rsidRPr="00C62D22">
        <w:rPr>
          <w:rFonts w:ascii="Times New Roman" w:hAnsi="Times New Roman" w:cs="Times New Roman"/>
          <w:color w:val="000000"/>
          <w:sz w:val="28"/>
          <w:szCs w:val="28"/>
        </w:rPr>
        <w:t>Специфічність методу ми розраховували за формулою 2.13, як відношення істинно негативних результатів до суми істинно негативних і псевдонегативних, помножене на 100%:</w:t>
      </w:r>
    </w:p>
    <w:p w:rsidR="0021764E" w:rsidRPr="00C62D22" w:rsidRDefault="0021764E" w:rsidP="0021764E">
      <w:pPr>
        <w:widowControl w:val="0"/>
        <w:tabs>
          <w:tab w:val="center" w:pos="5457"/>
          <w:tab w:val="right" w:pos="10205"/>
        </w:tabs>
        <w:spacing w:after="0" w:line="360" w:lineRule="auto"/>
        <w:ind w:firstLine="709"/>
        <w:rPr>
          <w:rFonts w:ascii="Times New Roman" w:hAnsi="Times New Roman" w:cs="Times New Roman"/>
          <w:color w:val="000000"/>
          <w:sz w:val="28"/>
          <w:szCs w:val="28"/>
        </w:rPr>
      </w:pPr>
      <w:r w:rsidRPr="00C62D22">
        <w:rPr>
          <w:rFonts w:ascii="Times New Roman" w:hAnsi="Times New Roman" w:cs="Times New Roman"/>
          <w:color w:val="000000"/>
          <w:sz w:val="28"/>
          <w:szCs w:val="28"/>
        </w:rPr>
        <w:tab/>
        <w:t>СМ = Nін / (Nін + Nпн) х 100%,</w:t>
      </w:r>
      <w:r w:rsidRPr="00C62D22">
        <w:rPr>
          <w:rFonts w:ascii="Times New Roman" w:hAnsi="Times New Roman" w:cs="Times New Roman"/>
          <w:color w:val="000000"/>
          <w:sz w:val="28"/>
          <w:szCs w:val="28"/>
        </w:rPr>
        <w:tab/>
        <w:t>(2.13)</w:t>
      </w:r>
    </w:p>
    <w:p w:rsidR="0021764E" w:rsidRPr="00C62D22" w:rsidRDefault="0021764E" w:rsidP="0021764E">
      <w:pPr>
        <w:widowControl w:val="0"/>
        <w:spacing w:after="0" w:line="360" w:lineRule="auto"/>
        <w:ind w:firstLine="709"/>
        <w:jc w:val="right"/>
        <w:rPr>
          <w:rFonts w:ascii="Times New Roman" w:hAnsi="Times New Roman" w:cs="Times New Roman"/>
          <w:color w:val="000000"/>
          <w:sz w:val="28"/>
          <w:szCs w:val="28"/>
        </w:rPr>
      </w:pPr>
    </w:p>
    <w:p w:rsidR="0021764E" w:rsidRPr="00C62D22" w:rsidRDefault="0021764E" w:rsidP="0021764E">
      <w:pPr>
        <w:widowControl w:val="0"/>
        <w:spacing w:after="0" w:line="360" w:lineRule="auto"/>
        <w:ind w:firstLine="540"/>
        <w:jc w:val="both"/>
        <w:rPr>
          <w:rFonts w:ascii="Times New Roman" w:hAnsi="Times New Roman" w:cs="Times New Roman"/>
          <w:color w:val="000000"/>
          <w:sz w:val="28"/>
          <w:szCs w:val="28"/>
        </w:rPr>
      </w:pPr>
      <w:r w:rsidRPr="00C62D22">
        <w:rPr>
          <w:rFonts w:ascii="Times New Roman" w:hAnsi="Times New Roman" w:cs="Times New Roman"/>
          <w:color w:val="000000"/>
          <w:sz w:val="28"/>
          <w:szCs w:val="28"/>
        </w:rPr>
        <w:t>де СМ − специфічність методу; Nін – кількість істинно негативних результатів; Nпн − кількість псевдонегативних результатів.</w:t>
      </w:r>
    </w:p>
    <w:p w:rsidR="0021764E" w:rsidRPr="00C62D22" w:rsidRDefault="0021764E" w:rsidP="0021764E">
      <w:pPr>
        <w:widowControl w:val="0"/>
        <w:spacing w:after="0" w:line="360" w:lineRule="auto"/>
        <w:jc w:val="both"/>
        <w:rPr>
          <w:rFonts w:ascii="Times New Roman" w:hAnsi="Times New Roman" w:cs="Times New Roman"/>
          <w:color w:val="000000"/>
          <w:sz w:val="28"/>
          <w:szCs w:val="28"/>
        </w:rPr>
      </w:pPr>
    </w:p>
    <w:p w:rsidR="0021764E" w:rsidRPr="00C62D22" w:rsidRDefault="0021764E" w:rsidP="0021764E">
      <w:pPr>
        <w:widowControl w:val="0"/>
        <w:spacing w:after="0" w:line="360" w:lineRule="auto"/>
        <w:ind w:firstLine="540"/>
        <w:jc w:val="both"/>
        <w:rPr>
          <w:rStyle w:val="shorttext"/>
          <w:rFonts w:ascii="Times New Roman" w:hAnsi="Times New Roman" w:cs="Times New Roman"/>
          <w:color w:val="000000"/>
          <w:sz w:val="28"/>
          <w:szCs w:val="28"/>
        </w:rPr>
      </w:pPr>
      <w:r w:rsidRPr="00C62D22">
        <w:rPr>
          <w:rFonts w:ascii="Times New Roman" w:hAnsi="Times New Roman" w:cs="Times New Roman"/>
          <w:color w:val="000000"/>
          <w:sz w:val="28"/>
          <w:szCs w:val="28"/>
        </w:rPr>
        <w:t xml:space="preserve">Точність методу </w:t>
      </w:r>
      <w:r w:rsidRPr="00C62D22">
        <w:rPr>
          <w:rStyle w:val="shorttext"/>
          <w:rFonts w:ascii="Times New Roman" w:hAnsi="Times New Roman" w:cs="Times New Roman"/>
          <w:color w:val="000000"/>
          <w:sz w:val="28"/>
          <w:szCs w:val="28"/>
        </w:rPr>
        <w:t>розраховувалася за представленою нижче формулою 2.14:</w:t>
      </w:r>
    </w:p>
    <w:p w:rsidR="0021764E" w:rsidRPr="00C62D22" w:rsidRDefault="0021764E" w:rsidP="0021764E">
      <w:pPr>
        <w:widowControl w:val="0"/>
        <w:spacing w:after="0" w:line="360" w:lineRule="auto"/>
        <w:jc w:val="both"/>
        <w:rPr>
          <w:rFonts w:ascii="Times New Roman" w:hAnsi="Times New Roman" w:cs="Times New Roman"/>
          <w:color w:val="000000"/>
          <w:sz w:val="28"/>
          <w:szCs w:val="28"/>
        </w:rPr>
      </w:pPr>
    </w:p>
    <w:p w:rsidR="0021764E" w:rsidRPr="00C62D22" w:rsidRDefault="0021764E" w:rsidP="0021764E">
      <w:pPr>
        <w:widowControl w:val="0"/>
        <w:tabs>
          <w:tab w:val="center" w:pos="5102"/>
          <w:tab w:val="right" w:pos="10205"/>
        </w:tabs>
        <w:spacing w:after="0" w:line="360" w:lineRule="auto"/>
        <w:rPr>
          <w:rFonts w:ascii="Times New Roman" w:hAnsi="Times New Roman" w:cs="Times New Roman"/>
          <w:color w:val="000000"/>
          <w:sz w:val="28"/>
          <w:szCs w:val="28"/>
        </w:rPr>
      </w:pPr>
      <w:r w:rsidRPr="00C62D22">
        <w:rPr>
          <w:rFonts w:ascii="Times New Roman" w:hAnsi="Times New Roman" w:cs="Times New Roman"/>
          <w:color w:val="000000"/>
          <w:sz w:val="28"/>
          <w:szCs w:val="28"/>
        </w:rPr>
        <w:tab/>
        <w:t>ТМ = (Nіп + Nпн) / (Nпп + Nпн+ Nіп + Nін) х 100%,</w:t>
      </w:r>
      <w:r w:rsidRPr="00C62D22">
        <w:rPr>
          <w:rFonts w:ascii="Times New Roman" w:hAnsi="Times New Roman" w:cs="Times New Roman"/>
          <w:color w:val="000000"/>
          <w:sz w:val="28"/>
          <w:szCs w:val="28"/>
        </w:rPr>
        <w:tab/>
        <w:t>(2.14)</w:t>
      </w:r>
    </w:p>
    <w:p w:rsidR="0021764E" w:rsidRPr="00C62D22" w:rsidRDefault="0021764E" w:rsidP="0021764E">
      <w:pPr>
        <w:widowControl w:val="0"/>
        <w:spacing w:after="0" w:line="360" w:lineRule="auto"/>
        <w:ind w:firstLine="540"/>
        <w:jc w:val="both"/>
        <w:rPr>
          <w:rFonts w:ascii="Times New Roman" w:hAnsi="Times New Roman" w:cs="Times New Roman"/>
          <w:color w:val="000000"/>
          <w:sz w:val="28"/>
          <w:szCs w:val="28"/>
        </w:rPr>
      </w:pPr>
    </w:p>
    <w:p w:rsidR="0021764E" w:rsidRPr="00C62D22" w:rsidRDefault="0021764E" w:rsidP="0021764E">
      <w:pPr>
        <w:widowControl w:val="0"/>
        <w:spacing w:after="0" w:line="360" w:lineRule="auto"/>
        <w:ind w:firstLine="540"/>
        <w:jc w:val="both"/>
        <w:rPr>
          <w:rFonts w:ascii="Times New Roman" w:hAnsi="Times New Roman" w:cs="Times New Roman"/>
          <w:color w:val="000000"/>
          <w:sz w:val="28"/>
          <w:szCs w:val="28"/>
        </w:rPr>
      </w:pPr>
      <w:r w:rsidRPr="00C62D22">
        <w:rPr>
          <w:rFonts w:ascii="Times New Roman" w:hAnsi="Times New Roman" w:cs="Times New Roman"/>
          <w:color w:val="000000"/>
          <w:sz w:val="28"/>
          <w:szCs w:val="28"/>
        </w:rPr>
        <w:t>де ХТ − точність методу; Nіп – кількість істинно негативних результатів; Nпн − кількість псевдонегативних результатів; Nпп − кількість псевдопозитивних результатів; Nін – кількість істинно негативних результатів.</w:t>
      </w:r>
    </w:p>
    <w:p w:rsidR="0021764E" w:rsidRPr="00C62D22" w:rsidRDefault="0021764E" w:rsidP="0021764E">
      <w:pPr>
        <w:widowControl w:val="0"/>
        <w:spacing w:after="0" w:line="360" w:lineRule="auto"/>
        <w:jc w:val="both"/>
        <w:rPr>
          <w:rFonts w:ascii="Times New Roman" w:hAnsi="Times New Roman" w:cs="Times New Roman"/>
          <w:color w:val="000000"/>
          <w:sz w:val="28"/>
          <w:szCs w:val="28"/>
        </w:rPr>
      </w:pPr>
    </w:p>
    <w:p w:rsidR="0021764E" w:rsidRPr="00C62D22" w:rsidRDefault="0021764E" w:rsidP="0021764E">
      <w:pPr>
        <w:widowControl w:val="0"/>
        <w:spacing w:after="0" w:line="360" w:lineRule="auto"/>
        <w:ind w:firstLine="851"/>
        <w:jc w:val="both"/>
        <w:rPr>
          <w:rFonts w:ascii="Times New Roman" w:hAnsi="Times New Roman" w:cs="Times New Roman"/>
          <w:color w:val="000000"/>
          <w:sz w:val="28"/>
          <w:szCs w:val="28"/>
        </w:rPr>
      </w:pPr>
      <w:r w:rsidRPr="00C62D22">
        <w:rPr>
          <w:rFonts w:ascii="Times New Roman" w:hAnsi="Times New Roman" w:cs="Times New Roman"/>
          <w:color w:val="000000"/>
          <w:sz w:val="28"/>
          <w:szCs w:val="28"/>
        </w:rPr>
        <w:t>Але так, як загальне число досліджень зі свідомо негативним результатом (у деяких дослідженнях) приблизно в десятки тисяч разів перевищує число пацієнтів з позитивним результатом, розрахунок робили з умови, що сума істинно позитивних і псевдо негативних результатів дорівнює сумі помилково позитивних та істинно негативних результатів. Таким чином отримували подібний «еталон», що дозволяє порівнювати різні методи з різною вибіркою (2.15):</w:t>
      </w:r>
    </w:p>
    <w:p w:rsidR="0021764E" w:rsidRPr="00C62D22" w:rsidRDefault="0021764E" w:rsidP="0021764E">
      <w:pPr>
        <w:widowControl w:val="0"/>
        <w:spacing w:after="0" w:line="360" w:lineRule="auto"/>
        <w:ind w:firstLine="851"/>
        <w:jc w:val="both"/>
        <w:rPr>
          <w:rFonts w:ascii="Times New Roman" w:hAnsi="Times New Roman" w:cs="Times New Roman"/>
          <w:color w:val="000000"/>
          <w:sz w:val="28"/>
          <w:szCs w:val="28"/>
        </w:rPr>
      </w:pPr>
    </w:p>
    <w:p w:rsidR="0021764E" w:rsidRPr="00C62D22" w:rsidRDefault="0021764E" w:rsidP="0021764E">
      <w:pPr>
        <w:widowControl w:val="0"/>
        <w:tabs>
          <w:tab w:val="center" w:pos="5528"/>
          <w:tab w:val="right" w:pos="10205"/>
        </w:tabs>
        <w:spacing w:after="0" w:line="360" w:lineRule="auto"/>
        <w:ind w:firstLine="851"/>
        <w:rPr>
          <w:rFonts w:ascii="Times New Roman" w:hAnsi="Times New Roman" w:cs="Times New Roman"/>
          <w:color w:val="000000"/>
          <w:sz w:val="28"/>
          <w:szCs w:val="28"/>
        </w:rPr>
      </w:pPr>
      <w:r w:rsidRPr="00C62D22">
        <w:rPr>
          <w:rFonts w:ascii="Times New Roman" w:hAnsi="Times New Roman" w:cs="Times New Roman"/>
          <w:color w:val="000000"/>
          <w:sz w:val="28"/>
          <w:szCs w:val="28"/>
        </w:rPr>
        <w:tab/>
        <w:t>Nіп + Nпн=Nпп + Nін,</w:t>
      </w:r>
      <w:r w:rsidRPr="00C62D22">
        <w:rPr>
          <w:rFonts w:ascii="Times New Roman" w:hAnsi="Times New Roman" w:cs="Times New Roman"/>
          <w:color w:val="000000"/>
          <w:sz w:val="28"/>
          <w:szCs w:val="28"/>
        </w:rPr>
        <w:tab/>
        <w:t>(2.15)</w:t>
      </w:r>
    </w:p>
    <w:p w:rsidR="0021764E" w:rsidRPr="00C62D22" w:rsidRDefault="0021764E" w:rsidP="0021764E">
      <w:pPr>
        <w:widowControl w:val="0"/>
        <w:spacing w:after="0" w:line="360" w:lineRule="auto"/>
        <w:ind w:firstLine="851"/>
        <w:jc w:val="right"/>
        <w:rPr>
          <w:rFonts w:ascii="Times New Roman" w:hAnsi="Times New Roman" w:cs="Times New Roman"/>
          <w:color w:val="000000"/>
          <w:sz w:val="28"/>
          <w:szCs w:val="28"/>
        </w:rPr>
      </w:pPr>
    </w:p>
    <w:p w:rsidR="0021764E" w:rsidRPr="00C62D22" w:rsidRDefault="0021764E" w:rsidP="0021764E">
      <w:pPr>
        <w:widowControl w:val="0"/>
        <w:spacing w:after="0" w:line="360" w:lineRule="auto"/>
        <w:ind w:firstLine="540"/>
        <w:jc w:val="both"/>
        <w:rPr>
          <w:rFonts w:ascii="Times New Roman" w:hAnsi="Times New Roman" w:cs="Times New Roman"/>
          <w:color w:val="000000"/>
          <w:sz w:val="28"/>
          <w:szCs w:val="28"/>
        </w:rPr>
      </w:pPr>
      <w:r w:rsidRPr="00C62D22">
        <w:rPr>
          <w:rFonts w:ascii="Times New Roman" w:hAnsi="Times New Roman" w:cs="Times New Roman"/>
          <w:color w:val="000000"/>
          <w:sz w:val="28"/>
          <w:szCs w:val="28"/>
        </w:rPr>
        <w:t xml:space="preserve">де Nіп – кількість істинно негативних результатів; Nпн − кількість </w:t>
      </w:r>
      <w:r w:rsidRPr="00C62D22">
        <w:rPr>
          <w:rFonts w:ascii="Times New Roman" w:hAnsi="Times New Roman" w:cs="Times New Roman"/>
          <w:color w:val="000000"/>
          <w:sz w:val="28"/>
          <w:szCs w:val="28"/>
        </w:rPr>
        <w:lastRenderedPageBreak/>
        <w:t>псевдонегативних результатів; Nпп − кількість псевдопозитивних результатів; Nін – кількість істинно негативних результатів</w:t>
      </w:r>
    </w:p>
    <w:p w:rsidR="0021764E" w:rsidRPr="00C62D22" w:rsidRDefault="0021764E" w:rsidP="0021764E">
      <w:pPr>
        <w:widowControl w:val="0"/>
        <w:spacing w:after="0" w:line="360" w:lineRule="auto"/>
        <w:ind w:firstLine="709"/>
        <w:jc w:val="both"/>
        <w:rPr>
          <w:rFonts w:ascii="Times New Roman" w:hAnsi="Times New Roman" w:cs="Times New Roman"/>
          <w:kern w:val="28"/>
          <w:sz w:val="28"/>
          <w:szCs w:val="28"/>
        </w:rPr>
      </w:pPr>
      <w:r w:rsidRPr="00C62D22">
        <w:rPr>
          <w:rFonts w:ascii="Times New Roman" w:hAnsi="Times New Roman" w:cs="Times New Roman"/>
          <w:kern w:val="28"/>
          <w:sz w:val="28"/>
          <w:szCs w:val="28"/>
        </w:rPr>
        <w:t xml:space="preserve">Для виконання лапароскопії використовували набір інструментів фірми </w:t>
      </w:r>
      <w:r w:rsidRPr="00C62D22">
        <w:rPr>
          <w:rFonts w:ascii="Times New Roman" w:hAnsi="Times New Roman" w:cs="Times New Roman"/>
          <w:sz w:val="28"/>
          <w:szCs w:val="28"/>
        </w:rPr>
        <w:t>“Медфармсервіс”</w:t>
      </w:r>
      <w:r w:rsidRPr="00C62D22">
        <w:rPr>
          <w:rFonts w:ascii="Times New Roman" w:hAnsi="Times New Roman" w:cs="Times New Roman"/>
          <w:kern w:val="28"/>
          <w:sz w:val="28"/>
          <w:szCs w:val="28"/>
        </w:rPr>
        <w:t xml:space="preserve"> (Росія) та Olympus (США). </w:t>
      </w:r>
    </w:p>
    <w:p w:rsidR="0021764E" w:rsidRPr="00C62D22" w:rsidRDefault="0021764E" w:rsidP="0021764E">
      <w:pPr>
        <w:widowControl w:val="0"/>
        <w:spacing w:after="0" w:line="360" w:lineRule="auto"/>
        <w:jc w:val="both"/>
        <w:rPr>
          <w:rFonts w:ascii="Times New Roman" w:hAnsi="Times New Roman" w:cs="Times New Roman"/>
          <w:kern w:val="28"/>
          <w:sz w:val="28"/>
          <w:szCs w:val="28"/>
        </w:rPr>
      </w:pPr>
    </w:p>
    <w:p w:rsidR="0021764E" w:rsidRPr="00C62D22" w:rsidRDefault="0021764E" w:rsidP="0021764E">
      <w:pPr>
        <w:widowControl w:val="0"/>
        <w:spacing w:after="0" w:line="360" w:lineRule="auto"/>
        <w:jc w:val="both"/>
        <w:rPr>
          <w:rFonts w:ascii="Times New Roman" w:hAnsi="Times New Roman" w:cs="Times New Roman"/>
          <w:kern w:val="28"/>
          <w:sz w:val="28"/>
          <w:szCs w:val="28"/>
        </w:rPr>
      </w:pPr>
    </w:p>
    <w:p w:rsidR="0021764E" w:rsidRPr="00C62D22" w:rsidRDefault="0021764E" w:rsidP="0021764E">
      <w:pPr>
        <w:spacing w:after="0" w:line="360" w:lineRule="auto"/>
        <w:ind w:firstLine="708"/>
        <w:jc w:val="both"/>
        <w:rPr>
          <w:rFonts w:ascii="Times New Roman" w:hAnsi="Times New Roman" w:cs="Times New Roman"/>
          <w:b/>
          <w:sz w:val="28"/>
          <w:szCs w:val="28"/>
        </w:rPr>
      </w:pPr>
      <w:r w:rsidRPr="00C62D22">
        <w:rPr>
          <w:rFonts w:ascii="Times New Roman" w:hAnsi="Times New Roman" w:cs="Times New Roman"/>
          <w:b/>
          <w:sz w:val="28"/>
          <w:szCs w:val="28"/>
        </w:rPr>
        <w:t>2.3. Методи статистичного аналізу</w:t>
      </w:r>
    </w:p>
    <w:p w:rsidR="0021764E" w:rsidRPr="00C62D22" w:rsidRDefault="0021764E" w:rsidP="0021764E">
      <w:pPr>
        <w:spacing w:after="0" w:line="360" w:lineRule="auto"/>
        <w:ind w:firstLine="708"/>
        <w:jc w:val="both"/>
        <w:rPr>
          <w:rFonts w:ascii="Times New Roman" w:hAnsi="Times New Roman" w:cs="Times New Roman"/>
          <w:sz w:val="28"/>
          <w:szCs w:val="28"/>
        </w:rPr>
      </w:pP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Статистичний аналіз даних проводився сумісно з кафедрою фармакоінф</w:t>
      </w:r>
      <w:r w:rsidRPr="00C62D22">
        <w:rPr>
          <w:rFonts w:ascii="Times New Roman" w:hAnsi="Times New Roman" w:cs="Times New Roman"/>
          <w:sz w:val="28"/>
          <w:szCs w:val="28"/>
        </w:rPr>
        <w:t>о</w:t>
      </w:r>
      <w:r w:rsidRPr="00C62D22">
        <w:rPr>
          <w:rFonts w:ascii="Times New Roman" w:hAnsi="Times New Roman" w:cs="Times New Roman"/>
          <w:sz w:val="28"/>
          <w:szCs w:val="28"/>
        </w:rPr>
        <w:t>рматики ХНФУ МОЗУ (завідуючий – д. фіз.-мат. н., професор                     Ю. М. Пєнкін, консультант – к. фіз.-мат. н., доцент О. В. Арсеньєв) та зді</w:t>
      </w:r>
      <w:r w:rsidRPr="00C62D22">
        <w:rPr>
          <w:rFonts w:ascii="Times New Roman" w:hAnsi="Times New Roman" w:cs="Times New Roman"/>
          <w:sz w:val="28"/>
          <w:szCs w:val="28"/>
        </w:rPr>
        <w:t>й</w:t>
      </w:r>
      <w:r w:rsidRPr="00C62D22">
        <w:rPr>
          <w:rFonts w:ascii="Times New Roman" w:hAnsi="Times New Roman" w:cs="Times New Roman"/>
          <w:sz w:val="28"/>
          <w:szCs w:val="28"/>
        </w:rPr>
        <w:t>снювався за допомогою пакета програм StatSoft Statistica 6.0. На попередньому ет</w:t>
      </w:r>
      <w:r w:rsidRPr="00C62D22">
        <w:rPr>
          <w:rFonts w:ascii="Times New Roman" w:hAnsi="Times New Roman" w:cs="Times New Roman"/>
          <w:sz w:val="28"/>
          <w:szCs w:val="28"/>
        </w:rPr>
        <w:t>а</w:t>
      </w:r>
      <w:r w:rsidRPr="00C62D22">
        <w:rPr>
          <w:rFonts w:ascii="Times New Roman" w:hAnsi="Times New Roman" w:cs="Times New Roman"/>
          <w:sz w:val="28"/>
          <w:szCs w:val="28"/>
        </w:rPr>
        <w:t>пі формування бази даних усі результати перевірялися на наявність викидів [101]. У роботі вирішувалися такі завдання: вибір оптимального типу оп</w:t>
      </w:r>
      <w:r w:rsidRPr="00C62D22">
        <w:rPr>
          <w:rFonts w:ascii="Times New Roman" w:hAnsi="Times New Roman" w:cs="Times New Roman"/>
          <w:sz w:val="28"/>
          <w:szCs w:val="28"/>
        </w:rPr>
        <w:t>е</w:t>
      </w:r>
      <w:r w:rsidRPr="00C62D22">
        <w:rPr>
          <w:rFonts w:ascii="Times New Roman" w:hAnsi="Times New Roman" w:cs="Times New Roman"/>
          <w:sz w:val="28"/>
          <w:szCs w:val="28"/>
        </w:rPr>
        <w:t>рації (лапаротомія або мініінвазивні операції) виходячи зі стану хворого до операції та типу ПК, а також порівняльна оцінка ефективності лікування в довгостроковій перспективі за допом</w:t>
      </w:r>
      <w:r w:rsidRPr="00C62D22">
        <w:rPr>
          <w:rFonts w:ascii="Times New Roman" w:hAnsi="Times New Roman" w:cs="Times New Roman"/>
          <w:sz w:val="28"/>
          <w:szCs w:val="28"/>
        </w:rPr>
        <w:t>о</w:t>
      </w:r>
      <w:r w:rsidRPr="00C62D22">
        <w:rPr>
          <w:rFonts w:ascii="Times New Roman" w:hAnsi="Times New Roman" w:cs="Times New Roman"/>
          <w:sz w:val="28"/>
          <w:szCs w:val="28"/>
        </w:rPr>
        <w:t>гою опитувача SF-36 (J.E. Ware, 1992 р).</w:t>
      </w: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Оскільки аналізовані показники вимірювалися в різних шкалах: номінал</w:t>
      </w:r>
      <w:r w:rsidRPr="00C62D22">
        <w:rPr>
          <w:rFonts w:ascii="Times New Roman" w:hAnsi="Times New Roman" w:cs="Times New Roman"/>
          <w:sz w:val="28"/>
          <w:szCs w:val="28"/>
        </w:rPr>
        <w:t>ь</w:t>
      </w:r>
      <w:r w:rsidRPr="00C62D22">
        <w:rPr>
          <w:rFonts w:ascii="Times New Roman" w:hAnsi="Times New Roman" w:cs="Times New Roman"/>
          <w:sz w:val="28"/>
          <w:szCs w:val="28"/>
        </w:rPr>
        <w:t>них (вид ПК, тип операції, наявність післяопераційних ускладнень, 6 клін</w:t>
      </w:r>
      <w:r w:rsidRPr="00C62D22">
        <w:rPr>
          <w:rFonts w:ascii="Times New Roman" w:hAnsi="Times New Roman" w:cs="Times New Roman"/>
          <w:sz w:val="28"/>
          <w:szCs w:val="28"/>
        </w:rPr>
        <w:t>і</w:t>
      </w:r>
      <w:r w:rsidRPr="00C62D22">
        <w:rPr>
          <w:rFonts w:ascii="Times New Roman" w:hAnsi="Times New Roman" w:cs="Times New Roman"/>
          <w:sz w:val="28"/>
          <w:szCs w:val="28"/>
        </w:rPr>
        <w:t>чних показників – є / немає) або числових (кількість ліжко-днів, 6 лабораторних показників і 8 бальних оцінок за опитувачем SF-36), то використовувал</w:t>
      </w:r>
      <w:r w:rsidRPr="00C62D22">
        <w:rPr>
          <w:rFonts w:ascii="Times New Roman" w:hAnsi="Times New Roman" w:cs="Times New Roman"/>
          <w:sz w:val="28"/>
          <w:szCs w:val="28"/>
        </w:rPr>
        <w:t>и</w:t>
      </w:r>
      <w:r w:rsidRPr="00C62D22">
        <w:rPr>
          <w:rFonts w:ascii="Times New Roman" w:hAnsi="Times New Roman" w:cs="Times New Roman"/>
          <w:sz w:val="28"/>
          <w:szCs w:val="28"/>
        </w:rPr>
        <w:t>ся як параметричні, так і непараметричні методи статистики. Відповідність нормал</w:t>
      </w:r>
      <w:r w:rsidRPr="00C62D22">
        <w:rPr>
          <w:rFonts w:ascii="Times New Roman" w:hAnsi="Times New Roman" w:cs="Times New Roman"/>
          <w:sz w:val="28"/>
          <w:szCs w:val="28"/>
        </w:rPr>
        <w:t>ь</w:t>
      </w:r>
      <w:r w:rsidRPr="00C62D22">
        <w:rPr>
          <w:rFonts w:ascii="Times New Roman" w:hAnsi="Times New Roman" w:cs="Times New Roman"/>
          <w:sz w:val="28"/>
          <w:szCs w:val="28"/>
        </w:rPr>
        <w:t>ному закону розподілу числових показників перевірялася за допомогою крит</w:t>
      </w:r>
      <w:r w:rsidRPr="00C62D22">
        <w:rPr>
          <w:rFonts w:ascii="Times New Roman" w:hAnsi="Times New Roman" w:cs="Times New Roman"/>
          <w:sz w:val="28"/>
          <w:szCs w:val="28"/>
        </w:rPr>
        <w:t>е</w:t>
      </w:r>
      <w:r w:rsidRPr="00C62D22">
        <w:rPr>
          <w:rFonts w:ascii="Times New Roman" w:hAnsi="Times New Roman" w:cs="Times New Roman"/>
          <w:sz w:val="28"/>
          <w:szCs w:val="28"/>
        </w:rPr>
        <w:t>рію Шапіро-Уілка [101]. Парне порівняння середніх для числових показників проводилося за доп</w:t>
      </w:r>
      <w:r w:rsidRPr="00C62D22">
        <w:rPr>
          <w:rFonts w:ascii="Times New Roman" w:hAnsi="Times New Roman" w:cs="Times New Roman"/>
          <w:sz w:val="28"/>
          <w:szCs w:val="28"/>
        </w:rPr>
        <w:t>о</w:t>
      </w:r>
      <w:r w:rsidRPr="00C62D22">
        <w:rPr>
          <w:rFonts w:ascii="Times New Roman" w:hAnsi="Times New Roman" w:cs="Times New Roman"/>
          <w:sz w:val="28"/>
          <w:szCs w:val="28"/>
        </w:rPr>
        <w:t>могою критерію Манна-Уїтні, а в більш, ніж у двох групах – критерій Краскела-Уолліса. Кореляційні зв'язки між змінними оцін</w:t>
      </w:r>
      <w:r w:rsidRPr="00C62D22">
        <w:rPr>
          <w:rFonts w:ascii="Times New Roman" w:hAnsi="Times New Roman" w:cs="Times New Roman"/>
          <w:sz w:val="28"/>
          <w:szCs w:val="28"/>
        </w:rPr>
        <w:t>ю</w:t>
      </w:r>
      <w:r w:rsidRPr="00C62D22">
        <w:rPr>
          <w:rFonts w:ascii="Times New Roman" w:hAnsi="Times New Roman" w:cs="Times New Roman"/>
          <w:sz w:val="28"/>
          <w:szCs w:val="28"/>
        </w:rPr>
        <w:t xml:space="preserve">валися коефіцієнтами кореляції Спірмена для числових показників або </w:t>
      </w:r>
      <w:r w:rsidRPr="00C62D22">
        <w:rPr>
          <w:rFonts w:ascii="Times New Roman" w:hAnsi="Times New Roman" w:cs="Times New Roman"/>
          <w:sz w:val="28"/>
          <w:szCs w:val="28"/>
        </w:rPr>
        <w:sym w:font="Symbol" w:char="F074"/>
      </w:r>
      <w:r w:rsidRPr="00C62D22">
        <w:rPr>
          <w:rFonts w:ascii="Times New Roman" w:hAnsi="Times New Roman" w:cs="Times New Roman"/>
          <w:sz w:val="28"/>
          <w:szCs w:val="28"/>
        </w:rPr>
        <w:t>-Кендалла зі змішан</w:t>
      </w:r>
      <w:r w:rsidRPr="00C62D22">
        <w:rPr>
          <w:rFonts w:ascii="Times New Roman" w:hAnsi="Times New Roman" w:cs="Times New Roman"/>
          <w:sz w:val="28"/>
          <w:szCs w:val="28"/>
        </w:rPr>
        <w:t>и</w:t>
      </w:r>
      <w:r w:rsidRPr="00C62D22">
        <w:rPr>
          <w:rFonts w:ascii="Times New Roman" w:hAnsi="Times New Roman" w:cs="Times New Roman"/>
          <w:sz w:val="28"/>
          <w:szCs w:val="28"/>
        </w:rPr>
        <w:t>ми.</w:t>
      </w: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Для виявлення значущості зв'язків номінальних показників використов</w:t>
      </w:r>
      <w:r w:rsidRPr="00C62D22">
        <w:rPr>
          <w:rFonts w:ascii="Times New Roman" w:hAnsi="Times New Roman" w:cs="Times New Roman"/>
          <w:sz w:val="28"/>
          <w:szCs w:val="28"/>
        </w:rPr>
        <w:t>у</w:t>
      </w:r>
      <w:r w:rsidRPr="00C62D22">
        <w:rPr>
          <w:rFonts w:ascii="Times New Roman" w:hAnsi="Times New Roman" w:cs="Times New Roman"/>
          <w:sz w:val="28"/>
          <w:szCs w:val="28"/>
        </w:rPr>
        <w:t>валися одно-двохводові таблиці сполучуваності. Для оцінки значущості відмі</w:t>
      </w:r>
      <w:r w:rsidRPr="00C62D22">
        <w:rPr>
          <w:rFonts w:ascii="Times New Roman" w:hAnsi="Times New Roman" w:cs="Times New Roman"/>
          <w:sz w:val="28"/>
          <w:szCs w:val="28"/>
        </w:rPr>
        <w:t>н</w:t>
      </w:r>
      <w:r w:rsidRPr="00C62D22">
        <w:rPr>
          <w:rFonts w:ascii="Times New Roman" w:hAnsi="Times New Roman" w:cs="Times New Roman"/>
          <w:sz w:val="28"/>
          <w:szCs w:val="28"/>
        </w:rPr>
        <w:t xml:space="preserve">ностей </w:t>
      </w:r>
      <w:r w:rsidRPr="00C62D22">
        <w:rPr>
          <w:rFonts w:ascii="Times New Roman" w:hAnsi="Times New Roman" w:cs="Times New Roman"/>
          <w:sz w:val="28"/>
          <w:szCs w:val="28"/>
        </w:rPr>
        <w:lastRenderedPageBreak/>
        <w:t xml:space="preserve">застосовувався біноміальний критерій [217] або критерій </w:t>
      </w:r>
      <w:r w:rsidRPr="00C62D22">
        <w:rPr>
          <w:rFonts w:ascii="Times New Roman" w:hAnsi="Times New Roman" w:cs="Times New Roman"/>
          <w:sz w:val="28"/>
          <w:szCs w:val="28"/>
        </w:rPr>
        <w:sym w:font="Symbol" w:char="F063"/>
      </w:r>
      <w:r w:rsidRPr="00C62D22">
        <w:rPr>
          <w:rFonts w:ascii="Times New Roman" w:hAnsi="Times New Roman" w:cs="Times New Roman"/>
          <w:sz w:val="28"/>
          <w:szCs w:val="28"/>
          <w:vertAlign w:val="superscript"/>
        </w:rPr>
        <w:t xml:space="preserve">2 </w:t>
      </w:r>
      <w:r w:rsidRPr="00C62D22">
        <w:rPr>
          <w:rFonts w:ascii="Times New Roman" w:hAnsi="Times New Roman" w:cs="Times New Roman"/>
          <w:sz w:val="28"/>
          <w:szCs w:val="28"/>
        </w:rPr>
        <w:t>при рівні зн</w:t>
      </w:r>
      <w:r w:rsidRPr="00C62D22">
        <w:rPr>
          <w:rFonts w:ascii="Times New Roman" w:hAnsi="Times New Roman" w:cs="Times New Roman"/>
          <w:sz w:val="28"/>
          <w:szCs w:val="28"/>
        </w:rPr>
        <w:t>а</w:t>
      </w:r>
      <w:r w:rsidRPr="00C62D22">
        <w:rPr>
          <w:rFonts w:ascii="Times New Roman" w:hAnsi="Times New Roman" w:cs="Times New Roman"/>
          <w:sz w:val="28"/>
          <w:szCs w:val="28"/>
        </w:rPr>
        <w:t>чущості          р &lt;0,05.</w:t>
      </w: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Для аналізу таблиць сполучуваності більшої розмірності використовувався кореспондентський аналіз (аналіз відповідностей) [299, 355]. При цьому був сформов</w:t>
      </w:r>
      <w:r w:rsidRPr="00C62D22">
        <w:rPr>
          <w:rFonts w:ascii="Times New Roman" w:hAnsi="Times New Roman" w:cs="Times New Roman"/>
          <w:sz w:val="28"/>
          <w:szCs w:val="28"/>
        </w:rPr>
        <w:t>а</w:t>
      </w:r>
      <w:r w:rsidRPr="00C62D22">
        <w:rPr>
          <w:rFonts w:ascii="Times New Roman" w:hAnsi="Times New Roman" w:cs="Times New Roman"/>
          <w:sz w:val="28"/>
          <w:szCs w:val="28"/>
        </w:rPr>
        <w:t>ний новий агломеративний індекс – «наслідок лікування», який об'єднував у собі два показника: наявність післяопераційних ускладнень і кількість лі</w:t>
      </w:r>
      <w:r w:rsidRPr="00C62D22">
        <w:rPr>
          <w:rFonts w:ascii="Times New Roman" w:hAnsi="Times New Roman" w:cs="Times New Roman"/>
          <w:sz w:val="28"/>
          <w:szCs w:val="28"/>
        </w:rPr>
        <w:t>ж</w:t>
      </w:r>
      <w:r w:rsidRPr="00C62D22">
        <w:rPr>
          <w:rFonts w:ascii="Times New Roman" w:hAnsi="Times New Roman" w:cs="Times New Roman"/>
          <w:sz w:val="28"/>
          <w:szCs w:val="28"/>
        </w:rPr>
        <w:t>ко-днів.</w:t>
      </w: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Крім того, для хворих із ПК І типу виявився значущим зв'язок вибору типу операції з лабораторними аналізами перед операцією. Як показав кластерний ан</w:t>
      </w:r>
      <w:r w:rsidRPr="00C62D22">
        <w:rPr>
          <w:rFonts w:ascii="Times New Roman" w:hAnsi="Times New Roman" w:cs="Times New Roman"/>
          <w:sz w:val="28"/>
          <w:szCs w:val="28"/>
        </w:rPr>
        <w:t>а</w:t>
      </w:r>
      <w:r w:rsidRPr="00C62D22">
        <w:rPr>
          <w:rFonts w:ascii="Times New Roman" w:hAnsi="Times New Roman" w:cs="Times New Roman"/>
          <w:sz w:val="28"/>
          <w:szCs w:val="28"/>
        </w:rPr>
        <w:t>ліз [256], у групі хворих з ПК І типу спостерігалися дві однорідні групи (кластерів) хворих, які мали схожий перебіг хвороби й підстави для проведення пе</w:t>
      </w:r>
      <w:r w:rsidRPr="00C62D22">
        <w:rPr>
          <w:rFonts w:ascii="Times New Roman" w:hAnsi="Times New Roman" w:cs="Times New Roman"/>
          <w:sz w:val="28"/>
          <w:szCs w:val="28"/>
        </w:rPr>
        <w:t>в</w:t>
      </w:r>
      <w:r w:rsidRPr="00C62D22">
        <w:rPr>
          <w:rFonts w:ascii="Times New Roman" w:hAnsi="Times New Roman" w:cs="Times New Roman"/>
          <w:sz w:val="28"/>
          <w:szCs w:val="28"/>
        </w:rPr>
        <w:t>ного типу операції. Належність кожного хворого до конкретного кластеру провод</w:t>
      </w:r>
      <w:r w:rsidRPr="00C62D22">
        <w:rPr>
          <w:rFonts w:ascii="Times New Roman" w:hAnsi="Times New Roman" w:cs="Times New Roman"/>
          <w:sz w:val="28"/>
          <w:szCs w:val="28"/>
        </w:rPr>
        <w:t>и</w:t>
      </w:r>
      <w:r w:rsidRPr="00C62D22">
        <w:rPr>
          <w:rFonts w:ascii="Times New Roman" w:hAnsi="Times New Roman" w:cs="Times New Roman"/>
          <w:sz w:val="28"/>
          <w:szCs w:val="28"/>
        </w:rPr>
        <w:t>лася за допомогою узагальненого дискримінантного аналізу [256].</w:t>
      </w: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Вирішення завдання оцінювання довгострокових результатів лікування ПК за допомогою опитувача SF-36 звелося до використання двофакторного диспе</w:t>
      </w:r>
      <w:r w:rsidRPr="00C62D22">
        <w:rPr>
          <w:rFonts w:ascii="Times New Roman" w:hAnsi="Times New Roman" w:cs="Times New Roman"/>
          <w:sz w:val="28"/>
          <w:szCs w:val="28"/>
        </w:rPr>
        <w:t>р</w:t>
      </w:r>
      <w:r w:rsidRPr="00C62D22">
        <w:rPr>
          <w:rFonts w:ascii="Times New Roman" w:hAnsi="Times New Roman" w:cs="Times New Roman"/>
          <w:sz w:val="28"/>
          <w:szCs w:val="28"/>
        </w:rPr>
        <w:t>сійного аналізу [169]. До переваг дисперсійного аналізу можна було віднести його робастість: F-критерій, який використовується в дисперсійному аналізу для порівнянь середніх, стійкий до відхилення від нормальності розподілу розгл</w:t>
      </w:r>
      <w:r w:rsidRPr="00C62D22">
        <w:rPr>
          <w:rFonts w:ascii="Times New Roman" w:hAnsi="Times New Roman" w:cs="Times New Roman"/>
          <w:sz w:val="28"/>
          <w:szCs w:val="28"/>
        </w:rPr>
        <w:t>я</w:t>
      </w:r>
      <w:r w:rsidRPr="00C62D22">
        <w:rPr>
          <w:rFonts w:ascii="Times New Roman" w:hAnsi="Times New Roman" w:cs="Times New Roman"/>
          <w:sz w:val="28"/>
          <w:szCs w:val="28"/>
        </w:rPr>
        <w:t>нутих змінних. Двофакторний дисперсійний аналіз дозволив також визначити не тільки головні ефекти впливу факторів на мінливість показн</w:t>
      </w:r>
      <w:r w:rsidRPr="00C62D22">
        <w:rPr>
          <w:rFonts w:ascii="Times New Roman" w:hAnsi="Times New Roman" w:cs="Times New Roman"/>
          <w:sz w:val="28"/>
          <w:szCs w:val="28"/>
        </w:rPr>
        <w:t>и</w:t>
      </w:r>
      <w:r w:rsidRPr="00C62D22">
        <w:rPr>
          <w:rFonts w:ascii="Times New Roman" w:hAnsi="Times New Roman" w:cs="Times New Roman"/>
          <w:sz w:val="28"/>
          <w:szCs w:val="28"/>
        </w:rPr>
        <w:t>ка, але також і їх взаємодію. У якості чисельної оцінки впливу факторів на показники викор</w:t>
      </w:r>
      <w:r w:rsidRPr="00C62D22">
        <w:rPr>
          <w:rFonts w:ascii="Times New Roman" w:hAnsi="Times New Roman" w:cs="Times New Roman"/>
          <w:sz w:val="28"/>
          <w:szCs w:val="28"/>
        </w:rPr>
        <w:t>и</w:t>
      </w:r>
      <w:r w:rsidRPr="00C62D22">
        <w:rPr>
          <w:rFonts w:ascii="Times New Roman" w:hAnsi="Times New Roman" w:cs="Times New Roman"/>
          <w:sz w:val="28"/>
          <w:szCs w:val="28"/>
        </w:rPr>
        <w:t xml:space="preserve">стовувався емпіричний коефіцієнт </w:t>
      </w:r>
      <w:r w:rsidRPr="00C62D22">
        <w:rPr>
          <w:rFonts w:ascii="Times New Roman" w:hAnsi="Times New Roman" w:cs="Times New Roman"/>
          <w:sz w:val="28"/>
          <w:szCs w:val="28"/>
        </w:rPr>
        <w:sym w:font="Symbol" w:char="F068"/>
      </w:r>
      <w:r w:rsidRPr="00C62D22">
        <w:rPr>
          <w:rFonts w:ascii="Times New Roman" w:hAnsi="Times New Roman" w:cs="Times New Roman"/>
          <w:sz w:val="28"/>
          <w:szCs w:val="28"/>
          <w:vertAlign w:val="superscript"/>
        </w:rPr>
        <w:t>2</w:t>
      </w:r>
      <w:r w:rsidRPr="00C62D22">
        <w:rPr>
          <w:rFonts w:ascii="Times New Roman" w:hAnsi="Times New Roman" w:cs="Times New Roman"/>
          <w:sz w:val="28"/>
          <w:szCs w:val="28"/>
        </w:rPr>
        <w:t xml:space="preserve"> [74], який показував внесок кожного факт</w:t>
      </w:r>
      <w:r w:rsidRPr="00C62D22">
        <w:rPr>
          <w:rFonts w:ascii="Times New Roman" w:hAnsi="Times New Roman" w:cs="Times New Roman"/>
          <w:sz w:val="28"/>
          <w:szCs w:val="28"/>
        </w:rPr>
        <w:t>о</w:t>
      </w:r>
      <w:r w:rsidRPr="00C62D22">
        <w:rPr>
          <w:rFonts w:ascii="Times New Roman" w:hAnsi="Times New Roman" w:cs="Times New Roman"/>
          <w:sz w:val="28"/>
          <w:szCs w:val="28"/>
        </w:rPr>
        <w:t>ра в мінливість розглянутої ознаки.</w:t>
      </w:r>
    </w:p>
    <w:p w:rsidR="0021764E" w:rsidRPr="00C62D22" w:rsidRDefault="0021764E" w:rsidP="0021764E">
      <w:pPr>
        <w:widowControl w:val="0"/>
        <w:shd w:val="clear" w:color="auto" w:fill="FFFFFF"/>
        <w:tabs>
          <w:tab w:val="left" w:pos="993"/>
        </w:tabs>
        <w:autoSpaceDE w:val="0"/>
        <w:autoSpaceDN w:val="0"/>
        <w:adjustRightInd w:val="0"/>
        <w:spacing w:after="0" w:line="360" w:lineRule="auto"/>
        <w:jc w:val="both"/>
        <w:rPr>
          <w:rFonts w:ascii="Times New Roman" w:hAnsi="Times New Roman" w:cs="Times New Roman"/>
          <w:sz w:val="28"/>
          <w:szCs w:val="28"/>
        </w:rPr>
      </w:pPr>
    </w:p>
    <w:p w:rsidR="0021764E" w:rsidRPr="00C62D22" w:rsidRDefault="0021764E">
      <w:pPr>
        <w:rPr>
          <w:rFonts w:ascii="Times New Roman" w:hAnsi="Times New Roman" w:cs="Times New Roman"/>
          <w:sz w:val="28"/>
          <w:szCs w:val="28"/>
        </w:rPr>
      </w:pPr>
      <w:r w:rsidRPr="00C62D22">
        <w:rPr>
          <w:rFonts w:ascii="Times New Roman" w:hAnsi="Times New Roman" w:cs="Times New Roman"/>
          <w:sz w:val="28"/>
          <w:szCs w:val="28"/>
        </w:rPr>
        <w:br w:type="page"/>
      </w:r>
    </w:p>
    <w:p w:rsidR="0021764E" w:rsidRPr="00C62D22" w:rsidRDefault="0021764E" w:rsidP="0021764E">
      <w:pPr>
        <w:tabs>
          <w:tab w:val="left" w:pos="180"/>
          <w:tab w:val="left" w:pos="540"/>
          <w:tab w:val="left" w:pos="720"/>
        </w:tabs>
        <w:spacing w:after="0" w:line="360" w:lineRule="auto"/>
        <w:ind w:right="76" w:firstLine="540"/>
        <w:jc w:val="center"/>
        <w:outlineLvl w:val="0"/>
        <w:rPr>
          <w:rFonts w:ascii="Times New Roman" w:hAnsi="Times New Roman" w:cs="Times New Roman"/>
          <w:sz w:val="28"/>
          <w:szCs w:val="28"/>
        </w:rPr>
      </w:pPr>
      <w:r w:rsidRPr="00C62D22">
        <w:rPr>
          <w:rFonts w:ascii="Times New Roman" w:hAnsi="Times New Roman" w:cs="Times New Roman"/>
          <w:b/>
          <w:sz w:val="28"/>
          <w:szCs w:val="28"/>
        </w:rPr>
        <w:lastRenderedPageBreak/>
        <w:t>РОЗДІЛ 3</w:t>
      </w:r>
    </w:p>
    <w:p w:rsidR="0021764E" w:rsidRPr="00C62D22" w:rsidRDefault="0021764E" w:rsidP="0021764E">
      <w:pPr>
        <w:tabs>
          <w:tab w:val="left" w:pos="0"/>
        </w:tabs>
        <w:spacing w:after="0" w:line="360" w:lineRule="auto"/>
        <w:ind w:right="76" w:firstLine="540"/>
        <w:jc w:val="center"/>
        <w:rPr>
          <w:rFonts w:ascii="Times New Roman" w:hAnsi="Times New Roman" w:cs="Times New Roman"/>
          <w:b/>
          <w:sz w:val="28"/>
          <w:szCs w:val="28"/>
        </w:rPr>
      </w:pPr>
      <w:r w:rsidRPr="00C62D22">
        <w:rPr>
          <w:rFonts w:ascii="Times New Roman" w:hAnsi="Times New Roman" w:cs="Times New Roman"/>
          <w:b/>
          <w:sz w:val="28"/>
          <w:szCs w:val="28"/>
        </w:rPr>
        <w:t xml:space="preserve">ОСОБЛИВОСТІ КЛІНІЧНОЇ, ЛАБОРАТОРНОЇ ТА ІНСТРУМЕНТАЛЬНОЇ ДІАГНОСТИКИ ПСЕВДОКІСТ ПІДШЛУНКОВОЇ ЗАЛОЗИ ТА ЇХ УСКЛАДНЕНЬ </w:t>
      </w:r>
    </w:p>
    <w:p w:rsidR="0021764E" w:rsidRPr="00C62D22" w:rsidRDefault="0021764E" w:rsidP="0021764E">
      <w:pPr>
        <w:tabs>
          <w:tab w:val="left" w:pos="360"/>
          <w:tab w:val="left" w:leader="dot" w:pos="9105"/>
        </w:tabs>
        <w:spacing w:after="0" w:line="360" w:lineRule="auto"/>
        <w:ind w:right="76" w:firstLine="540"/>
        <w:jc w:val="both"/>
        <w:rPr>
          <w:rFonts w:ascii="Times New Roman" w:hAnsi="Times New Roman" w:cs="Times New Roman"/>
          <w:b/>
          <w:sz w:val="28"/>
          <w:szCs w:val="28"/>
        </w:rPr>
      </w:pPr>
    </w:p>
    <w:p w:rsidR="0021764E" w:rsidRPr="00C62D22" w:rsidRDefault="0021764E" w:rsidP="0021764E">
      <w:pPr>
        <w:tabs>
          <w:tab w:val="left" w:pos="360"/>
          <w:tab w:val="left" w:leader="dot" w:pos="9105"/>
        </w:tabs>
        <w:spacing w:after="0" w:line="360" w:lineRule="auto"/>
        <w:ind w:right="76" w:firstLine="540"/>
        <w:jc w:val="both"/>
        <w:rPr>
          <w:rFonts w:ascii="Times New Roman" w:hAnsi="Times New Roman" w:cs="Times New Roman"/>
          <w:b/>
          <w:sz w:val="28"/>
          <w:szCs w:val="28"/>
        </w:rPr>
      </w:pPr>
    </w:p>
    <w:p w:rsidR="0021764E" w:rsidRPr="00C62D22" w:rsidRDefault="0021764E" w:rsidP="0021764E">
      <w:pPr>
        <w:tabs>
          <w:tab w:val="left" w:pos="360"/>
          <w:tab w:val="left" w:leader="dot" w:pos="9105"/>
        </w:tabs>
        <w:spacing w:after="0" w:line="360" w:lineRule="auto"/>
        <w:ind w:right="76" w:firstLine="540"/>
        <w:jc w:val="both"/>
        <w:rPr>
          <w:rFonts w:ascii="Times New Roman" w:hAnsi="Times New Roman" w:cs="Times New Roman"/>
          <w:b/>
          <w:sz w:val="28"/>
          <w:szCs w:val="28"/>
        </w:rPr>
      </w:pPr>
    </w:p>
    <w:p w:rsidR="0021764E" w:rsidRPr="00C62D22" w:rsidRDefault="0021764E" w:rsidP="0021764E">
      <w:pPr>
        <w:tabs>
          <w:tab w:val="left" w:pos="360"/>
          <w:tab w:val="left" w:leader="dot" w:pos="9105"/>
        </w:tabs>
        <w:spacing w:after="0" w:line="360" w:lineRule="auto"/>
        <w:ind w:right="76" w:firstLine="540"/>
        <w:jc w:val="both"/>
        <w:rPr>
          <w:rFonts w:ascii="Times New Roman" w:hAnsi="Times New Roman" w:cs="Times New Roman"/>
          <w:b/>
          <w:sz w:val="28"/>
          <w:szCs w:val="28"/>
        </w:rPr>
      </w:pPr>
      <w:r w:rsidRPr="00C62D22">
        <w:rPr>
          <w:rFonts w:ascii="Times New Roman" w:hAnsi="Times New Roman" w:cs="Times New Roman"/>
          <w:b/>
          <w:sz w:val="28"/>
          <w:szCs w:val="28"/>
        </w:rPr>
        <w:t>3.1. Клініко-лабораторна діагностика</w:t>
      </w:r>
    </w:p>
    <w:p w:rsidR="0021764E" w:rsidRPr="00C62D22" w:rsidRDefault="0021764E" w:rsidP="0021764E">
      <w:pPr>
        <w:tabs>
          <w:tab w:val="left" w:pos="360"/>
          <w:tab w:val="left" w:leader="dot" w:pos="9105"/>
        </w:tabs>
        <w:spacing w:after="0" w:line="360" w:lineRule="auto"/>
        <w:ind w:right="76" w:firstLine="540"/>
        <w:jc w:val="both"/>
        <w:rPr>
          <w:rFonts w:ascii="Times New Roman" w:hAnsi="Times New Roman" w:cs="Times New Roman"/>
          <w:b/>
          <w:sz w:val="28"/>
          <w:szCs w:val="28"/>
        </w:rPr>
      </w:pPr>
    </w:p>
    <w:p w:rsidR="0021764E" w:rsidRPr="00C62D22" w:rsidRDefault="0021764E" w:rsidP="0021764E">
      <w:pPr>
        <w:pStyle w:val="21"/>
        <w:spacing w:after="0" w:line="360" w:lineRule="auto"/>
        <w:ind w:left="0" w:right="76" w:firstLine="540"/>
        <w:jc w:val="both"/>
        <w:rPr>
          <w:rFonts w:ascii="Times New Roman" w:hAnsi="Times New Roman"/>
          <w:sz w:val="28"/>
          <w:szCs w:val="28"/>
        </w:rPr>
      </w:pPr>
      <w:r w:rsidRPr="00C62D22">
        <w:rPr>
          <w:rFonts w:ascii="Times New Roman" w:hAnsi="Times New Roman"/>
          <w:sz w:val="28"/>
          <w:szCs w:val="28"/>
        </w:rPr>
        <w:t>Клінічна симптоматика хворих з ускладненими ПК ПЗ, що аналізуют</w:t>
      </w:r>
      <w:r w:rsidRPr="00C62D22">
        <w:rPr>
          <w:rFonts w:ascii="Times New Roman" w:hAnsi="Times New Roman"/>
          <w:sz w:val="28"/>
          <w:szCs w:val="28"/>
        </w:rPr>
        <w:t>ь</w:t>
      </w:r>
      <w:r w:rsidRPr="00C62D22">
        <w:rPr>
          <w:rFonts w:ascii="Times New Roman" w:hAnsi="Times New Roman"/>
          <w:sz w:val="28"/>
          <w:szCs w:val="28"/>
        </w:rPr>
        <w:t xml:space="preserve">ся, наведена в табл. 3.1. </w:t>
      </w:r>
    </w:p>
    <w:p w:rsidR="0021764E" w:rsidRPr="00C62D22" w:rsidRDefault="0021764E" w:rsidP="0021764E">
      <w:pPr>
        <w:pStyle w:val="21"/>
        <w:spacing w:after="0" w:line="360" w:lineRule="auto"/>
        <w:ind w:left="0" w:right="76" w:firstLine="540"/>
        <w:jc w:val="both"/>
        <w:rPr>
          <w:rFonts w:ascii="Times New Roman" w:hAnsi="Times New Roman"/>
          <w:sz w:val="28"/>
          <w:szCs w:val="28"/>
        </w:rPr>
      </w:pPr>
    </w:p>
    <w:p w:rsidR="0021764E" w:rsidRPr="00C62D22" w:rsidRDefault="0021764E" w:rsidP="0021764E">
      <w:pPr>
        <w:pStyle w:val="21"/>
        <w:spacing w:after="0" w:line="360" w:lineRule="auto"/>
        <w:ind w:left="0" w:right="76" w:firstLine="540"/>
        <w:jc w:val="right"/>
        <w:outlineLvl w:val="0"/>
        <w:rPr>
          <w:rFonts w:ascii="Times New Roman" w:hAnsi="Times New Roman"/>
          <w:i/>
          <w:sz w:val="28"/>
          <w:szCs w:val="28"/>
        </w:rPr>
      </w:pPr>
      <w:r w:rsidRPr="00C62D22">
        <w:rPr>
          <w:rFonts w:ascii="Times New Roman" w:hAnsi="Times New Roman"/>
          <w:i/>
          <w:sz w:val="28"/>
          <w:szCs w:val="28"/>
        </w:rPr>
        <w:t>Таблиця 3.1</w:t>
      </w:r>
    </w:p>
    <w:p w:rsidR="0021764E" w:rsidRPr="00C62D22" w:rsidRDefault="0021764E" w:rsidP="0021764E">
      <w:pPr>
        <w:pStyle w:val="21"/>
        <w:spacing w:after="0" w:line="360" w:lineRule="auto"/>
        <w:ind w:left="0" w:right="76" w:firstLine="540"/>
        <w:jc w:val="center"/>
        <w:outlineLvl w:val="0"/>
        <w:rPr>
          <w:rFonts w:ascii="Times New Roman" w:hAnsi="Times New Roman"/>
          <w:b/>
          <w:sz w:val="28"/>
          <w:szCs w:val="28"/>
        </w:rPr>
      </w:pPr>
      <w:r w:rsidRPr="00C62D22">
        <w:rPr>
          <w:rFonts w:ascii="Times New Roman" w:hAnsi="Times New Roman"/>
          <w:b/>
          <w:sz w:val="28"/>
          <w:szCs w:val="28"/>
        </w:rPr>
        <w:t>Клінічні симптоми хворих з різними типами ПК ПЗ (n=505)</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27"/>
        <w:gridCol w:w="992"/>
        <w:gridCol w:w="1109"/>
        <w:gridCol w:w="1260"/>
        <w:gridCol w:w="1080"/>
        <w:gridCol w:w="1260"/>
        <w:gridCol w:w="1260"/>
      </w:tblGrid>
      <w:tr w:rsidR="0021764E" w:rsidRPr="00C62D22" w:rsidTr="006E5FD4">
        <w:tc>
          <w:tcPr>
            <w:tcW w:w="3227" w:type="dxa"/>
            <w:vMerge w:val="restart"/>
          </w:tcPr>
          <w:p w:rsidR="0021764E" w:rsidRPr="00C62D22" w:rsidRDefault="0021764E" w:rsidP="006E5FD4">
            <w:pPr>
              <w:pStyle w:val="21"/>
              <w:spacing w:after="0" w:line="360" w:lineRule="auto"/>
              <w:ind w:left="0" w:right="76" w:firstLine="540"/>
              <w:jc w:val="center"/>
              <w:rPr>
                <w:rFonts w:ascii="Times New Roman" w:hAnsi="Times New Roman"/>
                <w:sz w:val="28"/>
                <w:szCs w:val="28"/>
              </w:rPr>
            </w:pPr>
            <w:r w:rsidRPr="00C62D22">
              <w:rPr>
                <w:rFonts w:ascii="Times New Roman" w:hAnsi="Times New Roman"/>
                <w:sz w:val="28"/>
                <w:szCs w:val="28"/>
              </w:rPr>
              <w:t>Типи ПК ПЗ</w:t>
            </w:r>
          </w:p>
        </w:tc>
        <w:tc>
          <w:tcPr>
            <w:tcW w:w="2101" w:type="dxa"/>
            <w:gridSpan w:val="2"/>
          </w:tcPr>
          <w:p w:rsidR="0021764E" w:rsidRPr="00C62D22" w:rsidRDefault="0021764E" w:rsidP="006E5FD4">
            <w:pPr>
              <w:pStyle w:val="21"/>
              <w:spacing w:after="0" w:line="360" w:lineRule="auto"/>
              <w:ind w:left="0" w:right="76" w:firstLine="13"/>
              <w:jc w:val="center"/>
              <w:rPr>
                <w:rFonts w:ascii="Times New Roman" w:hAnsi="Times New Roman"/>
                <w:sz w:val="28"/>
                <w:szCs w:val="28"/>
              </w:rPr>
            </w:pPr>
            <w:r w:rsidRPr="00C62D22">
              <w:rPr>
                <w:rFonts w:ascii="Times New Roman" w:hAnsi="Times New Roman"/>
                <w:sz w:val="28"/>
                <w:szCs w:val="28"/>
              </w:rPr>
              <w:t>Біль у животі</w:t>
            </w:r>
          </w:p>
        </w:tc>
        <w:tc>
          <w:tcPr>
            <w:tcW w:w="2340" w:type="dxa"/>
            <w:gridSpan w:val="2"/>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Нудота, блювота</w:t>
            </w:r>
          </w:p>
        </w:tc>
        <w:tc>
          <w:tcPr>
            <w:tcW w:w="2520" w:type="dxa"/>
            <w:gridSpan w:val="2"/>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Загальна слабкість</w:t>
            </w:r>
          </w:p>
        </w:tc>
      </w:tr>
      <w:tr w:rsidR="0021764E" w:rsidRPr="00C62D22" w:rsidTr="006E5FD4">
        <w:trPr>
          <w:trHeight w:val="315"/>
        </w:trPr>
        <w:tc>
          <w:tcPr>
            <w:tcW w:w="3227" w:type="dxa"/>
            <w:vMerge/>
          </w:tcPr>
          <w:p w:rsidR="0021764E" w:rsidRPr="00C62D22" w:rsidRDefault="0021764E" w:rsidP="006E5FD4">
            <w:pPr>
              <w:pStyle w:val="21"/>
              <w:spacing w:after="0" w:line="360" w:lineRule="auto"/>
              <w:ind w:left="0" w:right="76" w:firstLine="540"/>
              <w:jc w:val="center"/>
              <w:rPr>
                <w:rFonts w:ascii="Times New Roman" w:hAnsi="Times New Roman"/>
                <w:sz w:val="28"/>
                <w:szCs w:val="28"/>
              </w:rPr>
            </w:pPr>
          </w:p>
        </w:tc>
        <w:tc>
          <w:tcPr>
            <w:tcW w:w="992" w:type="dxa"/>
          </w:tcPr>
          <w:p w:rsidR="0021764E" w:rsidRPr="00C62D22" w:rsidRDefault="0021764E" w:rsidP="006E5FD4">
            <w:pPr>
              <w:pStyle w:val="21"/>
              <w:spacing w:after="0" w:line="360" w:lineRule="auto"/>
              <w:ind w:left="0" w:right="76" w:firstLine="13"/>
              <w:jc w:val="center"/>
              <w:rPr>
                <w:rFonts w:ascii="Times New Roman" w:hAnsi="Times New Roman"/>
                <w:sz w:val="28"/>
                <w:szCs w:val="28"/>
              </w:rPr>
            </w:pPr>
            <w:r w:rsidRPr="00C62D22">
              <w:rPr>
                <w:rFonts w:ascii="Times New Roman" w:hAnsi="Times New Roman"/>
                <w:sz w:val="28"/>
                <w:szCs w:val="28"/>
              </w:rPr>
              <w:t>Абс.</w:t>
            </w:r>
          </w:p>
        </w:tc>
        <w:tc>
          <w:tcPr>
            <w:tcW w:w="1109" w:type="dxa"/>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w:t>
            </w:r>
          </w:p>
        </w:tc>
        <w:tc>
          <w:tcPr>
            <w:tcW w:w="1260" w:type="dxa"/>
          </w:tcPr>
          <w:p w:rsidR="0021764E" w:rsidRPr="00C62D22" w:rsidRDefault="0021764E" w:rsidP="006E5FD4">
            <w:pPr>
              <w:pStyle w:val="21"/>
              <w:spacing w:after="0" w:line="360" w:lineRule="auto"/>
              <w:ind w:left="0" w:right="76" w:firstLine="35"/>
              <w:jc w:val="center"/>
              <w:rPr>
                <w:rFonts w:ascii="Times New Roman" w:hAnsi="Times New Roman"/>
                <w:sz w:val="28"/>
                <w:szCs w:val="28"/>
              </w:rPr>
            </w:pPr>
            <w:r w:rsidRPr="00C62D22">
              <w:rPr>
                <w:rFonts w:ascii="Times New Roman" w:hAnsi="Times New Roman"/>
                <w:sz w:val="28"/>
                <w:szCs w:val="28"/>
              </w:rPr>
              <w:t>Абс.</w:t>
            </w:r>
          </w:p>
        </w:tc>
        <w:tc>
          <w:tcPr>
            <w:tcW w:w="1080" w:type="dxa"/>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w:t>
            </w:r>
          </w:p>
        </w:tc>
        <w:tc>
          <w:tcPr>
            <w:tcW w:w="1260" w:type="dxa"/>
          </w:tcPr>
          <w:p w:rsidR="0021764E" w:rsidRPr="00C62D22" w:rsidRDefault="0021764E" w:rsidP="006E5FD4">
            <w:pPr>
              <w:pStyle w:val="21"/>
              <w:spacing w:after="0" w:line="360" w:lineRule="auto"/>
              <w:ind w:left="0" w:right="76" w:firstLine="42"/>
              <w:jc w:val="center"/>
              <w:rPr>
                <w:rFonts w:ascii="Times New Roman" w:hAnsi="Times New Roman"/>
                <w:sz w:val="28"/>
                <w:szCs w:val="28"/>
              </w:rPr>
            </w:pPr>
            <w:r w:rsidRPr="00C62D22">
              <w:rPr>
                <w:rFonts w:ascii="Times New Roman" w:hAnsi="Times New Roman"/>
                <w:sz w:val="28"/>
                <w:szCs w:val="28"/>
              </w:rPr>
              <w:t>Абс.</w:t>
            </w:r>
          </w:p>
        </w:tc>
        <w:tc>
          <w:tcPr>
            <w:tcW w:w="1260" w:type="dxa"/>
          </w:tcPr>
          <w:p w:rsidR="0021764E" w:rsidRPr="00C62D22" w:rsidRDefault="0021764E" w:rsidP="006E5FD4">
            <w:pPr>
              <w:pStyle w:val="21"/>
              <w:spacing w:after="0" w:line="360" w:lineRule="auto"/>
              <w:ind w:left="0" w:right="76" w:hanging="23"/>
              <w:jc w:val="center"/>
              <w:rPr>
                <w:rFonts w:ascii="Times New Roman" w:hAnsi="Times New Roman"/>
                <w:sz w:val="28"/>
                <w:szCs w:val="28"/>
              </w:rPr>
            </w:pPr>
            <w:r w:rsidRPr="00C62D22">
              <w:rPr>
                <w:rFonts w:ascii="Times New Roman" w:hAnsi="Times New Roman"/>
                <w:sz w:val="28"/>
                <w:szCs w:val="28"/>
              </w:rPr>
              <w:t>%</w:t>
            </w:r>
          </w:p>
        </w:tc>
      </w:tr>
      <w:tr w:rsidR="0021764E" w:rsidRPr="00C62D22" w:rsidTr="006E5FD4">
        <w:tc>
          <w:tcPr>
            <w:tcW w:w="3227" w:type="dxa"/>
          </w:tcPr>
          <w:p w:rsidR="0021764E" w:rsidRPr="00C62D22" w:rsidRDefault="0021764E" w:rsidP="006E5FD4">
            <w:pPr>
              <w:pStyle w:val="21"/>
              <w:spacing w:after="0" w:line="360" w:lineRule="auto"/>
              <w:ind w:left="0" w:right="76"/>
              <w:jc w:val="both"/>
              <w:rPr>
                <w:rFonts w:ascii="Times New Roman" w:hAnsi="Times New Roman"/>
                <w:sz w:val="28"/>
                <w:szCs w:val="28"/>
              </w:rPr>
            </w:pPr>
            <w:r w:rsidRPr="00C62D22">
              <w:rPr>
                <w:rFonts w:ascii="Times New Roman" w:hAnsi="Times New Roman"/>
                <w:sz w:val="28"/>
                <w:szCs w:val="28"/>
              </w:rPr>
              <w:t>ПК ПЗ I типу (n=81)</w:t>
            </w:r>
          </w:p>
        </w:tc>
        <w:tc>
          <w:tcPr>
            <w:tcW w:w="992" w:type="dxa"/>
          </w:tcPr>
          <w:p w:rsidR="0021764E" w:rsidRPr="00C62D22" w:rsidRDefault="0021764E" w:rsidP="006E5FD4">
            <w:pPr>
              <w:pStyle w:val="21"/>
              <w:spacing w:after="0" w:line="360" w:lineRule="auto"/>
              <w:ind w:left="0" w:right="76" w:firstLine="13"/>
              <w:jc w:val="center"/>
              <w:rPr>
                <w:rFonts w:ascii="Times New Roman" w:hAnsi="Times New Roman"/>
                <w:sz w:val="28"/>
                <w:szCs w:val="28"/>
              </w:rPr>
            </w:pPr>
            <w:r w:rsidRPr="00C62D22">
              <w:rPr>
                <w:rFonts w:ascii="Times New Roman" w:hAnsi="Times New Roman"/>
                <w:sz w:val="28"/>
                <w:szCs w:val="28"/>
              </w:rPr>
              <w:t>79</w:t>
            </w:r>
          </w:p>
        </w:tc>
        <w:tc>
          <w:tcPr>
            <w:tcW w:w="1109" w:type="dxa"/>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15,7</w:t>
            </w:r>
          </w:p>
        </w:tc>
        <w:tc>
          <w:tcPr>
            <w:tcW w:w="1260" w:type="dxa"/>
          </w:tcPr>
          <w:p w:rsidR="0021764E" w:rsidRPr="00C62D22" w:rsidRDefault="0021764E" w:rsidP="006E5FD4">
            <w:pPr>
              <w:pStyle w:val="21"/>
              <w:spacing w:after="0" w:line="360" w:lineRule="auto"/>
              <w:ind w:left="0" w:right="76" w:firstLine="35"/>
              <w:jc w:val="center"/>
              <w:rPr>
                <w:rFonts w:ascii="Times New Roman" w:hAnsi="Times New Roman"/>
                <w:sz w:val="28"/>
                <w:szCs w:val="28"/>
              </w:rPr>
            </w:pPr>
            <w:r w:rsidRPr="00C62D22">
              <w:rPr>
                <w:rFonts w:ascii="Times New Roman" w:hAnsi="Times New Roman"/>
                <w:sz w:val="28"/>
                <w:szCs w:val="28"/>
              </w:rPr>
              <w:t>43</w:t>
            </w:r>
          </w:p>
        </w:tc>
        <w:tc>
          <w:tcPr>
            <w:tcW w:w="1080" w:type="dxa"/>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8,5</w:t>
            </w:r>
          </w:p>
        </w:tc>
        <w:tc>
          <w:tcPr>
            <w:tcW w:w="1260" w:type="dxa"/>
          </w:tcPr>
          <w:p w:rsidR="0021764E" w:rsidRPr="00C62D22" w:rsidRDefault="0021764E" w:rsidP="006E5FD4">
            <w:pPr>
              <w:pStyle w:val="21"/>
              <w:spacing w:after="0" w:line="360" w:lineRule="auto"/>
              <w:ind w:left="0" w:right="76" w:firstLine="42"/>
              <w:jc w:val="center"/>
              <w:rPr>
                <w:rFonts w:ascii="Times New Roman" w:hAnsi="Times New Roman"/>
                <w:sz w:val="28"/>
                <w:szCs w:val="28"/>
              </w:rPr>
            </w:pPr>
            <w:r w:rsidRPr="00C62D22">
              <w:rPr>
                <w:rFonts w:ascii="Times New Roman" w:hAnsi="Times New Roman"/>
                <w:sz w:val="28"/>
                <w:szCs w:val="28"/>
              </w:rPr>
              <w:t>67</w:t>
            </w:r>
          </w:p>
        </w:tc>
        <w:tc>
          <w:tcPr>
            <w:tcW w:w="1260" w:type="dxa"/>
          </w:tcPr>
          <w:p w:rsidR="0021764E" w:rsidRPr="00C62D22" w:rsidRDefault="0021764E" w:rsidP="006E5FD4">
            <w:pPr>
              <w:pStyle w:val="21"/>
              <w:spacing w:after="0" w:line="360" w:lineRule="auto"/>
              <w:ind w:left="0" w:right="76" w:hanging="23"/>
              <w:jc w:val="center"/>
              <w:rPr>
                <w:rFonts w:ascii="Times New Roman" w:hAnsi="Times New Roman"/>
                <w:sz w:val="28"/>
                <w:szCs w:val="28"/>
              </w:rPr>
            </w:pPr>
            <w:r w:rsidRPr="00C62D22">
              <w:rPr>
                <w:rFonts w:ascii="Times New Roman" w:hAnsi="Times New Roman"/>
                <w:sz w:val="28"/>
                <w:szCs w:val="28"/>
              </w:rPr>
              <w:t>13,3</w:t>
            </w:r>
          </w:p>
        </w:tc>
      </w:tr>
      <w:tr w:rsidR="0021764E" w:rsidRPr="00C62D22" w:rsidTr="006E5FD4">
        <w:tc>
          <w:tcPr>
            <w:tcW w:w="3227" w:type="dxa"/>
          </w:tcPr>
          <w:p w:rsidR="0021764E" w:rsidRPr="00C62D22" w:rsidRDefault="0021764E" w:rsidP="006E5FD4">
            <w:pPr>
              <w:pStyle w:val="21"/>
              <w:spacing w:after="0" w:line="360" w:lineRule="auto"/>
              <w:ind w:left="0" w:right="76"/>
              <w:jc w:val="both"/>
              <w:rPr>
                <w:rFonts w:ascii="Times New Roman" w:hAnsi="Times New Roman"/>
                <w:sz w:val="28"/>
                <w:szCs w:val="28"/>
              </w:rPr>
            </w:pPr>
            <w:r w:rsidRPr="00C62D22">
              <w:rPr>
                <w:rFonts w:ascii="Times New Roman" w:hAnsi="Times New Roman"/>
                <w:sz w:val="28"/>
                <w:szCs w:val="28"/>
              </w:rPr>
              <w:t>ПК ПЗ ІI типу (n=247)</w:t>
            </w:r>
          </w:p>
        </w:tc>
        <w:tc>
          <w:tcPr>
            <w:tcW w:w="992" w:type="dxa"/>
          </w:tcPr>
          <w:p w:rsidR="0021764E" w:rsidRPr="00C62D22" w:rsidRDefault="0021764E" w:rsidP="006E5FD4">
            <w:pPr>
              <w:pStyle w:val="21"/>
              <w:spacing w:after="0" w:line="360" w:lineRule="auto"/>
              <w:ind w:left="0" w:right="76" w:firstLine="13"/>
              <w:jc w:val="center"/>
              <w:rPr>
                <w:rFonts w:ascii="Times New Roman" w:hAnsi="Times New Roman"/>
                <w:sz w:val="28"/>
                <w:szCs w:val="28"/>
              </w:rPr>
            </w:pPr>
            <w:r w:rsidRPr="00C62D22">
              <w:rPr>
                <w:rFonts w:ascii="Times New Roman" w:hAnsi="Times New Roman"/>
                <w:sz w:val="28"/>
                <w:szCs w:val="28"/>
              </w:rPr>
              <w:t>240</w:t>
            </w:r>
          </w:p>
        </w:tc>
        <w:tc>
          <w:tcPr>
            <w:tcW w:w="1109" w:type="dxa"/>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47,5</w:t>
            </w:r>
          </w:p>
        </w:tc>
        <w:tc>
          <w:tcPr>
            <w:tcW w:w="1260" w:type="dxa"/>
          </w:tcPr>
          <w:p w:rsidR="0021764E" w:rsidRPr="00C62D22" w:rsidRDefault="0021764E" w:rsidP="006E5FD4">
            <w:pPr>
              <w:pStyle w:val="21"/>
              <w:spacing w:after="0" w:line="360" w:lineRule="auto"/>
              <w:ind w:left="0" w:right="76" w:firstLine="35"/>
              <w:jc w:val="center"/>
              <w:rPr>
                <w:rFonts w:ascii="Times New Roman" w:hAnsi="Times New Roman"/>
                <w:sz w:val="28"/>
                <w:szCs w:val="28"/>
              </w:rPr>
            </w:pPr>
            <w:r w:rsidRPr="00C62D22">
              <w:rPr>
                <w:rFonts w:ascii="Times New Roman" w:hAnsi="Times New Roman"/>
                <w:sz w:val="28"/>
                <w:szCs w:val="28"/>
              </w:rPr>
              <w:t>234</w:t>
            </w:r>
          </w:p>
        </w:tc>
        <w:tc>
          <w:tcPr>
            <w:tcW w:w="1080" w:type="dxa"/>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46,3</w:t>
            </w:r>
          </w:p>
        </w:tc>
        <w:tc>
          <w:tcPr>
            <w:tcW w:w="1260" w:type="dxa"/>
          </w:tcPr>
          <w:p w:rsidR="0021764E" w:rsidRPr="00C62D22" w:rsidRDefault="0021764E" w:rsidP="006E5FD4">
            <w:pPr>
              <w:pStyle w:val="21"/>
              <w:spacing w:after="0" w:line="360" w:lineRule="auto"/>
              <w:ind w:left="0" w:right="76" w:firstLine="42"/>
              <w:jc w:val="center"/>
              <w:rPr>
                <w:rFonts w:ascii="Times New Roman" w:hAnsi="Times New Roman"/>
                <w:sz w:val="28"/>
                <w:szCs w:val="28"/>
              </w:rPr>
            </w:pPr>
            <w:r w:rsidRPr="00C62D22">
              <w:rPr>
                <w:rFonts w:ascii="Times New Roman" w:hAnsi="Times New Roman"/>
                <w:sz w:val="28"/>
                <w:szCs w:val="28"/>
              </w:rPr>
              <w:t>178</w:t>
            </w:r>
          </w:p>
        </w:tc>
        <w:tc>
          <w:tcPr>
            <w:tcW w:w="1260" w:type="dxa"/>
          </w:tcPr>
          <w:p w:rsidR="0021764E" w:rsidRPr="00C62D22" w:rsidRDefault="0021764E" w:rsidP="006E5FD4">
            <w:pPr>
              <w:pStyle w:val="21"/>
              <w:spacing w:after="0" w:line="360" w:lineRule="auto"/>
              <w:ind w:left="0" w:right="76" w:hanging="23"/>
              <w:jc w:val="center"/>
              <w:rPr>
                <w:rFonts w:ascii="Times New Roman" w:hAnsi="Times New Roman"/>
                <w:sz w:val="28"/>
                <w:szCs w:val="28"/>
              </w:rPr>
            </w:pPr>
            <w:r w:rsidRPr="00C62D22">
              <w:rPr>
                <w:rFonts w:ascii="Times New Roman" w:hAnsi="Times New Roman"/>
                <w:sz w:val="28"/>
                <w:szCs w:val="28"/>
              </w:rPr>
              <w:t>35,3</w:t>
            </w:r>
          </w:p>
        </w:tc>
      </w:tr>
      <w:tr w:rsidR="0021764E" w:rsidRPr="00C62D22" w:rsidTr="006E5FD4">
        <w:tc>
          <w:tcPr>
            <w:tcW w:w="3227" w:type="dxa"/>
          </w:tcPr>
          <w:p w:rsidR="0021764E" w:rsidRPr="00C62D22" w:rsidRDefault="0021764E" w:rsidP="006E5FD4">
            <w:pPr>
              <w:pStyle w:val="21"/>
              <w:spacing w:after="0" w:line="360" w:lineRule="auto"/>
              <w:ind w:left="0" w:right="76"/>
              <w:jc w:val="both"/>
              <w:rPr>
                <w:rFonts w:ascii="Times New Roman" w:hAnsi="Times New Roman"/>
                <w:sz w:val="28"/>
                <w:szCs w:val="28"/>
              </w:rPr>
            </w:pPr>
            <w:r w:rsidRPr="00C62D22">
              <w:rPr>
                <w:rFonts w:ascii="Times New Roman" w:hAnsi="Times New Roman"/>
                <w:sz w:val="28"/>
                <w:szCs w:val="28"/>
              </w:rPr>
              <w:t>ПК ПЗ ІІI типу (n=177)</w:t>
            </w:r>
          </w:p>
        </w:tc>
        <w:tc>
          <w:tcPr>
            <w:tcW w:w="992" w:type="dxa"/>
          </w:tcPr>
          <w:p w:rsidR="0021764E" w:rsidRPr="00C62D22" w:rsidRDefault="0021764E" w:rsidP="006E5FD4">
            <w:pPr>
              <w:pStyle w:val="21"/>
              <w:spacing w:after="0" w:line="360" w:lineRule="auto"/>
              <w:ind w:left="0" w:right="76" w:firstLine="13"/>
              <w:jc w:val="center"/>
              <w:rPr>
                <w:rFonts w:ascii="Times New Roman" w:hAnsi="Times New Roman"/>
                <w:sz w:val="28"/>
                <w:szCs w:val="28"/>
              </w:rPr>
            </w:pPr>
            <w:r w:rsidRPr="00C62D22">
              <w:rPr>
                <w:rFonts w:ascii="Times New Roman" w:hAnsi="Times New Roman"/>
                <w:sz w:val="28"/>
                <w:szCs w:val="28"/>
              </w:rPr>
              <w:t>157</w:t>
            </w:r>
          </w:p>
        </w:tc>
        <w:tc>
          <w:tcPr>
            <w:tcW w:w="1109" w:type="dxa"/>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31,1</w:t>
            </w:r>
          </w:p>
        </w:tc>
        <w:tc>
          <w:tcPr>
            <w:tcW w:w="1260" w:type="dxa"/>
          </w:tcPr>
          <w:p w:rsidR="0021764E" w:rsidRPr="00C62D22" w:rsidRDefault="0021764E" w:rsidP="006E5FD4">
            <w:pPr>
              <w:pStyle w:val="21"/>
              <w:spacing w:after="0" w:line="360" w:lineRule="auto"/>
              <w:ind w:left="0" w:right="76" w:firstLine="35"/>
              <w:jc w:val="center"/>
              <w:rPr>
                <w:rFonts w:ascii="Times New Roman" w:hAnsi="Times New Roman"/>
                <w:sz w:val="28"/>
                <w:szCs w:val="28"/>
              </w:rPr>
            </w:pPr>
            <w:r w:rsidRPr="00C62D22">
              <w:rPr>
                <w:rFonts w:ascii="Times New Roman" w:hAnsi="Times New Roman"/>
                <w:sz w:val="28"/>
                <w:szCs w:val="28"/>
              </w:rPr>
              <w:t>113</w:t>
            </w:r>
          </w:p>
        </w:tc>
        <w:tc>
          <w:tcPr>
            <w:tcW w:w="1080" w:type="dxa"/>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22,4</w:t>
            </w:r>
          </w:p>
        </w:tc>
        <w:tc>
          <w:tcPr>
            <w:tcW w:w="1260" w:type="dxa"/>
          </w:tcPr>
          <w:p w:rsidR="0021764E" w:rsidRPr="00C62D22" w:rsidRDefault="0021764E" w:rsidP="006E5FD4">
            <w:pPr>
              <w:pStyle w:val="21"/>
              <w:spacing w:after="0" w:line="360" w:lineRule="auto"/>
              <w:ind w:left="0" w:right="76" w:firstLine="42"/>
              <w:jc w:val="center"/>
              <w:rPr>
                <w:rFonts w:ascii="Times New Roman" w:hAnsi="Times New Roman"/>
                <w:sz w:val="28"/>
                <w:szCs w:val="28"/>
              </w:rPr>
            </w:pPr>
            <w:r w:rsidRPr="00C62D22">
              <w:rPr>
                <w:rFonts w:ascii="Times New Roman" w:hAnsi="Times New Roman"/>
                <w:sz w:val="28"/>
                <w:szCs w:val="28"/>
              </w:rPr>
              <w:t>132</w:t>
            </w:r>
          </w:p>
        </w:tc>
        <w:tc>
          <w:tcPr>
            <w:tcW w:w="1260" w:type="dxa"/>
          </w:tcPr>
          <w:p w:rsidR="0021764E" w:rsidRPr="00C62D22" w:rsidRDefault="0021764E" w:rsidP="006E5FD4">
            <w:pPr>
              <w:pStyle w:val="21"/>
              <w:spacing w:after="0" w:line="360" w:lineRule="auto"/>
              <w:ind w:left="0" w:right="76" w:hanging="23"/>
              <w:jc w:val="center"/>
              <w:rPr>
                <w:rFonts w:ascii="Times New Roman" w:hAnsi="Times New Roman"/>
                <w:sz w:val="28"/>
                <w:szCs w:val="28"/>
              </w:rPr>
            </w:pPr>
            <w:r w:rsidRPr="00C62D22">
              <w:rPr>
                <w:rFonts w:ascii="Times New Roman" w:hAnsi="Times New Roman"/>
                <w:sz w:val="28"/>
                <w:szCs w:val="28"/>
              </w:rPr>
              <w:t>26,1</w:t>
            </w:r>
          </w:p>
        </w:tc>
      </w:tr>
      <w:tr w:rsidR="0021764E" w:rsidRPr="00C62D22" w:rsidTr="006E5FD4">
        <w:tc>
          <w:tcPr>
            <w:tcW w:w="3227" w:type="dxa"/>
          </w:tcPr>
          <w:p w:rsidR="0021764E" w:rsidRPr="00C62D22" w:rsidRDefault="0021764E" w:rsidP="006E5FD4">
            <w:pPr>
              <w:pStyle w:val="21"/>
              <w:spacing w:after="0" w:line="360" w:lineRule="auto"/>
              <w:ind w:left="0" w:right="76"/>
              <w:jc w:val="both"/>
              <w:rPr>
                <w:rFonts w:ascii="Times New Roman" w:hAnsi="Times New Roman"/>
                <w:sz w:val="28"/>
                <w:szCs w:val="28"/>
              </w:rPr>
            </w:pPr>
            <w:r w:rsidRPr="00C62D22">
              <w:rPr>
                <w:rFonts w:ascii="Times New Roman" w:hAnsi="Times New Roman"/>
                <w:sz w:val="28"/>
                <w:szCs w:val="28"/>
              </w:rPr>
              <w:t xml:space="preserve">Усього </w:t>
            </w:r>
          </w:p>
        </w:tc>
        <w:tc>
          <w:tcPr>
            <w:tcW w:w="992" w:type="dxa"/>
          </w:tcPr>
          <w:p w:rsidR="0021764E" w:rsidRPr="00C62D22" w:rsidRDefault="0021764E" w:rsidP="006E5FD4">
            <w:pPr>
              <w:pStyle w:val="21"/>
              <w:spacing w:after="0" w:line="360" w:lineRule="auto"/>
              <w:ind w:left="0" w:right="76" w:firstLine="13"/>
              <w:jc w:val="center"/>
              <w:rPr>
                <w:rFonts w:ascii="Times New Roman" w:hAnsi="Times New Roman"/>
                <w:sz w:val="28"/>
                <w:szCs w:val="28"/>
              </w:rPr>
            </w:pPr>
            <w:r w:rsidRPr="00C62D22">
              <w:rPr>
                <w:rFonts w:ascii="Times New Roman" w:hAnsi="Times New Roman"/>
                <w:sz w:val="28"/>
                <w:szCs w:val="28"/>
              </w:rPr>
              <w:t>476</w:t>
            </w:r>
          </w:p>
        </w:tc>
        <w:tc>
          <w:tcPr>
            <w:tcW w:w="1109" w:type="dxa"/>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94,3</w:t>
            </w:r>
          </w:p>
        </w:tc>
        <w:tc>
          <w:tcPr>
            <w:tcW w:w="1260" w:type="dxa"/>
          </w:tcPr>
          <w:p w:rsidR="0021764E" w:rsidRPr="00C62D22" w:rsidRDefault="0021764E" w:rsidP="006E5FD4">
            <w:pPr>
              <w:pStyle w:val="21"/>
              <w:spacing w:after="0" w:line="360" w:lineRule="auto"/>
              <w:ind w:left="0" w:right="76" w:firstLine="35"/>
              <w:jc w:val="center"/>
              <w:rPr>
                <w:rFonts w:ascii="Times New Roman" w:hAnsi="Times New Roman"/>
                <w:sz w:val="28"/>
                <w:szCs w:val="28"/>
              </w:rPr>
            </w:pPr>
            <w:r w:rsidRPr="00C62D22">
              <w:rPr>
                <w:rFonts w:ascii="Times New Roman" w:hAnsi="Times New Roman"/>
                <w:sz w:val="28"/>
                <w:szCs w:val="28"/>
              </w:rPr>
              <w:t>390</w:t>
            </w:r>
          </w:p>
        </w:tc>
        <w:tc>
          <w:tcPr>
            <w:tcW w:w="1080" w:type="dxa"/>
          </w:tcPr>
          <w:p w:rsidR="0021764E" w:rsidRPr="00C62D22" w:rsidRDefault="0021764E" w:rsidP="006E5FD4">
            <w:pPr>
              <w:pStyle w:val="21"/>
              <w:spacing w:after="0" w:line="360" w:lineRule="auto"/>
              <w:ind w:left="0" w:right="76"/>
              <w:jc w:val="center"/>
              <w:rPr>
                <w:rFonts w:ascii="Times New Roman" w:hAnsi="Times New Roman"/>
                <w:sz w:val="28"/>
                <w:szCs w:val="28"/>
              </w:rPr>
            </w:pPr>
            <w:r w:rsidRPr="00C62D22">
              <w:rPr>
                <w:rFonts w:ascii="Times New Roman" w:hAnsi="Times New Roman"/>
                <w:sz w:val="28"/>
                <w:szCs w:val="28"/>
              </w:rPr>
              <w:t>77,2</w:t>
            </w:r>
          </w:p>
        </w:tc>
        <w:tc>
          <w:tcPr>
            <w:tcW w:w="1260" w:type="dxa"/>
          </w:tcPr>
          <w:p w:rsidR="0021764E" w:rsidRPr="00C62D22" w:rsidRDefault="0021764E" w:rsidP="006E5FD4">
            <w:pPr>
              <w:pStyle w:val="21"/>
              <w:spacing w:after="0" w:line="360" w:lineRule="auto"/>
              <w:ind w:left="0" w:right="76" w:firstLine="42"/>
              <w:jc w:val="center"/>
              <w:rPr>
                <w:rFonts w:ascii="Times New Roman" w:hAnsi="Times New Roman"/>
                <w:sz w:val="28"/>
                <w:szCs w:val="28"/>
              </w:rPr>
            </w:pPr>
            <w:r w:rsidRPr="00C62D22">
              <w:rPr>
                <w:rFonts w:ascii="Times New Roman" w:hAnsi="Times New Roman"/>
                <w:sz w:val="28"/>
                <w:szCs w:val="28"/>
              </w:rPr>
              <w:t>377</w:t>
            </w:r>
          </w:p>
        </w:tc>
        <w:tc>
          <w:tcPr>
            <w:tcW w:w="1260" w:type="dxa"/>
          </w:tcPr>
          <w:p w:rsidR="0021764E" w:rsidRPr="00C62D22" w:rsidRDefault="0021764E" w:rsidP="006E5FD4">
            <w:pPr>
              <w:pStyle w:val="21"/>
              <w:spacing w:after="0" w:line="360" w:lineRule="auto"/>
              <w:ind w:left="0" w:right="76" w:hanging="23"/>
              <w:jc w:val="center"/>
              <w:rPr>
                <w:rFonts w:ascii="Times New Roman" w:hAnsi="Times New Roman"/>
                <w:sz w:val="28"/>
                <w:szCs w:val="28"/>
              </w:rPr>
            </w:pPr>
            <w:r w:rsidRPr="00C62D22">
              <w:rPr>
                <w:rFonts w:ascii="Times New Roman" w:hAnsi="Times New Roman"/>
                <w:sz w:val="28"/>
                <w:szCs w:val="28"/>
              </w:rPr>
              <w:t>74,7</w:t>
            </w:r>
          </w:p>
        </w:tc>
      </w:tr>
    </w:tbl>
    <w:p w:rsidR="0021764E" w:rsidRPr="00C62D22" w:rsidRDefault="0021764E" w:rsidP="0021764E">
      <w:pPr>
        <w:pStyle w:val="21"/>
        <w:spacing w:after="0" w:line="360" w:lineRule="auto"/>
        <w:ind w:left="0" w:right="76" w:firstLine="540"/>
        <w:jc w:val="both"/>
        <w:rPr>
          <w:rFonts w:ascii="Times New Roman" w:hAnsi="Times New Roman"/>
          <w:sz w:val="28"/>
          <w:szCs w:val="28"/>
        </w:rPr>
      </w:pPr>
    </w:p>
    <w:p w:rsidR="0021764E" w:rsidRPr="00C62D22" w:rsidRDefault="0021764E" w:rsidP="0021764E">
      <w:pPr>
        <w:pStyle w:val="21"/>
        <w:spacing w:after="0" w:line="360" w:lineRule="auto"/>
        <w:ind w:left="0" w:right="76" w:firstLine="540"/>
        <w:jc w:val="both"/>
        <w:rPr>
          <w:rFonts w:ascii="Times New Roman" w:hAnsi="Times New Roman"/>
          <w:sz w:val="28"/>
          <w:szCs w:val="28"/>
        </w:rPr>
      </w:pPr>
      <w:r w:rsidRPr="00C62D22">
        <w:rPr>
          <w:rFonts w:ascii="Times New Roman" w:hAnsi="Times New Roman"/>
          <w:sz w:val="28"/>
          <w:szCs w:val="28"/>
        </w:rPr>
        <w:t xml:space="preserve">У 476 (94,3%) хворих з ускладненими ПК ПЗ клінічна картина характеризувалася наявністю болю у верхніх відділах живота, лівому підребер’ї, яка періодично посилювалася після вживання їжі, з іррадіацією в лопатку, поперекову ділянку; наявністю в 390 (77,2%) пацієнтів диспепсичних явищ (нудота, блювота); у 377 (74,7%) хворих – загальної слабкості. </w:t>
      </w:r>
    </w:p>
    <w:p w:rsidR="0021764E" w:rsidRPr="00C62D22" w:rsidRDefault="0021764E" w:rsidP="0021764E">
      <w:pPr>
        <w:pStyle w:val="21"/>
        <w:spacing w:after="0" w:line="360" w:lineRule="auto"/>
        <w:ind w:left="0" w:right="76" w:firstLine="540"/>
        <w:jc w:val="both"/>
        <w:rPr>
          <w:rFonts w:ascii="Times New Roman" w:hAnsi="Times New Roman"/>
          <w:sz w:val="28"/>
          <w:szCs w:val="28"/>
        </w:rPr>
      </w:pPr>
      <w:r w:rsidRPr="00C62D22">
        <w:rPr>
          <w:rFonts w:ascii="Times New Roman" w:hAnsi="Times New Roman"/>
          <w:sz w:val="28"/>
          <w:szCs w:val="28"/>
        </w:rPr>
        <w:t xml:space="preserve">Також у хворих з ускладненими ПК ПЗ спостерігалися явища зовнішньосекреторної недостатності ПЗ: зменшення маси тіла – 145 (28,7%), порушення випорожнення з наявністю стеатореї, креатореї – у 182 (36%); та прояви </w:t>
      </w:r>
      <w:r w:rsidRPr="00C62D22">
        <w:rPr>
          <w:rFonts w:ascii="Times New Roman" w:hAnsi="Times New Roman"/>
          <w:sz w:val="28"/>
          <w:szCs w:val="28"/>
        </w:rPr>
        <w:lastRenderedPageBreak/>
        <w:t>внутрішньосекреторної недостатності: цукровий діабет та підвищення рівня глюкози сироватки крові – 156 (30,9%), гіпоглікемічний синдром – 72 (14,3%), наявність симптомів ураження ЦНС – 42 (8,3%).</w:t>
      </w:r>
    </w:p>
    <w:p w:rsidR="0021764E" w:rsidRPr="00C62D22" w:rsidRDefault="0021764E" w:rsidP="0021764E">
      <w:pPr>
        <w:pStyle w:val="21"/>
        <w:spacing w:after="0" w:line="360" w:lineRule="auto"/>
        <w:ind w:left="0" w:right="76" w:firstLine="540"/>
        <w:jc w:val="both"/>
        <w:rPr>
          <w:rFonts w:ascii="Times New Roman" w:hAnsi="Times New Roman"/>
          <w:sz w:val="28"/>
          <w:szCs w:val="28"/>
        </w:rPr>
      </w:pPr>
      <w:r w:rsidRPr="00C62D22">
        <w:rPr>
          <w:rFonts w:ascii="Times New Roman" w:hAnsi="Times New Roman"/>
          <w:color w:val="000000"/>
          <w:sz w:val="28"/>
          <w:szCs w:val="28"/>
        </w:rPr>
        <w:t>Усі хворі були з ускладненими ПК ПЗ. Деформація шлунка та/чи ДПК визначалася</w:t>
      </w:r>
      <w:r w:rsidRPr="00C62D22">
        <w:rPr>
          <w:rFonts w:ascii="Times New Roman" w:hAnsi="Times New Roman"/>
          <w:sz w:val="28"/>
          <w:szCs w:val="28"/>
        </w:rPr>
        <w:t xml:space="preserve"> в 172 (34,06%) хворих з ПК ПЗ, у тому числі, 13 (2,57%) – з ПК ПЗ І типу, 93 (18,4%) – з ПК ПЗ ІІ типу та 66 (13,07%) з ПК ПЗ ІІІ типу. </w:t>
      </w:r>
      <w:r w:rsidRPr="00C62D22">
        <w:rPr>
          <w:rFonts w:ascii="Times New Roman" w:hAnsi="Times New Roman"/>
          <w:color w:val="000000"/>
          <w:sz w:val="28"/>
          <w:szCs w:val="28"/>
        </w:rPr>
        <w:t>Ознаками деформації органів ТК унаслідок здавлювання ззовні були наявність диспепсичних явищ, біль переважно в епігастральній ділянці, пальпаторно – в епігастрії визначалося пухлиноподібне утворення великих розмірів.</w:t>
      </w:r>
    </w:p>
    <w:p w:rsidR="0021764E" w:rsidRPr="00C62D22" w:rsidRDefault="0021764E" w:rsidP="0021764E">
      <w:pPr>
        <w:pStyle w:val="21"/>
        <w:spacing w:after="0" w:line="360" w:lineRule="auto"/>
        <w:ind w:left="0" w:right="76" w:firstLine="540"/>
        <w:jc w:val="both"/>
        <w:rPr>
          <w:rFonts w:ascii="Times New Roman" w:hAnsi="Times New Roman"/>
          <w:color w:val="000000"/>
          <w:sz w:val="28"/>
          <w:szCs w:val="28"/>
        </w:rPr>
      </w:pPr>
      <w:r w:rsidRPr="00C62D22">
        <w:rPr>
          <w:rFonts w:ascii="Times New Roman" w:hAnsi="Times New Roman"/>
          <w:sz w:val="28"/>
          <w:szCs w:val="28"/>
        </w:rPr>
        <w:t>Нагноєння вмісту ПК ПЗ спостерігалося в 113 (22,4%) хворих з ПК ПЗ, з них у 40 (7,92%) хворих з ПК ПЗ І типу, у 54 (10,7%) – з ПК ПЗ ІІ типу, у 19 (3,76%) – з ПК ПЗ ІІІ типу. Інфікування ПК супроводжувалося розвитком синдрому загальної інтоксикації, характеризувалося підвищенням температури вище 38</w:t>
      </w:r>
      <w:r w:rsidRPr="00C62D22">
        <w:rPr>
          <w:rFonts w:ascii="Times New Roman" w:hAnsi="Times New Roman"/>
          <w:sz w:val="28"/>
          <w:szCs w:val="28"/>
          <w:vertAlign w:val="superscript"/>
        </w:rPr>
        <w:t>о</w:t>
      </w:r>
      <w:r w:rsidRPr="00C62D22">
        <w:rPr>
          <w:rFonts w:ascii="Times New Roman" w:hAnsi="Times New Roman"/>
          <w:sz w:val="28"/>
          <w:szCs w:val="28"/>
        </w:rPr>
        <w:t>С, загальною слабкістю, зниженням працездатності.</w:t>
      </w:r>
    </w:p>
    <w:p w:rsidR="0021764E" w:rsidRPr="00C62D22" w:rsidRDefault="0021764E" w:rsidP="0021764E">
      <w:pPr>
        <w:tabs>
          <w:tab w:val="left" w:pos="14570"/>
          <w:tab w:val="left" w:pos="14601"/>
        </w:tabs>
        <w:spacing w:after="0" w:line="360" w:lineRule="auto"/>
        <w:ind w:right="76" w:firstLine="540"/>
        <w:jc w:val="both"/>
        <w:rPr>
          <w:rFonts w:ascii="Times New Roman" w:hAnsi="Times New Roman" w:cs="Times New Roman"/>
          <w:sz w:val="28"/>
          <w:szCs w:val="28"/>
          <w:lang w:val="uk-UA"/>
        </w:rPr>
      </w:pPr>
      <w:r w:rsidRPr="00C62D22">
        <w:rPr>
          <w:rFonts w:ascii="Times New Roman" w:hAnsi="Times New Roman" w:cs="Times New Roman"/>
          <w:sz w:val="28"/>
          <w:szCs w:val="28"/>
          <w:lang w:val="uk-UA"/>
        </w:rPr>
        <w:t>Кровотеча в порожнину ПК спостерігалась у 90 (17,8%) хворих, з них у 13 (2,75%) – з ПК ПЗ І типу, 55 (10,89%) – з ПК ПЗ ІІ типу та 22 (4,36%) – з ПК ПЗ ІІІ типу; вона супроводжувалася блідістю шкірних покривів, зниженням артеріального тиску, з них кровотеча в порожнину ПК з її розривом – у 5 пацієнтів, кровотеча в порожнину ПК з нагноєнням її вмісту – у 4 хворих, кровотеча в поєднанні з МЖ – у 3 пацієнтів, кровотеча з перфорацією ПК – у 1 хворого.</w:t>
      </w:r>
    </w:p>
    <w:p w:rsidR="0021764E" w:rsidRPr="00C62D22" w:rsidRDefault="0021764E" w:rsidP="0021764E">
      <w:pPr>
        <w:pStyle w:val="21"/>
        <w:spacing w:after="0" w:line="360" w:lineRule="auto"/>
        <w:ind w:left="0" w:right="76" w:firstLine="540"/>
        <w:jc w:val="both"/>
        <w:rPr>
          <w:rFonts w:ascii="Times New Roman" w:hAnsi="Times New Roman"/>
          <w:color w:val="000000"/>
          <w:sz w:val="28"/>
          <w:szCs w:val="28"/>
        </w:rPr>
      </w:pPr>
      <w:r w:rsidRPr="00C62D22">
        <w:rPr>
          <w:rFonts w:ascii="Times New Roman" w:hAnsi="Times New Roman"/>
          <w:color w:val="000000"/>
          <w:sz w:val="28"/>
          <w:szCs w:val="28"/>
        </w:rPr>
        <w:t>Розрив ПК спостерігався у 24 (4,76%) хворих з ПК ПЗ, з них у 9 (1,78%) пацієнтів з ПК ПЗ І типу, у 10 (1,98%) – з ПК ПЗ ІІ типу та у 5 (1%) – з ПК ПЗ ІІІ типу. Вилив вмісту ПК у черевну порожнину характеризувався розвитком клініки гострого перитоніту зі зміною характеру болю та появою перитонеальних симптомів. Прорив ПК до органів травного каналу вважався «внутрішнім дренуванням» та був сприятливим перебігом ПК.</w:t>
      </w:r>
    </w:p>
    <w:p w:rsidR="0021764E" w:rsidRPr="00C62D22" w:rsidRDefault="0021764E" w:rsidP="0021764E">
      <w:pPr>
        <w:spacing w:after="0" w:line="360" w:lineRule="auto"/>
        <w:ind w:right="76" w:firstLine="540"/>
        <w:jc w:val="both"/>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МЖ спостерігалась </w:t>
      </w:r>
      <w:r w:rsidRPr="00C62D22">
        <w:rPr>
          <w:rFonts w:ascii="Times New Roman" w:hAnsi="Times New Roman" w:cs="Times New Roman"/>
          <w:color w:val="000000"/>
          <w:sz w:val="28"/>
          <w:szCs w:val="28"/>
          <w:lang w:val="uk-UA"/>
        </w:rPr>
        <w:t xml:space="preserve">у 97 (19,2%) хворих, з них у 4 (0,8%) – з ПК ПЗ І типу, 35 (6,93%) – з ПК ПЗ ІІ типу та 58 (11,48%) – з ПК ПЗ ІІІ типу. </w:t>
      </w:r>
      <w:r w:rsidRPr="00C62D22">
        <w:rPr>
          <w:rFonts w:ascii="Times New Roman" w:hAnsi="Times New Roman" w:cs="Times New Roman"/>
          <w:sz w:val="28"/>
          <w:szCs w:val="28"/>
          <w:lang w:val="uk-UA"/>
        </w:rPr>
        <w:t xml:space="preserve">Діагноз ПК, що ускладнена МЖ, визначали при наявності пухлиноподібного утворення в </w:t>
      </w:r>
      <w:r w:rsidRPr="00C62D22">
        <w:rPr>
          <w:rFonts w:ascii="Times New Roman" w:hAnsi="Times New Roman" w:cs="Times New Roman"/>
          <w:sz w:val="28"/>
          <w:szCs w:val="28"/>
          <w:lang w:val="uk-UA"/>
        </w:rPr>
        <w:lastRenderedPageBreak/>
        <w:t>епігастральній ділянці чи лівому підребер’ї, пожовтіння шкіри, слизових оболонок та згідно даних біохімічних та інструментальних методів дослідження.</w:t>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Нориці ускладнювали перебіг ПК ПЗ у 9 (1,78%) хворих, з них у 2 (0,4%) – з ПК ПЗ І типу та в 7 (1,38%) – з ПК ПЗ ІІІ типу.</w:t>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У хворих ПК ПЗ зустрічалися комбіновані ускладнення. Так, ПК ПЗ, ускладнені МЖ, І типу у 2 хворих супроводжувалися кровотечею в порожнину кісти, та у 2 хворих – нагноєнням.</w:t>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color w:val="000000"/>
          <w:sz w:val="28"/>
          <w:szCs w:val="28"/>
        </w:rPr>
        <w:t>Перебіг інфікованих ПК ПЗ І типу ускладнювався у 2 х пацієнтів кровотечею в порожнину кісти, у 1 хворого – перфорацією у шлунок з розвитком нориці, у 1 хворого – розривом ПК з розвитком загального перитоніту, у 4 хворих – гострим гнійним перитонітом.</w:t>
      </w:r>
      <w:r w:rsidRPr="00C62D22">
        <w:rPr>
          <w:rFonts w:ascii="Times New Roman" w:hAnsi="Times New Roman" w:cs="Times New Roman"/>
          <w:sz w:val="28"/>
          <w:szCs w:val="28"/>
        </w:rPr>
        <w:t xml:space="preserve"> ПК ПЗ, ускладнені МЖ, ІІ типу супроводжувалися нагноєнням – у 4 хворих, вірсунголітіазом та тубулярним стенозом холедоху – 7, деформацією шлунка та /або ДПК – 6, кровотечею в порожнину кісти – 5. </w:t>
      </w:r>
    </w:p>
    <w:p w:rsidR="0021764E" w:rsidRPr="00C62D22" w:rsidRDefault="0021764E" w:rsidP="0021764E">
      <w:pPr>
        <w:spacing w:after="0" w:line="360" w:lineRule="auto"/>
        <w:ind w:right="76" w:firstLine="540"/>
        <w:jc w:val="both"/>
        <w:rPr>
          <w:rFonts w:ascii="Times New Roman" w:hAnsi="Times New Roman" w:cs="Times New Roman"/>
          <w:color w:val="000000"/>
          <w:sz w:val="28"/>
          <w:szCs w:val="28"/>
        </w:rPr>
      </w:pPr>
      <w:r w:rsidRPr="00C62D22">
        <w:rPr>
          <w:rFonts w:ascii="Times New Roman" w:hAnsi="Times New Roman" w:cs="Times New Roman"/>
          <w:color w:val="000000"/>
          <w:sz w:val="28"/>
          <w:szCs w:val="28"/>
        </w:rPr>
        <w:t>Перебіг інфікованих ПК ІІ типу ускладнювався у 2-х пацієнтів – кровотечею в порожнину кісти, у 3-х – компресією органів ТК, шлунка та/або ДПК), у 1 пацієнта – розривом ПК з розвитком загального перитоніту.</w:t>
      </w:r>
    </w:p>
    <w:p w:rsidR="0021764E" w:rsidRPr="00C62D22" w:rsidRDefault="0021764E" w:rsidP="0021764E">
      <w:pPr>
        <w:spacing w:after="0" w:line="360" w:lineRule="auto"/>
        <w:ind w:right="76" w:firstLine="540"/>
        <w:jc w:val="both"/>
        <w:rPr>
          <w:rFonts w:ascii="Times New Roman" w:hAnsi="Times New Roman" w:cs="Times New Roman"/>
          <w:color w:val="000000"/>
          <w:sz w:val="28"/>
          <w:szCs w:val="28"/>
        </w:rPr>
      </w:pPr>
      <w:r w:rsidRPr="00C62D22">
        <w:rPr>
          <w:rFonts w:ascii="Times New Roman" w:hAnsi="Times New Roman" w:cs="Times New Roman"/>
          <w:sz w:val="28"/>
          <w:szCs w:val="28"/>
        </w:rPr>
        <w:t>ПК ПЗ, ускладнені МЖ, ІІІ типу супроводжувалися деформацією шлунка та/або ДПК у 13 хворих, кровотечею в порожнину – 5, нагноєнням – 1.</w:t>
      </w:r>
      <w:r w:rsidRPr="00C62D22">
        <w:rPr>
          <w:rFonts w:ascii="Times New Roman" w:hAnsi="Times New Roman" w:cs="Times New Roman"/>
          <w:color w:val="000000"/>
          <w:sz w:val="28"/>
          <w:szCs w:val="28"/>
        </w:rPr>
        <w:t xml:space="preserve"> Перебіг інфікованих ПК ІІІ типу ускладнювався у 3-х пацієнтів – компресією шлунка та /або ДПК. </w:t>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При ускладненнях ПК клініко-лабораторні показники дещо змінювалися. Так, при нагноєнні вмісту ПК ПЗ відбувалося підвищення лейкоцитозу (вище </w:t>
      </w:r>
      <w:r w:rsidRPr="00C62D22">
        <w:rPr>
          <w:rFonts w:ascii="Times New Roman" w:hAnsi="Times New Roman" w:cs="Times New Roman"/>
          <w:bCs/>
          <w:iCs/>
          <w:sz w:val="28"/>
          <w:szCs w:val="28"/>
        </w:rPr>
        <w:t xml:space="preserve">12,1 х </w:t>
      </w:r>
      <w:r w:rsidRPr="00C62D22">
        <w:rPr>
          <w:rFonts w:ascii="Times New Roman" w:hAnsi="Times New Roman" w:cs="Times New Roman"/>
          <w:sz w:val="28"/>
          <w:szCs w:val="28"/>
        </w:rPr>
        <w:t>10</w:t>
      </w:r>
      <w:r w:rsidRPr="00C62D22">
        <w:rPr>
          <w:rFonts w:ascii="Times New Roman" w:hAnsi="Times New Roman" w:cs="Times New Roman"/>
          <w:sz w:val="28"/>
          <w:szCs w:val="28"/>
          <w:vertAlign w:val="superscript"/>
        </w:rPr>
        <w:t>9</w:t>
      </w:r>
      <w:r w:rsidRPr="00C62D22">
        <w:rPr>
          <w:rFonts w:ascii="Times New Roman" w:hAnsi="Times New Roman" w:cs="Times New Roman"/>
          <w:sz w:val="28"/>
          <w:szCs w:val="28"/>
        </w:rPr>
        <w:t>/л), із зсувом лейкоцитарної формули вліво, підвищення ШОЕ.</w:t>
      </w:r>
    </w:p>
    <w:p w:rsidR="0021764E" w:rsidRPr="00C62D22" w:rsidRDefault="0021764E" w:rsidP="0021764E">
      <w:pPr>
        <w:pStyle w:val="2"/>
        <w:spacing w:after="0" w:line="360" w:lineRule="auto"/>
        <w:ind w:right="76" w:firstLine="539"/>
        <w:jc w:val="both"/>
        <w:rPr>
          <w:szCs w:val="28"/>
          <w:lang w:val="uk-UA"/>
        </w:rPr>
      </w:pPr>
      <w:r w:rsidRPr="00C62D22">
        <w:rPr>
          <w:szCs w:val="28"/>
          <w:lang w:val="uk-UA"/>
        </w:rPr>
        <w:t>Кровотеча в порожнину ПК супроводжувалася зниженням гемоглобіну (нижче 80 г/л), та зниженням рівня загального білка (нижче 60 г/л). При ПК ПЗ, ускладнених МЖ, відбувається підвищення рівнів загального білірубіну (вище 20,2 мкмоль/л) та його фракцій.</w:t>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Клініко-лабораторна характеристика хворих з різними типами ПК ПЗ наведена в табл. 3.2. </w:t>
      </w:r>
    </w:p>
    <w:p w:rsidR="0021764E" w:rsidRPr="00C62D22" w:rsidRDefault="0021764E" w:rsidP="0021764E">
      <w:pPr>
        <w:spacing w:after="0" w:line="360" w:lineRule="auto"/>
        <w:ind w:right="76" w:firstLine="540"/>
        <w:jc w:val="right"/>
        <w:outlineLvl w:val="0"/>
        <w:rPr>
          <w:rFonts w:ascii="Times New Roman" w:hAnsi="Times New Roman" w:cs="Times New Roman"/>
          <w:i/>
          <w:sz w:val="28"/>
          <w:szCs w:val="28"/>
        </w:rPr>
      </w:pPr>
    </w:p>
    <w:p w:rsidR="0021764E" w:rsidRPr="00C62D22" w:rsidRDefault="0021764E" w:rsidP="0021764E">
      <w:pPr>
        <w:spacing w:after="0" w:line="360" w:lineRule="auto"/>
        <w:ind w:right="76" w:firstLine="540"/>
        <w:jc w:val="right"/>
        <w:outlineLvl w:val="0"/>
        <w:rPr>
          <w:rFonts w:ascii="Times New Roman" w:hAnsi="Times New Roman" w:cs="Times New Roman"/>
          <w:i/>
          <w:sz w:val="28"/>
          <w:szCs w:val="28"/>
        </w:rPr>
      </w:pPr>
      <w:r w:rsidRPr="00C62D22">
        <w:rPr>
          <w:rFonts w:ascii="Times New Roman" w:hAnsi="Times New Roman" w:cs="Times New Roman"/>
          <w:i/>
          <w:sz w:val="28"/>
          <w:szCs w:val="28"/>
        </w:rPr>
        <w:lastRenderedPageBreak/>
        <w:t>Таблиця 3.2</w:t>
      </w:r>
    </w:p>
    <w:p w:rsidR="0021764E" w:rsidRPr="00C62D22" w:rsidRDefault="0021764E" w:rsidP="0021764E">
      <w:pPr>
        <w:shd w:val="clear" w:color="auto" w:fill="FFFFFF"/>
        <w:spacing w:after="0" w:line="360" w:lineRule="auto"/>
        <w:ind w:right="76" w:firstLine="540"/>
        <w:jc w:val="center"/>
        <w:outlineLvl w:val="0"/>
        <w:rPr>
          <w:rFonts w:ascii="Times New Roman" w:hAnsi="Times New Roman" w:cs="Times New Roman"/>
          <w:b/>
          <w:sz w:val="28"/>
          <w:szCs w:val="28"/>
        </w:rPr>
      </w:pPr>
      <w:r w:rsidRPr="00C62D22">
        <w:rPr>
          <w:rFonts w:ascii="Times New Roman" w:hAnsi="Times New Roman" w:cs="Times New Roman"/>
          <w:b/>
          <w:sz w:val="28"/>
          <w:szCs w:val="28"/>
        </w:rPr>
        <w:t xml:space="preserve">Клініко-лабораторна характеристика хворих ПК ПЗ </w:t>
      </w:r>
      <w:r w:rsidRPr="00C62D22">
        <w:rPr>
          <w:rFonts w:ascii="Times New Roman" w:hAnsi="Times New Roman" w:cs="Times New Roman"/>
          <w:b/>
          <w:bCs/>
          <w:iCs/>
          <w:sz w:val="28"/>
          <w:szCs w:val="28"/>
        </w:rPr>
        <w:t>(Me (Q</w:t>
      </w:r>
      <w:r w:rsidRPr="00C62D22">
        <w:rPr>
          <w:rFonts w:ascii="Times New Roman" w:hAnsi="Times New Roman" w:cs="Times New Roman"/>
          <w:b/>
          <w:bCs/>
          <w:iCs/>
          <w:sz w:val="28"/>
          <w:szCs w:val="28"/>
          <w:vertAlign w:val="subscript"/>
        </w:rPr>
        <w:t>1</w:t>
      </w:r>
      <w:r w:rsidRPr="00C62D22">
        <w:rPr>
          <w:rFonts w:ascii="Times New Roman" w:hAnsi="Times New Roman" w:cs="Times New Roman"/>
          <w:b/>
          <w:bCs/>
          <w:iCs/>
          <w:sz w:val="28"/>
          <w:szCs w:val="28"/>
        </w:rPr>
        <w:t>-Q</w:t>
      </w:r>
      <w:r w:rsidRPr="00C62D22">
        <w:rPr>
          <w:rFonts w:ascii="Times New Roman" w:hAnsi="Times New Roman" w:cs="Times New Roman"/>
          <w:b/>
          <w:bCs/>
          <w:iCs/>
          <w:sz w:val="28"/>
          <w:szCs w:val="28"/>
          <w:vertAlign w:val="subscript"/>
        </w:rPr>
        <w:t>3</w:t>
      </w:r>
      <w:r w:rsidRPr="00C62D22">
        <w:rPr>
          <w:rFonts w:ascii="Times New Roman" w:hAnsi="Times New Roman" w:cs="Times New Roman"/>
          <w:b/>
          <w:bCs/>
          <w:iCs/>
          <w:sz w:val="28"/>
          <w:szCs w:val="28"/>
        </w:rPr>
        <w:t>))</w:t>
      </w:r>
    </w:p>
    <w:tbl>
      <w:tblPr>
        <w:tblW w:w="9900" w:type="dxa"/>
        <w:tblInd w:w="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528"/>
        <w:gridCol w:w="2520"/>
        <w:gridCol w:w="1980"/>
        <w:gridCol w:w="1872"/>
      </w:tblGrid>
      <w:tr w:rsidR="0021764E" w:rsidRPr="00C62D22" w:rsidTr="006E5FD4">
        <w:tc>
          <w:tcPr>
            <w:tcW w:w="3528" w:type="dxa"/>
            <w:vMerge w:val="restart"/>
            <w:tcBorders>
              <w:top w:val="single" w:sz="4" w:space="0" w:color="000000"/>
              <w:left w:val="single" w:sz="4" w:space="0" w:color="000000"/>
              <w:bottom w:val="single" w:sz="4" w:space="0" w:color="000000"/>
              <w:right w:val="single" w:sz="4" w:space="0" w:color="000000"/>
            </w:tcBorders>
            <w:shd w:val="clear" w:color="auto" w:fill="auto"/>
          </w:tcPr>
          <w:p w:rsidR="0021764E" w:rsidRPr="00C62D22" w:rsidRDefault="0021764E" w:rsidP="006E5FD4">
            <w:pPr>
              <w:spacing w:after="0" w:line="360" w:lineRule="auto"/>
              <w:ind w:right="76"/>
              <w:rPr>
                <w:rFonts w:ascii="Times New Roman" w:hAnsi="Times New Roman" w:cs="Times New Roman"/>
                <w:bCs/>
                <w:iCs/>
                <w:sz w:val="28"/>
                <w:szCs w:val="28"/>
              </w:rPr>
            </w:pPr>
            <w:r w:rsidRPr="00C62D22">
              <w:rPr>
                <w:rFonts w:ascii="Times New Roman" w:hAnsi="Times New Roman" w:cs="Times New Roman"/>
                <w:bCs/>
                <w:iCs/>
                <w:sz w:val="28"/>
                <w:szCs w:val="28"/>
              </w:rPr>
              <w:t>Показник /контроль</w:t>
            </w:r>
          </w:p>
        </w:tc>
        <w:tc>
          <w:tcPr>
            <w:tcW w:w="6372" w:type="dxa"/>
            <w:gridSpan w:val="3"/>
            <w:tcBorders>
              <w:top w:val="single" w:sz="4" w:space="0" w:color="000000"/>
              <w:left w:val="single" w:sz="4" w:space="0" w:color="000000"/>
              <w:bottom w:val="single" w:sz="4" w:space="0" w:color="000000"/>
              <w:right w:val="single" w:sz="4" w:space="0" w:color="000000"/>
            </w:tcBorders>
            <w:shd w:val="clear" w:color="auto" w:fill="auto"/>
            <w:vAlign w:val="center"/>
          </w:tcPr>
          <w:p w:rsidR="0021764E" w:rsidRPr="00C62D22" w:rsidRDefault="0021764E" w:rsidP="006E5FD4">
            <w:pPr>
              <w:tabs>
                <w:tab w:val="left" w:pos="1352"/>
              </w:tabs>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bCs/>
                <w:iCs/>
                <w:sz w:val="28"/>
                <w:szCs w:val="28"/>
              </w:rPr>
              <w:t xml:space="preserve">Групи хворих </w:t>
            </w:r>
          </w:p>
        </w:tc>
      </w:tr>
      <w:tr w:rsidR="0021764E" w:rsidRPr="00C62D22" w:rsidTr="006E5FD4">
        <w:tc>
          <w:tcPr>
            <w:tcW w:w="3528" w:type="dxa"/>
            <w:vMerge/>
            <w:tcBorders>
              <w:top w:val="single" w:sz="4" w:space="0" w:color="000000"/>
              <w:left w:val="single" w:sz="4" w:space="0" w:color="000000"/>
              <w:bottom w:val="single" w:sz="4" w:space="0" w:color="000000"/>
              <w:right w:val="single" w:sz="4" w:space="0" w:color="000000"/>
            </w:tcBorders>
            <w:shd w:val="clear" w:color="auto" w:fill="auto"/>
            <w:vAlign w:val="center"/>
          </w:tcPr>
          <w:p w:rsidR="0021764E" w:rsidRPr="00C62D22" w:rsidRDefault="0021764E" w:rsidP="006E5FD4">
            <w:pPr>
              <w:spacing w:after="0" w:line="360" w:lineRule="auto"/>
              <w:ind w:right="76"/>
              <w:rPr>
                <w:rFonts w:ascii="Times New Roman" w:hAnsi="Times New Roman" w:cs="Times New Roman"/>
                <w:bCs/>
                <w:iCs/>
                <w:sz w:val="28"/>
                <w:szCs w:val="28"/>
              </w:rPr>
            </w:pPr>
          </w:p>
        </w:tc>
        <w:tc>
          <w:tcPr>
            <w:tcW w:w="252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tabs>
                <w:tab w:val="left" w:pos="1352"/>
              </w:tabs>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bCs/>
                <w:iCs/>
                <w:sz w:val="28"/>
                <w:szCs w:val="28"/>
              </w:rPr>
              <w:t>перша</w:t>
            </w:r>
          </w:p>
        </w:tc>
        <w:tc>
          <w:tcPr>
            <w:tcW w:w="19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bCs/>
                <w:iCs/>
                <w:sz w:val="28"/>
                <w:szCs w:val="28"/>
              </w:rPr>
              <w:t xml:space="preserve">друга </w:t>
            </w:r>
          </w:p>
        </w:tc>
        <w:tc>
          <w:tcPr>
            <w:tcW w:w="1872" w:type="dxa"/>
            <w:tcBorders>
              <w:top w:val="single" w:sz="4" w:space="0" w:color="000000"/>
              <w:left w:val="single" w:sz="4" w:space="0" w:color="000000"/>
              <w:bottom w:val="single" w:sz="4" w:space="0" w:color="000000"/>
              <w:right w:val="single" w:sz="4" w:space="0" w:color="000000"/>
            </w:tcBorders>
            <w:shd w:val="clear" w:color="auto" w:fill="auto"/>
            <w:vAlign w:val="center"/>
          </w:tcPr>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bCs/>
                <w:iCs/>
                <w:sz w:val="28"/>
                <w:szCs w:val="28"/>
              </w:rPr>
              <w:t xml:space="preserve">третя </w:t>
            </w:r>
          </w:p>
        </w:tc>
      </w:tr>
      <w:tr w:rsidR="0021764E" w:rsidRPr="00C62D22" w:rsidTr="006E5FD4">
        <w:tc>
          <w:tcPr>
            <w:tcW w:w="3528" w:type="dxa"/>
            <w:tcBorders>
              <w:top w:val="single" w:sz="4" w:space="0" w:color="000000"/>
              <w:left w:val="single" w:sz="4" w:space="0" w:color="000000"/>
              <w:bottom w:val="single" w:sz="4" w:space="0" w:color="000000"/>
              <w:right w:val="single" w:sz="4" w:space="0" w:color="000000"/>
            </w:tcBorders>
          </w:tcPr>
          <w:p w:rsidR="0021764E" w:rsidRPr="00C62D22" w:rsidRDefault="0021764E" w:rsidP="006E5FD4">
            <w:pPr>
              <w:tabs>
                <w:tab w:val="left" w:pos="3420"/>
              </w:tabs>
              <w:spacing w:after="0" w:line="360" w:lineRule="auto"/>
              <w:ind w:right="76"/>
              <w:rPr>
                <w:rFonts w:ascii="Times New Roman" w:hAnsi="Times New Roman" w:cs="Times New Roman"/>
                <w:bCs/>
                <w:iCs/>
                <w:sz w:val="28"/>
                <w:szCs w:val="28"/>
              </w:rPr>
            </w:pPr>
            <w:r w:rsidRPr="00C62D22">
              <w:rPr>
                <w:rFonts w:ascii="Times New Roman" w:hAnsi="Times New Roman" w:cs="Times New Roman"/>
                <w:bCs/>
                <w:iCs/>
                <w:sz w:val="28"/>
                <w:szCs w:val="28"/>
              </w:rPr>
              <w:t>Вік</w:t>
            </w:r>
          </w:p>
        </w:tc>
        <w:tc>
          <w:tcPr>
            <w:tcW w:w="252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tabs>
                <w:tab w:val="left" w:pos="1352"/>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43,6 (26-55)</w:t>
            </w:r>
          </w:p>
        </w:tc>
        <w:tc>
          <w:tcPr>
            <w:tcW w:w="198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45,4 (34-59)</w:t>
            </w:r>
          </w:p>
        </w:tc>
        <w:tc>
          <w:tcPr>
            <w:tcW w:w="1872"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44,2 (32-57)</w:t>
            </w:r>
          </w:p>
        </w:tc>
      </w:tr>
      <w:tr w:rsidR="0021764E" w:rsidRPr="00C62D22" w:rsidTr="006E5FD4">
        <w:tc>
          <w:tcPr>
            <w:tcW w:w="3528" w:type="dxa"/>
            <w:tcBorders>
              <w:top w:val="single" w:sz="4" w:space="0" w:color="000000"/>
              <w:left w:val="single" w:sz="4" w:space="0" w:color="000000"/>
              <w:bottom w:val="single" w:sz="4" w:space="0" w:color="000000"/>
              <w:right w:val="single" w:sz="4" w:space="0" w:color="000000"/>
            </w:tcBorders>
          </w:tcPr>
          <w:p w:rsidR="0021764E" w:rsidRPr="00C62D22" w:rsidRDefault="0021764E" w:rsidP="006E5FD4">
            <w:pPr>
              <w:tabs>
                <w:tab w:val="left" w:pos="3220"/>
              </w:tabs>
              <w:spacing w:after="0" w:line="360" w:lineRule="auto"/>
              <w:ind w:right="76"/>
              <w:rPr>
                <w:rFonts w:ascii="Times New Roman" w:hAnsi="Times New Roman" w:cs="Times New Roman"/>
                <w:sz w:val="28"/>
                <w:szCs w:val="28"/>
              </w:rPr>
            </w:pPr>
            <w:r w:rsidRPr="00C62D22">
              <w:rPr>
                <w:rFonts w:ascii="Times New Roman" w:hAnsi="Times New Roman" w:cs="Times New Roman"/>
                <w:sz w:val="28"/>
                <w:szCs w:val="28"/>
              </w:rPr>
              <w:t xml:space="preserve">Лейкоцити крові, </w:t>
            </w:r>
            <w:r w:rsidRPr="00C62D22">
              <w:rPr>
                <w:rFonts w:ascii="Times New Roman" w:hAnsi="Times New Roman" w:cs="Times New Roman"/>
                <w:sz w:val="28"/>
                <w:szCs w:val="28"/>
              </w:rPr>
              <w:sym w:font="Symbol" w:char="00B4"/>
            </w:r>
            <w:r w:rsidRPr="00C62D22">
              <w:rPr>
                <w:rFonts w:ascii="Times New Roman" w:hAnsi="Times New Roman" w:cs="Times New Roman"/>
                <w:sz w:val="28"/>
                <w:szCs w:val="28"/>
              </w:rPr>
              <w:t xml:space="preserve"> 10</w:t>
            </w:r>
            <w:r w:rsidRPr="00C62D22">
              <w:rPr>
                <w:rFonts w:ascii="Times New Roman" w:hAnsi="Times New Roman" w:cs="Times New Roman"/>
                <w:sz w:val="28"/>
                <w:szCs w:val="28"/>
                <w:vertAlign w:val="superscript"/>
              </w:rPr>
              <w:t>9</w:t>
            </w:r>
            <w:r w:rsidRPr="00C62D22">
              <w:rPr>
                <w:rFonts w:ascii="Times New Roman" w:hAnsi="Times New Roman" w:cs="Times New Roman"/>
                <w:sz w:val="28"/>
                <w:szCs w:val="28"/>
              </w:rPr>
              <w:t>/л,</w:t>
            </w:r>
          </w:p>
          <w:p w:rsidR="0021764E" w:rsidRPr="00C62D22" w:rsidRDefault="0021764E" w:rsidP="006E5FD4">
            <w:pPr>
              <w:tabs>
                <w:tab w:val="left" w:pos="3220"/>
              </w:tabs>
              <w:spacing w:after="0" w:line="360" w:lineRule="auto"/>
              <w:ind w:right="76"/>
              <w:rPr>
                <w:rFonts w:ascii="Times New Roman" w:hAnsi="Times New Roman" w:cs="Times New Roman"/>
                <w:bCs/>
                <w:iCs/>
                <w:sz w:val="28"/>
                <w:szCs w:val="28"/>
              </w:rPr>
            </w:pPr>
            <w:r w:rsidRPr="00C62D22">
              <w:rPr>
                <w:rFonts w:ascii="Times New Roman" w:hAnsi="Times New Roman" w:cs="Times New Roman"/>
                <w:sz w:val="28"/>
                <w:szCs w:val="28"/>
              </w:rPr>
              <w:t>6,23 (5,2-8,5)</w:t>
            </w:r>
          </w:p>
        </w:tc>
        <w:tc>
          <w:tcPr>
            <w:tcW w:w="252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tabs>
                <w:tab w:val="left" w:pos="1352"/>
              </w:tabs>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bCs/>
                <w:iCs/>
                <w:sz w:val="28"/>
                <w:szCs w:val="28"/>
              </w:rPr>
              <w:t xml:space="preserve">14,8 </w:t>
            </w:r>
          </w:p>
          <w:p w:rsidR="0021764E" w:rsidRPr="00C62D22" w:rsidRDefault="0021764E" w:rsidP="006E5FD4">
            <w:pPr>
              <w:tabs>
                <w:tab w:val="left" w:pos="1352"/>
              </w:tabs>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bCs/>
                <w:iCs/>
                <w:sz w:val="28"/>
                <w:szCs w:val="28"/>
              </w:rPr>
              <w:t>(12,1-18,7)*</w:t>
            </w:r>
          </w:p>
        </w:tc>
        <w:tc>
          <w:tcPr>
            <w:tcW w:w="198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9,7 </w:t>
            </w:r>
          </w:p>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(5,5-11,9)* **</w:t>
            </w:r>
          </w:p>
        </w:tc>
        <w:tc>
          <w:tcPr>
            <w:tcW w:w="1872"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8,2 </w:t>
            </w:r>
          </w:p>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(5,9-10,8)*</w:t>
            </w:r>
          </w:p>
        </w:tc>
      </w:tr>
      <w:tr w:rsidR="0021764E" w:rsidRPr="00C62D22" w:rsidTr="006E5FD4">
        <w:trPr>
          <w:trHeight w:val="1148"/>
        </w:trPr>
        <w:tc>
          <w:tcPr>
            <w:tcW w:w="3528" w:type="dxa"/>
            <w:tcBorders>
              <w:top w:val="single" w:sz="4" w:space="0" w:color="000000"/>
              <w:left w:val="single" w:sz="4" w:space="0" w:color="000000"/>
              <w:bottom w:val="single" w:sz="4" w:space="0" w:color="000000"/>
              <w:right w:val="single" w:sz="4" w:space="0" w:color="000000"/>
            </w:tcBorders>
          </w:tcPr>
          <w:p w:rsidR="0021764E" w:rsidRPr="00C62D22" w:rsidRDefault="0021764E" w:rsidP="006E5FD4">
            <w:pPr>
              <w:tabs>
                <w:tab w:val="left" w:pos="3220"/>
              </w:tabs>
              <w:spacing w:after="0" w:line="360" w:lineRule="auto"/>
              <w:ind w:right="76"/>
              <w:rPr>
                <w:rFonts w:ascii="Times New Roman" w:hAnsi="Times New Roman" w:cs="Times New Roman"/>
                <w:sz w:val="28"/>
                <w:szCs w:val="28"/>
              </w:rPr>
            </w:pPr>
            <w:r w:rsidRPr="00C62D22">
              <w:rPr>
                <w:rFonts w:ascii="Times New Roman" w:hAnsi="Times New Roman" w:cs="Times New Roman"/>
                <w:sz w:val="28"/>
                <w:szCs w:val="28"/>
              </w:rPr>
              <w:t>Амілаза крові, г х год/л,</w:t>
            </w:r>
          </w:p>
          <w:p w:rsidR="0021764E" w:rsidRPr="00C62D22" w:rsidRDefault="0021764E" w:rsidP="006E5FD4">
            <w:pPr>
              <w:tabs>
                <w:tab w:val="left" w:pos="3220"/>
              </w:tabs>
              <w:spacing w:after="0" w:line="360" w:lineRule="auto"/>
              <w:ind w:right="76"/>
              <w:rPr>
                <w:rFonts w:ascii="Times New Roman" w:hAnsi="Times New Roman" w:cs="Times New Roman"/>
                <w:bCs/>
                <w:iCs/>
                <w:sz w:val="28"/>
                <w:szCs w:val="28"/>
              </w:rPr>
            </w:pPr>
            <w:r w:rsidRPr="00C62D22">
              <w:rPr>
                <w:rFonts w:ascii="Times New Roman" w:hAnsi="Times New Roman" w:cs="Times New Roman"/>
                <w:sz w:val="28"/>
                <w:szCs w:val="28"/>
              </w:rPr>
              <w:t>17,3 (14,5-24,7)</w:t>
            </w:r>
          </w:p>
        </w:tc>
        <w:tc>
          <w:tcPr>
            <w:tcW w:w="252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tabs>
                <w:tab w:val="left" w:pos="1352"/>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64,6 </w:t>
            </w:r>
          </w:p>
          <w:p w:rsidR="0021764E" w:rsidRPr="00C62D22" w:rsidRDefault="0021764E" w:rsidP="006E5FD4">
            <w:pPr>
              <w:tabs>
                <w:tab w:val="left" w:pos="1352"/>
              </w:tabs>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(60,2-73,8)*</w:t>
            </w:r>
          </w:p>
        </w:tc>
        <w:tc>
          <w:tcPr>
            <w:tcW w:w="198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48,7 </w:t>
            </w:r>
          </w:p>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(24,7-62,1)* **</w:t>
            </w:r>
          </w:p>
        </w:tc>
        <w:tc>
          <w:tcPr>
            <w:tcW w:w="1872"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24,8 </w:t>
            </w:r>
          </w:p>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(21,1-28,9)* ***</w:t>
            </w:r>
          </w:p>
        </w:tc>
      </w:tr>
      <w:tr w:rsidR="0021764E" w:rsidRPr="00C62D22" w:rsidTr="006E5FD4">
        <w:tc>
          <w:tcPr>
            <w:tcW w:w="3528" w:type="dxa"/>
            <w:tcBorders>
              <w:top w:val="single" w:sz="4" w:space="0" w:color="000000"/>
              <w:left w:val="single" w:sz="4" w:space="0" w:color="000000"/>
              <w:bottom w:val="single" w:sz="4" w:space="0" w:color="000000"/>
              <w:right w:val="single" w:sz="4" w:space="0" w:color="000000"/>
            </w:tcBorders>
          </w:tcPr>
          <w:p w:rsidR="0021764E" w:rsidRPr="00C62D22" w:rsidRDefault="0021764E" w:rsidP="006E5FD4">
            <w:pPr>
              <w:tabs>
                <w:tab w:val="left" w:pos="3220"/>
              </w:tabs>
              <w:spacing w:after="0" w:line="360" w:lineRule="auto"/>
              <w:ind w:right="76"/>
              <w:rPr>
                <w:rFonts w:ascii="Times New Roman" w:hAnsi="Times New Roman" w:cs="Times New Roman"/>
                <w:sz w:val="28"/>
                <w:szCs w:val="28"/>
              </w:rPr>
            </w:pPr>
            <w:r w:rsidRPr="00C62D22">
              <w:rPr>
                <w:rFonts w:ascii="Times New Roman" w:hAnsi="Times New Roman" w:cs="Times New Roman"/>
                <w:sz w:val="28"/>
                <w:szCs w:val="28"/>
              </w:rPr>
              <w:t>Загальний білок, г/л,</w:t>
            </w:r>
          </w:p>
          <w:p w:rsidR="0021764E" w:rsidRPr="00C62D22" w:rsidRDefault="0021764E" w:rsidP="006E5FD4">
            <w:pPr>
              <w:tabs>
                <w:tab w:val="left" w:pos="3220"/>
              </w:tabs>
              <w:spacing w:after="0" w:line="360" w:lineRule="auto"/>
              <w:ind w:right="76"/>
              <w:rPr>
                <w:rFonts w:ascii="Times New Roman" w:hAnsi="Times New Roman" w:cs="Times New Roman"/>
                <w:bCs/>
                <w:iCs/>
                <w:sz w:val="28"/>
                <w:szCs w:val="28"/>
              </w:rPr>
            </w:pPr>
            <w:r w:rsidRPr="00C62D22">
              <w:rPr>
                <w:rFonts w:ascii="Times New Roman" w:hAnsi="Times New Roman" w:cs="Times New Roman"/>
                <w:sz w:val="28"/>
                <w:szCs w:val="28"/>
              </w:rPr>
              <w:t>75,6 (65,9-81,3)</w:t>
            </w:r>
          </w:p>
        </w:tc>
        <w:tc>
          <w:tcPr>
            <w:tcW w:w="252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tabs>
                <w:tab w:val="left" w:pos="1352"/>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63,1 </w:t>
            </w:r>
          </w:p>
          <w:p w:rsidR="0021764E" w:rsidRPr="00C62D22" w:rsidRDefault="0021764E" w:rsidP="006E5FD4">
            <w:pPr>
              <w:tabs>
                <w:tab w:val="left" w:pos="1352"/>
              </w:tabs>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(60,2-67,8)*</w:t>
            </w:r>
          </w:p>
        </w:tc>
        <w:tc>
          <w:tcPr>
            <w:tcW w:w="198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64,5 </w:t>
            </w:r>
          </w:p>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(63,3-69,4)*</w:t>
            </w:r>
          </w:p>
        </w:tc>
        <w:tc>
          <w:tcPr>
            <w:tcW w:w="1872"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65,2 </w:t>
            </w:r>
          </w:p>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(60,7-73,2)*</w:t>
            </w:r>
          </w:p>
        </w:tc>
      </w:tr>
      <w:tr w:rsidR="0021764E" w:rsidRPr="00C62D22" w:rsidTr="006E5FD4">
        <w:tc>
          <w:tcPr>
            <w:tcW w:w="3528" w:type="dxa"/>
            <w:tcBorders>
              <w:top w:val="single" w:sz="4" w:space="0" w:color="000000"/>
              <w:left w:val="single" w:sz="4" w:space="0" w:color="000000"/>
              <w:bottom w:val="single" w:sz="4" w:space="0" w:color="000000"/>
              <w:right w:val="single" w:sz="4" w:space="0" w:color="000000"/>
            </w:tcBorders>
          </w:tcPr>
          <w:p w:rsidR="0021764E" w:rsidRPr="00C62D22" w:rsidRDefault="0021764E" w:rsidP="006E5FD4">
            <w:pPr>
              <w:tabs>
                <w:tab w:val="left" w:pos="3220"/>
              </w:tabs>
              <w:spacing w:after="0" w:line="360" w:lineRule="auto"/>
              <w:ind w:right="76"/>
              <w:rPr>
                <w:rFonts w:ascii="Times New Roman" w:hAnsi="Times New Roman" w:cs="Times New Roman"/>
                <w:sz w:val="28"/>
                <w:szCs w:val="28"/>
              </w:rPr>
            </w:pPr>
            <w:r w:rsidRPr="00C62D22">
              <w:rPr>
                <w:rFonts w:ascii="Times New Roman" w:hAnsi="Times New Roman" w:cs="Times New Roman"/>
                <w:sz w:val="28"/>
                <w:szCs w:val="28"/>
              </w:rPr>
              <w:t>Загальний білірубін, мкмоль/л,</w:t>
            </w:r>
          </w:p>
          <w:p w:rsidR="0021764E" w:rsidRPr="00C62D22" w:rsidRDefault="0021764E" w:rsidP="006E5FD4">
            <w:pPr>
              <w:tabs>
                <w:tab w:val="left" w:pos="3220"/>
              </w:tabs>
              <w:spacing w:after="0" w:line="360" w:lineRule="auto"/>
              <w:ind w:right="76"/>
              <w:rPr>
                <w:rFonts w:ascii="Times New Roman" w:hAnsi="Times New Roman" w:cs="Times New Roman"/>
                <w:bCs/>
                <w:iCs/>
                <w:sz w:val="28"/>
                <w:szCs w:val="28"/>
              </w:rPr>
            </w:pPr>
            <w:r w:rsidRPr="00C62D22">
              <w:rPr>
                <w:rFonts w:ascii="Times New Roman" w:hAnsi="Times New Roman" w:cs="Times New Roman"/>
                <w:bCs/>
                <w:iCs/>
                <w:sz w:val="28"/>
                <w:szCs w:val="28"/>
              </w:rPr>
              <w:t>10,44 (9,1-16,2)</w:t>
            </w:r>
          </w:p>
        </w:tc>
        <w:tc>
          <w:tcPr>
            <w:tcW w:w="252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tabs>
                <w:tab w:val="left" w:pos="1352"/>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22,4 </w:t>
            </w:r>
          </w:p>
          <w:p w:rsidR="0021764E" w:rsidRPr="00C62D22" w:rsidRDefault="0021764E" w:rsidP="006E5FD4">
            <w:pPr>
              <w:tabs>
                <w:tab w:val="left" w:pos="1352"/>
              </w:tabs>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(14,8-34,2)*</w:t>
            </w:r>
          </w:p>
        </w:tc>
        <w:tc>
          <w:tcPr>
            <w:tcW w:w="198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27,2 </w:t>
            </w:r>
          </w:p>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(17,1-42,2)</w:t>
            </w:r>
          </w:p>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 **</w:t>
            </w:r>
          </w:p>
        </w:tc>
        <w:tc>
          <w:tcPr>
            <w:tcW w:w="1872"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44,8 </w:t>
            </w:r>
          </w:p>
          <w:p w:rsidR="0021764E" w:rsidRPr="00C62D22" w:rsidRDefault="0021764E" w:rsidP="006E5FD4">
            <w:pPr>
              <w:spacing w:after="0" w:line="360" w:lineRule="auto"/>
              <w:ind w:right="76"/>
              <w:jc w:val="center"/>
              <w:rPr>
                <w:rFonts w:ascii="Times New Roman" w:hAnsi="Times New Roman" w:cs="Times New Roman"/>
                <w:bCs/>
                <w:iCs/>
                <w:sz w:val="28"/>
                <w:szCs w:val="28"/>
              </w:rPr>
            </w:pPr>
            <w:r w:rsidRPr="00C62D22">
              <w:rPr>
                <w:rFonts w:ascii="Times New Roman" w:hAnsi="Times New Roman" w:cs="Times New Roman"/>
                <w:sz w:val="28"/>
                <w:szCs w:val="28"/>
              </w:rPr>
              <w:t>(40,6-64,5)* ***</w:t>
            </w:r>
          </w:p>
        </w:tc>
      </w:tr>
      <w:tr w:rsidR="0021764E" w:rsidRPr="00C62D22" w:rsidTr="006E5FD4">
        <w:tc>
          <w:tcPr>
            <w:tcW w:w="3528" w:type="dxa"/>
            <w:tcBorders>
              <w:top w:val="single" w:sz="4" w:space="0" w:color="000000"/>
              <w:left w:val="single" w:sz="4" w:space="0" w:color="000000"/>
              <w:bottom w:val="single" w:sz="4" w:space="0" w:color="000000"/>
              <w:right w:val="single" w:sz="4" w:space="0" w:color="000000"/>
            </w:tcBorders>
          </w:tcPr>
          <w:p w:rsidR="0021764E" w:rsidRPr="00C62D22" w:rsidRDefault="0021764E" w:rsidP="006E5FD4">
            <w:pPr>
              <w:tabs>
                <w:tab w:val="left" w:pos="3220"/>
              </w:tabs>
              <w:spacing w:after="0" w:line="360" w:lineRule="auto"/>
              <w:ind w:right="76"/>
              <w:rPr>
                <w:rFonts w:ascii="Times New Roman" w:hAnsi="Times New Roman" w:cs="Times New Roman"/>
                <w:sz w:val="28"/>
                <w:szCs w:val="28"/>
              </w:rPr>
            </w:pPr>
            <w:r w:rsidRPr="00C62D22">
              <w:rPr>
                <w:rFonts w:ascii="Times New Roman" w:hAnsi="Times New Roman" w:cs="Times New Roman"/>
                <w:sz w:val="28"/>
                <w:szCs w:val="28"/>
              </w:rPr>
              <w:t>АлАТ крові, МЕ</w:t>
            </w:r>
            <w:r w:rsidRPr="00C62D22">
              <w:rPr>
                <w:rFonts w:ascii="Times New Roman" w:hAnsi="Times New Roman" w:cs="Times New Roman"/>
                <w:sz w:val="28"/>
                <w:szCs w:val="28"/>
              </w:rPr>
              <w:sym w:font="Symbol" w:char="00B4"/>
            </w:r>
            <w:r w:rsidRPr="00C62D22">
              <w:rPr>
                <w:rFonts w:ascii="Times New Roman" w:hAnsi="Times New Roman" w:cs="Times New Roman"/>
                <w:sz w:val="28"/>
                <w:szCs w:val="28"/>
              </w:rPr>
              <w:t>л/</w:t>
            </w:r>
          </w:p>
          <w:p w:rsidR="0021764E" w:rsidRPr="00C62D22" w:rsidRDefault="0021764E" w:rsidP="006E5FD4">
            <w:pPr>
              <w:tabs>
                <w:tab w:val="left" w:pos="3220"/>
              </w:tabs>
              <w:spacing w:after="0" w:line="360" w:lineRule="auto"/>
              <w:ind w:right="76"/>
              <w:rPr>
                <w:rFonts w:ascii="Times New Roman" w:hAnsi="Times New Roman" w:cs="Times New Roman"/>
                <w:sz w:val="28"/>
                <w:szCs w:val="28"/>
              </w:rPr>
            </w:pPr>
            <w:r w:rsidRPr="00C62D22">
              <w:rPr>
                <w:rFonts w:ascii="Times New Roman" w:hAnsi="Times New Roman" w:cs="Times New Roman"/>
                <w:sz w:val="28"/>
                <w:szCs w:val="28"/>
              </w:rPr>
              <w:t>27,8 (12,4-37,8)</w:t>
            </w:r>
          </w:p>
        </w:tc>
        <w:tc>
          <w:tcPr>
            <w:tcW w:w="252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tabs>
                <w:tab w:val="left" w:pos="2000"/>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82,4 </w:t>
            </w:r>
          </w:p>
          <w:p w:rsidR="0021764E" w:rsidRPr="00C62D22" w:rsidRDefault="0021764E" w:rsidP="006E5FD4">
            <w:pPr>
              <w:tabs>
                <w:tab w:val="left" w:pos="1352"/>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(36,7-94,8)*</w:t>
            </w:r>
          </w:p>
        </w:tc>
        <w:tc>
          <w:tcPr>
            <w:tcW w:w="198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45,2 </w:t>
            </w:r>
          </w:p>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(40,2-57,3)* **</w:t>
            </w:r>
          </w:p>
        </w:tc>
        <w:tc>
          <w:tcPr>
            <w:tcW w:w="1872"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44,8 </w:t>
            </w:r>
          </w:p>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(39,9-52,7)* ***</w:t>
            </w:r>
          </w:p>
        </w:tc>
      </w:tr>
      <w:tr w:rsidR="0021764E" w:rsidRPr="00C62D22" w:rsidTr="006E5FD4">
        <w:tc>
          <w:tcPr>
            <w:tcW w:w="3528" w:type="dxa"/>
            <w:tcBorders>
              <w:top w:val="single" w:sz="4" w:space="0" w:color="000000"/>
              <w:left w:val="single" w:sz="4" w:space="0" w:color="000000"/>
              <w:bottom w:val="single" w:sz="4" w:space="0" w:color="000000"/>
              <w:right w:val="single" w:sz="4" w:space="0" w:color="000000"/>
            </w:tcBorders>
          </w:tcPr>
          <w:p w:rsidR="0021764E" w:rsidRPr="00C62D22" w:rsidRDefault="0021764E" w:rsidP="006E5FD4">
            <w:pPr>
              <w:tabs>
                <w:tab w:val="left" w:pos="3220"/>
              </w:tabs>
              <w:spacing w:after="0" w:line="360" w:lineRule="auto"/>
              <w:ind w:right="76"/>
              <w:rPr>
                <w:rFonts w:ascii="Times New Roman" w:hAnsi="Times New Roman" w:cs="Times New Roman"/>
                <w:sz w:val="28"/>
                <w:szCs w:val="28"/>
              </w:rPr>
            </w:pPr>
            <w:r w:rsidRPr="00C62D22">
              <w:rPr>
                <w:rFonts w:ascii="Times New Roman" w:hAnsi="Times New Roman" w:cs="Times New Roman"/>
                <w:sz w:val="28"/>
                <w:szCs w:val="28"/>
              </w:rPr>
              <w:t>АсАТ крові, МЕ</w:t>
            </w:r>
            <w:r w:rsidRPr="00C62D22">
              <w:rPr>
                <w:rFonts w:ascii="Times New Roman" w:hAnsi="Times New Roman" w:cs="Times New Roman"/>
                <w:sz w:val="28"/>
                <w:szCs w:val="28"/>
              </w:rPr>
              <w:sym w:font="Symbol" w:char="00B4"/>
            </w:r>
            <w:r w:rsidRPr="00C62D22">
              <w:rPr>
                <w:rFonts w:ascii="Times New Roman" w:hAnsi="Times New Roman" w:cs="Times New Roman"/>
                <w:sz w:val="28"/>
                <w:szCs w:val="28"/>
              </w:rPr>
              <w:t>л,</w:t>
            </w:r>
          </w:p>
          <w:p w:rsidR="0021764E" w:rsidRPr="00C62D22" w:rsidRDefault="0021764E" w:rsidP="006E5FD4">
            <w:pPr>
              <w:tabs>
                <w:tab w:val="left" w:pos="3220"/>
              </w:tabs>
              <w:spacing w:after="0" w:line="360" w:lineRule="auto"/>
              <w:ind w:right="76"/>
              <w:rPr>
                <w:rFonts w:ascii="Times New Roman" w:hAnsi="Times New Roman" w:cs="Times New Roman"/>
                <w:sz w:val="28"/>
                <w:szCs w:val="28"/>
              </w:rPr>
            </w:pPr>
            <w:r w:rsidRPr="00C62D22">
              <w:rPr>
                <w:rFonts w:ascii="Times New Roman" w:hAnsi="Times New Roman" w:cs="Times New Roman"/>
                <w:sz w:val="28"/>
                <w:szCs w:val="28"/>
              </w:rPr>
              <w:t xml:space="preserve">29,44(14,2-35,6) </w:t>
            </w:r>
          </w:p>
        </w:tc>
        <w:tc>
          <w:tcPr>
            <w:tcW w:w="252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tabs>
                <w:tab w:val="left" w:pos="1352"/>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95,4 </w:t>
            </w:r>
          </w:p>
          <w:p w:rsidR="0021764E" w:rsidRPr="00C62D22" w:rsidRDefault="0021764E" w:rsidP="006E5FD4">
            <w:pPr>
              <w:tabs>
                <w:tab w:val="left" w:pos="1352"/>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(87,8-102,1)* </w:t>
            </w:r>
          </w:p>
        </w:tc>
        <w:tc>
          <w:tcPr>
            <w:tcW w:w="198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97,2 </w:t>
            </w:r>
          </w:p>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(91,2-112,3)* </w:t>
            </w:r>
          </w:p>
        </w:tc>
        <w:tc>
          <w:tcPr>
            <w:tcW w:w="1872"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96,5 </w:t>
            </w:r>
          </w:p>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(92,4-105,6)*</w:t>
            </w:r>
          </w:p>
        </w:tc>
      </w:tr>
      <w:tr w:rsidR="0021764E" w:rsidRPr="00C62D22" w:rsidTr="006E5FD4">
        <w:tc>
          <w:tcPr>
            <w:tcW w:w="3528" w:type="dxa"/>
            <w:tcBorders>
              <w:top w:val="single" w:sz="4" w:space="0" w:color="000000"/>
              <w:left w:val="single" w:sz="4" w:space="0" w:color="000000"/>
              <w:bottom w:val="single" w:sz="4" w:space="0" w:color="000000"/>
              <w:right w:val="single" w:sz="4" w:space="0" w:color="000000"/>
            </w:tcBorders>
          </w:tcPr>
          <w:p w:rsidR="0021764E" w:rsidRPr="00C62D22" w:rsidRDefault="0021764E" w:rsidP="006E5FD4">
            <w:pPr>
              <w:tabs>
                <w:tab w:val="left" w:pos="3220"/>
              </w:tabs>
              <w:spacing w:after="0" w:line="360" w:lineRule="auto"/>
              <w:ind w:right="76"/>
              <w:rPr>
                <w:rFonts w:ascii="Times New Roman" w:hAnsi="Times New Roman" w:cs="Times New Roman"/>
                <w:sz w:val="28"/>
                <w:szCs w:val="28"/>
              </w:rPr>
            </w:pPr>
            <w:r w:rsidRPr="00C62D22">
              <w:rPr>
                <w:rFonts w:ascii="Times New Roman" w:hAnsi="Times New Roman" w:cs="Times New Roman"/>
                <w:sz w:val="28"/>
                <w:szCs w:val="28"/>
              </w:rPr>
              <w:t>Глюкоза крові, ммоль/л,</w:t>
            </w:r>
          </w:p>
          <w:p w:rsidR="0021764E" w:rsidRPr="00C62D22" w:rsidRDefault="0021764E" w:rsidP="006E5FD4">
            <w:pPr>
              <w:tabs>
                <w:tab w:val="left" w:pos="3220"/>
              </w:tabs>
              <w:spacing w:after="0" w:line="360" w:lineRule="auto"/>
              <w:ind w:right="76"/>
              <w:rPr>
                <w:rFonts w:ascii="Times New Roman" w:hAnsi="Times New Roman" w:cs="Times New Roman"/>
                <w:sz w:val="28"/>
                <w:szCs w:val="28"/>
              </w:rPr>
            </w:pPr>
            <w:r w:rsidRPr="00C62D22">
              <w:rPr>
                <w:rFonts w:ascii="Times New Roman" w:hAnsi="Times New Roman" w:cs="Times New Roman"/>
                <w:sz w:val="28"/>
                <w:szCs w:val="28"/>
              </w:rPr>
              <w:t>5,13 (4,1-5,9)</w:t>
            </w:r>
          </w:p>
        </w:tc>
        <w:tc>
          <w:tcPr>
            <w:tcW w:w="252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tabs>
                <w:tab w:val="left" w:pos="1352"/>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7,2 </w:t>
            </w:r>
          </w:p>
          <w:p w:rsidR="0021764E" w:rsidRPr="00C62D22" w:rsidRDefault="0021764E" w:rsidP="006E5FD4">
            <w:pPr>
              <w:tabs>
                <w:tab w:val="left" w:pos="1352"/>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(5,6-12,4)*</w:t>
            </w:r>
          </w:p>
        </w:tc>
        <w:tc>
          <w:tcPr>
            <w:tcW w:w="198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9,2 </w:t>
            </w:r>
          </w:p>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(8,7-14,3)* </w:t>
            </w:r>
          </w:p>
        </w:tc>
        <w:tc>
          <w:tcPr>
            <w:tcW w:w="1872"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7,4 </w:t>
            </w:r>
          </w:p>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(7,1-12,3)* </w:t>
            </w:r>
          </w:p>
        </w:tc>
      </w:tr>
      <w:tr w:rsidR="0021764E" w:rsidRPr="00C62D22" w:rsidTr="006E5FD4">
        <w:trPr>
          <w:trHeight w:val="1040"/>
        </w:trPr>
        <w:tc>
          <w:tcPr>
            <w:tcW w:w="3528" w:type="dxa"/>
            <w:tcBorders>
              <w:top w:val="single" w:sz="4" w:space="0" w:color="000000"/>
              <w:left w:val="single" w:sz="4" w:space="0" w:color="000000"/>
              <w:bottom w:val="single" w:sz="4" w:space="0" w:color="000000"/>
              <w:right w:val="single" w:sz="4" w:space="0" w:color="000000"/>
            </w:tcBorders>
          </w:tcPr>
          <w:p w:rsidR="0021764E" w:rsidRPr="00C62D22" w:rsidRDefault="0021764E" w:rsidP="006E5FD4">
            <w:pPr>
              <w:tabs>
                <w:tab w:val="left" w:pos="3312"/>
                <w:tab w:val="left" w:pos="3420"/>
              </w:tabs>
              <w:spacing w:after="0" w:line="360" w:lineRule="auto"/>
              <w:ind w:right="76"/>
              <w:rPr>
                <w:rFonts w:ascii="Times New Roman" w:hAnsi="Times New Roman" w:cs="Times New Roman"/>
                <w:sz w:val="28"/>
                <w:szCs w:val="28"/>
              </w:rPr>
            </w:pPr>
            <w:r w:rsidRPr="00C62D22">
              <w:rPr>
                <w:rFonts w:ascii="Times New Roman" w:hAnsi="Times New Roman" w:cs="Times New Roman"/>
                <w:sz w:val="28"/>
                <w:szCs w:val="28"/>
              </w:rPr>
              <w:t>Креатинін крові, мкмоль/л/ 71,7 (64,2-98,4)</w:t>
            </w:r>
          </w:p>
        </w:tc>
        <w:tc>
          <w:tcPr>
            <w:tcW w:w="252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tabs>
                <w:tab w:val="left" w:pos="1352"/>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85,5 </w:t>
            </w:r>
          </w:p>
          <w:p w:rsidR="0021764E" w:rsidRPr="00C62D22" w:rsidRDefault="0021764E" w:rsidP="006E5FD4">
            <w:pPr>
              <w:tabs>
                <w:tab w:val="left" w:pos="1352"/>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(78,1-115,3)*</w:t>
            </w:r>
          </w:p>
        </w:tc>
        <w:tc>
          <w:tcPr>
            <w:tcW w:w="1980"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89,5</w:t>
            </w:r>
          </w:p>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(81,3-93,8)*</w:t>
            </w:r>
          </w:p>
        </w:tc>
        <w:tc>
          <w:tcPr>
            <w:tcW w:w="1872" w:type="dxa"/>
            <w:tcBorders>
              <w:top w:val="single" w:sz="4" w:space="0" w:color="000000"/>
              <w:left w:val="single" w:sz="4" w:space="0" w:color="000000"/>
              <w:bottom w:val="single" w:sz="4" w:space="0" w:color="000000"/>
              <w:right w:val="single" w:sz="4" w:space="0" w:color="000000"/>
            </w:tcBorders>
            <w:vAlign w:val="center"/>
          </w:tcPr>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77,9</w:t>
            </w:r>
          </w:p>
          <w:p w:rsidR="0021764E" w:rsidRPr="00C62D22" w:rsidRDefault="0021764E" w:rsidP="006E5FD4">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(62,6-89,7)* ***</w:t>
            </w:r>
          </w:p>
        </w:tc>
      </w:tr>
    </w:tbl>
    <w:p w:rsidR="0021764E" w:rsidRPr="00C62D22" w:rsidRDefault="0021764E" w:rsidP="0021764E">
      <w:pPr>
        <w:pStyle w:val="2"/>
        <w:spacing w:after="0" w:line="360" w:lineRule="auto"/>
        <w:ind w:right="76" w:firstLine="539"/>
        <w:jc w:val="both"/>
        <w:rPr>
          <w:szCs w:val="28"/>
          <w:lang w:val="uk-UA"/>
        </w:rPr>
      </w:pPr>
    </w:p>
    <w:p w:rsidR="0021764E" w:rsidRPr="00C62D22" w:rsidRDefault="0021764E" w:rsidP="0021764E">
      <w:pPr>
        <w:pStyle w:val="2"/>
        <w:spacing w:after="0" w:line="360" w:lineRule="auto"/>
        <w:ind w:right="76" w:firstLine="539"/>
        <w:jc w:val="both"/>
        <w:rPr>
          <w:szCs w:val="28"/>
          <w:lang w:val="uk-UA"/>
        </w:rPr>
      </w:pPr>
      <w:r w:rsidRPr="00C62D22">
        <w:rPr>
          <w:szCs w:val="28"/>
          <w:lang w:val="uk-UA"/>
        </w:rPr>
        <w:t xml:space="preserve">Примітка: * – достовірно з контролем; ** </w:t>
      </w:r>
      <w:r w:rsidRPr="00C62D22">
        <w:rPr>
          <w:szCs w:val="28"/>
          <w:lang w:val="uk-UA"/>
        </w:rPr>
        <w:sym w:font="Symbol" w:char="002D"/>
      </w:r>
      <w:r w:rsidRPr="00C62D22">
        <w:rPr>
          <w:szCs w:val="28"/>
          <w:lang w:val="uk-UA"/>
        </w:rPr>
        <w:t xml:space="preserve"> достовірно між 1 і 2 групами; *** </w:t>
      </w:r>
      <w:r w:rsidRPr="00C62D22">
        <w:rPr>
          <w:szCs w:val="28"/>
          <w:lang w:val="uk-UA"/>
        </w:rPr>
        <w:sym w:font="Symbol" w:char="002D"/>
      </w:r>
      <w:r w:rsidRPr="00C62D22">
        <w:rPr>
          <w:szCs w:val="28"/>
          <w:lang w:val="uk-UA"/>
        </w:rPr>
        <w:t xml:space="preserve"> достовірно між 2 і 3 групами (р</w:t>
      </w:r>
      <w:r w:rsidRPr="00C62D22">
        <w:rPr>
          <w:szCs w:val="28"/>
          <w:lang w:val="uk-UA"/>
        </w:rPr>
        <w:sym w:font="Symbol" w:char="003C"/>
      </w:r>
      <w:r w:rsidRPr="00C62D22">
        <w:rPr>
          <w:szCs w:val="28"/>
          <w:lang w:val="uk-UA"/>
        </w:rPr>
        <w:t>0,05).</w:t>
      </w:r>
    </w:p>
    <w:p w:rsidR="0021764E" w:rsidRPr="00C62D22" w:rsidRDefault="0021764E" w:rsidP="0021764E">
      <w:pPr>
        <w:tabs>
          <w:tab w:val="left" w:pos="360"/>
          <w:tab w:val="left" w:leader="dot" w:pos="9105"/>
        </w:tabs>
        <w:spacing w:after="0" w:line="360" w:lineRule="auto"/>
        <w:ind w:right="74" w:firstLine="539"/>
        <w:jc w:val="both"/>
        <w:rPr>
          <w:rFonts w:ascii="Times New Roman" w:hAnsi="Times New Roman" w:cs="Times New Roman"/>
          <w:b/>
          <w:sz w:val="28"/>
          <w:szCs w:val="28"/>
        </w:rPr>
      </w:pPr>
    </w:p>
    <w:p w:rsidR="0021764E" w:rsidRPr="00C62D22" w:rsidRDefault="0021764E" w:rsidP="0021764E">
      <w:pPr>
        <w:tabs>
          <w:tab w:val="left" w:pos="360"/>
          <w:tab w:val="left" w:leader="dot" w:pos="9105"/>
        </w:tabs>
        <w:spacing w:after="0" w:line="360" w:lineRule="auto"/>
        <w:ind w:right="74" w:firstLine="539"/>
        <w:jc w:val="both"/>
        <w:rPr>
          <w:rFonts w:ascii="Times New Roman" w:hAnsi="Times New Roman" w:cs="Times New Roman"/>
          <w:b/>
          <w:sz w:val="28"/>
          <w:szCs w:val="28"/>
        </w:rPr>
      </w:pPr>
      <w:r w:rsidRPr="00C62D22">
        <w:rPr>
          <w:rFonts w:ascii="Times New Roman" w:hAnsi="Times New Roman" w:cs="Times New Roman"/>
          <w:b/>
          <w:sz w:val="28"/>
          <w:szCs w:val="28"/>
        </w:rPr>
        <w:lastRenderedPageBreak/>
        <w:t>3.2. Інструментальна діагностика</w:t>
      </w:r>
    </w:p>
    <w:p w:rsidR="0021764E" w:rsidRPr="00C62D22" w:rsidRDefault="0021764E" w:rsidP="0021764E">
      <w:pPr>
        <w:tabs>
          <w:tab w:val="left" w:pos="360"/>
          <w:tab w:val="left" w:leader="dot" w:pos="9105"/>
        </w:tabs>
        <w:spacing w:after="0" w:line="360" w:lineRule="auto"/>
        <w:ind w:right="74" w:firstLine="539"/>
        <w:jc w:val="both"/>
        <w:rPr>
          <w:rFonts w:ascii="Times New Roman" w:hAnsi="Times New Roman" w:cs="Times New Roman"/>
          <w:sz w:val="28"/>
          <w:szCs w:val="28"/>
        </w:rPr>
      </w:pPr>
    </w:p>
    <w:p w:rsidR="0021764E" w:rsidRPr="00C62D22" w:rsidRDefault="0021764E" w:rsidP="0021764E">
      <w:pPr>
        <w:tabs>
          <w:tab w:val="left" w:pos="360"/>
          <w:tab w:val="left" w:leader="dot" w:pos="9105"/>
        </w:tabs>
        <w:spacing w:after="0" w:line="360" w:lineRule="auto"/>
        <w:ind w:right="74" w:firstLine="540"/>
        <w:jc w:val="both"/>
        <w:rPr>
          <w:rFonts w:ascii="Times New Roman" w:hAnsi="Times New Roman" w:cs="Times New Roman"/>
          <w:sz w:val="28"/>
          <w:szCs w:val="28"/>
        </w:rPr>
      </w:pPr>
      <w:r w:rsidRPr="00C62D22">
        <w:rPr>
          <w:rFonts w:ascii="Times New Roman" w:hAnsi="Times New Roman" w:cs="Times New Roman"/>
          <w:sz w:val="28"/>
          <w:szCs w:val="28"/>
        </w:rPr>
        <w:t>Для вирішення завдань діагностики різних ускладнень при ПК ПЗ у всіх випадках доводилося вдаватися до використання додаткових методів інструментального дослідження [123, 126, 181]. Алгоритм діагностики ПК ПЗ наведено на рис. 3.1.</w:t>
      </w:r>
    </w:p>
    <w:p w:rsidR="0021764E" w:rsidRPr="00C62D22" w:rsidRDefault="0021764E" w:rsidP="0021764E">
      <w:pPr>
        <w:tabs>
          <w:tab w:val="left" w:pos="360"/>
          <w:tab w:val="left" w:leader="dot" w:pos="10206"/>
        </w:tabs>
        <w:spacing w:after="0" w:line="360" w:lineRule="auto"/>
        <w:ind w:right="74"/>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85" type="#_x0000_t202" style="position:absolute;left:0;text-align:left;margin-left:9pt;margin-top:21.3pt;width:189pt;height:45pt;z-index:251719680">
            <v:textbox style="mso-next-textbox:#_x0000_s1085">
              <w:txbxContent>
                <w:p w:rsidR="0021764E" w:rsidRPr="00506C3A" w:rsidRDefault="0021764E" w:rsidP="0021764E">
                  <w:pPr>
                    <w:rPr>
                      <w:rFonts w:ascii="Times New Roman" w:hAnsi="Times New Roman"/>
                      <w:sz w:val="28"/>
                      <w:szCs w:val="28"/>
                    </w:rPr>
                  </w:pPr>
                  <w:r w:rsidRPr="00506C3A">
                    <w:rPr>
                      <w:rFonts w:ascii="Times New Roman" w:hAnsi="Times New Roman"/>
                      <w:sz w:val="28"/>
                      <w:szCs w:val="28"/>
                    </w:rPr>
                    <w:t>Скарги, анамнез (наявність перенесеного приступу ГП</w:t>
                  </w:r>
                  <w:r>
                    <w:rPr>
                      <w:rFonts w:ascii="Times New Roman" w:hAnsi="Times New Roman"/>
                      <w:sz w:val="28"/>
                      <w:szCs w:val="28"/>
                    </w:rPr>
                    <w:t>)</w:t>
                  </w:r>
                  <w:r w:rsidRPr="00506C3A">
                    <w:rPr>
                      <w:rFonts w:ascii="Times New Roman" w:hAnsi="Times New Roman"/>
                      <w:sz w:val="28"/>
                      <w:szCs w:val="28"/>
                    </w:rPr>
                    <w:t xml:space="preserve"> чи ХП)</w:t>
                  </w:r>
                </w:p>
              </w:txbxContent>
            </v:textbox>
          </v:shape>
        </w:pict>
      </w:r>
      <w:r w:rsidRPr="00C62D22">
        <w:rPr>
          <w:rFonts w:ascii="Times New Roman" w:hAnsi="Times New Roman" w:cs="Times New Roman"/>
          <w:sz w:val="28"/>
          <w:szCs w:val="28"/>
        </w:rPr>
        <w:pict>
          <v:shape id="_x0000_s1067" type="#_x0000_t202" style="position:absolute;left:0;text-align:left;margin-left:3in;margin-top:21.3pt;width:270pt;height:27pt;z-index:251701248">
            <v:textbox style="mso-next-textbox:#_x0000_s1067">
              <w:txbxContent>
                <w:p w:rsidR="0021764E" w:rsidRPr="00DB0BBD" w:rsidRDefault="0021764E" w:rsidP="0021764E">
                  <w:pPr>
                    <w:jc w:val="center"/>
                    <w:rPr>
                      <w:rFonts w:ascii="Times New Roman" w:hAnsi="Times New Roman"/>
                      <w:sz w:val="28"/>
                      <w:szCs w:val="28"/>
                    </w:rPr>
                  </w:pPr>
                  <w:r w:rsidRPr="00DB0BBD">
                    <w:rPr>
                      <w:rFonts w:ascii="Times New Roman" w:hAnsi="Times New Roman"/>
                      <w:sz w:val="28"/>
                      <w:szCs w:val="28"/>
                    </w:rPr>
                    <w:t>Клініко-лабораторні методи дослідження</w:t>
                  </w:r>
                </w:p>
              </w:txbxContent>
            </v:textbox>
          </v:shape>
        </w:pict>
      </w:r>
    </w:p>
    <w:p w:rsidR="0021764E" w:rsidRPr="00C62D22" w:rsidRDefault="0021764E" w:rsidP="0021764E">
      <w:pPr>
        <w:tabs>
          <w:tab w:val="left" w:pos="360"/>
          <w:tab w:val="left" w:leader="dot" w:pos="10206"/>
        </w:tabs>
        <w:spacing w:after="0" w:line="360" w:lineRule="auto"/>
        <w:ind w:left="360" w:right="74"/>
        <w:jc w:val="both"/>
        <w:rPr>
          <w:rFonts w:ascii="Times New Roman" w:hAnsi="Times New Roman" w:cs="Times New Roman"/>
          <w:sz w:val="28"/>
          <w:szCs w:val="28"/>
        </w:rPr>
      </w:pPr>
      <w:r w:rsidRPr="00C62D22">
        <w:rPr>
          <w:rFonts w:ascii="Times New Roman" w:hAnsi="Times New Roman" w:cs="Times New Roman"/>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86" type="#_x0000_t13" style="position:absolute;left:0;text-align:left;margin-left:198pt;margin-top:0;width:18pt;height:18pt;z-index:251720704" filled="f" fillcolor="black">
            <v:fill type="pattern"/>
          </v:shape>
        </w:pict>
      </w:r>
    </w:p>
    <w:p w:rsidR="0021764E" w:rsidRPr="00C62D22" w:rsidRDefault="0021764E" w:rsidP="0021764E">
      <w:pPr>
        <w:ind w:left="360" w:right="76" w:firstLine="540"/>
        <w:rPr>
          <w:rFonts w:ascii="Times New Roman" w:hAnsi="Times New Roman" w:cs="Times New Roman"/>
          <w:sz w:val="28"/>
          <w:szCs w:val="28"/>
        </w:rPr>
      </w:pPr>
      <w:r w:rsidRPr="00C62D22">
        <w:rPr>
          <w:rFonts w:ascii="Times New Roman" w:hAnsi="Times New Roman" w:cs="Times New Roman"/>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75" type="#_x0000_t67" style="position:absolute;left:0;text-align:left;margin-left:333pt;margin-top:0;width:27pt;height:26.65pt;z-index:251709440" filled="f" fillcolor="black">
            <v:fill type="pattern"/>
            <v:textbox style="layout-flow:vertical-ideographic"/>
          </v:shape>
        </w:pict>
      </w:r>
    </w:p>
    <w:p w:rsidR="0021764E" w:rsidRPr="00C62D22" w:rsidRDefault="0021764E" w:rsidP="0021764E">
      <w:pPr>
        <w:tabs>
          <w:tab w:val="left" w:pos="360"/>
          <w:tab w:val="left" w:leader="dot" w:pos="9105"/>
        </w:tabs>
        <w:spacing w:after="0" w:line="360" w:lineRule="auto"/>
        <w:ind w:left="360" w:right="76" w:firstLine="540"/>
        <w:jc w:val="both"/>
        <w:rPr>
          <w:rFonts w:ascii="Times New Roman" w:hAnsi="Times New Roman" w:cs="Times New Roman"/>
          <w:sz w:val="28"/>
          <w:szCs w:val="28"/>
        </w:rPr>
      </w:pPr>
      <w:r w:rsidRPr="00C62D22">
        <w:rPr>
          <w:rFonts w:ascii="Times New Roman" w:hAnsi="Times New Roman" w:cs="Times New Roman"/>
          <w:sz w:val="28"/>
          <w:szCs w:val="28"/>
        </w:rPr>
        <w:pict>
          <v:shape id="_x0000_s1068" type="#_x0000_t202" style="position:absolute;left:0;text-align:left;margin-left:27pt;margin-top:1.6pt;width:459pt;height:27pt;z-index:251702272">
            <v:textbox style="mso-next-textbox:#_x0000_s1068">
              <w:txbxContent>
                <w:p w:rsidR="0021764E" w:rsidRPr="00DB0BBD" w:rsidRDefault="0021764E" w:rsidP="0021764E">
                  <w:pPr>
                    <w:jc w:val="center"/>
                    <w:rPr>
                      <w:rFonts w:ascii="Times New Roman" w:hAnsi="Times New Roman"/>
                      <w:sz w:val="28"/>
                      <w:szCs w:val="28"/>
                    </w:rPr>
                  </w:pPr>
                  <w:r w:rsidRPr="00DB0BBD">
                    <w:rPr>
                      <w:rFonts w:ascii="Times New Roman" w:hAnsi="Times New Roman"/>
                      <w:sz w:val="28"/>
                      <w:szCs w:val="28"/>
                    </w:rPr>
                    <w:t>Клінічні, лабораторні та ультрасонографічні ознаки ПК ПЗ, ГП або ХП</w:t>
                  </w:r>
                </w:p>
              </w:txbxContent>
            </v:textbox>
          </v:shape>
        </w:pict>
      </w:r>
    </w:p>
    <w:p w:rsidR="0021764E" w:rsidRPr="00C62D22" w:rsidRDefault="0021764E" w:rsidP="0021764E">
      <w:pPr>
        <w:tabs>
          <w:tab w:val="left" w:pos="360"/>
          <w:tab w:val="left" w:leader="dot" w:pos="9105"/>
        </w:tabs>
        <w:spacing w:after="0" w:line="360" w:lineRule="auto"/>
        <w:ind w:left="360" w:right="76" w:firstLine="540"/>
        <w:jc w:val="both"/>
        <w:rPr>
          <w:rFonts w:ascii="Times New Roman" w:hAnsi="Times New Roman" w:cs="Times New Roman"/>
          <w:sz w:val="28"/>
          <w:szCs w:val="28"/>
        </w:rPr>
      </w:pPr>
      <w:r w:rsidRPr="00C62D22">
        <w:rPr>
          <w:rFonts w:ascii="Times New Roman" w:hAnsi="Times New Roman" w:cs="Times New Roman"/>
          <w:sz w:val="28"/>
          <w:szCs w:val="28"/>
        </w:rPr>
        <w:pict>
          <v:shape id="_x0000_s1069" type="#_x0000_t202" style="position:absolute;left:0;text-align:left;margin-left:297pt;margin-top:15.8pt;width:189pt;height:78.65pt;z-index:251703296">
            <v:textbox style="mso-next-textbox:#_x0000_s1069">
              <w:txbxContent>
                <w:p w:rsidR="0021764E" w:rsidRPr="00DB0BBD" w:rsidRDefault="0021764E" w:rsidP="0021764E">
                  <w:pPr>
                    <w:jc w:val="center"/>
                    <w:rPr>
                      <w:rFonts w:ascii="Times New Roman" w:hAnsi="Times New Roman"/>
                      <w:sz w:val="28"/>
                      <w:szCs w:val="28"/>
                    </w:rPr>
                  </w:pPr>
                  <w:r>
                    <w:rPr>
                      <w:rFonts w:ascii="Times New Roman" w:hAnsi="Times New Roman"/>
                      <w:sz w:val="28"/>
                      <w:szCs w:val="28"/>
                    </w:rPr>
                    <w:t>Додаткові методи дослідження: МСКТ, МРТ, ЕУС, рентгенографія ОГК, ФГДС, ангіографія, ЕРХПГ</w:t>
                  </w:r>
                </w:p>
              </w:txbxContent>
            </v:textbox>
          </v:shape>
        </w:pict>
      </w:r>
      <w:r w:rsidRPr="00C62D22">
        <w:rPr>
          <w:rFonts w:ascii="Times New Roman" w:hAnsi="Times New Roman" w:cs="Times New Roman"/>
          <w:noProof/>
          <w:sz w:val="28"/>
          <w:szCs w:val="28"/>
        </w:rPr>
        <w:pict>
          <v:shape id="_x0000_s1077" type="#_x0000_t67" style="position:absolute;left:0;text-align:left;margin-left:189pt;margin-top:4.45pt;width:27pt;height:29.35pt;z-index:251711488" filled="f" fillcolor="black">
            <v:fill type="pattern"/>
            <v:textbox style="layout-flow:vertical-ideographic"/>
          </v:shape>
        </w:pict>
      </w:r>
      <w:r w:rsidRPr="00C62D22">
        <w:rPr>
          <w:rFonts w:ascii="Times New Roman" w:hAnsi="Times New Roman" w:cs="Times New Roman"/>
          <w:noProof/>
          <w:sz w:val="28"/>
          <w:szCs w:val="28"/>
        </w:rPr>
        <w:pict>
          <v:shape id="_x0000_s1076" type="#_x0000_t67" style="position:absolute;left:0;text-align:left;margin-left:63pt;margin-top:4.45pt;width:27pt;height:29.75pt;z-index:251710464" filled="f" fillcolor="black">
            <v:fill type="pattern"/>
            <v:textbox style="layout-flow:vertical-ideographic"/>
          </v:shape>
        </w:pict>
      </w:r>
    </w:p>
    <w:p w:rsidR="0021764E" w:rsidRPr="00C62D22" w:rsidRDefault="0021764E" w:rsidP="0021764E">
      <w:pPr>
        <w:tabs>
          <w:tab w:val="left" w:pos="360"/>
          <w:tab w:val="left" w:leader="dot" w:pos="9105"/>
        </w:tabs>
        <w:spacing w:after="0" w:line="360" w:lineRule="auto"/>
        <w:ind w:left="360" w:right="76" w:firstLine="540"/>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74" type="#_x0000_t202" style="position:absolute;left:0;text-align:left;margin-left:9pt;margin-top:9.65pt;width:117pt;height:63pt;z-index:251708416">
            <v:textbox style="mso-next-textbox:#_x0000_s1074">
              <w:txbxContent>
                <w:p w:rsidR="0021764E" w:rsidRPr="00D76048" w:rsidRDefault="0021764E" w:rsidP="0021764E">
                  <w:pPr>
                    <w:jc w:val="center"/>
                    <w:rPr>
                      <w:rFonts w:ascii="Times New Roman" w:hAnsi="Times New Roman"/>
                      <w:sz w:val="28"/>
                      <w:szCs w:val="28"/>
                      <w:lang w:val="en-US"/>
                    </w:rPr>
                  </w:pPr>
                  <w:r w:rsidRPr="00D76048">
                    <w:rPr>
                      <w:rFonts w:ascii="Times New Roman" w:hAnsi="Times New Roman"/>
                      <w:sz w:val="28"/>
                      <w:szCs w:val="28"/>
                    </w:rPr>
                    <w:t>Ступінь дисфункції органу SOFA</w:t>
                  </w:r>
                </w:p>
              </w:txbxContent>
            </v:textbox>
          </v:shape>
        </w:pict>
      </w:r>
      <w:r w:rsidRPr="00C62D22">
        <w:rPr>
          <w:rFonts w:ascii="Times New Roman" w:hAnsi="Times New Roman" w:cs="Times New Roman"/>
          <w:noProof/>
          <w:sz w:val="28"/>
          <w:szCs w:val="28"/>
        </w:rPr>
        <w:pict>
          <v:shape id="_x0000_s1073" type="#_x0000_t202" style="position:absolute;left:0;text-align:left;margin-left:135pt;margin-top:9.65pt;width:135pt;height:27pt;z-index:251707392" filled="f" fillcolor="silver">
            <v:fill type="pattern"/>
            <v:textbox style="mso-next-textbox:#_x0000_s1073">
              <w:txbxContent>
                <w:p w:rsidR="0021764E" w:rsidRPr="00D76048" w:rsidRDefault="0021764E" w:rsidP="0021764E">
                  <w:pPr>
                    <w:rPr>
                      <w:rFonts w:ascii="Times New Roman" w:hAnsi="Times New Roman"/>
                      <w:sz w:val="28"/>
                      <w:szCs w:val="28"/>
                    </w:rPr>
                  </w:pPr>
                  <w:r w:rsidRPr="00D76048">
                    <w:rPr>
                      <w:rFonts w:ascii="Times New Roman" w:hAnsi="Times New Roman"/>
                      <w:sz w:val="28"/>
                      <w:szCs w:val="28"/>
                    </w:rPr>
                    <w:t>Ускладнена ПК ПЗ</w:t>
                  </w:r>
                </w:p>
              </w:txbxContent>
            </v:textbox>
          </v:shape>
        </w:pict>
      </w:r>
      <w:r w:rsidRPr="00C62D22">
        <w:rPr>
          <w:rFonts w:ascii="Times New Roman" w:hAnsi="Times New Roman" w:cs="Times New Roman"/>
          <w:noProof/>
          <w:sz w:val="28"/>
          <w:szCs w:val="28"/>
        </w:rPr>
        <w:pict>
          <v:shape id="_x0000_s1078" type="#_x0000_t13" style="position:absolute;left:0;text-align:left;margin-left:270pt;margin-top:9.65pt;width:27pt;height:27pt;z-index:251712512" filled="f" fillcolor="black">
            <v:fill type="pattern"/>
          </v:shape>
        </w:pict>
      </w:r>
    </w:p>
    <w:p w:rsidR="0021764E" w:rsidRPr="00C62D22" w:rsidRDefault="0021764E" w:rsidP="0021764E">
      <w:pPr>
        <w:tabs>
          <w:tab w:val="left" w:pos="360"/>
          <w:tab w:val="left" w:leader="dot" w:pos="9105"/>
        </w:tabs>
        <w:spacing w:after="0" w:line="360" w:lineRule="auto"/>
        <w:ind w:left="360" w:right="76" w:firstLine="540"/>
        <w:jc w:val="both"/>
        <w:rPr>
          <w:rFonts w:ascii="Times New Roman" w:hAnsi="Times New Roman" w:cs="Times New Roman"/>
          <w:sz w:val="28"/>
          <w:szCs w:val="28"/>
        </w:rPr>
      </w:pPr>
    </w:p>
    <w:p w:rsidR="0021764E" w:rsidRPr="00C62D22" w:rsidRDefault="0021764E" w:rsidP="0021764E">
      <w:pPr>
        <w:tabs>
          <w:tab w:val="left" w:pos="360"/>
          <w:tab w:val="left" w:leader="dot" w:pos="9105"/>
        </w:tabs>
        <w:spacing w:after="0" w:line="360" w:lineRule="auto"/>
        <w:ind w:left="360" w:right="76" w:firstLine="540"/>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80" type="#_x0000_t67" style="position:absolute;left:0;text-align:left;margin-left:369pt;margin-top:22pt;width:36pt;height:18pt;z-index:251714560" filled="f" fillcolor="black">
            <v:fill type="pattern"/>
            <v:textbox style="layout-flow:vertical-ideographic"/>
          </v:shape>
        </w:pict>
      </w:r>
    </w:p>
    <w:p w:rsidR="0021764E" w:rsidRPr="00C62D22" w:rsidRDefault="0021764E" w:rsidP="0021764E">
      <w:pPr>
        <w:tabs>
          <w:tab w:val="left" w:pos="360"/>
          <w:tab w:val="left" w:leader="dot" w:pos="9105"/>
        </w:tabs>
        <w:spacing w:after="0" w:line="360" w:lineRule="auto"/>
        <w:ind w:left="360" w:right="76" w:firstLine="540"/>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83" type="#_x0000_t67" style="position:absolute;left:0;text-align:left;margin-left:54pt;margin-top:.7pt;width:38.25pt;height:15.15pt;z-index:251717632" filled="f" fillcolor="black">
            <v:fill type="pattern"/>
            <v:textbox style="layout-flow:vertical-ideographic"/>
          </v:shape>
        </w:pict>
      </w:r>
      <w:r w:rsidRPr="00C62D22">
        <w:rPr>
          <w:rFonts w:ascii="Times New Roman" w:hAnsi="Times New Roman" w:cs="Times New Roman"/>
          <w:sz w:val="28"/>
          <w:szCs w:val="28"/>
        </w:rPr>
        <w:pict>
          <v:shape id="_x0000_s1070" type="#_x0000_t202" style="position:absolute;left:0;text-align:left;margin-left:9pt;margin-top:15.85pt;width:477pt;height:24pt;z-index:251704320" filled="f" fillcolor="silver">
            <v:fill type="pattern"/>
            <v:textbox style="mso-next-textbox:#_x0000_s1070">
              <w:txbxContent>
                <w:p w:rsidR="0021764E" w:rsidRPr="00D76048" w:rsidRDefault="0021764E" w:rsidP="0021764E">
                  <w:pPr>
                    <w:jc w:val="center"/>
                    <w:rPr>
                      <w:rFonts w:ascii="Times New Roman" w:hAnsi="Times New Roman"/>
                      <w:sz w:val="28"/>
                      <w:szCs w:val="28"/>
                    </w:rPr>
                  </w:pPr>
                  <w:r w:rsidRPr="00DB0BBD">
                    <w:rPr>
                      <w:rFonts w:ascii="Times New Roman" w:hAnsi="Times New Roman"/>
                      <w:sz w:val="28"/>
                      <w:szCs w:val="28"/>
                    </w:rPr>
                    <w:t>Хірургічне лікування</w:t>
                  </w:r>
                  <w:r>
                    <w:rPr>
                      <w:rFonts w:ascii="Times New Roman" w:hAnsi="Times New Roman"/>
                      <w:sz w:val="28"/>
                      <w:szCs w:val="28"/>
                      <w:lang w:val="en-US"/>
                    </w:rPr>
                    <w:t xml:space="preserve"> (</w:t>
                  </w:r>
                  <w:r>
                    <w:rPr>
                      <w:rFonts w:ascii="Times New Roman" w:hAnsi="Times New Roman"/>
                      <w:sz w:val="28"/>
                      <w:szCs w:val="28"/>
                    </w:rPr>
                    <w:t>тактика «</w:t>
                  </w:r>
                  <w:r>
                    <w:rPr>
                      <w:rFonts w:ascii="Times New Roman" w:hAnsi="Times New Roman"/>
                      <w:sz w:val="28"/>
                      <w:szCs w:val="28"/>
                      <w:lang w:val="en-US"/>
                    </w:rPr>
                    <w:t>step-up approach</w:t>
                  </w:r>
                  <w:r>
                    <w:rPr>
                      <w:rFonts w:ascii="Times New Roman" w:hAnsi="Times New Roman"/>
                      <w:sz w:val="28"/>
                      <w:szCs w:val="28"/>
                    </w:rPr>
                    <w:t>»)</w:t>
                  </w:r>
                </w:p>
              </w:txbxContent>
            </v:textbox>
          </v:shape>
        </w:pict>
      </w:r>
    </w:p>
    <w:p w:rsidR="0021764E" w:rsidRPr="00C62D22" w:rsidRDefault="0021764E" w:rsidP="0021764E">
      <w:pPr>
        <w:tabs>
          <w:tab w:val="left" w:pos="360"/>
          <w:tab w:val="left" w:leader="dot" w:pos="9105"/>
        </w:tabs>
        <w:spacing w:after="0" w:line="360" w:lineRule="auto"/>
        <w:ind w:left="360" w:right="76" w:firstLine="540"/>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81" type="#_x0000_t67" style="position:absolute;left:0;text-align:left;margin-left:5in;margin-top:18.7pt;width:36pt;height:18pt;z-index:251715584" filled="f" fillcolor="black">
            <v:fill type="pattern"/>
            <v:textbox style="layout-flow:vertical-ideographic"/>
          </v:shape>
        </w:pict>
      </w:r>
      <w:r w:rsidRPr="00C62D22">
        <w:rPr>
          <w:rFonts w:ascii="Times New Roman" w:hAnsi="Times New Roman" w:cs="Times New Roman"/>
          <w:noProof/>
          <w:sz w:val="28"/>
          <w:szCs w:val="28"/>
        </w:rPr>
        <w:pict>
          <v:shape id="_x0000_s1082" type="#_x0000_t67" style="position:absolute;left:0;text-align:left;margin-left:135pt;margin-top:18.7pt;width:36pt;height:18pt;z-index:251716608" filled="f" fillcolor="black">
            <v:fill type="pattern"/>
            <v:textbox style="layout-flow:vertical-ideographic"/>
          </v:shape>
        </w:pict>
      </w:r>
    </w:p>
    <w:p w:rsidR="0021764E" w:rsidRPr="00C62D22" w:rsidRDefault="0021764E" w:rsidP="0021764E">
      <w:pPr>
        <w:tabs>
          <w:tab w:val="left" w:pos="360"/>
          <w:tab w:val="left" w:leader="dot" w:pos="9105"/>
        </w:tabs>
        <w:spacing w:after="0" w:line="360" w:lineRule="auto"/>
        <w:ind w:left="360" w:right="76" w:firstLine="540"/>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84" type="#_x0000_t13" style="position:absolute;left:0;text-align:left;margin-left:243pt;margin-top:12.55pt;width:45pt;height:27pt;z-index:251718656" filled="f" fillcolor="black">
            <v:fill type="pattern"/>
          </v:shape>
        </w:pict>
      </w:r>
      <w:r w:rsidRPr="00C62D22">
        <w:rPr>
          <w:rFonts w:ascii="Times New Roman" w:hAnsi="Times New Roman" w:cs="Times New Roman"/>
          <w:sz w:val="28"/>
          <w:szCs w:val="28"/>
        </w:rPr>
        <w:pict>
          <v:shape id="_x0000_s1071" type="#_x0000_t202" style="position:absolute;left:0;text-align:left;margin-left:1in;margin-top:12.55pt;width:171pt;height:30pt;z-index:251705344">
            <v:textbox style="mso-next-textbox:#_x0000_s1071">
              <w:txbxContent>
                <w:p w:rsidR="0021764E" w:rsidRPr="00DB0BBD" w:rsidRDefault="0021764E" w:rsidP="0021764E">
                  <w:pPr>
                    <w:jc w:val="center"/>
                    <w:rPr>
                      <w:rFonts w:ascii="Times New Roman" w:hAnsi="Times New Roman"/>
                      <w:sz w:val="28"/>
                      <w:szCs w:val="28"/>
                    </w:rPr>
                  </w:pPr>
                  <w:r w:rsidRPr="00DB0BBD">
                    <w:rPr>
                      <w:rFonts w:ascii="Times New Roman" w:hAnsi="Times New Roman"/>
                      <w:sz w:val="28"/>
                      <w:szCs w:val="28"/>
                    </w:rPr>
                    <w:t>Мініінвазивні методи</w:t>
                  </w:r>
                </w:p>
              </w:txbxContent>
            </v:textbox>
          </v:shape>
        </w:pict>
      </w:r>
      <w:r w:rsidRPr="00C62D22">
        <w:rPr>
          <w:rFonts w:ascii="Times New Roman" w:hAnsi="Times New Roman" w:cs="Times New Roman"/>
          <w:sz w:val="28"/>
          <w:szCs w:val="28"/>
        </w:rPr>
        <w:pict>
          <v:shape id="_x0000_s1072" type="#_x0000_t202" style="position:absolute;left:0;text-align:left;margin-left:4in;margin-top:12.55pt;width:171pt;height:30pt;z-index:251706368">
            <v:textbox style="mso-next-textbox:#_x0000_s1072">
              <w:txbxContent>
                <w:p w:rsidR="0021764E" w:rsidRPr="00DB0BBD" w:rsidRDefault="0021764E" w:rsidP="0021764E">
                  <w:pPr>
                    <w:jc w:val="center"/>
                    <w:rPr>
                      <w:rFonts w:ascii="Times New Roman" w:hAnsi="Times New Roman"/>
                      <w:sz w:val="28"/>
                      <w:szCs w:val="28"/>
                    </w:rPr>
                  </w:pPr>
                  <w:r w:rsidRPr="00DB0BBD">
                    <w:rPr>
                      <w:rFonts w:ascii="Times New Roman" w:hAnsi="Times New Roman"/>
                      <w:sz w:val="28"/>
                      <w:szCs w:val="28"/>
                    </w:rPr>
                    <w:t>Лапаро</w:t>
                  </w:r>
                  <w:r>
                    <w:rPr>
                      <w:rFonts w:ascii="Times New Roman" w:hAnsi="Times New Roman"/>
                      <w:sz w:val="28"/>
                      <w:szCs w:val="28"/>
                    </w:rPr>
                    <w:t>то</w:t>
                  </w:r>
                  <w:r w:rsidRPr="00DB0BBD">
                    <w:rPr>
                      <w:rFonts w:ascii="Times New Roman" w:hAnsi="Times New Roman"/>
                      <w:sz w:val="28"/>
                      <w:szCs w:val="28"/>
                    </w:rPr>
                    <w:t>мія</w:t>
                  </w:r>
                </w:p>
              </w:txbxContent>
            </v:textbox>
          </v:shape>
        </w:pict>
      </w:r>
    </w:p>
    <w:p w:rsidR="0021764E" w:rsidRPr="00C62D22" w:rsidRDefault="0021764E" w:rsidP="0021764E">
      <w:pPr>
        <w:tabs>
          <w:tab w:val="left" w:pos="360"/>
          <w:tab w:val="left" w:leader="dot" w:pos="9105"/>
        </w:tabs>
        <w:spacing w:after="0" w:line="360" w:lineRule="auto"/>
        <w:ind w:right="76"/>
        <w:jc w:val="both"/>
        <w:rPr>
          <w:rFonts w:ascii="Times New Roman" w:hAnsi="Times New Roman" w:cs="Times New Roman"/>
          <w:sz w:val="28"/>
          <w:szCs w:val="28"/>
        </w:rPr>
      </w:pPr>
    </w:p>
    <w:p w:rsidR="0021764E" w:rsidRPr="00C62D22" w:rsidRDefault="0021764E" w:rsidP="0021764E">
      <w:pPr>
        <w:tabs>
          <w:tab w:val="left" w:pos="360"/>
          <w:tab w:val="left" w:leader="dot" w:pos="9105"/>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79" type="#_x0000_t202" style="position:absolute;left:0;text-align:left;margin-left:18pt;margin-top:5.95pt;width:486.05pt;height:29.75pt;z-index:251713536" stroked="f">
            <v:textbox style="mso-next-textbox:#_x0000_s1079">
              <w:txbxContent>
                <w:p w:rsidR="0021764E" w:rsidRPr="00845CDC" w:rsidRDefault="0021764E" w:rsidP="0021764E">
                  <w:pPr>
                    <w:jc w:val="right"/>
                    <w:rPr>
                      <w:rFonts w:ascii="Times New Roman" w:hAnsi="Times New Roman"/>
                      <w:sz w:val="28"/>
                      <w:szCs w:val="28"/>
                    </w:rPr>
                  </w:pPr>
                  <w:r w:rsidRPr="00845CDC">
                    <w:rPr>
                      <w:rFonts w:ascii="Times New Roman" w:hAnsi="Times New Roman"/>
                      <w:sz w:val="28"/>
                      <w:szCs w:val="28"/>
                    </w:rPr>
                    <w:t>Рис. 3.1. Алгоритм діагностики ускладнених ПК ПЗ</w:t>
                  </w:r>
                </w:p>
              </w:txbxContent>
            </v:textbox>
          </v:shape>
        </w:pict>
      </w:r>
    </w:p>
    <w:p w:rsidR="0021764E" w:rsidRPr="00C62D22" w:rsidRDefault="0021764E" w:rsidP="0021764E">
      <w:pPr>
        <w:tabs>
          <w:tab w:val="left" w:pos="360"/>
          <w:tab w:val="left" w:leader="dot" w:pos="9105"/>
        </w:tabs>
        <w:spacing w:after="0" w:line="360" w:lineRule="auto"/>
        <w:ind w:right="76"/>
        <w:jc w:val="both"/>
        <w:rPr>
          <w:rFonts w:ascii="Times New Roman" w:hAnsi="Times New Roman" w:cs="Times New Roman"/>
          <w:sz w:val="28"/>
          <w:szCs w:val="28"/>
        </w:rPr>
      </w:pPr>
    </w:p>
    <w:p w:rsidR="0021764E" w:rsidRPr="00C62D22" w:rsidRDefault="0021764E" w:rsidP="0021764E">
      <w:pPr>
        <w:tabs>
          <w:tab w:val="left" w:pos="360"/>
          <w:tab w:val="left" w:leader="dot" w:pos="9105"/>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На цей час одним з інформативних методів дослідження ПК ПЗ та суміжних з ними органів є УЗД, яке є скринінг-методом при діагностиці ускладнень ПК [53, 63, 66, 112, 120, 132, 134, 149, 177, 179, 366]. </w:t>
      </w:r>
      <w:r w:rsidRPr="00C62D22">
        <w:rPr>
          <w:rFonts w:ascii="Times New Roman" w:hAnsi="Times New Roman" w:cs="Times New Roman"/>
          <w:spacing w:val="-2"/>
          <w:sz w:val="28"/>
          <w:szCs w:val="28"/>
        </w:rPr>
        <w:t xml:space="preserve">Ультрасонографічними ознаками ПК ПЗ були: інтраорганна локалізація, «правильна» сферична або овальна форма, рівний край (86,2%), дистальне акустичне посилення (90,7%), а також крайове затінення внаслідок критичного кута відображення (у 52,1%). Загальна чутливість методу в діагностиці ускладнених ПК ПЗ становила 67,3%, специфічність – 98,7%. </w:t>
      </w:r>
      <w:r w:rsidRPr="00C62D22">
        <w:rPr>
          <w:rFonts w:ascii="Times New Roman" w:hAnsi="Times New Roman" w:cs="Times New Roman"/>
          <w:sz w:val="28"/>
          <w:szCs w:val="28"/>
        </w:rPr>
        <w:t xml:space="preserve">Діагноз ПК ПЗ І типу встановлювали при наявності рідинного скупчення в паренхімі ПЗ, оточеного гарно відмежованою стінкою, яка пов’язана з панкреатичним паренхіматозним некрозом, що існує не менш ніж 4 тижні від провокуючого </w:t>
      </w:r>
      <w:r w:rsidRPr="00C62D22">
        <w:rPr>
          <w:rFonts w:ascii="Times New Roman" w:hAnsi="Times New Roman" w:cs="Times New Roman"/>
          <w:sz w:val="28"/>
          <w:szCs w:val="28"/>
        </w:rPr>
        <w:lastRenderedPageBreak/>
        <w:t xml:space="preserve">епізоду ГП [43, 121, 181]. Середній розмір ПК ПЗ І типу був у межах </w:t>
      </w:r>
      <w:smartTag w:uri="urn:schemas-microsoft-com:office:smarttags" w:element="metricconverter">
        <w:smartTagPr>
          <w:attr w:name="ProductID" w:val="10,28 см"/>
        </w:smartTagPr>
        <w:smartTag w:uri="urn:schemas-microsoft-com:office:smarttags" w:element="State">
          <w:smartTagPr>
            <w:attr w:name="ProductID" w:val="10,28 см"/>
          </w:smartTagPr>
          <w:r w:rsidRPr="00C62D22">
            <w:rPr>
              <w:rFonts w:ascii="Times New Roman" w:hAnsi="Times New Roman" w:cs="Times New Roman"/>
              <w:sz w:val="28"/>
              <w:szCs w:val="28"/>
            </w:rPr>
            <w:t>10,28 см</w:t>
          </w:r>
        </w:smartTag>
      </w:smartTag>
      <w:r w:rsidRPr="00C62D22">
        <w:rPr>
          <w:rFonts w:ascii="Times New Roman" w:hAnsi="Times New Roman" w:cs="Times New Roman"/>
          <w:sz w:val="28"/>
          <w:szCs w:val="28"/>
        </w:rPr>
        <w:t xml:space="preserve"> (від 6 до </w:t>
      </w:r>
      <w:smartTag w:uri="urn:schemas-microsoft-com:office:smarttags" w:element="metricconverter">
        <w:smartTagPr>
          <w:attr w:name="ProductID" w:val="18 см"/>
        </w:smartTagPr>
        <w:smartTag w:uri="urn:schemas-microsoft-com:office:smarttags" w:element="State">
          <w:smartTagPr>
            <w:attr w:name="ProductID" w:val="18 см"/>
          </w:smartTagPr>
          <w:r w:rsidRPr="00C62D22">
            <w:rPr>
              <w:rFonts w:ascii="Times New Roman" w:hAnsi="Times New Roman" w:cs="Times New Roman"/>
              <w:sz w:val="28"/>
              <w:szCs w:val="28"/>
            </w:rPr>
            <w:t>18 см</w:t>
          </w:r>
        </w:smartTag>
      </w:smartTag>
      <w:r w:rsidRPr="00C62D22">
        <w:rPr>
          <w:rFonts w:ascii="Times New Roman" w:hAnsi="Times New Roman" w:cs="Times New Roman"/>
          <w:sz w:val="28"/>
          <w:szCs w:val="28"/>
        </w:rPr>
        <w:t xml:space="preserve">), також їх характеризувала інтраорганна локалізація, сферична або овальна форма, рівні, чіткі краї (у 92%), дистальне акустичне посилення в 92%, а також у більшості відсотків крайове затінення внаслідок критичного кута відображення (рис.3.2). </w:t>
      </w:r>
    </w:p>
    <w:p w:rsidR="0021764E" w:rsidRPr="00C62D22" w:rsidRDefault="0021764E" w:rsidP="0021764E">
      <w:pPr>
        <w:tabs>
          <w:tab w:val="left" w:pos="360"/>
          <w:tab w:val="left" w:leader="dot" w:pos="9105"/>
        </w:tabs>
        <w:spacing w:after="0" w:line="240" w:lineRule="auto"/>
        <w:ind w:right="76"/>
        <w:jc w:val="both"/>
        <w:rPr>
          <w:rFonts w:ascii="Times New Roman" w:hAnsi="Times New Roman" w:cs="Times New Roman"/>
          <w:sz w:val="28"/>
          <w:szCs w:val="28"/>
        </w:rPr>
      </w:pPr>
    </w:p>
    <w:p w:rsidR="0021764E" w:rsidRPr="00C62D22" w:rsidRDefault="0021764E" w:rsidP="0021764E">
      <w:pPr>
        <w:spacing w:after="0" w:line="360" w:lineRule="auto"/>
        <w:ind w:right="76"/>
        <w:jc w:val="center"/>
        <w:rPr>
          <w:rFonts w:ascii="Times New Roman" w:hAnsi="Times New Roman" w:cs="Times New Roman"/>
          <w:sz w:val="28"/>
          <w:szCs w:val="28"/>
          <w:lang w:bidi="or-IN"/>
        </w:rPr>
      </w:pPr>
      <w:r w:rsidRPr="00C62D22">
        <w:rPr>
          <w:rFonts w:ascii="Times New Roman" w:hAnsi="Times New Roman" w:cs="Times New Roman"/>
          <w:sz w:val="28"/>
          <w:szCs w:val="28"/>
          <w:lang w:eastAsia="en-US" w:bidi="or-IN"/>
        </w:rPr>
        <w:pict>
          <v:shape id="_x0000_s1055" type="#_x0000_t202" style="position:absolute;left:0;text-align:left;margin-left:0;margin-top:202.35pt;width:495pt;height:34.15pt;z-index:251688960;mso-width-relative:margin;mso-height-relative:margin" stroked="f">
            <v:textbox style="mso-next-textbox:#_x0000_s1055">
              <w:txbxContent>
                <w:p w:rsidR="0021764E" w:rsidRPr="004751BC" w:rsidRDefault="0021764E" w:rsidP="0021764E">
                  <w:pPr>
                    <w:widowControl w:val="0"/>
                    <w:tabs>
                      <w:tab w:val="left" w:pos="9360"/>
                    </w:tabs>
                    <w:spacing w:after="0" w:line="360" w:lineRule="auto"/>
                    <w:ind w:right="57" w:firstLine="539"/>
                    <w:jc w:val="right"/>
                    <w:rPr>
                      <w:rFonts w:ascii="Times New Roman" w:hAnsi="Times New Roman"/>
                      <w:spacing w:val="-8"/>
                      <w:sz w:val="28"/>
                      <w:szCs w:val="28"/>
                    </w:rPr>
                  </w:pPr>
                  <w:r w:rsidRPr="004F51B1">
                    <w:rPr>
                      <w:rFonts w:ascii="Times New Roman" w:hAnsi="Times New Roman"/>
                      <w:spacing w:val="-8"/>
                      <w:sz w:val="28"/>
                      <w:szCs w:val="28"/>
                    </w:rPr>
                    <w:t>Рис.</w:t>
                  </w:r>
                  <w:r>
                    <w:rPr>
                      <w:rFonts w:ascii="Times New Roman" w:hAnsi="Times New Roman"/>
                      <w:spacing w:val="-8"/>
                      <w:sz w:val="28"/>
                      <w:szCs w:val="28"/>
                    </w:rPr>
                    <w:t xml:space="preserve"> </w:t>
                  </w:r>
                  <w:r w:rsidRPr="004F51B1">
                    <w:rPr>
                      <w:rFonts w:ascii="Times New Roman" w:hAnsi="Times New Roman"/>
                      <w:spacing w:val="-8"/>
                      <w:sz w:val="28"/>
                      <w:szCs w:val="28"/>
                    </w:rPr>
                    <w:t>3.</w:t>
                  </w:r>
                  <w:r>
                    <w:rPr>
                      <w:rFonts w:ascii="Times New Roman" w:hAnsi="Times New Roman"/>
                      <w:spacing w:val="-8"/>
                      <w:sz w:val="28"/>
                      <w:szCs w:val="28"/>
                    </w:rPr>
                    <w:t>2</w:t>
                  </w:r>
                  <w:r w:rsidRPr="004F51B1">
                    <w:rPr>
                      <w:rFonts w:ascii="Times New Roman" w:hAnsi="Times New Roman"/>
                      <w:spacing w:val="-8"/>
                      <w:sz w:val="28"/>
                      <w:szCs w:val="28"/>
                    </w:rPr>
                    <w:t>. П</w:t>
                  </w:r>
                  <w:r>
                    <w:rPr>
                      <w:rFonts w:ascii="Times New Roman" w:hAnsi="Times New Roman"/>
                      <w:spacing w:val="-8"/>
                      <w:sz w:val="28"/>
                      <w:szCs w:val="28"/>
                    </w:rPr>
                    <w:t>К голівки ПЗ</w:t>
                  </w:r>
                  <w:r w:rsidRPr="004F51B1">
                    <w:rPr>
                      <w:rFonts w:ascii="Times New Roman" w:hAnsi="Times New Roman"/>
                      <w:spacing w:val="-8"/>
                      <w:sz w:val="28"/>
                      <w:szCs w:val="28"/>
                    </w:rPr>
                    <w:t xml:space="preserve"> І типу</w:t>
                  </w:r>
                  <w:r>
                    <w:rPr>
                      <w:rFonts w:ascii="Times New Roman" w:hAnsi="Times New Roman"/>
                      <w:spacing w:val="-8"/>
                      <w:sz w:val="28"/>
                      <w:szCs w:val="28"/>
                    </w:rPr>
                    <w:t xml:space="preserve"> (указана стрілкою)</w:t>
                  </w:r>
                  <w:r w:rsidRPr="004F51B1">
                    <w:rPr>
                      <w:rFonts w:ascii="Times New Roman" w:hAnsi="Times New Roman"/>
                      <w:spacing w:val="-8"/>
                      <w:sz w:val="28"/>
                      <w:szCs w:val="28"/>
                    </w:rPr>
                    <w:t xml:space="preserve"> </w:t>
                  </w:r>
                  <w:r>
                    <w:rPr>
                      <w:rFonts w:ascii="Times New Roman" w:hAnsi="Times New Roman"/>
                      <w:spacing w:val="-8"/>
                      <w:sz w:val="28"/>
                      <w:szCs w:val="28"/>
                    </w:rPr>
                    <w:t>на фоні</w:t>
                  </w:r>
                  <w:r w:rsidRPr="004F51B1">
                    <w:rPr>
                      <w:rFonts w:ascii="Times New Roman" w:hAnsi="Times New Roman"/>
                      <w:spacing w:val="-8"/>
                      <w:sz w:val="28"/>
                      <w:szCs w:val="28"/>
                    </w:rPr>
                    <w:t xml:space="preserve"> </w:t>
                  </w:r>
                  <w:r>
                    <w:rPr>
                      <w:rFonts w:ascii="Times New Roman" w:hAnsi="Times New Roman"/>
                      <w:spacing w:val="-8"/>
                      <w:sz w:val="28"/>
                      <w:szCs w:val="28"/>
                    </w:rPr>
                    <w:t xml:space="preserve">ГП </w:t>
                  </w:r>
                </w:p>
                <w:p w:rsidR="0021764E" w:rsidRDefault="0021764E" w:rsidP="0021764E"/>
              </w:txbxContent>
            </v:textbox>
          </v:shape>
        </w:pict>
      </w:r>
      <w:r w:rsidRPr="00C62D22">
        <w:rPr>
          <w:rFonts w:ascii="Times New Roman" w:hAnsi="Times New Roman" w:cs="Times New Roman"/>
          <w:sz w:val="28"/>
          <w:szCs w:val="28"/>
          <w:lang w:bidi="or-IN"/>
        </w:rPr>
        <w:t xml:space="preserve">     </w:t>
      </w:r>
      <w:r w:rsidRPr="00C62D22">
        <w:rPr>
          <w:rFonts w:ascii="Times New Roman" w:hAnsi="Times New Roman" w:cs="Times New Roman"/>
          <w:noProof/>
          <w:sz w:val="28"/>
          <w:szCs w:val="28"/>
        </w:rPr>
        <w:drawing>
          <wp:inline distT="0" distB="0" distL="0" distR="0">
            <wp:extent cx="4191000" cy="2514600"/>
            <wp:effectExtent l="1905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 cstate="print"/>
                    <a:srcRect/>
                    <a:stretch>
                      <a:fillRect/>
                    </a:stretch>
                  </pic:blipFill>
                  <pic:spPr bwMode="auto">
                    <a:xfrm>
                      <a:off x="0" y="0"/>
                      <a:ext cx="4191000" cy="2514600"/>
                    </a:xfrm>
                    <a:prstGeom prst="rect">
                      <a:avLst/>
                    </a:prstGeom>
                    <a:noFill/>
                    <a:ln w="9525">
                      <a:noFill/>
                      <a:miter lim="800000"/>
                      <a:headEnd/>
                      <a:tailEnd/>
                    </a:ln>
                  </pic:spPr>
                </pic:pic>
              </a:graphicData>
            </a:graphic>
          </wp:inline>
        </w:drawing>
      </w:r>
    </w:p>
    <w:p w:rsidR="0021764E" w:rsidRPr="00C62D22" w:rsidRDefault="0021764E" w:rsidP="0021764E">
      <w:pPr>
        <w:spacing w:after="0" w:line="240" w:lineRule="auto"/>
        <w:ind w:right="76"/>
        <w:jc w:val="both"/>
        <w:rPr>
          <w:rFonts w:ascii="Times New Roman" w:hAnsi="Times New Roman" w:cs="Times New Roman"/>
          <w:sz w:val="28"/>
          <w:szCs w:val="28"/>
          <w:lang w:bidi="or-IN"/>
        </w:rPr>
      </w:pPr>
    </w:p>
    <w:p w:rsidR="0021764E" w:rsidRPr="00C62D22" w:rsidRDefault="0021764E" w:rsidP="0021764E">
      <w:pPr>
        <w:spacing w:after="0" w:line="240" w:lineRule="auto"/>
        <w:ind w:right="76"/>
        <w:jc w:val="both"/>
        <w:rPr>
          <w:rFonts w:ascii="Times New Roman" w:hAnsi="Times New Roman" w:cs="Times New Roman"/>
          <w:sz w:val="28"/>
          <w:szCs w:val="28"/>
          <w:lang w:bidi="or-IN"/>
        </w:rPr>
      </w:pPr>
    </w:p>
    <w:p w:rsidR="0021764E" w:rsidRPr="00C62D22" w:rsidRDefault="0021764E" w:rsidP="0021764E">
      <w:pPr>
        <w:spacing w:after="0" w:line="360" w:lineRule="auto"/>
        <w:ind w:right="76" w:firstLine="540"/>
        <w:jc w:val="both"/>
        <w:rPr>
          <w:rFonts w:ascii="Times New Roman" w:hAnsi="Times New Roman" w:cs="Times New Roman"/>
          <w:sz w:val="28"/>
          <w:szCs w:val="28"/>
          <w:lang w:bidi="or-IN"/>
        </w:rPr>
      </w:pPr>
      <w:r w:rsidRPr="00C62D22">
        <w:rPr>
          <w:rFonts w:ascii="Times New Roman" w:hAnsi="Times New Roman" w:cs="Times New Roman"/>
          <w:sz w:val="28"/>
          <w:szCs w:val="28"/>
          <w:lang w:bidi="or-IN"/>
        </w:rPr>
        <w:t xml:space="preserve">МСКТ, порівняно з УЗД, є більш точним методом визначення розмірів, кількості ПК, локалізації ПК та їх ускладнень (рис. 3.3). </w:t>
      </w:r>
    </w:p>
    <w:p w:rsidR="0021764E" w:rsidRPr="00C62D22" w:rsidRDefault="0021764E" w:rsidP="0021764E">
      <w:pPr>
        <w:spacing w:after="0" w:line="360" w:lineRule="auto"/>
        <w:ind w:right="76" w:firstLine="540"/>
        <w:jc w:val="both"/>
        <w:rPr>
          <w:rFonts w:ascii="Times New Roman" w:hAnsi="Times New Roman" w:cs="Times New Roman"/>
          <w:sz w:val="28"/>
          <w:szCs w:val="28"/>
          <w:lang w:bidi="or-IN"/>
        </w:rPr>
      </w:pPr>
      <w:r w:rsidRPr="00C62D22">
        <w:rPr>
          <w:rFonts w:ascii="Times New Roman" w:hAnsi="Times New Roman" w:cs="Times New Roman"/>
          <w:sz w:val="28"/>
          <w:szCs w:val="28"/>
        </w:rPr>
        <w:pict>
          <v:shape id="_x0000_s1035" type="#_x0000_t202" style="position:absolute;left:0;text-align:left;margin-left:99pt;margin-top:9.6pt;width:400.95pt;height:208.1pt;z-index:251668480;mso-wrap-style:none" stroked="f">
            <v:textbox style="mso-next-textbox:#_x0000_s1035">
              <w:txbxContent>
                <w:p w:rsidR="0021764E" w:rsidRDefault="0021764E" w:rsidP="0021764E">
                  <w:pPr>
                    <w:ind w:left="-1440" w:right="440"/>
                    <w:jc w:val="center"/>
                  </w:pPr>
                  <w:r>
                    <w:rPr>
                      <w:rFonts w:ascii="Times New Roman" w:hAnsi="Times New Roman"/>
                      <w:noProof/>
                      <w:color w:val="FF0000"/>
                      <w:sz w:val="28"/>
                      <w:szCs w:val="28"/>
                    </w:rPr>
                    <w:drawing>
                      <wp:inline distT="0" distB="0" distL="0" distR="0">
                        <wp:extent cx="4600575" cy="2562225"/>
                        <wp:effectExtent l="19050" t="0" r="9525" b="0"/>
                        <wp:docPr id="35" name="Рисунок 3" descr="псевдокиста 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псевдокиста 02"/>
                                <pic:cNvPicPr>
                                  <a:picLocks noChangeAspect="1" noChangeArrowheads="1"/>
                                </pic:cNvPicPr>
                              </pic:nvPicPr>
                              <pic:blipFill>
                                <a:blip r:embed="rId12"/>
                                <a:srcRect l="749"/>
                                <a:stretch>
                                  <a:fillRect/>
                                </a:stretch>
                              </pic:blipFill>
                              <pic:spPr bwMode="auto">
                                <a:xfrm>
                                  <a:off x="0" y="0"/>
                                  <a:ext cx="4600575" cy="2562225"/>
                                </a:xfrm>
                                <a:prstGeom prst="rect">
                                  <a:avLst/>
                                </a:prstGeom>
                                <a:solidFill>
                                  <a:srgbClr val="FFFF00"/>
                                </a:solidFill>
                                <a:ln w="9525">
                                  <a:noFill/>
                                  <a:miter lim="800000"/>
                                  <a:headEnd/>
                                  <a:tailEnd/>
                                </a:ln>
                              </pic:spPr>
                            </pic:pic>
                          </a:graphicData>
                        </a:graphic>
                      </wp:inline>
                    </w:drawing>
                  </w:r>
                </w:p>
              </w:txbxContent>
            </v:textbox>
          </v:shape>
        </w:pict>
      </w:r>
    </w:p>
    <w:p w:rsidR="0021764E" w:rsidRPr="00C62D22" w:rsidRDefault="0021764E" w:rsidP="0021764E">
      <w:pPr>
        <w:spacing w:after="0" w:line="360" w:lineRule="auto"/>
        <w:ind w:right="76"/>
        <w:jc w:val="both"/>
        <w:rPr>
          <w:rFonts w:ascii="Times New Roman" w:hAnsi="Times New Roman" w:cs="Times New Roman"/>
          <w:sz w:val="28"/>
          <w:szCs w:val="28"/>
          <w:lang w:bidi="or-IN"/>
        </w:rPr>
      </w:pPr>
    </w:p>
    <w:p w:rsidR="0021764E" w:rsidRPr="00C62D22" w:rsidRDefault="0021764E" w:rsidP="0021764E">
      <w:pPr>
        <w:spacing w:after="0" w:line="360" w:lineRule="auto"/>
        <w:ind w:right="76" w:firstLine="540"/>
        <w:jc w:val="both"/>
        <w:rPr>
          <w:rFonts w:ascii="Times New Roman" w:hAnsi="Times New Roman" w:cs="Times New Roman"/>
          <w:sz w:val="28"/>
          <w:szCs w:val="28"/>
          <w:lang w:bidi="or-IN"/>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center"/>
        <w:rPr>
          <w:rFonts w:ascii="Times New Roman" w:hAnsi="Times New Roman" w:cs="Times New Roman"/>
          <w:color w:val="FF0000"/>
          <w:sz w:val="28"/>
          <w:szCs w:val="28"/>
        </w:rPr>
      </w:pPr>
    </w:p>
    <w:p w:rsidR="0021764E" w:rsidRPr="00C62D22" w:rsidRDefault="0021764E" w:rsidP="0021764E">
      <w:pPr>
        <w:spacing w:after="0" w:line="360" w:lineRule="auto"/>
        <w:ind w:right="76" w:firstLine="540"/>
        <w:jc w:val="center"/>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pict>
          <v:shape id="_x0000_s1036" type="#_x0000_t202" style="position:absolute;left:0;text-align:left;margin-left:0;margin-top:19.45pt;width:506.15pt;height:76.75pt;z-index:251669504" stroked="f">
            <v:textbox style="mso-next-textbox:#_x0000_s1036">
              <w:txbxContent>
                <w:p w:rsidR="0021764E" w:rsidRPr="00911823" w:rsidRDefault="0021764E" w:rsidP="0021764E">
                  <w:pPr>
                    <w:spacing w:after="0" w:line="360" w:lineRule="auto"/>
                    <w:jc w:val="right"/>
                    <w:rPr>
                      <w:rFonts w:ascii="Times New Roman" w:hAnsi="Times New Roman"/>
                      <w:sz w:val="28"/>
                      <w:szCs w:val="28"/>
                    </w:rPr>
                  </w:pPr>
                  <w:r>
                    <w:rPr>
                      <w:rFonts w:ascii="Times New Roman" w:hAnsi="Times New Roman"/>
                      <w:sz w:val="28"/>
                      <w:szCs w:val="28"/>
                    </w:rPr>
                    <w:t>Рис. 3.3</w:t>
                  </w:r>
                  <w:r w:rsidRPr="00CA6847">
                    <w:rPr>
                      <w:rFonts w:ascii="Times New Roman" w:hAnsi="Times New Roman"/>
                      <w:sz w:val="28"/>
                      <w:szCs w:val="28"/>
                    </w:rPr>
                    <w:t xml:space="preserve">. </w:t>
                  </w:r>
                  <w:r w:rsidRPr="00956E70">
                    <w:rPr>
                      <w:rFonts w:ascii="Times New Roman" w:hAnsi="Times New Roman"/>
                      <w:sz w:val="28"/>
                      <w:szCs w:val="28"/>
                    </w:rPr>
                    <w:t>М</w:t>
                  </w:r>
                  <w:r w:rsidRPr="00CA6847">
                    <w:rPr>
                      <w:rFonts w:ascii="Times New Roman" w:hAnsi="Times New Roman"/>
                      <w:sz w:val="28"/>
                      <w:szCs w:val="28"/>
                    </w:rPr>
                    <w:t xml:space="preserve">СКТ хворого К., </w:t>
                  </w:r>
                  <w:r>
                    <w:rPr>
                      <w:rFonts w:ascii="Times New Roman" w:hAnsi="Times New Roman"/>
                      <w:sz w:val="28"/>
                      <w:szCs w:val="28"/>
                    </w:rPr>
                    <w:t>60 років, з панкреонекрозом: 1 – ПК</w:t>
                  </w:r>
                  <w:r w:rsidRPr="00CA6847">
                    <w:rPr>
                      <w:rFonts w:ascii="Times New Roman" w:hAnsi="Times New Roman"/>
                      <w:sz w:val="28"/>
                      <w:szCs w:val="28"/>
                    </w:rPr>
                    <w:t xml:space="preserve"> тіла</w:t>
                  </w:r>
                  <w:r>
                    <w:rPr>
                      <w:rFonts w:ascii="Times New Roman" w:hAnsi="Times New Roman"/>
                      <w:sz w:val="28"/>
                      <w:szCs w:val="28"/>
                    </w:rPr>
                    <w:t>-хвоста ПЗ, 2 –</w:t>
                  </w:r>
                  <w:r w:rsidRPr="00CA6847">
                    <w:rPr>
                      <w:rFonts w:ascii="Times New Roman" w:hAnsi="Times New Roman"/>
                      <w:sz w:val="28"/>
                      <w:szCs w:val="28"/>
                    </w:rPr>
                    <w:t xml:space="preserve"> невелика ділянка з</w:t>
                  </w:r>
                  <w:r>
                    <w:rPr>
                      <w:rFonts w:ascii="Times New Roman" w:hAnsi="Times New Roman"/>
                      <w:sz w:val="28"/>
                      <w:szCs w:val="28"/>
                    </w:rPr>
                    <w:t xml:space="preserve">береженої паренхіми ПЗ, 3 – </w:t>
                  </w:r>
                  <w:r w:rsidRPr="00CA6847">
                    <w:rPr>
                      <w:rFonts w:ascii="Times New Roman" w:hAnsi="Times New Roman"/>
                      <w:sz w:val="28"/>
                      <w:szCs w:val="28"/>
                    </w:rPr>
                    <w:t>локально розширена Вірсун</w:t>
                  </w:r>
                  <w:r>
                    <w:rPr>
                      <w:rFonts w:ascii="Times New Roman" w:hAnsi="Times New Roman"/>
                      <w:sz w:val="28"/>
                      <w:szCs w:val="28"/>
                    </w:rPr>
                    <w:t>гова протока в голівці ПЗ</w:t>
                  </w:r>
                </w:p>
                <w:p w:rsidR="0021764E" w:rsidRDefault="0021764E" w:rsidP="0021764E">
                  <w:pPr>
                    <w:jc w:val="center"/>
                  </w:pPr>
                </w:p>
              </w:txbxContent>
            </v:textbox>
          </v:shape>
        </w:pict>
      </w:r>
    </w:p>
    <w:p w:rsidR="0021764E" w:rsidRPr="00C62D22" w:rsidRDefault="0021764E" w:rsidP="0021764E">
      <w:pPr>
        <w:spacing w:after="0" w:line="360" w:lineRule="auto"/>
        <w:ind w:right="76"/>
        <w:jc w:val="both"/>
        <w:rPr>
          <w:rFonts w:ascii="Times New Roman" w:hAnsi="Times New Roman" w:cs="Times New Roman"/>
          <w:sz w:val="28"/>
          <w:szCs w:val="28"/>
        </w:rPr>
      </w:pPr>
      <w:r w:rsidRPr="00C62D22">
        <w:rPr>
          <w:rFonts w:ascii="Times New Roman" w:hAnsi="Times New Roman" w:cs="Times New Roman"/>
          <w:sz w:val="28"/>
          <w:szCs w:val="28"/>
        </w:rPr>
        <w:t xml:space="preserve">                           </w:t>
      </w: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На рис. 3.3. наведено прицільну криволінійну МСКТ реконструкцію пацієнта К., 60 років, з наслідками панкреонекрозу та великою ПК тіла-хвоста ПЗ. </w:t>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При трансабдомінальному УЗД ПК ІІ типу являли собою кругле утворення з гладенькою чіткою стінкою та дистальним акустичним посиленням, з наявністю ехогенних секвестрів у порожнині при постнекротичних ПК [267, 354]. Тонка стінка поступово потовщувалася та візуалізувалася при УЗД у вигляді гіперехогенного обідка навколо ехонегативної ділянки, що свідчило про хронізацію процесу та розвиток ПК ІІ типу (рис. 3.4 А, Б.). </w:t>
      </w:r>
    </w:p>
    <w:p w:rsidR="0021764E" w:rsidRPr="00C62D22" w:rsidRDefault="0021764E" w:rsidP="0021764E">
      <w:pPr>
        <w:widowControl w:val="0"/>
        <w:tabs>
          <w:tab w:val="left" w:pos="8651"/>
        </w:tabs>
        <w:spacing w:after="0" w:line="24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pict>
          <v:shape id="_x0000_s1037" type="#_x0000_t202" style="position:absolute;left:0;text-align:left;margin-left:9pt;margin-top:419.85pt;width:496pt;height:98.85pt;z-index:251670528" stroked="f">
            <v:textbox style="mso-next-textbox:#_x0000_s1037">
              <w:txbxContent>
                <w:p w:rsidR="0021764E" w:rsidRDefault="0021764E" w:rsidP="0021764E">
                  <w:pPr>
                    <w:widowControl w:val="0"/>
                    <w:tabs>
                      <w:tab w:val="left" w:pos="8651"/>
                    </w:tabs>
                    <w:spacing w:after="0" w:line="360" w:lineRule="auto"/>
                    <w:ind w:right="57"/>
                    <w:jc w:val="right"/>
                    <w:rPr>
                      <w:rFonts w:ascii="Times New Roman" w:hAnsi="Times New Roman"/>
                      <w:sz w:val="28"/>
                      <w:szCs w:val="28"/>
                    </w:rPr>
                  </w:pPr>
                  <w:r w:rsidRPr="007C4513">
                    <w:rPr>
                      <w:rFonts w:ascii="Times New Roman" w:hAnsi="Times New Roman"/>
                      <w:sz w:val="28"/>
                      <w:szCs w:val="28"/>
                    </w:rPr>
                    <w:t>Рис.</w:t>
                  </w:r>
                  <w:r>
                    <w:rPr>
                      <w:rFonts w:ascii="Times New Roman" w:hAnsi="Times New Roman"/>
                      <w:sz w:val="28"/>
                      <w:szCs w:val="28"/>
                    </w:rPr>
                    <w:t xml:space="preserve"> </w:t>
                  </w:r>
                  <w:r w:rsidRPr="007C4513">
                    <w:rPr>
                      <w:rFonts w:ascii="Times New Roman" w:hAnsi="Times New Roman"/>
                      <w:sz w:val="28"/>
                      <w:szCs w:val="28"/>
                    </w:rPr>
                    <w:t>3</w:t>
                  </w:r>
                  <w:r>
                    <w:rPr>
                      <w:rFonts w:ascii="Times New Roman" w:hAnsi="Times New Roman"/>
                      <w:sz w:val="28"/>
                      <w:szCs w:val="28"/>
                    </w:rPr>
                    <w:t>.4. Ехограми хворих з ПК ПЗ: А) ПК тіла-хвоста ПЗ на фоні</w:t>
                  </w:r>
                  <w:r w:rsidRPr="007C4513">
                    <w:rPr>
                      <w:rFonts w:ascii="Times New Roman" w:hAnsi="Times New Roman"/>
                      <w:sz w:val="28"/>
                      <w:szCs w:val="28"/>
                    </w:rPr>
                    <w:t xml:space="preserve"> хронічного </w:t>
                  </w:r>
                  <w:r>
                    <w:rPr>
                      <w:rFonts w:ascii="Times New Roman" w:hAnsi="Times New Roman"/>
                      <w:sz w:val="28"/>
                      <w:szCs w:val="28"/>
                    </w:rPr>
                    <w:t xml:space="preserve">фіброзного </w:t>
                  </w:r>
                  <w:r w:rsidRPr="007C4513">
                    <w:rPr>
                      <w:rFonts w:ascii="Times New Roman" w:hAnsi="Times New Roman"/>
                      <w:sz w:val="28"/>
                      <w:szCs w:val="28"/>
                    </w:rPr>
                    <w:t>панкреатиту</w:t>
                  </w:r>
                  <w:r>
                    <w:rPr>
                      <w:rFonts w:ascii="Times New Roman" w:hAnsi="Times New Roman"/>
                      <w:sz w:val="28"/>
                      <w:szCs w:val="28"/>
                    </w:rPr>
                    <w:t xml:space="preserve"> (указана стрілкою); Б) ПК голівки ПЗ на тлі псевдотуморозного ХП (указана стрілкою)</w:t>
                  </w:r>
                </w:p>
                <w:p w:rsidR="0021764E" w:rsidRDefault="0021764E" w:rsidP="0021764E"/>
              </w:txbxContent>
            </v:textbox>
          </v:shape>
        </w:pict>
      </w: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210050" cy="5324475"/>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cstate="print"/>
                    <a:srcRect/>
                    <a:stretch>
                      <a:fillRect/>
                    </a:stretch>
                  </pic:blipFill>
                  <pic:spPr bwMode="auto">
                    <a:xfrm>
                      <a:off x="0" y="0"/>
                      <a:ext cx="4210050" cy="5324475"/>
                    </a:xfrm>
                    <a:prstGeom prst="rect">
                      <a:avLst/>
                    </a:prstGeom>
                    <a:noFill/>
                    <a:ln w="9525">
                      <a:noFill/>
                      <a:miter lim="800000"/>
                      <a:headEnd/>
                      <a:tailEnd/>
                    </a:ln>
                  </pic:spPr>
                </pic:pic>
              </a:graphicData>
            </a:graphic>
          </wp:inline>
        </w:drawing>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Наявність ділянок кальцифікації стінки ПК була ознакою довготривалого існування ПК. Кальцинати мали вигляд яскравих гіперехогенних вкраплень, які при </w:t>
      </w:r>
      <w:r w:rsidRPr="00C62D22">
        <w:rPr>
          <w:rFonts w:ascii="Times New Roman" w:hAnsi="Times New Roman" w:cs="Times New Roman"/>
          <w:sz w:val="28"/>
          <w:szCs w:val="28"/>
        </w:rPr>
        <w:lastRenderedPageBreak/>
        <w:t xml:space="preserve">розмірах більш ніж </w:t>
      </w:r>
      <w:smartTag w:uri="urn:schemas-microsoft-com:office:smarttags" w:element="State">
        <w:smartTagPr>
          <w:attr w:name="ProductID" w:val="1 мм"/>
        </w:smartTagPr>
        <w:r w:rsidRPr="00C62D22">
          <w:rPr>
            <w:rFonts w:ascii="Times New Roman" w:hAnsi="Times New Roman" w:cs="Times New Roman"/>
            <w:sz w:val="28"/>
            <w:szCs w:val="28"/>
          </w:rPr>
          <w:t>1 мм</w:t>
        </w:r>
      </w:smartTag>
      <w:r w:rsidRPr="00C62D22">
        <w:rPr>
          <w:rFonts w:ascii="Times New Roman" w:hAnsi="Times New Roman" w:cs="Times New Roman"/>
          <w:sz w:val="28"/>
          <w:szCs w:val="28"/>
        </w:rPr>
        <w:t xml:space="preserve"> давали невиразну акустичну тінь (рис. 3.5).</w:t>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pict>
          <v:shape id="_x0000_s1039" type="#_x0000_t202" style="position:absolute;left:0;text-align:left;margin-left:0;margin-top:216.45pt;width:7in;height:54pt;z-index:251672576" stroked="f">
            <v:textbox style="mso-next-textbox:#_x0000_s1039">
              <w:txbxContent>
                <w:p w:rsidR="0021764E" w:rsidRDefault="0021764E" w:rsidP="0021764E">
                  <w:pPr>
                    <w:spacing w:line="360" w:lineRule="auto"/>
                    <w:jc w:val="right"/>
                  </w:pPr>
                  <w:r w:rsidRPr="00AE2D27">
                    <w:rPr>
                      <w:rFonts w:ascii="Times New Roman" w:hAnsi="Times New Roman"/>
                      <w:sz w:val="28"/>
                      <w:szCs w:val="28"/>
                    </w:rPr>
                    <w:t xml:space="preserve">Рис. </w:t>
                  </w:r>
                  <w:r>
                    <w:rPr>
                      <w:rFonts w:ascii="Times New Roman" w:hAnsi="Times New Roman"/>
                      <w:sz w:val="28"/>
                      <w:szCs w:val="28"/>
                    </w:rPr>
                    <w:t>3.5. Ехограма хворого з ПК</w:t>
                  </w:r>
                  <w:r w:rsidRPr="00AE2D27">
                    <w:rPr>
                      <w:rFonts w:ascii="Times New Roman" w:hAnsi="Times New Roman"/>
                      <w:sz w:val="28"/>
                      <w:szCs w:val="28"/>
                    </w:rPr>
                    <w:t xml:space="preserve"> голівки ПЗ</w:t>
                  </w:r>
                  <w:r>
                    <w:rPr>
                      <w:rFonts w:ascii="Times New Roman" w:hAnsi="Times New Roman"/>
                      <w:sz w:val="28"/>
                      <w:szCs w:val="28"/>
                    </w:rPr>
                    <w:t xml:space="preserve"> ІІ типу (1) з вкрапленням вапна у стінці (2) </w:t>
                  </w:r>
                  <w:r w:rsidRPr="00AE2D27">
                    <w:rPr>
                      <w:rFonts w:ascii="Times New Roman" w:hAnsi="Times New Roman"/>
                      <w:sz w:val="28"/>
                      <w:szCs w:val="28"/>
                    </w:rPr>
                    <w:t>на тлі хронічного кальк</w:t>
                  </w:r>
                  <w:r>
                    <w:rPr>
                      <w:rFonts w:ascii="Times New Roman" w:hAnsi="Times New Roman"/>
                      <w:sz w:val="28"/>
                      <w:szCs w:val="28"/>
                    </w:rPr>
                    <w:t>ульозного панкреатиту</w:t>
                  </w:r>
                </w:p>
              </w:txbxContent>
            </v:textbox>
          </v:shape>
        </w:pict>
      </w: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81475" cy="2667000"/>
            <wp:effectExtent l="19050" t="0" r="952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srcRect/>
                    <a:stretch>
                      <a:fillRect/>
                    </a:stretch>
                  </pic:blipFill>
                  <pic:spPr bwMode="auto">
                    <a:xfrm>
                      <a:off x="0" y="0"/>
                      <a:ext cx="4181475" cy="2667000"/>
                    </a:xfrm>
                    <a:prstGeom prst="rect">
                      <a:avLst/>
                    </a:prstGeom>
                    <a:noFill/>
                    <a:ln w="9525">
                      <a:noFill/>
                      <a:miter lim="800000"/>
                      <a:headEnd/>
                      <a:tailEnd/>
                    </a:ln>
                  </pic:spPr>
                </pic:pic>
              </a:graphicData>
            </a:graphic>
          </wp:inline>
        </w:drawing>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pict>
          <v:line id="_x0000_s1038" style="position:absolute;left:0;text-align:left;z-index:251671552" from="184pt,27.1pt" to="265pt,27.1pt" strokecolor="white">
            <v:stroke endarrow="block"/>
          </v:line>
        </w:pict>
      </w:r>
      <w:r w:rsidRPr="00C62D22">
        <w:rPr>
          <w:rFonts w:ascii="Times New Roman" w:hAnsi="Times New Roman" w:cs="Times New Roman"/>
          <w:sz w:val="28"/>
          <w:szCs w:val="28"/>
        </w:rPr>
        <w:t xml:space="preserve">На МСКТ ПК являла собою гіподенсивне кругле рідинне скупчення з добре вираженою щільною стінкою, яке притуляється до ПЗ або розташовується в паренхімі ПЗ [61, 100, 120, 146, 147, 174, 205, 235, 240, 328, 402]. </w:t>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При МСКТ капсула ПК візуалізувалась у 87,8% хворих навколо гіподенсивної ділянки у вигляді гіперденсивного обідка зі щільністю 40-60 од. Н. МСКТ також надавало більш детальну інформацію про анатомічне співвідношення кістозного утворення з оточуючими органами та судинами, а також про супутні патологічні зміни: розширення та кальцифікацію загальної панкреатичної протоки, наявність артеріальних псевдоаневризм, які притулялися до стінок ПК [205, 235, 240, 328, 402].</w:t>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На рис. 3.6. зображено аксіальне сканування нижче рівня черевного стовбура пацієнта К., 65 років.</w:t>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color w:val="FF0000"/>
          <w:sz w:val="28"/>
          <w:szCs w:val="28"/>
        </w:rPr>
      </w:pPr>
    </w:p>
    <w:p w:rsidR="0021764E" w:rsidRPr="00C62D22" w:rsidRDefault="0021764E" w:rsidP="0021764E">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lastRenderedPageBreak/>
        <w:t xml:space="preserve">    </w:t>
      </w:r>
      <w:r w:rsidRPr="00C62D22">
        <w:rPr>
          <w:rFonts w:ascii="Times New Roman" w:hAnsi="Times New Roman" w:cs="Times New Roman"/>
          <w:noProof/>
          <w:sz w:val="28"/>
          <w:szCs w:val="28"/>
        </w:rPr>
        <w:drawing>
          <wp:inline distT="0" distB="0" distL="0" distR="0">
            <wp:extent cx="4133850" cy="2667000"/>
            <wp:effectExtent l="1905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 cstate="print"/>
                    <a:srcRect/>
                    <a:stretch>
                      <a:fillRect/>
                    </a:stretch>
                  </pic:blipFill>
                  <pic:spPr bwMode="auto">
                    <a:xfrm>
                      <a:off x="0" y="0"/>
                      <a:ext cx="4133850" cy="26670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pict>
          <v:shape id="_x0000_s1040" type="#_x0000_t202" style="position:absolute;left:0;text-align:left;margin-left:9pt;margin-top:4.85pt;width:486pt;height:45pt;z-index:251673600" stroked="f">
            <v:textbox style="mso-next-textbox:#_x0000_s1040">
              <w:txbxContent>
                <w:p w:rsidR="0021764E" w:rsidRPr="00CA6847" w:rsidRDefault="0021764E" w:rsidP="0021764E">
                  <w:pPr>
                    <w:spacing w:after="0" w:line="360" w:lineRule="auto"/>
                    <w:ind w:right="-81" w:firstLine="708"/>
                    <w:jc w:val="right"/>
                    <w:rPr>
                      <w:rFonts w:ascii="Times New Roman" w:hAnsi="Times New Roman"/>
                      <w:sz w:val="28"/>
                      <w:szCs w:val="28"/>
                    </w:rPr>
                  </w:pPr>
                  <w:r>
                    <w:rPr>
                      <w:rFonts w:ascii="Times New Roman" w:hAnsi="Times New Roman"/>
                      <w:sz w:val="28"/>
                      <w:szCs w:val="28"/>
                    </w:rPr>
                    <w:t>Рис. 3.6. Аксіальне</w:t>
                  </w:r>
                  <w:r w:rsidRPr="00CA6847">
                    <w:rPr>
                      <w:rFonts w:ascii="Times New Roman" w:hAnsi="Times New Roman"/>
                      <w:sz w:val="28"/>
                      <w:szCs w:val="28"/>
                    </w:rPr>
                    <w:t xml:space="preserve"> скан</w:t>
                  </w:r>
                  <w:r>
                    <w:rPr>
                      <w:rFonts w:ascii="Times New Roman" w:hAnsi="Times New Roman"/>
                      <w:sz w:val="28"/>
                      <w:szCs w:val="28"/>
                    </w:rPr>
                    <w:t>ування хворого К, 65 років: 1 – ПК хвоста ПЗ</w:t>
                  </w:r>
                </w:p>
                <w:p w:rsidR="0021764E" w:rsidRDefault="0021764E" w:rsidP="0021764E"/>
              </w:txbxContent>
            </v:textbox>
          </v:shape>
        </w:pict>
      </w: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При наявності ПК великих розмірів паренхіма ПЗ може повністю не візуалізуватися, що утруднювало діагностику та виявлення її ускладнень (рис. 3.7).</w:t>
      </w: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52900" cy="2657475"/>
            <wp:effectExtent l="1905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6"/>
                    <a:srcRect/>
                    <a:stretch>
                      <a:fillRect/>
                    </a:stretch>
                  </pic:blipFill>
                  <pic:spPr bwMode="auto">
                    <a:xfrm>
                      <a:off x="0" y="0"/>
                      <a:ext cx="4152900" cy="26574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pict>
          <v:shape id="_x0000_s1041" type="#_x0000_t202" style="position:absolute;left:0;text-align:left;margin-left:9pt;margin-top:1.15pt;width:496pt;height:37.85pt;z-index:251674624" stroked="f">
            <v:textbox style="mso-next-textbox:#_x0000_s1041">
              <w:txbxContent>
                <w:p w:rsidR="0021764E" w:rsidRPr="004B1C53" w:rsidRDefault="0021764E" w:rsidP="0021764E">
                  <w:pPr>
                    <w:spacing w:after="0" w:line="360" w:lineRule="auto"/>
                    <w:ind w:right="-81" w:firstLine="540"/>
                    <w:jc w:val="right"/>
                    <w:rPr>
                      <w:rFonts w:ascii="Times New Roman" w:hAnsi="Times New Roman"/>
                      <w:sz w:val="28"/>
                      <w:szCs w:val="28"/>
                    </w:rPr>
                  </w:pPr>
                  <w:r>
                    <w:rPr>
                      <w:rFonts w:ascii="Times New Roman" w:hAnsi="Times New Roman"/>
                      <w:sz w:val="28"/>
                      <w:szCs w:val="28"/>
                    </w:rPr>
                    <w:t>Рис. 3.7. Гігантська ПК</w:t>
                  </w:r>
                  <w:r w:rsidRPr="00DD4F18">
                    <w:rPr>
                      <w:rFonts w:ascii="Times New Roman" w:hAnsi="Times New Roman"/>
                      <w:sz w:val="28"/>
                      <w:szCs w:val="28"/>
                    </w:rPr>
                    <w:t xml:space="preserve"> </w:t>
                  </w:r>
                  <w:r>
                    <w:rPr>
                      <w:rFonts w:ascii="Times New Roman" w:hAnsi="Times New Roman"/>
                      <w:sz w:val="28"/>
                      <w:szCs w:val="28"/>
                    </w:rPr>
                    <w:t>ПЗ другого типу</w:t>
                  </w:r>
                </w:p>
              </w:txbxContent>
            </v:textbox>
          </v:shape>
        </w:pict>
      </w:r>
    </w:p>
    <w:p w:rsidR="0021764E" w:rsidRPr="00C62D22" w:rsidRDefault="0021764E" w:rsidP="0021764E">
      <w:pPr>
        <w:spacing w:after="0" w:line="360" w:lineRule="auto"/>
        <w:ind w:right="76"/>
        <w:jc w:val="both"/>
        <w:rPr>
          <w:rFonts w:ascii="Times New Roman" w:hAnsi="Times New Roman" w:cs="Times New Roman"/>
          <w:sz w:val="28"/>
          <w:szCs w:val="28"/>
        </w:rPr>
      </w:pPr>
    </w:p>
    <w:p w:rsidR="0021764E" w:rsidRPr="00C62D22" w:rsidRDefault="0021764E" w:rsidP="0021764E">
      <w:pPr>
        <w:spacing w:after="0" w:line="360" w:lineRule="auto"/>
        <w:ind w:right="76"/>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У такому випадку встановити вірний діагноз допомагало МСКТ (рис. 3.8) та застосування тонкоголкової пункції ПК з дослідженням її вмісту.</w:t>
      </w:r>
    </w:p>
    <w:p w:rsidR="0021764E" w:rsidRPr="00C62D22" w:rsidRDefault="0021764E" w:rsidP="0021764E">
      <w:pPr>
        <w:spacing w:after="0" w:line="360" w:lineRule="auto"/>
        <w:ind w:right="76"/>
        <w:jc w:val="both"/>
        <w:rPr>
          <w:rFonts w:ascii="Times New Roman" w:hAnsi="Times New Roman" w:cs="Times New Roman"/>
          <w:sz w:val="28"/>
          <w:szCs w:val="28"/>
        </w:rPr>
      </w:pPr>
      <w:r w:rsidRPr="00C62D22">
        <w:rPr>
          <w:rFonts w:ascii="Times New Roman" w:hAnsi="Times New Roman" w:cs="Times New Roman"/>
          <w:noProof/>
          <w:sz w:val="28"/>
          <w:szCs w:val="28"/>
        </w:rPr>
        <w:lastRenderedPageBreak/>
        <w:pict>
          <v:shape id="_x0000_s1063" type="#_x0000_t202" style="position:absolute;left:0;text-align:left;margin-left:90pt;margin-top:16.05pt;width:332.9pt;height:268.2pt;z-index:251697152" stroked="f">
            <v:textbox style="mso-next-textbox:#_x0000_s1063;mso-fit-shape-to-text:t">
              <w:txbxContent>
                <w:p w:rsidR="0021764E" w:rsidRDefault="0021764E" w:rsidP="0021764E">
                  <w:r>
                    <w:rPr>
                      <w:rFonts w:ascii="Times New Roman" w:hAnsi="Times New Roman"/>
                      <w:noProof/>
                      <w:sz w:val="28"/>
                      <w:szCs w:val="28"/>
                    </w:rPr>
                    <w:drawing>
                      <wp:inline distT="0" distB="0" distL="0" distR="0">
                        <wp:extent cx="4276725" cy="3162300"/>
                        <wp:effectExtent l="19050" t="0" r="952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7"/>
                                <a:srcRect/>
                                <a:stretch>
                                  <a:fillRect/>
                                </a:stretch>
                              </pic:blipFill>
                              <pic:spPr bwMode="auto">
                                <a:xfrm>
                                  <a:off x="0" y="0"/>
                                  <a:ext cx="4276725" cy="3162300"/>
                                </a:xfrm>
                                <a:prstGeom prst="rect">
                                  <a:avLst/>
                                </a:prstGeom>
                                <a:noFill/>
                                <a:ln w="9525">
                                  <a:noFill/>
                                  <a:miter lim="800000"/>
                                  <a:headEnd/>
                                  <a:tailEnd/>
                                </a:ln>
                              </pic:spPr>
                            </pic:pic>
                          </a:graphicData>
                        </a:graphic>
                      </wp:inline>
                    </w:drawing>
                  </w:r>
                </w:p>
              </w:txbxContent>
            </v:textbox>
          </v:shape>
        </w:pict>
      </w: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62" type="#_x0000_t202" style="position:absolute;left:0;text-align:left;margin-left:18pt;margin-top:20.45pt;width:493.45pt;height:36pt;z-index:251696128;mso-width-relative:margin;mso-height-relative:margin" stroked="f">
            <v:textbox style="mso-next-textbox:#_x0000_s1062">
              <w:txbxContent>
                <w:p w:rsidR="0021764E" w:rsidRPr="00A41E99" w:rsidRDefault="0021764E" w:rsidP="0021764E">
                  <w:pPr>
                    <w:ind w:firstLine="708"/>
                    <w:jc w:val="right"/>
                    <w:rPr>
                      <w:rFonts w:ascii="Times New Roman" w:hAnsi="Times New Roman"/>
                      <w:sz w:val="28"/>
                      <w:szCs w:val="28"/>
                    </w:rPr>
                  </w:pPr>
                  <w:r w:rsidRPr="00A41E99">
                    <w:rPr>
                      <w:rFonts w:ascii="Times New Roman" w:hAnsi="Times New Roman"/>
                      <w:sz w:val="28"/>
                      <w:szCs w:val="28"/>
                    </w:rPr>
                    <w:t>Рис. 3.8. Томограма хворого Ф.: ПК хвоста ПЗ (указана стрілкою)</w:t>
                  </w:r>
                </w:p>
              </w:txbxContent>
            </v:textbox>
          </v:shape>
        </w:pict>
      </w:r>
    </w:p>
    <w:p w:rsidR="0021764E" w:rsidRPr="00C62D22" w:rsidRDefault="0021764E" w:rsidP="0021764E">
      <w:pPr>
        <w:spacing w:after="0" w:line="360" w:lineRule="auto"/>
        <w:ind w:right="76"/>
        <w:jc w:val="both"/>
        <w:rPr>
          <w:rFonts w:ascii="Times New Roman" w:hAnsi="Times New Roman" w:cs="Times New Roman"/>
          <w:sz w:val="28"/>
          <w:szCs w:val="28"/>
        </w:rPr>
      </w:pPr>
    </w:p>
    <w:p w:rsidR="0021764E" w:rsidRPr="00C62D22" w:rsidRDefault="0021764E" w:rsidP="0021764E">
      <w:pPr>
        <w:spacing w:after="0" w:line="360" w:lineRule="auto"/>
        <w:ind w:right="76"/>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ПК ІІІ типу виникали на тлі хронічного фіброзно-дегенеративного панкреатиту як наслідок стриктур протоків ПЗ (рис. 3.9, А). При діагностиці цих ПК значну увагу приділяли візуалізації ГПП, визначенню його розмірів, наявності обструкції, розширення, вірсунголітіазу тощо (рис. 3.9, Б) [129].</w:t>
      </w:r>
    </w:p>
    <w:p w:rsidR="0021764E" w:rsidRPr="00C62D22" w:rsidRDefault="0021764E" w:rsidP="0021764E">
      <w:pPr>
        <w:spacing w:after="0" w:line="360" w:lineRule="auto"/>
        <w:ind w:right="76"/>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64" type="#_x0000_t202" style="position:absolute;left:0;text-align:left;margin-left:18pt;margin-top:7.25pt;width:251.45pt;height:223.2pt;z-index:251698176;mso-wrap-style:none" stroked="f">
            <v:textbox style="mso-next-textbox:#_x0000_s1064;mso-fit-shape-to-text:t">
              <w:txbxContent>
                <w:p w:rsidR="0021764E" w:rsidRDefault="0021764E" w:rsidP="0021764E">
                  <w:pPr>
                    <w:jc w:val="both"/>
                  </w:pPr>
                  <w:r>
                    <w:rPr>
                      <w:rFonts w:ascii="Times New Roman" w:hAnsi="Times New Roman"/>
                      <w:noProof/>
                      <w:sz w:val="28"/>
                      <w:szCs w:val="28"/>
                    </w:rPr>
                    <w:drawing>
                      <wp:inline distT="0" distB="0" distL="0" distR="0">
                        <wp:extent cx="2990850" cy="2590800"/>
                        <wp:effectExtent l="1905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8"/>
                                <a:srcRect/>
                                <a:stretch>
                                  <a:fillRect/>
                                </a:stretch>
                              </pic:blipFill>
                              <pic:spPr bwMode="auto">
                                <a:xfrm>
                                  <a:off x="0" y="0"/>
                                  <a:ext cx="2990850" cy="2590800"/>
                                </a:xfrm>
                                <a:prstGeom prst="rect">
                                  <a:avLst/>
                                </a:prstGeom>
                                <a:noFill/>
                                <a:ln w="9525">
                                  <a:noFill/>
                                  <a:miter lim="800000"/>
                                  <a:headEnd/>
                                  <a:tailEnd/>
                                </a:ln>
                              </pic:spPr>
                            </pic:pic>
                          </a:graphicData>
                        </a:graphic>
                      </wp:inline>
                    </w:drawing>
                  </w:r>
                </w:p>
              </w:txbxContent>
            </v:textbox>
          </v:shape>
        </w:pict>
      </w:r>
      <w:r w:rsidRPr="00C62D22">
        <w:rPr>
          <w:rFonts w:ascii="Times New Roman" w:hAnsi="Times New Roman" w:cs="Times New Roman"/>
          <w:noProof/>
          <w:sz w:val="28"/>
          <w:szCs w:val="28"/>
        </w:rPr>
        <w:pict>
          <v:shape id="_x0000_s1065" type="#_x0000_t202" style="position:absolute;left:0;text-align:left;margin-left:261pt;margin-top:7.25pt;width:252.95pt;height:232.2pt;z-index:251699200;mso-wrap-style:none" stroked="f">
            <v:textbox style="mso-next-textbox:#_x0000_s1065;mso-fit-shape-to-text:t">
              <w:txbxContent>
                <w:p w:rsidR="0021764E" w:rsidRDefault="0021764E" w:rsidP="0021764E">
                  <w:r>
                    <w:rPr>
                      <w:rFonts w:ascii="Times New Roman" w:hAnsi="Times New Roman"/>
                      <w:noProof/>
                      <w:sz w:val="28"/>
                      <w:szCs w:val="28"/>
                    </w:rPr>
                    <w:drawing>
                      <wp:inline distT="0" distB="0" distL="0" distR="0">
                        <wp:extent cx="3000375" cy="2705100"/>
                        <wp:effectExtent l="19050" t="0" r="952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9"/>
                                <a:srcRect/>
                                <a:stretch>
                                  <a:fillRect/>
                                </a:stretch>
                              </pic:blipFill>
                              <pic:spPr bwMode="auto">
                                <a:xfrm>
                                  <a:off x="0" y="0"/>
                                  <a:ext cx="3000375" cy="2705100"/>
                                </a:xfrm>
                                <a:prstGeom prst="rect">
                                  <a:avLst/>
                                </a:prstGeom>
                                <a:noFill/>
                                <a:ln w="9525">
                                  <a:noFill/>
                                  <a:miter lim="800000"/>
                                  <a:headEnd/>
                                  <a:tailEnd/>
                                </a:ln>
                              </pic:spPr>
                            </pic:pic>
                          </a:graphicData>
                        </a:graphic>
                      </wp:inline>
                    </w:drawing>
                  </w:r>
                </w:p>
              </w:txbxContent>
            </v:textbox>
          </v:shape>
        </w:pict>
      </w:r>
    </w:p>
    <w:p w:rsidR="0021764E" w:rsidRPr="00C62D22" w:rsidRDefault="0021764E" w:rsidP="0021764E">
      <w:pPr>
        <w:spacing w:after="0" w:line="360" w:lineRule="auto"/>
        <w:ind w:right="76"/>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jc w:val="both"/>
        <w:rPr>
          <w:rFonts w:ascii="Times New Roman" w:hAnsi="Times New Roman" w:cs="Times New Roman"/>
          <w:sz w:val="28"/>
          <w:szCs w:val="28"/>
        </w:rPr>
      </w:pPr>
      <w:r w:rsidRPr="00C62D22">
        <w:rPr>
          <w:rFonts w:ascii="Times New Roman" w:hAnsi="Times New Roman" w:cs="Times New Roman"/>
          <w:sz w:val="28"/>
          <w:szCs w:val="28"/>
        </w:rPr>
        <w:pict>
          <v:shape id="_x0000_s1042" type="#_x0000_t202" style="position:absolute;left:0;text-align:left;margin-left:10.35pt;margin-top:1.45pt;width:484.65pt;height:81pt;z-index:251675648" stroked="f">
            <v:textbox style="mso-next-textbox:#_x0000_s1042">
              <w:txbxContent>
                <w:p w:rsidR="0021764E" w:rsidRPr="007F7F29" w:rsidRDefault="0021764E" w:rsidP="0021764E">
                  <w:pPr>
                    <w:spacing w:line="360" w:lineRule="auto"/>
                    <w:ind w:firstLine="540"/>
                    <w:jc w:val="both"/>
                  </w:pPr>
                  <w:r>
                    <w:rPr>
                      <w:rFonts w:ascii="Times New Roman" w:hAnsi="Times New Roman"/>
                      <w:sz w:val="28"/>
                      <w:szCs w:val="28"/>
                    </w:rPr>
                    <w:t>Рис. 3.2.9. Ехограма хворого з ПК ІІІ типу на тлі хронічного фіброзно-дегенеративного панкреатиту: А) ПК голівки ПЗ (указана стрілкою, Б) 1 – розширена ГПП, 2 – конкременти ГПП</w:t>
                  </w:r>
                </w:p>
              </w:txbxContent>
            </v:textbox>
          </v:shape>
        </w:pict>
      </w: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66" type="#_x0000_t202" style="position:absolute;left:0;text-align:left;margin-left:0;margin-top:18.2pt;width:507pt;height:74.85pt;z-index:251700224" stroked="f">
            <v:textbox style="mso-next-textbox:#_x0000_s1066">
              <w:txbxContent>
                <w:p w:rsidR="0021764E" w:rsidRPr="00853774" w:rsidRDefault="0021764E" w:rsidP="0021764E">
                  <w:pPr>
                    <w:spacing w:after="0" w:line="360" w:lineRule="auto"/>
                    <w:jc w:val="right"/>
                    <w:rPr>
                      <w:rFonts w:ascii="Times New Roman" w:hAnsi="Times New Roman"/>
                      <w:sz w:val="28"/>
                      <w:szCs w:val="28"/>
                    </w:rPr>
                  </w:pPr>
                  <w:r>
                    <w:rPr>
                      <w:rFonts w:ascii="Times New Roman" w:hAnsi="Times New Roman"/>
                      <w:sz w:val="28"/>
                      <w:szCs w:val="28"/>
                    </w:rPr>
                    <w:t xml:space="preserve">Рис. 3.9. Ехограма хворого з ПК ІІІ типу на тлі хронічного фіброзно-дегенеративного панкреатиту: А) ПК голівки ПЗ (указана стрілкою,Б) 1 – розширена </w:t>
                  </w:r>
                  <w:r w:rsidRPr="00337470">
                    <w:rPr>
                      <w:rFonts w:ascii="Times New Roman" w:hAnsi="Times New Roman"/>
                      <w:sz w:val="28"/>
                      <w:szCs w:val="28"/>
                    </w:rPr>
                    <w:t>ГПП</w:t>
                  </w:r>
                  <w:r>
                    <w:rPr>
                      <w:rFonts w:ascii="Times New Roman" w:hAnsi="Times New Roman"/>
                      <w:sz w:val="28"/>
                      <w:szCs w:val="28"/>
                    </w:rPr>
                    <w:t xml:space="preserve">, 2 – конкременти </w:t>
                  </w:r>
                  <w:r w:rsidRPr="00337470">
                    <w:rPr>
                      <w:rFonts w:ascii="Times New Roman" w:hAnsi="Times New Roman"/>
                      <w:sz w:val="28"/>
                      <w:szCs w:val="28"/>
                    </w:rPr>
                    <w:t>ГПП (указані черво</w:t>
                  </w:r>
                  <w:r>
                    <w:rPr>
                      <w:rFonts w:ascii="Times New Roman" w:hAnsi="Times New Roman"/>
                      <w:sz w:val="28"/>
                      <w:szCs w:val="28"/>
                    </w:rPr>
                    <w:t xml:space="preserve">ними </w:t>
                  </w:r>
                  <w:r w:rsidRPr="00337470">
                    <w:rPr>
                      <w:rFonts w:ascii="Times New Roman" w:hAnsi="Times New Roman"/>
                      <w:sz w:val="28"/>
                      <w:szCs w:val="28"/>
                    </w:rPr>
                    <w:t>стріл</w:t>
                  </w:r>
                  <w:r>
                    <w:rPr>
                      <w:rFonts w:ascii="Times New Roman" w:hAnsi="Times New Roman"/>
                      <w:sz w:val="28"/>
                      <w:szCs w:val="28"/>
                    </w:rPr>
                    <w:t>ками</w:t>
                  </w:r>
                  <w:r w:rsidRPr="00337470">
                    <w:rPr>
                      <w:rFonts w:ascii="Times New Roman" w:hAnsi="Times New Roman"/>
                      <w:sz w:val="28"/>
                      <w:szCs w:val="28"/>
                    </w:rPr>
                    <w:t>)</w:t>
                  </w:r>
                </w:p>
              </w:txbxContent>
            </v:textbox>
          </v:shape>
        </w:pict>
      </w: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На рисунку 3.10. зображено прицільну криволінійну реконструкцію пацієнта Н., 53 років, з множинними ретенційними ПК тіла ПЗ. </w:t>
      </w: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62425" cy="2638425"/>
            <wp:effectExtent l="19050" t="0" r="9525" b="0"/>
            <wp:docPr id="19" name="Рисунок 11" descr="псевдокиста 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псевдокиста 01"/>
                    <pic:cNvPicPr>
                      <a:picLocks noChangeAspect="1" noChangeArrowheads="1"/>
                    </pic:cNvPicPr>
                  </pic:nvPicPr>
                  <pic:blipFill>
                    <a:blip r:embed="rId20" cstate="print"/>
                    <a:srcRect/>
                    <a:stretch>
                      <a:fillRect/>
                    </a:stretch>
                  </pic:blipFill>
                  <pic:spPr bwMode="auto">
                    <a:xfrm>
                      <a:off x="0" y="0"/>
                      <a:ext cx="4162425" cy="263842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pict>
          <v:shape id="_x0000_s1043" type="#_x0000_t202" style="position:absolute;left:0;text-align:left;margin-left:0;margin-top:10.9pt;width:7in;height:53.55pt;z-index:251676672" stroked="f">
            <v:textbox style="mso-next-textbox:#_x0000_s1043">
              <w:txbxContent>
                <w:p w:rsidR="0021764E" w:rsidRDefault="0021764E" w:rsidP="0021764E">
                  <w:pPr>
                    <w:spacing w:line="360" w:lineRule="auto"/>
                    <w:ind w:firstLine="540"/>
                    <w:jc w:val="right"/>
                  </w:pPr>
                  <w:r w:rsidRPr="00CC46E5">
                    <w:rPr>
                      <w:rFonts w:ascii="Times New Roman" w:hAnsi="Times New Roman"/>
                      <w:sz w:val="28"/>
                      <w:szCs w:val="28"/>
                    </w:rPr>
                    <w:t>Рис. 3</w:t>
                  </w:r>
                  <w:r>
                    <w:rPr>
                      <w:rFonts w:ascii="Times New Roman" w:hAnsi="Times New Roman"/>
                      <w:sz w:val="28"/>
                      <w:szCs w:val="28"/>
                    </w:rPr>
                    <w:t>.10</w:t>
                  </w:r>
                  <w:r w:rsidRPr="00CC46E5">
                    <w:rPr>
                      <w:rFonts w:ascii="Times New Roman" w:hAnsi="Times New Roman"/>
                      <w:sz w:val="28"/>
                      <w:szCs w:val="28"/>
                    </w:rPr>
                    <w:t>. Прицільна криволінійна реконстру</w:t>
                  </w:r>
                  <w:r>
                    <w:rPr>
                      <w:rFonts w:ascii="Times New Roman" w:hAnsi="Times New Roman"/>
                      <w:sz w:val="28"/>
                      <w:szCs w:val="28"/>
                    </w:rPr>
                    <w:t>кція пацієнта Н., 53 років: 1 –</w:t>
                  </w:r>
                  <w:r w:rsidRPr="00EE7200">
                    <w:rPr>
                      <w:rFonts w:ascii="Times New Roman" w:hAnsi="Times New Roman"/>
                      <w:sz w:val="28"/>
                      <w:szCs w:val="28"/>
                    </w:rPr>
                    <w:t xml:space="preserve"> </w:t>
                  </w:r>
                  <w:r>
                    <w:rPr>
                      <w:rFonts w:ascii="Times New Roman" w:hAnsi="Times New Roman"/>
                      <w:sz w:val="28"/>
                      <w:szCs w:val="28"/>
                    </w:rPr>
                    <w:t>ПК тіла ПЗ, 2 – нерозширена Вірсунгова протока</w:t>
                  </w:r>
                </w:p>
              </w:txbxContent>
            </v:textbox>
          </v:shape>
        </w:pict>
      </w: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pacing w:val="-2"/>
          <w:sz w:val="28"/>
          <w:szCs w:val="28"/>
        </w:rPr>
        <w:t>Е</w:t>
      </w:r>
      <w:r w:rsidRPr="00C62D22">
        <w:rPr>
          <w:rFonts w:ascii="Times New Roman" w:hAnsi="Times New Roman" w:cs="Times New Roman"/>
          <w:sz w:val="28"/>
          <w:szCs w:val="28"/>
        </w:rPr>
        <w:t xml:space="preserve">хоструктура ПК ПЗ ставала більш комплексною при нагноєнні вмісту ПК, а також при кровотечі в її порожнину. Дрібнодисперсна завись та ехопозитивні включення, згідно даних різних авторів, є діагностичними критеріями нагноєння [32, 120, 130, 134, 181]. </w:t>
      </w:r>
    </w:p>
    <w:p w:rsidR="0021764E" w:rsidRPr="00C62D22" w:rsidRDefault="0021764E" w:rsidP="0021764E">
      <w:pPr>
        <w:spacing w:after="0" w:line="360" w:lineRule="auto"/>
        <w:ind w:right="76" w:firstLine="540"/>
        <w:jc w:val="both"/>
        <w:rPr>
          <w:rFonts w:ascii="Times New Roman" w:hAnsi="Times New Roman" w:cs="Times New Roman"/>
          <w:spacing w:val="-2"/>
          <w:sz w:val="28"/>
          <w:szCs w:val="28"/>
        </w:rPr>
      </w:pPr>
      <w:r w:rsidRPr="00C62D22">
        <w:rPr>
          <w:rFonts w:ascii="Times New Roman" w:hAnsi="Times New Roman" w:cs="Times New Roman"/>
          <w:sz w:val="28"/>
          <w:szCs w:val="28"/>
        </w:rPr>
        <w:t>Інфіковані ПК ПЗ виявлені в 113 (22,4%) хворих, з них у 40 (7,92%) з ПК ПЗ</w:t>
      </w:r>
      <w:r w:rsidRPr="00C62D22">
        <w:rPr>
          <w:rFonts w:ascii="Times New Roman" w:hAnsi="Times New Roman" w:cs="Times New Roman"/>
          <w:color w:val="000000"/>
          <w:sz w:val="28"/>
          <w:szCs w:val="28"/>
        </w:rPr>
        <w:t xml:space="preserve">, </w:t>
      </w:r>
      <w:r w:rsidRPr="00C62D22">
        <w:rPr>
          <w:rFonts w:ascii="Times New Roman" w:hAnsi="Times New Roman" w:cs="Times New Roman"/>
          <w:sz w:val="28"/>
          <w:szCs w:val="28"/>
        </w:rPr>
        <w:t xml:space="preserve">у </w:t>
      </w:r>
      <w:r w:rsidRPr="00C62D22">
        <w:rPr>
          <w:rFonts w:ascii="Times New Roman" w:hAnsi="Times New Roman" w:cs="Times New Roman"/>
          <w:color w:val="000000"/>
          <w:sz w:val="28"/>
          <w:szCs w:val="28"/>
        </w:rPr>
        <w:t xml:space="preserve">54 (10,7%) – з ПК ПЗ ІІ типу, у 19 (3,8%) – з ПК ІІІ типу. </w:t>
      </w:r>
      <w:r w:rsidRPr="00C62D22">
        <w:rPr>
          <w:rFonts w:ascii="Times New Roman" w:hAnsi="Times New Roman" w:cs="Times New Roman"/>
          <w:sz w:val="28"/>
          <w:szCs w:val="28"/>
        </w:rPr>
        <w:t>При УЗД при інфікуванні вмісту ПК спостерігалися чергування ділянок високої та низької щільності ,а також наявність гіперехогенних включень. При СКТ уміст ПК був наведений однорідною масою зі щільністю 10-15 од. Н., яка збільшувалася при наявності в порожнині гіперденсивних включень. При більш детальному аналізу томограм у вмісті були виявлені бульбашки повітря (53,6%) та нерівномірне потовщення стінок новоутворення (16,7%). Ч</w:t>
      </w:r>
      <w:r w:rsidRPr="00C62D22">
        <w:rPr>
          <w:rFonts w:ascii="Times New Roman" w:hAnsi="Times New Roman" w:cs="Times New Roman"/>
          <w:spacing w:val="-2"/>
          <w:sz w:val="28"/>
          <w:szCs w:val="28"/>
        </w:rPr>
        <w:t>утливість МСКТ при дослідженні таких ускладнень як інфікування вмісту ПК, МЖ, компресія суміжних органів, перфорація та розрив були 98,8% і специфічність сягала 100%. Чутливість МСКТ у діагностиці кровотеч була дещо нижчою, сягаючи 70,9%, та специфічність сягала 86,3%.</w:t>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Звертає на себе увагу чергування ділянок підвищеної та зниженої щільності та наявність бульбашок повітря. На рис. 3.11. (А, Б) наведено ехограми хворих з інфікованими ПК. </w:t>
      </w:r>
    </w:p>
    <w:p w:rsidR="0021764E" w:rsidRPr="00C62D22" w:rsidRDefault="0021764E" w:rsidP="0021764E">
      <w:pPr>
        <w:widowControl w:val="0"/>
        <w:tabs>
          <w:tab w:val="left" w:pos="8651"/>
        </w:tabs>
        <w:spacing w:after="0" w:line="24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pict>
          <v:shape id="_x0000_s1044" type="#_x0000_t202" style="position:absolute;left:0;text-align:left;margin-left:9pt;margin-top:412.05pt;width:495pt;height:54pt;z-index:251677696" stroked="f">
            <v:textbox style="mso-next-textbox:#_x0000_s1044">
              <w:txbxContent>
                <w:p w:rsidR="0021764E" w:rsidRPr="00F40067" w:rsidRDefault="0021764E" w:rsidP="0021764E">
                  <w:pPr>
                    <w:spacing w:after="0" w:line="360" w:lineRule="auto"/>
                    <w:jc w:val="right"/>
                    <w:rPr>
                      <w:rFonts w:ascii="Times New Roman" w:hAnsi="Times New Roman"/>
                      <w:sz w:val="28"/>
                      <w:szCs w:val="28"/>
                    </w:rPr>
                  </w:pPr>
                  <w:r>
                    <w:rPr>
                      <w:rFonts w:ascii="Times New Roman" w:hAnsi="Times New Roman"/>
                      <w:sz w:val="28"/>
                      <w:szCs w:val="28"/>
                    </w:rPr>
                    <w:t>Рис. 3.11</w:t>
                  </w:r>
                  <w:r w:rsidRPr="00F40067">
                    <w:rPr>
                      <w:rFonts w:ascii="Times New Roman" w:hAnsi="Times New Roman"/>
                      <w:sz w:val="28"/>
                      <w:szCs w:val="28"/>
                    </w:rPr>
                    <w:t>. А,</w:t>
                  </w:r>
                  <w:r>
                    <w:rPr>
                      <w:rFonts w:ascii="Times New Roman" w:hAnsi="Times New Roman"/>
                      <w:sz w:val="28"/>
                      <w:szCs w:val="28"/>
                    </w:rPr>
                    <w:t xml:space="preserve"> </w:t>
                  </w:r>
                  <w:r w:rsidRPr="00F40067">
                    <w:rPr>
                      <w:rFonts w:ascii="Times New Roman" w:hAnsi="Times New Roman"/>
                      <w:sz w:val="28"/>
                      <w:szCs w:val="28"/>
                    </w:rPr>
                    <w:t>Б. Ехограми хво</w:t>
                  </w:r>
                  <w:r>
                    <w:rPr>
                      <w:rFonts w:ascii="Times New Roman" w:hAnsi="Times New Roman"/>
                      <w:sz w:val="28"/>
                      <w:szCs w:val="28"/>
                    </w:rPr>
                    <w:t>рих з інфікованими ПК</w:t>
                  </w:r>
                  <w:r w:rsidRPr="00F40067">
                    <w:rPr>
                      <w:rFonts w:ascii="Times New Roman" w:hAnsi="Times New Roman"/>
                      <w:sz w:val="28"/>
                      <w:szCs w:val="28"/>
                    </w:rPr>
                    <w:t xml:space="preserve"> ПЗ на ф</w:t>
                  </w:r>
                  <w:r>
                    <w:rPr>
                      <w:rFonts w:ascii="Times New Roman" w:hAnsi="Times New Roman"/>
                      <w:sz w:val="28"/>
                      <w:szCs w:val="28"/>
                    </w:rPr>
                    <w:t>оні ХП: 1 – ПК</w:t>
                  </w:r>
                  <w:r w:rsidRPr="00F40067">
                    <w:rPr>
                      <w:rFonts w:ascii="Times New Roman" w:hAnsi="Times New Roman"/>
                      <w:sz w:val="28"/>
                      <w:szCs w:val="28"/>
                    </w:rPr>
                    <w:t xml:space="preserve"> ПЗ, 2 – дрібнодисперсна з</w:t>
                  </w:r>
                  <w:r>
                    <w:rPr>
                      <w:rFonts w:ascii="Times New Roman" w:hAnsi="Times New Roman"/>
                      <w:sz w:val="28"/>
                      <w:szCs w:val="28"/>
                    </w:rPr>
                    <w:t>ави</w:t>
                  </w:r>
                  <w:r w:rsidRPr="00F40067">
                    <w:rPr>
                      <w:rFonts w:ascii="Times New Roman" w:hAnsi="Times New Roman"/>
                      <w:sz w:val="28"/>
                      <w:szCs w:val="28"/>
                    </w:rPr>
                    <w:t>сь</w:t>
                  </w:r>
                  <w:r>
                    <w:rPr>
                      <w:rFonts w:ascii="Times New Roman" w:hAnsi="Times New Roman"/>
                      <w:sz w:val="28"/>
                      <w:szCs w:val="28"/>
                    </w:rPr>
                    <w:t>, 3 –</w:t>
                  </w:r>
                  <w:r w:rsidRPr="00F40067">
                    <w:rPr>
                      <w:rFonts w:ascii="Times New Roman" w:hAnsi="Times New Roman"/>
                      <w:sz w:val="28"/>
                      <w:szCs w:val="28"/>
                    </w:rPr>
                    <w:t xml:space="preserve"> гіперехогенні включення</w:t>
                  </w:r>
                </w:p>
              </w:txbxContent>
            </v:textbox>
          </v:shape>
        </w:pict>
      </w: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52900" cy="5143500"/>
            <wp:effectExtent l="1905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a:srcRect/>
                    <a:stretch>
                      <a:fillRect/>
                    </a:stretch>
                  </pic:blipFill>
                  <pic:spPr bwMode="auto">
                    <a:xfrm>
                      <a:off x="0" y="0"/>
                      <a:ext cx="4152900" cy="5143500"/>
                    </a:xfrm>
                    <a:prstGeom prst="rect">
                      <a:avLst/>
                    </a:prstGeom>
                    <a:noFill/>
                    <a:ln w="9525">
                      <a:noFill/>
                      <a:miter lim="800000"/>
                      <a:headEnd/>
                      <a:tailEnd/>
                    </a:ln>
                  </pic:spPr>
                </pic:pic>
              </a:graphicData>
            </a:graphic>
          </wp:inline>
        </w:drawing>
      </w:r>
      <w:r w:rsidRPr="00C62D22">
        <w:rPr>
          <w:rFonts w:ascii="Times New Roman" w:hAnsi="Times New Roman" w:cs="Times New Roman"/>
          <w:sz w:val="28"/>
          <w:szCs w:val="28"/>
        </w:rPr>
        <w:pict>
          <v:shape id="_x0000_s1045" type="#_x0000_t202" style="position:absolute;left:0;text-align:left;margin-left:180pt;margin-top:22.8pt;width:27pt;height:27pt;z-index:251678720;mso-position-horizontal-relative:text;mso-position-vertical-relative:text" filled="f" stroked="f">
            <v:textbox style="mso-next-textbox:#_x0000_s1045">
              <w:txbxContent>
                <w:p w:rsidR="0021764E" w:rsidRPr="00F40067" w:rsidRDefault="0021764E" w:rsidP="0021764E">
                  <w:pPr>
                    <w:rPr>
                      <w:rFonts w:ascii="Times New Roman" w:hAnsi="Times New Roman"/>
                      <w:color w:val="FFFFFF"/>
                      <w:sz w:val="28"/>
                      <w:szCs w:val="28"/>
                    </w:rPr>
                  </w:pPr>
                  <w:r w:rsidRPr="00F40067">
                    <w:rPr>
                      <w:rFonts w:ascii="Times New Roman" w:hAnsi="Times New Roman"/>
                      <w:color w:val="FFFFFF"/>
                      <w:sz w:val="28"/>
                      <w:szCs w:val="28"/>
                    </w:rPr>
                    <w:t>2</w:t>
                  </w:r>
                </w:p>
              </w:txbxContent>
            </v:textbox>
          </v:shape>
        </w:pict>
      </w:r>
    </w:p>
    <w:p w:rsidR="0021764E" w:rsidRPr="00C62D22" w:rsidRDefault="0021764E" w:rsidP="0021764E">
      <w:pPr>
        <w:widowControl w:val="0"/>
        <w:tabs>
          <w:tab w:val="left" w:pos="8651"/>
        </w:tabs>
        <w:spacing w:after="0" w:line="360" w:lineRule="auto"/>
        <w:ind w:right="76" w:firstLine="540"/>
        <w:jc w:val="center"/>
        <w:rPr>
          <w:rFonts w:ascii="Times New Roman" w:hAnsi="Times New Roman" w:cs="Times New Roman"/>
          <w:sz w:val="28"/>
          <w:szCs w:val="28"/>
        </w:rPr>
      </w:pPr>
      <w:r w:rsidRPr="00C62D22">
        <w:rPr>
          <w:rFonts w:ascii="Times New Roman" w:hAnsi="Times New Roman" w:cs="Times New Roman"/>
          <w:color w:val="FF0000"/>
          <w:sz w:val="28"/>
          <w:szCs w:val="28"/>
        </w:rPr>
        <w:pict>
          <v:shape id="_x0000_s1033" type="#_x0000_t202" style="position:absolute;left:0;text-align:left;margin-left:333pt;margin-top:27pt;width:18pt;height:18pt;z-index:251666432" filled="f" stroked="f">
            <v:textbox style="mso-next-textbox:#_x0000_s1033">
              <w:txbxContent>
                <w:p w:rsidR="0021764E" w:rsidRPr="00F44D60" w:rsidRDefault="0021764E" w:rsidP="0021764E"/>
              </w:txbxContent>
            </v:textbox>
          </v:shape>
        </w:pict>
      </w:r>
    </w:p>
    <w:p w:rsidR="0021764E" w:rsidRPr="00C62D22" w:rsidRDefault="0021764E" w:rsidP="0021764E">
      <w:pPr>
        <w:spacing w:after="0" w:line="360" w:lineRule="auto"/>
        <w:ind w:right="76" w:firstLine="540"/>
        <w:jc w:val="both"/>
        <w:rPr>
          <w:rFonts w:ascii="Times New Roman" w:hAnsi="Times New Roman" w:cs="Times New Roman"/>
          <w:color w:val="000000"/>
          <w:sz w:val="28"/>
          <w:szCs w:val="28"/>
        </w:rPr>
      </w:pPr>
    </w:p>
    <w:p w:rsidR="0021764E" w:rsidRPr="00C62D22" w:rsidRDefault="0021764E" w:rsidP="0021764E">
      <w:pPr>
        <w:spacing w:after="0" w:line="240" w:lineRule="auto"/>
        <w:ind w:right="74"/>
        <w:jc w:val="both"/>
        <w:rPr>
          <w:rFonts w:ascii="Times New Roman" w:hAnsi="Times New Roman" w:cs="Times New Roman"/>
          <w:color w:val="000000"/>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color w:val="000000"/>
          <w:sz w:val="28"/>
          <w:szCs w:val="28"/>
        </w:rPr>
        <w:t xml:space="preserve">Перебіг інфікованих ПК ПЗ І типу ускладнювався у 2 х пацієнтів кровотечею в порожнину кісти, у 1 хворого – перфорацією у шлунок з розвитком нориці, у 1 хворого – розривом ПК з розвитком загального перитоніту, у 4-х хворих – гострим гнійним перитонітом. Перебіг інфікованих ПК ІІ типу ускладнювався у 5-ти хворих вірсунголітіазом, у 2  пацієнтів – кровотечею в порожнину ПК, у 3 - х – компресією органів ТК, у 2 -х хворих – МЖ, у 1 пацієнта – розривом ПК з розвитком загального перитоніту. Перебіг інфікованих ПК ІІІ типу ускладнювався у 4 – х хворих МЖ, у 3 </w:t>
      </w:r>
      <w:r w:rsidRPr="00C62D22">
        <w:rPr>
          <w:rFonts w:ascii="Times New Roman" w:hAnsi="Times New Roman" w:cs="Times New Roman"/>
          <w:color w:val="000000"/>
          <w:sz w:val="28"/>
          <w:szCs w:val="28"/>
        </w:rPr>
        <w:lastRenderedPageBreak/>
        <w:t xml:space="preserve">- х пацієнтів – компресією шлунка та /або ДПК. </w:t>
      </w:r>
      <w:r w:rsidRPr="00C62D22">
        <w:rPr>
          <w:rFonts w:ascii="Times New Roman" w:hAnsi="Times New Roman" w:cs="Times New Roman"/>
          <w:sz w:val="28"/>
          <w:szCs w:val="28"/>
        </w:rPr>
        <w:t>Кровотеча в порожнину ПК ускладнювала перебіг ПК ПЗ у 90 (17,82%) хворих, з них кровотеча у порожнину ПК з її розривом – у 6 (9,8%) пацієнтів, кровотеча в порожнину ПК із нагноєнням її вмісту – у 4 (6,6%) хворих, кровотеча в поєднанні з МЖ – у 3 (4,9%) пацієнтів. За даними різних авторів, УЗД кровотеча в порожнину ПК визначається наявністю дрібнодисперсного вмісту</w:t>
      </w:r>
      <w:r w:rsidRPr="00C62D22">
        <w:rPr>
          <w:rFonts w:ascii="Times New Roman" w:hAnsi="Times New Roman" w:cs="Times New Roman"/>
          <w:color w:val="FF0000"/>
          <w:sz w:val="28"/>
          <w:szCs w:val="28"/>
        </w:rPr>
        <w:t xml:space="preserve"> </w:t>
      </w:r>
      <w:r w:rsidRPr="00C62D22">
        <w:rPr>
          <w:rFonts w:ascii="Times New Roman" w:hAnsi="Times New Roman" w:cs="Times New Roman"/>
          <w:sz w:val="28"/>
          <w:szCs w:val="28"/>
        </w:rPr>
        <w:t>з турбулентним рухом у просвіті ПК, що підтверджено даними допплерографії [58, 97, 137, 142, 158]. На рис. 3.12. (А, Б) зображено ехограми хворих із ПК ПЗ ІІІ типу з кровотечею в їх порожнину.</w:t>
      </w:r>
    </w:p>
    <w:p w:rsidR="0021764E" w:rsidRPr="00C62D22" w:rsidRDefault="0021764E" w:rsidP="0021764E">
      <w:pPr>
        <w:spacing w:after="0" w:line="360" w:lineRule="auto"/>
        <w:ind w:right="76" w:firstLine="540"/>
        <w:jc w:val="both"/>
        <w:rPr>
          <w:rFonts w:ascii="Times New Roman" w:hAnsi="Times New Roman" w:cs="Times New Roman"/>
          <w:color w:val="000000"/>
          <w:sz w:val="28"/>
          <w:szCs w:val="28"/>
        </w:rPr>
      </w:pPr>
    </w:p>
    <w:p w:rsidR="0021764E" w:rsidRPr="00C62D22" w:rsidRDefault="0021764E" w:rsidP="0021764E">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43375" cy="2600325"/>
            <wp:effectExtent l="1905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
                    <a:srcRect/>
                    <a:stretch>
                      <a:fillRect/>
                    </a:stretch>
                  </pic:blipFill>
                  <pic:spPr bwMode="auto">
                    <a:xfrm>
                      <a:off x="0" y="0"/>
                      <a:ext cx="4143375" cy="260032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right="76"/>
        <w:jc w:val="center"/>
        <w:rPr>
          <w:rFonts w:ascii="Times New Roman" w:hAnsi="Times New Roman" w:cs="Times New Roman"/>
          <w:color w:val="FF0000"/>
          <w:sz w:val="28"/>
          <w:szCs w:val="28"/>
        </w:rPr>
      </w:pPr>
      <w:r w:rsidRPr="00C62D22">
        <w:rPr>
          <w:rFonts w:ascii="Times New Roman" w:hAnsi="Times New Roman" w:cs="Times New Roman"/>
          <w:sz w:val="28"/>
          <w:szCs w:val="28"/>
        </w:rPr>
        <w:pict>
          <v:shape id="_x0000_s1060" type="#_x0000_t202" style="position:absolute;left:0;text-align:left;margin-left:0;margin-top:188.85pt;width:506.3pt;height:56.85pt;z-index:251694080" stroked="f">
            <v:textbox style="mso-next-textbox:#_x0000_s1060">
              <w:txbxContent>
                <w:p w:rsidR="0021764E" w:rsidRPr="002B39E7" w:rsidRDefault="0021764E" w:rsidP="0021764E">
                  <w:pPr>
                    <w:spacing w:line="360" w:lineRule="auto"/>
                    <w:ind w:firstLine="540"/>
                    <w:jc w:val="right"/>
                    <w:rPr>
                      <w:rFonts w:ascii="Times New Roman" w:hAnsi="Times New Roman"/>
                      <w:sz w:val="28"/>
                      <w:szCs w:val="28"/>
                    </w:rPr>
                  </w:pPr>
                  <w:r>
                    <w:rPr>
                      <w:rFonts w:ascii="Times New Roman" w:hAnsi="Times New Roman"/>
                      <w:sz w:val="28"/>
                      <w:szCs w:val="28"/>
                    </w:rPr>
                    <w:t xml:space="preserve">Рис. 3.12. А, </w:t>
                  </w:r>
                  <w:r w:rsidRPr="002B39E7">
                    <w:rPr>
                      <w:rFonts w:ascii="Times New Roman" w:hAnsi="Times New Roman"/>
                      <w:sz w:val="28"/>
                      <w:szCs w:val="28"/>
                    </w:rPr>
                    <w:t xml:space="preserve">Б. </w:t>
                  </w:r>
                  <w:r>
                    <w:rPr>
                      <w:rFonts w:ascii="Times New Roman" w:hAnsi="Times New Roman"/>
                      <w:sz w:val="28"/>
                      <w:szCs w:val="28"/>
                    </w:rPr>
                    <w:t>Ехограма хворого з ПК ПЗ ІІІ типу, ускладненими кровотечею в</w:t>
                  </w:r>
                  <w:r w:rsidRPr="002B39E7">
                    <w:rPr>
                      <w:rFonts w:ascii="Times New Roman" w:hAnsi="Times New Roman"/>
                      <w:sz w:val="28"/>
                      <w:szCs w:val="28"/>
                    </w:rPr>
                    <w:t xml:space="preserve"> порожнину: 1</w:t>
                  </w:r>
                  <w:r>
                    <w:rPr>
                      <w:rFonts w:ascii="Times New Roman" w:hAnsi="Times New Roman"/>
                      <w:sz w:val="28"/>
                      <w:szCs w:val="28"/>
                    </w:rPr>
                    <w:t xml:space="preserve"> – ПК ІІІ типу</w:t>
                  </w:r>
                  <w:r w:rsidRPr="002B39E7">
                    <w:rPr>
                      <w:rFonts w:ascii="Times New Roman" w:hAnsi="Times New Roman"/>
                      <w:sz w:val="28"/>
                      <w:szCs w:val="28"/>
                    </w:rPr>
                    <w:t xml:space="preserve">, 2 </w:t>
                  </w:r>
                  <w:r>
                    <w:rPr>
                      <w:rFonts w:ascii="Times New Roman" w:hAnsi="Times New Roman"/>
                      <w:sz w:val="28"/>
                      <w:szCs w:val="28"/>
                    </w:rPr>
                    <w:t>– дрібнодисперсний уміст</w:t>
                  </w:r>
                </w:p>
              </w:txbxContent>
            </v:textbox>
          </v:shape>
        </w:pict>
      </w:r>
      <w:r w:rsidRPr="00C62D22">
        <w:rPr>
          <w:rFonts w:ascii="Times New Roman" w:hAnsi="Times New Roman" w:cs="Times New Roman"/>
          <w:color w:val="FF0000"/>
          <w:sz w:val="28"/>
          <w:szCs w:val="28"/>
        </w:rPr>
        <w:t xml:space="preserve">     </w:t>
      </w:r>
      <w:r w:rsidRPr="00C62D22">
        <w:rPr>
          <w:rFonts w:ascii="Times New Roman" w:hAnsi="Times New Roman" w:cs="Times New Roman"/>
          <w:noProof/>
          <w:color w:val="FF0000"/>
          <w:sz w:val="28"/>
          <w:szCs w:val="28"/>
        </w:rPr>
        <w:drawing>
          <wp:inline distT="0" distB="0" distL="0" distR="0">
            <wp:extent cx="4152900" cy="2409825"/>
            <wp:effectExtent l="1905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a:srcRect/>
                    <a:stretch>
                      <a:fillRect/>
                    </a:stretch>
                  </pic:blipFill>
                  <pic:spPr bwMode="auto">
                    <a:xfrm>
                      <a:off x="0" y="0"/>
                      <a:ext cx="4152900" cy="240982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right="76"/>
        <w:jc w:val="center"/>
        <w:rPr>
          <w:rFonts w:ascii="Times New Roman" w:hAnsi="Times New Roman" w:cs="Times New Roman"/>
          <w:color w:val="FF0000"/>
          <w:sz w:val="28"/>
          <w:szCs w:val="28"/>
        </w:rPr>
      </w:pPr>
    </w:p>
    <w:p w:rsidR="0021764E" w:rsidRPr="00C62D22" w:rsidRDefault="0021764E" w:rsidP="0021764E">
      <w:pPr>
        <w:spacing w:after="0" w:line="360" w:lineRule="auto"/>
        <w:ind w:right="76"/>
        <w:jc w:val="center"/>
        <w:rPr>
          <w:rFonts w:ascii="Times New Roman" w:hAnsi="Times New Roman" w:cs="Times New Roman"/>
          <w:color w:val="FF0000"/>
          <w:sz w:val="28"/>
          <w:szCs w:val="28"/>
        </w:rPr>
      </w:pPr>
    </w:p>
    <w:p w:rsidR="0021764E" w:rsidRPr="00C62D22" w:rsidRDefault="0021764E" w:rsidP="0021764E">
      <w:pPr>
        <w:widowControl w:val="0"/>
        <w:tabs>
          <w:tab w:val="left" w:pos="0"/>
        </w:tabs>
        <w:spacing w:after="0" w:line="360" w:lineRule="auto"/>
        <w:ind w:right="76"/>
        <w:jc w:val="both"/>
        <w:rPr>
          <w:rFonts w:ascii="Times New Roman" w:hAnsi="Times New Roman" w:cs="Times New Roman"/>
          <w:sz w:val="28"/>
          <w:szCs w:val="28"/>
        </w:rPr>
      </w:pPr>
      <w:r w:rsidRPr="00C62D22">
        <w:rPr>
          <w:rFonts w:ascii="Times New Roman" w:hAnsi="Times New Roman" w:cs="Times New Roman"/>
          <w:sz w:val="28"/>
          <w:szCs w:val="28"/>
        </w:rPr>
        <w:tab/>
        <w:t xml:space="preserve">На рис. 3.13. зображено ехограми хворих із чисельними ПК ПЗ ІІІ типу з нерівними чіткими контурами, зі значною кількістю дрібнодисперсного вмісту </w:t>
      </w:r>
      <w:r w:rsidRPr="00C62D22">
        <w:rPr>
          <w:rFonts w:ascii="Times New Roman" w:hAnsi="Times New Roman" w:cs="Times New Roman"/>
          <w:sz w:val="28"/>
          <w:szCs w:val="28"/>
        </w:rPr>
        <w:lastRenderedPageBreak/>
        <w:t>(кров).</w:t>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pict>
          <v:shape id="_x0000_s1046" type="#_x0000_t202" style="position:absolute;left:0;text-align:left;margin-left:-9pt;margin-top:207.45pt;width:513pt;height:54pt;z-index:251679744" stroked="f">
            <v:textbox style="mso-next-textbox:#_x0000_s1046">
              <w:txbxContent>
                <w:p w:rsidR="0021764E" w:rsidRPr="00911823" w:rsidRDefault="0021764E" w:rsidP="0021764E">
                  <w:pPr>
                    <w:widowControl w:val="0"/>
                    <w:tabs>
                      <w:tab w:val="left" w:pos="8651"/>
                    </w:tabs>
                    <w:spacing w:after="0" w:line="360" w:lineRule="auto"/>
                    <w:ind w:firstLine="540"/>
                    <w:jc w:val="right"/>
                    <w:rPr>
                      <w:rFonts w:ascii="Times New Roman" w:hAnsi="Times New Roman"/>
                      <w:sz w:val="28"/>
                      <w:szCs w:val="28"/>
                    </w:rPr>
                  </w:pPr>
                  <w:r w:rsidRPr="00911823">
                    <w:rPr>
                      <w:rFonts w:ascii="Times New Roman" w:hAnsi="Times New Roman"/>
                      <w:sz w:val="28"/>
                      <w:szCs w:val="28"/>
                    </w:rPr>
                    <w:t xml:space="preserve">Рис. </w:t>
                  </w:r>
                  <w:r>
                    <w:rPr>
                      <w:rFonts w:ascii="Times New Roman" w:hAnsi="Times New Roman"/>
                      <w:sz w:val="28"/>
                      <w:szCs w:val="28"/>
                    </w:rPr>
                    <w:t>3.13. Ехограма хворого з множинними ПК</w:t>
                  </w:r>
                  <w:r w:rsidRPr="00911823">
                    <w:rPr>
                      <w:rFonts w:ascii="Times New Roman" w:hAnsi="Times New Roman"/>
                      <w:sz w:val="28"/>
                      <w:szCs w:val="28"/>
                    </w:rPr>
                    <w:t xml:space="preserve"> ІІІ типу</w:t>
                  </w:r>
                  <w:r>
                    <w:rPr>
                      <w:rFonts w:ascii="Times New Roman" w:hAnsi="Times New Roman"/>
                      <w:sz w:val="28"/>
                      <w:szCs w:val="28"/>
                    </w:rPr>
                    <w:t xml:space="preserve"> (1)</w:t>
                  </w:r>
                  <w:r w:rsidRPr="00911823">
                    <w:rPr>
                      <w:rFonts w:ascii="Times New Roman" w:hAnsi="Times New Roman"/>
                      <w:sz w:val="28"/>
                      <w:szCs w:val="28"/>
                    </w:rPr>
                    <w:t>, з кровотеч</w:t>
                  </w:r>
                  <w:r>
                    <w:rPr>
                      <w:rFonts w:ascii="Times New Roman" w:hAnsi="Times New Roman"/>
                      <w:sz w:val="28"/>
                      <w:szCs w:val="28"/>
                    </w:rPr>
                    <w:t>ею в</w:t>
                  </w:r>
                  <w:r w:rsidRPr="00911823">
                    <w:rPr>
                      <w:rFonts w:ascii="Times New Roman" w:hAnsi="Times New Roman"/>
                      <w:sz w:val="28"/>
                      <w:szCs w:val="28"/>
                    </w:rPr>
                    <w:t xml:space="preserve"> порожнину</w:t>
                  </w:r>
                  <w:r>
                    <w:rPr>
                      <w:rFonts w:ascii="Times New Roman" w:hAnsi="Times New Roman"/>
                      <w:sz w:val="28"/>
                      <w:szCs w:val="28"/>
                    </w:rPr>
                    <w:t xml:space="preserve"> (2)</w:t>
                  </w:r>
                </w:p>
                <w:p w:rsidR="0021764E" w:rsidRDefault="0021764E" w:rsidP="0021764E">
                  <w:pPr>
                    <w:ind w:firstLine="540"/>
                  </w:pPr>
                </w:p>
              </w:txbxContent>
            </v:textbox>
          </v:shape>
        </w:pict>
      </w: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33850" cy="2609850"/>
            <wp:effectExtent l="1905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4"/>
                    <a:srcRect/>
                    <a:stretch>
                      <a:fillRect/>
                    </a:stretch>
                  </pic:blipFill>
                  <pic:spPr bwMode="auto">
                    <a:xfrm>
                      <a:off x="0" y="0"/>
                      <a:ext cx="4133850" cy="2609850"/>
                    </a:xfrm>
                    <a:prstGeom prst="rect">
                      <a:avLst/>
                    </a:prstGeom>
                    <a:noFill/>
                    <a:ln w="9525">
                      <a:noFill/>
                      <a:miter lim="800000"/>
                      <a:headEnd/>
                      <a:tailEnd/>
                    </a:ln>
                  </pic:spPr>
                </pic:pic>
              </a:graphicData>
            </a:graphic>
          </wp:inline>
        </w:drawing>
      </w:r>
    </w:p>
    <w:p w:rsidR="0021764E" w:rsidRPr="00C62D22" w:rsidRDefault="0021764E" w:rsidP="0021764E">
      <w:pPr>
        <w:autoSpaceDE w:val="0"/>
        <w:autoSpaceDN w:val="0"/>
        <w:adjustRightInd w:val="0"/>
        <w:spacing w:after="0" w:line="360" w:lineRule="auto"/>
        <w:ind w:right="76" w:firstLine="540"/>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ind w:right="76"/>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Наявність, за даними сонографії, ознак кровотечі, свідчила про необхідність проведення ангіографії [1, 96, 173, 191, 233, 262, 351]. За даними ангіографії, при наявності гострої кровотечі із судини в порожнину ПК ПЗ можна встановити її зв'язок з ГПП, вихід контрастної речовини в просвіт ДПК (рис. 3.14) [49, 119, 272].</w:t>
      </w:r>
    </w:p>
    <w:p w:rsidR="0021764E" w:rsidRPr="00C62D22" w:rsidRDefault="0021764E" w:rsidP="0021764E">
      <w:pPr>
        <w:autoSpaceDE w:val="0"/>
        <w:autoSpaceDN w:val="0"/>
        <w:adjustRightInd w:val="0"/>
        <w:spacing w:after="0" w:line="360" w:lineRule="auto"/>
        <w:ind w:right="76" w:firstLine="540"/>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pict>
          <v:shape id="_x0000_s1058" type="#_x0000_t202" style="position:absolute;left:0;text-align:left;margin-left:0;margin-top:202.45pt;width:483.15pt;height:63.15pt;z-index:251692032;mso-position-horizontal:center;mso-width-relative:margin;mso-height-relative:margin" stroked="f">
            <v:textbox style="mso-next-textbox:#_x0000_s1058">
              <w:txbxContent>
                <w:p w:rsidR="0021764E" w:rsidRPr="00B521B8" w:rsidRDefault="0021764E" w:rsidP="0021764E">
                  <w:pPr>
                    <w:spacing w:line="360" w:lineRule="auto"/>
                    <w:ind w:firstLine="540"/>
                    <w:jc w:val="right"/>
                    <w:rPr>
                      <w:rFonts w:ascii="Times New Roman" w:hAnsi="Times New Roman"/>
                      <w:sz w:val="28"/>
                      <w:szCs w:val="28"/>
                    </w:rPr>
                  </w:pPr>
                  <w:r w:rsidRPr="00B521B8">
                    <w:rPr>
                      <w:rFonts w:ascii="Times New Roman" w:hAnsi="Times New Roman"/>
                      <w:sz w:val="28"/>
                      <w:szCs w:val="28"/>
                    </w:rPr>
                    <w:t xml:space="preserve">Рис. 3.14. </w:t>
                  </w:r>
                  <w:r>
                    <w:rPr>
                      <w:rFonts w:ascii="Times New Roman" w:hAnsi="Times New Roman"/>
                      <w:sz w:val="28"/>
                      <w:szCs w:val="28"/>
                    </w:rPr>
                    <w:t>Ангіограма хворого Б: кровотеча в</w:t>
                  </w:r>
                  <w:r w:rsidRPr="00B521B8">
                    <w:rPr>
                      <w:rFonts w:ascii="Times New Roman" w:hAnsi="Times New Roman"/>
                      <w:sz w:val="28"/>
                      <w:szCs w:val="28"/>
                    </w:rPr>
                    <w:t xml:space="preserve"> порожнину ПК з </w:t>
                  </w:r>
                  <w:r>
                    <w:rPr>
                      <w:rFonts w:ascii="Times New Roman" w:hAnsi="Times New Roman"/>
                      <w:sz w:val="28"/>
                      <w:szCs w:val="28"/>
                    </w:rPr>
                    <w:t xml:space="preserve">                         </w:t>
                  </w:r>
                  <w:r w:rsidRPr="00B521B8">
                    <w:rPr>
                      <w:rFonts w:ascii="Times New Roman" w:hAnsi="Times New Roman"/>
                      <w:sz w:val="28"/>
                      <w:szCs w:val="28"/>
                    </w:rPr>
                    <w:t xml:space="preserve">а. </w:t>
                  </w:r>
                  <w:r w:rsidRPr="00B521B8">
                    <w:rPr>
                      <w:rFonts w:ascii="Times New Roman" w:hAnsi="Times New Roman"/>
                      <w:sz w:val="28"/>
                      <w:szCs w:val="28"/>
                      <w:lang w:val="en-US"/>
                    </w:rPr>
                    <w:t>gastroduodenalis</w:t>
                  </w:r>
                  <w:r>
                    <w:rPr>
                      <w:rFonts w:ascii="Times New Roman" w:hAnsi="Times New Roman"/>
                      <w:sz w:val="28"/>
                      <w:szCs w:val="28"/>
                    </w:rPr>
                    <w:t xml:space="preserve"> (у</w:t>
                  </w:r>
                  <w:r w:rsidRPr="00B521B8">
                    <w:rPr>
                      <w:rFonts w:ascii="Times New Roman" w:hAnsi="Times New Roman"/>
                      <w:sz w:val="28"/>
                      <w:szCs w:val="28"/>
                    </w:rPr>
                    <w:t>казана стрілкою)</w:t>
                  </w:r>
                </w:p>
              </w:txbxContent>
            </v:textbox>
          </v:shape>
        </w:pict>
      </w: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219575" cy="2609850"/>
            <wp:effectExtent l="19050" t="0" r="952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5" cstate="print"/>
                    <a:srcRect/>
                    <a:stretch>
                      <a:fillRect/>
                    </a:stretch>
                  </pic:blipFill>
                  <pic:spPr bwMode="auto">
                    <a:xfrm>
                      <a:off x="0" y="0"/>
                      <a:ext cx="4219575" cy="2609850"/>
                    </a:xfrm>
                    <a:prstGeom prst="rect">
                      <a:avLst/>
                    </a:prstGeom>
                    <a:noFill/>
                    <a:ln w="9525">
                      <a:noFill/>
                      <a:miter lim="800000"/>
                      <a:headEnd/>
                      <a:tailEnd/>
                    </a:ln>
                  </pic:spPr>
                </pic:pic>
              </a:graphicData>
            </a:graphic>
          </wp:inline>
        </w:drawing>
      </w:r>
    </w:p>
    <w:p w:rsidR="0021764E" w:rsidRPr="00C62D22" w:rsidRDefault="0021764E" w:rsidP="0021764E">
      <w:pPr>
        <w:autoSpaceDE w:val="0"/>
        <w:autoSpaceDN w:val="0"/>
        <w:adjustRightInd w:val="0"/>
        <w:spacing w:after="0" w:line="360" w:lineRule="auto"/>
        <w:ind w:right="76" w:firstLine="540"/>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ind w:right="76"/>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Поза періодом кровотечі порожнина ПК не заповнювалася контрастною речовиною, а єдиною ангіографічною ознакою був «обрив» контрастування живлячою судини, наявність аваскулярної ділянки в проекції ПК (рис. 3.15 – 3.16). </w:t>
      </w:r>
    </w:p>
    <w:p w:rsidR="0021764E" w:rsidRPr="00C62D22" w:rsidRDefault="0021764E" w:rsidP="0021764E">
      <w:pPr>
        <w:autoSpaceDE w:val="0"/>
        <w:autoSpaceDN w:val="0"/>
        <w:adjustRightInd w:val="0"/>
        <w:spacing w:after="0" w:line="360" w:lineRule="auto"/>
        <w:ind w:right="76"/>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43375" cy="2609850"/>
            <wp:effectExtent l="19050" t="0" r="952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6" cstate="print"/>
                    <a:srcRect/>
                    <a:stretch>
                      <a:fillRect/>
                    </a:stretch>
                  </pic:blipFill>
                  <pic:spPr bwMode="auto">
                    <a:xfrm>
                      <a:off x="0" y="0"/>
                      <a:ext cx="4143375" cy="2609850"/>
                    </a:xfrm>
                    <a:prstGeom prst="rect">
                      <a:avLst/>
                    </a:prstGeom>
                    <a:noFill/>
                    <a:ln w="9525">
                      <a:noFill/>
                      <a:miter lim="800000"/>
                      <a:headEnd/>
                      <a:tailEnd/>
                    </a:ln>
                  </pic:spPr>
                </pic:pic>
              </a:graphicData>
            </a:graphic>
          </wp:inline>
        </w:drawing>
      </w:r>
    </w:p>
    <w:p w:rsidR="0021764E" w:rsidRPr="00C62D22" w:rsidRDefault="0021764E" w:rsidP="0021764E">
      <w:pPr>
        <w:autoSpaceDE w:val="0"/>
        <w:autoSpaceDN w:val="0"/>
        <w:adjustRightInd w:val="0"/>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pict>
          <v:shape id="_x0000_s1047" type="#_x0000_t202" style="position:absolute;left:0;text-align:left;margin-left:-9pt;margin-top:.3pt;width:513pt;height:54pt;z-index:251680768" stroked="f">
            <v:textbox style="mso-next-textbox:#_x0000_s1047">
              <w:txbxContent>
                <w:p w:rsidR="0021764E" w:rsidRPr="00B521B8" w:rsidRDefault="0021764E" w:rsidP="0021764E">
                  <w:pPr>
                    <w:spacing w:line="360" w:lineRule="auto"/>
                    <w:jc w:val="right"/>
                    <w:rPr>
                      <w:rFonts w:ascii="Times New Roman" w:hAnsi="Times New Roman"/>
                      <w:sz w:val="28"/>
                      <w:szCs w:val="28"/>
                    </w:rPr>
                  </w:pPr>
                  <w:r w:rsidRPr="00B521B8">
                    <w:rPr>
                      <w:rFonts w:ascii="Times New Roman" w:hAnsi="Times New Roman"/>
                      <w:sz w:val="28"/>
                      <w:szCs w:val="28"/>
                    </w:rPr>
                    <w:t>Рис. 3.15. А</w:t>
                  </w:r>
                  <w:r>
                    <w:rPr>
                      <w:rFonts w:ascii="Times New Roman" w:hAnsi="Times New Roman"/>
                      <w:sz w:val="28"/>
                      <w:szCs w:val="28"/>
                    </w:rPr>
                    <w:t>нгіограма хворого Б: кровотеча в</w:t>
                  </w:r>
                  <w:r w:rsidRPr="00B521B8">
                    <w:rPr>
                      <w:rFonts w:ascii="Times New Roman" w:hAnsi="Times New Roman"/>
                      <w:sz w:val="28"/>
                      <w:szCs w:val="28"/>
                    </w:rPr>
                    <w:t xml:space="preserve"> порожнину ПК (</w:t>
                  </w:r>
                  <w:r>
                    <w:rPr>
                      <w:rFonts w:ascii="Times New Roman" w:hAnsi="Times New Roman"/>
                      <w:sz w:val="28"/>
                      <w:szCs w:val="28"/>
                    </w:rPr>
                    <w:t>«обрив»</w:t>
                  </w:r>
                  <w:r w:rsidRPr="00B521B8">
                    <w:rPr>
                      <w:rFonts w:ascii="Times New Roman" w:hAnsi="Times New Roman"/>
                      <w:sz w:val="28"/>
                      <w:szCs w:val="28"/>
                    </w:rPr>
                    <w:t xml:space="preserve"> лі</w:t>
                  </w:r>
                  <w:r>
                    <w:rPr>
                      <w:rFonts w:ascii="Times New Roman" w:hAnsi="Times New Roman"/>
                      <w:sz w:val="28"/>
                      <w:szCs w:val="28"/>
                    </w:rPr>
                    <w:t>вої</w:t>
                  </w:r>
                  <w:r w:rsidRPr="00B521B8">
                    <w:rPr>
                      <w:rFonts w:ascii="Times New Roman" w:hAnsi="Times New Roman"/>
                      <w:sz w:val="28"/>
                      <w:szCs w:val="28"/>
                    </w:rPr>
                    <w:t xml:space="preserve"> шлунк</w:t>
                  </w:r>
                  <w:r>
                    <w:rPr>
                      <w:rFonts w:ascii="Times New Roman" w:hAnsi="Times New Roman"/>
                      <w:sz w:val="28"/>
                      <w:szCs w:val="28"/>
                    </w:rPr>
                    <w:t>ової</w:t>
                  </w:r>
                  <w:r w:rsidRPr="00B521B8">
                    <w:rPr>
                      <w:rFonts w:ascii="Times New Roman" w:hAnsi="Times New Roman"/>
                      <w:sz w:val="28"/>
                      <w:szCs w:val="28"/>
                    </w:rPr>
                    <w:t xml:space="preserve"> арте</w:t>
                  </w:r>
                  <w:r>
                    <w:rPr>
                      <w:rFonts w:ascii="Times New Roman" w:hAnsi="Times New Roman"/>
                      <w:sz w:val="28"/>
                      <w:szCs w:val="28"/>
                    </w:rPr>
                    <w:t>рії – у</w:t>
                  </w:r>
                  <w:r w:rsidRPr="00B521B8">
                    <w:rPr>
                      <w:rFonts w:ascii="Times New Roman" w:hAnsi="Times New Roman"/>
                      <w:sz w:val="28"/>
                      <w:szCs w:val="28"/>
                    </w:rPr>
                    <w:t>казан</w:t>
                  </w:r>
                  <w:r>
                    <w:rPr>
                      <w:rFonts w:ascii="Times New Roman" w:hAnsi="Times New Roman"/>
                      <w:sz w:val="28"/>
                      <w:szCs w:val="28"/>
                    </w:rPr>
                    <w:t>ий стрілкою</w:t>
                  </w:r>
                  <w:r w:rsidRPr="00B521B8">
                    <w:rPr>
                      <w:rFonts w:ascii="Times New Roman" w:hAnsi="Times New Roman"/>
                      <w:sz w:val="28"/>
                      <w:szCs w:val="28"/>
                    </w:rPr>
                    <w:t>)</w:t>
                  </w:r>
                </w:p>
              </w:txbxContent>
            </v:textbox>
          </v:shape>
        </w:pict>
      </w:r>
    </w:p>
    <w:p w:rsidR="0021764E" w:rsidRPr="00C62D22" w:rsidRDefault="0021764E" w:rsidP="0021764E">
      <w:pPr>
        <w:autoSpaceDE w:val="0"/>
        <w:autoSpaceDN w:val="0"/>
        <w:adjustRightInd w:val="0"/>
        <w:spacing w:after="0" w:line="360" w:lineRule="auto"/>
        <w:ind w:right="76" w:firstLine="540"/>
        <w:jc w:val="center"/>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ind w:right="76"/>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ind w:right="796"/>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24325" cy="2609850"/>
            <wp:effectExtent l="19050" t="0" r="952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7" cstate="print"/>
                    <a:srcRect/>
                    <a:stretch>
                      <a:fillRect/>
                    </a:stretch>
                  </pic:blipFill>
                  <pic:spPr bwMode="auto">
                    <a:xfrm>
                      <a:off x="0" y="0"/>
                      <a:ext cx="4124325" cy="2609850"/>
                    </a:xfrm>
                    <a:prstGeom prst="rect">
                      <a:avLst/>
                    </a:prstGeom>
                    <a:noFill/>
                    <a:ln w="9525">
                      <a:noFill/>
                      <a:miter lim="800000"/>
                      <a:headEnd/>
                      <a:tailEnd/>
                    </a:ln>
                  </pic:spPr>
                </pic:pic>
              </a:graphicData>
            </a:graphic>
          </wp:inline>
        </w:drawing>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pict>
          <v:shape id="_x0000_s1059" type="#_x0000_t202" style="position:absolute;left:0;text-align:left;margin-left:3pt;margin-top:.8pt;width:501pt;height:63pt;z-index:251693056" stroked="f">
            <v:textbox style="mso-next-textbox:#_x0000_s1059">
              <w:txbxContent>
                <w:p w:rsidR="0021764E" w:rsidRPr="00B521B8" w:rsidRDefault="0021764E" w:rsidP="0021764E">
                  <w:pPr>
                    <w:spacing w:line="360" w:lineRule="auto"/>
                    <w:ind w:firstLine="708"/>
                    <w:jc w:val="right"/>
                    <w:rPr>
                      <w:rFonts w:ascii="Times New Roman" w:hAnsi="Times New Roman"/>
                      <w:sz w:val="28"/>
                      <w:szCs w:val="28"/>
                    </w:rPr>
                  </w:pPr>
                  <w:r w:rsidRPr="00B521B8">
                    <w:rPr>
                      <w:rFonts w:ascii="Times New Roman" w:hAnsi="Times New Roman"/>
                      <w:sz w:val="28"/>
                      <w:szCs w:val="28"/>
                    </w:rPr>
                    <w:t>Рис. 3.1</w:t>
                  </w:r>
                  <w:r>
                    <w:rPr>
                      <w:rFonts w:ascii="Times New Roman" w:hAnsi="Times New Roman"/>
                      <w:sz w:val="28"/>
                      <w:szCs w:val="28"/>
                    </w:rPr>
                    <w:t>6</w:t>
                  </w:r>
                  <w:r w:rsidRPr="00B521B8">
                    <w:rPr>
                      <w:rFonts w:ascii="Times New Roman" w:hAnsi="Times New Roman"/>
                      <w:sz w:val="28"/>
                      <w:szCs w:val="28"/>
                    </w:rPr>
                    <w:t xml:space="preserve">. Ангіограма хворого Б: </w:t>
                  </w:r>
                  <w:r>
                    <w:rPr>
                      <w:rFonts w:ascii="Times New Roman" w:hAnsi="Times New Roman"/>
                      <w:sz w:val="28"/>
                      <w:szCs w:val="28"/>
                    </w:rPr>
                    <w:t>ліва шлункова артерія після рентгенендоваскулярної оклюзії</w:t>
                  </w:r>
                </w:p>
              </w:txbxContent>
            </v:textbox>
          </v:shape>
        </w:pict>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У деяких ПК великих розмірів при МСКТ відзначалася різна товщина стінки. Найкраще вона була розвинена в ділянці проекції ПЗ та стоншена в найбільш </w:t>
      </w:r>
      <w:r w:rsidRPr="00C62D22">
        <w:rPr>
          <w:rFonts w:ascii="Times New Roman" w:hAnsi="Times New Roman" w:cs="Times New Roman"/>
          <w:sz w:val="28"/>
          <w:szCs w:val="28"/>
        </w:rPr>
        <w:lastRenderedPageBreak/>
        <w:t xml:space="preserve">віддалених від органа ділянках. Збільшення розмірів новоутворення з прогресуючим стоншенням капсули розглядали як фактор прогнозу розриву ПК. Розрив ПК з потраплянням її вмісту у вільну черевну порожнину та розвитком перитоніту спостерігався у 24 (4,76%) хворих. Це ускладнення виникало при наявності «напруженої» ПК. На рис. 3.17. зображено ехограму хворого С., 33 р, з розривом ПК та розвитком розповсюдженого перитоніту. </w:t>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200525" cy="2600325"/>
            <wp:effectExtent l="19050" t="0" r="9525"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8"/>
                    <a:srcRect/>
                    <a:stretch>
                      <a:fillRect/>
                    </a:stretch>
                  </pic:blipFill>
                  <pic:spPr bwMode="auto">
                    <a:xfrm>
                      <a:off x="0" y="0"/>
                      <a:ext cx="4200525" cy="2600325"/>
                    </a:xfrm>
                    <a:prstGeom prst="rect">
                      <a:avLst/>
                    </a:prstGeom>
                    <a:noFill/>
                    <a:ln w="9525">
                      <a:noFill/>
                      <a:miter lim="800000"/>
                      <a:headEnd/>
                      <a:tailEnd/>
                    </a:ln>
                  </pic:spPr>
                </pic:pic>
              </a:graphicData>
            </a:graphic>
          </wp:inline>
        </w:drawing>
      </w:r>
    </w:p>
    <w:p w:rsidR="0021764E" w:rsidRPr="00C62D22" w:rsidRDefault="0021764E" w:rsidP="0021764E">
      <w:pPr>
        <w:tabs>
          <w:tab w:val="left" w:pos="14570"/>
          <w:tab w:val="left" w:pos="14601"/>
        </w:tabs>
        <w:spacing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pict>
          <v:shape id="_x0000_s1048" type="#_x0000_t202" style="position:absolute;left:0;text-align:left;margin-left:0;margin-top:1.05pt;width:7in;height:55.9pt;z-index:251681792" stroked="f">
            <v:textbox style="mso-next-textbox:#_x0000_s1048">
              <w:txbxContent>
                <w:p w:rsidR="0021764E" w:rsidRDefault="0021764E" w:rsidP="0021764E">
                  <w:pPr>
                    <w:widowControl w:val="0"/>
                    <w:tabs>
                      <w:tab w:val="left" w:pos="8651"/>
                    </w:tabs>
                    <w:spacing w:after="0" w:line="360" w:lineRule="auto"/>
                    <w:ind w:firstLine="540"/>
                    <w:jc w:val="right"/>
                    <w:rPr>
                      <w:rFonts w:ascii="Times New Roman" w:hAnsi="Times New Roman"/>
                      <w:sz w:val="28"/>
                      <w:szCs w:val="28"/>
                    </w:rPr>
                  </w:pPr>
                  <w:r w:rsidRPr="004B1369">
                    <w:rPr>
                      <w:rFonts w:ascii="Times New Roman" w:hAnsi="Times New Roman"/>
                      <w:sz w:val="28"/>
                      <w:szCs w:val="28"/>
                    </w:rPr>
                    <w:t>Рис.</w:t>
                  </w:r>
                  <w:r>
                    <w:rPr>
                      <w:rFonts w:ascii="Times New Roman" w:hAnsi="Times New Roman"/>
                      <w:sz w:val="28"/>
                      <w:szCs w:val="28"/>
                    </w:rPr>
                    <w:t xml:space="preserve"> 3.17.</w:t>
                  </w:r>
                  <w:r w:rsidRPr="004B1369">
                    <w:rPr>
                      <w:rFonts w:ascii="Times New Roman" w:hAnsi="Times New Roman"/>
                      <w:sz w:val="28"/>
                      <w:szCs w:val="28"/>
                    </w:rPr>
                    <w:t xml:space="preserve"> Ехограма хворого С., 33 </w:t>
                  </w:r>
                  <w:r>
                    <w:rPr>
                      <w:rFonts w:ascii="Times New Roman" w:hAnsi="Times New Roman"/>
                      <w:sz w:val="28"/>
                      <w:szCs w:val="28"/>
                    </w:rPr>
                    <w:t xml:space="preserve">р: ПК голівки ПЗ ІІ типу, ускладнена </w:t>
                  </w:r>
                  <w:r w:rsidRPr="004B1369">
                    <w:rPr>
                      <w:rFonts w:ascii="Times New Roman" w:hAnsi="Times New Roman"/>
                      <w:sz w:val="28"/>
                      <w:szCs w:val="28"/>
                    </w:rPr>
                    <w:t>розрив</w:t>
                  </w:r>
                  <w:r>
                    <w:rPr>
                      <w:rFonts w:ascii="Times New Roman" w:hAnsi="Times New Roman"/>
                      <w:sz w:val="28"/>
                      <w:szCs w:val="28"/>
                    </w:rPr>
                    <w:t>ом, дифузним перитонітом (указано стрілкою)</w:t>
                  </w:r>
                </w:p>
                <w:p w:rsidR="0021764E" w:rsidRDefault="0021764E" w:rsidP="0021764E">
                  <w:pPr>
                    <w:ind w:firstLine="540"/>
                  </w:pPr>
                </w:p>
              </w:txbxContent>
            </v:textbox>
          </v:shape>
        </w:pict>
      </w:r>
    </w:p>
    <w:p w:rsidR="0021764E" w:rsidRPr="00C62D22" w:rsidRDefault="0021764E" w:rsidP="0021764E">
      <w:pPr>
        <w:tabs>
          <w:tab w:val="left" w:pos="14570"/>
          <w:tab w:val="left" w:pos="1460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tabs>
          <w:tab w:val="left" w:pos="14570"/>
          <w:tab w:val="left" w:pos="14601"/>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ПК ПЗ, ускладнені МЖ, виявлені в 97 (19,2%) хворих, з яких у 4 (0,8%) – з ПК ПЗ І типу, у 35 (6,9%) – з ПК ПЗ ІІ типу, 58 (11,5%) – з ПК ПЗ ІІІ типу. ПК ПЗ І типу, ускладнені МЖ, у 2 хворих супроводжувалися кровотечею в порожнину кісти, та у 2 хворих – нагноєнням. ПК ПЗ ІІ типу, ускладнені МЖ, супроводжувалися нагноєнням – у 4 хворих, вірсунголітіазом та тубулярним стенозом холедоху – 7, деформацією шлунка та /або ДПК – 6, кровотечею в порожнину кісти – 5. ПК ПЗ ІІІ типу, ускладнені МЖ, супроводжувалися деформацією шлунка та /або ДПК у 13 хворих, кровотечею в порожнину – 5, нагноєнням – 1.</w:t>
      </w:r>
    </w:p>
    <w:p w:rsidR="0021764E" w:rsidRPr="00C62D22" w:rsidRDefault="0021764E" w:rsidP="0021764E">
      <w:pPr>
        <w:tabs>
          <w:tab w:val="left" w:pos="14570"/>
          <w:tab w:val="left" w:pos="14601"/>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При ПК ПЗ, ускладнених МЖ (n=97), при сонографічному дослідженні спостерігалося збільшення печінки в середньому до +2,5 – </w:t>
      </w:r>
      <w:smartTag w:uri="urn:schemas-microsoft-com:office:smarttags" w:element="State">
        <w:smartTagPr>
          <w:attr w:name="ProductID" w:val="3 см"/>
        </w:smartTagPr>
        <w:r w:rsidRPr="00C62D22">
          <w:rPr>
            <w:rFonts w:ascii="Times New Roman" w:hAnsi="Times New Roman" w:cs="Times New Roman"/>
            <w:sz w:val="28"/>
            <w:szCs w:val="28"/>
          </w:rPr>
          <w:t>3 см</w:t>
        </w:r>
      </w:smartTag>
      <w:r w:rsidRPr="00C62D22">
        <w:rPr>
          <w:rFonts w:ascii="Times New Roman" w:hAnsi="Times New Roman" w:cs="Times New Roman"/>
          <w:sz w:val="28"/>
          <w:szCs w:val="28"/>
        </w:rPr>
        <w:t xml:space="preserve"> у 56 (57,7%) хворих, більше за рахунок лівої частки, паренхіма органа характеризувалася зернистістю, </w:t>
      </w:r>
      <w:r w:rsidRPr="00C62D22">
        <w:rPr>
          <w:rFonts w:ascii="Times New Roman" w:hAnsi="Times New Roman" w:cs="Times New Roman"/>
          <w:sz w:val="28"/>
          <w:szCs w:val="28"/>
        </w:rPr>
        <w:lastRenderedPageBreak/>
        <w:t>підвищенням відносної щільності та зниженням звукопровідності. Також були виявлені ознаки біліарної гіпертензії у вигляді дилатації внутрішньопечінкових та зовнішньопечінкових протоків до 8-</w:t>
      </w:r>
      <w:smartTag w:uri="urn:schemas-microsoft-com:office:smarttags" w:element="State">
        <w:smartTagPr>
          <w:attr w:name="ProductID" w:val="16 мм"/>
        </w:smartTagPr>
        <w:r w:rsidRPr="00C62D22">
          <w:rPr>
            <w:rFonts w:ascii="Times New Roman" w:hAnsi="Times New Roman" w:cs="Times New Roman"/>
            <w:sz w:val="28"/>
            <w:szCs w:val="28"/>
          </w:rPr>
          <w:t>16 мм</w:t>
        </w:r>
      </w:smartTag>
      <w:r w:rsidRPr="00C62D22">
        <w:rPr>
          <w:rFonts w:ascii="Times New Roman" w:hAnsi="Times New Roman" w:cs="Times New Roman"/>
          <w:sz w:val="28"/>
          <w:szCs w:val="28"/>
        </w:rPr>
        <w:t>, у середньому 11, 4±</w:t>
      </w:r>
      <w:smartTag w:uri="urn:schemas-microsoft-com:office:smarttags" w:element="State">
        <w:smartTagPr>
          <w:attr w:name="ProductID" w:val="1,3 мм"/>
        </w:smartTagPr>
        <w:r w:rsidRPr="00C62D22">
          <w:rPr>
            <w:rFonts w:ascii="Times New Roman" w:hAnsi="Times New Roman" w:cs="Times New Roman"/>
            <w:sz w:val="28"/>
            <w:szCs w:val="28"/>
          </w:rPr>
          <w:t>1,3 мм</w:t>
        </w:r>
      </w:smartTag>
      <w:r w:rsidRPr="00C62D22">
        <w:rPr>
          <w:rFonts w:ascii="Times New Roman" w:hAnsi="Times New Roman" w:cs="Times New Roman"/>
          <w:sz w:val="28"/>
          <w:szCs w:val="28"/>
        </w:rPr>
        <w:t>, що було наслідком компресії гепатикохоледоху (рис. 3.18. А, Б) [128, 144].</w:t>
      </w:r>
    </w:p>
    <w:p w:rsidR="0021764E" w:rsidRPr="00C62D22" w:rsidRDefault="0021764E" w:rsidP="0021764E">
      <w:pPr>
        <w:tabs>
          <w:tab w:val="left" w:pos="9180"/>
          <w:tab w:val="left" w:pos="14570"/>
          <w:tab w:val="left" w:pos="14601"/>
        </w:tabs>
        <w:spacing w:after="0" w:line="240" w:lineRule="auto"/>
        <w:ind w:right="76" w:firstLine="540"/>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33850" cy="2600325"/>
            <wp:effectExtent l="1905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9"/>
                    <a:srcRect/>
                    <a:stretch>
                      <a:fillRect/>
                    </a:stretch>
                  </pic:blipFill>
                  <pic:spPr bwMode="auto">
                    <a:xfrm>
                      <a:off x="0" y="0"/>
                      <a:ext cx="4133850" cy="2600325"/>
                    </a:xfrm>
                    <a:prstGeom prst="rect">
                      <a:avLst/>
                    </a:prstGeom>
                    <a:noFill/>
                    <a:ln w="9525">
                      <a:noFill/>
                      <a:miter lim="800000"/>
                      <a:headEnd/>
                      <a:tailEnd/>
                    </a:ln>
                  </pic:spPr>
                </pic:pic>
              </a:graphicData>
            </a:graphic>
          </wp:inline>
        </w:drawing>
      </w:r>
    </w:p>
    <w:p w:rsidR="0021764E" w:rsidRPr="00C62D22" w:rsidRDefault="0021764E" w:rsidP="0021764E">
      <w:pPr>
        <w:autoSpaceDE w:val="0"/>
        <w:autoSpaceDN w:val="0"/>
        <w:adjustRightInd w:val="0"/>
        <w:spacing w:after="0" w:line="360" w:lineRule="auto"/>
        <w:ind w:right="76" w:firstLine="540"/>
        <w:jc w:val="both"/>
        <w:rPr>
          <w:rFonts w:ascii="Times New Roman" w:hAnsi="Times New Roman" w:cs="Times New Roman"/>
          <w:color w:val="000000"/>
          <w:sz w:val="28"/>
          <w:szCs w:val="28"/>
        </w:rPr>
      </w:pPr>
      <w:r w:rsidRPr="00C62D22">
        <w:rPr>
          <w:rFonts w:ascii="Times New Roman" w:hAnsi="Times New Roman" w:cs="Times New Roman"/>
          <w:sz w:val="28"/>
          <w:szCs w:val="28"/>
        </w:rPr>
        <w:pict>
          <v:shape id="_x0000_s1049" type="#_x0000_t202" style="position:absolute;left:0;text-align:left;margin-left:9pt;margin-top:1.8pt;width:495pt;height:48.05pt;z-index:251682816" stroked="f">
            <v:textbox style="mso-next-textbox:#_x0000_s1049">
              <w:txbxContent>
                <w:p w:rsidR="0021764E" w:rsidRPr="00854AA0" w:rsidRDefault="0021764E" w:rsidP="0021764E">
                  <w:pPr>
                    <w:autoSpaceDE w:val="0"/>
                    <w:autoSpaceDN w:val="0"/>
                    <w:adjustRightInd w:val="0"/>
                    <w:spacing w:after="0" w:line="360" w:lineRule="auto"/>
                    <w:ind w:firstLine="540"/>
                    <w:jc w:val="right"/>
                    <w:rPr>
                      <w:rFonts w:ascii="Times New Roman" w:hAnsi="Times New Roman"/>
                      <w:sz w:val="28"/>
                      <w:szCs w:val="28"/>
                    </w:rPr>
                  </w:pPr>
                  <w:r w:rsidRPr="00854AA0">
                    <w:rPr>
                      <w:rFonts w:ascii="Times New Roman" w:hAnsi="Times New Roman"/>
                      <w:sz w:val="28"/>
                      <w:szCs w:val="28"/>
                    </w:rPr>
                    <w:t>Рис. 3</w:t>
                  </w:r>
                  <w:r>
                    <w:rPr>
                      <w:rFonts w:ascii="Times New Roman" w:hAnsi="Times New Roman"/>
                      <w:sz w:val="28"/>
                      <w:szCs w:val="28"/>
                    </w:rPr>
                    <w:t>.18</w:t>
                  </w:r>
                  <w:r w:rsidRPr="00854AA0">
                    <w:rPr>
                      <w:rFonts w:ascii="Times New Roman" w:hAnsi="Times New Roman"/>
                      <w:sz w:val="28"/>
                      <w:szCs w:val="28"/>
                    </w:rPr>
                    <w:t>.</w:t>
                  </w:r>
                  <w:r>
                    <w:rPr>
                      <w:rFonts w:ascii="Times New Roman" w:hAnsi="Times New Roman"/>
                      <w:sz w:val="28"/>
                      <w:szCs w:val="28"/>
                    </w:rPr>
                    <w:t xml:space="preserve"> А: Ехограма хворого з ПК</w:t>
                  </w:r>
                  <w:r w:rsidRPr="00854AA0">
                    <w:rPr>
                      <w:rFonts w:ascii="Times New Roman" w:hAnsi="Times New Roman"/>
                      <w:sz w:val="28"/>
                      <w:szCs w:val="28"/>
                    </w:rPr>
                    <w:t xml:space="preserve"> гол</w:t>
                  </w:r>
                  <w:r>
                    <w:rPr>
                      <w:rFonts w:ascii="Times New Roman" w:hAnsi="Times New Roman"/>
                      <w:sz w:val="28"/>
                      <w:szCs w:val="28"/>
                    </w:rPr>
                    <w:t>івки ПЗ ІІ типу (указано стрілкою)</w:t>
                  </w:r>
                </w:p>
                <w:p w:rsidR="0021764E" w:rsidRPr="00ED2214" w:rsidRDefault="0021764E" w:rsidP="0021764E"/>
              </w:txbxContent>
            </v:textbox>
          </v:shape>
        </w:pict>
      </w:r>
    </w:p>
    <w:p w:rsidR="0021764E" w:rsidRPr="00C62D22" w:rsidRDefault="0021764E" w:rsidP="0021764E">
      <w:pPr>
        <w:autoSpaceDE w:val="0"/>
        <w:autoSpaceDN w:val="0"/>
        <w:adjustRightInd w:val="0"/>
        <w:spacing w:after="0" w:line="360" w:lineRule="auto"/>
        <w:ind w:right="76" w:firstLine="540"/>
        <w:jc w:val="both"/>
        <w:rPr>
          <w:rFonts w:ascii="Times New Roman" w:hAnsi="Times New Roman" w:cs="Times New Roman"/>
          <w:color w:val="000000"/>
          <w:sz w:val="28"/>
          <w:szCs w:val="28"/>
        </w:rPr>
      </w:pPr>
    </w:p>
    <w:p w:rsidR="0021764E" w:rsidRPr="00C62D22" w:rsidRDefault="0021764E" w:rsidP="0021764E">
      <w:pPr>
        <w:autoSpaceDE w:val="0"/>
        <w:autoSpaceDN w:val="0"/>
        <w:adjustRightInd w:val="0"/>
        <w:spacing w:after="0" w:line="360" w:lineRule="auto"/>
        <w:ind w:right="76"/>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 xml:space="preserve">     </w:t>
      </w:r>
      <w:r w:rsidRPr="00C62D22">
        <w:rPr>
          <w:rFonts w:ascii="Times New Roman" w:hAnsi="Times New Roman" w:cs="Times New Roman"/>
          <w:noProof/>
          <w:color w:val="000000"/>
          <w:sz w:val="28"/>
          <w:szCs w:val="28"/>
        </w:rPr>
        <w:drawing>
          <wp:inline distT="0" distB="0" distL="0" distR="0">
            <wp:extent cx="4124325" cy="2590800"/>
            <wp:effectExtent l="19050" t="0" r="9525"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0"/>
                    <a:srcRect/>
                    <a:stretch>
                      <a:fillRect/>
                    </a:stretch>
                  </pic:blipFill>
                  <pic:spPr bwMode="auto">
                    <a:xfrm>
                      <a:off x="0" y="0"/>
                      <a:ext cx="4124325" cy="2590800"/>
                    </a:xfrm>
                    <a:prstGeom prst="rect">
                      <a:avLst/>
                    </a:prstGeom>
                    <a:noFill/>
                    <a:ln w="9525">
                      <a:noFill/>
                      <a:miter lim="800000"/>
                      <a:headEnd/>
                      <a:tailEnd/>
                    </a:ln>
                  </pic:spPr>
                </pic:pic>
              </a:graphicData>
            </a:graphic>
          </wp:inline>
        </w:drawing>
      </w:r>
    </w:p>
    <w:p w:rsidR="0021764E" w:rsidRPr="00C62D22" w:rsidRDefault="0021764E" w:rsidP="0021764E">
      <w:pPr>
        <w:autoSpaceDE w:val="0"/>
        <w:autoSpaceDN w:val="0"/>
        <w:adjustRightInd w:val="0"/>
        <w:spacing w:after="0" w:line="360" w:lineRule="auto"/>
        <w:ind w:right="76" w:firstLine="540"/>
        <w:jc w:val="both"/>
        <w:rPr>
          <w:rFonts w:ascii="Times New Roman" w:hAnsi="Times New Roman" w:cs="Times New Roman"/>
          <w:color w:val="000000"/>
          <w:sz w:val="28"/>
          <w:szCs w:val="28"/>
        </w:rPr>
      </w:pPr>
      <w:r w:rsidRPr="00C62D22">
        <w:rPr>
          <w:rFonts w:ascii="Times New Roman" w:hAnsi="Times New Roman" w:cs="Times New Roman"/>
          <w:color w:val="000000"/>
          <w:sz w:val="28"/>
          <w:szCs w:val="28"/>
        </w:rPr>
        <w:pict>
          <v:shape id="_x0000_s1061" type="#_x0000_t202" style="position:absolute;left:0;text-align:left;margin-left:0;margin-top:1.35pt;width:7in;height:54pt;z-index:251695104" stroked="f">
            <v:textbox style="mso-next-textbox:#_x0000_s1061">
              <w:txbxContent>
                <w:p w:rsidR="0021764E" w:rsidRPr="00854AA0" w:rsidRDefault="0021764E" w:rsidP="0021764E">
                  <w:pPr>
                    <w:autoSpaceDE w:val="0"/>
                    <w:autoSpaceDN w:val="0"/>
                    <w:adjustRightInd w:val="0"/>
                    <w:spacing w:after="0" w:line="360" w:lineRule="auto"/>
                    <w:jc w:val="right"/>
                    <w:rPr>
                      <w:rFonts w:ascii="Times New Roman" w:hAnsi="Times New Roman"/>
                      <w:sz w:val="28"/>
                      <w:szCs w:val="28"/>
                    </w:rPr>
                  </w:pPr>
                  <w:r w:rsidRPr="00854AA0">
                    <w:rPr>
                      <w:rFonts w:ascii="Times New Roman" w:hAnsi="Times New Roman"/>
                      <w:sz w:val="28"/>
                      <w:szCs w:val="28"/>
                    </w:rPr>
                    <w:t>Рис. 3</w:t>
                  </w:r>
                  <w:r>
                    <w:rPr>
                      <w:rFonts w:ascii="Times New Roman" w:hAnsi="Times New Roman"/>
                      <w:sz w:val="28"/>
                      <w:szCs w:val="28"/>
                    </w:rPr>
                    <w:t>.18</w:t>
                  </w:r>
                  <w:r w:rsidRPr="00854AA0">
                    <w:rPr>
                      <w:rFonts w:ascii="Times New Roman" w:hAnsi="Times New Roman"/>
                      <w:sz w:val="28"/>
                      <w:szCs w:val="28"/>
                    </w:rPr>
                    <w:t>.</w:t>
                  </w:r>
                  <w:r>
                    <w:rPr>
                      <w:rFonts w:ascii="Times New Roman" w:hAnsi="Times New Roman"/>
                      <w:sz w:val="28"/>
                      <w:szCs w:val="28"/>
                    </w:rPr>
                    <w:t xml:space="preserve"> Б: Ехограма хворого з ПК</w:t>
                  </w:r>
                  <w:r w:rsidRPr="00854AA0">
                    <w:rPr>
                      <w:rFonts w:ascii="Times New Roman" w:hAnsi="Times New Roman"/>
                      <w:sz w:val="28"/>
                      <w:szCs w:val="28"/>
                    </w:rPr>
                    <w:t xml:space="preserve"> гол</w:t>
                  </w:r>
                  <w:r>
                    <w:rPr>
                      <w:rFonts w:ascii="Times New Roman" w:hAnsi="Times New Roman"/>
                      <w:sz w:val="28"/>
                      <w:szCs w:val="28"/>
                    </w:rPr>
                    <w:t>івки ПЗ ІІ типу – розширення холедоху</w:t>
                  </w:r>
                  <w:r w:rsidRPr="00854AA0">
                    <w:rPr>
                      <w:rFonts w:ascii="Times New Roman" w:hAnsi="Times New Roman"/>
                      <w:sz w:val="28"/>
                      <w:szCs w:val="28"/>
                    </w:rPr>
                    <w:t xml:space="preserve"> до </w:t>
                  </w:r>
                  <w:smartTag w:uri="urn:schemas-microsoft-com:office:smarttags" w:element="State">
                    <w:smartTagPr>
                      <w:attr w:name="ProductID" w:val="10 мм"/>
                    </w:smartTagPr>
                    <w:r w:rsidRPr="00854AA0">
                      <w:rPr>
                        <w:rFonts w:ascii="Times New Roman" w:hAnsi="Times New Roman"/>
                        <w:sz w:val="28"/>
                        <w:szCs w:val="28"/>
                      </w:rPr>
                      <w:t>10 мм</w:t>
                    </w:r>
                  </w:smartTag>
                  <w:r>
                    <w:rPr>
                      <w:rFonts w:ascii="Times New Roman" w:hAnsi="Times New Roman"/>
                      <w:sz w:val="28"/>
                      <w:szCs w:val="28"/>
                    </w:rPr>
                    <w:t xml:space="preserve"> (указано стрілкою)</w:t>
                  </w:r>
                </w:p>
                <w:p w:rsidR="0021764E" w:rsidRPr="00ED2214" w:rsidRDefault="0021764E" w:rsidP="0021764E"/>
              </w:txbxContent>
            </v:textbox>
          </v:shape>
        </w:pict>
      </w:r>
    </w:p>
    <w:p w:rsidR="0021764E" w:rsidRPr="00C62D22" w:rsidRDefault="0021764E" w:rsidP="0021764E">
      <w:pPr>
        <w:autoSpaceDE w:val="0"/>
        <w:autoSpaceDN w:val="0"/>
        <w:adjustRightInd w:val="0"/>
        <w:spacing w:after="0" w:line="360" w:lineRule="auto"/>
        <w:ind w:right="76"/>
        <w:jc w:val="both"/>
        <w:rPr>
          <w:rFonts w:ascii="Times New Roman" w:hAnsi="Times New Roman" w:cs="Times New Roman"/>
          <w:color w:val="000000"/>
          <w:sz w:val="28"/>
          <w:szCs w:val="28"/>
        </w:rPr>
      </w:pPr>
    </w:p>
    <w:p w:rsidR="0021764E" w:rsidRPr="00C62D22" w:rsidRDefault="0021764E" w:rsidP="0021764E">
      <w:pPr>
        <w:autoSpaceDE w:val="0"/>
        <w:autoSpaceDN w:val="0"/>
        <w:adjustRightInd w:val="0"/>
        <w:spacing w:after="0" w:line="360" w:lineRule="auto"/>
        <w:ind w:right="76" w:firstLine="540"/>
        <w:jc w:val="both"/>
        <w:rPr>
          <w:rFonts w:ascii="Times New Roman" w:hAnsi="Times New Roman" w:cs="Times New Roman"/>
          <w:color w:val="000000"/>
          <w:sz w:val="28"/>
          <w:szCs w:val="28"/>
        </w:rPr>
      </w:pPr>
    </w:p>
    <w:p w:rsidR="0021764E" w:rsidRPr="00C62D22" w:rsidRDefault="0021764E" w:rsidP="0021764E">
      <w:pPr>
        <w:autoSpaceDE w:val="0"/>
        <w:autoSpaceDN w:val="0"/>
        <w:adjustRightInd w:val="0"/>
        <w:spacing w:after="0" w:line="360" w:lineRule="auto"/>
        <w:ind w:right="76" w:firstLine="540"/>
        <w:jc w:val="both"/>
        <w:rPr>
          <w:rFonts w:ascii="Times New Roman" w:hAnsi="Times New Roman" w:cs="Times New Roman"/>
          <w:color w:val="000000"/>
          <w:sz w:val="28"/>
          <w:szCs w:val="28"/>
        </w:rPr>
      </w:pPr>
      <w:r w:rsidRPr="00C62D22">
        <w:rPr>
          <w:rFonts w:ascii="Times New Roman" w:hAnsi="Times New Roman" w:cs="Times New Roman"/>
          <w:color w:val="FF0000"/>
          <w:sz w:val="28"/>
          <w:szCs w:val="28"/>
        </w:rPr>
        <w:pict>
          <v:line id="_x0000_s1034" style="position:absolute;left:0;text-align:left;flip:y;z-index:251667456" from="252pt,85.35pt" to="261pt,157.35pt" stroked="f">
            <v:stroke endarrow="block"/>
          </v:line>
        </w:pict>
      </w:r>
      <w:r w:rsidRPr="00C62D22">
        <w:rPr>
          <w:rFonts w:ascii="Times New Roman" w:hAnsi="Times New Roman" w:cs="Times New Roman"/>
          <w:color w:val="000000"/>
          <w:sz w:val="28"/>
          <w:szCs w:val="28"/>
        </w:rPr>
        <w:t xml:space="preserve">При ПК ІІ та ІІІ типу, ускладнених МЖ, для верифікації характеру біліарної гіпертензії (холедохолітіаз, стеноз ВСДК, тубулярний стеноз холедоху), </w:t>
      </w:r>
      <w:r w:rsidRPr="00C62D22">
        <w:rPr>
          <w:rFonts w:ascii="Times New Roman" w:hAnsi="Times New Roman" w:cs="Times New Roman"/>
          <w:color w:val="000000"/>
          <w:sz w:val="28"/>
          <w:szCs w:val="28"/>
        </w:rPr>
        <w:lastRenderedPageBreak/>
        <w:t xml:space="preserve">дослідження порушення прохідності ГПП (рис. 3.19.), зв'язку з нею ПК ПЗ застосовували ЕРХПГ [4, 60, 62, 341, 367]. </w:t>
      </w:r>
    </w:p>
    <w:p w:rsidR="0021764E" w:rsidRPr="00C62D22" w:rsidRDefault="0021764E" w:rsidP="0021764E">
      <w:pPr>
        <w:autoSpaceDE w:val="0"/>
        <w:autoSpaceDN w:val="0"/>
        <w:adjustRightInd w:val="0"/>
        <w:spacing w:after="0" w:line="360" w:lineRule="auto"/>
        <w:ind w:right="76" w:firstLine="540"/>
        <w:jc w:val="both"/>
        <w:rPr>
          <w:rFonts w:ascii="Times New Roman" w:hAnsi="Times New Roman" w:cs="Times New Roman"/>
          <w:color w:val="000000"/>
          <w:sz w:val="28"/>
          <w:szCs w:val="28"/>
        </w:rPr>
      </w:pPr>
    </w:p>
    <w:p w:rsidR="0021764E" w:rsidRPr="00C62D22" w:rsidRDefault="0021764E" w:rsidP="0021764E">
      <w:pPr>
        <w:spacing w:after="0" w:line="360" w:lineRule="auto"/>
        <w:ind w:right="76"/>
        <w:jc w:val="center"/>
        <w:rPr>
          <w:rFonts w:ascii="Times New Roman" w:hAnsi="Times New Roman" w:cs="Times New Roman"/>
          <w:color w:val="FF0000"/>
          <w:sz w:val="28"/>
          <w:szCs w:val="28"/>
        </w:rPr>
      </w:pPr>
      <w:r w:rsidRPr="00C62D22">
        <w:rPr>
          <w:rFonts w:ascii="Times New Roman" w:hAnsi="Times New Roman" w:cs="Times New Roman"/>
          <w:color w:val="FF0000"/>
          <w:sz w:val="28"/>
          <w:szCs w:val="28"/>
        </w:rPr>
        <w:t xml:space="preserve">                    </w:t>
      </w:r>
      <w:r w:rsidRPr="00C62D22">
        <w:rPr>
          <w:rFonts w:ascii="Times New Roman" w:hAnsi="Times New Roman" w:cs="Times New Roman"/>
          <w:noProof/>
          <w:color w:val="FF0000"/>
          <w:sz w:val="28"/>
          <w:szCs w:val="28"/>
        </w:rPr>
        <w:drawing>
          <wp:inline distT="0" distB="0" distL="0" distR="0">
            <wp:extent cx="4143375" cy="2543175"/>
            <wp:effectExtent l="1905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1"/>
                    <a:srcRect/>
                    <a:stretch>
                      <a:fillRect/>
                    </a:stretch>
                  </pic:blipFill>
                  <pic:spPr bwMode="auto">
                    <a:xfrm>
                      <a:off x="0" y="0"/>
                      <a:ext cx="4143375" cy="2543175"/>
                    </a:xfrm>
                    <a:prstGeom prst="rect">
                      <a:avLst/>
                    </a:prstGeom>
                    <a:noFill/>
                    <a:ln w="9525">
                      <a:noFill/>
                      <a:miter lim="800000"/>
                      <a:headEnd/>
                      <a:tailEnd/>
                    </a:ln>
                  </pic:spPr>
                </pic:pic>
              </a:graphicData>
            </a:graphic>
          </wp:inline>
        </w:drawing>
      </w:r>
      <w:r w:rsidRPr="00C62D22">
        <w:rPr>
          <w:rFonts w:ascii="Times New Roman" w:hAnsi="Times New Roman" w:cs="Times New Roman"/>
          <w:color w:val="FF0000"/>
          <w:sz w:val="28"/>
          <w:szCs w:val="28"/>
        </w:rPr>
        <w:t xml:space="preserve">               </w:t>
      </w:r>
    </w:p>
    <w:p w:rsidR="0021764E" w:rsidRPr="00C62D22" w:rsidRDefault="0021764E" w:rsidP="0021764E">
      <w:pPr>
        <w:tabs>
          <w:tab w:val="left" w:pos="14570"/>
          <w:tab w:val="left" w:pos="14601"/>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color w:val="FF0000"/>
          <w:sz w:val="28"/>
          <w:szCs w:val="28"/>
        </w:rPr>
        <w:pict>
          <v:shape id="_x0000_s1050" type="#_x0000_t202" style="position:absolute;left:0;text-align:left;margin-left:6.3pt;margin-top:11.2pt;width:497.7pt;height:54pt;z-index:251683840" stroked="f">
            <v:textbox style="mso-next-textbox:#_x0000_s1050">
              <w:txbxContent>
                <w:p w:rsidR="0021764E" w:rsidRPr="003B0444" w:rsidRDefault="0021764E" w:rsidP="0021764E">
                  <w:pPr>
                    <w:spacing w:after="0" w:line="360" w:lineRule="auto"/>
                    <w:jc w:val="right"/>
                    <w:rPr>
                      <w:rFonts w:ascii="Times New Roman" w:hAnsi="Times New Roman"/>
                      <w:sz w:val="28"/>
                      <w:szCs w:val="28"/>
                    </w:rPr>
                  </w:pPr>
                  <w:r w:rsidRPr="003B0444">
                    <w:rPr>
                      <w:rFonts w:ascii="Times New Roman" w:hAnsi="Times New Roman"/>
                      <w:sz w:val="28"/>
                      <w:szCs w:val="28"/>
                    </w:rPr>
                    <w:t xml:space="preserve">Рис. </w:t>
                  </w:r>
                  <w:r>
                    <w:rPr>
                      <w:rFonts w:ascii="Times New Roman" w:hAnsi="Times New Roman"/>
                      <w:sz w:val="28"/>
                      <w:szCs w:val="28"/>
                    </w:rPr>
                    <w:t>3.19. ЕРХПГ хворого з ПК</w:t>
                  </w:r>
                  <w:r w:rsidRPr="003B0444">
                    <w:rPr>
                      <w:rFonts w:ascii="Times New Roman" w:hAnsi="Times New Roman"/>
                      <w:sz w:val="28"/>
                      <w:szCs w:val="28"/>
                    </w:rPr>
                    <w:t xml:space="preserve"> ІІІ типу: 1 – </w:t>
                  </w:r>
                  <w:r>
                    <w:rPr>
                      <w:rFonts w:ascii="Times New Roman" w:hAnsi="Times New Roman"/>
                      <w:sz w:val="28"/>
                      <w:szCs w:val="28"/>
                    </w:rPr>
                    <w:t>дила</w:t>
                  </w:r>
                  <w:r w:rsidRPr="003B0444">
                    <w:rPr>
                      <w:rFonts w:ascii="Times New Roman" w:hAnsi="Times New Roman"/>
                      <w:sz w:val="28"/>
                      <w:szCs w:val="28"/>
                    </w:rPr>
                    <w:t>тація ГПП,</w:t>
                  </w:r>
                  <w:r>
                    <w:rPr>
                      <w:rFonts w:ascii="Times New Roman" w:hAnsi="Times New Roman"/>
                      <w:sz w:val="28"/>
                      <w:szCs w:val="28"/>
                    </w:rPr>
                    <w:t xml:space="preserve"> 2 – порушення евакуації з ГПП</w:t>
                  </w:r>
                </w:p>
                <w:p w:rsidR="0021764E" w:rsidRDefault="0021764E" w:rsidP="0021764E"/>
              </w:txbxContent>
            </v:textbox>
          </v:shape>
        </w:pict>
      </w:r>
    </w:p>
    <w:p w:rsidR="0021764E" w:rsidRPr="00C62D22" w:rsidRDefault="0021764E" w:rsidP="0021764E">
      <w:pPr>
        <w:tabs>
          <w:tab w:val="left" w:pos="14570"/>
          <w:tab w:val="left" w:pos="1460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tabs>
          <w:tab w:val="left" w:pos="14570"/>
          <w:tab w:val="left" w:pos="1460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tabs>
          <w:tab w:val="left" w:pos="14570"/>
          <w:tab w:val="left" w:pos="14601"/>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ПК ПЗ, ускладнені компресією суміжних органів, спостерігалися в 172 (34,06%) хворих, у тому числі, у 13 (2,57%) – з ПК ПЗ І типу, у 93 (18,42%) – з ПК ПЗ ІІ типу, у 66 (13,07%) – з ПК ІІІ типу. Компресія шлунка – у 29 хворих, компресія ДПК – 41, компресія шлунка та ДПК – у 49, компресія ДПК у поєднанні з дилятацією Вірсунгової протоки – 2, компресія ДПК у поєднанні з вірсунгоектазією – 17, деформація ДПК збільшеною ПК голівкою ПЗ та компресією ЗЖП з розвитком МЖ – 12 та холангіту – 1, компресія ДПК з вірсунголітіазом – 2, компресія шлунка інфікованою ПК ПЗ – 14, компресія шлунка та ДПК інфікованою ПК ПЗ зі здавлюванням ЗЖП та розвитком МЖ у 5 пацієнтів, у тому числі у 3 – з тромбозом v. portae. </w:t>
      </w:r>
    </w:p>
    <w:p w:rsidR="0021764E" w:rsidRPr="00C62D22" w:rsidRDefault="0021764E" w:rsidP="0021764E">
      <w:pPr>
        <w:tabs>
          <w:tab w:val="left" w:pos="14570"/>
          <w:tab w:val="left" w:pos="14601"/>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Ехоскопічними ознаками компресії органів ТК були наявність рідинного скупчення ПЗ овальної чи круглої форми, як правило, великих розмірів, з капсулою, яке щільно притулялося до задньої стінки шлунка чи до ДПК (рис. 3.20, 3.21) [127].</w:t>
      </w:r>
    </w:p>
    <w:p w:rsidR="0021764E" w:rsidRPr="00C62D22" w:rsidRDefault="0021764E" w:rsidP="0021764E">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lastRenderedPageBreak/>
        <w:t xml:space="preserve">     </w:t>
      </w:r>
      <w:r w:rsidRPr="00C62D22">
        <w:rPr>
          <w:rFonts w:ascii="Times New Roman" w:hAnsi="Times New Roman" w:cs="Times New Roman"/>
          <w:noProof/>
          <w:sz w:val="28"/>
          <w:szCs w:val="28"/>
        </w:rPr>
        <w:drawing>
          <wp:inline distT="0" distB="0" distL="0" distR="0">
            <wp:extent cx="4200525" cy="2667000"/>
            <wp:effectExtent l="19050" t="0" r="9525"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32"/>
                    <a:srcRect/>
                    <a:stretch>
                      <a:fillRect/>
                    </a:stretch>
                  </pic:blipFill>
                  <pic:spPr bwMode="auto">
                    <a:xfrm>
                      <a:off x="0" y="0"/>
                      <a:ext cx="4200525" cy="2667000"/>
                    </a:xfrm>
                    <a:prstGeom prst="rect">
                      <a:avLst/>
                    </a:prstGeom>
                    <a:noFill/>
                    <a:ln w="9525">
                      <a:noFill/>
                      <a:miter lim="800000"/>
                      <a:headEnd/>
                      <a:tailEnd/>
                    </a:ln>
                  </pic:spPr>
                </pic:pic>
              </a:graphicData>
            </a:graphic>
          </wp:inline>
        </w:drawing>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pict>
          <v:shape id="_x0000_s1051" type="#_x0000_t202" style="position:absolute;left:0;text-align:left;margin-left:9pt;margin-top:-.9pt;width:486pt;height:60.15pt;z-index:251684864" stroked="f">
            <v:textbox style="mso-next-textbox:#_x0000_s1051">
              <w:txbxContent>
                <w:p w:rsidR="0021764E" w:rsidRPr="00640321" w:rsidRDefault="0021764E" w:rsidP="0021764E">
                  <w:pPr>
                    <w:widowControl w:val="0"/>
                    <w:tabs>
                      <w:tab w:val="left" w:pos="8651"/>
                    </w:tabs>
                    <w:spacing w:after="0" w:line="360" w:lineRule="auto"/>
                    <w:jc w:val="right"/>
                    <w:rPr>
                      <w:rFonts w:ascii="Times New Roman" w:hAnsi="Times New Roman"/>
                      <w:sz w:val="28"/>
                      <w:szCs w:val="28"/>
                    </w:rPr>
                  </w:pPr>
                  <w:r w:rsidRPr="00640321">
                    <w:rPr>
                      <w:rFonts w:ascii="Times New Roman" w:hAnsi="Times New Roman"/>
                      <w:sz w:val="28"/>
                      <w:szCs w:val="28"/>
                    </w:rPr>
                    <w:t xml:space="preserve">Рис. </w:t>
                  </w:r>
                  <w:r>
                    <w:rPr>
                      <w:rFonts w:ascii="Times New Roman" w:hAnsi="Times New Roman"/>
                      <w:sz w:val="28"/>
                      <w:szCs w:val="28"/>
                    </w:rPr>
                    <w:t>3.20</w:t>
                  </w:r>
                  <w:r w:rsidRPr="00640321">
                    <w:rPr>
                      <w:rFonts w:ascii="Times New Roman" w:hAnsi="Times New Roman"/>
                      <w:sz w:val="28"/>
                      <w:szCs w:val="28"/>
                    </w:rPr>
                    <w:t>.</w:t>
                  </w:r>
                  <w:r>
                    <w:rPr>
                      <w:rFonts w:ascii="Times New Roman" w:hAnsi="Times New Roman"/>
                      <w:sz w:val="28"/>
                      <w:szCs w:val="28"/>
                    </w:rPr>
                    <w:t xml:space="preserve"> Ехограма хворого з ПК</w:t>
                  </w:r>
                  <w:r w:rsidRPr="00640321">
                    <w:rPr>
                      <w:rFonts w:ascii="Times New Roman" w:hAnsi="Times New Roman"/>
                      <w:sz w:val="28"/>
                      <w:szCs w:val="28"/>
                    </w:rPr>
                    <w:t xml:space="preserve"> голівки-тіла ПЗ ІІІ типу з компресією тіла шл</w:t>
                  </w:r>
                  <w:r>
                    <w:rPr>
                      <w:rFonts w:ascii="Times New Roman" w:hAnsi="Times New Roman"/>
                      <w:sz w:val="28"/>
                      <w:szCs w:val="28"/>
                    </w:rPr>
                    <w:t>унка: 1 – ПК голівки-</w:t>
                  </w:r>
                  <w:r w:rsidRPr="00640321">
                    <w:rPr>
                      <w:rFonts w:ascii="Times New Roman" w:hAnsi="Times New Roman"/>
                      <w:sz w:val="28"/>
                      <w:szCs w:val="28"/>
                    </w:rPr>
                    <w:t>тіла ПЗ, 2 – компресія шлунка</w:t>
                  </w:r>
                </w:p>
                <w:p w:rsidR="0021764E" w:rsidRDefault="0021764E" w:rsidP="0021764E">
                  <w:pPr>
                    <w:jc w:val="right"/>
                  </w:pPr>
                </w:p>
              </w:txbxContent>
            </v:textbox>
          </v:shape>
        </w:pict>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jc w:val="both"/>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248150" cy="2905125"/>
            <wp:effectExtent l="1905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3"/>
                    <a:srcRect/>
                    <a:stretch>
                      <a:fillRect/>
                    </a:stretch>
                  </pic:blipFill>
                  <pic:spPr bwMode="auto">
                    <a:xfrm>
                      <a:off x="0" y="0"/>
                      <a:ext cx="4248150" cy="2905125"/>
                    </a:xfrm>
                    <a:prstGeom prst="rect">
                      <a:avLst/>
                    </a:prstGeom>
                    <a:noFill/>
                    <a:ln w="9525">
                      <a:noFill/>
                      <a:miter lim="800000"/>
                      <a:headEnd/>
                      <a:tailEnd/>
                    </a:ln>
                  </pic:spPr>
                </pic:pic>
              </a:graphicData>
            </a:graphic>
          </wp:inline>
        </w:drawing>
      </w:r>
    </w:p>
    <w:p w:rsidR="0021764E" w:rsidRPr="00C62D22" w:rsidRDefault="0021764E" w:rsidP="0021764E">
      <w:pPr>
        <w:widowControl w:val="0"/>
        <w:tabs>
          <w:tab w:val="left" w:pos="8651"/>
        </w:tabs>
        <w:spacing w:after="0" w:line="360" w:lineRule="auto"/>
        <w:ind w:right="76" w:firstLine="540"/>
        <w:jc w:val="both"/>
        <w:outlineLvl w:val="0"/>
        <w:rPr>
          <w:rFonts w:ascii="Times New Roman" w:hAnsi="Times New Roman" w:cs="Times New Roman"/>
          <w:color w:val="FF0000"/>
          <w:sz w:val="28"/>
          <w:szCs w:val="28"/>
        </w:rPr>
      </w:pPr>
      <w:r w:rsidRPr="00C62D22">
        <w:rPr>
          <w:rFonts w:ascii="Times New Roman" w:hAnsi="Times New Roman" w:cs="Times New Roman"/>
          <w:sz w:val="28"/>
          <w:szCs w:val="28"/>
        </w:rPr>
        <w:pict>
          <v:shape id="_x0000_s1052" type="#_x0000_t202" style="position:absolute;left:0;text-align:left;margin-left:-9pt;margin-top:1.75pt;width:513pt;height:56.3pt;z-index:251685888" stroked="f">
            <v:textbox style="mso-next-textbox:#_x0000_s1052">
              <w:txbxContent>
                <w:p w:rsidR="0021764E" w:rsidRPr="00640321" w:rsidRDefault="0021764E" w:rsidP="0021764E">
                  <w:pPr>
                    <w:widowControl w:val="0"/>
                    <w:tabs>
                      <w:tab w:val="left" w:pos="8651"/>
                    </w:tabs>
                    <w:spacing w:after="0" w:line="360" w:lineRule="auto"/>
                    <w:ind w:firstLine="540"/>
                    <w:jc w:val="right"/>
                    <w:rPr>
                      <w:rFonts w:ascii="Times New Roman" w:hAnsi="Times New Roman"/>
                      <w:sz w:val="28"/>
                      <w:szCs w:val="28"/>
                    </w:rPr>
                  </w:pPr>
                  <w:r>
                    <w:rPr>
                      <w:rFonts w:ascii="Times New Roman" w:hAnsi="Times New Roman"/>
                      <w:sz w:val="28"/>
                      <w:szCs w:val="28"/>
                    </w:rPr>
                    <w:t>Рис. 3.21. Ехограма хворого з ПК</w:t>
                  </w:r>
                  <w:r w:rsidRPr="00640321">
                    <w:rPr>
                      <w:rFonts w:ascii="Times New Roman" w:hAnsi="Times New Roman"/>
                      <w:sz w:val="28"/>
                      <w:szCs w:val="28"/>
                    </w:rPr>
                    <w:t xml:space="preserve"> голівки ПЗ з компресією постбульбарн</w:t>
                  </w:r>
                  <w:r>
                    <w:rPr>
                      <w:rFonts w:ascii="Times New Roman" w:hAnsi="Times New Roman"/>
                      <w:sz w:val="28"/>
                      <w:szCs w:val="28"/>
                    </w:rPr>
                    <w:t>ого відділу ДПК: 1 – ПК</w:t>
                  </w:r>
                  <w:r w:rsidRPr="00640321">
                    <w:rPr>
                      <w:rFonts w:ascii="Times New Roman" w:hAnsi="Times New Roman"/>
                      <w:sz w:val="28"/>
                      <w:szCs w:val="28"/>
                    </w:rPr>
                    <w:t xml:space="preserve"> голівки ПЗ,</w:t>
                  </w:r>
                  <w:r>
                    <w:rPr>
                      <w:rFonts w:ascii="Times New Roman" w:hAnsi="Times New Roman"/>
                      <w:sz w:val="28"/>
                      <w:szCs w:val="28"/>
                    </w:rPr>
                    <w:t xml:space="preserve"> 2 – постбульбарний відділ ДПК</w:t>
                  </w:r>
                </w:p>
                <w:p w:rsidR="0021764E" w:rsidRDefault="0021764E" w:rsidP="0021764E">
                  <w:pPr>
                    <w:jc w:val="right"/>
                  </w:pPr>
                </w:p>
              </w:txbxContent>
            </v:textbox>
          </v:shape>
        </w:pict>
      </w:r>
    </w:p>
    <w:p w:rsidR="0021764E" w:rsidRPr="00C62D22" w:rsidRDefault="0021764E" w:rsidP="0021764E">
      <w:pPr>
        <w:widowControl w:val="0"/>
        <w:tabs>
          <w:tab w:val="left" w:pos="8651"/>
        </w:tabs>
        <w:spacing w:after="0" w:line="360" w:lineRule="auto"/>
        <w:ind w:right="76" w:firstLine="540"/>
        <w:jc w:val="both"/>
        <w:outlineLvl w:val="0"/>
        <w:rPr>
          <w:rFonts w:ascii="Times New Roman" w:hAnsi="Times New Roman" w:cs="Times New Roman"/>
          <w:color w:val="FF0000"/>
          <w:sz w:val="28"/>
          <w:szCs w:val="28"/>
        </w:rPr>
      </w:pPr>
    </w:p>
    <w:p w:rsidR="0021764E" w:rsidRPr="00C62D22" w:rsidRDefault="0021764E" w:rsidP="0021764E">
      <w:pPr>
        <w:shd w:val="clear" w:color="auto" w:fill="FFFFFF"/>
        <w:autoSpaceDE w:val="0"/>
        <w:autoSpaceDN w:val="0"/>
        <w:adjustRightInd w:val="0"/>
        <w:spacing w:after="0" w:line="360" w:lineRule="auto"/>
        <w:ind w:right="76"/>
        <w:jc w:val="both"/>
        <w:rPr>
          <w:rFonts w:ascii="Times New Roman" w:hAnsi="Times New Roman" w:cs="Times New Roman"/>
          <w:sz w:val="28"/>
          <w:szCs w:val="28"/>
        </w:rPr>
      </w:pPr>
    </w:p>
    <w:p w:rsidR="0021764E" w:rsidRPr="00C62D22" w:rsidRDefault="0021764E" w:rsidP="0021764E">
      <w:pPr>
        <w:shd w:val="clear" w:color="auto" w:fill="FFFFFF"/>
        <w:autoSpaceDE w:val="0"/>
        <w:autoSpaceDN w:val="0"/>
        <w:adjustRightInd w:val="0"/>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Найбільш точнішою в діагностиці ПК ПЗ, ускладнених декомпресією органів ТК, була МСКТ, перевагою якої була можливість формувати зображення в різних площинах та розпізнавати взаємовідношення ПК до суміжних органів (рис. 3.22). </w:t>
      </w:r>
    </w:p>
    <w:p w:rsidR="0021764E" w:rsidRPr="00C62D22" w:rsidRDefault="0021764E" w:rsidP="0021764E">
      <w:pPr>
        <w:shd w:val="clear" w:color="auto" w:fill="FFFFFF"/>
        <w:autoSpaceDE w:val="0"/>
        <w:autoSpaceDN w:val="0"/>
        <w:adjustRightInd w:val="0"/>
        <w:spacing w:after="0" w:line="360" w:lineRule="auto"/>
        <w:ind w:right="76"/>
        <w:jc w:val="both"/>
        <w:rPr>
          <w:rFonts w:ascii="Times New Roman" w:hAnsi="Times New Roman" w:cs="Times New Roman"/>
          <w:sz w:val="28"/>
          <w:szCs w:val="28"/>
        </w:rPr>
      </w:pPr>
      <w:r w:rsidRPr="00C62D22">
        <w:rPr>
          <w:rFonts w:ascii="Times New Roman" w:hAnsi="Times New Roman" w:cs="Times New Roman"/>
          <w:sz w:val="28"/>
          <w:szCs w:val="28"/>
        </w:rPr>
        <w:br w:type="page"/>
      </w:r>
    </w:p>
    <w:p w:rsidR="0021764E" w:rsidRPr="00C62D22" w:rsidRDefault="0021764E" w:rsidP="0021764E">
      <w:pPr>
        <w:widowControl w:val="0"/>
        <w:tabs>
          <w:tab w:val="left" w:pos="8651"/>
        </w:tabs>
        <w:spacing w:after="0" w:line="360" w:lineRule="auto"/>
        <w:ind w:right="76"/>
        <w:jc w:val="both"/>
        <w:outlineLvl w:val="0"/>
        <w:rPr>
          <w:rFonts w:ascii="Times New Roman" w:hAnsi="Times New Roman" w:cs="Times New Roman"/>
          <w:sz w:val="28"/>
          <w:szCs w:val="28"/>
        </w:rPr>
      </w:pPr>
      <w:r w:rsidRPr="00C62D22">
        <w:rPr>
          <w:rFonts w:ascii="Times New Roman" w:hAnsi="Times New Roman" w:cs="Times New Roman"/>
          <w:sz w:val="28"/>
          <w:szCs w:val="28"/>
        </w:rPr>
        <w:lastRenderedPageBreak/>
        <w:pict>
          <v:shape id="_x0000_s1053" type="#_x0000_t202" style="position:absolute;left:0;text-align:left;margin-left:17pt;margin-top:6.35pt;width:415.7pt;height:251.7pt;z-index:251686912;mso-wrap-style:none" strokecolor="white">
            <v:textbox style="mso-next-textbox:#_x0000_s1053;mso-fit-shape-to-text:t">
              <w:txbxContent>
                <w:p w:rsidR="0021764E" w:rsidRDefault="0021764E" w:rsidP="0021764E">
                  <w:pPr>
                    <w:ind w:left="1620"/>
                  </w:pPr>
                  <w:r>
                    <w:rPr>
                      <w:rFonts w:ascii="Times New Roman" w:hAnsi="Times New Roman"/>
                      <w:noProof/>
                      <w:color w:val="FF0000"/>
                      <w:sz w:val="28"/>
                      <w:szCs w:val="28"/>
                    </w:rPr>
                    <w:drawing>
                      <wp:inline distT="0" distB="0" distL="0" distR="0">
                        <wp:extent cx="4029075" cy="2943225"/>
                        <wp:effectExtent l="19050" t="0" r="9525" b="0"/>
                        <wp:docPr id="3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pic:cNvPicPr>
                                  <a:picLocks noChangeAspect="1" noChangeArrowheads="1"/>
                                </pic:cNvPicPr>
                              </pic:nvPicPr>
                              <pic:blipFill>
                                <a:blip r:embed="rId34"/>
                                <a:srcRect/>
                                <a:stretch>
                                  <a:fillRect/>
                                </a:stretch>
                              </pic:blipFill>
                              <pic:spPr bwMode="auto">
                                <a:xfrm>
                                  <a:off x="0" y="0"/>
                                  <a:ext cx="4029075" cy="2943225"/>
                                </a:xfrm>
                                <a:prstGeom prst="rect">
                                  <a:avLst/>
                                </a:prstGeom>
                                <a:noFill/>
                                <a:ln w="9525">
                                  <a:noFill/>
                                  <a:miter lim="800000"/>
                                  <a:headEnd/>
                                  <a:tailEnd/>
                                </a:ln>
                              </pic:spPr>
                            </pic:pic>
                          </a:graphicData>
                        </a:graphic>
                      </wp:inline>
                    </w:drawing>
                  </w:r>
                </w:p>
              </w:txbxContent>
            </v:textbox>
          </v:shape>
        </w:pict>
      </w:r>
    </w:p>
    <w:p w:rsidR="0021764E" w:rsidRPr="00C62D22" w:rsidRDefault="0021764E" w:rsidP="0021764E">
      <w:pPr>
        <w:widowControl w:val="0"/>
        <w:tabs>
          <w:tab w:val="left" w:pos="8651"/>
        </w:tabs>
        <w:spacing w:after="0" w:line="360" w:lineRule="auto"/>
        <w:ind w:right="76" w:firstLine="540"/>
        <w:jc w:val="both"/>
        <w:outlineLvl w:val="0"/>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firstLine="540"/>
        <w:jc w:val="both"/>
        <w:outlineLvl w:val="0"/>
        <w:rPr>
          <w:rFonts w:ascii="Times New Roman" w:hAnsi="Times New Roman" w:cs="Times New Roman"/>
          <w:sz w:val="28"/>
          <w:szCs w:val="28"/>
        </w:rPr>
      </w:pPr>
    </w:p>
    <w:p w:rsidR="0021764E" w:rsidRPr="00C62D22" w:rsidRDefault="0021764E" w:rsidP="0021764E">
      <w:pPr>
        <w:widowControl w:val="0"/>
        <w:tabs>
          <w:tab w:val="left" w:pos="8651"/>
        </w:tabs>
        <w:spacing w:after="0" w:line="360" w:lineRule="auto"/>
        <w:ind w:right="76"/>
        <w:jc w:val="both"/>
        <w:outlineLvl w:val="0"/>
        <w:rPr>
          <w:rFonts w:ascii="Times New Roman" w:hAnsi="Times New Roman" w:cs="Times New Roman"/>
          <w:sz w:val="28"/>
          <w:szCs w:val="28"/>
        </w:rPr>
      </w:pPr>
    </w:p>
    <w:p w:rsidR="0021764E" w:rsidRPr="00C62D22" w:rsidRDefault="0021764E" w:rsidP="0021764E">
      <w:pPr>
        <w:spacing w:after="0" w:line="360" w:lineRule="auto"/>
        <w:ind w:right="76" w:firstLine="540"/>
        <w:jc w:val="center"/>
        <w:rPr>
          <w:rFonts w:ascii="Times New Roman" w:hAnsi="Times New Roman" w:cs="Times New Roman"/>
          <w:color w:val="000000"/>
          <w:sz w:val="28"/>
          <w:szCs w:val="28"/>
        </w:rPr>
      </w:pPr>
    </w:p>
    <w:p w:rsidR="0021764E" w:rsidRPr="00C62D22" w:rsidRDefault="0021764E" w:rsidP="0021764E">
      <w:pPr>
        <w:shd w:val="clear" w:color="auto" w:fill="FFFFFF"/>
        <w:autoSpaceDE w:val="0"/>
        <w:autoSpaceDN w:val="0"/>
        <w:adjustRightInd w:val="0"/>
        <w:spacing w:after="0" w:line="360" w:lineRule="auto"/>
        <w:ind w:right="76" w:firstLine="540"/>
        <w:jc w:val="both"/>
        <w:rPr>
          <w:rFonts w:ascii="Times New Roman" w:hAnsi="Times New Roman" w:cs="Times New Roman"/>
          <w:sz w:val="28"/>
          <w:szCs w:val="28"/>
        </w:rPr>
      </w:pPr>
    </w:p>
    <w:p w:rsidR="0021764E" w:rsidRPr="00C62D22" w:rsidRDefault="0021764E" w:rsidP="0021764E">
      <w:pPr>
        <w:shd w:val="clear" w:color="auto" w:fill="FFFFFF"/>
        <w:autoSpaceDE w:val="0"/>
        <w:autoSpaceDN w:val="0"/>
        <w:adjustRightInd w:val="0"/>
        <w:spacing w:after="0" w:line="360" w:lineRule="auto"/>
        <w:ind w:right="76" w:firstLine="540"/>
        <w:jc w:val="both"/>
        <w:rPr>
          <w:rFonts w:ascii="Times New Roman" w:hAnsi="Times New Roman" w:cs="Times New Roman"/>
          <w:sz w:val="28"/>
          <w:szCs w:val="28"/>
        </w:rPr>
      </w:pPr>
    </w:p>
    <w:p w:rsidR="0021764E" w:rsidRPr="00C62D22" w:rsidRDefault="0021764E" w:rsidP="0021764E">
      <w:pPr>
        <w:shd w:val="clear" w:color="auto" w:fill="FFFFFF"/>
        <w:autoSpaceDE w:val="0"/>
        <w:autoSpaceDN w:val="0"/>
        <w:adjustRightInd w:val="0"/>
        <w:spacing w:after="0" w:line="360" w:lineRule="auto"/>
        <w:ind w:right="76" w:firstLine="540"/>
        <w:jc w:val="both"/>
        <w:rPr>
          <w:rFonts w:ascii="Times New Roman" w:hAnsi="Times New Roman" w:cs="Times New Roman"/>
          <w:sz w:val="28"/>
          <w:szCs w:val="28"/>
        </w:rPr>
      </w:pPr>
    </w:p>
    <w:p w:rsidR="0021764E" w:rsidRPr="00C62D22" w:rsidRDefault="0021764E" w:rsidP="0021764E">
      <w:pPr>
        <w:shd w:val="clear" w:color="auto" w:fill="FFFFFF"/>
        <w:autoSpaceDE w:val="0"/>
        <w:autoSpaceDN w:val="0"/>
        <w:adjustRightInd w:val="0"/>
        <w:spacing w:after="0" w:line="360" w:lineRule="auto"/>
        <w:ind w:right="76" w:firstLine="540"/>
        <w:jc w:val="both"/>
        <w:rPr>
          <w:rFonts w:ascii="Times New Roman" w:hAnsi="Times New Roman" w:cs="Times New Roman"/>
          <w:sz w:val="28"/>
          <w:szCs w:val="28"/>
        </w:rPr>
      </w:pPr>
    </w:p>
    <w:p w:rsidR="0021764E" w:rsidRPr="00C62D22" w:rsidRDefault="0021764E" w:rsidP="0021764E">
      <w:pPr>
        <w:shd w:val="clear" w:color="auto" w:fill="FFFFFF"/>
        <w:autoSpaceDE w:val="0"/>
        <w:autoSpaceDN w:val="0"/>
        <w:adjustRightInd w:val="0"/>
        <w:spacing w:after="0" w:line="360" w:lineRule="auto"/>
        <w:ind w:right="76" w:firstLine="540"/>
        <w:jc w:val="both"/>
        <w:rPr>
          <w:rFonts w:ascii="Times New Roman" w:hAnsi="Times New Roman" w:cs="Times New Roman"/>
          <w:sz w:val="28"/>
          <w:szCs w:val="28"/>
        </w:rPr>
      </w:pPr>
    </w:p>
    <w:p w:rsidR="0021764E" w:rsidRPr="00C62D22" w:rsidRDefault="0021764E" w:rsidP="0021764E">
      <w:pPr>
        <w:shd w:val="clear" w:color="auto" w:fill="FFFFFF"/>
        <w:autoSpaceDE w:val="0"/>
        <w:autoSpaceDN w:val="0"/>
        <w:adjustRightInd w:val="0"/>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pict>
          <v:shape id="_x0000_s1054" type="#_x0000_t202" style="position:absolute;left:0;text-align:left;margin-left:5.3pt;margin-top:20.45pt;width:498.7pt;height:63pt;z-index:251687936" strokecolor="white">
            <v:textbox style="mso-next-textbox:#_x0000_s1054">
              <w:txbxContent>
                <w:p w:rsidR="0021764E" w:rsidRDefault="0021764E" w:rsidP="0021764E">
                  <w:pPr>
                    <w:spacing w:after="0" w:line="360" w:lineRule="auto"/>
                    <w:jc w:val="right"/>
                    <w:rPr>
                      <w:rFonts w:ascii="Times New Roman" w:hAnsi="Times New Roman"/>
                      <w:color w:val="000000"/>
                      <w:sz w:val="28"/>
                      <w:szCs w:val="28"/>
                    </w:rPr>
                  </w:pPr>
                  <w:r>
                    <w:rPr>
                      <w:rFonts w:ascii="Times New Roman" w:hAnsi="Times New Roman"/>
                      <w:color w:val="000000"/>
                      <w:sz w:val="28"/>
                      <w:szCs w:val="28"/>
                    </w:rPr>
                    <w:t>Рис. 3.22. МСКТ хворого з ПК ПЗ ІІІ типу з компресією постбульбарного відділу ДПК</w:t>
                  </w:r>
                </w:p>
                <w:p w:rsidR="0021764E" w:rsidRDefault="0021764E" w:rsidP="0021764E"/>
              </w:txbxContent>
            </v:textbox>
          </v:shape>
        </w:pict>
      </w:r>
    </w:p>
    <w:p w:rsidR="0021764E" w:rsidRPr="00C62D22" w:rsidRDefault="0021764E" w:rsidP="0021764E">
      <w:pPr>
        <w:shd w:val="clear" w:color="auto" w:fill="FFFFFF"/>
        <w:autoSpaceDE w:val="0"/>
        <w:autoSpaceDN w:val="0"/>
        <w:adjustRightInd w:val="0"/>
        <w:spacing w:after="0" w:line="360" w:lineRule="auto"/>
        <w:ind w:right="76" w:firstLine="540"/>
        <w:jc w:val="both"/>
        <w:rPr>
          <w:rFonts w:ascii="Times New Roman" w:hAnsi="Times New Roman" w:cs="Times New Roman"/>
          <w:sz w:val="28"/>
          <w:szCs w:val="28"/>
        </w:rPr>
      </w:pPr>
    </w:p>
    <w:p w:rsidR="0021764E" w:rsidRPr="00C62D22" w:rsidRDefault="0021764E" w:rsidP="0021764E">
      <w:pPr>
        <w:shd w:val="clear" w:color="auto" w:fill="FFFFFF"/>
        <w:autoSpaceDE w:val="0"/>
        <w:autoSpaceDN w:val="0"/>
        <w:adjustRightInd w:val="0"/>
        <w:spacing w:after="0" w:line="360" w:lineRule="auto"/>
        <w:ind w:right="76" w:firstLine="540"/>
        <w:jc w:val="both"/>
        <w:rPr>
          <w:rFonts w:ascii="Times New Roman" w:hAnsi="Times New Roman" w:cs="Times New Roman"/>
          <w:sz w:val="28"/>
          <w:szCs w:val="28"/>
        </w:rPr>
      </w:pPr>
    </w:p>
    <w:p w:rsidR="0021764E" w:rsidRPr="00C62D22" w:rsidRDefault="0021764E" w:rsidP="0021764E">
      <w:pPr>
        <w:shd w:val="clear" w:color="auto" w:fill="FFFFFF"/>
        <w:autoSpaceDE w:val="0"/>
        <w:autoSpaceDN w:val="0"/>
        <w:adjustRightInd w:val="0"/>
        <w:spacing w:after="0" w:line="360" w:lineRule="auto"/>
        <w:ind w:right="76" w:firstLine="540"/>
        <w:jc w:val="both"/>
        <w:rPr>
          <w:rFonts w:ascii="Times New Roman" w:hAnsi="Times New Roman" w:cs="Times New Roman"/>
          <w:sz w:val="28"/>
          <w:szCs w:val="28"/>
        </w:rPr>
      </w:pPr>
    </w:p>
    <w:p w:rsidR="0021764E" w:rsidRPr="00C62D22" w:rsidRDefault="0021764E" w:rsidP="0021764E">
      <w:pPr>
        <w:shd w:val="clear" w:color="auto" w:fill="FFFFFF"/>
        <w:autoSpaceDE w:val="0"/>
        <w:autoSpaceDN w:val="0"/>
        <w:adjustRightInd w:val="0"/>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Пероральний прийом рідини перед діагностикою полегшував візуальну диференціацію стінок ДПК та ПЗ. У зв’язку з тим, що ДПК, яка стулилася, звичайно важко розрізнити від паренхіми ПЗ, хворому вводили спазмолітики, що сприяли розширенню просвіту ДПК. </w:t>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color w:val="000000"/>
          <w:sz w:val="28"/>
          <w:szCs w:val="28"/>
        </w:rPr>
        <w:t>У хворих</w:t>
      </w:r>
      <w:r w:rsidRPr="00C62D22">
        <w:rPr>
          <w:rFonts w:ascii="Times New Roman" w:hAnsi="Times New Roman" w:cs="Times New Roman"/>
          <w:sz w:val="28"/>
          <w:szCs w:val="28"/>
        </w:rPr>
        <w:t xml:space="preserve"> ПК ПЗ, з компресією органів ТК, виконували ФЕГДС та рентгенконтрастне д</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слідження шлунка та ДПК, що дозволяло виявити ці ускладнення. При виконанні ФЕГДС у більшості пацієнтів слизова шлунка та/чи ДПК були гіперемовані, набряклі, складки слизової помірно розширені, відзначалося «відтиснення» шлунка та/чи бульби ДПК. При рентгенологічному дослідженні шлунка та ДПК з контрастуванням сумішшю барію при компресії ззовні збільшеною голівкою ПЗ спостерігалася затримка евакуації контрасту. </w:t>
      </w:r>
    </w:p>
    <w:p w:rsidR="0021764E" w:rsidRPr="00C62D22" w:rsidRDefault="0021764E" w:rsidP="0021764E">
      <w:pPr>
        <w:spacing w:after="0" w:line="360" w:lineRule="auto"/>
        <w:ind w:right="76" w:firstLine="540"/>
        <w:jc w:val="both"/>
        <w:rPr>
          <w:rFonts w:ascii="Times New Roman" w:hAnsi="Times New Roman" w:cs="Times New Roman"/>
          <w:color w:val="000000"/>
          <w:sz w:val="28"/>
          <w:szCs w:val="28"/>
        </w:rPr>
      </w:pPr>
      <w:r w:rsidRPr="00C62D22">
        <w:rPr>
          <w:rFonts w:ascii="Times New Roman" w:hAnsi="Times New Roman" w:cs="Times New Roman"/>
          <w:sz w:val="28"/>
          <w:szCs w:val="28"/>
        </w:rPr>
        <w:t xml:space="preserve">Магнітно-резонансна томографія (МРТ) більш ефективна в діагностиці ПК ПЗ та їх ускладнень,  порівняно з МСКТ [201, 240, 336, 359, 377, 385]. </w:t>
      </w:r>
      <w:r w:rsidRPr="00C62D22">
        <w:rPr>
          <w:rFonts w:ascii="Times New Roman" w:hAnsi="Times New Roman" w:cs="Times New Roman"/>
          <w:color w:val="000000"/>
          <w:sz w:val="28"/>
          <w:szCs w:val="28"/>
        </w:rPr>
        <w:t xml:space="preserve">На Т2-зважених зображеннях у 56 обстежених хворих найбільш ефективно вдавалося візуалізувати вміст порожнини ПК, її перетинки, а також протокову систему ПЗ та жовчовивідні </w:t>
      </w:r>
      <w:r w:rsidRPr="00C62D22">
        <w:rPr>
          <w:rFonts w:ascii="Times New Roman" w:hAnsi="Times New Roman" w:cs="Times New Roman"/>
          <w:color w:val="000000"/>
          <w:sz w:val="28"/>
          <w:szCs w:val="28"/>
        </w:rPr>
        <w:lastRenderedPageBreak/>
        <w:t xml:space="preserve">протоки </w:t>
      </w:r>
      <w:r w:rsidRPr="00C62D22">
        <w:rPr>
          <w:rFonts w:ascii="Times New Roman" w:hAnsi="Times New Roman" w:cs="Times New Roman"/>
          <w:sz w:val="28"/>
          <w:szCs w:val="28"/>
        </w:rPr>
        <w:t>(рис. 3.23, 3.24)</w:t>
      </w:r>
      <w:r w:rsidRPr="00C62D22">
        <w:rPr>
          <w:rFonts w:ascii="Times New Roman" w:hAnsi="Times New Roman" w:cs="Times New Roman"/>
          <w:color w:val="000000"/>
          <w:sz w:val="28"/>
          <w:szCs w:val="28"/>
        </w:rPr>
        <w:t xml:space="preserve">. </w:t>
      </w:r>
      <w:r w:rsidRPr="00C62D22">
        <w:rPr>
          <w:rFonts w:ascii="Times New Roman" w:hAnsi="Times New Roman" w:cs="Times New Roman"/>
          <w:spacing w:val="-2"/>
          <w:sz w:val="28"/>
          <w:szCs w:val="28"/>
        </w:rPr>
        <w:t>Чутливість МРТ для діагностики ускладнених ПК ПЗ становила 99,4%, специфічність – 100%.</w:t>
      </w: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tabs>
          <w:tab w:val="left" w:pos="0"/>
          <w:tab w:val="left" w:pos="900"/>
        </w:tabs>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62425" cy="2619375"/>
            <wp:effectExtent l="19050" t="0" r="952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5"/>
                    <a:srcRect/>
                    <a:stretch>
                      <a:fillRect/>
                    </a:stretch>
                  </pic:blipFill>
                  <pic:spPr bwMode="auto">
                    <a:xfrm>
                      <a:off x="0" y="0"/>
                      <a:ext cx="4162425" cy="26193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right="76" w:firstLine="540"/>
        <w:rPr>
          <w:rFonts w:ascii="Times New Roman" w:hAnsi="Times New Roman" w:cs="Times New Roman"/>
          <w:sz w:val="28"/>
          <w:szCs w:val="28"/>
        </w:rPr>
      </w:pPr>
      <w:r w:rsidRPr="00C62D22">
        <w:rPr>
          <w:rFonts w:ascii="Times New Roman" w:hAnsi="Times New Roman" w:cs="Times New Roman"/>
          <w:sz w:val="28"/>
          <w:szCs w:val="28"/>
          <w:lang w:eastAsia="en-US"/>
        </w:rPr>
        <w:pict>
          <v:shape id="_x0000_s1056" type="#_x0000_t202" style="position:absolute;left:0;text-align:left;margin-left:0;margin-top:8.7pt;width:483.25pt;height:45pt;z-index:251689984;mso-position-horizontal:center;mso-width-relative:margin;mso-height-relative:margin" stroked="f">
            <v:textbox style="mso-next-textbox:#_x0000_s1056">
              <w:txbxContent>
                <w:p w:rsidR="0021764E" w:rsidRDefault="0021764E" w:rsidP="0021764E">
                  <w:pPr>
                    <w:spacing w:after="0"/>
                    <w:jc w:val="right"/>
                    <w:rPr>
                      <w:rFonts w:ascii="Times New Roman" w:hAnsi="Times New Roman"/>
                      <w:sz w:val="28"/>
                      <w:szCs w:val="28"/>
                    </w:rPr>
                  </w:pPr>
                  <w:r w:rsidRPr="00455F51">
                    <w:rPr>
                      <w:rFonts w:ascii="Times New Roman" w:hAnsi="Times New Roman"/>
                      <w:sz w:val="28"/>
                      <w:szCs w:val="28"/>
                    </w:rPr>
                    <w:t xml:space="preserve">Рис. </w:t>
                  </w:r>
                  <w:r>
                    <w:rPr>
                      <w:rFonts w:ascii="Times New Roman" w:hAnsi="Times New Roman"/>
                      <w:sz w:val="28"/>
                      <w:szCs w:val="28"/>
                    </w:rPr>
                    <w:t>3.23.</w:t>
                  </w:r>
                  <w:r w:rsidRPr="00455F51">
                    <w:rPr>
                      <w:rFonts w:ascii="Times New Roman" w:hAnsi="Times New Roman"/>
                      <w:sz w:val="28"/>
                      <w:szCs w:val="28"/>
                    </w:rPr>
                    <w:t xml:space="preserve"> МРТ хворого Б.:</w:t>
                  </w:r>
                  <w:r>
                    <w:rPr>
                      <w:rFonts w:ascii="Times New Roman" w:hAnsi="Times New Roman"/>
                      <w:sz w:val="28"/>
                      <w:szCs w:val="28"/>
                    </w:rPr>
                    <w:t xml:space="preserve"> візуалізується ПК голівки ПЗ (у</w:t>
                  </w:r>
                  <w:r w:rsidRPr="00455F51">
                    <w:rPr>
                      <w:rFonts w:ascii="Times New Roman" w:hAnsi="Times New Roman"/>
                      <w:sz w:val="28"/>
                      <w:szCs w:val="28"/>
                    </w:rPr>
                    <w:t>казана стрілкою)</w:t>
                  </w:r>
                </w:p>
                <w:p w:rsidR="0021764E" w:rsidRPr="00455F51" w:rsidRDefault="0021764E" w:rsidP="0021764E">
                  <w:pPr>
                    <w:ind w:firstLine="708"/>
                    <w:jc w:val="center"/>
                    <w:rPr>
                      <w:rFonts w:ascii="Times New Roman" w:hAnsi="Times New Roman"/>
                      <w:sz w:val="28"/>
                      <w:szCs w:val="28"/>
                    </w:rPr>
                  </w:pPr>
                </w:p>
              </w:txbxContent>
            </v:textbox>
          </v:shape>
        </w:pict>
      </w:r>
    </w:p>
    <w:p w:rsidR="0021764E" w:rsidRPr="00C62D22" w:rsidRDefault="0021764E" w:rsidP="0021764E">
      <w:pPr>
        <w:spacing w:after="0" w:line="360" w:lineRule="auto"/>
        <w:ind w:right="76"/>
        <w:rPr>
          <w:rFonts w:ascii="Times New Roman" w:hAnsi="Times New Roman" w:cs="Times New Roman"/>
          <w:sz w:val="28"/>
          <w:szCs w:val="28"/>
        </w:rPr>
      </w:pPr>
    </w:p>
    <w:p w:rsidR="0021764E" w:rsidRPr="00C62D22" w:rsidRDefault="0021764E" w:rsidP="0021764E">
      <w:pPr>
        <w:spacing w:after="0" w:line="360" w:lineRule="auto"/>
        <w:ind w:right="76"/>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62425" cy="2705100"/>
            <wp:effectExtent l="19050" t="0" r="9525"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6"/>
                    <a:srcRect/>
                    <a:stretch>
                      <a:fillRect/>
                    </a:stretch>
                  </pic:blipFill>
                  <pic:spPr bwMode="auto">
                    <a:xfrm>
                      <a:off x="0" y="0"/>
                      <a:ext cx="4162425" cy="2705100"/>
                    </a:xfrm>
                    <a:prstGeom prst="rect">
                      <a:avLst/>
                    </a:prstGeom>
                    <a:noFill/>
                    <a:ln w="9525">
                      <a:noFill/>
                      <a:miter lim="800000"/>
                      <a:headEnd/>
                      <a:tailEnd/>
                    </a:ln>
                  </pic:spPr>
                </pic:pic>
              </a:graphicData>
            </a:graphic>
          </wp:inline>
        </w:drawing>
      </w:r>
      <w:r w:rsidRPr="00C62D22">
        <w:rPr>
          <w:rFonts w:ascii="Times New Roman" w:hAnsi="Times New Roman" w:cs="Times New Roman"/>
          <w:sz w:val="28"/>
          <w:szCs w:val="28"/>
        </w:rPr>
        <w:t xml:space="preserve">    </w:t>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lang w:eastAsia="en-US"/>
        </w:rPr>
        <w:pict>
          <v:shape id="_x0000_s1057" type="#_x0000_t202" style="position:absolute;left:0;text-align:left;margin-left:7.3pt;margin-top:3.05pt;width:496.7pt;height:61.15pt;z-index:251691008;mso-width-relative:margin;mso-height-relative:margin" stroked="f">
            <v:textbox style="mso-next-textbox:#_x0000_s1057">
              <w:txbxContent>
                <w:p w:rsidR="0021764E" w:rsidRPr="00A41E99" w:rsidRDefault="0021764E" w:rsidP="0021764E">
                  <w:pPr>
                    <w:spacing w:line="360" w:lineRule="auto"/>
                    <w:jc w:val="right"/>
                    <w:rPr>
                      <w:rFonts w:ascii="Times New Roman" w:hAnsi="Times New Roman"/>
                      <w:sz w:val="28"/>
                      <w:szCs w:val="28"/>
                    </w:rPr>
                  </w:pPr>
                  <w:r w:rsidRPr="00A41E99">
                    <w:rPr>
                      <w:rFonts w:ascii="Times New Roman" w:hAnsi="Times New Roman"/>
                      <w:sz w:val="28"/>
                      <w:szCs w:val="28"/>
                    </w:rPr>
                    <w:t>Рис. 3.24. МРТ хворого Ч: ПК голівки ПК (1) з кровотечею в порожнину ПК (2) та зі здавлюванням шлунка (3)</w:t>
                  </w:r>
                </w:p>
              </w:txbxContent>
            </v:textbox>
          </v:shape>
        </w:pict>
      </w: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Нориці ускладнювали перебіг ПК ПЗ у 9 (1,78%) хворих, з них у 2 – з ПК ПЗ І типу, у 7 – з ПК ПЗ ІІІ типу. </w:t>
      </w:r>
    </w:p>
    <w:p w:rsidR="0021764E" w:rsidRPr="00C62D22" w:rsidRDefault="0021764E" w:rsidP="0021764E">
      <w:pPr>
        <w:spacing w:after="0" w:line="360" w:lineRule="auto"/>
        <w:ind w:right="76"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Для більш точного діагнозу у 27 (5,3%) хворих виконана ендоскопічна ультрасонографія (ЕУС), яка, за даними авторів, надає більш високоточне </w:t>
      </w:r>
      <w:r w:rsidRPr="00C62D22">
        <w:rPr>
          <w:rFonts w:ascii="Times New Roman" w:hAnsi="Times New Roman" w:cs="Times New Roman"/>
          <w:sz w:val="28"/>
          <w:szCs w:val="28"/>
        </w:rPr>
        <w:lastRenderedPageBreak/>
        <w:t xml:space="preserve">зображення ПЗ та її патологічних змін, і її дозвіл ЕУ-картини відповідає, а низці випадків перебільшує дозвіл картини, яку отримують при МСКТ чи МРТ [64, 65, 77, 242]. ЕУС дозволяє достатньо чітко візуалізувати стінки, порожнину кістозних новоутворень ПЗ, їх перетинки, пристінкові вузлоподібні розростання [51]. ЕУС проведено в 1 хворого з ПК ПЗ І типу, ускладненою компресією ДПК; у 18 – з ПК ПЗ ІІ типу, з них – у 4 з інфікованими ПК ПЗ, у 2 – з МЖ, у 12 – з компресією ПК органів ТК; у 8 хворих з ПК ПЗ ІІІ типу, з них в 1 – з інфікованою ПК ПЗ, у 4 – з компресією органів ТК, у 2 – з МЖ, у 1 – з кровотечею в порожнину ПК та МЖ. ЕУС дозволяла не тільки візуалізувати кістозні новоутворення ПЗ, але й виконати у всіх випадках тонкоголкову пункційну біопсію ПК з аспірацією їх вмісту. </w:t>
      </w:r>
    </w:p>
    <w:p w:rsidR="0021764E" w:rsidRPr="00C62D22" w:rsidRDefault="0021764E" w:rsidP="0021764E">
      <w:pPr>
        <w:widowControl w:val="0"/>
        <w:tabs>
          <w:tab w:val="left" w:pos="8651"/>
        </w:tabs>
        <w:spacing w:after="0" w:line="360" w:lineRule="auto"/>
        <w:ind w:right="76" w:firstLine="540"/>
        <w:jc w:val="both"/>
        <w:rPr>
          <w:rFonts w:ascii="Times New Roman" w:hAnsi="Times New Roman" w:cs="Times New Roman"/>
          <w:spacing w:val="-2"/>
          <w:sz w:val="28"/>
          <w:szCs w:val="28"/>
        </w:rPr>
      </w:pPr>
      <w:r w:rsidRPr="00C62D22">
        <w:rPr>
          <w:rFonts w:ascii="Times New Roman" w:hAnsi="Times New Roman" w:cs="Times New Roman"/>
          <w:spacing w:val="-2"/>
          <w:sz w:val="28"/>
          <w:szCs w:val="28"/>
        </w:rPr>
        <w:t xml:space="preserve">Таким чином, ультрасонографічними ознаками ПК ПЗ були: інтраорганна локалізація, «правильна» сферична або овальна форма, рівний край (86,2%), дистальне акустичне посилення (90,7%), а також крайове затінення внаслідок критичного кута відображення (у 52,1%). Загальна чутливість методу в діагностиці ускладнених ПК ПЗ становила 67,3%, специфічність – 98,7%. Низька частота візуалізації стінки ПК (32,4%) та ознак інфікування, кровотечі в порожнину ПК потребувала додаткового використання МСКТ, чутливість якої при дослідженні таких ускладнень, як: інфікування вмісту ПК, МЖ, компресія суміжних органів, перфорація та розрив була 98,8% та специфічність сягала 100%. Чутливість МСКТ у діагностиці кровотеч була дещо нижчою, сягаючи 70,9%, та специфічність сягала 86,3%. Чутливість МРТ для діагностики ускладнених ПК ПЗ становила 99,4%, специфічність – 100%. Застосування ЕУС компенсувало деякі недоліки УЗД, її використання було остаточним методом верифікації діагнозу, з метою подальшого ендоскопічного лікування хворих. </w:t>
      </w:r>
    </w:p>
    <w:p w:rsidR="0021764E" w:rsidRPr="00C62D22" w:rsidRDefault="0021764E" w:rsidP="0021764E">
      <w:pPr>
        <w:widowControl w:val="0"/>
        <w:shd w:val="clear" w:color="auto" w:fill="FFFFFF"/>
        <w:tabs>
          <w:tab w:val="left" w:pos="993"/>
        </w:tabs>
        <w:autoSpaceDE w:val="0"/>
        <w:autoSpaceDN w:val="0"/>
        <w:adjustRightInd w:val="0"/>
        <w:spacing w:after="0" w:line="360" w:lineRule="auto"/>
        <w:ind w:left="567"/>
        <w:jc w:val="both"/>
        <w:rPr>
          <w:rFonts w:ascii="Times New Roman" w:hAnsi="Times New Roman" w:cs="Times New Roman"/>
          <w:sz w:val="28"/>
          <w:szCs w:val="28"/>
        </w:rPr>
      </w:pPr>
    </w:p>
    <w:p w:rsidR="0021764E" w:rsidRPr="00C62D22" w:rsidRDefault="0021764E">
      <w:pPr>
        <w:rPr>
          <w:rFonts w:ascii="Times New Roman" w:hAnsi="Times New Roman" w:cs="Times New Roman"/>
          <w:sz w:val="28"/>
          <w:szCs w:val="28"/>
        </w:rPr>
      </w:pPr>
      <w:r w:rsidRPr="00C62D22">
        <w:rPr>
          <w:rFonts w:ascii="Times New Roman" w:hAnsi="Times New Roman" w:cs="Times New Roman"/>
          <w:sz w:val="28"/>
          <w:szCs w:val="28"/>
        </w:rPr>
        <w:br w:type="page"/>
      </w:r>
    </w:p>
    <w:p w:rsidR="0021764E" w:rsidRPr="00C62D22" w:rsidRDefault="0021764E" w:rsidP="0021764E">
      <w:pPr>
        <w:tabs>
          <w:tab w:val="left" w:pos="360"/>
          <w:tab w:val="left" w:leader="dot" w:pos="9105"/>
        </w:tabs>
        <w:spacing w:after="0" w:line="360" w:lineRule="auto"/>
        <w:jc w:val="center"/>
        <w:rPr>
          <w:rFonts w:ascii="Times New Roman" w:hAnsi="Times New Roman" w:cs="Times New Roman"/>
          <w:b/>
          <w:sz w:val="28"/>
          <w:szCs w:val="28"/>
        </w:rPr>
      </w:pPr>
      <w:r w:rsidRPr="00C62D22">
        <w:rPr>
          <w:rFonts w:ascii="Times New Roman" w:hAnsi="Times New Roman" w:cs="Times New Roman"/>
          <w:b/>
          <w:sz w:val="28"/>
          <w:szCs w:val="28"/>
        </w:rPr>
        <w:lastRenderedPageBreak/>
        <w:t>РОЗДІЛ 4</w:t>
      </w:r>
    </w:p>
    <w:p w:rsidR="0021764E" w:rsidRPr="00C62D22" w:rsidRDefault="0021764E" w:rsidP="0021764E">
      <w:pPr>
        <w:tabs>
          <w:tab w:val="left" w:pos="360"/>
        </w:tabs>
        <w:spacing w:after="0" w:line="360" w:lineRule="auto"/>
        <w:ind w:firstLine="540"/>
        <w:jc w:val="center"/>
        <w:rPr>
          <w:rFonts w:ascii="Times New Roman" w:hAnsi="Times New Roman" w:cs="Times New Roman"/>
          <w:b/>
          <w:sz w:val="28"/>
          <w:szCs w:val="28"/>
        </w:rPr>
      </w:pPr>
      <w:r w:rsidRPr="00C62D22">
        <w:rPr>
          <w:rFonts w:ascii="Times New Roman" w:hAnsi="Times New Roman" w:cs="Times New Roman"/>
          <w:b/>
          <w:sz w:val="28"/>
          <w:szCs w:val="28"/>
        </w:rPr>
        <w:t>ДЕЯКІ ОСОБЛИВОСТІ ПАТОГЕНЕТИЧНИХ МЕХАНІ</w:t>
      </w:r>
      <w:r w:rsidRPr="00C62D22">
        <w:rPr>
          <w:rFonts w:ascii="Times New Roman" w:hAnsi="Times New Roman" w:cs="Times New Roman"/>
          <w:b/>
          <w:sz w:val="28"/>
          <w:szCs w:val="28"/>
        </w:rPr>
        <w:t>З</w:t>
      </w:r>
      <w:r w:rsidRPr="00C62D22">
        <w:rPr>
          <w:rFonts w:ascii="Times New Roman" w:hAnsi="Times New Roman" w:cs="Times New Roman"/>
          <w:b/>
          <w:sz w:val="28"/>
          <w:szCs w:val="28"/>
        </w:rPr>
        <w:t xml:space="preserve">МІВ </w:t>
      </w:r>
      <w:r w:rsidRPr="00C62D22">
        <w:rPr>
          <w:rFonts w:ascii="Times New Roman" w:hAnsi="Times New Roman" w:cs="Times New Roman"/>
          <w:b/>
          <w:sz w:val="28"/>
          <w:szCs w:val="28"/>
        </w:rPr>
        <w:br/>
        <w:t>РОЗВИТКУ УСКЛАДНЕНИХ ПСЕВДОКІСТ ПІДШЛУНКОВОЇ ЗАЛОЗИ</w:t>
      </w:r>
    </w:p>
    <w:p w:rsidR="0021764E" w:rsidRPr="00C62D22" w:rsidRDefault="0021764E" w:rsidP="0021764E">
      <w:pPr>
        <w:spacing w:after="0" w:line="360" w:lineRule="auto"/>
        <w:ind w:firstLine="709"/>
        <w:jc w:val="both"/>
        <w:rPr>
          <w:rFonts w:ascii="Times New Roman" w:hAnsi="Times New Roman" w:cs="Times New Roman"/>
          <w:b/>
          <w:sz w:val="28"/>
          <w:szCs w:val="28"/>
        </w:rPr>
      </w:pPr>
    </w:p>
    <w:p w:rsidR="0021764E" w:rsidRPr="00C62D22" w:rsidRDefault="0021764E" w:rsidP="0021764E">
      <w:pPr>
        <w:spacing w:after="0" w:line="360" w:lineRule="auto"/>
        <w:ind w:firstLine="709"/>
        <w:jc w:val="both"/>
        <w:rPr>
          <w:rFonts w:ascii="Times New Roman" w:hAnsi="Times New Roman" w:cs="Times New Roman"/>
          <w:b/>
          <w:sz w:val="28"/>
          <w:szCs w:val="28"/>
        </w:rPr>
      </w:pPr>
    </w:p>
    <w:p w:rsidR="0021764E" w:rsidRPr="00C62D22" w:rsidRDefault="0021764E" w:rsidP="0021764E">
      <w:pPr>
        <w:spacing w:after="0" w:line="360" w:lineRule="auto"/>
        <w:ind w:firstLine="709"/>
        <w:jc w:val="both"/>
        <w:rPr>
          <w:rFonts w:ascii="Times New Roman" w:hAnsi="Times New Roman" w:cs="Times New Roman"/>
          <w:b/>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r w:rsidRPr="00C62D22">
        <w:rPr>
          <w:rStyle w:val="hps"/>
          <w:rFonts w:ascii="Times New Roman" w:hAnsi="Times New Roman" w:cs="Times New Roman"/>
          <w:sz w:val="28"/>
          <w:szCs w:val="28"/>
        </w:rPr>
        <w:t>Пріоритетними напрямками сучасних досліджень у панкреатології є вивчення механізмів утрати функціонуючої тканини ПЗ та її заміщення сп</w:t>
      </w:r>
      <w:r w:rsidRPr="00C62D22">
        <w:rPr>
          <w:rStyle w:val="hps"/>
          <w:rFonts w:ascii="Times New Roman" w:hAnsi="Times New Roman" w:cs="Times New Roman"/>
          <w:sz w:val="28"/>
          <w:szCs w:val="28"/>
        </w:rPr>
        <w:t>о</w:t>
      </w:r>
      <w:r w:rsidRPr="00C62D22">
        <w:rPr>
          <w:rStyle w:val="hps"/>
          <w:rFonts w:ascii="Times New Roman" w:hAnsi="Times New Roman" w:cs="Times New Roman"/>
          <w:sz w:val="28"/>
          <w:szCs w:val="28"/>
        </w:rPr>
        <w:t>лучною тканиною [22, 33, 36, 89, 118, 311, 352, 432]. У розвитку ушкодження ацинарних клітин ПЗ визначена роль належить складним процесам міжклітинних взаємодій, які активуються під впливом імунних та неімунних факторів. Тобто, в основі розвитку фіброзних змін ПЗ при ХП, як наслідок дій динамічного каскаду цитокінів, хемокінів, факторів росту та багатьох інших факторів лежать порушення бала</w:t>
      </w:r>
      <w:r w:rsidRPr="00C62D22">
        <w:rPr>
          <w:rStyle w:val="hps"/>
          <w:rFonts w:ascii="Times New Roman" w:hAnsi="Times New Roman" w:cs="Times New Roman"/>
          <w:sz w:val="28"/>
          <w:szCs w:val="28"/>
        </w:rPr>
        <w:t>н</w:t>
      </w:r>
      <w:r w:rsidRPr="00C62D22">
        <w:rPr>
          <w:rStyle w:val="hps"/>
          <w:rFonts w:ascii="Times New Roman" w:hAnsi="Times New Roman" w:cs="Times New Roman"/>
          <w:sz w:val="28"/>
          <w:szCs w:val="28"/>
        </w:rPr>
        <w:t>су між процесами синтезу та розпаду протеїнів ЕЦМ з його накопиченнями та деградацією [214, 259, 375].</w:t>
      </w:r>
      <w:r w:rsidRPr="00C62D22">
        <w:rPr>
          <w:rFonts w:ascii="Times New Roman" w:hAnsi="Times New Roman" w:cs="Times New Roman"/>
          <w:sz w:val="28"/>
          <w:szCs w:val="28"/>
        </w:rPr>
        <w:t xml:space="preserve"> Саме фіброз ПЗ у цей час розглядається як пров</w:t>
      </w:r>
      <w:r w:rsidRPr="00C62D22">
        <w:rPr>
          <w:rFonts w:ascii="Times New Roman" w:hAnsi="Times New Roman" w:cs="Times New Roman"/>
          <w:sz w:val="28"/>
          <w:szCs w:val="28"/>
        </w:rPr>
        <w:t>і</w:t>
      </w:r>
      <w:r w:rsidRPr="00C62D22">
        <w:rPr>
          <w:rFonts w:ascii="Times New Roman" w:hAnsi="Times New Roman" w:cs="Times New Roman"/>
          <w:sz w:val="28"/>
          <w:szCs w:val="28"/>
        </w:rPr>
        <w:t xml:space="preserve">дний патологічний механізм розвитку ХП та його ускладнень, а ключова роль при цьому належить панкреатичним зірчастим клітинам </w:t>
      </w:r>
      <w:r w:rsidRPr="00C62D22">
        <w:rPr>
          <w:rStyle w:val="hps"/>
          <w:rFonts w:ascii="Times New Roman" w:hAnsi="Times New Roman" w:cs="Times New Roman"/>
          <w:sz w:val="28"/>
          <w:szCs w:val="28"/>
        </w:rPr>
        <w:t xml:space="preserve">(PSCs) </w:t>
      </w:r>
      <w:r w:rsidRPr="00C62D22">
        <w:rPr>
          <w:rStyle w:val="hps"/>
          <w:rFonts w:ascii="Times New Roman" w:hAnsi="Times New Roman" w:cs="Times New Roman"/>
          <w:sz w:val="28"/>
          <w:szCs w:val="28"/>
        </w:rPr>
        <w:sym w:font="Symbol" w:char="002D"/>
      </w:r>
      <w:r w:rsidRPr="00C62D22">
        <w:rPr>
          <w:rStyle w:val="hps"/>
          <w:rFonts w:ascii="Times New Roman" w:hAnsi="Times New Roman" w:cs="Times New Roman"/>
          <w:sz w:val="28"/>
          <w:szCs w:val="28"/>
        </w:rPr>
        <w:t xml:space="preserve"> міофібро</w:t>
      </w:r>
      <w:r w:rsidRPr="00C62D22">
        <w:rPr>
          <w:rStyle w:val="hps"/>
          <w:rFonts w:ascii="Times New Roman" w:hAnsi="Times New Roman" w:cs="Times New Roman"/>
          <w:sz w:val="28"/>
          <w:szCs w:val="28"/>
        </w:rPr>
        <w:t>б</w:t>
      </w:r>
      <w:r w:rsidRPr="00C62D22">
        <w:rPr>
          <w:rStyle w:val="hps"/>
          <w:rFonts w:ascii="Times New Roman" w:hAnsi="Times New Roman" w:cs="Times New Roman"/>
          <w:sz w:val="28"/>
          <w:szCs w:val="28"/>
        </w:rPr>
        <w:t>ластно-подібним клітинам, які здатні переключатися від спокійного до акт</w:t>
      </w:r>
      <w:r w:rsidRPr="00C62D22">
        <w:rPr>
          <w:rStyle w:val="hps"/>
          <w:rFonts w:ascii="Times New Roman" w:hAnsi="Times New Roman" w:cs="Times New Roman"/>
          <w:sz w:val="28"/>
          <w:szCs w:val="28"/>
        </w:rPr>
        <w:t>и</w:t>
      </w:r>
      <w:r w:rsidRPr="00C62D22">
        <w:rPr>
          <w:rStyle w:val="hps"/>
          <w:rFonts w:ascii="Times New Roman" w:hAnsi="Times New Roman" w:cs="Times New Roman"/>
          <w:sz w:val="28"/>
          <w:szCs w:val="28"/>
        </w:rPr>
        <w:t xml:space="preserve">вованого фенотипу та навпаки, нагадуючи в цій якості </w:t>
      </w:r>
      <w:r w:rsidRPr="00C62D22">
        <w:rPr>
          <w:rFonts w:ascii="Times New Roman" w:hAnsi="Times New Roman" w:cs="Times New Roman"/>
          <w:sz w:val="28"/>
          <w:szCs w:val="28"/>
        </w:rPr>
        <w:t>PSCs</w:t>
      </w:r>
      <w:r w:rsidRPr="00C62D22">
        <w:rPr>
          <w:rStyle w:val="hps"/>
          <w:rFonts w:ascii="Times New Roman" w:hAnsi="Times New Roman" w:cs="Times New Roman"/>
          <w:sz w:val="28"/>
          <w:szCs w:val="28"/>
        </w:rPr>
        <w:t xml:space="preserve"> печінки</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[89, 125, 309</w:t>
      </w:r>
      <w:r w:rsidRPr="00C62D22">
        <w:rPr>
          <w:rFonts w:ascii="Times New Roman" w:hAnsi="Times New Roman" w:cs="Times New Roman"/>
          <w:sz w:val="28"/>
          <w:szCs w:val="28"/>
        </w:rPr>
        <w:t>].</w:t>
      </w:r>
    </w:p>
    <w:p w:rsidR="0021764E" w:rsidRPr="00C62D22" w:rsidRDefault="0021764E" w:rsidP="0021764E">
      <w:pPr>
        <w:spacing w:after="0" w:line="360" w:lineRule="auto"/>
        <w:ind w:firstLine="901"/>
        <w:jc w:val="both"/>
        <w:rPr>
          <w:rFonts w:ascii="Times New Roman" w:hAnsi="Times New Roman" w:cs="Times New Roman"/>
          <w:sz w:val="28"/>
          <w:szCs w:val="28"/>
        </w:rPr>
      </w:pPr>
      <w:r w:rsidRPr="00C62D22">
        <w:rPr>
          <w:rFonts w:ascii="Times New Roman" w:hAnsi="Times New Roman" w:cs="Times New Roman"/>
          <w:sz w:val="28"/>
          <w:szCs w:val="28"/>
        </w:rPr>
        <w:t xml:space="preserve">Основою для проведення дослідження стала </w:t>
      </w:r>
      <w:r w:rsidRPr="00C62D22">
        <w:rPr>
          <w:rFonts w:ascii="Times New Roman" w:hAnsi="Times New Roman" w:cs="Times New Roman"/>
          <w:b/>
          <w:sz w:val="28"/>
          <w:szCs w:val="28"/>
        </w:rPr>
        <w:t>сформульована власна гіпотеза</w:t>
      </w:r>
      <w:r w:rsidRPr="00C62D22">
        <w:rPr>
          <w:rFonts w:ascii="Times New Roman" w:hAnsi="Times New Roman" w:cs="Times New Roman"/>
          <w:sz w:val="28"/>
          <w:szCs w:val="28"/>
        </w:rPr>
        <w:t>, що в умовах гіпоксії та ішемії ПЗ унаслідок її ушкодження, під дією ангіогенних факторів відбувається активація та проліферація ендотелі</w:t>
      </w:r>
      <w:r w:rsidRPr="00C62D22">
        <w:rPr>
          <w:rFonts w:ascii="Times New Roman" w:hAnsi="Times New Roman" w:cs="Times New Roman"/>
          <w:sz w:val="28"/>
          <w:szCs w:val="28"/>
        </w:rPr>
        <w:t>о</w:t>
      </w:r>
      <w:r w:rsidRPr="00C62D22">
        <w:rPr>
          <w:rFonts w:ascii="Times New Roman" w:hAnsi="Times New Roman" w:cs="Times New Roman"/>
          <w:sz w:val="28"/>
          <w:szCs w:val="28"/>
        </w:rPr>
        <w:t>цитів, яка завершується процесами неоваскуляризації, а недостатня деград</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ція позаклітинного матриксу, що накопичується, є основною причиною прогресування фіброзу та ремоделювання ПЗ із розвитком ускладнень, у тому числі внаслідок повторної дії факторів екзогенної та ендогенної природи. При цьому ми вважали, що ремоделювання ПЗ </w:t>
      </w:r>
      <w:r w:rsidRPr="00C62D22">
        <w:rPr>
          <w:rStyle w:val="hps"/>
          <w:rFonts w:ascii="Times New Roman" w:hAnsi="Times New Roman" w:cs="Times New Roman"/>
          <w:sz w:val="28"/>
          <w:szCs w:val="28"/>
        </w:rPr>
        <w:t>– г</w:t>
      </w:r>
      <w:r w:rsidRPr="00C62D22">
        <w:rPr>
          <w:rFonts w:ascii="Times New Roman" w:hAnsi="Times New Roman" w:cs="Times New Roman"/>
          <w:sz w:val="28"/>
          <w:szCs w:val="28"/>
        </w:rPr>
        <w:t xml:space="preserve">етерогенний процес, який призводить до змін сполучної тканини та порушення структури та функції органа внаслідок динамічного процесу диференціювання, міграції, розвитку та дозрівання структурних клітин [36, 125, 369]. </w:t>
      </w:r>
    </w:p>
    <w:p w:rsidR="0021764E" w:rsidRPr="00C62D22" w:rsidRDefault="0021764E" w:rsidP="0021764E">
      <w:pPr>
        <w:autoSpaceDE w:val="0"/>
        <w:autoSpaceDN w:val="0"/>
        <w:adjustRightInd w:val="0"/>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bCs/>
          <w:sz w:val="28"/>
          <w:szCs w:val="28"/>
        </w:rPr>
        <w:lastRenderedPageBreak/>
        <w:t xml:space="preserve">Проведені дослідження в 47 хворих у віці у середньому </w:t>
      </w:r>
      <w:r w:rsidRPr="00C62D22">
        <w:rPr>
          <w:rStyle w:val="hps"/>
          <w:rFonts w:ascii="Times New Roman" w:hAnsi="Times New Roman" w:cs="Times New Roman"/>
          <w:sz w:val="28"/>
          <w:szCs w:val="28"/>
        </w:rPr>
        <w:t>(</w:t>
      </w:r>
      <w:r w:rsidRPr="00C62D22">
        <w:rPr>
          <w:rFonts w:ascii="Times New Roman" w:hAnsi="Times New Roman" w:cs="Times New Roman"/>
          <w:sz w:val="28"/>
          <w:szCs w:val="28"/>
        </w:rPr>
        <w:t xml:space="preserve">43,58 </w:t>
      </w:r>
      <w:r w:rsidRPr="00C62D22">
        <w:rPr>
          <w:rStyle w:val="hps"/>
          <w:rFonts w:ascii="Times New Roman" w:hAnsi="Times New Roman" w:cs="Times New Roman"/>
          <w:sz w:val="28"/>
          <w:szCs w:val="28"/>
        </w:rPr>
        <w:t>±</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7,38</w:t>
      </w:r>
      <w:r w:rsidRPr="00C62D22">
        <w:rPr>
          <w:rFonts w:ascii="Times New Roman" w:hAnsi="Times New Roman" w:cs="Times New Roman"/>
          <w:sz w:val="28"/>
          <w:szCs w:val="28"/>
        </w:rPr>
        <w:t>) років, співвідношення чоловіки/жінки – 4:1. Критерії включення: ПК ПЗ за класифікацією A. D'Egidio та М. Schein [339]: до I типу віднесені постнекр</w:t>
      </w:r>
      <w:r w:rsidRPr="00C62D22">
        <w:rPr>
          <w:rFonts w:ascii="Times New Roman" w:hAnsi="Times New Roman" w:cs="Times New Roman"/>
          <w:sz w:val="28"/>
          <w:szCs w:val="28"/>
        </w:rPr>
        <w:t>о</w:t>
      </w:r>
      <w:r w:rsidRPr="00C62D22">
        <w:rPr>
          <w:rFonts w:ascii="Times New Roman" w:hAnsi="Times New Roman" w:cs="Times New Roman"/>
          <w:sz w:val="28"/>
          <w:szCs w:val="28"/>
        </w:rPr>
        <w:t>тичні ПК ПЗ, які утворилися після епізоду ГП або травми ПЗ; до II типу – пос</w:t>
      </w:r>
      <w:r w:rsidRPr="00C62D22">
        <w:rPr>
          <w:rFonts w:ascii="Times New Roman" w:hAnsi="Times New Roman" w:cs="Times New Roman"/>
          <w:sz w:val="28"/>
          <w:szCs w:val="28"/>
        </w:rPr>
        <w:t>т</w:t>
      </w:r>
      <w:r w:rsidRPr="00C62D22">
        <w:rPr>
          <w:rFonts w:ascii="Times New Roman" w:hAnsi="Times New Roman" w:cs="Times New Roman"/>
          <w:sz w:val="28"/>
          <w:szCs w:val="28"/>
        </w:rPr>
        <w:t>некротичні ПК ПЗ, які утворилися внаслідок атак ГП у хворих з ХП; до III типу — ретенційні кісти, які виникли при ХП унаслідок стриктури прот</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ків ПЗ. </w:t>
      </w:r>
      <w:r w:rsidRPr="00C62D22">
        <w:rPr>
          <w:rStyle w:val="hps"/>
          <w:rFonts w:ascii="Times New Roman" w:hAnsi="Times New Roman" w:cs="Times New Roman"/>
          <w:sz w:val="28"/>
          <w:szCs w:val="28"/>
        </w:rPr>
        <w:t>Критерії виключення: до дослідження не залучали пацієнтів з патолог</w:t>
      </w:r>
      <w:r w:rsidRPr="00C62D22">
        <w:rPr>
          <w:rStyle w:val="hps"/>
          <w:rFonts w:ascii="Times New Roman" w:hAnsi="Times New Roman" w:cs="Times New Roman"/>
          <w:sz w:val="28"/>
          <w:szCs w:val="28"/>
        </w:rPr>
        <w:t>і</w:t>
      </w:r>
      <w:r w:rsidRPr="00C62D22">
        <w:rPr>
          <w:rStyle w:val="hps"/>
          <w:rFonts w:ascii="Times New Roman" w:hAnsi="Times New Roman" w:cs="Times New Roman"/>
          <w:sz w:val="28"/>
          <w:szCs w:val="28"/>
        </w:rPr>
        <w:t>єю печінки (гепатит, цироз, рак) та раком ПЗ, вторинною артеріальною гіпертензією, супутньою ендокринною, аутоімунною, онкологічною патол</w:t>
      </w:r>
      <w:r w:rsidRPr="00C62D22">
        <w:rPr>
          <w:rStyle w:val="hps"/>
          <w:rFonts w:ascii="Times New Roman" w:hAnsi="Times New Roman" w:cs="Times New Roman"/>
          <w:sz w:val="28"/>
          <w:szCs w:val="28"/>
        </w:rPr>
        <w:t>о</w:t>
      </w:r>
      <w:r w:rsidRPr="00C62D22">
        <w:rPr>
          <w:rStyle w:val="hps"/>
          <w:rFonts w:ascii="Times New Roman" w:hAnsi="Times New Roman" w:cs="Times New Roman"/>
          <w:sz w:val="28"/>
          <w:szCs w:val="28"/>
        </w:rPr>
        <w:t>гією, з вираженими порушеннями серцевого ритму та провідності, з гострим і</w:t>
      </w:r>
      <w:r w:rsidRPr="00C62D22">
        <w:rPr>
          <w:rFonts w:ascii="Times New Roman" w:hAnsi="Times New Roman" w:cs="Times New Roman"/>
          <w:sz w:val="28"/>
          <w:szCs w:val="28"/>
        </w:rPr>
        <w:t>нфарктом міокарда чи інсультом, гострою ліво- чи правошлуночковою недостатністю, хронічною серцевою недостатністю III ст. унаслідок кардіомі</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патії, супутніми психічними захворюваннями, наркоманією, алкоголізмом. </w:t>
      </w:r>
      <w:r w:rsidRPr="00C62D22">
        <w:rPr>
          <w:rStyle w:val="hps"/>
          <w:rFonts w:ascii="Times New Roman" w:hAnsi="Times New Roman" w:cs="Times New Roman"/>
          <w:sz w:val="28"/>
          <w:szCs w:val="28"/>
        </w:rPr>
        <w:t>Пацієнти були розподілені на три групи</w:t>
      </w:r>
      <w:r w:rsidRPr="00C62D22">
        <w:rPr>
          <w:rFonts w:ascii="Times New Roman" w:hAnsi="Times New Roman" w:cs="Times New Roman"/>
          <w:sz w:val="28"/>
          <w:szCs w:val="28"/>
        </w:rPr>
        <w:t xml:space="preserve">: перша – хворі з </w:t>
      </w:r>
      <w:r w:rsidRPr="00C62D22">
        <w:rPr>
          <w:rStyle w:val="hps"/>
          <w:rFonts w:ascii="Times New Roman" w:hAnsi="Times New Roman" w:cs="Times New Roman"/>
          <w:sz w:val="28"/>
          <w:szCs w:val="28"/>
        </w:rPr>
        <w:t>I</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тип</w:t>
      </w:r>
      <w:r w:rsidRPr="00C62D22">
        <w:rPr>
          <w:rFonts w:ascii="Times New Roman" w:hAnsi="Times New Roman" w:cs="Times New Roman"/>
          <w:sz w:val="28"/>
          <w:szCs w:val="28"/>
        </w:rPr>
        <w:t>ом ПК ПЗ</w:t>
      </w:r>
      <w:r w:rsidRPr="00C62D22">
        <w:rPr>
          <w:rStyle w:val="hps"/>
          <w:rFonts w:ascii="Times New Roman" w:hAnsi="Times New Roman" w:cs="Times New Roman"/>
          <w:sz w:val="28"/>
          <w:szCs w:val="28"/>
        </w:rPr>
        <w:t>, ускладнених нагноєнням (12) та гострою кровотечею в порожнину (2)</w:t>
      </w:r>
      <w:r w:rsidRPr="00C62D22">
        <w:rPr>
          <w:rFonts w:ascii="Times New Roman" w:hAnsi="Times New Roman" w:cs="Times New Roman"/>
          <w:sz w:val="28"/>
          <w:szCs w:val="28"/>
        </w:rPr>
        <w:t xml:space="preserve">; друга – хворі з </w:t>
      </w:r>
      <w:r w:rsidRPr="00C62D22">
        <w:rPr>
          <w:rStyle w:val="hps"/>
          <w:rFonts w:ascii="Times New Roman" w:hAnsi="Times New Roman" w:cs="Times New Roman"/>
          <w:sz w:val="28"/>
          <w:szCs w:val="28"/>
        </w:rPr>
        <w:t>II</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типом</w:t>
      </w:r>
      <w:r w:rsidRPr="00C62D22">
        <w:rPr>
          <w:rFonts w:ascii="Times New Roman" w:hAnsi="Times New Roman" w:cs="Times New Roman"/>
          <w:sz w:val="28"/>
          <w:szCs w:val="28"/>
        </w:rPr>
        <w:t xml:space="preserve"> ПК ПЗ </w:t>
      </w:r>
      <w:r w:rsidRPr="00C62D22">
        <w:rPr>
          <w:rStyle w:val="hps"/>
          <w:rFonts w:ascii="Times New Roman" w:hAnsi="Times New Roman" w:cs="Times New Roman"/>
          <w:sz w:val="28"/>
          <w:szCs w:val="28"/>
        </w:rPr>
        <w:t>(</w:t>
      </w:r>
      <w:r w:rsidRPr="00C62D22">
        <w:rPr>
          <w:rStyle w:val="alt-edited1"/>
          <w:rFonts w:ascii="Times New Roman" w:hAnsi="Times New Roman" w:cs="Times New Roman"/>
          <w:sz w:val="28"/>
          <w:szCs w:val="28"/>
        </w:rPr>
        <w:t>12</w:t>
      </w:r>
      <w:r w:rsidRPr="00C62D22">
        <w:rPr>
          <w:rFonts w:ascii="Times New Roman" w:hAnsi="Times New Roman" w:cs="Times New Roman"/>
          <w:sz w:val="28"/>
          <w:szCs w:val="28"/>
        </w:rPr>
        <w:t xml:space="preserve"> </w:t>
      </w:r>
      <w:r w:rsidRPr="00C62D22">
        <w:rPr>
          <w:rFonts w:ascii="Times New Roman" w:hAnsi="Times New Roman" w:cs="Times New Roman"/>
          <w:sz w:val="28"/>
          <w:szCs w:val="28"/>
        </w:rPr>
        <w:sym w:font="Symbol" w:char="002D"/>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 xml:space="preserve">нагноєння, 3 </w:t>
      </w:r>
      <w:r w:rsidRPr="00C62D22">
        <w:rPr>
          <w:rFonts w:ascii="Times New Roman" w:hAnsi="Times New Roman" w:cs="Times New Roman"/>
          <w:sz w:val="28"/>
          <w:szCs w:val="28"/>
        </w:rPr>
        <w:sym w:font="Symbol" w:char="002D"/>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кровотеча в п</w:t>
      </w:r>
      <w:r w:rsidRPr="00C62D22">
        <w:rPr>
          <w:rStyle w:val="hps"/>
          <w:rFonts w:ascii="Times New Roman" w:hAnsi="Times New Roman" w:cs="Times New Roman"/>
          <w:sz w:val="28"/>
          <w:szCs w:val="28"/>
        </w:rPr>
        <w:t>о</w:t>
      </w:r>
      <w:r w:rsidRPr="00C62D22">
        <w:rPr>
          <w:rStyle w:val="hps"/>
          <w:rFonts w:ascii="Times New Roman" w:hAnsi="Times New Roman" w:cs="Times New Roman"/>
          <w:sz w:val="28"/>
          <w:szCs w:val="28"/>
        </w:rPr>
        <w:t>рожнину ПК, 1 – розрив ПК із кровотечею в черевну порожнину); третя</w:t>
      </w:r>
      <w:r w:rsidRPr="00C62D22">
        <w:rPr>
          <w:rFonts w:ascii="Times New Roman" w:hAnsi="Times New Roman" w:cs="Times New Roman"/>
          <w:sz w:val="28"/>
          <w:szCs w:val="28"/>
        </w:rPr>
        <w:t xml:space="preserve"> </w:t>
      </w:r>
      <w:r w:rsidRPr="00C62D22">
        <w:rPr>
          <w:rFonts w:ascii="Times New Roman" w:hAnsi="Times New Roman" w:cs="Times New Roman"/>
          <w:sz w:val="28"/>
          <w:szCs w:val="28"/>
        </w:rPr>
        <w:sym w:font="Symbol" w:char="002D"/>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III</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тип</w:t>
      </w:r>
      <w:r w:rsidRPr="00C62D22">
        <w:rPr>
          <w:rFonts w:ascii="Times New Roman" w:hAnsi="Times New Roman" w:cs="Times New Roman"/>
          <w:sz w:val="28"/>
          <w:szCs w:val="28"/>
        </w:rPr>
        <w:t xml:space="preserve"> ПК ПЗ </w:t>
      </w:r>
      <w:r w:rsidRPr="00C62D22">
        <w:rPr>
          <w:rStyle w:val="hps"/>
          <w:rFonts w:ascii="Times New Roman" w:hAnsi="Times New Roman" w:cs="Times New Roman"/>
          <w:sz w:val="28"/>
          <w:szCs w:val="28"/>
        </w:rPr>
        <w:t>(</w:t>
      </w:r>
      <w:r w:rsidRPr="00C62D22">
        <w:rPr>
          <w:rStyle w:val="alt-edited1"/>
          <w:rFonts w:ascii="Times New Roman" w:hAnsi="Times New Roman" w:cs="Times New Roman"/>
          <w:sz w:val="28"/>
          <w:szCs w:val="28"/>
        </w:rPr>
        <w:t>17</w:t>
      </w:r>
      <w:r w:rsidRPr="00C62D22">
        <w:rPr>
          <w:rFonts w:ascii="Times New Roman" w:hAnsi="Times New Roman" w:cs="Times New Roman"/>
          <w:sz w:val="28"/>
          <w:szCs w:val="28"/>
        </w:rPr>
        <w:t xml:space="preserve"> хворих з ПК ПЗ, причиною яких був хронічний ф</w:t>
      </w:r>
      <w:r w:rsidRPr="00C62D22">
        <w:rPr>
          <w:rFonts w:ascii="Times New Roman" w:hAnsi="Times New Roman" w:cs="Times New Roman"/>
          <w:sz w:val="28"/>
          <w:szCs w:val="28"/>
        </w:rPr>
        <w:t>і</w:t>
      </w:r>
      <w:r w:rsidRPr="00C62D22">
        <w:rPr>
          <w:rFonts w:ascii="Times New Roman" w:hAnsi="Times New Roman" w:cs="Times New Roman"/>
          <w:sz w:val="28"/>
          <w:szCs w:val="28"/>
        </w:rPr>
        <w:t>брозно-дегенеративний панкреатит, ускладнений розвитком ВПГ, МЖ, та ін. Групи були співвідношенні (</w:t>
      </w:r>
      <w:r w:rsidRPr="00C62D22">
        <w:rPr>
          <w:rFonts w:ascii="Times New Roman" w:hAnsi="Times New Roman" w:cs="Times New Roman"/>
          <w:sz w:val="28"/>
          <w:szCs w:val="28"/>
        </w:rPr>
        <w:sym w:font="Symbol" w:char="0063"/>
      </w:r>
      <w:r w:rsidRPr="00C62D22">
        <w:rPr>
          <w:rFonts w:ascii="Times New Roman" w:hAnsi="Times New Roman" w:cs="Times New Roman"/>
          <w:sz w:val="28"/>
          <w:szCs w:val="28"/>
        </w:rPr>
        <w:t>2</w:t>
      </w:r>
      <w:r w:rsidRPr="00C62D22">
        <w:rPr>
          <w:rFonts w:ascii="Times New Roman" w:hAnsi="Times New Roman" w:cs="Times New Roman"/>
          <w:sz w:val="28"/>
          <w:szCs w:val="28"/>
        </w:rPr>
        <w:sym w:font="Symbol" w:char="003D"/>
      </w:r>
      <w:r w:rsidRPr="00C62D22">
        <w:rPr>
          <w:rFonts w:ascii="Times New Roman" w:hAnsi="Times New Roman" w:cs="Times New Roman"/>
          <w:sz w:val="28"/>
          <w:szCs w:val="28"/>
        </w:rPr>
        <w:t xml:space="preserve">1,234, р </w:t>
      </w:r>
      <w:r w:rsidRPr="00C62D22">
        <w:rPr>
          <w:rFonts w:ascii="Times New Roman" w:hAnsi="Times New Roman" w:cs="Times New Roman"/>
          <w:sz w:val="28"/>
          <w:szCs w:val="28"/>
        </w:rPr>
        <w:sym w:font="Symbol" w:char="003E"/>
      </w:r>
      <w:r w:rsidRPr="00C62D22">
        <w:rPr>
          <w:rFonts w:ascii="Times New Roman" w:hAnsi="Times New Roman" w:cs="Times New Roman"/>
          <w:sz w:val="28"/>
          <w:szCs w:val="28"/>
        </w:rPr>
        <w:t xml:space="preserve"> 0,05). За тяжкістю стану за шкалою </w:t>
      </w:r>
      <w:r w:rsidRPr="00C62D22">
        <w:rPr>
          <w:rFonts w:ascii="Times New Roman" w:hAnsi="Times New Roman" w:cs="Times New Roman"/>
          <w:sz w:val="28"/>
          <w:szCs w:val="28"/>
          <w:lang w:val="en-US"/>
        </w:rPr>
        <w:t>Sequential</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Organ</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Failure</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Assessment</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SOFA</w:t>
      </w:r>
      <w:r w:rsidRPr="00C62D22">
        <w:rPr>
          <w:rFonts w:ascii="Times New Roman" w:hAnsi="Times New Roman" w:cs="Times New Roman"/>
          <w:sz w:val="28"/>
          <w:szCs w:val="28"/>
        </w:rPr>
        <w:t xml:space="preserve">) з використанням калькулятора сайту </w:t>
      </w:r>
      <w:r w:rsidRPr="00C62D22">
        <w:rPr>
          <w:rFonts w:ascii="Times New Roman" w:hAnsi="Times New Roman" w:cs="Times New Roman"/>
          <w:sz w:val="28"/>
          <w:szCs w:val="28"/>
          <w:lang w:val="en-US"/>
        </w:rPr>
        <w:t>ClinicCalc</w:t>
      </w:r>
      <w:r w:rsidRPr="00C62D22">
        <w:rPr>
          <w:rFonts w:ascii="Times New Roman" w:hAnsi="Times New Roman" w:cs="Times New Roman"/>
          <w:sz w:val="28"/>
          <w:szCs w:val="28"/>
        </w:rPr>
        <w:t>.</w:t>
      </w:r>
      <w:r w:rsidRPr="00C62D22">
        <w:rPr>
          <w:rFonts w:ascii="Times New Roman" w:hAnsi="Times New Roman" w:cs="Times New Roman"/>
          <w:sz w:val="28"/>
          <w:szCs w:val="28"/>
          <w:lang w:val="en-US"/>
        </w:rPr>
        <w:t>com</w:t>
      </w:r>
      <w:r w:rsidRPr="00C62D22">
        <w:rPr>
          <w:rFonts w:ascii="Times New Roman" w:hAnsi="Times New Roman" w:cs="Times New Roman"/>
          <w:sz w:val="28"/>
          <w:szCs w:val="28"/>
        </w:rPr>
        <w:t>, хворі були нами розподілені на 3 підгрупи: 1-а – 24 хворих, стан оцінений до 3 балів (прогн</w:t>
      </w:r>
      <w:r w:rsidRPr="00C62D22">
        <w:rPr>
          <w:rFonts w:ascii="Times New Roman" w:hAnsi="Times New Roman" w:cs="Times New Roman"/>
          <w:sz w:val="28"/>
          <w:szCs w:val="28"/>
        </w:rPr>
        <w:t>о</w:t>
      </w:r>
      <w:r w:rsidRPr="00C62D22">
        <w:rPr>
          <w:rFonts w:ascii="Times New Roman" w:hAnsi="Times New Roman" w:cs="Times New Roman"/>
          <w:sz w:val="28"/>
          <w:szCs w:val="28"/>
        </w:rPr>
        <w:t>зована летальність до 5 %), 2-а – 16 хворих, станом від 3 до 8 балів (прогн</w:t>
      </w:r>
      <w:r w:rsidRPr="00C62D22">
        <w:rPr>
          <w:rFonts w:ascii="Times New Roman" w:hAnsi="Times New Roman" w:cs="Times New Roman"/>
          <w:sz w:val="28"/>
          <w:szCs w:val="28"/>
        </w:rPr>
        <w:t>о</w:t>
      </w:r>
      <w:r w:rsidRPr="00C62D22">
        <w:rPr>
          <w:rFonts w:ascii="Times New Roman" w:hAnsi="Times New Roman" w:cs="Times New Roman"/>
          <w:sz w:val="28"/>
          <w:szCs w:val="28"/>
        </w:rPr>
        <w:t>зована летальність до 22,5 %), 3-я – 7 хворих, станом понад 8 балів (прогн</w:t>
      </w:r>
      <w:r w:rsidRPr="00C62D22">
        <w:rPr>
          <w:rFonts w:ascii="Times New Roman" w:hAnsi="Times New Roman" w:cs="Times New Roman"/>
          <w:sz w:val="28"/>
          <w:szCs w:val="28"/>
        </w:rPr>
        <w:t>о</w:t>
      </w:r>
      <w:r w:rsidRPr="00C62D22">
        <w:rPr>
          <w:rFonts w:ascii="Times New Roman" w:hAnsi="Times New Roman" w:cs="Times New Roman"/>
          <w:sz w:val="28"/>
          <w:szCs w:val="28"/>
        </w:rPr>
        <w:t xml:space="preserve">зована летальність 22,5-87,3 %). </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ind w:firstLine="709"/>
        <w:jc w:val="both"/>
        <w:rPr>
          <w:rFonts w:ascii="Times New Roman" w:eastAsia="MyriadPro-Bold" w:hAnsi="Times New Roman" w:cs="Times New Roman"/>
          <w:b/>
          <w:bCs/>
          <w:sz w:val="28"/>
          <w:szCs w:val="28"/>
        </w:rPr>
      </w:pPr>
      <w:r w:rsidRPr="00C62D22">
        <w:rPr>
          <w:rFonts w:ascii="Times New Roman" w:hAnsi="Times New Roman" w:cs="Times New Roman"/>
          <w:b/>
          <w:sz w:val="28"/>
          <w:szCs w:val="28"/>
        </w:rPr>
        <w:t xml:space="preserve">4.1. Динаміка змін рівня </w:t>
      </w:r>
      <w:r w:rsidRPr="00C62D22">
        <w:rPr>
          <w:rFonts w:ascii="Times New Roman" w:eastAsia="MyriadPro-Bold" w:hAnsi="Times New Roman" w:cs="Times New Roman"/>
          <w:b/>
          <w:bCs/>
          <w:sz w:val="28"/>
          <w:szCs w:val="28"/>
        </w:rPr>
        <w:t>деяких показників системи пероксидації крові у хворих на різні типи псевдокіст підшлункової залози</w:t>
      </w:r>
    </w:p>
    <w:p w:rsidR="0021764E" w:rsidRPr="00C62D22" w:rsidRDefault="0021764E" w:rsidP="0021764E">
      <w:pPr>
        <w:spacing w:after="0" w:line="360" w:lineRule="auto"/>
        <w:ind w:firstLine="709"/>
        <w:jc w:val="both"/>
        <w:rPr>
          <w:rFonts w:ascii="Times New Roman" w:hAnsi="Times New Roman" w:cs="Times New Roman"/>
          <w:b/>
          <w:sz w:val="28"/>
          <w:szCs w:val="28"/>
        </w:rPr>
      </w:pPr>
    </w:p>
    <w:p w:rsidR="0021764E" w:rsidRPr="00C62D22" w:rsidRDefault="0021764E" w:rsidP="0021764E">
      <w:pPr>
        <w:shd w:val="clear" w:color="auto" w:fill="FFFFFF"/>
        <w:spacing w:after="0" w:line="360" w:lineRule="auto"/>
        <w:ind w:firstLine="709"/>
        <w:jc w:val="both"/>
        <w:rPr>
          <w:rFonts w:ascii="Times New Roman" w:hAnsi="Times New Roman" w:cs="Times New Roman"/>
          <w:bCs/>
          <w:iCs/>
          <w:sz w:val="28"/>
          <w:szCs w:val="28"/>
        </w:rPr>
      </w:pPr>
      <w:r w:rsidRPr="00C62D22">
        <w:rPr>
          <w:rFonts w:ascii="Times New Roman" w:hAnsi="Times New Roman" w:cs="Times New Roman"/>
          <w:bCs/>
          <w:iCs/>
          <w:sz w:val="28"/>
          <w:szCs w:val="28"/>
        </w:rPr>
        <w:t>Окислювально-відновлювані процеси, які перебігають в організмі, складають важливу частину будь-якої ланки метаболізму. При цьому з ча</w:t>
      </w:r>
      <w:r w:rsidRPr="00C62D22">
        <w:rPr>
          <w:rFonts w:ascii="Times New Roman" w:hAnsi="Times New Roman" w:cs="Times New Roman"/>
          <w:bCs/>
          <w:iCs/>
          <w:sz w:val="28"/>
          <w:szCs w:val="28"/>
        </w:rPr>
        <w:t>с</w:t>
      </w:r>
      <w:r w:rsidRPr="00C62D22">
        <w:rPr>
          <w:rFonts w:ascii="Times New Roman" w:hAnsi="Times New Roman" w:cs="Times New Roman"/>
          <w:bCs/>
          <w:iCs/>
          <w:sz w:val="28"/>
          <w:szCs w:val="28"/>
        </w:rPr>
        <w:t xml:space="preserve">тиною кисню, яка споживається організмом, відбувається одноелектронне відновлення з утворенням </w:t>
      </w:r>
      <w:r w:rsidRPr="00C62D22">
        <w:rPr>
          <w:rFonts w:ascii="Times New Roman" w:hAnsi="Times New Roman" w:cs="Times New Roman"/>
          <w:bCs/>
          <w:iCs/>
          <w:sz w:val="28"/>
          <w:szCs w:val="28"/>
        </w:rPr>
        <w:lastRenderedPageBreak/>
        <w:t>активних форм кисню (АФК) [37, 38, 40, 85, 238, 241, 400, 423]. АФК є специф</w:t>
      </w:r>
      <w:r w:rsidRPr="00C62D22">
        <w:rPr>
          <w:rFonts w:ascii="Times New Roman" w:hAnsi="Times New Roman" w:cs="Times New Roman"/>
          <w:bCs/>
          <w:iCs/>
          <w:sz w:val="28"/>
          <w:szCs w:val="28"/>
        </w:rPr>
        <w:t>і</w:t>
      </w:r>
      <w:r w:rsidRPr="00C62D22">
        <w:rPr>
          <w:rFonts w:ascii="Times New Roman" w:hAnsi="Times New Roman" w:cs="Times New Roman"/>
          <w:bCs/>
          <w:iCs/>
          <w:sz w:val="28"/>
          <w:szCs w:val="28"/>
        </w:rPr>
        <w:t xml:space="preserve">чними сигнальними та регуляторними молекулами в організмі, підвищення їх концентрації можуть призвести до грізних для підтримки життєдіяльності клітини процесів: некерованому перекисному окисленню ліпідів (ПОЛ), окислювальної модифікації нуклеїнових кислот та ферментів з наступною втратою їх активності та ін. [27, 143] Посилення процесів вільнорадикального окислення (ВРО) призводить до порушення низки важливих біохімічних процесів та функціонування мембранних структур клітин і субклітинних утворень, що у свою чергу може слугувати поштовхом до розвитку того чи іншого патологічного стану [82, 88]. </w:t>
      </w:r>
    </w:p>
    <w:p w:rsidR="0021764E" w:rsidRPr="00C62D22" w:rsidRDefault="0021764E" w:rsidP="0021764E">
      <w:pPr>
        <w:shd w:val="clear" w:color="auto" w:fill="FFFFFF"/>
        <w:spacing w:after="0" w:line="360" w:lineRule="auto"/>
        <w:ind w:firstLine="709"/>
        <w:jc w:val="both"/>
        <w:rPr>
          <w:rFonts w:ascii="Times New Roman" w:hAnsi="Times New Roman" w:cs="Times New Roman"/>
          <w:bCs/>
          <w:iCs/>
          <w:sz w:val="28"/>
          <w:szCs w:val="28"/>
        </w:rPr>
      </w:pPr>
      <w:r w:rsidRPr="00C62D22">
        <w:rPr>
          <w:rFonts w:ascii="Times New Roman" w:hAnsi="Times New Roman" w:cs="Times New Roman"/>
          <w:bCs/>
          <w:iCs/>
          <w:sz w:val="28"/>
          <w:szCs w:val="28"/>
        </w:rPr>
        <w:t xml:space="preserve">Порушення оксидантного гомеостазу призводить до виникнення окислювального стресу (ОС), ключовою подією якого є гіперпродукція АФК. Вивчення ролі ОС у патогенезі різних захворювань дозволило виділити низку патологій, участь АФК у розвитку яких не викликає сумнівів: запальні процеси будь-якого ґенезу, радіаційні ураження, онкозахворювання, катаракта та інші процеси старіння організму також перебігають на фоні ОС [55, 338, 353, 356, 358, 380, 381]. </w:t>
      </w:r>
    </w:p>
    <w:p w:rsidR="0021764E" w:rsidRPr="00C62D22" w:rsidRDefault="0021764E" w:rsidP="0021764E">
      <w:pPr>
        <w:shd w:val="clear" w:color="auto" w:fill="FFFFFF"/>
        <w:spacing w:after="0" w:line="360" w:lineRule="auto"/>
        <w:ind w:firstLine="709"/>
        <w:jc w:val="both"/>
        <w:rPr>
          <w:rFonts w:ascii="Times New Roman" w:hAnsi="Times New Roman" w:cs="Times New Roman"/>
          <w:bCs/>
          <w:iCs/>
          <w:sz w:val="28"/>
          <w:szCs w:val="28"/>
        </w:rPr>
      </w:pPr>
      <w:r w:rsidRPr="00C62D22">
        <w:rPr>
          <w:rFonts w:ascii="Times New Roman" w:hAnsi="Times New Roman" w:cs="Times New Roman"/>
          <w:bCs/>
          <w:iCs/>
          <w:color w:val="000000"/>
          <w:sz w:val="28"/>
          <w:szCs w:val="28"/>
        </w:rPr>
        <w:t>Як свідчать проведені нами дослідження (табл. 4.1) [40], у процесі переб</w:t>
      </w:r>
      <w:r w:rsidRPr="00C62D22">
        <w:rPr>
          <w:rFonts w:ascii="Times New Roman" w:hAnsi="Times New Roman" w:cs="Times New Roman"/>
          <w:bCs/>
          <w:iCs/>
          <w:color w:val="000000"/>
          <w:sz w:val="28"/>
          <w:szCs w:val="28"/>
        </w:rPr>
        <w:t>і</w:t>
      </w:r>
      <w:r w:rsidRPr="00C62D22">
        <w:rPr>
          <w:rFonts w:ascii="Times New Roman" w:hAnsi="Times New Roman" w:cs="Times New Roman"/>
          <w:bCs/>
          <w:iCs/>
          <w:color w:val="000000"/>
          <w:sz w:val="28"/>
          <w:szCs w:val="28"/>
        </w:rPr>
        <w:t>гу захворювання в кожній групі хворих рівень МДА підвищувався порі</w:t>
      </w:r>
      <w:r w:rsidRPr="00C62D22">
        <w:rPr>
          <w:rFonts w:ascii="Times New Roman" w:hAnsi="Times New Roman" w:cs="Times New Roman"/>
          <w:bCs/>
          <w:iCs/>
          <w:color w:val="000000"/>
          <w:sz w:val="28"/>
          <w:szCs w:val="28"/>
        </w:rPr>
        <w:t>в</w:t>
      </w:r>
      <w:r w:rsidRPr="00C62D22">
        <w:rPr>
          <w:rFonts w:ascii="Times New Roman" w:hAnsi="Times New Roman" w:cs="Times New Roman"/>
          <w:bCs/>
          <w:iCs/>
          <w:color w:val="000000"/>
          <w:sz w:val="28"/>
          <w:szCs w:val="28"/>
        </w:rPr>
        <w:t>няно із контролем у середньому відповідно на 136,2%, 100,5% та 32,9% (р</w:t>
      </w:r>
      <w:r w:rsidRPr="00C62D22">
        <w:rPr>
          <w:rFonts w:ascii="Times New Roman" w:hAnsi="Times New Roman" w:cs="Times New Roman"/>
          <w:bCs/>
          <w:iCs/>
          <w:color w:val="000000"/>
          <w:sz w:val="28"/>
          <w:szCs w:val="28"/>
        </w:rPr>
        <w:sym w:font="Symbol" w:char="F03C"/>
      </w:r>
      <w:r w:rsidRPr="00C62D22">
        <w:rPr>
          <w:rFonts w:ascii="Times New Roman" w:hAnsi="Times New Roman" w:cs="Times New Roman"/>
          <w:bCs/>
          <w:iCs/>
          <w:color w:val="000000"/>
          <w:sz w:val="28"/>
          <w:szCs w:val="28"/>
        </w:rPr>
        <w:t>0,05). При цьому, проведений однофакторний дисперсний аналіз свідчив про наявність вірогідних відмінностей поміж цих хворих (</w:t>
      </w:r>
      <w:r w:rsidRPr="00C62D22">
        <w:rPr>
          <w:rFonts w:ascii="Times New Roman" w:hAnsi="Times New Roman" w:cs="Times New Roman"/>
          <w:color w:val="000000"/>
          <w:sz w:val="28"/>
          <w:szCs w:val="28"/>
          <w:lang w:val="en-US"/>
        </w:rPr>
        <w:t>F</w:t>
      </w:r>
      <w:r w:rsidRPr="00C62D22">
        <w:rPr>
          <w:rFonts w:ascii="Times New Roman" w:hAnsi="Times New Roman" w:cs="Times New Roman"/>
          <w:color w:val="000000"/>
          <w:sz w:val="28"/>
          <w:szCs w:val="28"/>
          <w:lang w:val="en-US"/>
        </w:rPr>
        <w:sym w:font="Symbol" w:char="F03D"/>
      </w:r>
      <w:r w:rsidRPr="00C62D22">
        <w:rPr>
          <w:rFonts w:ascii="Times New Roman" w:hAnsi="Times New Roman" w:cs="Times New Roman"/>
          <w:color w:val="000000"/>
          <w:sz w:val="28"/>
          <w:szCs w:val="28"/>
        </w:rPr>
        <w:t xml:space="preserve">157, 781, </w:t>
      </w:r>
      <w:r w:rsidRPr="00C62D22">
        <w:rPr>
          <w:rFonts w:ascii="Times New Roman" w:hAnsi="Times New Roman" w:cs="Times New Roman"/>
          <w:color w:val="000000"/>
          <w:sz w:val="28"/>
          <w:szCs w:val="28"/>
          <w:lang w:val="en-US"/>
        </w:rPr>
        <w:t>p</w:t>
      </w:r>
      <w:r w:rsidRPr="00C62D22">
        <w:rPr>
          <w:rFonts w:ascii="Times New Roman" w:hAnsi="Times New Roman" w:cs="Times New Roman"/>
          <w:color w:val="000000"/>
          <w:sz w:val="28"/>
          <w:szCs w:val="28"/>
          <w:lang w:val="en-US"/>
        </w:rPr>
        <w:sym w:font="Symbol" w:char="F03D"/>
      </w:r>
      <w:r w:rsidRPr="00C62D22">
        <w:rPr>
          <w:rFonts w:ascii="Times New Roman" w:hAnsi="Times New Roman" w:cs="Times New Roman"/>
          <w:color w:val="000000"/>
          <w:sz w:val="28"/>
          <w:szCs w:val="28"/>
        </w:rPr>
        <w:t>0,000).</w:t>
      </w:r>
    </w:p>
    <w:p w:rsidR="0021764E" w:rsidRPr="00C62D22" w:rsidRDefault="0021764E" w:rsidP="0021764E">
      <w:pPr>
        <w:shd w:val="clear" w:color="auto" w:fill="FFFFFF"/>
        <w:spacing w:after="0" w:line="360" w:lineRule="auto"/>
        <w:ind w:firstLine="709"/>
        <w:jc w:val="both"/>
        <w:rPr>
          <w:rFonts w:ascii="Times New Roman" w:hAnsi="Times New Roman" w:cs="Times New Roman"/>
          <w:bCs/>
          <w:iCs/>
          <w:color w:val="000000"/>
          <w:sz w:val="28"/>
          <w:szCs w:val="28"/>
        </w:rPr>
      </w:pPr>
    </w:p>
    <w:p w:rsidR="0021764E" w:rsidRPr="00C62D22" w:rsidRDefault="0021764E" w:rsidP="0021764E">
      <w:pPr>
        <w:shd w:val="clear" w:color="auto" w:fill="FFFFFF"/>
        <w:spacing w:after="0" w:line="360" w:lineRule="auto"/>
        <w:ind w:firstLine="709"/>
        <w:jc w:val="right"/>
        <w:rPr>
          <w:rFonts w:ascii="Times New Roman" w:hAnsi="Times New Roman" w:cs="Times New Roman"/>
          <w:i/>
          <w:color w:val="000000"/>
          <w:sz w:val="28"/>
          <w:szCs w:val="28"/>
        </w:rPr>
      </w:pPr>
      <w:r w:rsidRPr="00C62D22">
        <w:rPr>
          <w:rFonts w:ascii="Times New Roman" w:hAnsi="Times New Roman" w:cs="Times New Roman"/>
          <w:i/>
          <w:color w:val="000000"/>
          <w:sz w:val="28"/>
          <w:szCs w:val="28"/>
        </w:rPr>
        <w:t>Таблиця 4.1</w:t>
      </w:r>
    </w:p>
    <w:p w:rsidR="0021764E" w:rsidRPr="00C62D22" w:rsidRDefault="0021764E" w:rsidP="0021764E">
      <w:pPr>
        <w:autoSpaceDE w:val="0"/>
        <w:autoSpaceDN w:val="0"/>
        <w:adjustRightInd w:val="0"/>
        <w:spacing w:after="0" w:line="360" w:lineRule="auto"/>
        <w:ind w:firstLine="709"/>
        <w:jc w:val="center"/>
        <w:rPr>
          <w:rFonts w:ascii="Times New Roman" w:eastAsia="MyriadPro-Bold" w:hAnsi="Times New Roman" w:cs="Times New Roman"/>
          <w:b/>
          <w:bCs/>
          <w:color w:val="000000"/>
          <w:sz w:val="28"/>
          <w:szCs w:val="28"/>
        </w:rPr>
      </w:pPr>
      <w:r w:rsidRPr="00C62D22">
        <w:rPr>
          <w:rFonts w:ascii="Times New Roman" w:hAnsi="Times New Roman" w:cs="Times New Roman"/>
          <w:b/>
          <w:color w:val="000000"/>
          <w:sz w:val="28"/>
          <w:szCs w:val="28"/>
        </w:rPr>
        <w:t xml:space="preserve">Динаміка змін </w:t>
      </w:r>
      <w:r w:rsidRPr="00C62D22">
        <w:rPr>
          <w:rFonts w:ascii="Times New Roman" w:eastAsia="MyriadPro-Bold" w:hAnsi="Times New Roman" w:cs="Times New Roman"/>
          <w:b/>
          <w:bCs/>
          <w:color w:val="000000"/>
          <w:sz w:val="28"/>
          <w:szCs w:val="28"/>
        </w:rPr>
        <w:t>деяких показників системи пероксидації крові у хворих на різні типи ПК ПЗ</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40"/>
        <w:gridCol w:w="2520"/>
        <w:gridCol w:w="2340"/>
        <w:gridCol w:w="1980"/>
      </w:tblGrid>
      <w:tr w:rsidR="0021764E" w:rsidRPr="00C62D22" w:rsidTr="006E5FD4">
        <w:tc>
          <w:tcPr>
            <w:tcW w:w="3240" w:type="dxa"/>
            <w:vMerge w:val="restart"/>
          </w:tcPr>
          <w:p w:rsidR="0021764E" w:rsidRPr="00C62D22" w:rsidRDefault="0021764E" w:rsidP="006E5FD4">
            <w:pPr>
              <w:spacing w:after="0" w:line="360" w:lineRule="auto"/>
              <w:jc w:val="center"/>
              <w:rPr>
                <w:rFonts w:ascii="Times New Roman" w:hAnsi="Times New Roman" w:cs="Times New Roman"/>
                <w:bCs/>
                <w:iCs/>
                <w:color w:val="000000"/>
                <w:sz w:val="28"/>
                <w:szCs w:val="28"/>
              </w:rPr>
            </w:pPr>
            <w:r w:rsidRPr="00C62D22">
              <w:rPr>
                <w:rFonts w:ascii="Times New Roman" w:hAnsi="Times New Roman" w:cs="Times New Roman"/>
                <w:bCs/>
                <w:iCs/>
                <w:color w:val="000000"/>
                <w:sz w:val="28"/>
                <w:szCs w:val="28"/>
              </w:rPr>
              <w:t>Показник/контроль</w:t>
            </w:r>
          </w:p>
        </w:tc>
        <w:tc>
          <w:tcPr>
            <w:tcW w:w="6840" w:type="dxa"/>
            <w:gridSpan w:val="3"/>
          </w:tcPr>
          <w:p w:rsidR="0021764E" w:rsidRPr="00C62D22" w:rsidRDefault="0021764E" w:rsidP="006E5FD4">
            <w:pPr>
              <w:spacing w:after="0" w:line="360" w:lineRule="auto"/>
              <w:jc w:val="center"/>
              <w:rPr>
                <w:rFonts w:ascii="Times New Roman" w:hAnsi="Times New Roman" w:cs="Times New Roman"/>
                <w:bCs/>
                <w:iCs/>
                <w:color w:val="000000"/>
                <w:sz w:val="28"/>
                <w:szCs w:val="28"/>
              </w:rPr>
            </w:pPr>
            <w:r w:rsidRPr="00C62D22">
              <w:rPr>
                <w:rFonts w:ascii="Times New Roman" w:hAnsi="Times New Roman" w:cs="Times New Roman"/>
                <w:bCs/>
                <w:iCs/>
                <w:color w:val="000000"/>
                <w:sz w:val="28"/>
                <w:szCs w:val="28"/>
              </w:rPr>
              <w:t>Групи хворих</w:t>
            </w:r>
          </w:p>
        </w:tc>
      </w:tr>
      <w:tr w:rsidR="0021764E" w:rsidRPr="00C62D22" w:rsidTr="006E5FD4">
        <w:tc>
          <w:tcPr>
            <w:tcW w:w="3240" w:type="dxa"/>
            <w:vMerge/>
          </w:tcPr>
          <w:p w:rsidR="0021764E" w:rsidRPr="00C62D22" w:rsidRDefault="0021764E" w:rsidP="006E5FD4">
            <w:pPr>
              <w:spacing w:after="0" w:line="360" w:lineRule="auto"/>
              <w:jc w:val="center"/>
              <w:rPr>
                <w:rFonts w:ascii="Times New Roman" w:hAnsi="Times New Roman" w:cs="Times New Roman"/>
                <w:bCs/>
                <w:iCs/>
                <w:color w:val="000000"/>
                <w:sz w:val="28"/>
                <w:szCs w:val="28"/>
              </w:rPr>
            </w:pPr>
          </w:p>
        </w:tc>
        <w:tc>
          <w:tcPr>
            <w:tcW w:w="2520" w:type="dxa"/>
          </w:tcPr>
          <w:p w:rsidR="0021764E" w:rsidRPr="00C62D22" w:rsidRDefault="0021764E" w:rsidP="006E5FD4">
            <w:pPr>
              <w:spacing w:after="0" w:line="360" w:lineRule="auto"/>
              <w:jc w:val="center"/>
              <w:rPr>
                <w:rFonts w:ascii="Times New Roman" w:hAnsi="Times New Roman" w:cs="Times New Roman"/>
                <w:bCs/>
                <w:iCs/>
                <w:color w:val="000000"/>
                <w:sz w:val="28"/>
                <w:szCs w:val="28"/>
              </w:rPr>
            </w:pPr>
            <w:r w:rsidRPr="00C62D22">
              <w:rPr>
                <w:rFonts w:ascii="Times New Roman" w:hAnsi="Times New Roman" w:cs="Times New Roman"/>
                <w:bCs/>
                <w:iCs/>
                <w:color w:val="000000"/>
                <w:sz w:val="28"/>
                <w:szCs w:val="28"/>
              </w:rPr>
              <w:t>перша (n</w:t>
            </w:r>
            <w:r w:rsidRPr="00C62D22">
              <w:rPr>
                <w:rFonts w:ascii="Times New Roman" w:hAnsi="Times New Roman" w:cs="Times New Roman"/>
                <w:bCs/>
                <w:iCs/>
                <w:color w:val="000000"/>
                <w:sz w:val="28"/>
                <w:szCs w:val="28"/>
              </w:rPr>
              <w:sym w:font="Symbol" w:char="F03D"/>
            </w:r>
            <w:r w:rsidRPr="00C62D22">
              <w:rPr>
                <w:rFonts w:ascii="Times New Roman" w:hAnsi="Times New Roman" w:cs="Times New Roman"/>
                <w:bCs/>
                <w:iCs/>
                <w:color w:val="000000"/>
                <w:sz w:val="28"/>
                <w:szCs w:val="28"/>
              </w:rPr>
              <w:t>14)</w:t>
            </w:r>
          </w:p>
        </w:tc>
        <w:tc>
          <w:tcPr>
            <w:tcW w:w="2340" w:type="dxa"/>
          </w:tcPr>
          <w:p w:rsidR="0021764E" w:rsidRPr="00C62D22" w:rsidRDefault="0021764E" w:rsidP="006E5FD4">
            <w:pPr>
              <w:spacing w:after="0" w:line="360" w:lineRule="auto"/>
              <w:jc w:val="center"/>
              <w:rPr>
                <w:rFonts w:ascii="Times New Roman" w:hAnsi="Times New Roman" w:cs="Times New Roman"/>
                <w:bCs/>
                <w:iCs/>
                <w:color w:val="000000"/>
                <w:sz w:val="28"/>
                <w:szCs w:val="28"/>
              </w:rPr>
            </w:pPr>
            <w:r w:rsidRPr="00C62D22">
              <w:rPr>
                <w:rFonts w:ascii="Times New Roman" w:hAnsi="Times New Roman" w:cs="Times New Roman"/>
                <w:bCs/>
                <w:iCs/>
                <w:color w:val="000000"/>
                <w:sz w:val="28"/>
                <w:szCs w:val="28"/>
              </w:rPr>
              <w:t>друга (n</w:t>
            </w:r>
            <w:r w:rsidRPr="00C62D22">
              <w:rPr>
                <w:rFonts w:ascii="Times New Roman" w:hAnsi="Times New Roman" w:cs="Times New Roman"/>
                <w:bCs/>
                <w:iCs/>
                <w:color w:val="000000"/>
                <w:sz w:val="28"/>
                <w:szCs w:val="28"/>
              </w:rPr>
              <w:sym w:font="Symbol" w:char="F03D"/>
            </w:r>
            <w:r w:rsidRPr="00C62D22">
              <w:rPr>
                <w:rFonts w:ascii="Times New Roman" w:hAnsi="Times New Roman" w:cs="Times New Roman"/>
                <w:bCs/>
                <w:iCs/>
                <w:color w:val="000000"/>
                <w:sz w:val="28"/>
                <w:szCs w:val="28"/>
              </w:rPr>
              <w:t>16)</w:t>
            </w:r>
          </w:p>
        </w:tc>
        <w:tc>
          <w:tcPr>
            <w:tcW w:w="1980" w:type="dxa"/>
          </w:tcPr>
          <w:p w:rsidR="0021764E" w:rsidRPr="00C62D22" w:rsidRDefault="0021764E" w:rsidP="006E5FD4">
            <w:pPr>
              <w:spacing w:after="0" w:line="360" w:lineRule="auto"/>
              <w:jc w:val="center"/>
              <w:rPr>
                <w:rFonts w:ascii="Times New Roman" w:hAnsi="Times New Roman" w:cs="Times New Roman"/>
                <w:bCs/>
                <w:iCs/>
                <w:color w:val="000000"/>
                <w:sz w:val="28"/>
                <w:szCs w:val="28"/>
              </w:rPr>
            </w:pPr>
            <w:r w:rsidRPr="00C62D22">
              <w:rPr>
                <w:rFonts w:ascii="Times New Roman" w:hAnsi="Times New Roman" w:cs="Times New Roman"/>
                <w:bCs/>
                <w:iCs/>
                <w:color w:val="000000"/>
                <w:sz w:val="28"/>
                <w:szCs w:val="28"/>
              </w:rPr>
              <w:t>третя (n</w:t>
            </w:r>
            <w:r w:rsidRPr="00C62D22">
              <w:rPr>
                <w:rFonts w:ascii="Times New Roman" w:hAnsi="Times New Roman" w:cs="Times New Roman"/>
                <w:bCs/>
                <w:iCs/>
                <w:color w:val="000000"/>
                <w:sz w:val="28"/>
                <w:szCs w:val="28"/>
              </w:rPr>
              <w:sym w:font="Symbol" w:char="F03D"/>
            </w:r>
            <w:r w:rsidRPr="00C62D22">
              <w:rPr>
                <w:rFonts w:ascii="Times New Roman" w:hAnsi="Times New Roman" w:cs="Times New Roman"/>
                <w:bCs/>
                <w:iCs/>
                <w:color w:val="000000"/>
                <w:sz w:val="28"/>
                <w:szCs w:val="28"/>
              </w:rPr>
              <w:t>17)</w:t>
            </w:r>
          </w:p>
        </w:tc>
      </w:tr>
      <w:tr w:rsidR="0021764E" w:rsidRPr="00C62D22" w:rsidTr="006E5FD4">
        <w:tc>
          <w:tcPr>
            <w:tcW w:w="324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 xml:space="preserve">МДА, мкмоль/л </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2,13</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0,06 (2,04-2,24)</w:t>
            </w:r>
          </w:p>
        </w:tc>
        <w:tc>
          <w:tcPr>
            <w:tcW w:w="252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5,03</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 xml:space="preserve">0,17* </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(4,77-5,34)</w:t>
            </w:r>
          </w:p>
        </w:tc>
        <w:tc>
          <w:tcPr>
            <w:tcW w:w="234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4,27</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 xml:space="preserve">0,6* ** </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(3,45-5,1)</w:t>
            </w:r>
          </w:p>
        </w:tc>
        <w:tc>
          <w:tcPr>
            <w:tcW w:w="198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2,83</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 xml:space="preserve">0,2* *** </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(2,45-3,11)</w:t>
            </w:r>
          </w:p>
        </w:tc>
      </w:tr>
      <w:tr w:rsidR="0021764E" w:rsidRPr="00C62D22" w:rsidTr="006E5FD4">
        <w:tc>
          <w:tcPr>
            <w:tcW w:w="3240" w:type="dxa"/>
          </w:tcPr>
          <w:p w:rsidR="0021764E" w:rsidRPr="00C62D22" w:rsidRDefault="0021764E" w:rsidP="006E5FD4">
            <w:pPr>
              <w:spacing w:after="0" w:line="240" w:lineRule="auto"/>
              <w:jc w:val="center"/>
              <w:rPr>
                <w:rFonts w:ascii="Times New Roman" w:hAnsi="Times New Roman" w:cs="Times New Roman"/>
                <w:color w:val="000000"/>
                <w:sz w:val="28"/>
                <w:szCs w:val="28"/>
              </w:rPr>
            </w:pPr>
          </w:p>
        </w:tc>
        <w:tc>
          <w:tcPr>
            <w:tcW w:w="6840" w:type="dxa"/>
            <w:gridSpan w:val="3"/>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F</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157, 781, p</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0,000</w:t>
            </w:r>
          </w:p>
        </w:tc>
      </w:tr>
    </w:tbl>
    <w:p w:rsidR="0021764E" w:rsidRPr="00C62D22" w:rsidRDefault="0021764E" w:rsidP="0021764E">
      <w:pPr>
        <w:pStyle w:val="2"/>
        <w:spacing w:after="0" w:line="360" w:lineRule="auto"/>
        <w:ind w:firstLine="708"/>
        <w:jc w:val="right"/>
        <w:rPr>
          <w:i/>
          <w:color w:val="000000"/>
          <w:szCs w:val="28"/>
          <w:lang w:val="uk-UA"/>
        </w:rPr>
      </w:pPr>
      <w:r w:rsidRPr="00C62D22">
        <w:rPr>
          <w:i/>
          <w:color w:val="000000"/>
          <w:szCs w:val="28"/>
          <w:lang w:val="uk-UA"/>
        </w:rPr>
        <w:lastRenderedPageBreak/>
        <w:t>Продовження табл. 4.1</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40"/>
        <w:gridCol w:w="2520"/>
        <w:gridCol w:w="2340"/>
        <w:gridCol w:w="1980"/>
      </w:tblGrid>
      <w:tr w:rsidR="0021764E" w:rsidRPr="00C62D22" w:rsidTr="006E5FD4">
        <w:tc>
          <w:tcPr>
            <w:tcW w:w="324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ГПО 1, пг/мл,</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6,11</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0,09 (5,89-6,22)</w:t>
            </w:r>
          </w:p>
        </w:tc>
        <w:tc>
          <w:tcPr>
            <w:tcW w:w="252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13,94</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 xml:space="preserve">1,39* </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(12,1-16,8)</w:t>
            </w:r>
          </w:p>
        </w:tc>
        <w:tc>
          <w:tcPr>
            <w:tcW w:w="234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11,17</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 xml:space="preserve"> 1,42* ** </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(8,67-13,6)</w:t>
            </w:r>
          </w:p>
        </w:tc>
        <w:tc>
          <w:tcPr>
            <w:tcW w:w="198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9,97</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0,95* ***</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(8,91-12,1)</w:t>
            </w:r>
          </w:p>
        </w:tc>
      </w:tr>
      <w:tr w:rsidR="0021764E" w:rsidRPr="00C62D22" w:rsidTr="006E5FD4">
        <w:tc>
          <w:tcPr>
            <w:tcW w:w="3240" w:type="dxa"/>
          </w:tcPr>
          <w:p w:rsidR="0021764E" w:rsidRPr="00C62D22" w:rsidRDefault="0021764E" w:rsidP="006E5FD4">
            <w:pPr>
              <w:spacing w:after="0" w:line="240" w:lineRule="auto"/>
              <w:jc w:val="center"/>
              <w:rPr>
                <w:rFonts w:ascii="Times New Roman" w:hAnsi="Times New Roman" w:cs="Times New Roman"/>
                <w:color w:val="000000"/>
                <w:sz w:val="28"/>
                <w:szCs w:val="28"/>
              </w:rPr>
            </w:pPr>
          </w:p>
        </w:tc>
        <w:tc>
          <w:tcPr>
            <w:tcW w:w="6840" w:type="dxa"/>
            <w:gridSpan w:val="3"/>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F</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42,674, p</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0,000</w:t>
            </w:r>
          </w:p>
        </w:tc>
      </w:tr>
    </w:tbl>
    <w:p w:rsidR="0021764E" w:rsidRPr="00C62D22" w:rsidRDefault="0021764E" w:rsidP="0021764E">
      <w:pPr>
        <w:pStyle w:val="2"/>
        <w:spacing w:after="0" w:line="360" w:lineRule="auto"/>
        <w:ind w:firstLine="708"/>
        <w:jc w:val="both"/>
        <w:rPr>
          <w:color w:val="000000"/>
          <w:szCs w:val="28"/>
          <w:lang w:val="uk-UA"/>
        </w:rPr>
      </w:pPr>
    </w:p>
    <w:p w:rsidR="0021764E" w:rsidRPr="00C62D22" w:rsidRDefault="0021764E" w:rsidP="0021764E">
      <w:pPr>
        <w:pStyle w:val="2"/>
        <w:spacing w:after="0" w:line="360" w:lineRule="auto"/>
        <w:ind w:firstLine="708"/>
        <w:jc w:val="both"/>
        <w:rPr>
          <w:color w:val="000000"/>
          <w:szCs w:val="28"/>
          <w:lang w:val="uk-UA"/>
        </w:rPr>
      </w:pPr>
      <w:r w:rsidRPr="00C62D22">
        <w:rPr>
          <w:color w:val="000000"/>
          <w:szCs w:val="28"/>
          <w:lang w:val="uk-UA"/>
        </w:rPr>
        <w:t xml:space="preserve">Примітка: * – достовірно із контролем; ** </w:t>
      </w:r>
      <w:r w:rsidRPr="00C62D22">
        <w:rPr>
          <w:color w:val="000000"/>
          <w:szCs w:val="28"/>
          <w:lang w:val="uk-UA"/>
        </w:rPr>
        <w:sym w:font="Symbol" w:char="F02D"/>
      </w:r>
      <w:r w:rsidRPr="00C62D22">
        <w:rPr>
          <w:color w:val="000000"/>
          <w:szCs w:val="28"/>
          <w:lang w:val="uk-UA"/>
        </w:rPr>
        <w:t xml:space="preserve"> достовірно між 1 і 2 групами; *** </w:t>
      </w:r>
      <w:r w:rsidRPr="00C62D22">
        <w:rPr>
          <w:color w:val="000000"/>
          <w:szCs w:val="28"/>
          <w:lang w:val="uk-UA"/>
        </w:rPr>
        <w:sym w:font="Symbol" w:char="F02D"/>
      </w:r>
      <w:r w:rsidRPr="00C62D22">
        <w:rPr>
          <w:color w:val="000000"/>
          <w:szCs w:val="28"/>
          <w:lang w:val="uk-UA"/>
        </w:rPr>
        <w:t xml:space="preserve"> достовірно між 2 і 3 групами (р</w:t>
      </w:r>
      <w:r w:rsidRPr="00C62D22">
        <w:rPr>
          <w:color w:val="000000"/>
          <w:szCs w:val="28"/>
          <w:lang w:val="uk-UA"/>
        </w:rPr>
        <w:sym w:font="Symbol" w:char="F03C"/>
      </w:r>
      <w:r w:rsidRPr="00C62D22">
        <w:rPr>
          <w:color w:val="000000"/>
          <w:szCs w:val="28"/>
          <w:lang w:val="uk-UA"/>
        </w:rPr>
        <w:t>0,05).</w:t>
      </w:r>
    </w:p>
    <w:p w:rsidR="0021764E" w:rsidRPr="00C62D22" w:rsidRDefault="0021764E" w:rsidP="0021764E">
      <w:pPr>
        <w:shd w:val="clear" w:color="auto" w:fill="FFFFFF"/>
        <w:spacing w:after="0" w:line="360" w:lineRule="auto"/>
        <w:ind w:firstLine="709"/>
        <w:jc w:val="both"/>
        <w:rPr>
          <w:rFonts w:ascii="Times New Roman" w:hAnsi="Times New Roman" w:cs="Times New Roman"/>
          <w:color w:val="000000"/>
          <w:sz w:val="28"/>
          <w:szCs w:val="28"/>
        </w:rPr>
      </w:pPr>
    </w:p>
    <w:p w:rsidR="0021764E" w:rsidRPr="00C62D22" w:rsidRDefault="0021764E" w:rsidP="0021764E">
      <w:pPr>
        <w:shd w:val="clear" w:color="auto" w:fill="FFFFFF"/>
        <w:spacing w:after="0" w:line="360" w:lineRule="auto"/>
        <w:ind w:firstLine="709"/>
        <w:jc w:val="both"/>
        <w:rPr>
          <w:rFonts w:ascii="Times New Roman" w:hAnsi="Times New Roman" w:cs="Times New Roman"/>
          <w:color w:val="000000"/>
          <w:sz w:val="28"/>
          <w:szCs w:val="28"/>
        </w:rPr>
      </w:pPr>
      <w:r w:rsidRPr="00C62D22">
        <w:rPr>
          <w:rFonts w:ascii="Times New Roman" w:hAnsi="Times New Roman" w:cs="Times New Roman"/>
          <w:color w:val="000000"/>
          <w:sz w:val="28"/>
          <w:szCs w:val="28"/>
        </w:rPr>
        <w:t>Рівень ГПО-1 був найбільш підвищеним у хворих І групи в с</w:t>
      </w:r>
      <w:r w:rsidRPr="00C62D22">
        <w:rPr>
          <w:rFonts w:ascii="Times New Roman" w:hAnsi="Times New Roman" w:cs="Times New Roman"/>
          <w:color w:val="000000"/>
          <w:sz w:val="28"/>
          <w:szCs w:val="28"/>
        </w:rPr>
        <w:t>е</w:t>
      </w:r>
      <w:r w:rsidRPr="00C62D22">
        <w:rPr>
          <w:rFonts w:ascii="Times New Roman" w:hAnsi="Times New Roman" w:cs="Times New Roman"/>
          <w:color w:val="000000"/>
          <w:sz w:val="28"/>
          <w:szCs w:val="28"/>
        </w:rPr>
        <w:t xml:space="preserve">редньому на 128,2%, у хворих ІІ групи цей показник був у середньому на 82,8% вище показників контрольної групи, але нижче на 19,9% ніж у хворих на I тип ПК ПЗ. У хворих ІІІ групи показник, що вивчався, був на 63,2% вище показників контрольної групи, але відповідно на 28,5% та на 10,7% був нижчим ніж показники, що отримані в І та ІІ групах хворих. Проведений </w:t>
      </w:r>
      <w:r w:rsidRPr="00C62D22">
        <w:rPr>
          <w:rFonts w:ascii="Times New Roman" w:hAnsi="Times New Roman" w:cs="Times New Roman"/>
          <w:bCs/>
          <w:iCs/>
          <w:color w:val="000000"/>
          <w:sz w:val="28"/>
          <w:szCs w:val="28"/>
        </w:rPr>
        <w:t>однофакторний дисперсний аналіз свідчив про наявність вірогідних відмінностей поміж усіх 3 груп хворих (</w:t>
      </w:r>
      <w:r w:rsidRPr="00C62D22">
        <w:rPr>
          <w:rFonts w:ascii="Times New Roman" w:hAnsi="Times New Roman" w:cs="Times New Roman"/>
          <w:color w:val="000000"/>
          <w:sz w:val="28"/>
          <w:szCs w:val="28"/>
        </w:rPr>
        <w:t>F</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42,674, p</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0,000).</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Як свідчать проведені дослідження (рис. 4.1), між станом хворих та рівнями МДА та ГПО-1 у сироватці крові були позитивні зв’язки, причому для обох показників, які досліджувались, рівні коефіцієнта кореляції Спірм</w:t>
      </w:r>
      <w:r w:rsidRPr="00C62D22">
        <w:rPr>
          <w:rFonts w:ascii="Times New Roman" w:hAnsi="Times New Roman" w:cs="Times New Roman"/>
          <w:sz w:val="28"/>
          <w:szCs w:val="28"/>
        </w:rPr>
        <w:t>е</w:t>
      </w:r>
      <w:r w:rsidRPr="00C62D22">
        <w:rPr>
          <w:rFonts w:ascii="Times New Roman" w:hAnsi="Times New Roman" w:cs="Times New Roman"/>
          <w:sz w:val="28"/>
          <w:szCs w:val="28"/>
        </w:rPr>
        <w:t>на були відповідно 0,78 та 0,82 (р</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0,05).</w:t>
      </w:r>
    </w:p>
    <w:p w:rsidR="0021764E" w:rsidRPr="00C62D22" w:rsidRDefault="0021764E" w:rsidP="0021764E">
      <w:pPr>
        <w:spacing w:after="0" w:line="360" w:lineRule="auto"/>
        <w:ind w:left="709" w:firstLine="540"/>
        <w:jc w:val="both"/>
        <w:rPr>
          <w:rFonts w:ascii="Times New Roman" w:hAnsi="Times New Roman" w:cs="Times New Roman"/>
          <w:sz w:val="28"/>
          <w:szCs w:val="28"/>
        </w:rPr>
      </w:pPr>
    </w:p>
    <w:p w:rsidR="0021764E" w:rsidRPr="00C62D22" w:rsidRDefault="0021764E" w:rsidP="0021764E">
      <w:pPr>
        <w:spacing w:after="0" w:line="360" w:lineRule="auto"/>
        <w:ind w:left="709"/>
        <w:jc w:val="both"/>
        <w:rPr>
          <w:rFonts w:ascii="Times New Roman" w:hAnsi="Times New Roman" w:cs="Times New Roman"/>
          <w:color w:val="FF0000"/>
          <w:sz w:val="28"/>
          <w:szCs w:val="28"/>
        </w:rPr>
      </w:pPr>
      <w:r w:rsidRPr="00C62D22">
        <w:rPr>
          <w:rFonts w:ascii="Times New Roman" w:hAnsi="Times New Roman" w:cs="Times New Roman"/>
          <w:noProof/>
          <w:sz w:val="28"/>
          <w:szCs w:val="28"/>
        </w:rPr>
        <w:pict>
          <v:shape id="_x0000_s1088" type="#_x0000_t202" style="position:absolute;left:0;text-align:left;margin-left:18pt;margin-top:3.1pt;width:492.35pt;height:207.45pt;z-index:251723776" stroked="f">
            <v:textbox style="mso-next-textbox:#_x0000_s1088;mso-fit-shape-to-text:t">
              <w:txbxContent>
                <w:p w:rsidR="0021764E" w:rsidRDefault="0021764E" w:rsidP="0021764E">
                  <w:pPr>
                    <w:jc w:val="center"/>
                  </w:pPr>
                  <w:r>
                    <w:rPr>
                      <w:noProof/>
                    </w:rPr>
                    <w:drawing>
                      <wp:inline distT="0" distB="0" distL="0" distR="0">
                        <wp:extent cx="4467225" cy="2390775"/>
                        <wp:effectExtent l="0" t="0" r="0" b="0"/>
                        <wp:docPr id="8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txbxContent>
            </v:textbox>
          </v:shape>
        </w:pict>
      </w:r>
    </w:p>
    <w:p w:rsidR="0021764E" w:rsidRPr="00C62D22" w:rsidRDefault="0021764E" w:rsidP="0021764E">
      <w:pPr>
        <w:spacing w:after="0" w:line="360" w:lineRule="auto"/>
        <w:ind w:left="709" w:firstLine="540"/>
        <w:jc w:val="both"/>
        <w:rPr>
          <w:rFonts w:ascii="Times New Roman" w:hAnsi="Times New Roman" w:cs="Times New Roman"/>
          <w:color w:val="FF0000"/>
          <w:sz w:val="28"/>
          <w:szCs w:val="28"/>
        </w:rPr>
      </w:pPr>
    </w:p>
    <w:p w:rsidR="0021764E" w:rsidRPr="00C62D22" w:rsidRDefault="0021764E" w:rsidP="0021764E">
      <w:pPr>
        <w:spacing w:after="0" w:line="360" w:lineRule="auto"/>
        <w:ind w:left="709" w:firstLine="540"/>
        <w:jc w:val="both"/>
        <w:rPr>
          <w:rFonts w:ascii="Times New Roman" w:hAnsi="Times New Roman" w:cs="Times New Roman"/>
          <w:color w:val="FF0000"/>
          <w:sz w:val="28"/>
          <w:szCs w:val="28"/>
        </w:rPr>
      </w:pPr>
    </w:p>
    <w:p w:rsidR="0021764E" w:rsidRPr="00C62D22" w:rsidRDefault="0021764E" w:rsidP="0021764E">
      <w:pPr>
        <w:spacing w:after="0" w:line="360" w:lineRule="auto"/>
        <w:ind w:left="709" w:firstLine="540"/>
        <w:jc w:val="both"/>
        <w:rPr>
          <w:rFonts w:ascii="Times New Roman" w:hAnsi="Times New Roman" w:cs="Times New Roman"/>
          <w:color w:val="FF0000"/>
          <w:sz w:val="28"/>
          <w:szCs w:val="28"/>
        </w:rPr>
      </w:pPr>
    </w:p>
    <w:p w:rsidR="0021764E" w:rsidRPr="00C62D22" w:rsidRDefault="0021764E" w:rsidP="0021764E">
      <w:pPr>
        <w:spacing w:after="0" w:line="360" w:lineRule="auto"/>
        <w:ind w:left="709" w:firstLine="540"/>
        <w:jc w:val="both"/>
        <w:rPr>
          <w:rFonts w:ascii="Times New Roman" w:hAnsi="Times New Roman" w:cs="Times New Roman"/>
          <w:color w:val="FF0000"/>
          <w:sz w:val="28"/>
          <w:szCs w:val="28"/>
        </w:rPr>
      </w:pPr>
    </w:p>
    <w:p w:rsidR="0021764E" w:rsidRPr="00C62D22" w:rsidRDefault="0021764E" w:rsidP="0021764E">
      <w:pPr>
        <w:spacing w:after="0" w:line="360" w:lineRule="auto"/>
        <w:ind w:left="709" w:firstLine="540"/>
        <w:jc w:val="both"/>
        <w:rPr>
          <w:rFonts w:ascii="Times New Roman" w:hAnsi="Times New Roman" w:cs="Times New Roman"/>
          <w:color w:val="FF0000"/>
          <w:sz w:val="28"/>
          <w:szCs w:val="28"/>
        </w:rPr>
      </w:pPr>
    </w:p>
    <w:p w:rsidR="0021764E" w:rsidRPr="00C62D22" w:rsidRDefault="0021764E" w:rsidP="0021764E">
      <w:pPr>
        <w:spacing w:after="0" w:line="360" w:lineRule="auto"/>
        <w:ind w:left="709" w:firstLine="540"/>
        <w:jc w:val="both"/>
        <w:rPr>
          <w:rFonts w:ascii="Times New Roman" w:hAnsi="Times New Roman" w:cs="Times New Roman"/>
          <w:color w:val="FF0000"/>
          <w:sz w:val="28"/>
          <w:szCs w:val="28"/>
        </w:rPr>
      </w:pPr>
    </w:p>
    <w:p w:rsidR="0021764E" w:rsidRPr="00C62D22" w:rsidRDefault="0021764E" w:rsidP="0021764E">
      <w:pPr>
        <w:spacing w:after="0" w:line="360" w:lineRule="auto"/>
        <w:ind w:firstLine="540"/>
        <w:jc w:val="both"/>
        <w:rPr>
          <w:rFonts w:ascii="Times New Roman" w:hAnsi="Times New Roman" w:cs="Times New Roman"/>
          <w:color w:val="FF0000"/>
          <w:sz w:val="28"/>
          <w:szCs w:val="28"/>
        </w:rPr>
      </w:pPr>
    </w:p>
    <w:p w:rsidR="0021764E" w:rsidRPr="00C62D22" w:rsidRDefault="0021764E" w:rsidP="0021764E">
      <w:pPr>
        <w:spacing w:after="0" w:line="360" w:lineRule="auto"/>
        <w:ind w:firstLine="540"/>
        <w:jc w:val="both"/>
        <w:rPr>
          <w:rFonts w:ascii="Times New Roman" w:hAnsi="Times New Roman" w:cs="Times New Roman"/>
          <w:color w:val="FF0000"/>
          <w:sz w:val="28"/>
          <w:szCs w:val="28"/>
        </w:rPr>
      </w:pPr>
      <w:r w:rsidRPr="00C62D22">
        <w:rPr>
          <w:rFonts w:ascii="Times New Roman" w:hAnsi="Times New Roman" w:cs="Times New Roman"/>
          <w:noProof/>
          <w:color w:val="FF0000"/>
          <w:sz w:val="28"/>
          <w:szCs w:val="28"/>
        </w:rPr>
        <w:pict>
          <v:shape id="_x0000_s1089" type="#_x0000_t202" style="position:absolute;left:0;text-align:left;margin-left:18pt;margin-top:5.05pt;width:492.35pt;height:63.5pt;z-index:251724800" stroked="f">
            <v:textbox style="mso-next-textbox:#_x0000_s1089">
              <w:txbxContent>
                <w:p w:rsidR="0021764E" w:rsidRPr="005734DA" w:rsidRDefault="0021764E" w:rsidP="0021764E">
                  <w:pPr>
                    <w:spacing w:line="360" w:lineRule="auto"/>
                    <w:jc w:val="right"/>
                    <w:rPr>
                      <w:rFonts w:ascii="Times New Roman" w:hAnsi="Times New Roman"/>
                      <w:sz w:val="28"/>
                      <w:szCs w:val="28"/>
                    </w:rPr>
                  </w:pPr>
                  <w:r>
                    <w:rPr>
                      <w:rFonts w:ascii="Times New Roman" w:hAnsi="Times New Roman"/>
                      <w:sz w:val="28"/>
                      <w:szCs w:val="28"/>
                    </w:rPr>
                    <w:t>Рис. 4.</w:t>
                  </w:r>
                  <w:r w:rsidRPr="005734DA">
                    <w:rPr>
                      <w:rFonts w:ascii="Times New Roman" w:hAnsi="Times New Roman"/>
                      <w:sz w:val="28"/>
                      <w:szCs w:val="28"/>
                    </w:rPr>
                    <w:t>1. Коефіцієнти кореляції Спірмена п</w:t>
                  </w:r>
                  <w:r>
                    <w:rPr>
                      <w:rFonts w:ascii="Times New Roman" w:hAnsi="Times New Roman"/>
                      <w:sz w:val="28"/>
                      <w:szCs w:val="28"/>
                    </w:rPr>
                    <w:t xml:space="preserve">оказників, які досліджувались, </w:t>
                  </w:r>
                  <w:r w:rsidRPr="005734DA">
                    <w:rPr>
                      <w:rFonts w:ascii="Times New Roman" w:hAnsi="Times New Roman"/>
                      <w:sz w:val="28"/>
                      <w:szCs w:val="28"/>
                    </w:rPr>
                    <w:t>в залежності від тяжко</w:t>
                  </w:r>
                  <w:r>
                    <w:rPr>
                      <w:rFonts w:ascii="Times New Roman" w:hAnsi="Times New Roman"/>
                      <w:sz w:val="28"/>
                      <w:szCs w:val="28"/>
                    </w:rPr>
                    <w:t>сті стану хворих за шкалою SOFA</w:t>
                  </w:r>
                </w:p>
              </w:txbxContent>
            </v:textbox>
          </v:shape>
        </w:pict>
      </w:r>
    </w:p>
    <w:p w:rsidR="0021764E" w:rsidRPr="00C62D22" w:rsidRDefault="0021764E" w:rsidP="0021764E">
      <w:pPr>
        <w:spacing w:after="0" w:line="360" w:lineRule="auto"/>
        <w:ind w:firstLine="540"/>
        <w:jc w:val="both"/>
        <w:rPr>
          <w:rFonts w:ascii="Times New Roman" w:hAnsi="Times New Roman" w:cs="Times New Roman"/>
          <w:color w:val="FF0000"/>
          <w:sz w:val="28"/>
          <w:szCs w:val="28"/>
        </w:rPr>
      </w:pPr>
    </w:p>
    <w:p w:rsidR="0021764E" w:rsidRPr="00C62D22" w:rsidRDefault="0021764E" w:rsidP="0021764E">
      <w:pPr>
        <w:autoSpaceDE w:val="0"/>
        <w:autoSpaceDN w:val="0"/>
        <w:adjustRightInd w:val="0"/>
        <w:spacing w:after="0" w:line="360" w:lineRule="auto"/>
        <w:ind w:firstLine="540"/>
        <w:jc w:val="both"/>
        <w:rPr>
          <w:rFonts w:ascii="Times New Roman" w:eastAsia="MyriadPro-Bold" w:hAnsi="Times New Roman" w:cs="Times New Roman"/>
          <w:b/>
          <w:bCs/>
          <w:color w:val="000000"/>
          <w:sz w:val="28"/>
          <w:szCs w:val="28"/>
        </w:rPr>
      </w:pPr>
      <w:r w:rsidRPr="00C62D22">
        <w:rPr>
          <w:rFonts w:ascii="Times New Roman" w:eastAsia="MyriadPro-Bold" w:hAnsi="Times New Roman" w:cs="Times New Roman"/>
          <w:b/>
          <w:bCs/>
          <w:color w:val="000000"/>
          <w:sz w:val="28"/>
          <w:szCs w:val="28"/>
        </w:rPr>
        <w:lastRenderedPageBreak/>
        <w:t>4.2. Динаміка змін рівня деяких цитокінів крові у хворих на різні типи псевдокіст підшлункової залози</w:t>
      </w:r>
    </w:p>
    <w:p w:rsidR="0021764E" w:rsidRPr="00C62D22" w:rsidRDefault="0021764E" w:rsidP="0021764E">
      <w:pPr>
        <w:autoSpaceDE w:val="0"/>
        <w:autoSpaceDN w:val="0"/>
        <w:adjustRightInd w:val="0"/>
        <w:spacing w:after="0" w:line="360" w:lineRule="auto"/>
        <w:ind w:firstLine="540"/>
        <w:jc w:val="both"/>
        <w:rPr>
          <w:rFonts w:ascii="Times New Roman" w:eastAsia="MyriadPro-Bold" w:hAnsi="Times New Roman" w:cs="Times New Roman"/>
          <w:b/>
          <w:bCs/>
          <w:sz w:val="28"/>
          <w:szCs w:val="28"/>
        </w:rPr>
      </w:pPr>
    </w:p>
    <w:p w:rsidR="0021764E" w:rsidRPr="00C62D22" w:rsidRDefault="0021764E" w:rsidP="0021764E">
      <w:pPr>
        <w:autoSpaceDE w:val="0"/>
        <w:autoSpaceDN w:val="0"/>
        <w:adjustRightInd w:val="0"/>
        <w:spacing w:after="0" w:line="360" w:lineRule="auto"/>
        <w:ind w:firstLine="709"/>
        <w:jc w:val="both"/>
        <w:rPr>
          <w:rFonts w:ascii="Times New Roman" w:hAnsi="Times New Roman" w:cs="Times New Roman"/>
          <w:color w:val="000000"/>
          <w:sz w:val="28"/>
          <w:szCs w:val="28"/>
        </w:rPr>
      </w:pPr>
      <w:r w:rsidRPr="00C62D22">
        <w:rPr>
          <w:rFonts w:ascii="Times New Roman" w:hAnsi="Times New Roman" w:cs="Times New Roman"/>
          <w:color w:val="000000"/>
          <w:sz w:val="28"/>
          <w:szCs w:val="28"/>
        </w:rPr>
        <w:t>Проведені нами дослідження (табл. 4.2) [39] свідчать, що TGF-β1, який, як відомо, є ключовим профібротичним ЦК [305, 347, 379], був значимо підвищений у всіх групах хворих на ПК ПЗ у середньому відповідно на 584,4%, 476,5% та на 363,5% порівняно з контрольною групою (</w:t>
      </w:r>
      <w:r w:rsidRPr="00C62D22">
        <w:rPr>
          <w:rFonts w:ascii="Times New Roman" w:hAnsi="Times New Roman" w:cs="Times New Roman"/>
          <w:color w:val="000000"/>
          <w:sz w:val="28"/>
          <w:szCs w:val="28"/>
          <w:lang w:val="en-US"/>
        </w:rPr>
        <w:t>p</w:t>
      </w:r>
      <w:r w:rsidRPr="00C62D22">
        <w:rPr>
          <w:rFonts w:ascii="Times New Roman" w:hAnsi="Times New Roman" w:cs="Times New Roman"/>
          <w:color w:val="000000"/>
          <w:sz w:val="28"/>
          <w:szCs w:val="28"/>
          <w:lang w:val="en-US"/>
        </w:rPr>
        <w:sym w:font="Symbol" w:char="F03C"/>
      </w:r>
      <w:r w:rsidRPr="00C62D22">
        <w:rPr>
          <w:rFonts w:ascii="Times New Roman" w:hAnsi="Times New Roman" w:cs="Times New Roman"/>
          <w:color w:val="000000"/>
          <w:sz w:val="28"/>
          <w:szCs w:val="28"/>
        </w:rPr>
        <w:t xml:space="preserve">0,05). </w:t>
      </w:r>
      <w:r w:rsidRPr="00C62D22">
        <w:rPr>
          <w:rFonts w:ascii="Times New Roman" w:hAnsi="Times New Roman" w:cs="Times New Roman"/>
          <w:bCs/>
          <w:iCs/>
          <w:color w:val="000000"/>
          <w:sz w:val="28"/>
          <w:szCs w:val="28"/>
        </w:rPr>
        <w:t>При цьому, проведений однофакторний дисперсійний аналіз свідчив про наявність вірогі</w:t>
      </w:r>
      <w:r w:rsidRPr="00C62D22">
        <w:rPr>
          <w:rFonts w:ascii="Times New Roman" w:hAnsi="Times New Roman" w:cs="Times New Roman"/>
          <w:bCs/>
          <w:iCs/>
          <w:color w:val="000000"/>
          <w:sz w:val="28"/>
          <w:szCs w:val="28"/>
        </w:rPr>
        <w:t>д</w:t>
      </w:r>
      <w:r w:rsidRPr="00C62D22">
        <w:rPr>
          <w:rFonts w:ascii="Times New Roman" w:hAnsi="Times New Roman" w:cs="Times New Roman"/>
          <w:bCs/>
          <w:iCs/>
          <w:color w:val="000000"/>
          <w:sz w:val="28"/>
          <w:szCs w:val="28"/>
        </w:rPr>
        <w:t>них відмінностей поміж груп хворих, що аналізуються (</w:t>
      </w:r>
      <w:r w:rsidRPr="00C62D22">
        <w:rPr>
          <w:rFonts w:ascii="Times New Roman" w:hAnsi="Times New Roman" w:cs="Times New Roman"/>
          <w:color w:val="000000"/>
          <w:sz w:val="28"/>
          <w:szCs w:val="28"/>
          <w:lang w:val="en-US"/>
        </w:rPr>
        <w:t>F</w:t>
      </w:r>
      <w:r w:rsidRPr="00C62D22">
        <w:rPr>
          <w:rFonts w:ascii="Times New Roman" w:hAnsi="Times New Roman" w:cs="Times New Roman"/>
          <w:color w:val="000000"/>
          <w:sz w:val="28"/>
          <w:szCs w:val="28"/>
          <w:lang w:val="en-US"/>
        </w:rPr>
        <w:sym w:font="Symbol" w:char="F03D"/>
      </w:r>
      <w:r w:rsidRPr="00C62D22">
        <w:rPr>
          <w:rFonts w:ascii="Times New Roman" w:hAnsi="Times New Roman" w:cs="Times New Roman"/>
          <w:color w:val="000000"/>
          <w:sz w:val="28"/>
          <w:szCs w:val="28"/>
        </w:rPr>
        <w:t xml:space="preserve">226,824, </w:t>
      </w:r>
      <w:r w:rsidRPr="00C62D22">
        <w:rPr>
          <w:rFonts w:ascii="Times New Roman" w:hAnsi="Times New Roman" w:cs="Times New Roman"/>
          <w:color w:val="000000"/>
          <w:sz w:val="28"/>
          <w:szCs w:val="28"/>
          <w:lang w:val="en-US"/>
        </w:rPr>
        <w:t>p</w:t>
      </w:r>
      <w:r w:rsidRPr="00C62D22">
        <w:rPr>
          <w:rFonts w:ascii="Times New Roman" w:hAnsi="Times New Roman" w:cs="Times New Roman"/>
          <w:color w:val="000000"/>
          <w:sz w:val="28"/>
          <w:szCs w:val="28"/>
          <w:lang w:val="en-US"/>
        </w:rPr>
        <w:sym w:font="Symbol" w:char="F03D"/>
      </w:r>
      <w:r w:rsidRPr="00C62D22">
        <w:rPr>
          <w:rFonts w:ascii="Times New Roman" w:hAnsi="Times New Roman" w:cs="Times New Roman"/>
          <w:color w:val="000000"/>
          <w:sz w:val="28"/>
          <w:szCs w:val="28"/>
        </w:rPr>
        <w:t xml:space="preserve">0,000). Рівень </w:t>
      </w:r>
      <w:r w:rsidRPr="00C62D22">
        <w:rPr>
          <w:rFonts w:ascii="Times New Roman" w:hAnsi="Times New Roman" w:cs="Times New Roman"/>
          <w:color w:val="000000"/>
          <w:sz w:val="28"/>
          <w:szCs w:val="28"/>
          <w:lang w:val="en-US"/>
        </w:rPr>
        <w:t>IL</w:t>
      </w:r>
      <w:r w:rsidRPr="00C62D22">
        <w:rPr>
          <w:rFonts w:ascii="Times New Roman" w:hAnsi="Times New Roman" w:cs="Times New Roman"/>
          <w:color w:val="000000"/>
          <w:sz w:val="28"/>
          <w:szCs w:val="28"/>
        </w:rPr>
        <w:t>-18 був вищим у І групі хворих у середньому на 86%, в ІІ – на 24,1% і в ІІІ – на 27,2% порівняно з контролем (р</w:t>
      </w:r>
      <w:r w:rsidRPr="00C62D22">
        <w:rPr>
          <w:rFonts w:ascii="Times New Roman" w:hAnsi="Times New Roman" w:cs="Times New Roman"/>
          <w:color w:val="000000"/>
          <w:sz w:val="28"/>
          <w:szCs w:val="28"/>
        </w:rPr>
        <w:sym w:font="Symbol" w:char="F03C"/>
      </w:r>
      <w:r w:rsidRPr="00C62D22">
        <w:rPr>
          <w:rFonts w:ascii="Times New Roman" w:hAnsi="Times New Roman" w:cs="Times New Roman"/>
          <w:color w:val="000000"/>
          <w:sz w:val="28"/>
          <w:szCs w:val="28"/>
        </w:rPr>
        <w:t xml:space="preserve">0,05). Подібна тенденція відзначена й для </w:t>
      </w:r>
      <w:r w:rsidRPr="00C62D22">
        <w:rPr>
          <w:rFonts w:ascii="Times New Roman" w:hAnsi="Times New Roman" w:cs="Times New Roman"/>
          <w:color w:val="000000"/>
          <w:sz w:val="28"/>
          <w:szCs w:val="28"/>
          <w:lang w:val="en-US"/>
        </w:rPr>
        <w:t>IL</w:t>
      </w:r>
      <w:r w:rsidRPr="00C62D22">
        <w:rPr>
          <w:rFonts w:ascii="Times New Roman" w:hAnsi="Times New Roman" w:cs="Times New Roman"/>
          <w:color w:val="000000"/>
          <w:sz w:val="28"/>
          <w:szCs w:val="28"/>
        </w:rPr>
        <w:t xml:space="preserve">-6 та </w:t>
      </w:r>
      <w:r w:rsidRPr="00C62D22">
        <w:rPr>
          <w:rFonts w:ascii="Times New Roman" w:hAnsi="Times New Roman" w:cs="Times New Roman"/>
          <w:color w:val="000000"/>
          <w:sz w:val="28"/>
          <w:szCs w:val="28"/>
          <w:lang w:val="en-US"/>
        </w:rPr>
        <w:t>IL</w:t>
      </w:r>
      <w:r w:rsidRPr="00C62D22">
        <w:rPr>
          <w:rFonts w:ascii="Times New Roman" w:hAnsi="Times New Roman" w:cs="Times New Roman"/>
          <w:color w:val="000000"/>
          <w:sz w:val="28"/>
          <w:szCs w:val="28"/>
        </w:rPr>
        <w:t xml:space="preserve">-8 на тлі підвищення </w:t>
      </w:r>
      <w:r w:rsidRPr="00C62D22">
        <w:rPr>
          <w:rFonts w:ascii="Times New Roman" w:hAnsi="Times New Roman" w:cs="Times New Roman"/>
          <w:color w:val="000000"/>
          <w:sz w:val="28"/>
          <w:szCs w:val="28"/>
          <w:lang w:val="en-US"/>
        </w:rPr>
        <w:t>IL</w:t>
      </w:r>
      <w:r w:rsidRPr="00C62D22">
        <w:rPr>
          <w:rFonts w:ascii="Times New Roman" w:hAnsi="Times New Roman" w:cs="Times New Roman"/>
          <w:color w:val="000000"/>
          <w:sz w:val="28"/>
          <w:szCs w:val="28"/>
        </w:rPr>
        <w:t>-10 ві</w:t>
      </w:r>
      <w:r w:rsidRPr="00C62D22">
        <w:rPr>
          <w:rFonts w:ascii="Times New Roman" w:hAnsi="Times New Roman" w:cs="Times New Roman"/>
          <w:color w:val="000000"/>
          <w:sz w:val="28"/>
          <w:szCs w:val="28"/>
        </w:rPr>
        <w:t>д</w:t>
      </w:r>
      <w:r w:rsidRPr="00C62D22">
        <w:rPr>
          <w:rFonts w:ascii="Times New Roman" w:hAnsi="Times New Roman" w:cs="Times New Roman"/>
          <w:color w:val="000000"/>
          <w:sz w:val="28"/>
          <w:szCs w:val="28"/>
        </w:rPr>
        <w:t>повідно в середньому в 30,2 рази (</w:t>
      </w:r>
      <w:r w:rsidRPr="00C62D22">
        <w:rPr>
          <w:rFonts w:ascii="Times New Roman" w:hAnsi="Times New Roman" w:cs="Times New Roman"/>
          <w:color w:val="000000"/>
          <w:sz w:val="28"/>
          <w:szCs w:val="28"/>
          <w:lang w:val="en-US"/>
        </w:rPr>
        <w:t>I</w:t>
      </w:r>
      <w:r w:rsidRPr="00C62D22">
        <w:rPr>
          <w:rFonts w:ascii="Times New Roman" w:hAnsi="Times New Roman" w:cs="Times New Roman"/>
          <w:color w:val="000000"/>
          <w:sz w:val="28"/>
          <w:szCs w:val="28"/>
        </w:rPr>
        <w:t xml:space="preserve"> тип ПК ПЗ), в 30,9 рази (</w:t>
      </w:r>
      <w:r w:rsidRPr="00C62D22">
        <w:rPr>
          <w:rFonts w:ascii="Times New Roman" w:hAnsi="Times New Roman" w:cs="Times New Roman"/>
          <w:color w:val="000000"/>
          <w:sz w:val="28"/>
          <w:szCs w:val="28"/>
          <w:lang w:val="en-US"/>
        </w:rPr>
        <w:t>II</w:t>
      </w:r>
      <w:r w:rsidRPr="00C62D22">
        <w:rPr>
          <w:rFonts w:ascii="Times New Roman" w:hAnsi="Times New Roman" w:cs="Times New Roman"/>
          <w:color w:val="000000"/>
          <w:sz w:val="28"/>
          <w:szCs w:val="28"/>
        </w:rPr>
        <w:t xml:space="preserve"> тип ПК ПЗ) та в 23,6 рази при </w:t>
      </w:r>
      <w:r w:rsidRPr="00C62D22">
        <w:rPr>
          <w:rFonts w:ascii="Times New Roman" w:hAnsi="Times New Roman" w:cs="Times New Roman"/>
          <w:color w:val="000000"/>
          <w:sz w:val="28"/>
          <w:szCs w:val="28"/>
          <w:lang w:val="en-US"/>
        </w:rPr>
        <w:t>III</w:t>
      </w:r>
      <w:r w:rsidRPr="00C62D22">
        <w:rPr>
          <w:rFonts w:ascii="Times New Roman" w:hAnsi="Times New Roman" w:cs="Times New Roman"/>
          <w:color w:val="000000"/>
          <w:sz w:val="28"/>
          <w:szCs w:val="28"/>
        </w:rPr>
        <w:t xml:space="preserve"> типу ПК ПЗ (р</w:t>
      </w:r>
      <w:r w:rsidRPr="00C62D22">
        <w:rPr>
          <w:rFonts w:ascii="Times New Roman" w:hAnsi="Times New Roman" w:cs="Times New Roman"/>
          <w:color w:val="000000"/>
          <w:sz w:val="28"/>
          <w:szCs w:val="28"/>
        </w:rPr>
        <w:sym w:font="Symbol" w:char="F03C"/>
      </w:r>
      <w:r w:rsidRPr="00C62D22">
        <w:rPr>
          <w:rFonts w:ascii="Times New Roman" w:hAnsi="Times New Roman" w:cs="Times New Roman"/>
          <w:color w:val="000000"/>
          <w:sz w:val="28"/>
          <w:szCs w:val="28"/>
        </w:rPr>
        <w:t>0,05).</w:t>
      </w:r>
    </w:p>
    <w:p w:rsidR="0021764E" w:rsidRPr="00C62D22" w:rsidRDefault="0021764E" w:rsidP="0021764E">
      <w:pPr>
        <w:shd w:val="clear" w:color="auto" w:fill="FFFFFF"/>
        <w:spacing w:after="0" w:line="360" w:lineRule="auto"/>
        <w:jc w:val="right"/>
        <w:rPr>
          <w:rFonts w:ascii="Times New Roman" w:hAnsi="Times New Roman" w:cs="Times New Roman"/>
          <w:i/>
          <w:color w:val="000000"/>
          <w:sz w:val="28"/>
          <w:szCs w:val="28"/>
        </w:rPr>
      </w:pPr>
      <w:r w:rsidRPr="00C62D22">
        <w:rPr>
          <w:rFonts w:ascii="Times New Roman" w:hAnsi="Times New Roman" w:cs="Times New Roman"/>
          <w:i/>
          <w:color w:val="000000"/>
          <w:sz w:val="28"/>
          <w:szCs w:val="28"/>
        </w:rPr>
        <w:t>Таблиця 4.2</w:t>
      </w:r>
    </w:p>
    <w:p w:rsidR="0021764E" w:rsidRPr="00C62D22" w:rsidRDefault="0021764E" w:rsidP="0021764E">
      <w:pPr>
        <w:autoSpaceDE w:val="0"/>
        <w:autoSpaceDN w:val="0"/>
        <w:adjustRightInd w:val="0"/>
        <w:spacing w:after="0" w:line="360" w:lineRule="auto"/>
        <w:ind w:firstLine="709"/>
        <w:jc w:val="center"/>
        <w:rPr>
          <w:rFonts w:ascii="Times New Roman" w:eastAsia="MyriadPro-Bold" w:hAnsi="Times New Roman" w:cs="Times New Roman"/>
          <w:b/>
          <w:bCs/>
          <w:color w:val="000000"/>
          <w:sz w:val="28"/>
          <w:szCs w:val="28"/>
        </w:rPr>
      </w:pPr>
      <w:r w:rsidRPr="00C62D22">
        <w:rPr>
          <w:rFonts w:ascii="Times New Roman" w:hAnsi="Times New Roman" w:cs="Times New Roman"/>
          <w:b/>
          <w:color w:val="000000"/>
          <w:sz w:val="28"/>
          <w:szCs w:val="28"/>
        </w:rPr>
        <w:t xml:space="preserve">Динаміка </w:t>
      </w:r>
      <w:r w:rsidRPr="00C62D22">
        <w:rPr>
          <w:rFonts w:ascii="Times New Roman" w:eastAsia="MyriadPro-Bold" w:hAnsi="Times New Roman" w:cs="Times New Roman"/>
          <w:b/>
          <w:bCs/>
          <w:color w:val="000000"/>
          <w:sz w:val="28"/>
          <w:szCs w:val="28"/>
        </w:rPr>
        <w:t>показників змін деяких цитокінів у хворих на різні типи ПК ПЗ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3348"/>
        <w:gridCol w:w="1980"/>
        <w:gridCol w:w="2340"/>
        <w:gridCol w:w="2520"/>
      </w:tblGrid>
      <w:tr w:rsidR="0021764E" w:rsidRPr="00C62D22" w:rsidTr="006E5FD4">
        <w:tc>
          <w:tcPr>
            <w:tcW w:w="3348" w:type="dxa"/>
            <w:vMerge w:val="restart"/>
          </w:tcPr>
          <w:p w:rsidR="0021764E" w:rsidRPr="00C62D22" w:rsidRDefault="0021764E" w:rsidP="006E5FD4">
            <w:pPr>
              <w:spacing w:after="0" w:line="360" w:lineRule="auto"/>
              <w:jc w:val="center"/>
              <w:rPr>
                <w:rFonts w:ascii="Times New Roman" w:hAnsi="Times New Roman" w:cs="Times New Roman"/>
                <w:bCs/>
                <w:iCs/>
                <w:color w:val="000000"/>
                <w:sz w:val="28"/>
                <w:szCs w:val="28"/>
              </w:rPr>
            </w:pPr>
            <w:r w:rsidRPr="00C62D22">
              <w:rPr>
                <w:rFonts w:ascii="Times New Roman" w:hAnsi="Times New Roman" w:cs="Times New Roman"/>
                <w:bCs/>
                <w:iCs/>
                <w:color w:val="000000"/>
                <w:sz w:val="28"/>
                <w:szCs w:val="28"/>
              </w:rPr>
              <w:t>Показник/контроль</w:t>
            </w:r>
          </w:p>
        </w:tc>
        <w:tc>
          <w:tcPr>
            <w:tcW w:w="6840" w:type="dxa"/>
            <w:gridSpan w:val="3"/>
          </w:tcPr>
          <w:p w:rsidR="0021764E" w:rsidRPr="00C62D22" w:rsidRDefault="0021764E" w:rsidP="006E5FD4">
            <w:pPr>
              <w:spacing w:after="0" w:line="360" w:lineRule="auto"/>
              <w:jc w:val="center"/>
              <w:rPr>
                <w:rFonts w:ascii="Times New Roman" w:hAnsi="Times New Roman" w:cs="Times New Roman"/>
                <w:bCs/>
                <w:iCs/>
                <w:color w:val="000000"/>
                <w:sz w:val="28"/>
                <w:szCs w:val="28"/>
              </w:rPr>
            </w:pPr>
            <w:r w:rsidRPr="00C62D22">
              <w:rPr>
                <w:rFonts w:ascii="Times New Roman" w:hAnsi="Times New Roman" w:cs="Times New Roman"/>
                <w:bCs/>
                <w:iCs/>
                <w:color w:val="000000"/>
                <w:sz w:val="28"/>
                <w:szCs w:val="28"/>
              </w:rPr>
              <w:t>Групи хворих</w:t>
            </w:r>
          </w:p>
        </w:tc>
      </w:tr>
      <w:tr w:rsidR="0021764E" w:rsidRPr="00C62D22" w:rsidTr="006E5FD4">
        <w:tc>
          <w:tcPr>
            <w:tcW w:w="3348" w:type="dxa"/>
            <w:vMerge/>
          </w:tcPr>
          <w:p w:rsidR="0021764E" w:rsidRPr="00C62D22" w:rsidRDefault="0021764E" w:rsidP="006E5FD4">
            <w:pPr>
              <w:spacing w:after="0" w:line="360" w:lineRule="auto"/>
              <w:jc w:val="center"/>
              <w:rPr>
                <w:rFonts w:ascii="Times New Roman" w:hAnsi="Times New Roman" w:cs="Times New Roman"/>
                <w:bCs/>
                <w:iCs/>
                <w:color w:val="000000"/>
                <w:sz w:val="28"/>
                <w:szCs w:val="28"/>
              </w:rPr>
            </w:pPr>
          </w:p>
        </w:tc>
        <w:tc>
          <w:tcPr>
            <w:tcW w:w="1980" w:type="dxa"/>
          </w:tcPr>
          <w:p w:rsidR="0021764E" w:rsidRPr="00C62D22" w:rsidRDefault="0021764E" w:rsidP="006E5FD4">
            <w:pPr>
              <w:spacing w:after="0" w:line="360" w:lineRule="auto"/>
              <w:jc w:val="center"/>
              <w:rPr>
                <w:rFonts w:ascii="Times New Roman" w:hAnsi="Times New Roman" w:cs="Times New Roman"/>
                <w:bCs/>
                <w:iCs/>
                <w:color w:val="000000"/>
                <w:sz w:val="28"/>
                <w:szCs w:val="28"/>
              </w:rPr>
            </w:pPr>
            <w:r w:rsidRPr="00C62D22">
              <w:rPr>
                <w:rFonts w:ascii="Times New Roman" w:hAnsi="Times New Roman" w:cs="Times New Roman"/>
                <w:bCs/>
                <w:iCs/>
                <w:color w:val="000000"/>
                <w:sz w:val="28"/>
                <w:szCs w:val="28"/>
              </w:rPr>
              <w:t>перша (n</w:t>
            </w:r>
            <w:r w:rsidRPr="00C62D22">
              <w:rPr>
                <w:rFonts w:ascii="Times New Roman" w:hAnsi="Times New Roman" w:cs="Times New Roman"/>
                <w:bCs/>
                <w:iCs/>
                <w:color w:val="000000"/>
                <w:sz w:val="28"/>
                <w:szCs w:val="28"/>
              </w:rPr>
              <w:sym w:font="Symbol" w:char="F03D"/>
            </w:r>
            <w:r w:rsidRPr="00C62D22">
              <w:rPr>
                <w:rFonts w:ascii="Times New Roman" w:hAnsi="Times New Roman" w:cs="Times New Roman"/>
                <w:bCs/>
                <w:iCs/>
                <w:color w:val="000000"/>
                <w:sz w:val="28"/>
                <w:szCs w:val="28"/>
              </w:rPr>
              <w:t>14)</w:t>
            </w:r>
          </w:p>
        </w:tc>
        <w:tc>
          <w:tcPr>
            <w:tcW w:w="2340" w:type="dxa"/>
          </w:tcPr>
          <w:p w:rsidR="0021764E" w:rsidRPr="00C62D22" w:rsidRDefault="0021764E" w:rsidP="006E5FD4">
            <w:pPr>
              <w:spacing w:after="0" w:line="360" w:lineRule="auto"/>
              <w:jc w:val="center"/>
              <w:rPr>
                <w:rFonts w:ascii="Times New Roman" w:hAnsi="Times New Roman" w:cs="Times New Roman"/>
                <w:bCs/>
                <w:iCs/>
                <w:color w:val="000000"/>
                <w:sz w:val="28"/>
                <w:szCs w:val="28"/>
              </w:rPr>
            </w:pPr>
            <w:r w:rsidRPr="00C62D22">
              <w:rPr>
                <w:rFonts w:ascii="Times New Roman" w:hAnsi="Times New Roman" w:cs="Times New Roman"/>
                <w:bCs/>
                <w:iCs/>
                <w:color w:val="000000"/>
                <w:sz w:val="28"/>
                <w:szCs w:val="28"/>
              </w:rPr>
              <w:t>друга (n</w:t>
            </w:r>
            <w:r w:rsidRPr="00C62D22">
              <w:rPr>
                <w:rFonts w:ascii="Times New Roman" w:hAnsi="Times New Roman" w:cs="Times New Roman"/>
                <w:bCs/>
                <w:iCs/>
                <w:color w:val="000000"/>
                <w:sz w:val="28"/>
                <w:szCs w:val="28"/>
              </w:rPr>
              <w:sym w:font="Symbol" w:char="F03D"/>
            </w:r>
            <w:r w:rsidRPr="00C62D22">
              <w:rPr>
                <w:rFonts w:ascii="Times New Roman" w:hAnsi="Times New Roman" w:cs="Times New Roman"/>
                <w:bCs/>
                <w:iCs/>
                <w:color w:val="000000"/>
                <w:sz w:val="28"/>
                <w:szCs w:val="28"/>
              </w:rPr>
              <w:t>16)</w:t>
            </w:r>
          </w:p>
        </w:tc>
        <w:tc>
          <w:tcPr>
            <w:tcW w:w="2520" w:type="dxa"/>
          </w:tcPr>
          <w:p w:rsidR="0021764E" w:rsidRPr="00C62D22" w:rsidRDefault="0021764E" w:rsidP="006E5FD4">
            <w:pPr>
              <w:spacing w:after="0" w:line="360" w:lineRule="auto"/>
              <w:jc w:val="center"/>
              <w:rPr>
                <w:rFonts w:ascii="Times New Roman" w:hAnsi="Times New Roman" w:cs="Times New Roman"/>
                <w:bCs/>
                <w:iCs/>
                <w:color w:val="000000"/>
                <w:sz w:val="28"/>
                <w:szCs w:val="28"/>
              </w:rPr>
            </w:pPr>
            <w:r w:rsidRPr="00C62D22">
              <w:rPr>
                <w:rFonts w:ascii="Times New Roman" w:hAnsi="Times New Roman" w:cs="Times New Roman"/>
                <w:bCs/>
                <w:iCs/>
                <w:color w:val="000000"/>
                <w:sz w:val="28"/>
                <w:szCs w:val="28"/>
              </w:rPr>
              <w:t>третя (n</w:t>
            </w:r>
            <w:r w:rsidRPr="00C62D22">
              <w:rPr>
                <w:rFonts w:ascii="Times New Roman" w:hAnsi="Times New Roman" w:cs="Times New Roman"/>
                <w:bCs/>
                <w:iCs/>
                <w:color w:val="000000"/>
                <w:sz w:val="28"/>
                <w:szCs w:val="28"/>
              </w:rPr>
              <w:sym w:font="Symbol" w:char="F03D"/>
            </w:r>
            <w:r w:rsidRPr="00C62D22">
              <w:rPr>
                <w:rFonts w:ascii="Times New Roman" w:hAnsi="Times New Roman" w:cs="Times New Roman"/>
                <w:bCs/>
                <w:iCs/>
                <w:color w:val="000000"/>
                <w:sz w:val="28"/>
                <w:szCs w:val="28"/>
              </w:rPr>
              <w:t>17)</w:t>
            </w:r>
          </w:p>
        </w:tc>
      </w:tr>
      <w:tr w:rsidR="0021764E" w:rsidRPr="00C62D22" w:rsidTr="006E5FD4">
        <w:tc>
          <w:tcPr>
            <w:tcW w:w="3348"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TGF-</w:t>
            </w:r>
            <w:r w:rsidRPr="00C62D22">
              <w:rPr>
                <w:rFonts w:ascii="Times New Roman" w:hAnsi="Times New Roman" w:cs="Times New Roman"/>
                <w:color w:val="000000"/>
                <w:sz w:val="28"/>
                <w:szCs w:val="28"/>
              </w:rPr>
              <w:sym w:font="Symbol" w:char="F062"/>
            </w:r>
            <w:r w:rsidRPr="00C62D22">
              <w:rPr>
                <w:rFonts w:ascii="Times New Roman" w:hAnsi="Times New Roman" w:cs="Times New Roman"/>
                <w:color w:val="000000"/>
                <w:sz w:val="28"/>
                <w:szCs w:val="28"/>
              </w:rPr>
              <w:t xml:space="preserve">1, пг/мл </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16,35</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2,9 (13,1-22,1)</w:t>
            </w:r>
          </w:p>
        </w:tc>
        <w:tc>
          <w:tcPr>
            <w:tcW w:w="198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111,9</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 xml:space="preserve">16,1 </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(88,9-142,3)*</w:t>
            </w:r>
          </w:p>
        </w:tc>
        <w:tc>
          <w:tcPr>
            <w:tcW w:w="234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94,26</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 xml:space="preserve">9,5 </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(79,4-115,3)* **</w:t>
            </w:r>
          </w:p>
        </w:tc>
        <w:tc>
          <w:tcPr>
            <w:tcW w:w="252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75,79</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 xml:space="preserve">10,69 </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(56,4-92,3)* ***</w:t>
            </w:r>
          </w:p>
        </w:tc>
      </w:tr>
      <w:tr w:rsidR="0021764E" w:rsidRPr="00C62D22" w:rsidTr="006E5FD4">
        <w:tc>
          <w:tcPr>
            <w:tcW w:w="3348" w:type="dxa"/>
          </w:tcPr>
          <w:p w:rsidR="0021764E" w:rsidRPr="00C62D22" w:rsidRDefault="0021764E" w:rsidP="006E5FD4">
            <w:pPr>
              <w:spacing w:after="0" w:line="240" w:lineRule="auto"/>
              <w:jc w:val="center"/>
              <w:rPr>
                <w:rFonts w:ascii="Times New Roman" w:hAnsi="Times New Roman" w:cs="Times New Roman"/>
                <w:color w:val="000000"/>
                <w:sz w:val="28"/>
                <w:szCs w:val="28"/>
              </w:rPr>
            </w:pPr>
          </w:p>
        </w:tc>
        <w:tc>
          <w:tcPr>
            <w:tcW w:w="6840" w:type="dxa"/>
            <w:gridSpan w:val="3"/>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F</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34,347, p</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0,000</w:t>
            </w:r>
          </w:p>
        </w:tc>
      </w:tr>
      <w:tr w:rsidR="0021764E" w:rsidRPr="00C62D22" w:rsidTr="006E5FD4">
        <w:trPr>
          <w:trHeight w:val="739"/>
        </w:trPr>
        <w:tc>
          <w:tcPr>
            <w:tcW w:w="3348"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IL-6, пг/мл</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35,71</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 xml:space="preserve">11,34 (4,9-45,3) </w:t>
            </w:r>
          </w:p>
        </w:tc>
        <w:tc>
          <w:tcPr>
            <w:tcW w:w="1980"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347,7</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67,48* (214,5-424,2)</w:t>
            </w:r>
          </w:p>
        </w:tc>
        <w:tc>
          <w:tcPr>
            <w:tcW w:w="2340" w:type="dxa"/>
          </w:tcPr>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238,6</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56,02* **</w:t>
            </w:r>
          </w:p>
          <w:p w:rsidR="0021764E" w:rsidRPr="00C62D22" w:rsidRDefault="0021764E" w:rsidP="006E5FD4">
            <w:pPr>
              <w:spacing w:after="0"/>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(193,5-367,3)</w:t>
            </w:r>
          </w:p>
        </w:tc>
        <w:tc>
          <w:tcPr>
            <w:tcW w:w="2520"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214,6</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33,66* ***</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(145,7-254,6)</w:t>
            </w:r>
          </w:p>
        </w:tc>
      </w:tr>
      <w:tr w:rsidR="0021764E" w:rsidRPr="00C62D22" w:rsidTr="006E5FD4">
        <w:tc>
          <w:tcPr>
            <w:tcW w:w="3348" w:type="dxa"/>
          </w:tcPr>
          <w:p w:rsidR="0021764E" w:rsidRPr="00C62D22" w:rsidRDefault="0021764E" w:rsidP="006E5FD4">
            <w:pPr>
              <w:tabs>
                <w:tab w:val="center" w:pos="1293"/>
              </w:tabs>
              <w:spacing w:after="0" w:line="240" w:lineRule="auto"/>
              <w:rPr>
                <w:rFonts w:ascii="Times New Roman" w:hAnsi="Times New Roman" w:cs="Times New Roman"/>
                <w:color w:val="000000"/>
                <w:sz w:val="28"/>
                <w:szCs w:val="28"/>
              </w:rPr>
            </w:pPr>
          </w:p>
        </w:tc>
        <w:tc>
          <w:tcPr>
            <w:tcW w:w="6840" w:type="dxa"/>
            <w:gridSpan w:val="3"/>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F</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127,915, p</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0,000</w:t>
            </w:r>
          </w:p>
        </w:tc>
      </w:tr>
      <w:tr w:rsidR="0021764E" w:rsidRPr="00C62D22" w:rsidTr="006E5FD4">
        <w:tc>
          <w:tcPr>
            <w:tcW w:w="3348"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IL-8, пг/мл</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15,67</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5,5 (3,8-22,7)</w:t>
            </w:r>
          </w:p>
        </w:tc>
        <w:tc>
          <w:tcPr>
            <w:tcW w:w="1980"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198,6</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47,82*</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(178,2-212,4)</w:t>
            </w:r>
          </w:p>
        </w:tc>
        <w:tc>
          <w:tcPr>
            <w:tcW w:w="2340"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99,54</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12,63* ***</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(86,3-123,5)</w:t>
            </w:r>
          </w:p>
        </w:tc>
        <w:tc>
          <w:tcPr>
            <w:tcW w:w="2520"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87,81</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12,42* ***</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(66,5-103,5)</w:t>
            </w:r>
          </w:p>
        </w:tc>
      </w:tr>
      <w:tr w:rsidR="0021764E" w:rsidRPr="00C62D22" w:rsidTr="006E5FD4">
        <w:tc>
          <w:tcPr>
            <w:tcW w:w="3348" w:type="dxa"/>
          </w:tcPr>
          <w:p w:rsidR="0021764E" w:rsidRPr="00C62D22" w:rsidRDefault="0021764E" w:rsidP="006E5FD4">
            <w:pPr>
              <w:tabs>
                <w:tab w:val="center" w:pos="1293"/>
              </w:tabs>
              <w:spacing w:after="0" w:line="240" w:lineRule="auto"/>
              <w:rPr>
                <w:rFonts w:ascii="Times New Roman" w:hAnsi="Times New Roman" w:cs="Times New Roman"/>
                <w:color w:val="000000"/>
                <w:sz w:val="28"/>
                <w:szCs w:val="28"/>
              </w:rPr>
            </w:pPr>
          </w:p>
        </w:tc>
        <w:tc>
          <w:tcPr>
            <w:tcW w:w="6840" w:type="dxa"/>
            <w:gridSpan w:val="3"/>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F</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67,116, p</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0,000</w:t>
            </w:r>
          </w:p>
        </w:tc>
      </w:tr>
      <w:tr w:rsidR="0021764E" w:rsidRPr="00C62D22" w:rsidTr="006E5FD4">
        <w:tc>
          <w:tcPr>
            <w:tcW w:w="3348"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IL-10, пг/мл</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2,9</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1,79 (0-6,1)</w:t>
            </w:r>
          </w:p>
        </w:tc>
        <w:tc>
          <w:tcPr>
            <w:tcW w:w="1980"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87,61</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19,49*</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(64,9-111,7)</w:t>
            </w:r>
          </w:p>
        </w:tc>
        <w:tc>
          <w:tcPr>
            <w:tcW w:w="2340"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89,64</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12,06*</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(59,6-98,9)</w:t>
            </w:r>
          </w:p>
        </w:tc>
        <w:tc>
          <w:tcPr>
            <w:tcW w:w="2520"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68,35</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16,57* ***</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(35,5-85,9)</w:t>
            </w:r>
          </w:p>
        </w:tc>
      </w:tr>
      <w:tr w:rsidR="0021764E" w:rsidRPr="00C62D22" w:rsidTr="006E5FD4">
        <w:tc>
          <w:tcPr>
            <w:tcW w:w="3348" w:type="dxa"/>
          </w:tcPr>
          <w:p w:rsidR="0021764E" w:rsidRPr="00C62D22" w:rsidRDefault="0021764E" w:rsidP="006E5FD4">
            <w:pPr>
              <w:spacing w:after="0" w:line="240" w:lineRule="auto"/>
              <w:jc w:val="center"/>
              <w:rPr>
                <w:rFonts w:ascii="Times New Roman" w:hAnsi="Times New Roman" w:cs="Times New Roman"/>
                <w:color w:val="000000"/>
                <w:sz w:val="28"/>
                <w:szCs w:val="28"/>
              </w:rPr>
            </w:pPr>
          </w:p>
        </w:tc>
        <w:tc>
          <w:tcPr>
            <w:tcW w:w="6840" w:type="dxa"/>
            <w:gridSpan w:val="3"/>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F</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8,192, p</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0,000</w:t>
            </w:r>
          </w:p>
        </w:tc>
      </w:tr>
      <w:tr w:rsidR="0021764E" w:rsidRPr="00C62D22" w:rsidTr="006E5FD4">
        <w:tc>
          <w:tcPr>
            <w:tcW w:w="3348"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IL-18, пг/мл</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235,7</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16,13 (231,4-267,8)</w:t>
            </w:r>
          </w:p>
        </w:tc>
        <w:tc>
          <w:tcPr>
            <w:tcW w:w="1980"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438,4</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47,82*</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(363-488,7)</w:t>
            </w:r>
          </w:p>
        </w:tc>
        <w:tc>
          <w:tcPr>
            <w:tcW w:w="2340"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292,5</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16,27* **</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(256,2-305,2)</w:t>
            </w:r>
          </w:p>
        </w:tc>
        <w:tc>
          <w:tcPr>
            <w:tcW w:w="2520"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299,7</w:t>
            </w:r>
            <w:r w:rsidRPr="00C62D22">
              <w:rPr>
                <w:rFonts w:ascii="Times New Roman" w:hAnsi="Times New Roman" w:cs="Times New Roman"/>
                <w:color w:val="000000"/>
                <w:sz w:val="28"/>
                <w:szCs w:val="28"/>
              </w:rPr>
              <w:sym w:font="Symbol" w:char="F0B1"/>
            </w:r>
            <w:r w:rsidRPr="00C62D22">
              <w:rPr>
                <w:rFonts w:ascii="Times New Roman" w:hAnsi="Times New Roman" w:cs="Times New Roman"/>
                <w:color w:val="000000"/>
                <w:sz w:val="28"/>
                <w:szCs w:val="28"/>
              </w:rPr>
              <w:t>26,73*</w:t>
            </w:r>
          </w:p>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(247,6-324,7)</w:t>
            </w:r>
          </w:p>
        </w:tc>
      </w:tr>
      <w:tr w:rsidR="0021764E" w:rsidRPr="00C62D22" w:rsidTr="006E5FD4">
        <w:tc>
          <w:tcPr>
            <w:tcW w:w="3348" w:type="dxa"/>
          </w:tcPr>
          <w:p w:rsidR="0021764E" w:rsidRPr="00C62D22" w:rsidRDefault="0021764E" w:rsidP="006E5FD4">
            <w:pPr>
              <w:spacing w:after="0" w:line="240" w:lineRule="auto"/>
              <w:jc w:val="center"/>
              <w:rPr>
                <w:rFonts w:ascii="Times New Roman" w:hAnsi="Times New Roman" w:cs="Times New Roman"/>
                <w:color w:val="000000"/>
                <w:sz w:val="28"/>
                <w:szCs w:val="28"/>
              </w:rPr>
            </w:pPr>
          </w:p>
        </w:tc>
        <w:tc>
          <w:tcPr>
            <w:tcW w:w="6840" w:type="dxa"/>
            <w:gridSpan w:val="3"/>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F</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95,315, p</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0,000</w:t>
            </w:r>
          </w:p>
        </w:tc>
      </w:tr>
    </w:tbl>
    <w:p w:rsidR="0021764E" w:rsidRPr="00C62D22" w:rsidRDefault="0021764E" w:rsidP="0021764E">
      <w:pPr>
        <w:pStyle w:val="2"/>
        <w:spacing w:after="0" w:line="240" w:lineRule="auto"/>
        <w:ind w:firstLine="709"/>
        <w:jc w:val="both"/>
        <w:rPr>
          <w:color w:val="000000"/>
          <w:szCs w:val="28"/>
          <w:lang w:val="uk-UA"/>
        </w:rPr>
      </w:pPr>
      <w:r w:rsidRPr="00C62D22">
        <w:rPr>
          <w:color w:val="000000"/>
          <w:szCs w:val="28"/>
          <w:lang w:val="uk-UA"/>
        </w:rPr>
        <w:t xml:space="preserve">Примітка: * – достовірно з контролем; ** </w:t>
      </w:r>
      <w:r w:rsidRPr="00C62D22">
        <w:rPr>
          <w:color w:val="000000"/>
          <w:szCs w:val="28"/>
          <w:lang w:val="uk-UA"/>
        </w:rPr>
        <w:sym w:font="Symbol" w:char="F02D"/>
      </w:r>
      <w:r w:rsidRPr="00C62D22">
        <w:rPr>
          <w:color w:val="000000"/>
          <w:szCs w:val="28"/>
          <w:lang w:val="uk-UA"/>
        </w:rPr>
        <w:t xml:space="preserve"> достовірно між 1 і 2 групами; </w:t>
      </w:r>
    </w:p>
    <w:p w:rsidR="0021764E" w:rsidRPr="00C62D22" w:rsidRDefault="0021764E" w:rsidP="0021764E">
      <w:pPr>
        <w:pStyle w:val="2"/>
        <w:spacing w:after="0" w:line="240" w:lineRule="auto"/>
        <w:jc w:val="both"/>
        <w:rPr>
          <w:color w:val="000000"/>
          <w:szCs w:val="28"/>
          <w:lang w:val="uk-UA"/>
        </w:rPr>
      </w:pPr>
      <w:r w:rsidRPr="00C62D22">
        <w:rPr>
          <w:color w:val="000000"/>
          <w:szCs w:val="28"/>
          <w:lang w:val="uk-UA"/>
        </w:rPr>
        <w:t xml:space="preserve">*** </w:t>
      </w:r>
      <w:r w:rsidRPr="00C62D22">
        <w:rPr>
          <w:color w:val="000000"/>
          <w:szCs w:val="28"/>
          <w:lang w:val="uk-UA"/>
        </w:rPr>
        <w:sym w:font="Symbol" w:char="F02D"/>
      </w:r>
      <w:r w:rsidRPr="00C62D22">
        <w:rPr>
          <w:color w:val="000000"/>
          <w:szCs w:val="28"/>
          <w:lang w:val="uk-UA"/>
        </w:rPr>
        <w:t xml:space="preserve"> достовірно між 2 і 3 групами (р</w:t>
      </w:r>
      <w:r w:rsidRPr="00C62D22">
        <w:rPr>
          <w:color w:val="000000"/>
          <w:szCs w:val="28"/>
          <w:lang w:val="uk-UA"/>
        </w:rPr>
        <w:sym w:font="Symbol" w:char="F03C"/>
      </w:r>
      <w:r w:rsidRPr="00C62D22">
        <w:rPr>
          <w:color w:val="000000"/>
          <w:szCs w:val="28"/>
          <w:lang w:val="uk-UA"/>
        </w:rPr>
        <w:t>0,05).</w:t>
      </w:r>
    </w:p>
    <w:p w:rsidR="0021764E" w:rsidRPr="00C62D22" w:rsidRDefault="0021764E" w:rsidP="0021764E">
      <w:pPr>
        <w:spacing w:after="0" w:line="360" w:lineRule="auto"/>
        <w:ind w:firstLine="993"/>
        <w:jc w:val="both"/>
        <w:rPr>
          <w:rFonts w:ascii="Times New Roman" w:hAnsi="Times New Roman" w:cs="Times New Roman"/>
          <w:color w:val="000000"/>
          <w:sz w:val="28"/>
          <w:szCs w:val="28"/>
        </w:rPr>
      </w:pPr>
    </w:p>
    <w:p w:rsidR="0021764E" w:rsidRPr="00C62D22" w:rsidRDefault="0021764E" w:rsidP="0021764E">
      <w:pPr>
        <w:spacing w:after="0" w:line="360" w:lineRule="auto"/>
        <w:ind w:firstLine="993"/>
        <w:jc w:val="both"/>
        <w:rPr>
          <w:rFonts w:ascii="Times New Roman" w:hAnsi="Times New Roman" w:cs="Times New Roman"/>
          <w:color w:val="000000"/>
          <w:sz w:val="28"/>
          <w:szCs w:val="28"/>
        </w:rPr>
      </w:pPr>
      <w:r w:rsidRPr="00C62D22">
        <w:rPr>
          <w:rFonts w:ascii="Times New Roman" w:hAnsi="Times New Roman" w:cs="Times New Roman"/>
          <w:color w:val="000000"/>
          <w:sz w:val="28"/>
          <w:szCs w:val="28"/>
        </w:rPr>
        <w:t xml:space="preserve">Можливе збільшення рівня </w:t>
      </w:r>
      <w:r w:rsidRPr="00C62D22">
        <w:rPr>
          <w:rFonts w:ascii="Times New Roman" w:hAnsi="Times New Roman" w:cs="Times New Roman"/>
          <w:color w:val="000000"/>
          <w:sz w:val="28"/>
          <w:szCs w:val="28"/>
          <w:lang w:val="en-US"/>
        </w:rPr>
        <w:t>IL</w:t>
      </w:r>
      <w:r w:rsidRPr="00C62D22">
        <w:rPr>
          <w:rFonts w:ascii="Times New Roman" w:hAnsi="Times New Roman" w:cs="Times New Roman"/>
          <w:color w:val="000000"/>
          <w:sz w:val="28"/>
          <w:szCs w:val="28"/>
        </w:rPr>
        <w:t>-10 є компенсаторною спробою організму хворих зме</w:t>
      </w:r>
      <w:r w:rsidRPr="00C62D22">
        <w:rPr>
          <w:rFonts w:ascii="Times New Roman" w:hAnsi="Times New Roman" w:cs="Times New Roman"/>
          <w:color w:val="000000"/>
          <w:sz w:val="28"/>
          <w:szCs w:val="28"/>
        </w:rPr>
        <w:t>н</w:t>
      </w:r>
      <w:r w:rsidRPr="00C62D22">
        <w:rPr>
          <w:rFonts w:ascii="Times New Roman" w:hAnsi="Times New Roman" w:cs="Times New Roman"/>
          <w:color w:val="000000"/>
          <w:sz w:val="28"/>
          <w:szCs w:val="28"/>
        </w:rPr>
        <w:t xml:space="preserve">шити продукцію прозапальних ЦК, що продовжує тривати [422]. Разом з тим, рівень цього протизапального ЦК у хворих на </w:t>
      </w:r>
      <w:r w:rsidRPr="00C62D22">
        <w:rPr>
          <w:rFonts w:ascii="Times New Roman" w:hAnsi="Times New Roman" w:cs="Times New Roman"/>
          <w:color w:val="000000"/>
          <w:sz w:val="28"/>
          <w:szCs w:val="28"/>
          <w:lang w:val="en-US"/>
        </w:rPr>
        <w:t>III</w:t>
      </w:r>
      <w:r w:rsidRPr="00C62D22">
        <w:rPr>
          <w:rFonts w:ascii="Times New Roman" w:hAnsi="Times New Roman" w:cs="Times New Roman"/>
          <w:color w:val="000000"/>
          <w:sz w:val="28"/>
          <w:szCs w:val="28"/>
        </w:rPr>
        <w:t xml:space="preserve"> тип ПК ПЗ у середньому на 21,5% був нижчим, ніж у хворих на </w:t>
      </w:r>
      <w:r w:rsidRPr="00C62D22">
        <w:rPr>
          <w:rFonts w:ascii="Times New Roman" w:hAnsi="Times New Roman" w:cs="Times New Roman"/>
          <w:color w:val="000000"/>
          <w:sz w:val="28"/>
          <w:szCs w:val="28"/>
          <w:lang w:val="en-US"/>
        </w:rPr>
        <w:t>I</w:t>
      </w:r>
      <w:r w:rsidRPr="00C62D22">
        <w:rPr>
          <w:rFonts w:ascii="Times New Roman" w:hAnsi="Times New Roman" w:cs="Times New Roman"/>
          <w:color w:val="000000"/>
          <w:sz w:val="28"/>
          <w:szCs w:val="28"/>
        </w:rPr>
        <w:t xml:space="preserve"> тип ПК та на 27,1% </w:t>
      </w:r>
      <w:r w:rsidRPr="00C62D22">
        <w:rPr>
          <w:rFonts w:ascii="Times New Roman" w:hAnsi="Times New Roman" w:cs="Times New Roman"/>
          <w:color w:val="000000"/>
          <w:sz w:val="28"/>
          <w:szCs w:val="28"/>
        </w:rPr>
        <w:sym w:font="Symbol" w:char="F02D"/>
      </w:r>
      <w:r w:rsidRPr="00C62D22">
        <w:rPr>
          <w:rFonts w:ascii="Times New Roman" w:hAnsi="Times New Roman" w:cs="Times New Roman"/>
          <w:color w:val="000000"/>
          <w:sz w:val="28"/>
          <w:szCs w:val="28"/>
        </w:rPr>
        <w:t xml:space="preserve"> ніж у хворих на </w:t>
      </w:r>
      <w:r w:rsidRPr="00C62D22">
        <w:rPr>
          <w:rFonts w:ascii="Times New Roman" w:hAnsi="Times New Roman" w:cs="Times New Roman"/>
          <w:color w:val="000000"/>
          <w:sz w:val="28"/>
          <w:szCs w:val="28"/>
          <w:lang w:val="en-US"/>
        </w:rPr>
        <w:t>II</w:t>
      </w:r>
      <w:r w:rsidRPr="00C62D22">
        <w:rPr>
          <w:rFonts w:ascii="Times New Roman" w:hAnsi="Times New Roman" w:cs="Times New Roman"/>
          <w:color w:val="000000"/>
          <w:sz w:val="28"/>
          <w:szCs w:val="28"/>
        </w:rPr>
        <w:t xml:space="preserve"> тип ПК ПЗ.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Проведений кореляційний аналіз показав (рис. 4.2), що між станом хворих та рівнями TGF-</w:t>
      </w:r>
      <w:r w:rsidRPr="00C62D22">
        <w:rPr>
          <w:rFonts w:ascii="Times New Roman" w:hAnsi="Times New Roman" w:cs="Times New Roman"/>
          <w:sz w:val="28"/>
          <w:szCs w:val="28"/>
        </w:rPr>
        <w:sym w:font="Symbol" w:char="F062"/>
      </w:r>
      <w:r w:rsidRPr="00C62D22">
        <w:rPr>
          <w:rFonts w:ascii="Times New Roman" w:hAnsi="Times New Roman" w:cs="Times New Roman"/>
          <w:sz w:val="28"/>
          <w:szCs w:val="28"/>
        </w:rPr>
        <w:t>1, IL-6, 8, 10 і 18 у сироватці крові були позитивні зв’язки, причому для всіх показників рівні коефіцієнта кореляції Спірмена були відповідно 0,69, 0,68, 0,57, 0,73 та 0,82 (р</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0,001).</w:t>
      </w:r>
    </w:p>
    <w:p w:rsidR="0021764E" w:rsidRPr="00C62D22" w:rsidRDefault="0021764E" w:rsidP="0021764E">
      <w:pPr>
        <w:shd w:val="clear" w:color="auto" w:fill="FFFFFF"/>
        <w:spacing w:after="0" w:line="360" w:lineRule="auto"/>
        <w:jc w:val="both"/>
        <w:rPr>
          <w:rFonts w:ascii="Times New Roman" w:hAnsi="Times New Roman" w:cs="Times New Roman"/>
          <w:color w:val="000000"/>
          <w:sz w:val="28"/>
          <w:szCs w:val="28"/>
        </w:rPr>
      </w:pPr>
      <w:r w:rsidRPr="00C62D22">
        <w:rPr>
          <w:rFonts w:ascii="Times New Roman" w:hAnsi="Times New Roman" w:cs="Times New Roman"/>
          <w:sz w:val="28"/>
          <w:szCs w:val="28"/>
        </w:rPr>
        <w:pict>
          <v:shape id="_x0000_s1090" type="#_x0000_t202" style="position:absolute;left:0;text-align:left;margin-left:0;margin-top:18.7pt;width:517.4pt;height:226.95pt;z-index:251725824" stroked="f">
            <v:textbox style="mso-next-textbox:#_x0000_s1090;mso-fit-shape-to-text:t">
              <w:txbxContent>
                <w:p w:rsidR="0021764E" w:rsidRDefault="0021764E" w:rsidP="0021764E">
                  <w:pPr>
                    <w:ind w:left="142"/>
                    <w:jc w:val="center"/>
                  </w:pPr>
                  <w:r>
                    <w:rPr>
                      <w:noProof/>
                    </w:rPr>
                    <w:drawing>
                      <wp:inline distT="0" distB="0" distL="0" distR="0">
                        <wp:extent cx="5133975" cy="2638425"/>
                        <wp:effectExtent l="0" t="0" r="0" b="0"/>
                        <wp:docPr id="82" name="Объект 8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txbxContent>
            </v:textbox>
          </v:shape>
        </w:pict>
      </w:r>
    </w:p>
    <w:p w:rsidR="0021764E" w:rsidRPr="00C62D22" w:rsidRDefault="0021764E" w:rsidP="0021764E">
      <w:pPr>
        <w:shd w:val="clear" w:color="auto" w:fill="FFFFFF"/>
        <w:spacing w:after="0" w:line="360" w:lineRule="auto"/>
        <w:ind w:firstLine="709"/>
        <w:jc w:val="both"/>
        <w:rPr>
          <w:rFonts w:ascii="Times New Roman" w:hAnsi="Times New Roman" w:cs="Times New Roman"/>
          <w:color w:val="000000"/>
          <w:sz w:val="28"/>
          <w:szCs w:val="28"/>
        </w:rPr>
      </w:pPr>
    </w:p>
    <w:p w:rsidR="0021764E" w:rsidRPr="00C62D22" w:rsidRDefault="0021764E" w:rsidP="0021764E">
      <w:pPr>
        <w:shd w:val="clear" w:color="auto" w:fill="FFFFFF"/>
        <w:spacing w:after="0" w:line="360" w:lineRule="auto"/>
        <w:ind w:firstLine="709"/>
        <w:jc w:val="both"/>
        <w:rPr>
          <w:rFonts w:ascii="Times New Roman" w:eastAsia="MyriadPro-Bold" w:hAnsi="Times New Roman" w:cs="Times New Roman"/>
          <w:b/>
          <w:bCs/>
          <w:noProof/>
          <w:color w:val="FF0000"/>
          <w:sz w:val="28"/>
          <w:szCs w:val="28"/>
        </w:rPr>
      </w:pPr>
      <w:r w:rsidRPr="00C62D22">
        <w:rPr>
          <w:rFonts w:ascii="Times New Roman" w:hAnsi="Times New Roman" w:cs="Times New Roman"/>
          <w:noProof/>
          <w:sz w:val="28"/>
          <w:szCs w:val="28"/>
        </w:rPr>
        <w:pict>
          <v:shape id="_x0000_s1087" type="#_x0000_t202" style="position:absolute;left:0;text-align:left;margin-left:.4pt;margin-top:10.45pt;width:483pt;height:229.95pt;z-index:251722752" stroked="f">
            <v:textbox style="mso-next-textbox:#_x0000_s1087">
              <w:txbxContent>
                <w:p w:rsidR="0021764E" w:rsidRDefault="0021764E" w:rsidP="0021764E"/>
              </w:txbxContent>
            </v:textbox>
          </v:shape>
        </w:pict>
      </w:r>
    </w:p>
    <w:p w:rsidR="0021764E" w:rsidRPr="00C62D22" w:rsidRDefault="0021764E" w:rsidP="0021764E">
      <w:pPr>
        <w:shd w:val="clear" w:color="auto" w:fill="FFFFFF"/>
        <w:spacing w:after="0" w:line="360" w:lineRule="auto"/>
        <w:ind w:firstLine="709"/>
        <w:jc w:val="both"/>
        <w:rPr>
          <w:rFonts w:ascii="Times New Roman" w:eastAsia="MyriadPro-Bold" w:hAnsi="Times New Roman" w:cs="Times New Roman"/>
          <w:b/>
          <w:bCs/>
          <w:noProof/>
          <w:color w:val="FF0000"/>
          <w:sz w:val="28"/>
          <w:szCs w:val="28"/>
        </w:rPr>
      </w:pPr>
    </w:p>
    <w:p w:rsidR="0021764E" w:rsidRPr="00C62D22" w:rsidRDefault="0021764E" w:rsidP="0021764E">
      <w:pPr>
        <w:shd w:val="clear" w:color="auto" w:fill="FFFFFF"/>
        <w:spacing w:after="0" w:line="360" w:lineRule="auto"/>
        <w:ind w:firstLine="709"/>
        <w:jc w:val="both"/>
        <w:rPr>
          <w:rFonts w:ascii="Times New Roman" w:eastAsia="MyriadPro-Bold" w:hAnsi="Times New Roman" w:cs="Times New Roman"/>
          <w:b/>
          <w:bCs/>
          <w:noProof/>
          <w:color w:val="FF0000"/>
          <w:sz w:val="28"/>
          <w:szCs w:val="28"/>
        </w:rPr>
      </w:pPr>
    </w:p>
    <w:p w:rsidR="0021764E" w:rsidRPr="00C62D22" w:rsidRDefault="0021764E" w:rsidP="0021764E">
      <w:pPr>
        <w:shd w:val="clear" w:color="auto" w:fill="FFFFFF"/>
        <w:spacing w:after="0" w:line="360" w:lineRule="auto"/>
        <w:ind w:firstLine="709"/>
        <w:jc w:val="both"/>
        <w:rPr>
          <w:rFonts w:ascii="Times New Roman" w:eastAsia="MyriadPro-Bold" w:hAnsi="Times New Roman" w:cs="Times New Roman"/>
          <w:b/>
          <w:bCs/>
          <w:noProof/>
          <w:color w:val="FF0000"/>
          <w:sz w:val="28"/>
          <w:szCs w:val="28"/>
        </w:rPr>
      </w:pPr>
    </w:p>
    <w:p w:rsidR="0021764E" w:rsidRPr="00C62D22" w:rsidRDefault="0021764E" w:rsidP="0021764E">
      <w:pPr>
        <w:shd w:val="clear" w:color="auto" w:fill="FFFFFF"/>
        <w:spacing w:after="0" w:line="360" w:lineRule="auto"/>
        <w:ind w:firstLine="709"/>
        <w:jc w:val="both"/>
        <w:rPr>
          <w:rFonts w:ascii="Times New Roman" w:eastAsia="MyriadPro-Bold" w:hAnsi="Times New Roman" w:cs="Times New Roman"/>
          <w:b/>
          <w:bCs/>
          <w:noProof/>
          <w:color w:val="FF0000"/>
          <w:sz w:val="28"/>
          <w:szCs w:val="28"/>
        </w:rPr>
      </w:pPr>
    </w:p>
    <w:p w:rsidR="0021764E" w:rsidRPr="00C62D22" w:rsidRDefault="0021764E" w:rsidP="0021764E">
      <w:pPr>
        <w:shd w:val="clear" w:color="auto" w:fill="FFFFFF"/>
        <w:spacing w:after="0" w:line="360" w:lineRule="auto"/>
        <w:ind w:firstLine="709"/>
        <w:jc w:val="both"/>
        <w:rPr>
          <w:rFonts w:ascii="Times New Roman" w:eastAsia="MyriadPro-Bold" w:hAnsi="Times New Roman" w:cs="Times New Roman"/>
          <w:b/>
          <w:bCs/>
          <w:noProof/>
          <w:color w:val="FF0000"/>
          <w:sz w:val="28"/>
          <w:szCs w:val="28"/>
        </w:rPr>
      </w:pPr>
    </w:p>
    <w:p w:rsidR="0021764E" w:rsidRPr="00C62D22" w:rsidRDefault="0021764E" w:rsidP="0021764E">
      <w:pPr>
        <w:shd w:val="clear" w:color="auto" w:fill="FFFFFF"/>
        <w:spacing w:after="0" w:line="360" w:lineRule="auto"/>
        <w:ind w:firstLine="709"/>
        <w:jc w:val="both"/>
        <w:rPr>
          <w:rFonts w:ascii="Times New Roman" w:hAnsi="Times New Roman" w:cs="Times New Roman"/>
          <w:color w:val="000000"/>
          <w:sz w:val="28"/>
          <w:szCs w:val="28"/>
        </w:rPr>
      </w:pPr>
    </w:p>
    <w:p w:rsidR="0021764E" w:rsidRPr="00C62D22" w:rsidRDefault="0021764E" w:rsidP="0021764E">
      <w:pPr>
        <w:shd w:val="clear" w:color="auto" w:fill="FFFFFF"/>
        <w:spacing w:after="0" w:line="360" w:lineRule="auto"/>
        <w:ind w:firstLine="709"/>
        <w:jc w:val="both"/>
        <w:rPr>
          <w:rFonts w:ascii="Times New Roman" w:hAnsi="Times New Roman" w:cs="Times New Roman"/>
          <w:color w:val="000000"/>
          <w:sz w:val="28"/>
          <w:szCs w:val="28"/>
        </w:rPr>
      </w:pPr>
      <w:r w:rsidRPr="00C62D22">
        <w:rPr>
          <w:rFonts w:ascii="Times New Roman" w:hAnsi="Times New Roman" w:cs="Times New Roman"/>
          <w:noProof/>
          <w:sz w:val="28"/>
          <w:szCs w:val="28"/>
        </w:rPr>
        <w:pict>
          <v:shape id="_x0000_s1091" type="#_x0000_t202" style="position:absolute;left:0;text-align:left;margin-left:9pt;margin-top:18.65pt;width:495pt;height:54pt;z-index:251726848" stroked="f">
            <v:textbox style="mso-next-textbox:#_x0000_s1091">
              <w:txbxContent>
                <w:p w:rsidR="0021764E" w:rsidRPr="000F4969" w:rsidRDefault="0021764E" w:rsidP="0021764E">
                  <w:pPr>
                    <w:spacing w:line="360" w:lineRule="auto"/>
                    <w:jc w:val="right"/>
                    <w:rPr>
                      <w:rFonts w:ascii="Times New Roman" w:hAnsi="Times New Roman"/>
                      <w:sz w:val="28"/>
                      <w:szCs w:val="28"/>
                    </w:rPr>
                  </w:pPr>
                  <w:r>
                    <w:rPr>
                      <w:rFonts w:ascii="Times New Roman" w:hAnsi="Times New Roman"/>
                      <w:sz w:val="28"/>
                      <w:szCs w:val="28"/>
                    </w:rPr>
                    <w:t>Рис. 4.2. Коефіцієнти кореляції Спірмена показників, які досл</w:t>
                  </w:r>
                  <w:r>
                    <w:rPr>
                      <w:rFonts w:ascii="Times New Roman" w:hAnsi="Times New Roman"/>
                      <w:sz w:val="28"/>
                      <w:szCs w:val="28"/>
                    </w:rPr>
                    <w:t>і</w:t>
                  </w:r>
                  <w:r>
                    <w:rPr>
                      <w:rFonts w:ascii="Times New Roman" w:hAnsi="Times New Roman"/>
                      <w:sz w:val="28"/>
                      <w:szCs w:val="28"/>
                    </w:rPr>
                    <w:t xml:space="preserve">джувались, залежно від тяжкості стану хворих за шкалою </w:t>
                  </w:r>
                  <w:r>
                    <w:rPr>
                      <w:rFonts w:ascii="Times New Roman" w:hAnsi="Times New Roman"/>
                      <w:sz w:val="28"/>
                      <w:szCs w:val="28"/>
                      <w:lang w:val="en-US"/>
                    </w:rPr>
                    <w:t>SOFA</w:t>
                  </w:r>
                </w:p>
                <w:p w:rsidR="0021764E" w:rsidRDefault="0021764E" w:rsidP="0021764E"/>
              </w:txbxContent>
            </v:textbox>
          </v:shape>
        </w:pict>
      </w:r>
    </w:p>
    <w:p w:rsidR="0021764E" w:rsidRPr="00C62D22" w:rsidRDefault="0021764E" w:rsidP="0021764E">
      <w:pPr>
        <w:shd w:val="clear" w:color="auto" w:fill="FFFFFF"/>
        <w:spacing w:after="0" w:line="360" w:lineRule="auto"/>
        <w:ind w:firstLine="709"/>
        <w:jc w:val="both"/>
        <w:rPr>
          <w:rFonts w:ascii="Times New Roman" w:hAnsi="Times New Roman" w:cs="Times New Roman"/>
          <w:color w:val="000000"/>
          <w:sz w:val="28"/>
          <w:szCs w:val="28"/>
        </w:rPr>
      </w:pPr>
    </w:p>
    <w:p w:rsidR="0021764E" w:rsidRPr="00C62D22" w:rsidRDefault="0021764E" w:rsidP="0021764E">
      <w:pPr>
        <w:shd w:val="clear" w:color="auto" w:fill="FFFFFF"/>
        <w:spacing w:after="0" w:line="360" w:lineRule="auto"/>
        <w:ind w:firstLine="709"/>
        <w:jc w:val="both"/>
        <w:rPr>
          <w:rFonts w:ascii="Times New Roman" w:hAnsi="Times New Roman" w:cs="Times New Roman"/>
          <w:color w:val="000000"/>
          <w:sz w:val="28"/>
          <w:szCs w:val="28"/>
        </w:rPr>
      </w:pPr>
    </w:p>
    <w:p w:rsidR="0021764E" w:rsidRPr="00C62D22" w:rsidRDefault="0021764E" w:rsidP="0021764E">
      <w:pPr>
        <w:pStyle w:val="2"/>
        <w:spacing w:after="0" w:line="360" w:lineRule="auto"/>
        <w:jc w:val="both"/>
        <w:rPr>
          <w:color w:val="000000"/>
          <w:szCs w:val="28"/>
          <w:lang w:val="uk-UA"/>
        </w:rPr>
      </w:pPr>
    </w:p>
    <w:p w:rsidR="0021764E" w:rsidRPr="00C62D22" w:rsidRDefault="0021764E" w:rsidP="0021764E">
      <w:pPr>
        <w:pStyle w:val="2"/>
        <w:spacing w:after="0" w:line="360" w:lineRule="auto"/>
        <w:ind w:firstLine="709"/>
        <w:jc w:val="both"/>
        <w:rPr>
          <w:color w:val="000000"/>
          <w:szCs w:val="28"/>
          <w:lang w:val="uk-UA"/>
        </w:rPr>
      </w:pPr>
    </w:p>
    <w:p w:rsidR="0021764E" w:rsidRPr="00C62D22" w:rsidRDefault="0021764E" w:rsidP="0021764E">
      <w:pPr>
        <w:pStyle w:val="2"/>
        <w:spacing w:after="0" w:line="360" w:lineRule="auto"/>
        <w:ind w:firstLine="709"/>
        <w:jc w:val="both"/>
        <w:rPr>
          <w:szCs w:val="28"/>
          <w:lang w:val="uk-UA"/>
        </w:rPr>
      </w:pPr>
      <w:r w:rsidRPr="00C62D22">
        <w:rPr>
          <w:color w:val="000000"/>
          <w:szCs w:val="28"/>
          <w:lang w:val="uk-UA"/>
        </w:rPr>
        <w:t>З метою оцінки аутоімунної активації ми розрахували показник спі</w:t>
      </w:r>
      <w:r w:rsidRPr="00C62D22">
        <w:rPr>
          <w:color w:val="000000"/>
          <w:szCs w:val="28"/>
          <w:lang w:val="uk-UA"/>
        </w:rPr>
        <w:t>в</w:t>
      </w:r>
      <w:r w:rsidRPr="00C62D22">
        <w:rPr>
          <w:color w:val="000000"/>
          <w:szCs w:val="28"/>
          <w:lang w:val="uk-UA"/>
        </w:rPr>
        <w:t xml:space="preserve">відношення рівня </w:t>
      </w:r>
      <w:r w:rsidRPr="00C62D22">
        <w:rPr>
          <w:color w:val="000000"/>
          <w:szCs w:val="28"/>
          <w:lang w:val="en-US"/>
        </w:rPr>
        <w:t>IL</w:t>
      </w:r>
      <w:r w:rsidRPr="00C62D22">
        <w:rPr>
          <w:color w:val="000000"/>
          <w:szCs w:val="28"/>
          <w:lang w:val="uk-UA"/>
        </w:rPr>
        <w:t>-18/</w:t>
      </w:r>
      <w:r w:rsidRPr="00C62D22">
        <w:rPr>
          <w:color w:val="000000"/>
          <w:szCs w:val="28"/>
          <w:lang w:val="en-US"/>
        </w:rPr>
        <w:t>IL</w:t>
      </w:r>
      <w:r w:rsidRPr="00C62D22">
        <w:rPr>
          <w:color w:val="000000"/>
          <w:szCs w:val="28"/>
          <w:lang w:val="uk-UA"/>
        </w:rPr>
        <w:t>-10.</w:t>
      </w:r>
      <w:r w:rsidRPr="00C62D22">
        <w:rPr>
          <w:color w:val="FF0000"/>
          <w:szCs w:val="28"/>
          <w:lang w:val="uk-UA"/>
        </w:rPr>
        <w:t xml:space="preserve"> </w:t>
      </w:r>
      <w:r w:rsidRPr="00C62D22">
        <w:rPr>
          <w:rStyle w:val="hps"/>
          <w:color w:val="222222"/>
          <w:szCs w:val="28"/>
          <w:lang w:val="uk-UA"/>
        </w:rPr>
        <w:t>При</w:t>
      </w:r>
      <w:r w:rsidRPr="00C62D22">
        <w:rPr>
          <w:color w:val="222222"/>
          <w:szCs w:val="28"/>
          <w:lang w:val="uk-UA"/>
        </w:rPr>
        <w:t xml:space="preserve"> </w:t>
      </w:r>
      <w:r w:rsidRPr="00C62D22">
        <w:rPr>
          <w:rStyle w:val="hps"/>
          <w:color w:val="222222"/>
          <w:szCs w:val="28"/>
          <w:lang w:val="uk-UA"/>
        </w:rPr>
        <w:t>вивченні взаємозв'язків</w:t>
      </w:r>
      <w:r w:rsidRPr="00C62D22">
        <w:rPr>
          <w:color w:val="222222"/>
          <w:szCs w:val="28"/>
          <w:lang w:val="uk-UA"/>
        </w:rPr>
        <w:t xml:space="preserve"> </w:t>
      </w:r>
      <w:r w:rsidRPr="00C62D22">
        <w:rPr>
          <w:rStyle w:val="hps"/>
          <w:color w:val="222222"/>
          <w:szCs w:val="28"/>
          <w:lang w:val="uk-UA"/>
        </w:rPr>
        <w:t>між показниками</w:t>
      </w:r>
      <w:r w:rsidRPr="00C62D22">
        <w:rPr>
          <w:color w:val="222222"/>
          <w:szCs w:val="28"/>
          <w:lang w:val="uk-UA"/>
        </w:rPr>
        <w:t xml:space="preserve"> </w:t>
      </w:r>
      <w:r w:rsidRPr="00C62D22">
        <w:rPr>
          <w:rStyle w:val="hps"/>
          <w:color w:val="222222"/>
          <w:szCs w:val="28"/>
          <w:lang w:val="uk-UA"/>
        </w:rPr>
        <w:t>встановлена наявність</w:t>
      </w:r>
      <w:r w:rsidRPr="00C62D22">
        <w:rPr>
          <w:color w:val="222222"/>
          <w:szCs w:val="28"/>
          <w:lang w:val="uk-UA"/>
        </w:rPr>
        <w:t xml:space="preserve"> </w:t>
      </w:r>
      <w:r w:rsidRPr="00C62D22">
        <w:rPr>
          <w:rStyle w:val="hps"/>
          <w:color w:val="222222"/>
          <w:szCs w:val="28"/>
          <w:lang w:val="uk-UA"/>
        </w:rPr>
        <w:t>достовірних</w:t>
      </w:r>
      <w:r w:rsidRPr="00C62D22">
        <w:rPr>
          <w:color w:val="222222"/>
          <w:szCs w:val="28"/>
          <w:lang w:val="uk-UA"/>
        </w:rPr>
        <w:t xml:space="preserve"> </w:t>
      </w:r>
      <w:r w:rsidRPr="00C62D22">
        <w:rPr>
          <w:rStyle w:val="hps"/>
          <w:color w:val="222222"/>
          <w:szCs w:val="28"/>
          <w:lang w:val="uk-UA"/>
        </w:rPr>
        <w:t>кореляційних</w:t>
      </w:r>
      <w:r w:rsidRPr="00C62D22">
        <w:rPr>
          <w:color w:val="222222"/>
          <w:szCs w:val="28"/>
          <w:lang w:val="uk-UA"/>
        </w:rPr>
        <w:t xml:space="preserve"> </w:t>
      </w:r>
      <w:r w:rsidRPr="00C62D22">
        <w:rPr>
          <w:rStyle w:val="hps"/>
          <w:color w:val="222222"/>
          <w:szCs w:val="28"/>
          <w:lang w:val="uk-UA"/>
        </w:rPr>
        <w:t>взаємозв'язків</w:t>
      </w:r>
      <w:r w:rsidRPr="00C62D22">
        <w:rPr>
          <w:color w:val="222222"/>
          <w:szCs w:val="28"/>
          <w:lang w:val="uk-UA"/>
        </w:rPr>
        <w:t xml:space="preserve"> </w:t>
      </w:r>
      <w:r w:rsidRPr="00C62D22">
        <w:rPr>
          <w:rStyle w:val="hps"/>
          <w:color w:val="222222"/>
          <w:szCs w:val="28"/>
          <w:lang w:val="uk-UA"/>
        </w:rPr>
        <w:t>між вмістом</w:t>
      </w:r>
      <w:r w:rsidRPr="00C62D22">
        <w:rPr>
          <w:color w:val="222222"/>
          <w:szCs w:val="28"/>
          <w:lang w:val="uk-UA"/>
        </w:rPr>
        <w:t xml:space="preserve"> </w:t>
      </w:r>
      <w:r w:rsidRPr="00C62D22">
        <w:rPr>
          <w:szCs w:val="28"/>
          <w:lang w:val="en-US"/>
        </w:rPr>
        <w:t>IL</w:t>
      </w:r>
      <w:r w:rsidRPr="00C62D22">
        <w:rPr>
          <w:szCs w:val="28"/>
          <w:lang w:val="uk-UA"/>
        </w:rPr>
        <w:t xml:space="preserve">-18 </w:t>
      </w:r>
      <w:r w:rsidRPr="00C62D22">
        <w:rPr>
          <w:color w:val="222222"/>
          <w:szCs w:val="28"/>
          <w:lang w:val="uk-UA"/>
        </w:rPr>
        <w:t xml:space="preserve">і </w:t>
      </w:r>
      <w:r w:rsidRPr="00C62D22">
        <w:rPr>
          <w:szCs w:val="28"/>
          <w:lang w:val="en-US"/>
        </w:rPr>
        <w:t>IL</w:t>
      </w:r>
      <w:r w:rsidRPr="00C62D22">
        <w:rPr>
          <w:szCs w:val="28"/>
          <w:lang w:val="uk-UA"/>
        </w:rPr>
        <w:t>-10 (табл. 4.3).</w:t>
      </w:r>
    </w:p>
    <w:p w:rsidR="0021764E" w:rsidRPr="00C62D22" w:rsidRDefault="0021764E" w:rsidP="0021764E">
      <w:pPr>
        <w:pStyle w:val="2"/>
        <w:spacing w:after="0" w:line="360" w:lineRule="auto"/>
        <w:ind w:firstLine="709"/>
        <w:jc w:val="both"/>
        <w:rPr>
          <w:szCs w:val="28"/>
          <w:lang w:val="uk-UA"/>
        </w:rPr>
      </w:pPr>
    </w:p>
    <w:p w:rsidR="0021764E" w:rsidRPr="00C62D22" w:rsidRDefault="0021764E" w:rsidP="0021764E">
      <w:pPr>
        <w:spacing w:after="0"/>
        <w:jc w:val="right"/>
        <w:rPr>
          <w:rFonts w:ascii="Times New Roman" w:hAnsi="Times New Roman" w:cs="Times New Roman"/>
          <w:i/>
          <w:sz w:val="28"/>
          <w:szCs w:val="28"/>
          <w:lang w:val="uk-UA"/>
        </w:rPr>
      </w:pPr>
      <w:r w:rsidRPr="00C62D22">
        <w:rPr>
          <w:rFonts w:ascii="Times New Roman" w:hAnsi="Times New Roman" w:cs="Times New Roman"/>
          <w:i/>
          <w:sz w:val="28"/>
          <w:szCs w:val="28"/>
          <w:lang w:val="uk-UA"/>
        </w:rPr>
        <w:t>Таблиця 4.3</w:t>
      </w:r>
    </w:p>
    <w:p w:rsidR="0021764E" w:rsidRPr="00C62D22" w:rsidRDefault="0021764E" w:rsidP="0021764E">
      <w:pPr>
        <w:spacing w:after="0" w:line="360" w:lineRule="auto"/>
        <w:jc w:val="center"/>
        <w:rPr>
          <w:rFonts w:ascii="Times New Roman" w:hAnsi="Times New Roman" w:cs="Times New Roman"/>
          <w:b/>
          <w:sz w:val="28"/>
          <w:szCs w:val="28"/>
          <w:lang w:val="uk-UA"/>
        </w:rPr>
      </w:pPr>
      <w:r w:rsidRPr="00C62D22">
        <w:rPr>
          <w:rFonts w:ascii="Times New Roman" w:hAnsi="Times New Roman" w:cs="Times New Roman"/>
          <w:b/>
          <w:sz w:val="28"/>
          <w:szCs w:val="28"/>
          <w:lang w:val="uk-UA"/>
        </w:rPr>
        <w:lastRenderedPageBreak/>
        <w:t xml:space="preserve">Внутрішньогрупові кореляційні зв'язки між рівнями </w:t>
      </w:r>
      <w:r w:rsidRPr="00C62D22">
        <w:rPr>
          <w:rFonts w:ascii="Times New Roman" w:hAnsi="Times New Roman" w:cs="Times New Roman"/>
          <w:b/>
          <w:sz w:val="28"/>
          <w:szCs w:val="28"/>
          <w:lang w:val="en-US"/>
        </w:rPr>
        <w:t>IL</w:t>
      </w:r>
      <w:r w:rsidRPr="00C62D22">
        <w:rPr>
          <w:rFonts w:ascii="Times New Roman" w:hAnsi="Times New Roman" w:cs="Times New Roman"/>
          <w:b/>
          <w:sz w:val="28"/>
          <w:szCs w:val="28"/>
          <w:lang w:val="uk-UA"/>
        </w:rPr>
        <w:t xml:space="preserve">-18 та </w:t>
      </w:r>
      <w:r w:rsidRPr="00C62D22">
        <w:rPr>
          <w:rFonts w:ascii="Times New Roman" w:hAnsi="Times New Roman" w:cs="Times New Roman"/>
          <w:b/>
          <w:sz w:val="28"/>
          <w:szCs w:val="28"/>
          <w:lang w:val="en-US"/>
        </w:rPr>
        <w:t>IL</w:t>
      </w:r>
      <w:r w:rsidRPr="00C62D22">
        <w:rPr>
          <w:rFonts w:ascii="Times New Roman" w:hAnsi="Times New Roman" w:cs="Times New Roman"/>
          <w:b/>
          <w:sz w:val="28"/>
          <w:szCs w:val="28"/>
          <w:lang w:val="uk-UA"/>
        </w:rPr>
        <w:t>-10 у крові хворих на ПК ПЗ</w:t>
      </w:r>
    </w:p>
    <w:tbl>
      <w:tblPr>
        <w:tblW w:w="0" w:type="auto"/>
        <w:tblInd w:w="6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179"/>
        <w:gridCol w:w="3196"/>
        <w:gridCol w:w="3196"/>
      </w:tblGrid>
      <w:tr w:rsidR="0021764E" w:rsidRPr="00C62D22" w:rsidTr="006E5FD4">
        <w:tc>
          <w:tcPr>
            <w:tcW w:w="9571" w:type="dxa"/>
            <w:gridSpan w:val="3"/>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b/>
                <w:sz w:val="28"/>
                <w:szCs w:val="28"/>
                <w:lang w:val="en-US"/>
              </w:rPr>
              <w:t>I</w:t>
            </w:r>
            <w:r w:rsidRPr="00C62D22">
              <w:rPr>
                <w:rFonts w:ascii="Times New Roman" w:hAnsi="Times New Roman" w:cs="Times New Roman"/>
                <w:b/>
                <w:sz w:val="28"/>
                <w:szCs w:val="28"/>
              </w:rPr>
              <w:t xml:space="preserve"> тип ПК ПЗ</w:t>
            </w:r>
          </w:p>
        </w:tc>
      </w:tr>
      <w:tr w:rsidR="0021764E" w:rsidRPr="00C62D22" w:rsidTr="006E5FD4">
        <w:tc>
          <w:tcPr>
            <w:tcW w:w="3179"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Цитокіни</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-18</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-10</w:t>
            </w:r>
          </w:p>
        </w:tc>
      </w:tr>
      <w:tr w:rsidR="0021764E" w:rsidRPr="00C62D22" w:rsidTr="006E5FD4">
        <w:tc>
          <w:tcPr>
            <w:tcW w:w="3179"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-18</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b/>
                <w:sz w:val="28"/>
                <w:szCs w:val="28"/>
              </w:rPr>
              <w:t>1,0000</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color w:val="000000"/>
                <w:sz w:val="28"/>
                <w:szCs w:val="28"/>
              </w:rPr>
              <w:t xml:space="preserve">0,65, </w:t>
            </w:r>
            <w:r w:rsidRPr="00C62D22">
              <w:rPr>
                <w:rFonts w:ascii="Times New Roman" w:hAnsi="Times New Roman" w:cs="Times New Roman"/>
                <w:color w:val="000000"/>
                <w:sz w:val="28"/>
                <w:szCs w:val="28"/>
                <w:lang w:val="en-US"/>
              </w:rPr>
              <w:t>p</w:t>
            </w:r>
            <w:r w:rsidRPr="00C62D22">
              <w:rPr>
                <w:rFonts w:ascii="Times New Roman" w:hAnsi="Times New Roman" w:cs="Times New Roman"/>
                <w:color w:val="000000"/>
                <w:sz w:val="28"/>
                <w:szCs w:val="28"/>
                <w:lang w:val="en-US"/>
              </w:rPr>
              <w:sym w:font="Symbol" w:char="F03C"/>
            </w:r>
            <w:r w:rsidRPr="00C62D22">
              <w:rPr>
                <w:rFonts w:ascii="Times New Roman" w:hAnsi="Times New Roman" w:cs="Times New Roman"/>
                <w:color w:val="000000"/>
                <w:sz w:val="28"/>
                <w:szCs w:val="28"/>
              </w:rPr>
              <w:t>0</w:t>
            </w:r>
            <w:r w:rsidRPr="00C62D22">
              <w:rPr>
                <w:rFonts w:ascii="Times New Roman" w:hAnsi="Times New Roman" w:cs="Times New Roman"/>
                <w:color w:val="000000"/>
                <w:sz w:val="28"/>
                <w:szCs w:val="28"/>
                <w:lang w:val="en-US"/>
              </w:rPr>
              <w:t>,</w:t>
            </w:r>
            <w:r w:rsidRPr="00C62D22">
              <w:rPr>
                <w:rFonts w:ascii="Times New Roman" w:hAnsi="Times New Roman" w:cs="Times New Roman"/>
                <w:color w:val="000000"/>
                <w:sz w:val="28"/>
                <w:szCs w:val="28"/>
              </w:rPr>
              <w:t>05</w:t>
            </w:r>
          </w:p>
        </w:tc>
      </w:tr>
      <w:tr w:rsidR="0021764E" w:rsidRPr="00C62D22" w:rsidTr="006E5FD4">
        <w:tc>
          <w:tcPr>
            <w:tcW w:w="3179"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-10</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color w:val="000000"/>
                <w:sz w:val="28"/>
                <w:szCs w:val="28"/>
              </w:rPr>
              <w:t xml:space="preserve">0,65, </w:t>
            </w:r>
            <w:r w:rsidRPr="00C62D22">
              <w:rPr>
                <w:rFonts w:ascii="Times New Roman" w:hAnsi="Times New Roman" w:cs="Times New Roman"/>
                <w:color w:val="000000"/>
                <w:sz w:val="28"/>
                <w:szCs w:val="28"/>
                <w:lang w:val="en-US"/>
              </w:rPr>
              <w:t>p</w:t>
            </w:r>
            <w:r w:rsidRPr="00C62D22">
              <w:rPr>
                <w:rFonts w:ascii="Times New Roman" w:hAnsi="Times New Roman" w:cs="Times New Roman"/>
                <w:color w:val="000000"/>
                <w:sz w:val="28"/>
                <w:szCs w:val="28"/>
                <w:lang w:val="en-US"/>
              </w:rPr>
              <w:sym w:font="Symbol" w:char="F03C"/>
            </w:r>
            <w:r w:rsidRPr="00C62D22">
              <w:rPr>
                <w:rFonts w:ascii="Times New Roman" w:hAnsi="Times New Roman" w:cs="Times New Roman"/>
                <w:color w:val="000000"/>
                <w:sz w:val="28"/>
                <w:szCs w:val="28"/>
              </w:rPr>
              <w:t>0</w:t>
            </w:r>
            <w:r w:rsidRPr="00C62D22">
              <w:rPr>
                <w:rFonts w:ascii="Times New Roman" w:hAnsi="Times New Roman" w:cs="Times New Roman"/>
                <w:color w:val="000000"/>
                <w:sz w:val="28"/>
                <w:szCs w:val="28"/>
                <w:lang w:val="en-US"/>
              </w:rPr>
              <w:t>,</w:t>
            </w:r>
            <w:r w:rsidRPr="00C62D22">
              <w:rPr>
                <w:rFonts w:ascii="Times New Roman" w:hAnsi="Times New Roman" w:cs="Times New Roman"/>
                <w:color w:val="000000"/>
                <w:sz w:val="28"/>
                <w:szCs w:val="28"/>
              </w:rPr>
              <w:t>05</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b/>
                <w:sz w:val="28"/>
                <w:szCs w:val="28"/>
              </w:rPr>
              <w:t>1,0000</w:t>
            </w:r>
          </w:p>
        </w:tc>
      </w:tr>
      <w:tr w:rsidR="0021764E" w:rsidRPr="00C62D22" w:rsidTr="006E5FD4">
        <w:tc>
          <w:tcPr>
            <w:tcW w:w="9571" w:type="dxa"/>
            <w:gridSpan w:val="3"/>
          </w:tcPr>
          <w:p w:rsidR="0021764E" w:rsidRPr="00C62D22" w:rsidRDefault="0021764E" w:rsidP="006E5FD4">
            <w:pPr>
              <w:spacing w:after="0" w:line="240" w:lineRule="auto"/>
              <w:jc w:val="center"/>
              <w:rPr>
                <w:rFonts w:ascii="Times New Roman" w:hAnsi="Times New Roman" w:cs="Times New Roman"/>
                <w:b/>
                <w:sz w:val="28"/>
                <w:szCs w:val="28"/>
              </w:rPr>
            </w:pPr>
            <w:r w:rsidRPr="00C62D22">
              <w:rPr>
                <w:rFonts w:ascii="Times New Roman" w:hAnsi="Times New Roman" w:cs="Times New Roman"/>
                <w:b/>
                <w:sz w:val="28"/>
                <w:szCs w:val="28"/>
                <w:lang w:val="en-US"/>
              </w:rPr>
              <w:t>II</w:t>
            </w:r>
            <w:r w:rsidRPr="00C62D22">
              <w:rPr>
                <w:rFonts w:ascii="Times New Roman" w:hAnsi="Times New Roman" w:cs="Times New Roman"/>
                <w:b/>
                <w:sz w:val="28"/>
                <w:szCs w:val="28"/>
              </w:rPr>
              <w:t xml:space="preserve"> тип ПК ПЗ</w:t>
            </w:r>
          </w:p>
        </w:tc>
      </w:tr>
      <w:tr w:rsidR="0021764E" w:rsidRPr="00C62D22" w:rsidTr="006E5FD4">
        <w:tc>
          <w:tcPr>
            <w:tcW w:w="3179" w:type="dxa"/>
          </w:tcPr>
          <w:p w:rsidR="0021764E" w:rsidRPr="00C62D22" w:rsidRDefault="0021764E" w:rsidP="006E5FD4">
            <w:pPr>
              <w:spacing w:after="0" w:line="240" w:lineRule="auto"/>
              <w:jc w:val="center"/>
              <w:rPr>
                <w:rFonts w:ascii="Times New Roman" w:hAnsi="Times New Roman" w:cs="Times New Roman"/>
                <w:sz w:val="28"/>
                <w:szCs w:val="28"/>
              </w:rPr>
            </w:pP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-18</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-10</w:t>
            </w:r>
          </w:p>
        </w:tc>
      </w:tr>
      <w:tr w:rsidR="0021764E" w:rsidRPr="00C62D22" w:rsidTr="006E5FD4">
        <w:tc>
          <w:tcPr>
            <w:tcW w:w="3179"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-18</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b/>
                <w:sz w:val="28"/>
                <w:szCs w:val="28"/>
              </w:rPr>
              <w:t>1,0000</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color w:val="000000"/>
                <w:sz w:val="28"/>
                <w:szCs w:val="28"/>
              </w:rPr>
              <w:t xml:space="preserve">0,66, </w:t>
            </w:r>
            <w:r w:rsidRPr="00C62D22">
              <w:rPr>
                <w:rFonts w:ascii="Times New Roman" w:hAnsi="Times New Roman" w:cs="Times New Roman"/>
                <w:color w:val="000000"/>
                <w:sz w:val="28"/>
                <w:szCs w:val="28"/>
                <w:lang w:val="en-US"/>
              </w:rPr>
              <w:t>p</w:t>
            </w:r>
            <w:r w:rsidRPr="00C62D22">
              <w:rPr>
                <w:rFonts w:ascii="Times New Roman" w:hAnsi="Times New Roman" w:cs="Times New Roman"/>
                <w:color w:val="000000"/>
                <w:sz w:val="28"/>
                <w:szCs w:val="28"/>
                <w:lang w:val="en-US"/>
              </w:rPr>
              <w:sym w:font="Symbol" w:char="F03C"/>
            </w:r>
            <w:r w:rsidRPr="00C62D22">
              <w:rPr>
                <w:rFonts w:ascii="Times New Roman" w:hAnsi="Times New Roman" w:cs="Times New Roman"/>
                <w:color w:val="000000"/>
                <w:sz w:val="28"/>
                <w:szCs w:val="28"/>
              </w:rPr>
              <w:t>0</w:t>
            </w:r>
            <w:r w:rsidRPr="00C62D22">
              <w:rPr>
                <w:rFonts w:ascii="Times New Roman" w:hAnsi="Times New Roman" w:cs="Times New Roman"/>
                <w:color w:val="000000"/>
                <w:sz w:val="28"/>
                <w:szCs w:val="28"/>
                <w:lang w:val="en-US"/>
              </w:rPr>
              <w:t>,</w:t>
            </w:r>
            <w:r w:rsidRPr="00C62D22">
              <w:rPr>
                <w:rFonts w:ascii="Times New Roman" w:hAnsi="Times New Roman" w:cs="Times New Roman"/>
                <w:color w:val="000000"/>
                <w:sz w:val="28"/>
                <w:szCs w:val="28"/>
              </w:rPr>
              <w:t>05</w:t>
            </w:r>
          </w:p>
        </w:tc>
      </w:tr>
      <w:tr w:rsidR="0021764E" w:rsidRPr="00C62D22" w:rsidTr="006E5FD4">
        <w:tc>
          <w:tcPr>
            <w:tcW w:w="3179"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-10</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color w:val="000000"/>
                <w:sz w:val="28"/>
                <w:szCs w:val="28"/>
              </w:rPr>
              <w:t xml:space="preserve">0,66, </w:t>
            </w:r>
            <w:r w:rsidRPr="00C62D22">
              <w:rPr>
                <w:rFonts w:ascii="Times New Roman" w:hAnsi="Times New Roman" w:cs="Times New Roman"/>
                <w:color w:val="000000"/>
                <w:sz w:val="28"/>
                <w:szCs w:val="28"/>
                <w:lang w:val="en-US"/>
              </w:rPr>
              <w:t>p</w:t>
            </w:r>
            <w:r w:rsidRPr="00C62D22">
              <w:rPr>
                <w:rFonts w:ascii="Times New Roman" w:hAnsi="Times New Roman" w:cs="Times New Roman"/>
                <w:color w:val="000000"/>
                <w:sz w:val="28"/>
                <w:szCs w:val="28"/>
                <w:lang w:val="en-US"/>
              </w:rPr>
              <w:sym w:font="Symbol" w:char="F03C"/>
            </w:r>
            <w:r w:rsidRPr="00C62D22">
              <w:rPr>
                <w:rFonts w:ascii="Times New Roman" w:hAnsi="Times New Roman" w:cs="Times New Roman"/>
                <w:color w:val="000000"/>
                <w:sz w:val="28"/>
                <w:szCs w:val="28"/>
              </w:rPr>
              <w:t>0</w:t>
            </w:r>
            <w:r w:rsidRPr="00C62D22">
              <w:rPr>
                <w:rFonts w:ascii="Times New Roman" w:hAnsi="Times New Roman" w:cs="Times New Roman"/>
                <w:color w:val="000000"/>
                <w:sz w:val="28"/>
                <w:szCs w:val="28"/>
                <w:lang w:val="en-US"/>
              </w:rPr>
              <w:t>,</w:t>
            </w:r>
            <w:r w:rsidRPr="00C62D22">
              <w:rPr>
                <w:rFonts w:ascii="Times New Roman" w:hAnsi="Times New Roman" w:cs="Times New Roman"/>
                <w:color w:val="000000"/>
                <w:sz w:val="28"/>
                <w:szCs w:val="28"/>
              </w:rPr>
              <w:t>05</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b/>
                <w:sz w:val="28"/>
                <w:szCs w:val="28"/>
              </w:rPr>
              <w:t>1,0000</w:t>
            </w:r>
          </w:p>
        </w:tc>
      </w:tr>
      <w:tr w:rsidR="0021764E" w:rsidRPr="00C62D22" w:rsidTr="006E5FD4">
        <w:tc>
          <w:tcPr>
            <w:tcW w:w="9571" w:type="dxa"/>
            <w:gridSpan w:val="3"/>
          </w:tcPr>
          <w:p w:rsidR="0021764E" w:rsidRPr="00C62D22" w:rsidRDefault="0021764E" w:rsidP="006E5FD4">
            <w:pPr>
              <w:spacing w:after="0" w:line="240" w:lineRule="auto"/>
              <w:jc w:val="center"/>
              <w:rPr>
                <w:rFonts w:ascii="Times New Roman" w:hAnsi="Times New Roman" w:cs="Times New Roman"/>
                <w:b/>
                <w:sz w:val="28"/>
                <w:szCs w:val="28"/>
              </w:rPr>
            </w:pPr>
            <w:r w:rsidRPr="00C62D22">
              <w:rPr>
                <w:rFonts w:ascii="Times New Roman" w:hAnsi="Times New Roman" w:cs="Times New Roman"/>
                <w:b/>
                <w:sz w:val="28"/>
                <w:szCs w:val="28"/>
                <w:lang w:val="en-US"/>
              </w:rPr>
              <w:t>III</w:t>
            </w:r>
            <w:r w:rsidRPr="00C62D22">
              <w:rPr>
                <w:rFonts w:ascii="Times New Roman" w:hAnsi="Times New Roman" w:cs="Times New Roman"/>
                <w:b/>
                <w:sz w:val="28"/>
                <w:szCs w:val="28"/>
              </w:rPr>
              <w:t xml:space="preserve"> тип ПК ПЗ</w:t>
            </w:r>
          </w:p>
        </w:tc>
      </w:tr>
      <w:tr w:rsidR="0021764E" w:rsidRPr="00C62D22" w:rsidTr="006E5FD4">
        <w:tc>
          <w:tcPr>
            <w:tcW w:w="3179" w:type="dxa"/>
          </w:tcPr>
          <w:p w:rsidR="0021764E" w:rsidRPr="00C62D22" w:rsidRDefault="0021764E" w:rsidP="006E5FD4">
            <w:pPr>
              <w:spacing w:after="0" w:line="240" w:lineRule="auto"/>
              <w:jc w:val="center"/>
              <w:rPr>
                <w:rFonts w:ascii="Times New Roman" w:hAnsi="Times New Roman" w:cs="Times New Roman"/>
                <w:sz w:val="28"/>
                <w:szCs w:val="28"/>
                <w:lang w:val="en-US"/>
              </w:rPr>
            </w:pP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-18</w:t>
            </w:r>
          </w:p>
        </w:tc>
        <w:tc>
          <w:tcPr>
            <w:tcW w:w="3196"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-10</w:t>
            </w:r>
          </w:p>
        </w:tc>
      </w:tr>
      <w:tr w:rsidR="0021764E" w:rsidRPr="00C62D22" w:rsidTr="006E5FD4">
        <w:tc>
          <w:tcPr>
            <w:tcW w:w="3179"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-18</w:t>
            </w:r>
          </w:p>
        </w:tc>
        <w:tc>
          <w:tcPr>
            <w:tcW w:w="3196"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b/>
                <w:sz w:val="28"/>
                <w:szCs w:val="28"/>
              </w:rPr>
              <w:t>1,0000</w:t>
            </w:r>
          </w:p>
        </w:tc>
        <w:tc>
          <w:tcPr>
            <w:tcW w:w="3196" w:type="dxa"/>
          </w:tcPr>
          <w:p w:rsidR="0021764E" w:rsidRPr="00C62D22" w:rsidRDefault="0021764E" w:rsidP="006E5FD4">
            <w:pPr>
              <w:spacing w:after="0" w:line="240" w:lineRule="auto"/>
              <w:jc w:val="center"/>
              <w:rPr>
                <w:rFonts w:ascii="Times New Roman" w:hAnsi="Times New Roman" w:cs="Times New Roman"/>
                <w:b/>
                <w:sz w:val="28"/>
                <w:szCs w:val="28"/>
              </w:rPr>
            </w:pPr>
            <w:r w:rsidRPr="00C62D22">
              <w:rPr>
                <w:rFonts w:ascii="Times New Roman" w:hAnsi="Times New Roman" w:cs="Times New Roman"/>
                <w:color w:val="000000"/>
                <w:sz w:val="28"/>
                <w:szCs w:val="28"/>
              </w:rPr>
              <w:t xml:space="preserve">0,83, </w:t>
            </w:r>
            <w:r w:rsidRPr="00C62D22">
              <w:rPr>
                <w:rFonts w:ascii="Times New Roman" w:hAnsi="Times New Roman" w:cs="Times New Roman"/>
                <w:color w:val="000000"/>
                <w:sz w:val="28"/>
                <w:szCs w:val="28"/>
                <w:lang w:val="en-US"/>
              </w:rPr>
              <w:t>p</w:t>
            </w:r>
            <w:r w:rsidRPr="00C62D22">
              <w:rPr>
                <w:rFonts w:ascii="Times New Roman" w:hAnsi="Times New Roman" w:cs="Times New Roman"/>
                <w:color w:val="000000"/>
                <w:sz w:val="28"/>
                <w:szCs w:val="28"/>
                <w:lang w:val="en-US"/>
              </w:rPr>
              <w:sym w:font="Symbol" w:char="F03C"/>
            </w:r>
            <w:r w:rsidRPr="00C62D22">
              <w:rPr>
                <w:rFonts w:ascii="Times New Roman" w:hAnsi="Times New Roman" w:cs="Times New Roman"/>
                <w:color w:val="000000"/>
                <w:sz w:val="28"/>
                <w:szCs w:val="28"/>
              </w:rPr>
              <w:t>0</w:t>
            </w:r>
            <w:r w:rsidRPr="00C62D22">
              <w:rPr>
                <w:rFonts w:ascii="Times New Roman" w:hAnsi="Times New Roman" w:cs="Times New Roman"/>
                <w:color w:val="000000"/>
                <w:sz w:val="28"/>
                <w:szCs w:val="28"/>
                <w:lang w:val="en-US"/>
              </w:rPr>
              <w:t>,</w:t>
            </w:r>
            <w:r w:rsidRPr="00C62D22">
              <w:rPr>
                <w:rFonts w:ascii="Times New Roman" w:hAnsi="Times New Roman" w:cs="Times New Roman"/>
                <w:color w:val="000000"/>
                <w:sz w:val="28"/>
                <w:szCs w:val="28"/>
              </w:rPr>
              <w:t>01</w:t>
            </w:r>
          </w:p>
        </w:tc>
      </w:tr>
      <w:tr w:rsidR="0021764E" w:rsidRPr="00C62D22" w:rsidTr="006E5FD4">
        <w:tc>
          <w:tcPr>
            <w:tcW w:w="3179"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lang w:val="en-US"/>
              </w:rPr>
              <w:t>IL</w:t>
            </w:r>
            <w:r w:rsidRPr="00C62D22">
              <w:rPr>
                <w:rFonts w:ascii="Times New Roman" w:hAnsi="Times New Roman" w:cs="Times New Roman"/>
                <w:sz w:val="28"/>
                <w:szCs w:val="28"/>
              </w:rPr>
              <w:t>-10</w:t>
            </w:r>
          </w:p>
        </w:tc>
        <w:tc>
          <w:tcPr>
            <w:tcW w:w="3196" w:type="dxa"/>
          </w:tcPr>
          <w:p w:rsidR="0021764E" w:rsidRPr="00C62D22" w:rsidRDefault="0021764E" w:rsidP="006E5FD4">
            <w:pPr>
              <w:spacing w:after="0" w:line="240" w:lineRule="auto"/>
              <w:jc w:val="center"/>
              <w:rPr>
                <w:rFonts w:ascii="Times New Roman" w:hAnsi="Times New Roman" w:cs="Times New Roman"/>
                <w:color w:val="000000"/>
                <w:sz w:val="28"/>
                <w:szCs w:val="28"/>
              </w:rPr>
            </w:pPr>
            <w:r w:rsidRPr="00C62D22">
              <w:rPr>
                <w:rFonts w:ascii="Times New Roman" w:hAnsi="Times New Roman" w:cs="Times New Roman"/>
                <w:color w:val="000000"/>
                <w:sz w:val="28"/>
                <w:szCs w:val="28"/>
              </w:rPr>
              <w:t xml:space="preserve">0,83, </w:t>
            </w:r>
            <w:r w:rsidRPr="00C62D22">
              <w:rPr>
                <w:rFonts w:ascii="Times New Roman" w:hAnsi="Times New Roman" w:cs="Times New Roman"/>
                <w:color w:val="000000"/>
                <w:sz w:val="28"/>
                <w:szCs w:val="28"/>
                <w:lang w:val="en-US"/>
              </w:rPr>
              <w:t>p</w:t>
            </w:r>
            <w:r w:rsidRPr="00C62D22">
              <w:rPr>
                <w:rFonts w:ascii="Times New Roman" w:hAnsi="Times New Roman" w:cs="Times New Roman"/>
                <w:color w:val="000000"/>
                <w:sz w:val="28"/>
                <w:szCs w:val="28"/>
                <w:lang w:val="en-US"/>
              </w:rPr>
              <w:sym w:font="Symbol" w:char="F03C"/>
            </w:r>
            <w:r w:rsidRPr="00C62D22">
              <w:rPr>
                <w:rFonts w:ascii="Times New Roman" w:hAnsi="Times New Roman" w:cs="Times New Roman"/>
                <w:color w:val="000000"/>
                <w:sz w:val="28"/>
                <w:szCs w:val="28"/>
              </w:rPr>
              <w:t>0</w:t>
            </w:r>
            <w:r w:rsidRPr="00C62D22">
              <w:rPr>
                <w:rFonts w:ascii="Times New Roman" w:hAnsi="Times New Roman" w:cs="Times New Roman"/>
                <w:color w:val="000000"/>
                <w:sz w:val="28"/>
                <w:szCs w:val="28"/>
                <w:lang w:val="en-US"/>
              </w:rPr>
              <w:t>,</w:t>
            </w:r>
            <w:r w:rsidRPr="00C62D22">
              <w:rPr>
                <w:rFonts w:ascii="Times New Roman" w:hAnsi="Times New Roman" w:cs="Times New Roman"/>
                <w:color w:val="000000"/>
                <w:sz w:val="28"/>
                <w:szCs w:val="28"/>
              </w:rPr>
              <w:t>01</w:t>
            </w:r>
          </w:p>
        </w:tc>
        <w:tc>
          <w:tcPr>
            <w:tcW w:w="3196" w:type="dxa"/>
          </w:tcPr>
          <w:p w:rsidR="0021764E" w:rsidRPr="00C62D22" w:rsidRDefault="0021764E" w:rsidP="006E5FD4">
            <w:pPr>
              <w:spacing w:after="0" w:line="240" w:lineRule="auto"/>
              <w:jc w:val="center"/>
              <w:rPr>
                <w:rFonts w:ascii="Times New Roman" w:hAnsi="Times New Roman" w:cs="Times New Roman"/>
                <w:b/>
                <w:sz w:val="28"/>
                <w:szCs w:val="28"/>
              </w:rPr>
            </w:pPr>
            <w:r w:rsidRPr="00C62D22">
              <w:rPr>
                <w:rFonts w:ascii="Times New Roman" w:hAnsi="Times New Roman" w:cs="Times New Roman"/>
                <w:b/>
                <w:sz w:val="28"/>
                <w:szCs w:val="28"/>
              </w:rPr>
              <w:t>1,0000</w:t>
            </w:r>
          </w:p>
        </w:tc>
      </w:tr>
    </w:tbl>
    <w:p w:rsidR="0021764E" w:rsidRPr="00C62D22" w:rsidRDefault="0021764E" w:rsidP="0021764E">
      <w:pPr>
        <w:pStyle w:val="2"/>
        <w:spacing w:after="0" w:line="360" w:lineRule="auto"/>
        <w:rPr>
          <w:i/>
          <w:noProof/>
          <w:color w:val="000000"/>
          <w:szCs w:val="28"/>
          <w:lang w:val="uk-UA" w:eastAsia="uk-UA"/>
        </w:rPr>
      </w:pPr>
    </w:p>
    <w:p w:rsidR="0021764E" w:rsidRPr="00C62D22" w:rsidRDefault="0021764E" w:rsidP="0021764E">
      <w:pPr>
        <w:pStyle w:val="2"/>
        <w:spacing w:after="0" w:line="360" w:lineRule="auto"/>
        <w:ind w:firstLine="709"/>
        <w:jc w:val="both"/>
        <w:rPr>
          <w:color w:val="000000"/>
          <w:szCs w:val="28"/>
          <w:lang w:val="uk-UA"/>
        </w:rPr>
      </w:pPr>
      <w:r w:rsidRPr="00C62D22">
        <w:rPr>
          <w:color w:val="000000"/>
          <w:szCs w:val="28"/>
          <w:lang w:val="uk-UA"/>
        </w:rPr>
        <w:t>Зростання цього інтегрального показника, на наш погляд, свідчить про переважання прозапальної активності, а зменшення, відповідно, відображає переважно протизапальну активацію. Аналіз цього показника співвідношення                 IL-18/IL-10 (контроль – 81,3; І тип ПК ПЗ – 5,0; ІІ тип ПК ПЗ – 3,26; ІІІ тип ПК ПЗ – 4,4) виявив його суттєве зменшення (у сере</w:t>
      </w:r>
      <w:r w:rsidRPr="00C62D22">
        <w:rPr>
          <w:color w:val="000000"/>
          <w:szCs w:val="28"/>
          <w:lang w:val="uk-UA"/>
        </w:rPr>
        <w:t>д</w:t>
      </w:r>
      <w:r w:rsidRPr="00C62D22">
        <w:rPr>
          <w:color w:val="000000"/>
          <w:szCs w:val="28"/>
          <w:lang w:val="uk-UA"/>
        </w:rPr>
        <w:t>ньому на 93,8%, 96% та на 94,6%, p</w:t>
      </w:r>
      <w:r w:rsidRPr="00C62D22">
        <w:rPr>
          <w:color w:val="000000"/>
          <w:szCs w:val="28"/>
          <w:lang w:val="uk-UA"/>
        </w:rPr>
        <w:sym w:font="Symbol" w:char="F03C"/>
      </w:r>
      <w:r w:rsidRPr="00C62D22">
        <w:rPr>
          <w:color w:val="000000"/>
          <w:szCs w:val="28"/>
          <w:lang w:val="uk-UA"/>
        </w:rPr>
        <w:t>0,05) у всіх хворих (рис. 4.3), незв</w:t>
      </w:r>
      <w:r w:rsidRPr="00C62D22">
        <w:rPr>
          <w:color w:val="000000"/>
          <w:szCs w:val="28"/>
          <w:lang w:val="uk-UA"/>
        </w:rPr>
        <w:t>а</w:t>
      </w:r>
      <w:r w:rsidRPr="00C62D22">
        <w:rPr>
          <w:color w:val="000000"/>
          <w:szCs w:val="28"/>
          <w:lang w:val="uk-UA"/>
        </w:rPr>
        <w:t xml:space="preserve">жаючи на те, що середній рівень прозапальних ЦК у них був значно вищим відповідних показників контрольної групи (табл. 4.3). </w:t>
      </w:r>
    </w:p>
    <w:p w:rsidR="0021764E" w:rsidRPr="00C62D22" w:rsidRDefault="0021764E" w:rsidP="0021764E">
      <w:pPr>
        <w:pStyle w:val="2"/>
        <w:spacing w:after="0" w:line="360" w:lineRule="auto"/>
        <w:jc w:val="both"/>
        <w:rPr>
          <w:noProof/>
          <w:color w:val="000000"/>
          <w:szCs w:val="28"/>
          <w:lang w:val="uk-UA" w:eastAsia="uk-UA"/>
        </w:rPr>
      </w:pPr>
      <w:r w:rsidRPr="00C62D22">
        <w:rPr>
          <w:noProof/>
          <w:szCs w:val="28"/>
        </w:rPr>
        <w:pict>
          <v:shape id="_x0000_s1092" type="#_x0000_t202" style="position:absolute;left:0;text-align:left;margin-left:27pt;margin-top:-.5pt;width:497.45pt;height:224.7pt;z-index:251727872;mso-wrap-style:none" stroked="f">
            <v:textbox style="mso-next-textbox:#_x0000_s1092;mso-fit-shape-to-text:t">
              <w:txbxContent>
                <w:p w:rsidR="0021764E" w:rsidRDefault="0021764E" w:rsidP="0021764E">
                  <w:pPr>
                    <w:ind w:left="-720" w:firstLine="720"/>
                  </w:pPr>
                  <w:r>
                    <w:rPr>
                      <w:noProof/>
                    </w:rPr>
                    <w:drawing>
                      <wp:inline distT="0" distB="0" distL="0" distR="0">
                        <wp:extent cx="6096000" cy="2609850"/>
                        <wp:effectExtent l="19050" t="0" r="19050" b="0"/>
                        <wp:docPr id="83" name="Объект 8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txbxContent>
            </v:textbox>
          </v:shape>
        </w:pict>
      </w:r>
    </w:p>
    <w:p w:rsidR="0021764E" w:rsidRPr="00C62D22" w:rsidRDefault="0021764E" w:rsidP="0021764E">
      <w:pPr>
        <w:pStyle w:val="2"/>
        <w:spacing w:after="0" w:line="360" w:lineRule="auto"/>
        <w:ind w:firstLine="709"/>
        <w:jc w:val="both"/>
        <w:rPr>
          <w:noProof/>
          <w:color w:val="000000"/>
          <w:szCs w:val="28"/>
          <w:lang w:val="uk-UA" w:eastAsia="uk-UA"/>
        </w:rPr>
      </w:pPr>
    </w:p>
    <w:p w:rsidR="0021764E" w:rsidRPr="00C62D22" w:rsidRDefault="0021764E" w:rsidP="0021764E">
      <w:pPr>
        <w:pStyle w:val="2"/>
        <w:spacing w:after="0" w:line="360" w:lineRule="auto"/>
        <w:jc w:val="both"/>
        <w:rPr>
          <w:noProof/>
          <w:color w:val="000000"/>
          <w:szCs w:val="28"/>
          <w:lang w:val="uk-UA" w:eastAsia="uk-UA"/>
        </w:rPr>
      </w:pPr>
    </w:p>
    <w:p w:rsidR="0021764E" w:rsidRPr="00C62D22" w:rsidRDefault="0021764E" w:rsidP="0021764E">
      <w:pPr>
        <w:pStyle w:val="2"/>
        <w:spacing w:after="0" w:line="360" w:lineRule="auto"/>
        <w:ind w:firstLine="709"/>
        <w:jc w:val="both"/>
        <w:rPr>
          <w:noProof/>
          <w:color w:val="000000"/>
          <w:szCs w:val="28"/>
          <w:lang w:val="uk-UA" w:eastAsia="uk-UA"/>
        </w:rPr>
      </w:pPr>
    </w:p>
    <w:p w:rsidR="0021764E" w:rsidRPr="00C62D22" w:rsidRDefault="0021764E" w:rsidP="0021764E">
      <w:pPr>
        <w:pStyle w:val="2"/>
        <w:spacing w:after="0" w:line="360" w:lineRule="auto"/>
        <w:ind w:firstLine="709"/>
        <w:jc w:val="both"/>
        <w:rPr>
          <w:color w:val="000000"/>
          <w:szCs w:val="28"/>
          <w:lang w:val="uk-UA"/>
        </w:rPr>
      </w:pPr>
    </w:p>
    <w:p w:rsidR="0021764E" w:rsidRPr="00C62D22" w:rsidRDefault="0021764E" w:rsidP="0021764E">
      <w:pPr>
        <w:pStyle w:val="2"/>
        <w:spacing w:after="0" w:line="360" w:lineRule="auto"/>
        <w:ind w:firstLine="709"/>
        <w:jc w:val="both"/>
        <w:rPr>
          <w:color w:val="000000"/>
          <w:szCs w:val="28"/>
          <w:lang w:val="uk-UA"/>
        </w:rPr>
      </w:pPr>
    </w:p>
    <w:p w:rsidR="0021764E" w:rsidRPr="00C62D22" w:rsidRDefault="0021764E" w:rsidP="0021764E">
      <w:pPr>
        <w:pStyle w:val="2"/>
        <w:spacing w:after="0" w:line="360" w:lineRule="auto"/>
        <w:ind w:firstLine="709"/>
        <w:jc w:val="both"/>
        <w:rPr>
          <w:color w:val="000000"/>
          <w:szCs w:val="28"/>
          <w:lang w:val="uk-UA"/>
        </w:rPr>
      </w:pPr>
    </w:p>
    <w:p w:rsidR="0021764E" w:rsidRPr="00C62D22" w:rsidRDefault="0021764E" w:rsidP="0021764E">
      <w:pPr>
        <w:pStyle w:val="2"/>
        <w:spacing w:after="0" w:line="360" w:lineRule="auto"/>
        <w:ind w:firstLine="709"/>
        <w:jc w:val="both"/>
        <w:rPr>
          <w:color w:val="000000"/>
          <w:szCs w:val="28"/>
          <w:lang w:val="uk-UA"/>
        </w:rPr>
      </w:pPr>
    </w:p>
    <w:p w:rsidR="0021764E" w:rsidRPr="00C62D22" w:rsidRDefault="0021764E" w:rsidP="0021764E">
      <w:pPr>
        <w:pStyle w:val="2"/>
        <w:spacing w:after="0" w:line="360" w:lineRule="auto"/>
        <w:ind w:firstLine="709"/>
        <w:jc w:val="both"/>
        <w:rPr>
          <w:color w:val="000000"/>
          <w:szCs w:val="28"/>
          <w:lang w:val="uk-UA"/>
        </w:rPr>
      </w:pPr>
    </w:p>
    <w:p w:rsidR="0021764E" w:rsidRPr="00C62D22" w:rsidRDefault="0021764E" w:rsidP="0021764E">
      <w:pPr>
        <w:pStyle w:val="2"/>
        <w:spacing w:after="0" w:line="360" w:lineRule="auto"/>
        <w:ind w:firstLine="709"/>
        <w:jc w:val="both"/>
        <w:rPr>
          <w:color w:val="000000"/>
          <w:szCs w:val="28"/>
          <w:lang w:val="uk-UA"/>
        </w:rPr>
      </w:pPr>
      <w:r w:rsidRPr="00C62D22">
        <w:rPr>
          <w:noProof/>
          <w:color w:val="000000"/>
          <w:szCs w:val="28"/>
        </w:rPr>
        <w:pict>
          <v:shape id="_x0000_s1093" type="#_x0000_t202" style="position:absolute;left:0;text-align:left;margin-left:-6.7pt;margin-top:6.85pt;width:515pt;height:36pt;z-index:251728896" stroked="f">
            <v:textbox style="mso-next-textbox:#_x0000_s1093">
              <w:txbxContent>
                <w:p w:rsidR="0021764E" w:rsidRPr="009206A3" w:rsidRDefault="0021764E" w:rsidP="0021764E">
                  <w:pPr>
                    <w:spacing w:line="360" w:lineRule="auto"/>
                    <w:ind w:firstLine="540"/>
                    <w:jc w:val="right"/>
                    <w:rPr>
                      <w:rFonts w:ascii="Times New Roman" w:hAnsi="Times New Roman"/>
                      <w:sz w:val="28"/>
                      <w:szCs w:val="28"/>
                    </w:rPr>
                  </w:pPr>
                  <w:r>
                    <w:rPr>
                      <w:rFonts w:ascii="Times New Roman" w:hAnsi="Times New Roman"/>
                      <w:sz w:val="28"/>
                      <w:szCs w:val="28"/>
                    </w:rPr>
                    <w:t>Рис. 4.3</w:t>
                  </w:r>
                  <w:r w:rsidRPr="009206A3">
                    <w:rPr>
                      <w:rFonts w:ascii="Times New Roman" w:hAnsi="Times New Roman"/>
                      <w:sz w:val="28"/>
                      <w:szCs w:val="28"/>
                    </w:rPr>
                    <w:t xml:space="preserve"> Коефіцієнт співвідношення </w:t>
                  </w:r>
                  <w:r w:rsidRPr="009206A3">
                    <w:rPr>
                      <w:rFonts w:ascii="Times New Roman" w:hAnsi="Times New Roman"/>
                      <w:color w:val="000000"/>
                      <w:sz w:val="28"/>
                      <w:szCs w:val="28"/>
                      <w:lang w:val="en-US"/>
                    </w:rPr>
                    <w:t>IL</w:t>
                  </w:r>
                  <w:r w:rsidRPr="009206A3">
                    <w:rPr>
                      <w:rFonts w:ascii="Times New Roman" w:hAnsi="Times New Roman"/>
                      <w:color w:val="000000"/>
                      <w:sz w:val="28"/>
                      <w:szCs w:val="28"/>
                    </w:rPr>
                    <w:t>-18/</w:t>
                  </w:r>
                  <w:r w:rsidRPr="009206A3">
                    <w:rPr>
                      <w:rFonts w:ascii="Times New Roman" w:hAnsi="Times New Roman"/>
                      <w:color w:val="000000"/>
                      <w:sz w:val="28"/>
                      <w:szCs w:val="28"/>
                      <w:lang w:val="en-US"/>
                    </w:rPr>
                    <w:t>IL</w:t>
                  </w:r>
                  <w:r w:rsidRPr="009206A3">
                    <w:rPr>
                      <w:rFonts w:ascii="Times New Roman" w:hAnsi="Times New Roman"/>
                      <w:color w:val="000000"/>
                      <w:sz w:val="28"/>
                      <w:szCs w:val="28"/>
                    </w:rPr>
                    <w:t>-10 у групах, що досл</w:t>
                  </w:r>
                  <w:r w:rsidRPr="009206A3">
                    <w:rPr>
                      <w:rFonts w:ascii="Times New Roman" w:hAnsi="Times New Roman"/>
                      <w:color w:val="000000"/>
                      <w:sz w:val="28"/>
                      <w:szCs w:val="28"/>
                    </w:rPr>
                    <w:t>і</w:t>
                  </w:r>
                  <w:r>
                    <w:rPr>
                      <w:rFonts w:ascii="Times New Roman" w:hAnsi="Times New Roman"/>
                      <w:color w:val="000000"/>
                      <w:sz w:val="28"/>
                      <w:szCs w:val="28"/>
                    </w:rPr>
                    <w:t>джувались</w:t>
                  </w:r>
                </w:p>
                <w:p w:rsidR="0021764E" w:rsidRDefault="0021764E" w:rsidP="0021764E">
                  <w:pPr>
                    <w:jc w:val="both"/>
                  </w:pPr>
                </w:p>
              </w:txbxContent>
            </v:textbox>
          </v:shape>
        </w:pict>
      </w:r>
    </w:p>
    <w:p w:rsidR="0021764E" w:rsidRPr="00C62D22" w:rsidRDefault="0021764E" w:rsidP="0021764E">
      <w:pPr>
        <w:pStyle w:val="2"/>
        <w:spacing w:after="0" w:line="360" w:lineRule="auto"/>
        <w:ind w:firstLine="709"/>
        <w:jc w:val="both"/>
        <w:rPr>
          <w:color w:val="000000"/>
          <w:szCs w:val="28"/>
          <w:lang w:val="uk-UA"/>
        </w:rPr>
      </w:pPr>
      <w:r w:rsidRPr="00C62D22">
        <w:rPr>
          <w:color w:val="000000"/>
          <w:szCs w:val="28"/>
          <w:lang w:val="uk-UA"/>
        </w:rPr>
        <w:lastRenderedPageBreak/>
        <w:t xml:space="preserve">Таким чином, отримані нами дані підтверджують гіпотезу про те, що активація прозапального ЦК </w:t>
      </w:r>
      <w:r w:rsidRPr="00C62D22">
        <w:rPr>
          <w:color w:val="000000"/>
          <w:szCs w:val="28"/>
          <w:lang w:val="en-US"/>
        </w:rPr>
        <w:t>IL</w:t>
      </w:r>
      <w:r w:rsidRPr="00C62D22">
        <w:rPr>
          <w:color w:val="000000"/>
          <w:szCs w:val="28"/>
          <w:lang w:val="uk-UA"/>
        </w:rPr>
        <w:t xml:space="preserve">-18 і протизапального ЦК </w:t>
      </w:r>
      <w:r w:rsidRPr="00C62D22">
        <w:rPr>
          <w:color w:val="000000"/>
          <w:szCs w:val="28"/>
          <w:lang w:val="en-US"/>
        </w:rPr>
        <w:t>IL</w:t>
      </w:r>
      <w:r w:rsidRPr="00C62D22">
        <w:rPr>
          <w:color w:val="000000"/>
          <w:szCs w:val="28"/>
          <w:lang w:val="uk-UA"/>
        </w:rPr>
        <w:t>-10 може формувати зв'язок між факторами ризику розвитку ускладнень у хв</w:t>
      </w:r>
      <w:r w:rsidRPr="00C62D22">
        <w:rPr>
          <w:color w:val="000000"/>
          <w:szCs w:val="28"/>
          <w:lang w:val="uk-UA"/>
        </w:rPr>
        <w:t>о</w:t>
      </w:r>
      <w:r w:rsidRPr="00C62D22">
        <w:rPr>
          <w:color w:val="000000"/>
          <w:szCs w:val="28"/>
          <w:lang w:val="uk-UA"/>
        </w:rPr>
        <w:t>рих на різні типи ПК ПЗ.</w:t>
      </w:r>
    </w:p>
    <w:p w:rsidR="0021764E" w:rsidRPr="00C62D22" w:rsidRDefault="0021764E" w:rsidP="0021764E">
      <w:pPr>
        <w:pStyle w:val="2"/>
        <w:spacing w:after="0" w:line="360" w:lineRule="auto"/>
        <w:ind w:firstLine="709"/>
        <w:jc w:val="both"/>
        <w:rPr>
          <w:color w:val="000000"/>
          <w:szCs w:val="28"/>
          <w:lang w:val="uk-UA"/>
        </w:rPr>
      </w:pPr>
    </w:p>
    <w:p w:rsidR="0021764E" w:rsidRPr="00C62D22" w:rsidRDefault="0021764E" w:rsidP="0021764E">
      <w:pPr>
        <w:autoSpaceDE w:val="0"/>
        <w:autoSpaceDN w:val="0"/>
        <w:adjustRightInd w:val="0"/>
        <w:spacing w:after="0" w:line="360" w:lineRule="auto"/>
        <w:ind w:firstLine="709"/>
        <w:jc w:val="both"/>
        <w:rPr>
          <w:rStyle w:val="hps"/>
          <w:rFonts w:ascii="Times New Roman" w:hAnsi="Times New Roman" w:cs="Times New Roman"/>
          <w:b/>
          <w:sz w:val="28"/>
          <w:szCs w:val="28"/>
          <w:lang w:val="uk-UA"/>
        </w:rPr>
      </w:pPr>
      <w:r w:rsidRPr="00C62D22">
        <w:rPr>
          <w:rFonts w:ascii="Times New Roman" w:hAnsi="Times New Roman" w:cs="Times New Roman"/>
          <w:b/>
          <w:color w:val="000000"/>
          <w:sz w:val="28"/>
          <w:szCs w:val="28"/>
          <w:lang w:val="uk-UA"/>
        </w:rPr>
        <w:t xml:space="preserve">4.3. Динаміка змін рівня матричних протеаз (ММП-9), їх інгібіторів (ТІМП-2) та функціонального стану ендотелію </w:t>
      </w:r>
      <w:r w:rsidRPr="00C62D22">
        <w:rPr>
          <w:rStyle w:val="hps"/>
          <w:rFonts w:ascii="Times New Roman" w:hAnsi="Times New Roman" w:cs="Times New Roman"/>
          <w:b/>
          <w:sz w:val="28"/>
          <w:szCs w:val="28"/>
          <w:lang w:val="uk-UA"/>
        </w:rPr>
        <w:t>у хворих з різними типами ускладнених псевдокіст підшлункової залози</w:t>
      </w:r>
    </w:p>
    <w:p w:rsidR="0021764E" w:rsidRPr="00C62D22" w:rsidRDefault="0021764E" w:rsidP="0021764E">
      <w:pPr>
        <w:autoSpaceDE w:val="0"/>
        <w:autoSpaceDN w:val="0"/>
        <w:adjustRightInd w:val="0"/>
        <w:spacing w:after="0" w:line="360" w:lineRule="auto"/>
        <w:ind w:firstLine="709"/>
        <w:jc w:val="both"/>
        <w:rPr>
          <w:rStyle w:val="hps"/>
          <w:rFonts w:ascii="Times New Roman" w:hAnsi="Times New Roman" w:cs="Times New Roman"/>
          <w:b/>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rPr>
      </w:pPr>
      <w:r w:rsidRPr="00C62D22">
        <w:rPr>
          <w:rStyle w:val="hps"/>
          <w:rFonts w:ascii="Times New Roman" w:hAnsi="Times New Roman" w:cs="Times New Roman"/>
          <w:sz w:val="28"/>
          <w:szCs w:val="28"/>
        </w:rPr>
        <w:t xml:space="preserve">При всіх типах ПК ПЗ відмічено підвищення рівня желатинази В (ММП-9) по відношенню до групи контролю [36, 125, 369]. </w:t>
      </w:r>
      <w:r w:rsidRPr="00C62D22">
        <w:rPr>
          <w:rFonts w:ascii="Times New Roman" w:hAnsi="Times New Roman" w:cs="Times New Roman"/>
          <w:sz w:val="28"/>
          <w:szCs w:val="28"/>
        </w:rPr>
        <w:t xml:space="preserve">У хворих з I типом ПК ПЗ рівень ММП–9 був підвищеним у середньому на 284,5%, при II типу – на 176,9% і при III типу – на 91,7% відповідно до контрольної групи (p &lt;0,05) (табл. 4.4). </w:t>
      </w: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hd w:val="clear" w:color="auto" w:fill="FFFFFF"/>
        <w:spacing w:after="0" w:line="360" w:lineRule="auto"/>
        <w:ind w:firstLine="709"/>
        <w:jc w:val="right"/>
        <w:rPr>
          <w:rFonts w:ascii="Times New Roman" w:hAnsi="Times New Roman" w:cs="Times New Roman"/>
          <w:i/>
          <w:sz w:val="28"/>
          <w:szCs w:val="28"/>
        </w:rPr>
      </w:pPr>
      <w:r w:rsidRPr="00C62D22">
        <w:rPr>
          <w:rFonts w:ascii="Times New Roman" w:hAnsi="Times New Roman" w:cs="Times New Roman"/>
          <w:i/>
          <w:sz w:val="28"/>
          <w:szCs w:val="28"/>
        </w:rPr>
        <w:t>Таблиця 4.4</w:t>
      </w:r>
    </w:p>
    <w:p w:rsidR="0021764E" w:rsidRPr="00C62D22" w:rsidRDefault="0021764E" w:rsidP="0021764E">
      <w:pPr>
        <w:autoSpaceDE w:val="0"/>
        <w:autoSpaceDN w:val="0"/>
        <w:adjustRightInd w:val="0"/>
        <w:spacing w:after="0" w:line="360" w:lineRule="auto"/>
        <w:ind w:firstLine="709"/>
        <w:jc w:val="center"/>
        <w:rPr>
          <w:rFonts w:ascii="Times New Roman" w:eastAsia="MyriadPro-Bold" w:hAnsi="Times New Roman" w:cs="Times New Roman"/>
          <w:b/>
          <w:bCs/>
          <w:sz w:val="28"/>
          <w:szCs w:val="28"/>
        </w:rPr>
      </w:pPr>
      <w:r w:rsidRPr="00C62D22">
        <w:rPr>
          <w:rFonts w:ascii="Times New Roman" w:hAnsi="Times New Roman" w:cs="Times New Roman"/>
          <w:b/>
          <w:sz w:val="28"/>
          <w:szCs w:val="28"/>
        </w:rPr>
        <w:t xml:space="preserve">Динаміка змін </w:t>
      </w:r>
      <w:r w:rsidRPr="00C62D22">
        <w:rPr>
          <w:rFonts w:ascii="Times New Roman" w:eastAsia="MyriadPro-Bold" w:hAnsi="Times New Roman" w:cs="Times New Roman"/>
          <w:b/>
          <w:bCs/>
          <w:sz w:val="28"/>
          <w:szCs w:val="28"/>
        </w:rPr>
        <w:t>показників ММП-9, ТІМП-2 та</w:t>
      </w:r>
      <w:r w:rsidRPr="00C62D22">
        <w:rPr>
          <w:rFonts w:ascii="Times New Roman" w:hAnsi="Times New Roman" w:cs="Times New Roman"/>
          <w:b/>
          <w:sz w:val="28"/>
          <w:szCs w:val="28"/>
        </w:rPr>
        <w:t xml:space="preserve"> біохімічних маркерів функціонального стану ендотелію </w:t>
      </w:r>
      <w:r w:rsidRPr="00C62D22">
        <w:rPr>
          <w:rFonts w:ascii="Times New Roman" w:eastAsia="MyriadPro-Bold" w:hAnsi="Times New Roman" w:cs="Times New Roman"/>
          <w:b/>
          <w:bCs/>
          <w:sz w:val="28"/>
          <w:szCs w:val="28"/>
        </w:rPr>
        <w:t>у хворих на різні типи ПК ПЗ</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311"/>
        <w:gridCol w:w="2074"/>
        <w:gridCol w:w="2340"/>
        <w:gridCol w:w="2340"/>
      </w:tblGrid>
      <w:tr w:rsidR="0021764E" w:rsidRPr="00C62D22" w:rsidTr="006E5FD4">
        <w:tc>
          <w:tcPr>
            <w:tcW w:w="3311" w:type="dxa"/>
            <w:vMerge w:val="restart"/>
          </w:tcPr>
          <w:p w:rsidR="0021764E" w:rsidRPr="00C62D22" w:rsidRDefault="0021764E" w:rsidP="006E5FD4">
            <w:pPr>
              <w:spacing w:after="0" w:line="360" w:lineRule="auto"/>
              <w:jc w:val="center"/>
              <w:rPr>
                <w:rFonts w:ascii="Times New Roman" w:hAnsi="Times New Roman" w:cs="Times New Roman"/>
                <w:bCs/>
                <w:iCs/>
                <w:sz w:val="28"/>
                <w:szCs w:val="28"/>
              </w:rPr>
            </w:pPr>
            <w:r w:rsidRPr="00C62D22">
              <w:rPr>
                <w:rFonts w:ascii="Times New Roman" w:hAnsi="Times New Roman" w:cs="Times New Roman"/>
                <w:bCs/>
                <w:iCs/>
                <w:sz w:val="28"/>
                <w:szCs w:val="28"/>
              </w:rPr>
              <w:t>Показник/контроль</w:t>
            </w:r>
          </w:p>
        </w:tc>
        <w:tc>
          <w:tcPr>
            <w:tcW w:w="6754" w:type="dxa"/>
            <w:gridSpan w:val="3"/>
          </w:tcPr>
          <w:p w:rsidR="0021764E" w:rsidRPr="00C62D22" w:rsidRDefault="0021764E" w:rsidP="006E5FD4">
            <w:pPr>
              <w:spacing w:after="0" w:line="360" w:lineRule="auto"/>
              <w:jc w:val="center"/>
              <w:rPr>
                <w:rFonts w:ascii="Times New Roman" w:hAnsi="Times New Roman" w:cs="Times New Roman"/>
                <w:bCs/>
                <w:iCs/>
                <w:sz w:val="28"/>
                <w:szCs w:val="28"/>
              </w:rPr>
            </w:pPr>
            <w:r w:rsidRPr="00C62D22">
              <w:rPr>
                <w:rFonts w:ascii="Times New Roman" w:hAnsi="Times New Roman" w:cs="Times New Roman"/>
                <w:bCs/>
                <w:iCs/>
                <w:sz w:val="28"/>
                <w:szCs w:val="28"/>
              </w:rPr>
              <w:t>Групи хворих</w:t>
            </w:r>
          </w:p>
        </w:tc>
      </w:tr>
      <w:tr w:rsidR="0021764E" w:rsidRPr="00C62D22" w:rsidTr="006E5FD4">
        <w:tc>
          <w:tcPr>
            <w:tcW w:w="3311" w:type="dxa"/>
            <w:vMerge/>
          </w:tcPr>
          <w:p w:rsidR="0021764E" w:rsidRPr="00C62D22" w:rsidRDefault="0021764E" w:rsidP="006E5FD4">
            <w:pPr>
              <w:spacing w:after="0" w:line="360" w:lineRule="auto"/>
              <w:jc w:val="center"/>
              <w:rPr>
                <w:rFonts w:ascii="Times New Roman" w:hAnsi="Times New Roman" w:cs="Times New Roman"/>
                <w:bCs/>
                <w:iCs/>
                <w:sz w:val="28"/>
                <w:szCs w:val="28"/>
              </w:rPr>
            </w:pPr>
          </w:p>
        </w:tc>
        <w:tc>
          <w:tcPr>
            <w:tcW w:w="2074" w:type="dxa"/>
          </w:tcPr>
          <w:p w:rsidR="0021764E" w:rsidRPr="00C62D22" w:rsidRDefault="0021764E" w:rsidP="006E5FD4">
            <w:pPr>
              <w:spacing w:after="0" w:line="360" w:lineRule="auto"/>
              <w:jc w:val="center"/>
              <w:rPr>
                <w:rFonts w:ascii="Times New Roman" w:hAnsi="Times New Roman" w:cs="Times New Roman"/>
                <w:bCs/>
                <w:iCs/>
                <w:sz w:val="28"/>
                <w:szCs w:val="28"/>
              </w:rPr>
            </w:pPr>
            <w:r w:rsidRPr="00C62D22">
              <w:rPr>
                <w:rFonts w:ascii="Times New Roman" w:hAnsi="Times New Roman" w:cs="Times New Roman"/>
                <w:bCs/>
                <w:iCs/>
                <w:sz w:val="28"/>
                <w:szCs w:val="28"/>
              </w:rPr>
              <w:t>перша (n</w:t>
            </w:r>
            <w:r w:rsidRPr="00C62D22">
              <w:rPr>
                <w:rFonts w:ascii="Times New Roman" w:hAnsi="Times New Roman" w:cs="Times New Roman"/>
                <w:bCs/>
                <w:iCs/>
                <w:sz w:val="28"/>
                <w:szCs w:val="28"/>
              </w:rPr>
              <w:sym w:font="Symbol" w:char="F03D"/>
            </w:r>
            <w:r w:rsidRPr="00C62D22">
              <w:rPr>
                <w:rFonts w:ascii="Times New Roman" w:hAnsi="Times New Roman" w:cs="Times New Roman"/>
                <w:bCs/>
                <w:iCs/>
                <w:sz w:val="28"/>
                <w:szCs w:val="28"/>
              </w:rPr>
              <w:t>14)</w:t>
            </w:r>
          </w:p>
        </w:tc>
        <w:tc>
          <w:tcPr>
            <w:tcW w:w="2340" w:type="dxa"/>
          </w:tcPr>
          <w:p w:rsidR="0021764E" w:rsidRPr="00C62D22" w:rsidRDefault="0021764E" w:rsidP="006E5FD4">
            <w:pPr>
              <w:spacing w:after="0" w:line="360" w:lineRule="auto"/>
              <w:jc w:val="center"/>
              <w:rPr>
                <w:rFonts w:ascii="Times New Roman" w:hAnsi="Times New Roman" w:cs="Times New Roman"/>
                <w:bCs/>
                <w:iCs/>
                <w:sz w:val="28"/>
                <w:szCs w:val="28"/>
              </w:rPr>
            </w:pPr>
            <w:r w:rsidRPr="00C62D22">
              <w:rPr>
                <w:rFonts w:ascii="Times New Roman" w:hAnsi="Times New Roman" w:cs="Times New Roman"/>
                <w:bCs/>
                <w:iCs/>
                <w:sz w:val="28"/>
                <w:szCs w:val="28"/>
              </w:rPr>
              <w:t>друга (n</w:t>
            </w:r>
            <w:r w:rsidRPr="00C62D22">
              <w:rPr>
                <w:rFonts w:ascii="Times New Roman" w:hAnsi="Times New Roman" w:cs="Times New Roman"/>
                <w:bCs/>
                <w:iCs/>
                <w:sz w:val="28"/>
                <w:szCs w:val="28"/>
              </w:rPr>
              <w:sym w:font="Symbol" w:char="F03D"/>
            </w:r>
            <w:r w:rsidRPr="00C62D22">
              <w:rPr>
                <w:rFonts w:ascii="Times New Roman" w:hAnsi="Times New Roman" w:cs="Times New Roman"/>
                <w:bCs/>
                <w:iCs/>
                <w:sz w:val="28"/>
                <w:szCs w:val="28"/>
              </w:rPr>
              <w:t>16)</w:t>
            </w:r>
          </w:p>
        </w:tc>
        <w:tc>
          <w:tcPr>
            <w:tcW w:w="2340" w:type="dxa"/>
          </w:tcPr>
          <w:p w:rsidR="0021764E" w:rsidRPr="00C62D22" w:rsidRDefault="0021764E" w:rsidP="006E5FD4">
            <w:pPr>
              <w:spacing w:after="0" w:line="360" w:lineRule="auto"/>
              <w:jc w:val="center"/>
              <w:rPr>
                <w:rFonts w:ascii="Times New Roman" w:hAnsi="Times New Roman" w:cs="Times New Roman"/>
                <w:bCs/>
                <w:iCs/>
                <w:sz w:val="28"/>
                <w:szCs w:val="28"/>
              </w:rPr>
            </w:pPr>
            <w:r w:rsidRPr="00C62D22">
              <w:rPr>
                <w:rFonts w:ascii="Times New Roman" w:hAnsi="Times New Roman" w:cs="Times New Roman"/>
                <w:bCs/>
                <w:iCs/>
                <w:sz w:val="28"/>
                <w:szCs w:val="28"/>
              </w:rPr>
              <w:t>третя (n</w:t>
            </w:r>
            <w:r w:rsidRPr="00C62D22">
              <w:rPr>
                <w:rFonts w:ascii="Times New Roman" w:hAnsi="Times New Roman" w:cs="Times New Roman"/>
                <w:bCs/>
                <w:iCs/>
                <w:sz w:val="28"/>
                <w:szCs w:val="28"/>
              </w:rPr>
              <w:sym w:font="Symbol" w:char="F03D"/>
            </w:r>
            <w:r w:rsidRPr="00C62D22">
              <w:rPr>
                <w:rFonts w:ascii="Times New Roman" w:hAnsi="Times New Roman" w:cs="Times New Roman"/>
                <w:bCs/>
                <w:iCs/>
                <w:sz w:val="28"/>
                <w:szCs w:val="28"/>
              </w:rPr>
              <w:t>17)</w:t>
            </w:r>
          </w:p>
        </w:tc>
      </w:tr>
      <w:tr w:rsidR="0021764E" w:rsidRPr="00C62D22" w:rsidTr="006E5FD4">
        <w:tc>
          <w:tcPr>
            <w:tcW w:w="3311" w:type="dxa"/>
          </w:tcPr>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ММП-9, пг/мл</w:t>
            </w:r>
          </w:p>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316,8</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8,23 (299,7-335,8)</w:t>
            </w:r>
          </w:p>
        </w:tc>
        <w:tc>
          <w:tcPr>
            <w:tcW w:w="2074" w:type="dxa"/>
          </w:tcPr>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1218</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189,8*</w:t>
            </w:r>
          </w:p>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(823,4-1553)</w:t>
            </w:r>
          </w:p>
        </w:tc>
        <w:tc>
          <w:tcPr>
            <w:tcW w:w="2340" w:type="dxa"/>
          </w:tcPr>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877,2</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138,6* **</w:t>
            </w:r>
          </w:p>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(624,7-1099)</w:t>
            </w:r>
          </w:p>
        </w:tc>
        <w:tc>
          <w:tcPr>
            <w:tcW w:w="2340" w:type="dxa"/>
          </w:tcPr>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607,3</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105,3* ***</w:t>
            </w:r>
          </w:p>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(499,9-811,6)</w:t>
            </w:r>
          </w:p>
        </w:tc>
      </w:tr>
      <w:tr w:rsidR="0021764E" w:rsidRPr="00C62D22" w:rsidTr="006E5FD4">
        <w:tc>
          <w:tcPr>
            <w:tcW w:w="3311" w:type="dxa"/>
          </w:tcPr>
          <w:p w:rsidR="0021764E" w:rsidRPr="00C62D22" w:rsidRDefault="0021764E" w:rsidP="006E5FD4">
            <w:pPr>
              <w:spacing w:after="0" w:line="240" w:lineRule="auto"/>
              <w:jc w:val="center"/>
              <w:rPr>
                <w:rFonts w:ascii="Times New Roman" w:hAnsi="Times New Roman" w:cs="Times New Roman"/>
                <w:sz w:val="28"/>
                <w:szCs w:val="28"/>
              </w:rPr>
            </w:pPr>
          </w:p>
        </w:tc>
        <w:tc>
          <w:tcPr>
            <w:tcW w:w="6754" w:type="dxa"/>
            <w:gridSpan w:val="3"/>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F</w:t>
            </w:r>
            <w:r w:rsidRPr="00C62D22">
              <w:rPr>
                <w:rFonts w:ascii="Times New Roman" w:hAnsi="Times New Roman" w:cs="Times New Roman"/>
                <w:sz w:val="28"/>
                <w:szCs w:val="28"/>
              </w:rPr>
              <w:sym w:font="Symbol" w:char="F03D"/>
            </w:r>
            <w:r w:rsidRPr="00C62D22">
              <w:rPr>
                <w:rFonts w:ascii="Times New Roman" w:hAnsi="Times New Roman" w:cs="Times New Roman"/>
                <w:sz w:val="28"/>
                <w:szCs w:val="28"/>
              </w:rPr>
              <w:t>67,463, p</w:t>
            </w:r>
            <w:r w:rsidRPr="00C62D22">
              <w:rPr>
                <w:rFonts w:ascii="Times New Roman" w:hAnsi="Times New Roman" w:cs="Times New Roman"/>
                <w:sz w:val="28"/>
                <w:szCs w:val="28"/>
              </w:rPr>
              <w:sym w:font="Symbol" w:char="F03D"/>
            </w:r>
            <w:r w:rsidRPr="00C62D22">
              <w:rPr>
                <w:rFonts w:ascii="Times New Roman" w:hAnsi="Times New Roman" w:cs="Times New Roman"/>
                <w:sz w:val="28"/>
                <w:szCs w:val="28"/>
              </w:rPr>
              <w:t>0,000</w:t>
            </w:r>
          </w:p>
        </w:tc>
      </w:tr>
      <w:tr w:rsidR="0021764E" w:rsidRPr="00C62D22" w:rsidTr="006E5FD4">
        <w:trPr>
          <w:trHeight w:val="762"/>
        </w:trPr>
        <w:tc>
          <w:tcPr>
            <w:tcW w:w="3311" w:type="dxa"/>
          </w:tcPr>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ТІМП-2, пг/мл</w:t>
            </w:r>
          </w:p>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1292</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47,55 (1222-1357)</w:t>
            </w:r>
          </w:p>
        </w:tc>
        <w:tc>
          <w:tcPr>
            <w:tcW w:w="2074"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1814</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237,2*</w:t>
            </w:r>
          </w:p>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(1411-2112)</w:t>
            </w:r>
          </w:p>
        </w:tc>
        <w:tc>
          <w:tcPr>
            <w:tcW w:w="2340" w:type="dxa"/>
          </w:tcPr>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1307</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188,3**</w:t>
            </w:r>
          </w:p>
          <w:p w:rsidR="0021764E" w:rsidRPr="00C62D22" w:rsidRDefault="0021764E" w:rsidP="006E5FD4">
            <w:pPr>
              <w:spacing w:after="0"/>
              <w:jc w:val="center"/>
              <w:rPr>
                <w:rFonts w:ascii="Times New Roman" w:hAnsi="Times New Roman" w:cs="Times New Roman"/>
                <w:sz w:val="28"/>
                <w:szCs w:val="28"/>
              </w:rPr>
            </w:pPr>
            <w:r w:rsidRPr="00C62D22">
              <w:rPr>
                <w:rFonts w:ascii="Times New Roman" w:hAnsi="Times New Roman" w:cs="Times New Roman"/>
                <w:sz w:val="28"/>
                <w:szCs w:val="28"/>
              </w:rPr>
              <w:t>(1145-1873)</w:t>
            </w:r>
          </w:p>
        </w:tc>
        <w:tc>
          <w:tcPr>
            <w:tcW w:w="2340"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1137</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147,6* ***</w:t>
            </w:r>
          </w:p>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(911-1467)</w:t>
            </w:r>
          </w:p>
        </w:tc>
      </w:tr>
      <w:tr w:rsidR="0021764E" w:rsidRPr="00C62D22" w:rsidTr="006E5FD4">
        <w:tc>
          <w:tcPr>
            <w:tcW w:w="3311" w:type="dxa"/>
          </w:tcPr>
          <w:p w:rsidR="0021764E" w:rsidRPr="00C62D22" w:rsidRDefault="0021764E" w:rsidP="006E5FD4">
            <w:pPr>
              <w:tabs>
                <w:tab w:val="center" w:pos="1293"/>
              </w:tabs>
              <w:spacing w:after="0" w:line="240" w:lineRule="auto"/>
              <w:jc w:val="center"/>
              <w:rPr>
                <w:rFonts w:ascii="Times New Roman" w:hAnsi="Times New Roman" w:cs="Times New Roman"/>
                <w:sz w:val="28"/>
                <w:szCs w:val="28"/>
              </w:rPr>
            </w:pPr>
          </w:p>
        </w:tc>
        <w:tc>
          <w:tcPr>
            <w:tcW w:w="6754" w:type="dxa"/>
            <w:gridSpan w:val="3"/>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ab/>
              <w:t>F</w:t>
            </w:r>
            <w:r w:rsidRPr="00C62D22">
              <w:rPr>
                <w:rFonts w:ascii="Times New Roman" w:hAnsi="Times New Roman" w:cs="Times New Roman"/>
                <w:sz w:val="28"/>
                <w:szCs w:val="28"/>
              </w:rPr>
              <w:sym w:font="Symbol" w:char="F03D"/>
            </w:r>
            <w:r w:rsidRPr="00C62D22">
              <w:rPr>
                <w:rFonts w:ascii="Times New Roman" w:hAnsi="Times New Roman" w:cs="Times New Roman"/>
                <w:sz w:val="28"/>
                <w:szCs w:val="28"/>
              </w:rPr>
              <w:t>50,681, p</w:t>
            </w:r>
            <w:r w:rsidRPr="00C62D22">
              <w:rPr>
                <w:rFonts w:ascii="Times New Roman" w:hAnsi="Times New Roman" w:cs="Times New Roman"/>
                <w:sz w:val="28"/>
                <w:szCs w:val="28"/>
              </w:rPr>
              <w:sym w:font="Symbol" w:char="F03D"/>
            </w:r>
            <w:r w:rsidRPr="00C62D22">
              <w:rPr>
                <w:rFonts w:ascii="Times New Roman" w:hAnsi="Times New Roman" w:cs="Times New Roman"/>
                <w:sz w:val="28"/>
                <w:szCs w:val="28"/>
              </w:rPr>
              <w:t>0,000</w:t>
            </w:r>
          </w:p>
        </w:tc>
      </w:tr>
      <w:tr w:rsidR="0021764E" w:rsidRPr="00C62D22" w:rsidTr="006E5FD4">
        <w:tc>
          <w:tcPr>
            <w:tcW w:w="3311"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ММП-9/ТІМП-2 (0,25)</w:t>
            </w:r>
          </w:p>
        </w:tc>
        <w:tc>
          <w:tcPr>
            <w:tcW w:w="2074"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0,67</w:t>
            </w:r>
          </w:p>
        </w:tc>
        <w:tc>
          <w:tcPr>
            <w:tcW w:w="2340"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0,67</w:t>
            </w:r>
          </w:p>
        </w:tc>
        <w:tc>
          <w:tcPr>
            <w:tcW w:w="2340"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0,53</w:t>
            </w:r>
          </w:p>
        </w:tc>
      </w:tr>
      <w:tr w:rsidR="0021764E" w:rsidRPr="00C62D22" w:rsidTr="006E5FD4">
        <w:tc>
          <w:tcPr>
            <w:tcW w:w="3311" w:type="dxa"/>
          </w:tcPr>
          <w:p w:rsidR="0021764E" w:rsidRPr="00C62D22" w:rsidRDefault="0021764E" w:rsidP="006E5FD4">
            <w:pPr>
              <w:tabs>
                <w:tab w:val="center" w:pos="1293"/>
              </w:tabs>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VEGF, пг/мл</w:t>
            </w:r>
          </w:p>
          <w:p w:rsidR="0021764E" w:rsidRPr="00C62D22" w:rsidRDefault="0021764E" w:rsidP="006E5FD4">
            <w:pPr>
              <w:tabs>
                <w:tab w:val="center" w:pos="1293"/>
              </w:tabs>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127,9</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29,02 (87,8-167,3)</w:t>
            </w:r>
          </w:p>
        </w:tc>
        <w:tc>
          <w:tcPr>
            <w:tcW w:w="2074"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1004</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261,9*</w:t>
            </w:r>
          </w:p>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(678,7-1457)</w:t>
            </w:r>
          </w:p>
        </w:tc>
        <w:tc>
          <w:tcPr>
            <w:tcW w:w="2340"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860</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228,1* **</w:t>
            </w:r>
          </w:p>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(389,6-1268)</w:t>
            </w:r>
          </w:p>
        </w:tc>
        <w:tc>
          <w:tcPr>
            <w:tcW w:w="2340" w:type="dxa"/>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639,3</w:t>
            </w:r>
            <w:r w:rsidRPr="00C62D22">
              <w:rPr>
                <w:rFonts w:ascii="Times New Roman" w:hAnsi="Times New Roman" w:cs="Times New Roman"/>
                <w:sz w:val="28"/>
                <w:szCs w:val="28"/>
              </w:rPr>
              <w:sym w:font="Symbol" w:char="F0B1"/>
            </w:r>
            <w:r w:rsidRPr="00C62D22">
              <w:rPr>
                <w:rFonts w:ascii="Times New Roman" w:hAnsi="Times New Roman" w:cs="Times New Roman"/>
                <w:sz w:val="28"/>
                <w:szCs w:val="28"/>
              </w:rPr>
              <w:t>197* ***</w:t>
            </w:r>
          </w:p>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(387,6-1023)</w:t>
            </w:r>
          </w:p>
        </w:tc>
      </w:tr>
      <w:tr w:rsidR="0021764E" w:rsidRPr="00C62D22" w:rsidTr="006E5FD4">
        <w:tc>
          <w:tcPr>
            <w:tcW w:w="3311" w:type="dxa"/>
          </w:tcPr>
          <w:p w:rsidR="0021764E" w:rsidRPr="00C62D22" w:rsidRDefault="0021764E" w:rsidP="006E5FD4">
            <w:pPr>
              <w:tabs>
                <w:tab w:val="center" w:pos="1293"/>
              </w:tabs>
              <w:spacing w:after="0" w:line="240" w:lineRule="auto"/>
              <w:jc w:val="center"/>
              <w:rPr>
                <w:rFonts w:ascii="Times New Roman" w:hAnsi="Times New Roman" w:cs="Times New Roman"/>
                <w:sz w:val="28"/>
                <w:szCs w:val="28"/>
              </w:rPr>
            </w:pPr>
          </w:p>
        </w:tc>
        <w:tc>
          <w:tcPr>
            <w:tcW w:w="6754" w:type="dxa"/>
            <w:gridSpan w:val="3"/>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F</w:t>
            </w:r>
            <w:r w:rsidRPr="00C62D22">
              <w:rPr>
                <w:rFonts w:ascii="Times New Roman" w:hAnsi="Times New Roman" w:cs="Times New Roman"/>
                <w:sz w:val="28"/>
                <w:szCs w:val="28"/>
              </w:rPr>
              <w:sym w:font="Symbol" w:char="F03D"/>
            </w:r>
            <w:r w:rsidRPr="00C62D22">
              <w:rPr>
                <w:rFonts w:ascii="Times New Roman" w:hAnsi="Times New Roman" w:cs="Times New Roman"/>
                <w:sz w:val="28"/>
                <w:szCs w:val="28"/>
              </w:rPr>
              <w:t>10,114, p</w:t>
            </w:r>
            <w:r w:rsidRPr="00C62D22">
              <w:rPr>
                <w:rFonts w:ascii="Times New Roman" w:hAnsi="Times New Roman" w:cs="Times New Roman"/>
                <w:sz w:val="28"/>
                <w:szCs w:val="28"/>
              </w:rPr>
              <w:sym w:font="Symbol" w:char="F03D"/>
            </w:r>
            <w:r w:rsidRPr="00C62D22">
              <w:rPr>
                <w:rFonts w:ascii="Times New Roman" w:hAnsi="Times New Roman" w:cs="Times New Roman"/>
                <w:sz w:val="28"/>
                <w:szCs w:val="28"/>
              </w:rPr>
              <w:t>0,000</w:t>
            </w:r>
          </w:p>
        </w:tc>
      </w:tr>
    </w:tbl>
    <w:p w:rsidR="0021764E" w:rsidRPr="00C62D22" w:rsidRDefault="0021764E" w:rsidP="0021764E">
      <w:pPr>
        <w:pStyle w:val="2"/>
        <w:spacing w:after="0" w:line="360" w:lineRule="auto"/>
        <w:ind w:firstLine="708"/>
        <w:jc w:val="both"/>
        <w:rPr>
          <w:color w:val="000000"/>
          <w:szCs w:val="28"/>
          <w:lang w:val="uk-UA"/>
        </w:rPr>
      </w:pPr>
    </w:p>
    <w:p w:rsidR="0021764E" w:rsidRPr="00C62D22" w:rsidRDefault="0021764E" w:rsidP="0021764E">
      <w:pPr>
        <w:pStyle w:val="2"/>
        <w:spacing w:after="0" w:line="360" w:lineRule="auto"/>
        <w:ind w:firstLine="708"/>
        <w:jc w:val="both"/>
        <w:rPr>
          <w:color w:val="000000"/>
          <w:szCs w:val="28"/>
          <w:lang w:val="uk-UA"/>
        </w:rPr>
      </w:pPr>
      <w:r w:rsidRPr="00C62D22">
        <w:rPr>
          <w:color w:val="000000"/>
          <w:szCs w:val="28"/>
          <w:lang w:val="uk-UA"/>
        </w:rPr>
        <w:t xml:space="preserve">Примітка: * – достовірно з контролем; ** </w:t>
      </w:r>
      <w:r w:rsidRPr="00C62D22">
        <w:rPr>
          <w:color w:val="000000"/>
          <w:szCs w:val="28"/>
          <w:lang w:val="uk-UA"/>
        </w:rPr>
        <w:sym w:font="Symbol" w:char="F02D"/>
      </w:r>
      <w:r w:rsidRPr="00C62D22">
        <w:rPr>
          <w:color w:val="000000"/>
          <w:szCs w:val="28"/>
          <w:lang w:val="uk-UA"/>
        </w:rPr>
        <w:t xml:space="preserve"> достовірно між 1 і 2 групами; *** </w:t>
      </w:r>
      <w:r w:rsidRPr="00C62D22">
        <w:rPr>
          <w:color w:val="000000"/>
          <w:szCs w:val="28"/>
          <w:lang w:val="uk-UA"/>
        </w:rPr>
        <w:sym w:font="Symbol" w:char="F02D"/>
      </w:r>
      <w:r w:rsidRPr="00C62D22">
        <w:rPr>
          <w:color w:val="000000"/>
          <w:szCs w:val="28"/>
          <w:lang w:val="uk-UA"/>
        </w:rPr>
        <w:t xml:space="preserve"> достовірно між 2 і 3 групами (р</w:t>
      </w:r>
      <w:r w:rsidRPr="00C62D22">
        <w:rPr>
          <w:color w:val="000000"/>
          <w:szCs w:val="28"/>
          <w:lang w:val="uk-UA"/>
        </w:rPr>
        <w:sym w:font="Symbol" w:char="F03C"/>
      </w:r>
      <w:r w:rsidRPr="00C62D22">
        <w:rPr>
          <w:color w:val="000000"/>
          <w:szCs w:val="28"/>
          <w:lang w:val="uk-UA"/>
        </w:rPr>
        <w:t>0,05).</w:t>
      </w:r>
    </w:p>
    <w:p w:rsidR="0021764E" w:rsidRPr="00C62D22" w:rsidRDefault="0021764E" w:rsidP="0021764E">
      <w:pPr>
        <w:spacing w:after="0" w:line="360" w:lineRule="auto"/>
        <w:ind w:firstLine="708"/>
        <w:jc w:val="both"/>
        <w:rPr>
          <w:rFonts w:ascii="Times New Roman" w:hAnsi="Times New Roman" w:cs="Times New Roman"/>
          <w:sz w:val="28"/>
          <w:szCs w:val="28"/>
          <w:lang w:val="uk-UA"/>
        </w:rPr>
      </w:pPr>
      <w:r w:rsidRPr="00C62D22">
        <w:rPr>
          <w:rFonts w:ascii="Times New Roman" w:hAnsi="Times New Roman" w:cs="Times New Roman"/>
          <w:sz w:val="28"/>
          <w:szCs w:val="28"/>
          <w:lang w:val="uk-UA"/>
        </w:rPr>
        <w:lastRenderedPageBreak/>
        <w:t xml:space="preserve">Концентрація тканинного інгібітору матриксних металопротеїназ (ТІМП–2) була в середньому на 40,4% вище у хворих з </w:t>
      </w:r>
      <w:r w:rsidRPr="00C62D22">
        <w:rPr>
          <w:rFonts w:ascii="Times New Roman" w:hAnsi="Times New Roman" w:cs="Times New Roman"/>
          <w:sz w:val="28"/>
          <w:szCs w:val="28"/>
        </w:rPr>
        <w:t>I</w:t>
      </w:r>
      <w:r w:rsidRPr="00C62D22">
        <w:rPr>
          <w:rFonts w:ascii="Times New Roman" w:hAnsi="Times New Roman" w:cs="Times New Roman"/>
          <w:sz w:val="28"/>
          <w:szCs w:val="28"/>
          <w:lang w:val="uk-UA"/>
        </w:rPr>
        <w:t xml:space="preserve"> типом ПК ПЗ, ніж у контрольної групи (</w:t>
      </w:r>
      <w:r w:rsidRPr="00C62D22">
        <w:rPr>
          <w:rFonts w:ascii="Times New Roman" w:hAnsi="Times New Roman" w:cs="Times New Roman"/>
          <w:sz w:val="28"/>
          <w:szCs w:val="28"/>
        </w:rPr>
        <w:t>p</w:t>
      </w:r>
      <w:r w:rsidRPr="00C62D22">
        <w:rPr>
          <w:rFonts w:ascii="Times New Roman" w:hAnsi="Times New Roman" w:cs="Times New Roman"/>
          <w:sz w:val="28"/>
          <w:szCs w:val="28"/>
          <w:lang w:val="uk-UA"/>
        </w:rPr>
        <w:t xml:space="preserve"> &lt;0,001); у хворих з </w:t>
      </w:r>
      <w:r w:rsidRPr="00C62D22">
        <w:rPr>
          <w:rFonts w:ascii="Times New Roman" w:hAnsi="Times New Roman" w:cs="Times New Roman"/>
          <w:sz w:val="28"/>
          <w:szCs w:val="28"/>
        </w:rPr>
        <w:t>II</w:t>
      </w:r>
      <w:r w:rsidRPr="00C62D22">
        <w:rPr>
          <w:rFonts w:ascii="Times New Roman" w:hAnsi="Times New Roman" w:cs="Times New Roman"/>
          <w:sz w:val="28"/>
          <w:szCs w:val="28"/>
          <w:lang w:val="uk-UA"/>
        </w:rPr>
        <w:t xml:space="preserve"> типом відмінності були недостовірними; у хворих на </w:t>
      </w:r>
      <w:r w:rsidRPr="00C62D22">
        <w:rPr>
          <w:rFonts w:ascii="Times New Roman" w:hAnsi="Times New Roman" w:cs="Times New Roman"/>
          <w:sz w:val="28"/>
          <w:szCs w:val="28"/>
        </w:rPr>
        <w:t>III</w:t>
      </w:r>
      <w:r w:rsidRPr="00C62D22">
        <w:rPr>
          <w:rFonts w:ascii="Times New Roman" w:hAnsi="Times New Roman" w:cs="Times New Roman"/>
          <w:sz w:val="28"/>
          <w:szCs w:val="28"/>
          <w:lang w:val="uk-UA"/>
        </w:rPr>
        <w:t xml:space="preserve"> тип ПК рівень ТІМП–2 був у середньому на 12% нижче, ніж показник у групі контролю (</w:t>
      </w:r>
      <w:r w:rsidRPr="00C62D22">
        <w:rPr>
          <w:rFonts w:ascii="Times New Roman" w:hAnsi="Times New Roman" w:cs="Times New Roman"/>
          <w:sz w:val="28"/>
          <w:szCs w:val="28"/>
        </w:rPr>
        <w:t>p</w:t>
      </w:r>
      <w:r w:rsidRPr="00C62D22">
        <w:rPr>
          <w:rFonts w:ascii="Times New Roman" w:hAnsi="Times New Roman" w:cs="Times New Roman"/>
          <w:sz w:val="28"/>
          <w:szCs w:val="28"/>
          <w:lang w:val="uk-UA"/>
        </w:rPr>
        <w:t xml:space="preserve"> &lt;0,05) (табл. 4.4, рис.4.4). </w:t>
      </w:r>
    </w:p>
    <w:p w:rsidR="0021764E" w:rsidRPr="00C62D22" w:rsidRDefault="0021764E" w:rsidP="0021764E">
      <w:pPr>
        <w:spacing w:after="0" w:line="360" w:lineRule="auto"/>
        <w:ind w:firstLine="708"/>
        <w:jc w:val="both"/>
        <w:rPr>
          <w:rFonts w:ascii="Times New Roman" w:hAnsi="Times New Roman" w:cs="Times New Roman"/>
          <w:sz w:val="28"/>
          <w:szCs w:val="28"/>
          <w:lang w:val="uk-UA"/>
        </w:rPr>
      </w:pPr>
      <w:r w:rsidRPr="00C62D22">
        <w:rPr>
          <w:rFonts w:ascii="Times New Roman" w:hAnsi="Times New Roman" w:cs="Times New Roman"/>
          <w:noProof/>
          <w:sz w:val="28"/>
          <w:szCs w:val="28"/>
        </w:rPr>
        <w:pict>
          <v:group id="_x0000_s1101" style="position:absolute;left:0;text-align:left;margin-left:7.8pt;margin-top:19.9pt;width:506.05pt;height:310.15pt;z-index:251735040" coordorigin="1769,2943" coordsize="10121,6300">
            <v:shape id="_x0000_s1102" type="#_x0000_t202" style="position:absolute;left:1979;top:2943;width:9911;height:5941;mso-wrap-style:none" stroked="f">
              <v:textbox style="mso-next-textbox:#_x0000_s1102">
                <w:txbxContent>
                  <w:p w:rsidR="0021764E" w:rsidRDefault="0021764E" w:rsidP="0021764E">
                    <w:pPr>
                      <w:jc w:val="center"/>
                    </w:pPr>
                    <w:r w:rsidRPr="00046D6D">
                      <w:rPr>
                        <w:rFonts w:ascii="Times New Roman" w:hAnsi="Times New Roman"/>
                        <w:noProof/>
                        <w:color w:val="FF6600"/>
                        <w:sz w:val="28"/>
                        <w:szCs w:val="28"/>
                      </w:rPr>
                      <w:pict>
                        <v:shape id="_x0000_i1622" type="#_x0000_t75" style="width:481.5pt;height:279pt;visibility:visible">
                          <v:imagedata r:id="rId40" o:title=""/>
                        </v:shape>
                      </w:pict>
                    </w:r>
                  </w:p>
                </w:txbxContent>
              </v:textbox>
            </v:shape>
            <v:shape id="_x0000_s1103" type="#_x0000_t202" style="position:absolute;left:1769;top:8703;width:9435;height:540" stroked="f">
              <v:textbox style="mso-next-textbox:#_x0000_s1103">
                <w:txbxContent>
                  <w:p w:rsidR="0021764E" w:rsidRPr="00CC2C5C" w:rsidRDefault="0021764E" w:rsidP="0021764E">
                    <w:pPr>
                      <w:spacing w:after="0"/>
                      <w:ind w:firstLine="540"/>
                      <w:jc w:val="right"/>
                    </w:pPr>
                    <w:r>
                      <w:rPr>
                        <w:rFonts w:ascii="Times New Roman" w:hAnsi="Times New Roman"/>
                        <w:sz w:val="28"/>
                        <w:szCs w:val="28"/>
                      </w:rPr>
                      <w:t>Рис. 4.4. Уміст ТІМП</w:t>
                    </w:r>
                    <w:r w:rsidRPr="00803598">
                      <w:rPr>
                        <w:rFonts w:ascii="Times New Roman" w:hAnsi="Times New Roman"/>
                        <w:sz w:val="28"/>
                        <w:szCs w:val="28"/>
                      </w:rPr>
                      <w:t>–</w:t>
                    </w:r>
                    <w:r>
                      <w:rPr>
                        <w:rStyle w:val="hps"/>
                        <w:rFonts w:ascii="Times New Roman" w:hAnsi="Times New Roman"/>
                        <w:color w:val="222222"/>
                        <w:sz w:val="28"/>
                        <w:szCs w:val="28"/>
                      </w:rPr>
                      <w:t>2</w:t>
                    </w:r>
                    <w:r>
                      <w:rPr>
                        <w:rFonts w:ascii="Times New Roman" w:hAnsi="Times New Roman"/>
                        <w:color w:val="222222"/>
                        <w:sz w:val="28"/>
                        <w:szCs w:val="28"/>
                      </w:rPr>
                      <w:t xml:space="preserve"> </w:t>
                    </w:r>
                    <w:r>
                      <w:rPr>
                        <w:rStyle w:val="hps"/>
                        <w:rFonts w:ascii="Times New Roman" w:hAnsi="Times New Roman"/>
                        <w:color w:val="222222"/>
                        <w:sz w:val="28"/>
                        <w:szCs w:val="28"/>
                      </w:rPr>
                      <w:t>в</w:t>
                    </w:r>
                    <w:r>
                      <w:rPr>
                        <w:rFonts w:ascii="Times New Roman" w:hAnsi="Times New Roman"/>
                        <w:color w:val="222222"/>
                        <w:sz w:val="28"/>
                        <w:szCs w:val="28"/>
                      </w:rPr>
                      <w:t xml:space="preserve"> </w:t>
                    </w:r>
                    <w:r>
                      <w:rPr>
                        <w:rStyle w:val="hps"/>
                        <w:rFonts w:ascii="Times New Roman" w:hAnsi="Times New Roman"/>
                        <w:color w:val="222222"/>
                        <w:sz w:val="28"/>
                        <w:szCs w:val="28"/>
                      </w:rPr>
                      <w:t>сироватці</w:t>
                    </w:r>
                    <w:r>
                      <w:rPr>
                        <w:rFonts w:ascii="Times New Roman" w:hAnsi="Times New Roman"/>
                        <w:color w:val="222222"/>
                        <w:sz w:val="28"/>
                        <w:szCs w:val="28"/>
                      </w:rPr>
                      <w:t xml:space="preserve"> </w:t>
                    </w:r>
                    <w:r>
                      <w:rPr>
                        <w:rStyle w:val="hps"/>
                        <w:rFonts w:ascii="Times New Roman" w:hAnsi="Times New Roman"/>
                        <w:color w:val="222222"/>
                        <w:sz w:val="28"/>
                        <w:szCs w:val="28"/>
                      </w:rPr>
                      <w:t>крові</w:t>
                    </w:r>
                    <w:r>
                      <w:rPr>
                        <w:rFonts w:ascii="Times New Roman" w:hAnsi="Times New Roman"/>
                        <w:color w:val="222222"/>
                        <w:sz w:val="28"/>
                        <w:szCs w:val="28"/>
                      </w:rPr>
                      <w:t xml:space="preserve"> </w:t>
                    </w:r>
                    <w:r>
                      <w:rPr>
                        <w:rStyle w:val="hps"/>
                        <w:rFonts w:ascii="Times New Roman" w:hAnsi="Times New Roman"/>
                        <w:color w:val="222222"/>
                        <w:sz w:val="28"/>
                        <w:szCs w:val="28"/>
                      </w:rPr>
                      <w:t>у хворих з ПК ПЗ</w:t>
                    </w:r>
                  </w:p>
                </w:txbxContent>
              </v:textbox>
            </v:shape>
          </v:group>
        </w:pict>
      </w:r>
    </w:p>
    <w:p w:rsidR="0021764E" w:rsidRPr="00C62D22" w:rsidRDefault="0021764E" w:rsidP="0021764E">
      <w:pPr>
        <w:spacing w:after="0" w:line="360" w:lineRule="auto"/>
        <w:ind w:firstLine="708"/>
        <w:jc w:val="both"/>
        <w:rPr>
          <w:rFonts w:ascii="Times New Roman" w:hAnsi="Times New Roman" w:cs="Times New Roman"/>
          <w:sz w:val="28"/>
          <w:szCs w:val="28"/>
          <w:lang w:val="uk-UA"/>
        </w:rPr>
      </w:pPr>
    </w:p>
    <w:p w:rsidR="0021764E" w:rsidRPr="00C62D22" w:rsidRDefault="0021764E" w:rsidP="0021764E">
      <w:pPr>
        <w:spacing w:after="0" w:line="360" w:lineRule="auto"/>
        <w:ind w:firstLine="708"/>
        <w:jc w:val="both"/>
        <w:rPr>
          <w:rFonts w:ascii="Times New Roman" w:hAnsi="Times New Roman" w:cs="Times New Roman"/>
          <w:sz w:val="28"/>
          <w:szCs w:val="28"/>
          <w:lang w:val="uk-UA"/>
        </w:rPr>
      </w:pPr>
    </w:p>
    <w:p w:rsidR="0021764E" w:rsidRPr="00C62D22" w:rsidRDefault="0021764E" w:rsidP="0021764E">
      <w:pPr>
        <w:spacing w:after="0" w:line="360" w:lineRule="auto"/>
        <w:ind w:firstLine="708"/>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lang w:val="uk-UA"/>
        </w:rPr>
      </w:pPr>
    </w:p>
    <w:p w:rsidR="0021764E" w:rsidRPr="00C62D22" w:rsidRDefault="0021764E" w:rsidP="0021764E">
      <w:pPr>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lang w:val="uk-UA"/>
        </w:rPr>
        <w:t xml:space="preserve">Коефіцієнт </w:t>
      </w:r>
      <w:r w:rsidRPr="00C62D22">
        <w:rPr>
          <w:rFonts w:ascii="Times New Roman" w:hAnsi="Times New Roman" w:cs="Times New Roman"/>
          <w:sz w:val="28"/>
          <w:szCs w:val="28"/>
        </w:rPr>
        <w:t>MM</w:t>
      </w:r>
      <w:r w:rsidRPr="00C62D22">
        <w:rPr>
          <w:rFonts w:ascii="Times New Roman" w:hAnsi="Times New Roman" w:cs="Times New Roman"/>
          <w:sz w:val="28"/>
          <w:szCs w:val="28"/>
          <w:lang w:val="uk-UA"/>
        </w:rPr>
        <w:t>П–9/</w:t>
      </w:r>
      <w:r w:rsidRPr="00C62D22">
        <w:rPr>
          <w:rFonts w:ascii="Times New Roman" w:hAnsi="Times New Roman" w:cs="Times New Roman"/>
          <w:sz w:val="28"/>
          <w:szCs w:val="28"/>
        </w:rPr>
        <w:t>T</w:t>
      </w:r>
      <w:r w:rsidRPr="00C62D22">
        <w:rPr>
          <w:rFonts w:ascii="Times New Roman" w:hAnsi="Times New Roman" w:cs="Times New Roman"/>
          <w:sz w:val="28"/>
          <w:szCs w:val="28"/>
          <w:lang w:val="uk-UA"/>
        </w:rPr>
        <w:t>І</w:t>
      </w:r>
      <w:r w:rsidRPr="00C62D22">
        <w:rPr>
          <w:rFonts w:ascii="Times New Roman" w:hAnsi="Times New Roman" w:cs="Times New Roman"/>
          <w:sz w:val="28"/>
          <w:szCs w:val="28"/>
        </w:rPr>
        <w:t>M</w:t>
      </w:r>
      <w:r w:rsidRPr="00C62D22">
        <w:rPr>
          <w:rFonts w:ascii="Times New Roman" w:hAnsi="Times New Roman" w:cs="Times New Roman"/>
          <w:sz w:val="28"/>
          <w:szCs w:val="28"/>
          <w:lang w:val="uk-UA"/>
        </w:rPr>
        <w:t xml:space="preserve">П–2 (коефіцієнт інгібування за ММП-9) був вищим у хворих з </w:t>
      </w:r>
      <w:r w:rsidRPr="00C62D22">
        <w:rPr>
          <w:rFonts w:ascii="Times New Roman" w:hAnsi="Times New Roman" w:cs="Times New Roman"/>
          <w:sz w:val="28"/>
          <w:szCs w:val="28"/>
        </w:rPr>
        <w:t>I</w:t>
      </w:r>
      <w:r w:rsidRPr="00C62D22">
        <w:rPr>
          <w:rFonts w:ascii="Times New Roman" w:hAnsi="Times New Roman" w:cs="Times New Roman"/>
          <w:sz w:val="28"/>
          <w:szCs w:val="28"/>
          <w:lang w:val="uk-UA"/>
        </w:rPr>
        <w:t xml:space="preserve"> і </w:t>
      </w:r>
      <w:r w:rsidRPr="00C62D22">
        <w:rPr>
          <w:rFonts w:ascii="Times New Roman" w:hAnsi="Times New Roman" w:cs="Times New Roman"/>
          <w:sz w:val="28"/>
          <w:szCs w:val="28"/>
        </w:rPr>
        <w:t>II</w:t>
      </w:r>
      <w:r w:rsidRPr="00C62D22">
        <w:rPr>
          <w:rFonts w:ascii="Times New Roman" w:hAnsi="Times New Roman" w:cs="Times New Roman"/>
          <w:sz w:val="28"/>
          <w:szCs w:val="28"/>
          <w:lang w:val="uk-UA"/>
        </w:rPr>
        <w:t xml:space="preserve"> типами ПК ПЗ, і становив відповідно 0,67 (у контрольній – 0,25)           (р &lt; 0,001). </w:t>
      </w:r>
      <w:r w:rsidRPr="00C62D22">
        <w:rPr>
          <w:rFonts w:ascii="Times New Roman" w:hAnsi="Times New Roman" w:cs="Times New Roman"/>
          <w:sz w:val="28"/>
          <w:szCs w:val="28"/>
        </w:rPr>
        <w:t xml:space="preserve">У хворих з III типом ПК коефіцієнт інгібування за ММП–9 був нижчим, ніж у перших двох групах, але на 112% перевищував показники контрольної групи (p &lt;0,001). </w:t>
      </w:r>
    </w:p>
    <w:p w:rsidR="0021764E" w:rsidRPr="00C62D22" w:rsidRDefault="0021764E" w:rsidP="0021764E">
      <w:pPr>
        <w:spacing w:after="0" w:line="360" w:lineRule="auto"/>
        <w:ind w:firstLine="708"/>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Як видно з наведених вище даних, при довірчій імовірності 0,95% (р &lt;0,05) показник ММП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9 значимо відрізнявся у всіх чотирьох групах (рис. 4.5).</w:t>
      </w:r>
    </w:p>
    <w:p w:rsidR="0021764E" w:rsidRPr="00C62D22" w:rsidRDefault="0021764E" w:rsidP="0021764E">
      <w:pPr>
        <w:spacing w:after="0" w:line="360" w:lineRule="auto"/>
        <w:ind w:firstLine="708"/>
        <w:jc w:val="both"/>
        <w:rPr>
          <w:rStyle w:val="hps"/>
          <w:rFonts w:ascii="Times New Roman" w:hAnsi="Times New Roman" w:cs="Times New Roman"/>
          <w:sz w:val="28"/>
          <w:szCs w:val="28"/>
        </w:rPr>
      </w:pPr>
    </w:p>
    <w:p w:rsidR="0021764E" w:rsidRPr="00C62D22" w:rsidRDefault="0021764E" w:rsidP="0021764E">
      <w:pPr>
        <w:spacing w:after="0" w:line="360" w:lineRule="auto"/>
        <w:ind w:firstLine="708"/>
        <w:jc w:val="both"/>
        <w:rPr>
          <w:rStyle w:val="hps"/>
          <w:rFonts w:ascii="Times New Roman" w:hAnsi="Times New Roman" w:cs="Times New Roman"/>
          <w:sz w:val="28"/>
          <w:szCs w:val="28"/>
        </w:rPr>
      </w:pPr>
    </w:p>
    <w:p w:rsidR="0021764E" w:rsidRPr="00C62D22" w:rsidRDefault="0021764E" w:rsidP="0021764E">
      <w:pPr>
        <w:spacing w:after="0" w:line="360" w:lineRule="auto"/>
        <w:ind w:firstLine="708"/>
        <w:jc w:val="both"/>
        <w:rPr>
          <w:rFonts w:ascii="Times New Roman" w:hAnsi="Times New Roman" w:cs="Times New Roman"/>
          <w:sz w:val="28"/>
          <w:szCs w:val="28"/>
        </w:rPr>
      </w:pPr>
    </w:p>
    <w:p w:rsidR="0021764E" w:rsidRPr="00C62D22" w:rsidRDefault="0021764E" w:rsidP="0021764E">
      <w:pPr>
        <w:spacing w:after="0" w:line="360" w:lineRule="auto"/>
        <w:ind w:firstLine="708"/>
        <w:jc w:val="both"/>
        <w:rPr>
          <w:rFonts w:ascii="Times New Roman" w:hAnsi="Times New Roman" w:cs="Times New Roman"/>
          <w:sz w:val="28"/>
          <w:szCs w:val="28"/>
        </w:rPr>
      </w:pPr>
      <w:r w:rsidRPr="00C62D22">
        <w:rPr>
          <w:rFonts w:ascii="Times New Roman" w:hAnsi="Times New Roman" w:cs="Times New Roman"/>
          <w:noProof/>
          <w:sz w:val="28"/>
          <w:szCs w:val="28"/>
        </w:rPr>
        <w:lastRenderedPageBreak/>
        <w:pict>
          <v:group id="_x0000_s1094" style="position:absolute;left:0;text-align:left;margin-left:46.9pt;margin-top:9.7pt;width:464.25pt;height:376.5pt;z-index:251729920" coordorigin="1605,4425" coordsize="9285,7530">
            <v:shape id="_x0000_s1095" type="#_x0000_t202" style="position:absolute;left:2175;top:4425;width:8385;height:6450" stroked="f">
              <v:textbox style="mso-next-textbox:#_x0000_s1095">
                <w:txbxContent>
                  <w:p w:rsidR="0021764E" w:rsidRDefault="0021764E" w:rsidP="0021764E">
                    <w:r w:rsidRPr="00046D6D">
                      <w:rPr>
                        <w:rFonts w:ascii="Times New Roman" w:hAnsi="Times New Roman"/>
                        <w:noProof/>
                        <w:color w:val="FF6600"/>
                        <w:sz w:val="28"/>
                        <w:szCs w:val="28"/>
                      </w:rPr>
                      <w:pict>
                        <v:shape id="_x0000_i1623" type="#_x0000_t75" style="width:411pt;height:291pt;visibility:visible">
                          <v:imagedata r:id="rId41" o:title=""/>
                        </v:shape>
                      </w:pict>
                    </w:r>
                  </w:p>
                </w:txbxContent>
              </v:textbox>
            </v:shape>
            <v:shape id="_x0000_s1096" type="#_x0000_t202" style="position:absolute;left:1605;top:11070;width:9285;height:885" stroked="f">
              <v:textbox style="mso-next-textbox:#_x0000_s1096">
                <w:txbxContent>
                  <w:p w:rsidR="0021764E" w:rsidRPr="00803598" w:rsidRDefault="0021764E" w:rsidP="0021764E">
                    <w:pPr>
                      <w:spacing w:after="0"/>
                      <w:ind w:firstLine="540"/>
                      <w:jc w:val="right"/>
                      <w:rPr>
                        <w:rStyle w:val="hps"/>
                        <w:rFonts w:ascii="Times New Roman" w:hAnsi="Times New Roman"/>
                        <w:color w:val="222222"/>
                        <w:sz w:val="28"/>
                        <w:szCs w:val="28"/>
                      </w:rPr>
                    </w:pPr>
                    <w:r>
                      <w:rPr>
                        <w:rFonts w:ascii="Times New Roman" w:hAnsi="Times New Roman"/>
                        <w:sz w:val="28"/>
                        <w:szCs w:val="28"/>
                      </w:rPr>
                      <w:t>Рис. 4.5. Уміст</w:t>
                    </w:r>
                    <w:r>
                      <w:rPr>
                        <w:rFonts w:ascii="Times New Roman" w:hAnsi="Times New Roman"/>
                        <w:color w:val="222222"/>
                        <w:sz w:val="28"/>
                        <w:szCs w:val="28"/>
                      </w:rPr>
                      <w:t xml:space="preserve"> </w:t>
                    </w:r>
                    <w:r>
                      <w:rPr>
                        <w:rStyle w:val="hps"/>
                        <w:rFonts w:ascii="Times New Roman" w:hAnsi="Times New Roman"/>
                        <w:color w:val="222222"/>
                        <w:sz w:val="28"/>
                        <w:szCs w:val="28"/>
                      </w:rPr>
                      <w:t>ММП</w:t>
                    </w:r>
                    <w:r w:rsidRPr="00803598">
                      <w:rPr>
                        <w:rFonts w:ascii="Times New Roman" w:hAnsi="Times New Roman"/>
                        <w:sz w:val="28"/>
                        <w:szCs w:val="28"/>
                      </w:rPr>
                      <w:t>–</w:t>
                    </w:r>
                    <w:r>
                      <w:rPr>
                        <w:rStyle w:val="hps"/>
                        <w:rFonts w:ascii="Times New Roman" w:hAnsi="Times New Roman"/>
                        <w:color w:val="222222"/>
                        <w:sz w:val="28"/>
                        <w:szCs w:val="28"/>
                      </w:rPr>
                      <w:t>9</w:t>
                    </w:r>
                    <w:r>
                      <w:rPr>
                        <w:rFonts w:ascii="Times New Roman" w:hAnsi="Times New Roman"/>
                        <w:color w:val="222222"/>
                        <w:sz w:val="28"/>
                        <w:szCs w:val="28"/>
                      </w:rPr>
                      <w:t xml:space="preserve"> </w:t>
                    </w:r>
                    <w:r>
                      <w:rPr>
                        <w:rStyle w:val="hps"/>
                        <w:rFonts w:ascii="Times New Roman" w:hAnsi="Times New Roman"/>
                        <w:color w:val="222222"/>
                        <w:sz w:val="28"/>
                        <w:szCs w:val="28"/>
                      </w:rPr>
                      <w:t>в</w:t>
                    </w:r>
                    <w:r>
                      <w:rPr>
                        <w:rFonts w:ascii="Times New Roman" w:hAnsi="Times New Roman"/>
                        <w:color w:val="222222"/>
                        <w:sz w:val="28"/>
                        <w:szCs w:val="28"/>
                      </w:rPr>
                      <w:t xml:space="preserve"> </w:t>
                    </w:r>
                    <w:r>
                      <w:rPr>
                        <w:rStyle w:val="hps"/>
                        <w:rFonts w:ascii="Times New Roman" w:hAnsi="Times New Roman"/>
                        <w:color w:val="222222"/>
                        <w:sz w:val="28"/>
                        <w:szCs w:val="28"/>
                      </w:rPr>
                      <w:t>сироватці</w:t>
                    </w:r>
                    <w:r>
                      <w:rPr>
                        <w:rFonts w:ascii="Times New Roman" w:hAnsi="Times New Roman"/>
                        <w:color w:val="222222"/>
                        <w:sz w:val="28"/>
                        <w:szCs w:val="28"/>
                      </w:rPr>
                      <w:t xml:space="preserve"> </w:t>
                    </w:r>
                    <w:r>
                      <w:rPr>
                        <w:rStyle w:val="hps"/>
                        <w:rFonts w:ascii="Times New Roman" w:hAnsi="Times New Roman"/>
                        <w:color w:val="222222"/>
                        <w:sz w:val="28"/>
                        <w:szCs w:val="28"/>
                      </w:rPr>
                      <w:t>крові</w:t>
                    </w:r>
                    <w:r>
                      <w:rPr>
                        <w:rFonts w:ascii="Times New Roman" w:hAnsi="Times New Roman"/>
                        <w:color w:val="222222"/>
                        <w:sz w:val="28"/>
                        <w:szCs w:val="28"/>
                      </w:rPr>
                      <w:t xml:space="preserve"> </w:t>
                    </w:r>
                    <w:r>
                      <w:rPr>
                        <w:rStyle w:val="hps"/>
                        <w:rFonts w:ascii="Times New Roman" w:hAnsi="Times New Roman"/>
                        <w:color w:val="222222"/>
                        <w:sz w:val="28"/>
                        <w:szCs w:val="28"/>
                      </w:rPr>
                      <w:t>у хворих з ПК ПЗ</w:t>
                    </w:r>
                  </w:p>
                  <w:p w:rsidR="0021764E" w:rsidRPr="00CE6CA1" w:rsidRDefault="0021764E" w:rsidP="0021764E">
                    <w:pPr>
                      <w:ind w:firstLine="540"/>
                      <w:jc w:val="both"/>
                      <w:rPr>
                        <w:rFonts w:ascii="Times New Roman" w:hAnsi="Times New Roman"/>
                        <w:sz w:val="28"/>
                        <w:szCs w:val="28"/>
                      </w:rPr>
                    </w:pPr>
                  </w:p>
                </w:txbxContent>
              </v:textbox>
            </v:shape>
          </v:group>
        </w:pict>
      </w: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spacing w:after="0" w:line="360" w:lineRule="auto"/>
        <w:jc w:val="both"/>
        <w:rPr>
          <w:rStyle w:val="hps"/>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r w:rsidRPr="00C62D22">
        <w:rPr>
          <w:rStyle w:val="hps"/>
          <w:rFonts w:ascii="Times New Roman" w:hAnsi="Times New Roman" w:cs="Times New Roman"/>
          <w:sz w:val="28"/>
          <w:szCs w:val="28"/>
        </w:rPr>
        <w:t>Середні відносини ММП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9/ТІМП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2 були значимо різні тільки для контрольної групи і ІІІ групи між собою і в порівнянні з І і ІІ групами (рис. 4.6). </w:t>
      </w:r>
    </w:p>
    <w:p w:rsidR="0021764E" w:rsidRPr="00C62D22" w:rsidRDefault="0021764E" w:rsidP="0021764E">
      <w:pPr>
        <w:spacing w:after="0" w:line="360" w:lineRule="auto"/>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98" type="#_x0000_t202" style="position:absolute;left:0;text-align:left;margin-left:-6.3pt;margin-top:6.2pt;width:481.5pt;height:256.95pt;z-index:251731968;mso-wrap-style:none" stroked="f">
            <v:textbox style="mso-next-textbox:#_x0000_s1098;mso-fit-shape-to-text:t">
              <w:txbxContent>
                <w:p w:rsidR="0021764E" w:rsidRDefault="0021764E" w:rsidP="0021764E">
                  <w:pPr>
                    <w:ind w:left="851"/>
                    <w:jc w:val="center"/>
                  </w:pPr>
                  <w:r>
                    <w:rPr>
                      <w:rFonts w:ascii="Times New Roman" w:hAnsi="Times New Roman"/>
                      <w:noProof/>
                      <w:color w:val="FF6600"/>
                      <w:sz w:val="28"/>
                      <w:szCs w:val="28"/>
                    </w:rPr>
                    <w:drawing>
                      <wp:inline distT="0" distB="0" distL="0" distR="0">
                        <wp:extent cx="5372100" cy="3019425"/>
                        <wp:effectExtent l="19050" t="0" r="0" b="0"/>
                        <wp:docPr id="8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2"/>
                                <a:srcRect/>
                                <a:stretch>
                                  <a:fillRect/>
                                </a:stretch>
                              </pic:blipFill>
                              <pic:spPr bwMode="auto">
                                <a:xfrm>
                                  <a:off x="0" y="0"/>
                                  <a:ext cx="5372100" cy="3019425"/>
                                </a:xfrm>
                                <a:prstGeom prst="rect">
                                  <a:avLst/>
                                </a:prstGeom>
                                <a:noFill/>
                                <a:ln w="9525">
                                  <a:noFill/>
                                  <a:miter lim="800000"/>
                                  <a:headEnd/>
                                  <a:tailEnd/>
                                </a:ln>
                              </pic:spPr>
                            </pic:pic>
                          </a:graphicData>
                        </a:graphic>
                      </wp:inline>
                    </w:drawing>
                  </w:r>
                </w:p>
              </w:txbxContent>
            </v:textbox>
          </v:shape>
        </w:pict>
      </w: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p>
    <w:p w:rsidR="0021764E" w:rsidRPr="00C62D22" w:rsidRDefault="0021764E" w:rsidP="0021764E">
      <w:pPr>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099" type="#_x0000_t202" style="position:absolute;left:0;text-align:left;margin-left:-27pt;margin-top:21.85pt;width:540pt;height:32.95pt;z-index:251732992" stroked="f">
            <v:textbox style="mso-next-textbox:#_x0000_s1099">
              <w:txbxContent>
                <w:p w:rsidR="0021764E" w:rsidRDefault="0021764E" w:rsidP="0021764E">
                  <w:pPr>
                    <w:spacing w:after="0" w:line="360" w:lineRule="auto"/>
                    <w:ind w:firstLine="540"/>
                    <w:jc w:val="right"/>
                    <w:rPr>
                      <w:rFonts w:ascii="Times New Roman" w:hAnsi="Times New Roman"/>
                      <w:color w:val="000000"/>
                      <w:sz w:val="28"/>
                      <w:szCs w:val="28"/>
                    </w:rPr>
                  </w:pPr>
                  <w:r>
                    <w:rPr>
                      <w:rFonts w:ascii="Times New Roman" w:hAnsi="Times New Roman"/>
                      <w:color w:val="000000"/>
                      <w:sz w:val="28"/>
                      <w:szCs w:val="28"/>
                    </w:rPr>
                    <w:t>Рис. 4.6</w:t>
                  </w:r>
                  <w:r w:rsidRPr="0082021D">
                    <w:rPr>
                      <w:rFonts w:ascii="Times New Roman" w:hAnsi="Times New Roman"/>
                      <w:color w:val="000000"/>
                      <w:sz w:val="28"/>
                      <w:szCs w:val="28"/>
                    </w:rPr>
                    <w:t>. Коефіцієнти</w:t>
                  </w:r>
                  <w:r>
                    <w:rPr>
                      <w:rFonts w:ascii="Times New Roman" w:hAnsi="Times New Roman"/>
                      <w:color w:val="000000"/>
                      <w:sz w:val="28"/>
                      <w:szCs w:val="28"/>
                    </w:rPr>
                    <w:t xml:space="preserve"> інгібування за ММП</w:t>
                  </w:r>
                  <w:r w:rsidRPr="00803598">
                    <w:rPr>
                      <w:rFonts w:ascii="Times New Roman" w:hAnsi="Times New Roman"/>
                      <w:sz w:val="28"/>
                      <w:szCs w:val="28"/>
                    </w:rPr>
                    <w:t>–</w:t>
                  </w:r>
                  <w:r w:rsidRPr="00C644DD">
                    <w:rPr>
                      <w:rFonts w:ascii="Times New Roman" w:hAnsi="Times New Roman"/>
                      <w:color w:val="000000"/>
                      <w:sz w:val="28"/>
                      <w:szCs w:val="28"/>
                    </w:rPr>
                    <w:t>9 у хворих з</w:t>
                  </w:r>
                  <w:r>
                    <w:rPr>
                      <w:rFonts w:ascii="Times New Roman" w:hAnsi="Times New Roman"/>
                      <w:color w:val="000000"/>
                      <w:sz w:val="28"/>
                      <w:szCs w:val="28"/>
                    </w:rPr>
                    <w:t xml:space="preserve"> різними типами ПК</w:t>
                  </w:r>
                  <w:r w:rsidRPr="00C644DD">
                    <w:rPr>
                      <w:rFonts w:ascii="Times New Roman" w:hAnsi="Times New Roman"/>
                      <w:color w:val="000000"/>
                      <w:sz w:val="28"/>
                      <w:szCs w:val="28"/>
                    </w:rPr>
                    <w:t xml:space="preserve"> ПЗ</w:t>
                  </w:r>
                </w:p>
                <w:p w:rsidR="0021764E" w:rsidRDefault="0021764E" w:rsidP="0021764E"/>
              </w:txbxContent>
            </v:textbox>
          </v:shape>
        </w:pict>
      </w:r>
    </w:p>
    <w:p w:rsidR="0021764E" w:rsidRPr="00C62D22" w:rsidRDefault="0021764E" w:rsidP="0021764E">
      <w:pPr>
        <w:spacing w:after="0" w:line="360" w:lineRule="auto"/>
        <w:jc w:val="both"/>
        <w:rPr>
          <w:rFonts w:ascii="Times New Roman" w:hAnsi="Times New Roman" w:cs="Times New Roman"/>
          <w:sz w:val="28"/>
          <w:szCs w:val="28"/>
        </w:rPr>
      </w:pPr>
      <w:r w:rsidRPr="00C62D22">
        <w:rPr>
          <w:rStyle w:val="hps"/>
          <w:rFonts w:ascii="Times New Roman" w:hAnsi="Times New Roman" w:cs="Times New Roman"/>
          <w:sz w:val="28"/>
          <w:szCs w:val="28"/>
        </w:rPr>
        <w:lastRenderedPageBreak/>
        <w:t>Висока активність ММП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9 і ТІМП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2 у хворих з I і II типами ПК ПЗ, можливо, обумовлена компенсаторною реакцією, спрямованою на пригнічення деструкції колагенової мережі (в основному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колагену IV) і на попередження подальшої перебудови сполучної тканини ПЗ. </w:t>
      </w:r>
      <w:r w:rsidRPr="00C62D22">
        <w:rPr>
          <w:rFonts w:ascii="Times New Roman" w:hAnsi="Times New Roman" w:cs="Times New Roman"/>
          <w:sz w:val="28"/>
          <w:szCs w:val="28"/>
        </w:rPr>
        <w:t>При прогресуванні фіброзу ПЗ (ІІІ група хворих) ММП–9 і ТІМП–2 знижувалися  порівняно з І і ІІ групами хворих.</w:t>
      </w:r>
    </w:p>
    <w:p w:rsidR="0021764E" w:rsidRPr="00C62D22" w:rsidRDefault="0021764E" w:rsidP="0021764E">
      <w:pPr>
        <w:shd w:val="clear" w:color="auto" w:fill="FFFFFF"/>
        <w:spacing w:after="0" w:line="360" w:lineRule="auto"/>
        <w:ind w:firstLine="708"/>
        <w:jc w:val="both"/>
        <w:textAlignment w:val="top"/>
        <w:rPr>
          <w:rStyle w:val="hps"/>
          <w:rFonts w:ascii="Times New Roman" w:hAnsi="Times New Roman" w:cs="Times New Roman"/>
          <w:sz w:val="28"/>
          <w:szCs w:val="28"/>
        </w:rPr>
      </w:pPr>
      <w:r w:rsidRPr="00C62D22">
        <w:rPr>
          <w:rFonts w:ascii="Times New Roman" w:hAnsi="Times New Roman" w:cs="Times New Roman"/>
          <w:sz w:val="28"/>
          <w:szCs w:val="28"/>
        </w:rPr>
        <w:t>Васкулоендотеліальний фактор росту (VEGF) – потенційний мітоген для епітеліальних клітин судин. Він сильно впливає на проникність судин, є потужним ангіогенним білком, бере участь у процесах неоваскуляризації при різних патологічних ситуаціях, вивчається в останні роки, у тому числі й при ХП [36, 259, 375, 369]. Як свідчать проведені дослідження (табл. 4.4), середній рівень VEGF був найбільш підвищеним у хворих на І тип ПК ПЗ та на 685% перевищував показники контролю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0,001). У хворих на ІІ та ІІІ типи ПК ПЗ цей показник був на 14,3% та на 36,4% нижчим показника, що був зареєстрований у хворих на І тип ПК ПЗ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0,05), але відповідно на 572,4% і на 399,8% був вищим за показники контрольної групи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0,001). Підвищення в крові хворих рівня VEGF, можливо, свідчить про підвищення проліферативної активності ендотелію судин у відповідь на його ушкодження.</w:t>
      </w:r>
      <w:r w:rsidRPr="00C62D22">
        <w:rPr>
          <w:rStyle w:val="hps"/>
          <w:rFonts w:ascii="Times New Roman" w:hAnsi="Times New Roman" w:cs="Times New Roman"/>
          <w:sz w:val="28"/>
          <w:szCs w:val="28"/>
        </w:rPr>
        <w:t xml:space="preserve"> При вивченні кореляційних зв'язків між показниками, які досліджувались, та тяжкістю стану хворих, було виявлено наявність позитивних значень, що найбільш виражено було для VEGF (рис. 4.7), а коефіцієнт кореляції становив відповідно 0,71 (p</w:t>
      </w:r>
      <w:r w:rsidRPr="00C62D22">
        <w:rPr>
          <w:rStyle w:val="hps"/>
          <w:rFonts w:ascii="Times New Roman" w:hAnsi="Times New Roman" w:cs="Times New Roman"/>
          <w:sz w:val="28"/>
          <w:szCs w:val="28"/>
        </w:rPr>
        <w:sym w:font="Symbol" w:char="F03C"/>
      </w:r>
      <w:r w:rsidRPr="00C62D22">
        <w:rPr>
          <w:rStyle w:val="hps"/>
          <w:rFonts w:ascii="Times New Roman" w:hAnsi="Times New Roman" w:cs="Times New Roman"/>
          <w:sz w:val="28"/>
          <w:szCs w:val="28"/>
        </w:rPr>
        <w:t>0,05).</w:t>
      </w:r>
    </w:p>
    <w:p w:rsidR="0021764E" w:rsidRPr="00C62D22" w:rsidRDefault="0021764E" w:rsidP="0021764E">
      <w:pPr>
        <w:shd w:val="clear" w:color="auto" w:fill="FFFFFF"/>
        <w:spacing w:after="0" w:line="360" w:lineRule="auto"/>
        <w:jc w:val="both"/>
        <w:textAlignment w:val="top"/>
        <w:rPr>
          <w:rFonts w:ascii="Times New Roman" w:hAnsi="Times New Roman" w:cs="Times New Roman"/>
          <w:sz w:val="28"/>
          <w:szCs w:val="28"/>
        </w:rPr>
      </w:pPr>
      <w:r w:rsidRPr="00C62D22">
        <w:rPr>
          <w:rFonts w:ascii="Times New Roman" w:hAnsi="Times New Roman" w:cs="Times New Roman"/>
          <w:noProof/>
          <w:sz w:val="28"/>
          <w:szCs w:val="28"/>
        </w:rPr>
        <w:pict>
          <v:shape id="_x0000_s1097" type="#_x0000_t202" style="position:absolute;left:0;text-align:left;margin-left:4.9pt;margin-top:9.85pt;width:471.25pt;height:199.2pt;z-index:251730944;mso-wrap-style:none" stroked="f">
            <v:textbox style="mso-next-textbox:#_x0000_s1097;mso-fit-shape-to-text:t">
              <w:txbxContent>
                <w:p w:rsidR="0021764E" w:rsidRDefault="0021764E" w:rsidP="0021764E">
                  <w:pPr>
                    <w:ind w:left="1276"/>
                    <w:jc w:val="center"/>
                  </w:pPr>
                  <w:r>
                    <w:rPr>
                      <w:noProof/>
                    </w:rPr>
                    <w:drawing>
                      <wp:inline distT="0" distB="0" distL="0" distR="0">
                        <wp:extent cx="4962525" cy="2286000"/>
                        <wp:effectExtent l="19050" t="0" r="9525" b="0"/>
                        <wp:docPr id="87" name="Объект 8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txbxContent>
            </v:textbox>
          </v:shape>
        </w:pict>
      </w: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r w:rsidRPr="00C62D22">
        <w:rPr>
          <w:rFonts w:ascii="Times New Roman" w:hAnsi="Times New Roman" w:cs="Times New Roman"/>
          <w:noProof/>
          <w:sz w:val="28"/>
          <w:szCs w:val="28"/>
        </w:rPr>
        <w:pict>
          <v:shape id="_x0000_s1100" type="#_x0000_t202" style="position:absolute;left:0;text-align:left;margin-left:4.9pt;margin-top:3.1pt;width:495pt;height:54pt;z-index:251734016" stroked="f">
            <v:textbox style="mso-next-textbox:#_x0000_s1100">
              <w:txbxContent>
                <w:p w:rsidR="0021764E" w:rsidRPr="001B07D5" w:rsidRDefault="0021764E" w:rsidP="0021764E">
                  <w:pPr>
                    <w:spacing w:line="360" w:lineRule="auto"/>
                    <w:jc w:val="right"/>
                    <w:rPr>
                      <w:rFonts w:ascii="Times New Roman" w:hAnsi="Times New Roman"/>
                      <w:sz w:val="28"/>
                      <w:szCs w:val="28"/>
                    </w:rPr>
                  </w:pPr>
                  <w:r w:rsidRPr="001B07D5">
                    <w:rPr>
                      <w:rFonts w:ascii="Times New Roman" w:hAnsi="Times New Roman"/>
                      <w:sz w:val="28"/>
                      <w:szCs w:val="28"/>
                    </w:rPr>
                    <w:t>Ри</w:t>
                  </w:r>
                  <w:r>
                    <w:rPr>
                      <w:rFonts w:ascii="Times New Roman" w:hAnsi="Times New Roman"/>
                      <w:sz w:val="28"/>
                      <w:szCs w:val="28"/>
                    </w:rPr>
                    <w:t>с. 4.7</w:t>
                  </w:r>
                  <w:r w:rsidRPr="001B07D5">
                    <w:rPr>
                      <w:rFonts w:ascii="Times New Roman" w:hAnsi="Times New Roman"/>
                      <w:sz w:val="28"/>
                      <w:szCs w:val="28"/>
                    </w:rPr>
                    <w:t>. Коефіцієнти кореляції Спірмена п</w:t>
                  </w:r>
                  <w:r>
                    <w:rPr>
                      <w:rFonts w:ascii="Times New Roman" w:hAnsi="Times New Roman"/>
                      <w:sz w:val="28"/>
                      <w:szCs w:val="28"/>
                    </w:rPr>
                    <w:t>оказників, які досліджувались, залежно</w:t>
                  </w:r>
                  <w:r w:rsidRPr="001B07D5">
                    <w:rPr>
                      <w:rFonts w:ascii="Times New Roman" w:hAnsi="Times New Roman"/>
                      <w:sz w:val="28"/>
                      <w:szCs w:val="28"/>
                    </w:rPr>
                    <w:t xml:space="preserve"> від тяжкості стану хворих за шкалою </w:t>
                  </w:r>
                  <w:r w:rsidRPr="001B07D5">
                    <w:rPr>
                      <w:rFonts w:ascii="Times New Roman" w:hAnsi="Times New Roman"/>
                      <w:sz w:val="28"/>
                      <w:szCs w:val="28"/>
                      <w:lang w:val="en-US"/>
                    </w:rPr>
                    <w:t>SOFA</w:t>
                  </w:r>
                </w:p>
                <w:p w:rsidR="0021764E" w:rsidRDefault="0021764E" w:rsidP="0021764E"/>
              </w:txbxContent>
            </v:textbox>
          </v:shape>
        </w:pict>
      </w:r>
    </w:p>
    <w:p w:rsidR="0021764E" w:rsidRPr="00C62D22" w:rsidRDefault="0021764E" w:rsidP="0021764E">
      <w:pPr>
        <w:shd w:val="clear" w:color="auto" w:fill="FFFFFF"/>
        <w:spacing w:after="0" w:line="360" w:lineRule="auto"/>
        <w:ind w:firstLine="708"/>
        <w:jc w:val="both"/>
        <w:textAlignment w:val="top"/>
        <w:rPr>
          <w:rStyle w:val="hps"/>
          <w:rFonts w:ascii="Times New Roman" w:hAnsi="Times New Roman" w:cs="Times New Roman"/>
          <w:sz w:val="28"/>
          <w:szCs w:val="28"/>
        </w:rPr>
      </w:pPr>
      <w:r w:rsidRPr="00C62D22">
        <w:rPr>
          <w:rStyle w:val="hps"/>
          <w:rFonts w:ascii="Times New Roman" w:hAnsi="Times New Roman" w:cs="Times New Roman"/>
          <w:sz w:val="28"/>
          <w:szCs w:val="28"/>
        </w:rPr>
        <w:lastRenderedPageBreak/>
        <w:t>Нами також було проведено вивчення внутрішньогрупових кореляційних зв'язків між VEGF, ММП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9 і TІMП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2 в крові хворих з ПК ПЗ (</w:t>
      </w:r>
      <w:r w:rsidRPr="00C62D22">
        <w:rPr>
          <w:rStyle w:val="hps"/>
          <w:rFonts w:ascii="Times New Roman" w:hAnsi="Times New Roman" w:cs="Times New Roman"/>
          <w:color w:val="000000"/>
          <w:sz w:val="28"/>
          <w:szCs w:val="28"/>
        </w:rPr>
        <w:t>табл. 4.5).</w:t>
      </w:r>
      <w:r w:rsidRPr="00C62D22">
        <w:rPr>
          <w:rStyle w:val="hps"/>
          <w:rFonts w:ascii="Times New Roman" w:hAnsi="Times New Roman" w:cs="Times New Roman"/>
          <w:sz w:val="28"/>
          <w:szCs w:val="28"/>
        </w:rPr>
        <w:t xml:space="preserve"> </w:t>
      </w: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p>
    <w:p w:rsidR="0021764E" w:rsidRPr="00C62D22" w:rsidRDefault="0021764E" w:rsidP="0021764E">
      <w:pPr>
        <w:tabs>
          <w:tab w:val="left" w:pos="5400"/>
        </w:tabs>
        <w:spacing w:after="0" w:line="360" w:lineRule="auto"/>
        <w:jc w:val="right"/>
        <w:rPr>
          <w:rFonts w:ascii="Times New Roman" w:hAnsi="Times New Roman" w:cs="Times New Roman"/>
          <w:i/>
          <w:color w:val="000000"/>
          <w:sz w:val="28"/>
          <w:szCs w:val="28"/>
        </w:rPr>
      </w:pPr>
      <w:r w:rsidRPr="00C62D22">
        <w:rPr>
          <w:rFonts w:ascii="Times New Roman" w:hAnsi="Times New Roman" w:cs="Times New Roman"/>
          <w:i/>
          <w:color w:val="000000"/>
          <w:sz w:val="28"/>
          <w:szCs w:val="28"/>
        </w:rPr>
        <w:t>Таблиця 4.5</w:t>
      </w:r>
    </w:p>
    <w:p w:rsidR="0021764E" w:rsidRPr="00C62D22" w:rsidRDefault="0021764E" w:rsidP="0021764E">
      <w:pPr>
        <w:spacing w:after="0" w:line="360" w:lineRule="auto"/>
        <w:jc w:val="center"/>
        <w:rPr>
          <w:rFonts w:ascii="Times New Roman" w:hAnsi="Times New Roman" w:cs="Times New Roman"/>
          <w:b/>
          <w:sz w:val="28"/>
          <w:szCs w:val="28"/>
        </w:rPr>
      </w:pPr>
      <w:r w:rsidRPr="00C62D22">
        <w:rPr>
          <w:rFonts w:ascii="Times New Roman" w:hAnsi="Times New Roman" w:cs="Times New Roman"/>
          <w:b/>
          <w:sz w:val="28"/>
          <w:szCs w:val="28"/>
        </w:rPr>
        <w:t>Внутрішньогрупові кореляційні зв'язки між рівнями VEGF, ММП-9 і TIMП-2 у хворих на ПК ПЗ</w:t>
      </w:r>
    </w:p>
    <w:tbl>
      <w:tblPr>
        <w:tblW w:w="10064"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58"/>
        <w:gridCol w:w="2520"/>
        <w:gridCol w:w="2340"/>
        <w:gridCol w:w="2646"/>
      </w:tblGrid>
      <w:tr w:rsidR="0021764E" w:rsidRPr="00C62D22" w:rsidTr="006E5FD4">
        <w:tc>
          <w:tcPr>
            <w:tcW w:w="10064" w:type="dxa"/>
            <w:gridSpan w:val="4"/>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b/>
                <w:sz w:val="28"/>
                <w:szCs w:val="28"/>
              </w:rPr>
              <w:t>I тип ПК ПЗ</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VEGF</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ММП-9</w:t>
            </w:r>
          </w:p>
        </w:tc>
        <w:tc>
          <w:tcPr>
            <w:tcW w:w="2646"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TIMП-2</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 xml:space="preserve">VEGF </w:t>
            </w: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b/>
                <w:sz w:val="28"/>
                <w:szCs w:val="28"/>
              </w:rPr>
              <w:t>1,0000</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0,57,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0,05</w:t>
            </w:r>
          </w:p>
        </w:tc>
        <w:tc>
          <w:tcPr>
            <w:tcW w:w="2646"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0,09,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ММП-9</w:t>
            </w: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0,57,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0,05</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b/>
                <w:sz w:val="28"/>
                <w:szCs w:val="28"/>
              </w:rPr>
              <w:t>1,0000</w:t>
            </w:r>
          </w:p>
        </w:tc>
        <w:tc>
          <w:tcPr>
            <w:tcW w:w="2646"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sym w:font="Symbol" w:char="F02D"/>
            </w:r>
            <w:r w:rsidRPr="00C62D22">
              <w:rPr>
                <w:rFonts w:ascii="Times New Roman" w:hAnsi="Times New Roman" w:cs="Times New Roman"/>
                <w:sz w:val="28"/>
                <w:szCs w:val="28"/>
              </w:rPr>
              <w:t>0,23,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TIMП-2</w:t>
            </w: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sym w:font="Symbol" w:char="F02D"/>
            </w:r>
            <w:r w:rsidRPr="00C62D22">
              <w:rPr>
                <w:rFonts w:ascii="Times New Roman" w:hAnsi="Times New Roman" w:cs="Times New Roman"/>
                <w:sz w:val="28"/>
                <w:szCs w:val="28"/>
              </w:rPr>
              <w:t>0,23,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0,09,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c>
          <w:tcPr>
            <w:tcW w:w="2646"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b/>
                <w:sz w:val="28"/>
                <w:szCs w:val="28"/>
              </w:rPr>
              <w:t>1,0000</w:t>
            </w:r>
          </w:p>
        </w:tc>
      </w:tr>
      <w:tr w:rsidR="0021764E" w:rsidRPr="00C62D22" w:rsidTr="006E5FD4">
        <w:tc>
          <w:tcPr>
            <w:tcW w:w="10064" w:type="dxa"/>
            <w:gridSpan w:val="4"/>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b/>
                <w:sz w:val="28"/>
                <w:szCs w:val="28"/>
              </w:rPr>
              <w:t>II тип ПК ПЗ</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VEGF</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ММП-9</w:t>
            </w:r>
          </w:p>
        </w:tc>
        <w:tc>
          <w:tcPr>
            <w:tcW w:w="2646"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TIMП-2</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 xml:space="preserve">VEGF </w:t>
            </w: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b/>
                <w:sz w:val="28"/>
                <w:szCs w:val="28"/>
              </w:rPr>
              <w:t>1,0000</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0,76,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0,05</w:t>
            </w:r>
          </w:p>
        </w:tc>
        <w:tc>
          <w:tcPr>
            <w:tcW w:w="2646"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0,25,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ММП-9</w:t>
            </w: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0,76,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0,05</w:t>
            </w:r>
          </w:p>
        </w:tc>
        <w:tc>
          <w:tcPr>
            <w:tcW w:w="2340" w:type="dxa"/>
          </w:tcPr>
          <w:p w:rsidR="0021764E" w:rsidRPr="00C62D22" w:rsidRDefault="0021764E" w:rsidP="006E5FD4">
            <w:pPr>
              <w:spacing w:after="0" w:line="360" w:lineRule="auto"/>
              <w:jc w:val="center"/>
              <w:rPr>
                <w:rFonts w:ascii="Times New Roman" w:hAnsi="Times New Roman" w:cs="Times New Roman"/>
                <w:b/>
                <w:sz w:val="28"/>
                <w:szCs w:val="28"/>
              </w:rPr>
            </w:pPr>
            <w:r w:rsidRPr="00C62D22">
              <w:rPr>
                <w:rFonts w:ascii="Times New Roman" w:hAnsi="Times New Roman" w:cs="Times New Roman"/>
                <w:b/>
                <w:sz w:val="28"/>
                <w:szCs w:val="28"/>
              </w:rPr>
              <w:t>1,0000</w:t>
            </w:r>
          </w:p>
        </w:tc>
        <w:tc>
          <w:tcPr>
            <w:tcW w:w="2646"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0,24,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TIMП-2</w:t>
            </w: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0,25,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0,24,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c>
          <w:tcPr>
            <w:tcW w:w="2646"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b/>
                <w:sz w:val="28"/>
                <w:szCs w:val="28"/>
              </w:rPr>
              <w:t>1,0000</w:t>
            </w:r>
          </w:p>
        </w:tc>
      </w:tr>
      <w:tr w:rsidR="0021764E" w:rsidRPr="00C62D22" w:rsidTr="006E5FD4">
        <w:tc>
          <w:tcPr>
            <w:tcW w:w="10064" w:type="dxa"/>
            <w:gridSpan w:val="4"/>
          </w:tcPr>
          <w:p w:rsidR="0021764E" w:rsidRPr="00C62D22" w:rsidRDefault="0021764E" w:rsidP="006E5FD4">
            <w:pPr>
              <w:spacing w:after="0" w:line="360" w:lineRule="auto"/>
              <w:jc w:val="center"/>
              <w:rPr>
                <w:rFonts w:ascii="Times New Roman" w:hAnsi="Times New Roman" w:cs="Times New Roman"/>
                <w:b/>
                <w:sz w:val="28"/>
                <w:szCs w:val="28"/>
              </w:rPr>
            </w:pPr>
            <w:r w:rsidRPr="00C62D22">
              <w:rPr>
                <w:rFonts w:ascii="Times New Roman" w:hAnsi="Times New Roman" w:cs="Times New Roman"/>
                <w:b/>
                <w:sz w:val="28"/>
                <w:szCs w:val="28"/>
              </w:rPr>
              <w:t>III тип ПК ПЗ</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VEGF</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ММП-9</w:t>
            </w:r>
          </w:p>
        </w:tc>
        <w:tc>
          <w:tcPr>
            <w:tcW w:w="2646"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TIMП-2</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 xml:space="preserve">VEGF </w:t>
            </w: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b/>
                <w:sz w:val="28"/>
                <w:szCs w:val="28"/>
              </w:rPr>
              <w:t>1,0000</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0,68,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0,01</w:t>
            </w:r>
          </w:p>
        </w:tc>
        <w:tc>
          <w:tcPr>
            <w:tcW w:w="2646" w:type="dxa"/>
          </w:tcPr>
          <w:p w:rsidR="0021764E" w:rsidRPr="00C62D22" w:rsidRDefault="0021764E" w:rsidP="006E5FD4">
            <w:pPr>
              <w:spacing w:after="0" w:line="360" w:lineRule="auto"/>
              <w:jc w:val="center"/>
              <w:rPr>
                <w:rFonts w:ascii="Times New Roman" w:hAnsi="Times New Roman" w:cs="Times New Roman"/>
                <w:b/>
                <w:sz w:val="28"/>
                <w:szCs w:val="28"/>
              </w:rPr>
            </w:pPr>
            <w:r w:rsidRPr="00C62D22">
              <w:rPr>
                <w:rFonts w:ascii="Times New Roman" w:hAnsi="Times New Roman" w:cs="Times New Roman"/>
                <w:sz w:val="28"/>
                <w:szCs w:val="28"/>
              </w:rPr>
              <w:t>0,07,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ММП-9</w:t>
            </w: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0,68,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0,01</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b/>
                <w:sz w:val="28"/>
                <w:szCs w:val="28"/>
              </w:rPr>
              <w:t>1,0000</w:t>
            </w:r>
          </w:p>
        </w:tc>
        <w:tc>
          <w:tcPr>
            <w:tcW w:w="2646" w:type="dxa"/>
          </w:tcPr>
          <w:p w:rsidR="0021764E" w:rsidRPr="00C62D22" w:rsidRDefault="0021764E" w:rsidP="006E5FD4">
            <w:pPr>
              <w:spacing w:after="0" w:line="360" w:lineRule="auto"/>
              <w:jc w:val="center"/>
              <w:rPr>
                <w:rFonts w:ascii="Times New Roman" w:hAnsi="Times New Roman" w:cs="Times New Roman"/>
                <w:b/>
                <w:sz w:val="28"/>
                <w:szCs w:val="28"/>
              </w:rPr>
            </w:pPr>
            <w:r w:rsidRPr="00C62D22">
              <w:rPr>
                <w:rFonts w:ascii="Times New Roman" w:hAnsi="Times New Roman" w:cs="Times New Roman"/>
                <w:sz w:val="28"/>
                <w:szCs w:val="28"/>
              </w:rPr>
              <w:t>0,3,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r>
      <w:tr w:rsidR="0021764E" w:rsidRPr="00C62D22" w:rsidTr="006E5FD4">
        <w:tc>
          <w:tcPr>
            <w:tcW w:w="2558"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TIMП-2</w:t>
            </w:r>
          </w:p>
        </w:tc>
        <w:tc>
          <w:tcPr>
            <w:tcW w:w="252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0,07,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0,24, p</w:t>
            </w:r>
            <w:r w:rsidRPr="00C62D22">
              <w:rPr>
                <w:rFonts w:ascii="Times New Roman" w:hAnsi="Times New Roman" w:cs="Times New Roman"/>
                <w:sz w:val="28"/>
                <w:szCs w:val="28"/>
              </w:rPr>
              <w:sym w:font="Symbol" w:char="F03E"/>
            </w:r>
            <w:r w:rsidRPr="00C62D22">
              <w:rPr>
                <w:rFonts w:ascii="Times New Roman" w:hAnsi="Times New Roman" w:cs="Times New Roman"/>
                <w:sz w:val="28"/>
                <w:szCs w:val="28"/>
              </w:rPr>
              <w:t>0,05</w:t>
            </w:r>
          </w:p>
        </w:tc>
        <w:tc>
          <w:tcPr>
            <w:tcW w:w="2646" w:type="dxa"/>
          </w:tcPr>
          <w:p w:rsidR="0021764E" w:rsidRPr="00C62D22" w:rsidRDefault="0021764E" w:rsidP="006E5FD4">
            <w:pPr>
              <w:spacing w:after="0" w:line="360" w:lineRule="auto"/>
              <w:jc w:val="center"/>
              <w:rPr>
                <w:rFonts w:ascii="Times New Roman" w:hAnsi="Times New Roman" w:cs="Times New Roman"/>
                <w:b/>
                <w:sz w:val="28"/>
                <w:szCs w:val="28"/>
              </w:rPr>
            </w:pPr>
            <w:r w:rsidRPr="00C62D22">
              <w:rPr>
                <w:rFonts w:ascii="Times New Roman" w:hAnsi="Times New Roman" w:cs="Times New Roman"/>
                <w:b/>
                <w:sz w:val="28"/>
                <w:szCs w:val="28"/>
              </w:rPr>
              <w:t>1,0000</w:t>
            </w:r>
          </w:p>
        </w:tc>
      </w:tr>
    </w:tbl>
    <w:p w:rsidR="0021764E" w:rsidRPr="00C62D22" w:rsidRDefault="0021764E" w:rsidP="0021764E">
      <w:pPr>
        <w:autoSpaceDE w:val="0"/>
        <w:autoSpaceDN w:val="0"/>
        <w:adjustRightInd w:val="0"/>
        <w:spacing w:after="0" w:line="360" w:lineRule="auto"/>
        <w:ind w:firstLine="709"/>
        <w:jc w:val="both"/>
        <w:rPr>
          <w:rFonts w:ascii="Times New Roman" w:hAnsi="Times New Roman" w:cs="Times New Roman"/>
          <w:sz w:val="28"/>
          <w:szCs w:val="28"/>
        </w:rPr>
      </w:pP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r w:rsidRPr="00C62D22">
        <w:rPr>
          <w:rStyle w:val="hps"/>
          <w:rFonts w:ascii="Times New Roman" w:hAnsi="Times New Roman" w:cs="Times New Roman"/>
          <w:sz w:val="28"/>
          <w:szCs w:val="28"/>
        </w:rPr>
        <w:t>Проведені дослідження показали, що при всіх типах ПК ПЗ присутній позитивний зв'язок тільки між рівнем ММП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9 і VEGF: при I типу він становив 0,57 (p &lt;0,05); при II типу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0,76 (p &lt;0,05); при III типу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0,68 (p &lt;0,01). </w:t>
      </w:r>
    </w:p>
    <w:p w:rsidR="0021764E" w:rsidRPr="00C62D22" w:rsidRDefault="0021764E" w:rsidP="0021764E">
      <w:pPr>
        <w:spacing w:after="0" w:line="360" w:lineRule="auto"/>
        <w:ind w:firstLine="851"/>
        <w:jc w:val="both"/>
        <w:rPr>
          <w:rFonts w:ascii="Times New Roman" w:hAnsi="Times New Roman" w:cs="Times New Roman"/>
          <w:sz w:val="28"/>
          <w:szCs w:val="28"/>
        </w:rPr>
      </w:pPr>
      <w:r w:rsidRPr="00C62D22">
        <w:rPr>
          <w:rFonts w:ascii="Times New Roman" w:hAnsi="Times New Roman" w:cs="Times New Roman"/>
          <w:b/>
          <w:sz w:val="28"/>
          <w:szCs w:val="28"/>
        </w:rPr>
        <w:t>Резюме.</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 xml:space="preserve">У процесі свого розвитку ПК ПЗ у ранній період (перші 4-6 тижнів від початку ГП), проходить низку стадій: 1) чітко передбачуване прогресування запального інфільтрату; 2) гостре скупчення рідини; 3) утворення інкапсульованого скупчення рідини, багатого амілазою й обмеженого фіброзною тканиною очеревини, </w:t>
      </w:r>
      <w:r w:rsidRPr="00C62D22">
        <w:rPr>
          <w:rStyle w:val="hps"/>
          <w:rFonts w:ascii="Times New Roman" w:hAnsi="Times New Roman" w:cs="Times New Roman"/>
          <w:sz w:val="28"/>
          <w:szCs w:val="28"/>
        </w:rPr>
        <w:lastRenderedPageBreak/>
        <w:t xml:space="preserve">та / або ретроперитонеального простору та серозною оболонкою прилеглих органів. Відсутність епітелію дозволяє диференціювати ПК від кістозних новоутворень. Серед основних компонентів, які продукують активовані PSCs, є колаген I типу й у менших кількостях колагени III і IV типів, а також фібронектин, ламінін, гіалуронова кислота та ін. [89, 309]. Одними з тригерних механізмів розвитку патології є індукція активних форм кисню </w:t>
      </w:r>
      <w:r w:rsidRPr="00C62D22">
        <w:rPr>
          <w:rFonts w:ascii="Times New Roman" w:hAnsi="Times New Roman" w:cs="Times New Roman"/>
          <w:sz w:val="28"/>
          <w:szCs w:val="28"/>
        </w:rPr>
        <w:t>й продуктів пероксидації, різних цитокінів тощо [55, 99, 250, 258, 282, 422].</w:t>
      </w:r>
    </w:p>
    <w:p w:rsidR="0021764E" w:rsidRPr="00C62D22" w:rsidRDefault="0021764E" w:rsidP="0021764E">
      <w:pPr>
        <w:spacing w:after="0" w:line="360" w:lineRule="auto"/>
        <w:ind w:firstLine="851"/>
        <w:jc w:val="both"/>
        <w:rPr>
          <w:rFonts w:ascii="Times New Roman" w:hAnsi="Times New Roman" w:cs="Times New Roman"/>
          <w:sz w:val="28"/>
          <w:szCs w:val="28"/>
        </w:rPr>
      </w:pPr>
      <w:r w:rsidRPr="00C62D22">
        <w:rPr>
          <w:rFonts w:ascii="Times New Roman" w:eastAsia="MyriadPro-Bold" w:hAnsi="Times New Roman" w:cs="Times New Roman"/>
          <w:b/>
          <w:bCs/>
          <w:sz w:val="28"/>
          <w:szCs w:val="28"/>
        </w:rPr>
        <w:t xml:space="preserve">Відомо, що </w:t>
      </w:r>
      <w:r w:rsidRPr="00C62D22">
        <w:rPr>
          <w:rFonts w:ascii="Times New Roman" w:hAnsi="Times New Roman" w:cs="Times New Roman"/>
          <w:sz w:val="28"/>
          <w:szCs w:val="28"/>
        </w:rPr>
        <w:t xml:space="preserve">ключовим ферментом, який здійснює утилізацію активних форм кисню й продуктів пероксидації, є Se-залежна ГПО, що бере участь у двох лініях ферментативного захисту клітин від окисного стресу: по-перше, в утилізації перекису водню, по-друге, в утилізації продуктів перекисного окислення ліпідів (гідроперекисів жирних кислот) і перекисів інших речовин. Функцією ГПО є також підтримання стабільної внутрішньоклітинної концентрації відновленого глутатіону [40]. </w:t>
      </w:r>
      <w:r w:rsidRPr="00C62D22">
        <w:rPr>
          <w:rStyle w:val="hps"/>
          <w:rFonts w:ascii="Times New Roman" w:hAnsi="Times New Roman" w:cs="Times New Roman"/>
          <w:sz w:val="28"/>
          <w:szCs w:val="28"/>
        </w:rPr>
        <w:t>Виражене</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зростання активності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ферменту, що нами було отримано у всіх хворих, що досліджувались,</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може бути пов'язаним</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з висловленим</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спеціальній літературі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припущенням</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про можливість</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активації</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ферменту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при</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накопиченні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середовищі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його</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субстратів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першу чергу,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гідроперекисів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жирних</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кислот</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 xml:space="preserve">[136]. </w:t>
      </w:r>
      <w:r w:rsidRPr="00C62D22">
        <w:rPr>
          <w:rFonts w:ascii="Times New Roman" w:hAnsi="Times New Roman" w:cs="Times New Roman"/>
          <w:sz w:val="28"/>
          <w:szCs w:val="28"/>
        </w:rPr>
        <w:t xml:space="preserve">Як свідчать дослідження, цитозольна ГПО відіграє основну </w:t>
      </w:r>
      <w:r w:rsidRPr="00C62D22">
        <w:rPr>
          <w:rStyle w:val="hps"/>
          <w:rFonts w:ascii="Times New Roman" w:hAnsi="Times New Roman" w:cs="Times New Roman"/>
          <w:sz w:val="28"/>
          <w:szCs w:val="28"/>
        </w:rPr>
        <w:t>протективну роль</w:t>
      </w:r>
      <w:r w:rsidRPr="00C62D22">
        <w:rPr>
          <w:rFonts w:ascii="Times New Roman" w:hAnsi="Times New Roman" w:cs="Times New Roman"/>
          <w:sz w:val="28"/>
          <w:szCs w:val="28"/>
        </w:rPr>
        <w:t xml:space="preserve"> при розвитку оксидантного стресу, внутрішньоклітинний і тканинний рівень цитозольної ГПО також впливає на активність апоптотичних шляхів, фосфорилювання протеїнкіназ [352]. </w:t>
      </w:r>
      <w:r w:rsidRPr="00C62D22">
        <w:rPr>
          <w:rStyle w:val="hps"/>
          <w:rFonts w:ascii="Times New Roman" w:hAnsi="Times New Roman" w:cs="Times New Roman"/>
          <w:sz w:val="28"/>
          <w:szCs w:val="28"/>
        </w:rPr>
        <w:t>Важливою</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патогенетичною</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ланкою</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в розвитку й перебігу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як ГП,</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так</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ХП,</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незалежно від етіології,</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є</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окислювальний</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стрес, що</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виникає в результаті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ушкодження тканин [37, 40, 52, 85, 238, 241, 400, 423]</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У крові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різко підвищується</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концентрація активних</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форм</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кисню (</w:t>
      </w:r>
      <w:r w:rsidRPr="00C62D22">
        <w:rPr>
          <w:rFonts w:ascii="Times New Roman" w:hAnsi="Times New Roman" w:cs="Times New Roman"/>
          <w:sz w:val="28"/>
          <w:szCs w:val="28"/>
        </w:rPr>
        <w:t xml:space="preserve">АФК) та рівень </w:t>
      </w:r>
      <w:r w:rsidRPr="00C62D22">
        <w:rPr>
          <w:rStyle w:val="hps"/>
          <w:rFonts w:ascii="Times New Roman" w:hAnsi="Times New Roman" w:cs="Times New Roman"/>
          <w:sz w:val="28"/>
          <w:szCs w:val="28"/>
        </w:rPr>
        <w:t>перекисного</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окислення</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ліпідів,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спостерігається виснаження</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запасів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аскорбінової</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кислоти, що володіє</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антиоксидантною дією</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Основним джерелом</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АФК</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організмі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є нейтрофіли</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відсутність</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патологічного процесу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вони знаходяться</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крові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неактивному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стані.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Однак,</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будучи</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носіями</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готового</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ефекторного</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потенціалу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й володіючи</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здатністю</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до швидкої</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його реалізації,</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ці клітини</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активно</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включаються</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патогенетичні механізми</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 xml:space="preserve">запалення [21, 87, 401]. </w:t>
      </w:r>
      <w:r w:rsidRPr="00C62D22">
        <w:rPr>
          <w:rFonts w:ascii="Times New Roman" w:hAnsi="Times New Roman" w:cs="Times New Roman"/>
          <w:bCs/>
          <w:sz w:val="28"/>
          <w:szCs w:val="28"/>
        </w:rPr>
        <w:t xml:space="preserve">При стимуляції нейтрофілів </w:t>
      </w:r>
      <w:r w:rsidRPr="00C62D22">
        <w:rPr>
          <w:rFonts w:ascii="Times New Roman" w:hAnsi="Times New Roman" w:cs="Times New Roman"/>
          <w:bCs/>
          <w:sz w:val="28"/>
          <w:szCs w:val="28"/>
        </w:rPr>
        <w:lastRenderedPageBreak/>
        <w:t xml:space="preserve">відбувається «респіраторний вибух». Цей термін відображає швидку зміну метаболізму нейтрофілів з активацією внутрішньоклітинної мієлопероксидази, збільшенням споживання й окисленням глюкози, зростанням поглинання кисню й генерацією АФК: супероксидного аніон-радикала, перекису водню, гідроксильного радикала й вільного кисню. Протягом секунд після активації нейтрофілів рівень продукції АФК у них збільшується більш, ніж у 100 разів. Хоча локальна генерація АФК у ПЗ не призводить до розвитку панкреатиту, вона викликає швидку загибель культури ацинарних клітин залози в пробірці. Отже, АФК не відіграють етіологічної ролі при розвитку панкреатиту, а є відображенням активації нейтрофілів під впливом системи комплементу, активованого виходом таких ферментів ПЗ, як трипсин. Системна активація нейтрофілів сприяє прогресуванню панкреатиту та розвитку ускладнень, зокрема ураженням легень. Активовані нейтрофіли виробляють велику кількість різних біологічно активних речовин, що взаємодіють із тромбоцитами й ендотеліальними клітинами. Це призводить до відповідних змін гомеостазу, а також до судинної проникності, кровопостачання органів і тканин. З одного боку, віднайдені нейтрофілами АФК і лейкотрієни викликають агрегацію тромбоцитів, а з іншого боку, продукти активації тромбоцитів такі. Як: серотонін, адреналін, трифосфат тощо підсилюють адгезивні властивості нейтрофілів. Присутність тромбоцитів індукує хемотаксис нейтрофілів, а також генерацію ними АФК [21, 401]. </w:t>
      </w:r>
    </w:p>
    <w:p w:rsidR="0021764E" w:rsidRPr="00C62D22" w:rsidRDefault="0021764E" w:rsidP="0021764E">
      <w:pPr>
        <w:spacing w:after="0" w:line="360" w:lineRule="auto"/>
        <w:ind w:firstLine="993"/>
        <w:jc w:val="both"/>
        <w:rPr>
          <w:rFonts w:ascii="Times New Roman" w:hAnsi="Times New Roman" w:cs="Times New Roman"/>
          <w:sz w:val="28"/>
          <w:szCs w:val="28"/>
        </w:rPr>
      </w:pPr>
      <w:r w:rsidRPr="00C62D22">
        <w:rPr>
          <w:rFonts w:ascii="Times New Roman" w:hAnsi="Times New Roman" w:cs="Times New Roman"/>
          <w:sz w:val="28"/>
          <w:szCs w:val="28"/>
        </w:rPr>
        <w:t xml:space="preserve">IL-18, також відомий як фактор, що індукує IFN-γ (IGIF). Він первинно був охарактеризований як потенційний індуктор синтезу IFN-γ Т- і NK-клітинами. Незалежно від IL-12, IL-18, впливаючи на секрецію IFN-γ, швидко активує клітини моноцитарно/макрофагальної системи, що веде до активації безлічі антибактеріальних, антипухлинних і антивірусних відповідних реакцій. Сам IL-18 індукується стресовими сигналами (нейрогенними або бактеріального походження). Вважається, що індуковане стресом вивільнення IL-18 може вести до посилення циклу IFN-γ/IL-18: слідом за першою хвилею утворення IFN-γ лімфоцитами, індукованого IL-18, знову синтезований IFN-γ, у свою чергу, стимулює моноцити/макрофаги, що призводить до збільшення їх ICE-активності яка, зокрема, </w:t>
      </w:r>
      <w:r w:rsidRPr="00C62D22">
        <w:rPr>
          <w:rFonts w:ascii="Times New Roman" w:hAnsi="Times New Roman" w:cs="Times New Roman"/>
          <w:sz w:val="28"/>
          <w:szCs w:val="28"/>
        </w:rPr>
        <w:lastRenderedPageBreak/>
        <w:t>призводить до утворення IL-18. IL-18 не тільки стимулює синтез IFN-γ, а й модулює його функціональну активність. Показано, що експресія Fas-ліганду Tх 1типу і NK-клітинами також відбувається під впливом IL-18. З іншого боку, показано, що IFN-γ бере участь в активації експресії самого Fas. Таким чином, можна зробити висновок, що IL-18 самостійно (FasL) або за допомогою IFN-γ (Fas) стимулює процеси апоптозу [39, 55, 99, 215, 258, 282].</w:t>
      </w:r>
    </w:p>
    <w:p w:rsidR="0021764E" w:rsidRPr="00C62D22" w:rsidRDefault="0021764E" w:rsidP="0021764E">
      <w:pPr>
        <w:autoSpaceDE w:val="0"/>
        <w:autoSpaceDN w:val="0"/>
        <w:adjustRightInd w:val="0"/>
        <w:spacing w:after="0" w:line="360" w:lineRule="auto"/>
        <w:ind w:firstLine="851"/>
        <w:jc w:val="both"/>
        <w:rPr>
          <w:rFonts w:ascii="Times New Roman" w:hAnsi="Times New Roman" w:cs="Times New Roman"/>
          <w:sz w:val="28"/>
          <w:szCs w:val="28"/>
        </w:rPr>
      </w:pPr>
      <w:r w:rsidRPr="00C62D22">
        <w:rPr>
          <w:rFonts w:ascii="Times New Roman" w:hAnsi="Times New Roman" w:cs="Times New Roman"/>
          <w:sz w:val="28"/>
          <w:szCs w:val="28"/>
        </w:rPr>
        <w:t>IL-10, що продукується Tх2, може розглядатися як антагоніст ряду ЦК. Так, IL-10 пригнічує продукцію IFNγ Тх1. Крім того, він гальмує проліферативну відповідь Т-клітин на антигени та мітогени, а також пригнічує секрецію активованими моноцитами IL-1β, IL-6 і TNF [379, 422]. У той же час IL-10 стимулює секрецію Ig В-клітинами. IL-10 також може стимулювати синтез IgE, що веде до розвитку гіперчутливості негайного типу. У своїй дії на клітинний імунітет IL-10 синергічний з IL-4. При різних патологічних станах відмічено підвищення рівня IL-10, при цьому вважається, що це підвищення є поганою прогностичною ознакою. Іl-10, потужний TGF-</w:t>
      </w:r>
      <w:r w:rsidRPr="00C62D22">
        <w:rPr>
          <w:rFonts w:ascii="Times New Roman" w:hAnsi="Times New Roman" w:cs="Times New Roman"/>
          <w:sz w:val="28"/>
          <w:szCs w:val="28"/>
        </w:rPr>
        <w:sym w:font="Symbol" w:char="F062"/>
      </w:r>
      <w:r w:rsidRPr="00C62D22">
        <w:rPr>
          <w:rFonts w:ascii="Times New Roman" w:hAnsi="Times New Roman" w:cs="Times New Roman"/>
          <w:sz w:val="28"/>
          <w:szCs w:val="28"/>
        </w:rPr>
        <w:t xml:space="preserve">, контролюють фазу регенерації, зменшують фіброз та атрофію [39, 305, 347, 379, 422]. </w:t>
      </w:r>
    </w:p>
    <w:p w:rsidR="0021764E" w:rsidRPr="00C62D22" w:rsidRDefault="0021764E" w:rsidP="0021764E">
      <w:pPr>
        <w:spacing w:after="0" w:line="360" w:lineRule="auto"/>
        <w:ind w:firstLine="709"/>
        <w:jc w:val="both"/>
        <w:rPr>
          <w:rStyle w:val="hps"/>
          <w:rFonts w:ascii="Times New Roman" w:hAnsi="Times New Roman" w:cs="Times New Roman"/>
          <w:sz w:val="28"/>
          <w:szCs w:val="28"/>
        </w:rPr>
      </w:pPr>
      <w:r w:rsidRPr="00C62D22">
        <w:rPr>
          <w:rFonts w:ascii="Times New Roman" w:hAnsi="Times New Roman" w:cs="Times New Roman"/>
          <w:sz w:val="28"/>
          <w:szCs w:val="28"/>
        </w:rPr>
        <w:t>Сучасні дослідження довели, що панкреатит ініціюється як стан запалення, деструкції ацинарних і дуктальних клітин, інтра- і перилобулярного фіброзу та склерозу паренхіми ПЗ [22, 33, 89, 118, 311, 352, 432]. На думку фахівців, некроз, апоптоз і фіброз є процесами динамічними й супроводжуються контролем поліпептидів, до яких і відноситься TGF-</w:t>
      </w:r>
      <w:r w:rsidRPr="00C62D22">
        <w:rPr>
          <w:rFonts w:ascii="Times New Roman" w:hAnsi="Times New Roman" w:cs="Times New Roman"/>
          <w:sz w:val="28"/>
          <w:szCs w:val="28"/>
        </w:rPr>
        <w:sym w:font="Symbol" w:char="F062"/>
      </w:r>
      <w:r w:rsidRPr="00C62D22">
        <w:rPr>
          <w:rFonts w:ascii="Times New Roman" w:hAnsi="Times New Roman" w:cs="Times New Roman"/>
          <w:sz w:val="28"/>
          <w:szCs w:val="28"/>
        </w:rPr>
        <w:t>1, однією з функцій якого є регулювання балансу між негативними і позитивними процесами, що відбуваються в тканинах ПЗ [411]. При експериментальних дослідженнях було встановлено, що гіперпродукція TGF-</w:t>
      </w:r>
      <w:r w:rsidRPr="00C62D22">
        <w:rPr>
          <w:rFonts w:ascii="Times New Roman" w:hAnsi="Times New Roman" w:cs="Times New Roman"/>
          <w:sz w:val="28"/>
          <w:szCs w:val="28"/>
        </w:rPr>
        <w:sym w:font="Symbol" w:char="F062"/>
      </w:r>
      <w:r w:rsidRPr="00C62D22">
        <w:rPr>
          <w:rFonts w:ascii="Times New Roman" w:hAnsi="Times New Roman" w:cs="Times New Roman"/>
          <w:sz w:val="28"/>
          <w:szCs w:val="28"/>
        </w:rPr>
        <w:t>1 сприяє індукції у тварин як панкреатиту, так і супутнього TGF-</w:t>
      </w:r>
      <w:r w:rsidRPr="00C62D22">
        <w:rPr>
          <w:rFonts w:ascii="Times New Roman" w:hAnsi="Times New Roman" w:cs="Times New Roman"/>
          <w:sz w:val="28"/>
          <w:szCs w:val="28"/>
        </w:rPr>
        <w:sym w:font="Symbol" w:char="F061"/>
      </w:r>
      <w:r w:rsidRPr="00C62D22">
        <w:rPr>
          <w:rFonts w:ascii="Times New Roman" w:hAnsi="Times New Roman" w:cs="Times New Roman"/>
          <w:sz w:val="28"/>
          <w:szCs w:val="28"/>
        </w:rPr>
        <w:t>- цукрового діабету [332]. TGF-</w:t>
      </w:r>
      <w:r w:rsidRPr="00C62D22">
        <w:rPr>
          <w:rFonts w:ascii="Times New Roman" w:hAnsi="Times New Roman" w:cs="Times New Roman"/>
          <w:sz w:val="28"/>
          <w:szCs w:val="28"/>
        </w:rPr>
        <w:sym w:font="Symbol" w:char="F062"/>
      </w:r>
      <w:r w:rsidRPr="00C62D22">
        <w:rPr>
          <w:rFonts w:ascii="Times New Roman" w:hAnsi="Times New Roman" w:cs="Times New Roman"/>
          <w:sz w:val="28"/>
          <w:szCs w:val="28"/>
        </w:rPr>
        <w:t xml:space="preserve">1 активує панкреатичні зірчасті клітини й підсилює ними синтез ЕЦМ, включаючи колаген I і III типів [89, 309]. Крім того, даний ЦК інгібує деградацію ЕЦМ за рахунок зниження активності специфічних металоферментів [398]. Отримані нами дані, очевидно, свідчать про одну з провідних ролей TGF-β1 у розвитку інтра- і перилобулярного фіброзу незалежно від тригерного механізму розвитку панкреатиту та його ускладнень. Однак максимальне підвищення TGF-β1 </w:t>
      </w:r>
      <w:r w:rsidRPr="00C62D22">
        <w:rPr>
          <w:rFonts w:ascii="Times New Roman" w:hAnsi="Times New Roman" w:cs="Times New Roman"/>
          <w:sz w:val="28"/>
          <w:szCs w:val="28"/>
        </w:rPr>
        <w:lastRenderedPageBreak/>
        <w:t xml:space="preserve">все ж спостерігалося в групі хворих на гострі ПК ПЗ, які утворились після 4 тижнів від початку ГП. Встановлено, що визначення циркулюючого TGF-β1 може відображати різні стадії перебігу панкреатиту та вираженість ускладнень, які розвиваються в різні терміни від моменту захворювання [39]. Отримані дані узгоджуються з думкою авторів [297, 347, 432, 305], які довели, що TGF-β1 є предиктором, який впливає на процеси ініціації проліферації фібробластів, синтез компонентів ЕЦМ, кооперацію клітин запалення (у першу чергу макрофагів). В експериментальних роботах на тваринах визначена висока експресія TGF-β1 в гостру фазу запалення й у пізню стадію фіброзу, а при впливі на імунну систему переважали ефекти TGF-β1, які володіють інгібуючими функціями. TGF-β1, будучи фіброгенним ЦК, стимулює зміну структури ПЗ, її ремоделювання, відіграє важливу роль у розвитку фіброзу й потенціюванні апоптозу клітин ПЗ [305, 347, 379]. Ця морфологічна перебудова може бути основою патогенезу панкреатиту. </w:t>
      </w:r>
    </w:p>
    <w:p w:rsidR="0021764E" w:rsidRPr="00C62D22" w:rsidRDefault="0021764E" w:rsidP="0021764E">
      <w:pPr>
        <w:spacing w:after="0" w:line="360" w:lineRule="auto"/>
        <w:ind w:firstLine="851"/>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 xml:space="preserve">За розпад ЕЦМ відповідають ММП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група ендопептидаз, які виробляються PSCs, а їх протеолітична активність регулюється тканинними інгібіторами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групою білків, які теж продукуються PSCs [11, 55, 154, 178, 302, 379, 411]. Регуляція експресії ММП відбувається на трьох рівнях: 1) геномном; 2) за допомогою активації проензиму і 3) інгібуванням активності ензимів за участю тканинних інгібіторів. Модуляторами експресії ММП є TNFa,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1b,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8, IL</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17, епідермальний фактор росту (EGF), TGF, та ін. [379, 422]. Усі вони викликають стійкі порушення функцій різних типів імунокомпетентних клітин [82, 88, 125, 369]. Інгібують експресію ММП остеокальцитонін, доксициклін, ретиноїди, глюкозаміноглікани.</w:t>
      </w:r>
    </w:p>
    <w:p w:rsidR="0021764E" w:rsidRPr="00C62D22" w:rsidRDefault="0021764E" w:rsidP="0021764E">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C62D22">
        <w:rPr>
          <w:rStyle w:val="hps"/>
          <w:rFonts w:ascii="Times New Roman" w:hAnsi="Times New Roman" w:cs="Times New Roman"/>
          <w:sz w:val="28"/>
          <w:szCs w:val="28"/>
        </w:rPr>
        <w:t>Характер експресії ММП, що є компонентами клітинних мембран, дуже схожий на експресію класичних гострофазових білків і факторів гуморального вродженого імунітету й регулюється протизапальними ЦК, а також бактеріальними ліпополісахаридами. Експресію ММП називають найважливішим фактором у розвитку деградації ЕЦМ, «критичним кроком» у його ремоделюванні, маркером активності запалення, фіброзу й склерозу ПЗ [55, 154, 178]. Гіалуронова кислота, тканинні інгібітори ММП (ТІМП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1, 2), ламінін, лептин, колаген IV типу та ін. </w:t>
      </w:r>
      <w:r w:rsidRPr="00C62D22">
        <w:rPr>
          <w:rStyle w:val="hps"/>
          <w:rFonts w:ascii="Times New Roman" w:hAnsi="Times New Roman" w:cs="Times New Roman"/>
          <w:sz w:val="28"/>
          <w:szCs w:val="28"/>
        </w:rPr>
        <w:lastRenderedPageBreak/>
        <w:t xml:space="preserve">використовуються в якості показників, що відображають кількість сполучної тканини [302, 381, 404]. </w:t>
      </w:r>
    </w:p>
    <w:p w:rsidR="0021764E" w:rsidRPr="00C62D22" w:rsidRDefault="0021764E" w:rsidP="0021764E">
      <w:pPr>
        <w:shd w:val="clear" w:color="auto" w:fill="FFFFFF"/>
        <w:autoSpaceDE w:val="0"/>
        <w:autoSpaceDN w:val="0"/>
        <w:adjustRightInd w:val="0"/>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 xml:space="preserve">Активність ферментів залежить як від рівня експресії їх генів, так і наявності активаторів та інгібіторів. ММП, в основному, відносяться до «індукованих» ферментів, транскрипція яких підпорядковується цілій низці чинників: стероїдні та тиреоїдні гормони, ЦК, фактори росту, хімічні агенти та ін. Виняток становить ММП–2, експресія якого відбувається за конституціональним типом, а регуляція активності ферментів на посттрансляційному рівні здійснюється активацією зимогенів або взаємодією з тканинними інгібіторами ММП [55, 154, 178]. </w:t>
      </w:r>
    </w:p>
    <w:p w:rsidR="0021764E" w:rsidRPr="00C62D22" w:rsidRDefault="0021764E" w:rsidP="0021764E">
      <w:pPr>
        <w:shd w:val="clear" w:color="auto" w:fill="FFFFFF"/>
        <w:spacing w:after="0" w:line="360" w:lineRule="auto"/>
        <w:ind w:firstLine="708"/>
        <w:jc w:val="both"/>
        <w:textAlignment w:val="top"/>
        <w:rPr>
          <w:rStyle w:val="hps"/>
          <w:rFonts w:ascii="Times New Roman" w:hAnsi="Times New Roman" w:cs="Times New Roman"/>
          <w:sz w:val="28"/>
          <w:szCs w:val="28"/>
        </w:rPr>
      </w:pPr>
      <w:r w:rsidRPr="00C62D22">
        <w:rPr>
          <w:rStyle w:val="hps"/>
          <w:rFonts w:ascii="Times New Roman" w:hAnsi="Times New Roman" w:cs="Times New Roman"/>
          <w:sz w:val="28"/>
          <w:szCs w:val="28"/>
        </w:rPr>
        <w:t xml:space="preserve">Внесок PSCs в патологію ПЗ не обмежується надлишковою продукцією сполучної тканини, але й вони стимулюють фактори росту, а саме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TGF-β, PDGF та ін. [36, 125, 305, 347, 379, 387, 422]. Крім того, сприяють посиленню утворення фіброзу в ПЗ бактеріальна інфекція та внутрішньоклітинна продукція кисневих радикалів. Проліферація PSCs призводить до формування нових кровоносних судин. Ці процеси є результатом розвитку в ПЗ гіпоксії та дії вазоактивних медіаторів та ЦК: </w:t>
      </w:r>
      <w:r w:rsidRPr="00C62D22">
        <w:rPr>
          <w:rStyle w:val="hps"/>
          <w:rFonts w:ascii="Times New Roman" w:hAnsi="Times New Roman" w:cs="Times New Roman"/>
          <w:sz w:val="28"/>
          <w:szCs w:val="28"/>
          <w:lang w:val="en-US"/>
        </w:rPr>
        <w:t>NO</w:t>
      </w:r>
      <w:r w:rsidRPr="00C62D22">
        <w:rPr>
          <w:rStyle w:val="hps"/>
          <w:rFonts w:ascii="Times New Roman" w:hAnsi="Times New Roman" w:cs="Times New Roman"/>
          <w:sz w:val="28"/>
          <w:szCs w:val="28"/>
        </w:rPr>
        <w:t xml:space="preserve"> й інших факторів [36, 258, 285, 369]. </w:t>
      </w:r>
    </w:p>
    <w:p w:rsidR="0021764E" w:rsidRPr="00C62D22" w:rsidRDefault="0021764E" w:rsidP="0021764E">
      <w:pPr>
        <w:shd w:val="clear" w:color="auto" w:fill="FFFFFF"/>
        <w:spacing w:after="0" w:line="360" w:lineRule="auto"/>
        <w:ind w:firstLine="708"/>
        <w:jc w:val="both"/>
        <w:textAlignment w:val="top"/>
        <w:rPr>
          <w:rStyle w:val="hps"/>
          <w:rFonts w:ascii="Times New Roman" w:hAnsi="Times New Roman" w:cs="Times New Roman"/>
          <w:sz w:val="28"/>
          <w:szCs w:val="28"/>
        </w:rPr>
      </w:pPr>
      <w:r w:rsidRPr="00C62D22">
        <w:rPr>
          <w:rStyle w:val="hps"/>
          <w:rFonts w:ascii="Times New Roman" w:hAnsi="Times New Roman" w:cs="Times New Roman"/>
          <w:sz w:val="28"/>
          <w:szCs w:val="28"/>
        </w:rPr>
        <w:t>Процес ангіогенезу є необхідним для тривалої адаптації тканин в умовах ушкодження, а головним механізмом регуляції процесів ангіогенезу є вивільнення ангіогенних факторів, джерелами яких є ендотеліальні й гладкі клітини, макрофаги та ін. Під дією ангіогенних факторів відбувається активація проліферації ендотеліоцитів (переважно в посткапілярних венулах), яка завершується ремоделювання судин, після чого знову сформована судина набуває стабільного стану. Передбачається, що в механізмі міграції ендотеліоцитів велике значення відіграє активація експресії ендотеліальних молекул адгезії, наприклад, Е-селектину [173, 214, 307, 375, 397].</w:t>
      </w: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r w:rsidRPr="00C62D22">
        <w:rPr>
          <w:rFonts w:ascii="Times New Roman" w:hAnsi="Times New Roman" w:cs="Times New Roman"/>
          <w:sz w:val="28"/>
          <w:szCs w:val="28"/>
        </w:rPr>
        <w:t>У стабільному стані ендотеліоцити не здатні до проліферації та лише зрідка (1 раз в 7-10 років) діляться.</w:t>
      </w: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r w:rsidRPr="00C62D22">
        <w:rPr>
          <w:rFonts w:ascii="Times New Roman" w:hAnsi="Times New Roman" w:cs="Times New Roman"/>
          <w:sz w:val="28"/>
          <w:szCs w:val="28"/>
        </w:rPr>
        <w:t xml:space="preserve">Ангіогенез може бути індукований процесами підвищення концентрації стимуляторів і зниженням умісту інгібіторів або комбінацією того й іншого процесів. Таким чином, суть процесів ангіогенезу полягає в тому, що після </w:t>
      </w:r>
      <w:r w:rsidRPr="00C62D22">
        <w:rPr>
          <w:rFonts w:ascii="Times New Roman" w:hAnsi="Times New Roman" w:cs="Times New Roman"/>
          <w:sz w:val="28"/>
          <w:szCs w:val="28"/>
        </w:rPr>
        <w:lastRenderedPageBreak/>
        <w:t>розширення судин і підвищення їх проникності відбувається здавлювання ендотеліальних клітин і зменшення щільності міжклітинних контактів [36, 307, 397]. У результаті базальна мембрана руйнується деякими протеазами, включаючи ММП. Потім пул ендотеліальних клітин через зруйновану базальну мембрану мігрує в паренхіму під дією ангіогенних факторів, у результаті чого формуються нові незрілі капілярні петлі. У свою чергу прогресуючий панкреатичний фіброз може підвищувати резистентність ендотелію інтрапаренхіматозних судин ПЗ, що ще більше посилює порушення її функціональних можливостей і сприяє прогресуванню фіброзу [352, 432].</w:t>
      </w:r>
    </w:p>
    <w:p w:rsidR="0021764E" w:rsidRPr="00C62D22" w:rsidRDefault="0021764E" w:rsidP="0021764E">
      <w:pPr>
        <w:shd w:val="clear" w:color="auto" w:fill="FFFFFF"/>
        <w:spacing w:after="0" w:line="360" w:lineRule="auto"/>
        <w:ind w:firstLine="708"/>
        <w:jc w:val="both"/>
        <w:textAlignment w:val="top"/>
        <w:rPr>
          <w:rFonts w:ascii="Times New Roman" w:hAnsi="Times New Roman" w:cs="Times New Roman"/>
          <w:sz w:val="28"/>
          <w:szCs w:val="28"/>
        </w:rPr>
      </w:pPr>
      <w:r w:rsidRPr="00C62D22">
        <w:rPr>
          <w:rFonts w:ascii="Times New Roman" w:hAnsi="Times New Roman" w:cs="Times New Roman"/>
          <w:sz w:val="28"/>
          <w:szCs w:val="28"/>
        </w:rPr>
        <w:t>Паренхіматозний фіброз, прогресуючий при ХП, веде до підвищення тиску в паренхімі ПЗ, що, зрештою, призводить до зниження екзокринної та ендокринної функцій органа, а обструкція протоків другого й третього порядку – до зниження числа функціонуючих ацинарних клітин. При патологічних процесах ангіогенез посилюється, що може впливати на процеси в ЕЦМ [259, 369, 375]. Таким чином, проведені дослідження показали, що агресивний і важкий перебіг у хворих на І тип ПК ПЗ асоціюється з наявністю більш високих значень рівня ММП-9, а прогресування фіброзу й розвиток ускладнень у хворих на III тип ПК асоціюється з інгібуванням TІMП–2. Отже, при різних типах ускладнених ПК ПЗ має місце порушення балансу ММП та їх інгібіторів, що, у підсумку, має визначальне значення для швидкості протеолізу позаклітинних матриксних компонентів з переважанням процесів їх утворення та накопичення [36, 125, 369].</w:t>
      </w:r>
    </w:p>
    <w:p w:rsidR="0021764E" w:rsidRPr="00C62D22" w:rsidRDefault="0021764E" w:rsidP="0021764E">
      <w:pPr>
        <w:spacing w:after="0" w:line="360" w:lineRule="auto"/>
        <w:ind w:firstLine="708"/>
        <w:jc w:val="both"/>
        <w:rPr>
          <w:rFonts w:ascii="Times New Roman" w:hAnsi="Times New Roman" w:cs="Times New Roman"/>
          <w:sz w:val="28"/>
          <w:szCs w:val="28"/>
        </w:rPr>
      </w:pPr>
      <w:r w:rsidRPr="00C62D22">
        <w:rPr>
          <w:rFonts w:ascii="Times New Roman" w:hAnsi="Times New Roman" w:cs="Times New Roman"/>
          <w:sz w:val="28"/>
          <w:szCs w:val="28"/>
        </w:rPr>
        <w:t xml:space="preserve">Відомо, що MMП–9 є індукованим ферментом, транскрипція якого залежить від цілої низки чинників: рівня ЦК, факторів росту, хімічних агентів і та ін., і саме цей фермент відіграє важливу роль при хронічних фазах різних хвороб [11, 302, 379, 411]. Крім того, регресія екстрацелюлярного матриксу відбувається також завдяки апоптозу PSCs [89, 309]. Надалі все залежить від того, чи припиняється дія шкідливого чинника (вірусів, аутоантитіл, токсинів і т.ін.). Якщо патогенний фактор перестає діяти, то на тлі триваючої активності ММП та апоптозу відбувається деградація колагену. Такий варіант є сприятливим і подібні спостереження описані в пацієнтів із синдромом перевантаження залізом і міддю, алкоголь-індукованим </w:t>
      </w:r>
      <w:r w:rsidRPr="00C62D22">
        <w:rPr>
          <w:rFonts w:ascii="Times New Roman" w:hAnsi="Times New Roman" w:cs="Times New Roman"/>
          <w:sz w:val="28"/>
          <w:szCs w:val="28"/>
        </w:rPr>
        <w:lastRenderedPageBreak/>
        <w:t>ураженням печінки, хронічні вірусні гепатити після елімінації вірусу, неалкогольний стеатогепатит, автоімунним гепатитом і ін. [381, 384]. Ці дослідження дозволяють нам припустити, що в умовах гіпоксії та ішемії ПЗ, у результаті її ушкодження, під дією ангіогенних факторів відбувається активація та проліферація ендотеліоцитів, яка завершується ремоделюванням судин і процесами неоваскуляризації. Унаслідок порушень стійкого балансу між швидкістю білків і їх розпадом змінюється структура панкреацитів ПЗ. Уповільнення процесів утилізації компонентів позаклітинного матриксу, який накопичується в зоні ушкодження ПЗ, веде до відстрочки процесів репарації та може бути основною причиною прогресування фіброзу з розвитком ХП та його ускладнень, у тому числі – у результаті повторного впливу факторів екзогенної та ендогенної природи та активації PSCs, про що може свідчити збільшення концентрації TІMП-2 і підвищення коефіцієнта інгібування ММП-9 при всіх типах ПК ПЗ. Відповідно це створює сприятливі умови для ремоделювання ПЗ, коли дефект паренхіми органа заміщується тканиною з низьким рівнем організації, наприклад рубцем, а повторне ушкодження клітин веде до ще більшої активації PSCs, що сприяє змінам геометрії органа з формуванням ХП та його ускладнень [36, 125, 369].</w:t>
      </w:r>
    </w:p>
    <w:p w:rsidR="0021764E" w:rsidRPr="00C62D22" w:rsidRDefault="0021764E" w:rsidP="0021764E">
      <w:pPr>
        <w:spacing w:after="0" w:line="360" w:lineRule="auto"/>
        <w:ind w:firstLine="708"/>
        <w:jc w:val="both"/>
        <w:rPr>
          <w:rFonts w:ascii="Times New Roman" w:hAnsi="Times New Roman" w:cs="Times New Roman"/>
          <w:sz w:val="28"/>
          <w:szCs w:val="28"/>
        </w:rPr>
      </w:pPr>
      <w:r w:rsidRPr="00C62D22">
        <w:rPr>
          <w:rFonts w:ascii="Times New Roman" w:hAnsi="Times New Roman" w:cs="Times New Roman"/>
          <w:sz w:val="28"/>
          <w:szCs w:val="28"/>
        </w:rPr>
        <w:t>Дані, отримані у цьому розділі були застосовані при розробці «Способу прогнозування ускладненого перебігу післяопераційного панкреатиту» (Пат. України № 100586 від 27.07.2015), який описаний у розділі 10.</w:t>
      </w:r>
    </w:p>
    <w:p w:rsidR="0021764E" w:rsidRPr="00C62D22" w:rsidRDefault="0021764E" w:rsidP="0021764E">
      <w:pPr>
        <w:widowControl w:val="0"/>
        <w:shd w:val="clear" w:color="auto" w:fill="FFFFFF"/>
        <w:tabs>
          <w:tab w:val="left" w:pos="993"/>
        </w:tabs>
        <w:autoSpaceDE w:val="0"/>
        <w:autoSpaceDN w:val="0"/>
        <w:adjustRightInd w:val="0"/>
        <w:spacing w:after="0" w:line="360" w:lineRule="auto"/>
        <w:ind w:left="567"/>
        <w:jc w:val="both"/>
        <w:rPr>
          <w:rFonts w:ascii="Times New Roman" w:hAnsi="Times New Roman" w:cs="Times New Roman"/>
          <w:sz w:val="28"/>
          <w:szCs w:val="28"/>
        </w:rPr>
      </w:pPr>
    </w:p>
    <w:p w:rsidR="0021764E" w:rsidRPr="00C62D22" w:rsidRDefault="0021764E">
      <w:pPr>
        <w:rPr>
          <w:rFonts w:ascii="Times New Roman" w:hAnsi="Times New Roman" w:cs="Times New Roman"/>
          <w:sz w:val="28"/>
          <w:szCs w:val="28"/>
        </w:rPr>
      </w:pPr>
      <w:r w:rsidRPr="00C62D22">
        <w:rPr>
          <w:rFonts w:ascii="Times New Roman" w:hAnsi="Times New Roman" w:cs="Times New Roman"/>
          <w:sz w:val="28"/>
          <w:szCs w:val="28"/>
        </w:rPr>
        <w:br w:type="page"/>
      </w:r>
    </w:p>
    <w:p w:rsidR="0021764E" w:rsidRPr="00C62D22" w:rsidRDefault="0021764E" w:rsidP="0021764E">
      <w:pPr>
        <w:spacing w:after="0" w:line="360" w:lineRule="auto"/>
        <w:ind w:firstLine="540"/>
        <w:jc w:val="center"/>
        <w:rPr>
          <w:rFonts w:ascii="Times New Roman" w:hAnsi="Times New Roman" w:cs="Times New Roman"/>
          <w:b/>
          <w:sz w:val="28"/>
          <w:szCs w:val="28"/>
        </w:rPr>
      </w:pPr>
      <w:r w:rsidRPr="00C62D22">
        <w:rPr>
          <w:rFonts w:ascii="Times New Roman" w:hAnsi="Times New Roman" w:cs="Times New Roman"/>
          <w:b/>
          <w:sz w:val="28"/>
          <w:szCs w:val="28"/>
        </w:rPr>
        <w:lastRenderedPageBreak/>
        <w:t>РОЗДІЛ 5</w:t>
      </w:r>
    </w:p>
    <w:p w:rsidR="0021764E" w:rsidRPr="00C62D22" w:rsidRDefault="0021764E" w:rsidP="0021764E">
      <w:pPr>
        <w:spacing w:after="0" w:line="360" w:lineRule="auto"/>
        <w:jc w:val="center"/>
        <w:rPr>
          <w:rFonts w:ascii="Times New Roman" w:hAnsi="Times New Roman" w:cs="Times New Roman"/>
          <w:b/>
          <w:sz w:val="28"/>
          <w:szCs w:val="28"/>
        </w:rPr>
      </w:pPr>
      <w:r w:rsidRPr="00C62D22">
        <w:rPr>
          <w:rFonts w:ascii="Times New Roman" w:hAnsi="Times New Roman" w:cs="Times New Roman"/>
          <w:b/>
          <w:sz w:val="28"/>
          <w:szCs w:val="28"/>
        </w:rPr>
        <w:t>СТАН ПЕЧІНКОВОГО ТА СПЛАНХНІЧНОГО КРОВОТОКА ПРИ РІЗНИХ ТИПАХ ПСЕВДОКІСТ ПІДШЛУНКОВОЇ ЗАЛОЗИ</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За даними досліджень останніх десятиліть, ішемія ПЗ і подальша реперфузія зумовлюють вивільнення радикалів кисню, брадикініну та прозапальних медіаторів (інтерлейкінів, тромбоцитоактивуючого фактора), а також між оксидом азоту та ендотеліном [214, 258, 259, 282, 375].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За даними інших дослідників, не менш важливу роль відіграють порушення венозного відтоку, зокрема збільшення тиску в системі ворітної вени (ВВ), що внаслідок застійних змін та ушкодження слизової оболонки ТК, активує синтез оксиду азоту та ендотеліну-1. Оксид азоту зумовлює гіпердинамічну циркуляцію та гіперпродукцію пероксинітриту, який у поєднанні з ендотеліном-1 підвищує чутливість слизової оболонки ТК до ушкодження.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Отже, дослідження кровотока в системі ВВ, мікроциркуляції в спланхнічній зоні й методів корекції її патологічних змін є одним з резервів покращення результатів лікування пацієнтів із приводу захворювань гепатопанкреатобіліарної системи [239].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Позапечінкова портальна гіпертензія при панкреатиті виникає внаслідок стискання або тромбозу судин системи ВВ у сегменті, що прилягає до ПЗ, це зумовлює зменшення об’ємної швидкості кровотока й підвищення тиску в цих судинах, проте дані літератури щодо висвітлення цих питань суперечливі [148, 182, 321].</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Метою дослідження було вивчення змін печінкового та спланхнічного кровотока у хворих з різними типами ПК ПЗ, визначення їх патогенетичної та прогностичної значущості.</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Дослідження проведені в 37 хворих з ПК ПЗ, розподілених на 3 групи за класифікацією D'Edigio A., Schein M. (1991 р.) [339]. Критерії виключення – </w:t>
      </w:r>
      <w:r w:rsidRPr="00C62D22">
        <w:rPr>
          <w:rFonts w:ascii="Times New Roman" w:hAnsi="Times New Roman" w:cs="Times New Roman"/>
          <w:sz w:val="28"/>
          <w:szCs w:val="28"/>
        </w:rPr>
        <w:lastRenderedPageBreak/>
        <w:t>наявність вторинної артеріальної гіпертензії, супутніх ендокринних, аутоімунних, онкологічних захворювань, виражених порушень ритму серця й провідності, гострого інфаркту міокарда або інсульту, гострої ліво- або правошлункової недостатності, хронічної серцевої недостатності ІІІ стадії, супутніх психічних захворювань, наркоманії.</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При аналізу допплерогроехограм в імпульсному режимі й даних кольорового допплерівського картування кровообігу в системі ВВ у хворих з ускладненими ПК ПЗ виявлений пульсуючий кровоток різного виразу.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У хворих з ПК ПЗ І типу через 4-6 тижнів тяжкого ГП спостерігали високі градації пульсуючого кровотока в системі ВВ. У всіх хворих відзначений гіпердинамічний тип кровообігу зі збільшенням СІ та підвищенням ЗПОС (рис. 5.1 та 5.2.).</w:t>
      </w:r>
    </w:p>
    <w:p w:rsidR="0021764E" w:rsidRPr="00C62D22" w:rsidRDefault="0021764E" w:rsidP="0021764E">
      <w:pPr>
        <w:spacing w:after="0" w:line="360" w:lineRule="auto"/>
        <w:ind w:firstLine="540"/>
        <w:jc w:val="center"/>
        <w:rPr>
          <w:rFonts w:ascii="Times New Roman" w:hAnsi="Times New Roman" w:cs="Times New Roman"/>
          <w:sz w:val="28"/>
          <w:szCs w:val="28"/>
        </w:rPr>
      </w:pPr>
      <w:r w:rsidRPr="00C62D22">
        <w:rPr>
          <w:rFonts w:ascii="Times New Roman" w:hAnsi="Times New Roman" w:cs="Times New Roman"/>
          <w:noProof/>
          <w:sz w:val="28"/>
          <w:szCs w:val="28"/>
        </w:rPr>
        <w:drawing>
          <wp:inline distT="0" distB="0" distL="0" distR="0">
            <wp:extent cx="5524500" cy="3705225"/>
            <wp:effectExtent l="19050" t="0" r="0" b="0"/>
            <wp:docPr id="114" name="Рисунок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44"/>
                    <a:srcRect/>
                    <a:stretch>
                      <a:fillRect/>
                    </a:stretch>
                  </pic:blipFill>
                  <pic:spPr bwMode="auto">
                    <a:xfrm>
                      <a:off x="0" y="0"/>
                      <a:ext cx="5524500" cy="370522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right="140" w:firstLine="540"/>
        <w:jc w:val="right"/>
        <w:rPr>
          <w:rFonts w:ascii="Times New Roman" w:hAnsi="Times New Roman" w:cs="Times New Roman"/>
          <w:sz w:val="28"/>
          <w:szCs w:val="28"/>
        </w:rPr>
      </w:pPr>
      <w:r w:rsidRPr="00C62D22">
        <w:rPr>
          <w:rFonts w:ascii="Times New Roman" w:hAnsi="Times New Roman" w:cs="Times New Roman"/>
          <w:sz w:val="28"/>
          <w:szCs w:val="28"/>
        </w:rPr>
        <w:t>Рис. 5.1. Серцевий індекс у хворих з різними типами ПК ПЗ</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center"/>
        <w:rPr>
          <w:rFonts w:ascii="Times New Roman" w:hAnsi="Times New Roman" w:cs="Times New Roman"/>
          <w:sz w:val="28"/>
          <w:szCs w:val="28"/>
        </w:rPr>
      </w:pPr>
      <w:r w:rsidRPr="00C62D22">
        <w:rPr>
          <w:rFonts w:ascii="Times New Roman" w:hAnsi="Times New Roman" w:cs="Times New Roman"/>
          <w:noProof/>
          <w:sz w:val="28"/>
          <w:szCs w:val="28"/>
        </w:rPr>
        <w:lastRenderedPageBreak/>
        <w:drawing>
          <wp:inline distT="0" distB="0" distL="0" distR="0">
            <wp:extent cx="5924550" cy="3609975"/>
            <wp:effectExtent l="19050" t="0" r="0" b="0"/>
            <wp:docPr id="115" name="Рисунок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45"/>
                    <a:srcRect/>
                    <a:stretch>
                      <a:fillRect/>
                    </a:stretch>
                  </pic:blipFill>
                  <pic:spPr bwMode="auto">
                    <a:xfrm>
                      <a:off x="0" y="0"/>
                      <a:ext cx="5924550" cy="36099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40"/>
        <w:jc w:val="right"/>
        <w:rPr>
          <w:rFonts w:ascii="Times New Roman" w:hAnsi="Times New Roman" w:cs="Times New Roman"/>
          <w:sz w:val="28"/>
          <w:szCs w:val="28"/>
        </w:rPr>
      </w:pPr>
      <w:r w:rsidRPr="00C62D22">
        <w:rPr>
          <w:rFonts w:ascii="Times New Roman" w:hAnsi="Times New Roman" w:cs="Times New Roman"/>
          <w:sz w:val="28"/>
          <w:szCs w:val="28"/>
        </w:rPr>
        <w:t>Рис. 5.2. Загальний периферичний опір судин у хворих з різними типами ПК ПЗ</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Наявність цієї ознаки асоціюється з портальною гіпертензією (тиск у системі ВВ вище 10-</w:t>
      </w:r>
      <w:smartTag w:uri="urn:schemas-microsoft-com:office:smarttags" w:element="State">
        <w:smartTagPr>
          <w:attr w:name="ProductID" w:val="15 мм"/>
        </w:smartTagPr>
        <w:r w:rsidRPr="00C62D22">
          <w:rPr>
            <w:rFonts w:ascii="Times New Roman" w:hAnsi="Times New Roman" w:cs="Times New Roman"/>
            <w:sz w:val="28"/>
            <w:szCs w:val="28"/>
          </w:rPr>
          <w:t>15 мм</w:t>
        </w:r>
      </w:smartTag>
      <w:r w:rsidRPr="00C62D22">
        <w:rPr>
          <w:rFonts w:ascii="Times New Roman" w:hAnsi="Times New Roman" w:cs="Times New Roman"/>
          <w:sz w:val="28"/>
          <w:szCs w:val="28"/>
        </w:rPr>
        <w:t xml:space="preserve"> рт. ст.). У 5 з 33 хворих за даними УЗДФ виявляли реверсію кровотока в системі ВВ нижче ізолінії.</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За кількісного аналізу допплероехограм відзначені такі тенденції (табл. 5.1).</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right"/>
        <w:rPr>
          <w:rFonts w:ascii="Times New Roman" w:hAnsi="Times New Roman" w:cs="Times New Roman"/>
          <w:i/>
          <w:sz w:val="28"/>
          <w:szCs w:val="28"/>
        </w:rPr>
      </w:pPr>
      <w:r w:rsidRPr="00C62D22">
        <w:rPr>
          <w:rFonts w:ascii="Times New Roman" w:hAnsi="Times New Roman" w:cs="Times New Roman"/>
          <w:i/>
          <w:sz w:val="28"/>
          <w:szCs w:val="28"/>
        </w:rPr>
        <w:t>Таблиця 5.1</w:t>
      </w:r>
    </w:p>
    <w:p w:rsidR="0021764E" w:rsidRPr="00C62D22" w:rsidRDefault="0021764E" w:rsidP="0021764E">
      <w:pPr>
        <w:spacing w:after="0" w:line="360" w:lineRule="auto"/>
        <w:ind w:firstLine="540"/>
        <w:jc w:val="center"/>
        <w:rPr>
          <w:rFonts w:ascii="Times New Roman" w:hAnsi="Times New Roman" w:cs="Times New Roman"/>
          <w:b/>
          <w:sz w:val="28"/>
          <w:szCs w:val="28"/>
        </w:rPr>
      </w:pPr>
      <w:r w:rsidRPr="00C62D22">
        <w:rPr>
          <w:rFonts w:ascii="Times New Roman" w:hAnsi="Times New Roman" w:cs="Times New Roman"/>
          <w:b/>
          <w:sz w:val="28"/>
          <w:szCs w:val="28"/>
        </w:rPr>
        <w:t>Динаміка змін показників венозного кровотока в системі ВВ залежно від тяжкості стану хворих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88"/>
        <w:gridCol w:w="2340"/>
        <w:gridCol w:w="1980"/>
        <w:gridCol w:w="1800"/>
      </w:tblGrid>
      <w:tr w:rsidR="0021764E" w:rsidRPr="00C62D22" w:rsidTr="006E5FD4">
        <w:tc>
          <w:tcPr>
            <w:tcW w:w="3888" w:type="dxa"/>
            <w:vMerge w:val="restart"/>
          </w:tcPr>
          <w:p w:rsidR="0021764E" w:rsidRPr="00C62D22" w:rsidRDefault="0021764E" w:rsidP="006E5FD4">
            <w:pPr>
              <w:tabs>
                <w:tab w:val="left" w:pos="180"/>
              </w:tabs>
              <w:spacing w:after="0" w:line="360" w:lineRule="auto"/>
              <w:ind w:firstLine="360"/>
              <w:jc w:val="center"/>
              <w:rPr>
                <w:rFonts w:ascii="Times New Roman" w:hAnsi="Times New Roman" w:cs="Times New Roman"/>
                <w:sz w:val="28"/>
                <w:szCs w:val="28"/>
              </w:rPr>
            </w:pPr>
            <w:r w:rsidRPr="00C62D22">
              <w:rPr>
                <w:rFonts w:ascii="Times New Roman" w:hAnsi="Times New Roman" w:cs="Times New Roman"/>
                <w:sz w:val="28"/>
                <w:szCs w:val="28"/>
              </w:rPr>
              <w:t xml:space="preserve">Показник </w:t>
            </w:r>
          </w:p>
          <w:p w:rsidR="0021764E" w:rsidRPr="00C62D22" w:rsidRDefault="0021764E" w:rsidP="006E5FD4">
            <w:pPr>
              <w:tabs>
                <w:tab w:val="left" w:pos="180"/>
              </w:tabs>
              <w:spacing w:after="0" w:line="360" w:lineRule="auto"/>
              <w:ind w:firstLine="360"/>
              <w:jc w:val="center"/>
              <w:rPr>
                <w:rFonts w:ascii="Times New Roman" w:hAnsi="Times New Roman" w:cs="Times New Roman"/>
                <w:sz w:val="28"/>
                <w:szCs w:val="28"/>
              </w:rPr>
            </w:pPr>
            <w:r w:rsidRPr="00C62D22">
              <w:rPr>
                <w:rFonts w:ascii="Times New Roman" w:hAnsi="Times New Roman" w:cs="Times New Roman"/>
                <w:sz w:val="28"/>
                <w:szCs w:val="28"/>
              </w:rPr>
              <w:t>(величина в контролі)</w:t>
            </w:r>
          </w:p>
        </w:tc>
        <w:tc>
          <w:tcPr>
            <w:tcW w:w="6120" w:type="dxa"/>
            <w:gridSpan w:val="3"/>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Величина показника в групах (</w:t>
            </w:r>
            <w:r w:rsidRPr="00C62D22">
              <w:rPr>
                <w:rFonts w:ascii="Times New Roman" w:hAnsi="Times New Roman" w:cs="Times New Roman"/>
                <w:sz w:val="28"/>
                <w:szCs w:val="28"/>
              </w:rPr>
              <w:object w:dxaOrig="345" w:dyaOrig="315">
                <v:shape id="_x0000_i1616" type="#_x0000_t75" style="width:17.25pt;height:15.75pt" o:ole="">
                  <v:imagedata r:id="rId46" o:title=""/>
                </v:shape>
                <o:OLEObject Type="Embed" ProgID="PBrush" ShapeID="_x0000_i1616" DrawAspect="Content" ObjectID="_1568046890" r:id="rId47"/>
              </w:object>
            </w:r>
            <w:r w:rsidRPr="00C62D22">
              <w:rPr>
                <w:rFonts w:ascii="Times New Roman" w:hAnsi="Times New Roman" w:cs="Times New Roman"/>
                <w:sz w:val="28"/>
                <w:szCs w:val="28"/>
              </w:rPr>
              <w:t>±m)</w:t>
            </w:r>
          </w:p>
        </w:tc>
      </w:tr>
      <w:tr w:rsidR="0021764E" w:rsidRPr="00C62D22" w:rsidTr="006E5FD4">
        <w:tc>
          <w:tcPr>
            <w:tcW w:w="3888" w:type="dxa"/>
            <w:vMerge/>
          </w:tcPr>
          <w:p w:rsidR="0021764E" w:rsidRPr="00C62D22" w:rsidRDefault="0021764E" w:rsidP="006E5FD4">
            <w:pPr>
              <w:tabs>
                <w:tab w:val="left" w:pos="180"/>
              </w:tabs>
              <w:spacing w:after="0" w:line="360" w:lineRule="auto"/>
              <w:ind w:firstLine="360"/>
              <w:jc w:val="center"/>
              <w:rPr>
                <w:rFonts w:ascii="Times New Roman" w:hAnsi="Times New Roman" w:cs="Times New Roman"/>
                <w:sz w:val="28"/>
                <w:szCs w:val="28"/>
                <w:vertAlign w:val="subscript"/>
              </w:rPr>
            </w:pP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І група</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ІІ група</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ІІІ група</w:t>
            </w:r>
          </w:p>
        </w:tc>
      </w:tr>
      <w:tr w:rsidR="0021764E" w:rsidRPr="00C62D22" w:rsidTr="006E5FD4">
        <w:trPr>
          <w:trHeight w:val="535"/>
        </w:trPr>
        <w:tc>
          <w:tcPr>
            <w:tcW w:w="3888" w:type="dxa"/>
          </w:tcPr>
          <w:p w:rsidR="0021764E" w:rsidRPr="00C62D22" w:rsidRDefault="0021764E" w:rsidP="006E5FD4">
            <w:pPr>
              <w:tabs>
                <w:tab w:val="left" w:pos="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СІ, л/(хв х м</w:t>
            </w:r>
            <w:r w:rsidRPr="00C62D22">
              <w:rPr>
                <w:rFonts w:ascii="Times New Roman" w:hAnsi="Times New Roman" w:cs="Times New Roman"/>
                <w:sz w:val="28"/>
                <w:szCs w:val="28"/>
                <w:vertAlign w:val="superscript"/>
              </w:rPr>
              <w:t>2</w:t>
            </w:r>
            <w:r w:rsidRPr="00C62D22">
              <w:rPr>
                <w:rFonts w:ascii="Times New Roman" w:hAnsi="Times New Roman" w:cs="Times New Roman"/>
                <w:sz w:val="28"/>
                <w:szCs w:val="28"/>
              </w:rPr>
              <w:t>) (3,48±0,74)</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4,39±0,45 *</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4,03±0,35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3,9±0,37 *</w:t>
            </w:r>
          </w:p>
        </w:tc>
      </w:tr>
      <w:tr w:rsidR="0021764E" w:rsidRPr="00C62D22" w:rsidTr="006E5FD4">
        <w:trPr>
          <w:trHeight w:val="529"/>
        </w:trPr>
        <w:tc>
          <w:tcPr>
            <w:tcW w:w="3888" w:type="dxa"/>
          </w:tcPr>
          <w:p w:rsidR="0021764E" w:rsidRPr="00C62D22" w:rsidRDefault="0021764E" w:rsidP="006E5FD4">
            <w:pPr>
              <w:tabs>
                <w:tab w:val="left" w:pos="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ЗПОС, кПа х с/л (113,43±7,9)</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133,9±4,8 *</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111,6±1,8 *</w:t>
            </w:r>
          </w:p>
        </w:tc>
        <w:tc>
          <w:tcPr>
            <w:tcW w:w="1800" w:type="dxa"/>
          </w:tcPr>
          <w:p w:rsidR="0021764E" w:rsidRPr="00C62D22" w:rsidRDefault="0021764E" w:rsidP="006E5FD4">
            <w:pPr>
              <w:spacing w:after="0" w:line="360" w:lineRule="auto"/>
              <w:ind w:left="-108" w:right="-5"/>
              <w:jc w:val="center"/>
              <w:rPr>
                <w:rFonts w:ascii="Times New Roman" w:hAnsi="Times New Roman" w:cs="Times New Roman"/>
                <w:sz w:val="28"/>
                <w:szCs w:val="28"/>
              </w:rPr>
            </w:pPr>
            <w:r w:rsidRPr="00C62D22">
              <w:rPr>
                <w:rFonts w:ascii="Times New Roman" w:hAnsi="Times New Roman" w:cs="Times New Roman"/>
                <w:sz w:val="28"/>
                <w:szCs w:val="28"/>
              </w:rPr>
              <w:t>113,2±0,98 *</w:t>
            </w:r>
          </w:p>
        </w:tc>
      </w:tr>
      <w:tr w:rsidR="0021764E" w:rsidRPr="00C62D22" w:rsidTr="006E5FD4">
        <w:trPr>
          <w:trHeight w:val="701"/>
        </w:trPr>
        <w:tc>
          <w:tcPr>
            <w:tcW w:w="3888" w:type="dxa"/>
          </w:tcPr>
          <w:p w:rsidR="0021764E" w:rsidRPr="00C62D22" w:rsidRDefault="0021764E" w:rsidP="006E5FD4">
            <w:pPr>
              <w:tabs>
                <w:tab w:val="left" w:pos="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Д </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см (0,86±0,03)</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0,99±0,05 *</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1,2±0,05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1,31±0,03 *</w:t>
            </w:r>
          </w:p>
        </w:tc>
      </w:tr>
    </w:tbl>
    <w:p w:rsidR="0021764E" w:rsidRPr="00C62D22" w:rsidRDefault="0021764E" w:rsidP="0021764E">
      <w:pPr>
        <w:spacing w:after="0" w:line="360" w:lineRule="auto"/>
        <w:ind w:firstLine="540"/>
        <w:jc w:val="both"/>
        <w:rPr>
          <w:rFonts w:ascii="Times New Roman" w:hAnsi="Times New Roman" w:cs="Times New Roman"/>
          <w:sz w:val="28"/>
          <w:szCs w:val="28"/>
          <w:lang w:val="en-US"/>
        </w:rPr>
      </w:pPr>
    </w:p>
    <w:p w:rsidR="0021764E" w:rsidRPr="00C62D22" w:rsidRDefault="0021764E" w:rsidP="0021764E">
      <w:pPr>
        <w:spacing w:after="0" w:line="360" w:lineRule="auto"/>
        <w:ind w:firstLine="540"/>
        <w:jc w:val="both"/>
        <w:rPr>
          <w:rFonts w:ascii="Times New Roman" w:hAnsi="Times New Roman" w:cs="Times New Roman"/>
          <w:sz w:val="28"/>
          <w:szCs w:val="28"/>
          <w:lang w:val="en-US"/>
        </w:rPr>
      </w:pPr>
    </w:p>
    <w:p w:rsidR="0021764E" w:rsidRPr="00C62D22" w:rsidRDefault="0021764E" w:rsidP="0021764E">
      <w:pPr>
        <w:spacing w:after="0" w:line="360" w:lineRule="auto"/>
        <w:ind w:firstLine="540"/>
        <w:jc w:val="right"/>
        <w:rPr>
          <w:rFonts w:ascii="Times New Roman" w:hAnsi="Times New Roman" w:cs="Times New Roman"/>
          <w:i/>
          <w:sz w:val="28"/>
          <w:szCs w:val="28"/>
        </w:rPr>
      </w:pPr>
      <w:r w:rsidRPr="00C62D22">
        <w:rPr>
          <w:rFonts w:ascii="Times New Roman" w:hAnsi="Times New Roman" w:cs="Times New Roman"/>
          <w:i/>
          <w:sz w:val="28"/>
          <w:szCs w:val="28"/>
        </w:rPr>
        <w:lastRenderedPageBreak/>
        <w:t>Продовження табл. 5.1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88"/>
        <w:gridCol w:w="2340"/>
        <w:gridCol w:w="1980"/>
        <w:gridCol w:w="1800"/>
      </w:tblGrid>
      <w:tr w:rsidR="0021764E" w:rsidRPr="00C62D22" w:rsidTr="006E5FD4">
        <w:trPr>
          <w:trHeight w:val="705"/>
        </w:trPr>
        <w:tc>
          <w:tcPr>
            <w:tcW w:w="3888" w:type="dxa"/>
          </w:tcPr>
          <w:p w:rsidR="0021764E" w:rsidRPr="00C62D22" w:rsidRDefault="0021764E" w:rsidP="006E5FD4">
            <w:pPr>
              <w:tabs>
                <w:tab w:val="left" w:pos="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ППП </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xml:space="preserve">, см </w:t>
            </w:r>
            <w:r w:rsidRPr="00C62D22">
              <w:rPr>
                <w:rFonts w:ascii="Times New Roman" w:hAnsi="Times New Roman" w:cs="Times New Roman"/>
                <w:sz w:val="28"/>
                <w:szCs w:val="28"/>
                <w:vertAlign w:val="superscript"/>
              </w:rPr>
              <w:t>2</w:t>
            </w:r>
            <w:r w:rsidRPr="00C62D22">
              <w:rPr>
                <w:rFonts w:ascii="Times New Roman" w:hAnsi="Times New Roman" w:cs="Times New Roman"/>
                <w:sz w:val="28"/>
                <w:szCs w:val="28"/>
              </w:rPr>
              <w:t xml:space="preserve"> (0,61±0,001)</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0,89±0,02*</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0,95±0,04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0,98±0,04 *</w:t>
            </w:r>
          </w:p>
        </w:tc>
      </w:tr>
      <w:tr w:rsidR="0021764E" w:rsidRPr="00C62D22" w:rsidTr="006E5FD4">
        <w:trPr>
          <w:trHeight w:val="724"/>
        </w:trPr>
        <w:tc>
          <w:tcPr>
            <w:tcW w:w="3888" w:type="dxa"/>
          </w:tcPr>
          <w:p w:rsidR="0021764E" w:rsidRPr="00C62D22" w:rsidRDefault="0021764E" w:rsidP="006E5FD4">
            <w:pPr>
              <w:tabs>
                <w:tab w:val="left" w:pos="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ЛШК </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см/с (15,12±0,16)</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15,19±0,13</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12,26±0,07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9,36±0,12 *</w:t>
            </w:r>
          </w:p>
        </w:tc>
      </w:tr>
      <w:tr w:rsidR="0021764E" w:rsidRPr="00C62D22" w:rsidTr="006E5FD4">
        <w:trPr>
          <w:trHeight w:val="703"/>
        </w:trPr>
        <w:tc>
          <w:tcPr>
            <w:tcW w:w="3888" w:type="dxa"/>
          </w:tcPr>
          <w:p w:rsidR="0021764E" w:rsidRPr="00C62D22" w:rsidRDefault="0021764E" w:rsidP="006E5FD4">
            <w:pPr>
              <w:tabs>
                <w:tab w:val="left" w:pos="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ОШК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мл/хв. (646,3±23,4)</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682,2±9,6*</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590,5±11,5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535,2±11,6 *</w:t>
            </w:r>
          </w:p>
        </w:tc>
      </w:tr>
      <w:tr w:rsidR="0021764E" w:rsidRPr="00C62D22" w:rsidTr="006E5FD4">
        <w:tc>
          <w:tcPr>
            <w:tcW w:w="3888" w:type="dxa"/>
          </w:tcPr>
          <w:p w:rsidR="0021764E" w:rsidRPr="00C62D22" w:rsidRDefault="0021764E" w:rsidP="006E5FD4">
            <w:pPr>
              <w:tabs>
                <w:tab w:val="left" w:pos="18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ІОК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 мл/(хв х м </w:t>
            </w:r>
            <w:r w:rsidRPr="00C62D22">
              <w:rPr>
                <w:rFonts w:ascii="Times New Roman" w:hAnsi="Times New Roman" w:cs="Times New Roman"/>
                <w:sz w:val="28"/>
                <w:szCs w:val="28"/>
                <w:vertAlign w:val="superscript"/>
              </w:rPr>
              <w:t>2</w:t>
            </w:r>
            <w:r w:rsidRPr="00C62D22">
              <w:rPr>
                <w:rFonts w:ascii="Times New Roman" w:hAnsi="Times New Roman" w:cs="Times New Roman"/>
                <w:sz w:val="28"/>
                <w:szCs w:val="28"/>
              </w:rPr>
              <w:t>) (371,6±16,1)</w:t>
            </w:r>
          </w:p>
        </w:tc>
        <w:tc>
          <w:tcPr>
            <w:tcW w:w="234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372,3±18,1</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332,7±21,4*</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331,6±31,8</w:t>
            </w:r>
          </w:p>
        </w:tc>
      </w:tr>
    </w:tbl>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Примітка: * – різниця показників достовірна  порівняно з такими в контролі (р&lt;0,05)</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Д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 збільшений у хворих усіх груп відповідно на 15,1%, 35,5% і 52,4% (р&lt;0,05) (рис. 5.3).</w:t>
      </w:r>
    </w:p>
    <w:p w:rsidR="0021764E" w:rsidRPr="00C62D22" w:rsidRDefault="0021764E" w:rsidP="0021764E">
      <w:pPr>
        <w:spacing w:after="0" w:line="360" w:lineRule="auto"/>
        <w:ind w:firstLine="540"/>
        <w:jc w:val="center"/>
        <w:rPr>
          <w:rFonts w:ascii="Times New Roman" w:hAnsi="Times New Roman" w:cs="Times New Roman"/>
          <w:sz w:val="28"/>
          <w:szCs w:val="28"/>
        </w:rPr>
      </w:pPr>
      <w:r w:rsidRPr="00C62D22">
        <w:rPr>
          <w:rFonts w:ascii="Times New Roman" w:hAnsi="Times New Roman" w:cs="Times New Roman"/>
          <w:noProof/>
          <w:sz w:val="28"/>
          <w:szCs w:val="28"/>
        </w:rPr>
        <w:drawing>
          <wp:inline distT="0" distB="0" distL="0" distR="0">
            <wp:extent cx="4848225" cy="3114675"/>
            <wp:effectExtent l="19050" t="0" r="9525" b="0"/>
            <wp:docPr id="117" name="Рисунок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48"/>
                    <a:srcRect/>
                    <a:stretch>
                      <a:fillRect/>
                    </a:stretch>
                  </pic:blipFill>
                  <pic:spPr bwMode="auto">
                    <a:xfrm>
                      <a:off x="0" y="0"/>
                      <a:ext cx="4848225" cy="31146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04" type="#_x0000_t202" style="position:absolute;left:0;text-align:left;margin-left:9pt;margin-top:3.65pt;width:499.3pt;height:27pt;z-index:251737088" stroked="f">
            <v:textbox style="mso-next-textbox:#_x0000_s1104">
              <w:txbxContent>
                <w:p w:rsidR="0021764E" w:rsidRPr="00D23439" w:rsidRDefault="0021764E" w:rsidP="0021764E">
                  <w:pPr>
                    <w:spacing w:after="0" w:line="360" w:lineRule="auto"/>
                    <w:ind w:firstLine="540"/>
                    <w:jc w:val="right"/>
                    <w:rPr>
                      <w:rFonts w:ascii="Times New Roman" w:hAnsi="Times New Roman"/>
                      <w:sz w:val="28"/>
                      <w:szCs w:val="28"/>
                    </w:rPr>
                  </w:pPr>
                  <w:r w:rsidRPr="00D23439">
                    <w:rPr>
                      <w:rFonts w:ascii="Times New Roman" w:hAnsi="Times New Roman"/>
                      <w:sz w:val="28"/>
                      <w:szCs w:val="28"/>
                    </w:rPr>
                    <w:t>Рис. 5.3. Діаметр ворітної вени у хворих з різними типами ПК ПЗ</w:t>
                  </w:r>
                </w:p>
                <w:p w:rsidR="0021764E" w:rsidRPr="00D3280E" w:rsidRDefault="0021764E" w:rsidP="0021764E">
                  <w:pPr>
                    <w:jc w:val="right"/>
                  </w:pPr>
                </w:p>
              </w:txbxContent>
            </v:textbox>
          </v:shape>
        </w:pict>
      </w: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ППП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 на 45,9%, 55,7% і 60,7% (р&lt;0,05), ОШК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 за легкого перебігу захворювання в середньому на 6,6% перевищувала таку в контрольній групі (р&lt;0,05) (рис.5.4).</w:t>
      </w:r>
    </w:p>
    <w:p w:rsidR="0021764E" w:rsidRPr="00C62D22" w:rsidRDefault="0021764E" w:rsidP="0021764E">
      <w:pPr>
        <w:spacing w:after="0" w:line="360" w:lineRule="auto"/>
        <w:ind w:firstLine="540"/>
        <w:jc w:val="center"/>
        <w:rPr>
          <w:rFonts w:ascii="Times New Roman" w:hAnsi="Times New Roman" w:cs="Times New Roman"/>
          <w:sz w:val="28"/>
          <w:szCs w:val="28"/>
        </w:rPr>
      </w:pPr>
      <w:r w:rsidRPr="00C62D22">
        <w:rPr>
          <w:rFonts w:ascii="Times New Roman" w:hAnsi="Times New Roman" w:cs="Times New Roman"/>
          <w:noProof/>
          <w:sz w:val="28"/>
          <w:szCs w:val="28"/>
        </w:rPr>
        <w:lastRenderedPageBreak/>
        <w:drawing>
          <wp:inline distT="0" distB="0" distL="0" distR="0">
            <wp:extent cx="4419600" cy="3124200"/>
            <wp:effectExtent l="19050" t="0" r="0" b="0"/>
            <wp:docPr id="118" name="Рисунок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49"/>
                    <a:srcRect/>
                    <a:stretch>
                      <a:fillRect/>
                    </a:stretch>
                  </pic:blipFill>
                  <pic:spPr bwMode="auto">
                    <a:xfrm>
                      <a:off x="0" y="0"/>
                      <a:ext cx="4419600" cy="31242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jc w:val="right"/>
        <w:rPr>
          <w:rFonts w:ascii="Times New Roman" w:hAnsi="Times New Roman" w:cs="Times New Roman"/>
          <w:sz w:val="28"/>
          <w:szCs w:val="28"/>
        </w:rPr>
      </w:pPr>
      <w:r w:rsidRPr="00C62D22">
        <w:rPr>
          <w:rFonts w:ascii="Times New Roman" w:hAnsi="Times New Roman" w:cs="Times New Roman"/>
          <w:sz w:val="28"/>
          <w:szCs w:val="28"/>
        </w:rPr>
        <w:t>Рис. 5.4. Об’ємна швидкість кровотока за ворітною веною у хворих з різними типами ПК ПЗ</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Це може бути пов’язане з двома механізмами, зокрема паралітичним розширенням резистивних венул у відповідь на гіпоксію та розвитком внутрішньопечінкових портокавальних шунтів (r = 0,92, р = 0,002). У хворих ІІ групи відзначали зменшення ОШК </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xml:space="preserve"> у середньому на 7,7% (р&lt;0,05), ІІІ групи – на 8,6% (р&lt;0,05). При цьому венозний приплив (за даними ІОК </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у хворих І групи недостовірно підвищений, ІІ групи – у середньому на 10,5% менше показників у контрольній та на 10,6% – у І групі (р&lt;0,05). Компенсаторно-пристосувальні реакції, що формувалися внаслідок функціональної неповноцінності міокарда на тлі ендогенної інтоксикації, спричиненої нагноєнням та/або кровотечею в порожнину кісти, позаочеревинний простір або черевну порожнину за її розриву, запобігають або зменшують вирази зниження продуктивності серця.</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За даними дослідження Д</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у хворих І групи достовірно не відрізнявся від такого в контролі, у ІІ і ІІІ групах – був відповідно на 6,8% і 10,7% менше, ніж у контрольній групі (р&lt;0,05) (табл. 5.2).</w:t>
      </w:r>
    </w:p>
    <w:p w:rsidR="0021764E" w:rsidRPr="00C62D22" w:rsidRDefault="0021764E" w:rsidP="0021764E">
      <w:pPr>
        <w:spacing w:after="0" w:line="360" w:lineRule="auto"/>
        <w:ind w:firstLine="540"/>
        <w:jc w:val="both"/>
        <w:rPr>
          <w:rFonts w:ascii="Times New Roman" w:hAnsi="Times New Roman" w:cs="Times New Roman"/>
          <w:sz w:val="28"/>
          <w:szCs w:val="28"/>
          <w:lang w:val="en-US"/>
        </w:rPr>
      </w:pPr>
    </w:p>
    <w:p w:rsidR="0021764E" w:rsidRPr="00C62D22" w:rsidRDefault="0021764E" w:rsidP="0021764E">
      <w:pPr>
        <w:spacing w:after="0" w:line="360" w:lineRule="auto"/>
        <w:ind w:firstLine="540"/>
        <w:jc w:val="both"/>
        <w:rPr>
          <w:rFonts w:ascii="Times New Roman" w:hAnsi="Times New Roman" w:cs="Times New Roman"/>
          <w:sz w:val="28"/>
          <w:szCs w:val="28"/>
          <w:lang w:val="en-US"/>
        </w:rPr>
      </w:pPr>
    </w:p>
    <w:p w:rsidR="0021764E" w:rsidRPr="00C62D22" w:rsidRDefault="0021764E" w:rsidP="0021764E">
      <w:pPr>
        <w:spacing w:after="0" w:line="360" w:lineRule="auto"/>
        <w:ind w:firstLine="540"/>
        <w:jc w:val="right"/>
        <w:rPr>
          <w:rFonts w:ascii="Times New Roman" w:hAnsi="Times New Roman" w:cs="Times New Roman"/>
          <w:i/>
          <w:sz w:val="28"/>
          <w:szCs w:val="28"/>
        </w:rPr>
      </w:pPr>
      <w:r w:rsidRPr="00C62D22">
        <w:rPr>
          <w:rFonts w:ascii="Times New Roman" w:hAnsi="Times New Roman" w:cs="Times New Roman"/>
          <w:i/>
          <w:sz w:val="28"/>
          <w:szCs w:val="28"/>
        </w:rPr>
        <w:lastRenderedPageBreak/>
        <w:t>Таблиця 5.2</w:t>
      </w:r>
    </w:p>
    <w:p w:rsidR="0021764E" w:rsidRPr="00C62D22" w:rsidRDefault="0021764E" w:rsidP="0021764E">
      <w:pPr>
        <w:spacing w:after="0" w:line="360" w:lineRule="auto"/>
        <w:jc w:val="center"/>
        <w:rPr>
          <w:rFonts w:ascii="Times New Roman" w:hAnsi="Times New Roman" w:cs="Times New Roman"/>
          <w:b/>
          <w:sz w:val="28"/>
          <w:szCs w:val="28"/>
        </w:rPr>
      </w:pPr>
      <w:r w:rsidRPr="00C62D22">
        <w:rPr>
          <w:rFonts w:ascii="Times New Roman" w:hAnsi="Times New Roman" w:cs="Times New Roman"/>
          <w:b/>
          <w:sz w:val="28"/>
          <w:szCs w:val="28"/>
        </w:rPr>
        <w:t>Динаміка змін показників артеріального кровотока залежно від тяжкості стану хворого</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08"/>
        <w:gridCol w:w="1800"/>
        <w:gridCol w:w="1980"/>
        <w:gridCol w:w="1800"/>
      </w:tblGrid>
      <w:tr w:rsidR="0021764E" w:rsidRPr="00C62D22" w:rsidTr="006E5FD4">
        <w:tc>
          <w:tcPr>
            <w:tcW w:w="4608" w:type="dxa"/>
            <w:vMerge w:val="restart"/>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 xml:space="preserve">Показник </w:t>
            </w:r>
          </w:p>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(величина у контролі)</w:t>
            </w:r>
          </w:p>
        </w:tc>
        <w:tc>
          <w:tcPr>
            <w:tcW w:w="5580" w:type="dxa"/>
            <w:gridSpan w:val="3"/>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Величина показника в групах (</w:t>
            </w:r>
            <w:r w:rsidRPr="00C62D22">
              <w:rPr>
                <w:rFonts w:ascii="Times New Roman" w:hAnsi="Times New Roman" w:cs="Times New Roman"/>
                <w:sz w:val="28"/>
                <w:szCs w:val="28"/>
              </w:rPr>
              <w:object w:dxaOrig="345" w:dyaOrig="315">
                <v:shape id="_x0000_i1617" type="#_x0000_t75" style="width:17.25pt;height:15.75pt" o:ole="">
                  <v:imagedata r:id="rId46" o:title=""/>
                </v:shape>
                <o:OLEObject Type="Embed" ProgID="PBrush" ShapeID="_x0000_i1617" DrawAspect="Content" ObjectID="_1568046891" r:id="rId50"/>
              </w:object>
            </w:r>
            <w:r w:rsidRPr="00C62D22">
              <w:rPr>
                <w:rFonts w:ascii="Times New Roman" w:hAnsi="Times New Roman" w:cs="Times New Roman"/>
                <w:sz w:val="28"/>
                <w:szCs w:val="28"/>
              </w:rPr>
              <w:t>±m)</w:t>
            </w:r>
          </w:p>
        </w:tc>
      </w:tr>
      <w:tr w:rsidR="0021764E" w:rsidRPr="00C62D22" w:rsidTr="006E5FD4">
        <w:tc>
          <w:tcPr>
            <w:tcW w:w="4608" w:type="dxa"/>
            <w:vMerge/>
          </w:tcPr>
          <w:p w:rsidR="0021764E" w:rsidRPr="00C62D22" w:rsidRDefault="0021764E" w:rsidP="006E5FD4">
            <w:pPr>
              <w:spacing w:after="0" w:line="360" w:lineRule="auto"/>
              <w:jc w:val="center"/>
              <w:rPr>
                <w:rFonts w:ascii="Times New Roman" w:hAnsi="Times New Roman" w:cs="Times New Roman"/>
                <w:sz w:val="28"/>
                <w:szCs w:val="28"/>
              </w:rPr>
            </w:pP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І група</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ІІ група</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ІІІ група</w:t>
            </w:r>
          </w:p>
        </w:tc>
      </w:tr>
      <w:tr w:rsidR="0021764E" w:rsidRPr="00C62D22" w:rsidTr="006E5FD4">
        <w:trPr>
          <w:trHeight w:val="392"/>
        </w:trPr>
        <w:tc>
          <w:tcPr>
            <w:tcW w:w="4608" w:type="dxa"/>
          </w:tcPr>
          <w:p w:rsidR="0021764E" w:rsidRPr="00C62D22" w:rsidRDefault="0021764E" w:rsidP="006E5FD4">
            <w:pPr>
              <w:tabs>
                <w:tab w:val="left" w:pos="0"/>
              </w:tabs>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Д </w:t>
            </w:r>
            <w:r w:rsidRPr="00C62D22">
              <w:rPr>
                <w:rFonts w:ascii="Times New Roman" w:hAnsi="Times New Roman" w:cs="Times New Roman"/>
                <w:sz w:val="28"/>
                <w:szCs w:val="28"/>
                <w:vertAlign w:val="subscript"/>
              </w:rPr>
              <w:t>ЗПА</w:t>
            </w:r>
            <w:r w:rsidRPr="00C62D22">
              <w:rPr>
                <w:rFonts w:ascii="Times New Roman" w:hAnsi="Times New Roman" w:cs="Times New Roman"/>
                <w:sz w:val="28"/>
                <w:szCs w:val="28"/>
              </w:rPr>
              <w:t>, мм (6,17±0,06)</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6,12±0,03</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5,75±0,12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5,51±0,07 *</w:t>
            </w:r>
          </w:p>
        </w:tc>
      </w:tr>
      <w:tr w:rsidR="0021764E" w:rsidRPr="00C62D22" w:rsidTr="006E5FD4">
        <w:tc>
          <w:tcPr>
            <w:tcW w:w="4608" w:type="dxa"/>
          </w:tcPr>
          <w:p w:rsidR="0021764E" w:rsidRPr="00C62D22" w:rsidRDefault="0021764E" w:rsidP="006E5FD4">
            <w:pPr>
              <w:spacing w:after="0" w:line="360" w:lineRule="auto"/>
              <w:rPr>
                <w:rFonts w:ascii="Times New Roman" w:hAnsi="Times New Roman" w:cs="Times New Roman"/>
                <w:sz w:val="28"/>
                <w:szCs w:val="28"/>
                <w:vertAlign w:val="superscript"/>
              </w:rPr>
            </w:pPr>
            <w:r w:rsidRPr="00C62D22">
              <w:rPr>
                <w:rFonts w:ascii="Times New Roman" w:hAnsi="Times New Roman" w:cs="Times New Roman"/>
                <w:sz w:val="28"/>
                <w:szCs w:val="28"/>
              </w:rPr>
              <w:t xml:space="preserve">ППП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 см </w:t>
            </w:r>
            <w:r w:rsidRPr="00C62D22">
              <w:rPr>
                <w:rFonts w:ascii="Times New Roman" w:hAnsi="Times New Roman" w:cs="Times New Roman"/>
                <w:sz w:val="28"/>
                <w:szCs w:val="28"/>
                <w:vertAlign w:val="superscript"/>
              </w:rPr>
              <w:t xml:space="preserve">2 </w:t>
            </w:r>
            <w:r w:rsidRPr="00C62D22">
              <w:rPr>
                <w:rFonts w:ascii="Times New Roman" w:hAnsi="Times New Roman" w:cs="Times New Roman"/>
                <w:sz w:val="28"/>
                <w:szCs w:val="28"/>
              </w:rPr>
              <w:t>(0,302±0,02)</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0,29±0,02</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0,26±0,02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0,22±0,03 *</w:t>
            </w:r>
          </w:p>
        </w:tc>
      </w:tr>
      <w:tr w:rsidR="0021764E" w:rsidRPr="00C62D22" w:rsidTr="006E5FD4">
        <w:tc>
          <w:tcPr>
            <w:tcW w:w="4608" w:type="dxa"/>
          </w:tcPr>
          <w:p w:rsidR="0021764E" w:rsidRPr="00C62D22" w:rsidRDefault="0021764E" w:rsidP="006E5FD4">
            <w:pPr>
              <w:spacing w:after="0" w:line="360" w:lineRule="auto"/>
              <w:rPr>
                <w:rFonts w:ascii="Times New Roman" w:hAnsi="Times New Roman" w:cs="Times New Roman"/>
                <w:sz w:val="28"/>
                <w:szCs w:val="28"/>
              </w:rPr>
            </w:pPr>
            <w:r w:rsidRPr="00C62D22">
              <w:rPr>
                <w:rFonts w:ascii="Times New Roman" w:hAnsi="Times New Roman" w:cs="Times New Roman"/>
                <w:sz w:val="28"/>
                <w:szCs w:val="28"/>
              </w:rPr>
              <w:t>Середня швидкість кровотока за ЗПА, см/с (45,21±0,51)</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45,96±0,05 *</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48,85±3,97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33,08±3,06 *</w:t>
            </w:r>
          </w:p>
        </w:tc>
      </w:tr>
      <w:tr w:rsidR="0021764E" w:rsidRPr="00C62D22" w:rsidTr="006E5FD4">
        <w:tc>
          <w:tcPr>
            <w:tcW w:w="4608" w:type="dxa"/>
          </w:tcPr>
          <w:p w:rsidR="0021764E" w:rsidRPr="00C62D22" w:rsidRDefault="0021764E" w:rsidP="006E5FD4">
            <w:pPr>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ІОК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мл/(хв х м ²) (528,23±7,34)</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0,89±0,02 *</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533,1±77,2</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319±53,17 *</w:t>
            </w:r>
          </w:p>
        </w:tc>
      </w:tr>
      <w:tr w:rsidR="0021764E" w:rsidRPr="00C62D22" w:rsidTr="006E5FD4">
        <w:tc>
          <w:tcPr>
            <w:tcW w:w="4608" w:type="dxa"/>
          </w:tcPr>
          <w:p w:rsidR="0021764E" w:rsidRPr="00C62D22" w:rsidRDefault="0021764E" w:rsidP="006E5FD4">
            <w:pPr>
              <w:spacing w:after="0" w:line="360" w:lineRule="auto"/>
              <w:rPr>
                <w:rFonts w:ascii="Times New Roman" w:hAnsi="Times New Roman" w:cs="Times New Roman"/>
                <w:sz w:val="28"/>
                <w:szCs w:val="28"/>
              </w:rPr>
            </w:pPr>
            <w:r w:rsidRPr="00C62D22">
              <w:rPr>
                <w:rFonts w:ascii="Times New Roman" w:hAnsi="Times New Roman" w:cs="Times New Roman"/>
                <w:sz w:val="28"/>
                <w:szCs w:val="28"/>
              </w:rPr>
              <w:t>Vо</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/ХОК (22,56±0,33)</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25,1±0,46</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24,51±2,86</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24,07±1,64 *</w:t>
            </w:r>
          </w:p>
        </w:tc>
      </w:tr>
      <w:tr w:rsidR="0021764E" w:rsidRPr="00C62D22" w:rsidTr="006E5FD4">
        <w:tc>
          <w:tcPr>
            <w:tcW w:w="4608" w:type="dxa"/>
          </w:tcPr>
          <w:p w:rsidR="0021764E" w:rsidRPr="00C62D22" w:rsidRDefault="0021764E" w:rsidP="006E5FD4">
            <w:pPr>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ОШК </w:t>
            </w:r>
            <w:r w:rsidRPr="00C62D22">
              <w:rPr>
                <w:rFonts w:ascii="Times New Roman" w:hAnsi="Times New Roman" w:cs="Times New Roman"/>
                <w:sz w:val="28"/>
                <w:szCs w:val="28"/>
                <w:vertAlign w:val="subscript"/>
              </w:rPr>
              <w:t>ЗПА</w:t>
            </w:r>
            <w:r w:rsidRPr="00C62D22">
              <w:rPr>
                <w:rFonts w:ascii="Times New Roman" w:hAnsi="Times New Roman" w:cs="Times New Roman"/>
                <w:sz w:val="28"/>
                <w:szCs w:val="28"/>
              </w:rPr>
              <w:t>, мл/хв. (548,8±24,6)</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683,4±51,6 *</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580,4±14,7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427±14,6 *</w:t>
            </w:r>
          </w:p>
        </w:tc>
      </w:tr>
      <w:tr w:rsidR="0021764E" w:rsidRPr="00C62D22" w:rsidTr="006E5FD4">
        <w:trPr>
          <w:trHeight w:val="708"/>
        </w:trPr>
        <w:tc>
          <w:tcPr>
            <w:tcW w:w="4608" w:type="dxa"/>
          </w:tcPr>
          <w:p w:rsidR="0021764E" w:rsidRPr="00C62D22" w:rsidRDefault="0021764E" w:rsidP="006E5FD4">
            <w:pPr>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ОШК </w:t>
            </w:r>
            <w:r w:rsidRPr="00C62D22">
              <w:rPr>
                <w:rFonts w:ascii="Times New Roman" w:hAnsi="Times New Roman" w:cs="Times New Roman"/>
                <w:sz w:val="28"/>
                <w:szCs w:val="28"/>
                <w:vertAlign w:val="subscript"/>
              </w:rPr>
              <w:t xml:space="preserve">ВБА </w:t>
            </w:r>
            <w:r w:rsidRPr="00C62D22">
              <w:rPr>
                <w:rFonts w:ascii="Times New Roman" w:hAnsi="Times New Roman" w:cs="Times New Roman"/>
                <w:sz w:val="28"/>
                <w:szCs w:val="28"/>
              </w:rPr>
              <w:t>, мл/хв. (376,4 ±15,6)</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372,4±15,3</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344,2±13,99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310,6±35,1 *</w:t>
            </w:r>
          </w:p>
        </w:tc>
      </w:tr>
    </w:tbl>
    <w:p w:rsidR="0021764E" w:rsidRPr="00C62D22" w:rsidRDefault="0021764E" w:rsidP="0021764E">
      <w:pPr>
        <w:jc w:val="both"/>
        <w:rPr>
          <w:rFonts w:ascii="Times New Roman" w:hAnsi="Times New Roman" w:cs="Times New Roman"/>
          <w:sz w:val="28"/>
          <w:szCs w:val="28"/>
        </w:rPr>
      </w:pPr>
    </w:p>
    <w:p w:rsidR="0021764E" w:rsidRPr="00C62D22" w:rsidRDefault="0021764E" w:rsidP="0021764E">
      <w:pPr>
        <w:jc w:val="both"/>
        <w:rPr>
          <w:rFonts w:ascii="Times New Roman" w:hAnsi="Times New Roman" w:cs="Times New Roman"/>
          <w:sz w:val="28"/>
          <w:szCs w:val="28"/>
        </w:rPr>
      </w:pPr>
      <w:r w:rsidRPr="00C62D22">
        <w:rPr>
          <w:rFonts w:ascii="Times New Roman" w:hAnsi="Times New Roman" w:cs="Times New Roman"/>
          <w:sz w:val="28"/>
          <w:szCs w:val="28"/>
        </w:rPr>
        <w:t>Примітка: * – різниця показників достовірна порівняно з такими в контролі (р&lt;0,05)</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При цьому ППП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була менше тільки у хворих ІІ та ІІІ груп – відповідно на 13,3% і 26,7% (р&lt;0,05). Середня швидкість кровотока за ЗПА у хворих І групи не змінювалася, у ІІ групі компенсаторно збільшувалася на 7,2% –  порівняно з такою в контролі й на 26,8% зменшувалася у хворих ІІІ групи. ОШК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збільшена у хворих І та ІІ груп у середньому на 24,5% та 5,8% (р&lt;0,05), ІІІ групи – зменшена в середньому на 22,2% (р&lt;0,05). При цьому ППП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була менше тільки у хворих ІІ та ІІІ групи, відповідно на 13,3% та 26,7% (р&lt;0,05). Середня швидкість кровотока за ЗПА у хворих І групи не змінювалася, ІІ групи – компенсаторно збільшувалася на 7,2% порівняно з такою в контролі і на 26,8% зменшувалася у хворих ІІІ групи (рис. 5.5).</w:t>
      </w:r>
    </w:p>
    <w:p w:rsidR="0021764E" w:rsidRPr="00C62D22" w:rsidRDefault="0021764E" w:rsidP="0021764E">
      <w:pPr>
        <w:spacing w:after="0" w:line="360" w:lineRule="auto"/>
        <w:ind w:firstLine="540"/>
        <w:jc w:val="center"/>
        <w:rPr>
          <w:rFonts w:ascii="Times New Roman" w:hAnsi="Times New Roman" w:cs="Times New Roman"/>
          <w:sz w:val="28"/>
          <w:szCs w:val="28"/>
        </w:rPr>
      </w:pPr>
      <w:r w:rsidRPr="00C62D22">
        <w:rPr>
          <w:rFonts w:ascii="Times New Roman" w:hAnsi="Times New Roman" w:cs="Times New Roman"/>
          <w:noProof/>
          <w:sz w:val="28"/>
          <w:szCs w:val="28"/>
        </w:rPr>
        <w:lastRenderedPageBreak/>
        <w:pict>
          <v:shape id="_x0000_s1105" type="#_x0000_t202" style="position:absolute;left:0;text-align:left;margin-left:9pt;margin-top:255.3pt;width:495pt;height:54pt;z-index:251738112" stroked="f">
            <v:textbox style="mso-next-textbox:#_x0000_s1105">
              <w:txbxContent>
                <w:p w:rsidR="0021764E" w:rsidRPr="00D23439" w:rsidRDefault="0021764E" w:rsidP="0021764E">
                  <w:pPr>
                    <w:spacing w:after="0" w:line="360" w:lineRule="auto"/>
                    <w:jc w:val="right"/>
                    <w:rPr>
                      <w:rFonts w:ascii="Times New Roman" w:hAnsi="Times New Roman"/>
                      <w:sz w:val="28"/>
                      <w:szCs w:val="28"/>
                    </w:rPr>
                  </w:pPr>
                  <w:r w:rsidRPr="00D23439">
                    <w:rPr>
                      <w:rFonts w:ascii="Times New Roman" w:hAnsi="Times New Roman"/>
                      <w:sz w:val="28"/>
                      <w:szCs w:val="28"/>
                    </w:rPr>
                    <w:t xml:space="preserve">Рис. </w:t>
                  </w:r>
                  <w:r>
                    <w:rPr>
                      <w:rFonts w:ascii="Times New Roman" w:hAnsi="Times New Roman"/>
                      <w:sz w:val="28"/>
                      <w:szCs w:val="28"/>
                    </w:rPr>
                    <w:t>5.5. Об’ємна швидкість кровотока н</w:t>
                  </w:r>
                  <w:r w:rsidRPr="00D23439">
                    <w:rPr>
                      <w:rFonts w:ascii="Times New Roman" w:hAnsi="Times New Roman"/>
                      <w:sz w:val="28"/>
                      <w:szCs w:val="28"/>
                    </w:rPr>
                    <w:t>а загальній печінковій артерії у хворих з різними типами ПК ПЗ</w:t>
                  </w:r>
                </w:p>
                <w:p w:rsidR="0021764E" w:rsidRDefault="0021764E" w:rsidP="0021764E"/>
              </w:txbxContent>
            </v:textbox>
          </v:shape>
        </w:pict>
      </w:r>
      <w:r w:rsidRPr="00C62D22">
        <w:rPr>
          <w:rFonts w:ascii="Times New Roman" w:hAnsi="Times New Roman" w:cs="Times New Roman"/>
          <w:noProof/>
          <w:sz w:val="28"/>
          <w:szCs w:val="28"/>
        </w:rPr>
        <w:drawing>
          <wp:inline distT="0" distB="0" distL="0" distR="0">
            <wp:extent cx="5248275" cy="3267075"/>
            <wp:effectExtent l="19050" t="0" r="9525"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51"/>
                    <a:srcRect/>
                    <a:stretch>
                      <a:fillRect/>
                    </a:stretch>
                  </pic:blipFill>
                  <pic:spPr bwMode="auto">
                    <a:xfrm>
                      <a:off x="0" y="0"/>
                      <a:ext cx="5248275" cy="32670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ОШК </w:t>
      </w:r>
      <w:r w:rsidRPr="00C62D22">
        <w:rPr>
          <w:rFonts w:ascii="Times New Roman" w:hAnsi="Times New Roman" w:cs="Times New Roman"/>
          <w:sz w:val="28"/>
          <w:szCs w:val="28"/>
          <w:vertAlign w:val="subscript"/>
        </w:rPr>
        <w:t xml:space="preserve">ВБА </w:t>
      </w:r>
      <w:r w:rsidRPr="00C62D22">
        <w:rPr>
          <w:rFonts w:ascii="Times New Roman" w:hAnsi="Times New Roman" w:cs="Times New Roman"/>
          <w:sz w:val="28"/>
          <w:szCs w:val="28"/>
        </w:rPr>
        <w:t>зменшувалася у хворих усіх груп, у тому числі І групи – недостовірно, ІІ групи –у середньому на 8,6%, ІІІ групи – на 17,5% (р&lt;0,05) (рис. 5.6).</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jc w:val="center"/>
        <w:rPr>
          <w:rFonts w:ascii="Times New Roman" w:hAnsi="Times New Roman" w:cs="Times New Roman"/>
          <w:sz w:val="28"/>
          <w:szCs w:val="28"/>
        </w:rPr>
      </w:pPr>
      <w:r w:rsidRPr="00C62D22">
        <w:rPr>
          <w:rFonts w:ascii="Times New Roman" w:hAnsi="Times New Roman" w:cs="Times New Roman"/>
          <w:noProof/>
          <w:sz w:val="28"/>
          <w:szCs w:val="28"/>
        </w:rPr>
        <w:drawing>
          <wp:inline distT="0" distB="0" distL="0" distR="0">
            <wp:extent cx="5800725" cy="3381375"/>
            <wp:effectExtent l="19050" t="0" r="9525" b="0"/>
            <wp:docPr id="121" name="Рисунок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52"/>
                    <a:srcRect/>
                    <a:stretch>
                      <a:fillRect/>
                    </a:stretch>
                  </pic:blipFill>
                  <pic:spPr bwMode="auto">
                    <a:xfrm>
                      <a:off x="0" y="0"/>
                      <a:ext cx="5800725" cy="33813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06" type="#_x0000_t202" style="position:absolute;left:0;text-align:left;margin-left:0;margin-top:-.4pt;width:7in;height:47.85pt;z-index:251739136" stroked="f">
            <v:textbox style="mso-next-textbox:#_x0000_s1106">
              <w:txbxContent>
                <w:p w:rsidR="0021764E" w:rsidRPr="00D23439" w:rsidRDefault="0021764E" w:rsidP="0021764E">
                  <w:pPr>
                    <w:spacing w:after="0" w:line="360" w:lineRule="auto"/>
                    <w:jc w:val="right"/>
                    <w:rPr>
                      <w:rFonts w:ascii="Times New Roman" w:hAnsi="Times New Roman"/>
                      <w:sz w:val="28"/>
                      <w:szCs w:val="28"/>
                    </w:rPr>
                  </w:pPr>
                  <w:r w:rsidRPr="00D23439">
                    <w:rPr>
                      <w:rFonts w:ascii="Times New Roman" w:hAnsi="Times New Roman"/>
                      <w:sz w:val="28"/>
                      <w:szCs w:val="28"/>
                    </w:rPr>
                    <w:t>Рис. 5.6. Об’ємна</w:t>
                  </w:r>
                  <w:r>
                    <w:rPr>
                      <w:rFonts w:ascii="Times New Roman" w:hAnsi="Times New Roman"/>
                      <w:sz w:val="28"/>
                      <w:szCs w:val="28"/>
                    </w:rPr>
                    <w:t xml:space="preserve"> швидкість кровотока</w:t>
                  </w:r>
                  <w:r w:rsidRPr="00D23439">
                    <w:rPr>
                      <w:rFonts w:ascii="Times New Roman" w:hAnsi="Times New Roman"/>
                      <w:sz w:val="28"/>
                      <w:szCs w:val="28"/>
                    </w:rPr>
                    <w:t xml:space="preserve"> за великою брижовою артерією у хворих з різними типами ПК ПЗ</w:t>
                  </w:r>
                </w:p>
                <w:p w:rsidR="0021764E" w:rsidRPr="00D3280E" w:rsidRDefault="0021764E" w:rsidP="0021764E"/>
              </w:txbxContent>
            </v:textbox>
          </v:shape>
        </w:pic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Результати неінвазивної УЗДФ свідчили про збільшення кровотока в ЗПА тільки в пацієнтів за легкого перебігу захворювання (до 3 балів за шкалою SOFA) і, </w:t>
      </w:r>
      <w:r w:rsidRPr="00C62D22">
        <w:rPr>
          <w:rFonts w:ascii="Times New Roman" w:hAnsi="Times New Roman" w:cs="Times New Roman"/>
          <w:sz w:val="28"/>
          <w:szCs w:val="28"/>
        </w:rPr>
        <w:lastRenderedPageBreak/>
        <w:t>навпаки, збіднення артеріального живлення печінки в цілому за тяжкого перебігу патологічного процесу (понад 8 балів за шкалою SOFA) [239]. Така реакція гемодинаміки, можливо, спрямована на компенсацію гіпоксії, що виникає внаслідок зменшення припливу крові за ВВ (табл. 5.3).</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Коливання пульсативного індексу Гослінга (РІ </w:t>
      </w:r>
      <w:r w:rsidRPr="00C62D22">
        <w:rPr>
          <w:rFonts w:ascii="Times New Roman" w:hAnsi="Times New Roman" w:cs="Times New Roman"/>
          <w:sz w:val="28"/>
          <w:szCs w:val="28"/>
          <w:vertAlign w:val="subscript"/>
        </w:rPr>
        <w:t>ЗПА</w:t>
      </w:r>
      <w:r w:rsidRPr="00C62D22">
        <w:rPr>
          <w:rFonts w:ascii="Times New Roman" w:hAnsi="Times New Roman" w:cs="Times New Roman"/>
          <w:sz w:val="28"/>
          <w:szCs w:val="28"/>
        </w:rPr>
        <w:t>) були достовірними тільки у хворих ІІ та ІІІ груп  порівняно з показниками в контрольній групі (р&lt;0,05).</w:t>
      </w:r>
    </w:p>
    <w:p w:rsidR="0021764E" w:rsidRPr="00C62D22" w:rsidRDefault="0021764E" w:rsidP="0021764E">
      <w:pPr>
        <w:spacing w:after="0" w:line="360" w:lineRule="auto"/>
        <w:rPr>
          <w:rFonts w:ascii="Times New Roman" w:hAnsi="Times New Roman" w:cs="Times New Roman"/>
          <w:sz w:val="28"/>
          <w:szCs w:val="28"/>
        </w:rPr>
      </w:pPr>
    </w:p>
    <w:p w:rsidR="0021764E" w:rsidRPr="00C62D22" w:rsidRDefault="0021764E" w:rsidP="0021764E">
      <w:pPr>
        <w:spacing w:after="0" w:line="360" w:lineRule="auto"/>
        <w:jc w:val="right"/>
        <w:rPr>
          <w:rFonts w:ascii="Times New Roman" w:hAnsi="Times New Roman" w:cs="Times New Roman"/>
          <w:i/>
          <w:sz w:val="28"/>
          <w:szCs w:val="28"/>
        </w:rPr>
      </w:pPr>
      <w:r w:rsidRPr="00C62D22">
        <w:rPr>
          <w:rFonts w:ascii="Times New Roman" w:hAnsi="Times New Roman" w:cs="Times New Roman"/>
          <w:i/>
          <w:sz w:val="28"/>
          <w:szCs w:val="28"/>
        </w:rPr>
        <w:t>Таблиця 5.3</w:t>
      </w:r>
    </w:p>
    <w:p w:rsidR="0021764E" w:rsidRPr="00C62D22" w:rsidRDefault="0021764E" w:rsidP="0021764E">
      <w:pPr>
        <w:spacing w:after="0" w:line="360" w:lineRule="auto"/>
        <w:ind w:firstLine="540"/>
        <w:jc w:val="center"/>
        <w:rPr>
          <w:rFonts w:ascii="Times New Roman" w:hAnsi="Times New Roman" w:cs="Times New Roman"/>
          <w:b/>
          <w:sz w:val="28"/>
          <w:szCs w:val="28"/>
        </w:rPr>
      </w:pPr>
      <w:r w:rsidRPr="00C62D22">
        <w:rPr>
          <w:rFonts w:ascii="Times New Roman" w:hAnsi="Times New Roman" w:cs="Times New Roman"/>
          <w:b/>
          <w:sz w:val="28"/>
          <w:szCs w:val="28"/>
        </w:rPr>
        <w:t>Динаміка змін показників артеріального кровотока</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48"/>
        <w:gridCol w:w="1980"/>
        <w:gridCol w:w="2160"/>
        <w:gridCol w:w="1800"/>
      </w:tblGrid>
      <w:tr w:rsidR="0021764E" w:rsidRPr="00C62D22" w:rsidTr="006E5FD4">
        <w:trPr>
          <w:trHeight w:val="657"/>
        </w:trPr>
        <w:tc>
          <w:tcPr>
            <w:tcW w:w="4248" w:type="dxa"/>
            <w:vMerge w:val="restart"/>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Показник (величина в контролі)</w:t>
            </w:r>
          </w:p>
        </w:tc>
        <w:tc>
          <w:tcPr>
            <w:tcW w:w="5940" w:type="dxa"/>
            <w:gridSpan w:val="3"/>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Величина показника в групах (</w:t>
            </w:r>
            <w:r w:rsidRPr="00C62D22">
              <w:rPr>
                <w:rFonts w:ascii="Times New Roman" w:hAnsi="Times New Roman" w:cs="Times New Roman"/>
                <w:sz w:val="28"/>
                <w:szCs w:val="28"/>
              </w:rPr>
              <w:object w:dxaOrig="345" w:dyaOrig="315">
                <v:shape id="_x0000_i1618" type="#_x0000_t75" style="width:17.25pt;height:15.75pt" o:ole="">
                  <v:imagedata r:id="rId46" o:title=""/>
                </v:shape>
                <o:OLEObject Type="Embed" ProgID="PBrush" ShapeID="_x0000_i1618" DrawAspect="Content" ObjectID="_1568046892" r:id="rId53"/>
              </w:object>
            </w:r>
            <w:r w:rsidRPr="00C62D22">
              <w:rPr>
                <w:rFonts w:ascii="Times New Roman" w:hAnsi="Times New Roman" w:cs="Times New Roman"/>
                <w:sz w:val="28"/>
                <w:szCs w:val="28"/>
              </w:rPr>
              <w:t>±m)</w:t>
            </w:r>
          </w:p>
        </w:tc>
      </w:tr>
      <w:tr w:rsidR="0021764E" w:rsidRPr="00C62D22" w:rsidTr="006E5FD4">
        <w:tc>
          <w:tcPr>
            <w:tcW w:w="4248" w:type="dxa"/>
            <w:vMerge/>
          </w:tcPr>
          <w:p w:rsidR="0021764E" w:rsidRPr="00C62D22" w:rsidRDefault="0021764E" w:rsidP="006E5FD4">
            <w:pPr>
              <w:spacing w:after="0" w:line="360" w:lineRule="auto"/>
              <w:jc w:val="center"/>
              <w:rPr>
                <w:rFonts w:ascii="Times New Roman" w:hAnsi="Times New Roman" w:cs="Times New Roman"/>
                <w:sz w:val="28"/>
                <w:szCs w:val="28"/>
              </w:rPr>
            </w:pP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І група</w:t>
            </w:r>
          </w:p>
        </w:tc>
        <w:tc>
          <w:tcPr>
            <w:tcW w:w="216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ІІ група</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ІІІ група</w:t>
            </w:r>
          </w:p>
        </w:tc>
      </w:tr>
      <w:tr w:rsidR="0021764E" w:rsidRPr="00C62D22" w:rsidTr="006E5FD4">
        <w:tc>
          <w:tcPr>
            <w:tcW w:w="4248" w:type="dxa"/>
          </w:tcPr>
          <w:p w:rsidR="0021764E" w:rsidRPr="00C62D22" w:rsidRDefault="0021764E" w:rsidP="006E5FD4">
            <w:pPr>
              <w:spacing w:after="0" w:line="360" w:lineRule="auto"/>
              <w:rPr>
                <w:rFonts w:ascii="Times New Roman" w:hAnsi="Times New Roman" w:cs="Times New Roman"/>
                <w:sz w:val="28"/>
                <w:szCs w:val="28"/>
              </w:rPr>
            </w:pPr>
            <w:r w:rsidRPr="00C62D22">
              <w:rPr>
                <w:rFonts w:ascii="Times New Roman" w:hAnsi="Times New Roman" w:cs="Times New Roman"/>
                <w:sz w:val="28"/>
                <w:szCs w:val="28"/>
              </w:rPr>
              <w:t>V</w:t>
            </w:r>
            <w:r w:rsidRPr="00C62D22">
              <w:rPr>
                <w:rFonts w:ascii="Times New Roman" w:hAnsi="Times New Roman" w:cs="Times New Roman"/>
                <w:sz w:val="28"/>
                <w:szCs w:val="28"/>
                <w:vertAlign w:val="subscript"/>
              </w:rPr>
              <w:t>max ЗПА</w:t>
            </w:r>
            <w:r w:rsidRPr="00C62D22">
              <w:rPr>
                <w:rFonts w:ascii="Times New Roman" w:hAnsi="Times New Roman" w:cs="Times New Roman"/>
                <w:sz w:val="28"/>
                <w:szCs w:val="28"/>
              </w:rPr>
              <w:t>, см/с (92,43±4,2)</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93,1±0,03</w:t>
            </w:r>
          </w:p>
        </w:tc>
        <w:tc>
          <w:tcPr>
            <w:tcW w:w="216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93,4±4,58</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67,2±4,95 *</w:t>
            </w:r>
          </w:p>
        </w:tc>
      </w:tr>
      <w:tr w:rsidR="0021764E" w:rsidRPr="00C62D22" w:rsidTr="006E5FD4">
        <w:tc>
          <w:tcPr>
            <w:tcW w:w="4248" w:type="dxa"/>
          </w:tcPr>
          <w:p w:rsidR="0021764E" w:rsidRPr="00C62D22" w:rsidRDefault="0021764E" w:rsidP="006E5FD4">
            <w:pPr>
              <w:spacing w:after="0" w:line="360" w:lineRule="auto"/>
              <w:rPr>
                <w:rFonts w:ascii="Times New Roman" w:hAnsi="Times New Roman" w:cs="Times New Roman"/>
                <w:sz w:val="28"/>
                <w:szCs w:val="28"/>
              </w:rPr>
            </w:pPr>
            <w:r w:rsidRPr="00C62D22">
              <w:rPr>
                <w:rFonts w:ascii="Times New Roman" w:hAnsi="Times New Roman" w:cs="Times New Roman"/>
                <w:sz w:val="28"/>
                <w:szCs w:val="28"/>
              </w:rPr>
              <w:t>V</w:t>
            </w:r>
            <w:r w:rsidRPr="00C62D22">
              <w:rPr>
                <w:rFonts w:ascii="Times New Roman" w:hAnsi="Times New Roman" w:cs="Times New Roman"/>
                <w:sz w:val="28"/>
                <w:szCs w:val="28"/>
                <w:vertAlign w:val="subscript"/>
              </w:rPr>
              <w:t>min ЗПА</w:t>
            </w:r>
            <w:r w:rsidRPr="00C62D22">
              <w:rPr>
                <w:rFonts w:ascii="Times New Roman" w:hAnsi="Times New Roman" w:cs="Times New Roman"/>
                <w:sz w:val="28"/>
                <w:szCs w:val="28"/>
              </w:rPr>
              <w:t>, см/с (25,19±2,29)</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28,2±0,02</w:t>
            </w:r>
          </w:p>
        </w:tc>
        <w:tc>
          <w:tcPr>
            <w:tcW w:w="216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31,13±2,78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18,18±4,26 *</w:t>
            </w:r>
          </w:p>
        </w:tc>
      </w:tr>
      <w:tr w:rsidR="0021764E" w:rsidRPr="00C62D22" w:rsidTr="006E5FD4">
        <w:tc>
          <w:tcPr>
            <w:tcW w:w="4248" w:type="dxa"/>
          </w:tcPr>
          <w:p w:rsidR="0021764E" w:rsidRPr="00C62D22" w:rsidRDefault="0021764E" w:rsidP="006E5FD4">
            <w:pPr>
              <w:spacing w:after="0" w:line="360" w:lineRule="auto"/>
              <w:rPr>
                <w:rFonts w:ascii="Times New Roman" w:hAnsi="Times New Roman" w:cs="Times New Roman"/>
                <w:sz w:val="28"/>
                <w:szCs w:val="28"/>
              </w:rPr>
            </w:pPr>
            <w:r w:rsidRPr="00C62D22">
              <w:rPr>
                <w:rFonts w:ascii="Times New Roman" w:hAnsi="Times New Roman" w:cs="Times New Roman"/>
                <w:sz w:val="28"/>
                <w:szCs w:val="28"/>
              </w:rPr>
              <w:t>V</w:t>
            </w:r>
            <w:r w:rsidRPr="00C62D22">
              <w:rPr>
                <w:rFonts w:ascii="Times New Roman" w:hAnsi="Times New Roman" w:cs="Times New Roman"/>
                <w:sz w:val="28"/>
                <w:szCs w:val="28"/>
                <w:vertAlign w:val="subscript"/>
              </w:rPr>
              <w:t>ср ЗПА</w:t>
            </w:r>
            <w:r w:rsidRPr="00C62D22">
              <w:rPr>
                <w:rFonts w:ascii="Times New Roman" w:hAnsi="Times New Roman" w:cs="Times New Roman"/>
                <w:sz w:val="28"/>
                <w:szCs w:val="28"/>
              </w:rPr>
              <w:t>, см/с (43,39±5,31)</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48,96±0,05 *</w:t>
            </w:r>
          </w:p>
        </w:tc>
        <w:tc>
          <w:tcPr>
            <w:tcW w:w="216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57,81±4,81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32,4±2,99 *</w:t>
            </w:r>
          </w:p>
        </w:tc>
      </w:tr>
      <w:tr w:rsidR="0021764E" w:rsidRPr="00C62D22" w:rsidTr="006E5FD4">
        <w:tc>
          <w:tcPr>
            <w:tcW w:w="4248" w:type="dxa"/>
          </w:tcPr>
          <w:p w:rsidR="0021764E" w:rsidRPr="00C62D22" w:rsidRDefault="0021764E" w:rsidP="006E5FD4">
            <w:pPr>
              <w:spacing w:after="0" w:line="360" w:lineRule="auto"/>
              <w:rPr>
                <w:rFonts w:ascii="Times New Roman" w:hAnsi="Times New Roman" w:cs="Times New Roman"/>
                <w:sz w:val="28"/>
                <w:szCs w:val="28"/>
                <w:vertAlign w:val="subscript"/>
              </w:rPr>
            </w:pPr>
            <w:r w:rsidRPr="00C62D22">
              <w:rPr>
                <w:rFonts w:ascii="Times New Roman" w:hAnsi="Times New Roman" w:cs="Times New Roman"/>
                <w:sz w:val="28"/>
                <w:szCs w:val="28"/>
              </w:rPr>
              <w:t xml:space="preserve">РІ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(1,49±0,02)</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1,46±0,06 *</w:t>
            </w:r>
          </w:p>
        </w:tc>
        <w:tc>
          <w:tcPr>
            <w:tcW w:w="216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1,36±0,06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1,23±0,05 *</w:t>
            </w:r>
          </w:p>
        </w:tc>
      </w:tr>
      <w:tr w:rsidR="0021764E" w:rsidRPr="00C62D22" w:rsidTr="006E5FD4">
        <w:tc>
          <w:tcPr>
            <w:tcW w:w="4248" w:type="dxa"/>
          </w:tcPr>
          <w:p w:rsidR="0021764E" w:rsidRPr="00C62D22" w:rsidRDefault="0021764E" w:rsidP="006E5FD4">
            <w:pPr>
              <w:spacing w:after="0" w:line="360" w:lineRule="auto"/>
              <w:rPr>
                <w:rFonts w:ascii="Times New Roman" w:hAnsi="Times New Roman" w:cs="Times New Roman"/>
                <w:sz w:val="28"/>
                <w:szCs w:val="28"/>
                <w:vertAlign w:val="subscript"/>
              </w:rPr>
            </w:pPr>
            <w:r w:rsidRPr="00C62D22">
              <w:rPr>
                <w:rFonts w:ascii="Times New Roman" w:hAnsi="Times New Roman" w:cs="Times New Roman"/>
                <w:sz w:val="28"/>
                <w:szCs w:val="28"/>
              </w:rPr>
              <w:t xml:space="preserve">RІ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(0,69±0,002)</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0,68±0,05</w:t>
            </w:r>
          </w:p>
        </w:tc>
        <w:tc>
          <w:tcPr>
            <w:tcW w:w="216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0,61±0,05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0,77±0,046 *</w:t>
            </w:r>
          </w:p>
        </w:tc>
      </w:tr>
      <w:tr w:rsidR="0021764E" w:rsidRPr="00C62D22" w:rsidTr="006E5FD4">
        <w:trPr>
          <w:trHeight w:val="138"/>
        </w:trPr>
        <w:tc>
          <w:tcPr>
            <w:tcW w:w="4248" w:type="dxa"/>
          </w:tcPr>
          <w:p w:rsidR="0021764E" w:rsidRPr="00C62D22" w:rsidRDefault="0021764E" w:rsidP="006E5FD4">
            <w:pPr>
              <w:spacing w:after="0" w:line="360" w:lineRule="auto"/>
              <w:rPr>
                <w:rFonts w:ascii="Times New Roman" w:hAnsi="Times New Roman" w:cs="Times New Roman"/>
                <w:sz w:val="28"/>
                <w:szCs w:val="28"/>
                <w:vertAlign w:val="subscript"/>
              </w:rPr>
            </w:pPr>
            <w:r w:rsidRPr="00C62D22">
              <w:rPr>
                <w:rFonts w:ascii="Times New Roman" w:hAnsi="Times New Roman" w:cs="Times New Roman"/>
                <w:sz w:val="28"/>
                <w:szCs w:val="28"/>
              </w:rPr>
              <w:t xml:space="preserve">RІ </w:t>
            </w:r>
            <w:r w:rsidRPr="00C62D22">
              <w:rPr>
                <w:rFonts w:ascii="Times New Roman" w:hAnsi="Times New Roman" w:cs="Times New Roman"/>
                <w:sz w:val="28"/>
                <w:szCs w:val="28"/>
                <w:vertAlign w:val="subscript"/>
              </w:rPr>
              <w:t xml:space="preserve">ВБА </w:t>
            </w:r>
            <w:r w:rsidRPr="00C62D22">
              <w:rPr>
                <w:rFonts w:ascii="Times New Roman" w:hAnsi="Times New Roman" w:cs="Times New Roman"/>
                <w:sz w:val="28"/>
                <w:szCs w:val="28"/>
              </w:rPr>
              <w:t>(0,7±0,006)</w:t>
            </w:r>
          </w:p>
        </w:tc>
        <w:tc>
          <w:tcPr>
            <w:tcW w:w="198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0,72±0,05</w:t>
            </w:r>
          </w:p>
        </w:tc>
        <w:tc>
          <w:tcPr>
            <w:tcW w:w="216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0,77±0,05 *</w:t>
            </w:r>
          </w:p>
        </w:tc>
        <w:tc>
          <w:tcPr>
            <w:tcW w:w="1800" w:type="dxa"/>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0,83±0,04 *</w:t>
            </w:r>
          </w:p>
        </w:tc>
      </w:tr>
    </w:tbl>
    <w:p w:rsidR="0021764E" w:rsidRPr="00C62D22" w:rsidRDefault="0021764E" w:rsidP="0021764E">
      <w:pPr>
        <w:spacing w:after="0" w:line="24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Примітка: * – різниця показників достовірна  порівняно з такими в контролі (р&lt;0,05).</w:t>
      </w:r>
    </w:p>
    <w:p w:rsidR="0021764E" w:rsidRPr="00C62D22" w:rsidRDefault="0021764E" w:rsidP="0021764E">
      <w:pPr>
        <w:spacing w:after="0" w:line="240" w:lineRule="auto"/>
        <w:ind w:firstLine="540"/>
        <w:jc w:val="both"/>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При цьому у хворих ІІ групи РІ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був у середньому на 11,6 % меншим, ніж у контрольній групі, ІІІ групи </w:t>
      </w:r>
      <w:r w:rsidRPr="00C62D22">
        <w:rPr>
          <w:rFonts w:ascii="Times New Roman" w:hAnsi="Times New Roman" w:cs="Times New Roman"/>
          <w:b/>
          <w:sz w:val="28"/>
          <w:szCs w:val="28"/>
        </w:rPr>
        <w:t xml:space="preserve">– </w:t>
      </w:r>
      <w:r w:rsidRPr="00C62D22">
        <w:rPr>
          <w:rFonts w:ascii="Times New Roman" w:hAnsi="Times New Roman" w:cs="Times New Roman"/>
          <w:sz w:val="28"/>
          <w:szCs w:val="28"/>
        </w:rPr>
        <w:t>на 26,1 % більшим (р&lt;0,05), що може свідчити про інформативність цього показника в диференційній діагностиці порушення кровообігу печінки (рис. 5.7).</w:t>
      </w:r>
    </w:p>
    <w:p w:rsidR="0021764E" w:rsidRPr="00C62D22" w:rsidRDefault="0021764E" w:rsidP="0021764E">
      <w:pPr>
        <w:spacing w:after="0" w:line="360" w:lineRule="auto"/>
        <w:ind w:firstLine="540"/>
        <w:jc w:val="both"/>
        <w:rPr>
          <w:rFonts w:ascii="Times New Roman" w:hAnsi="Times New Roman" w:cs="Times New Roman"/>
          <w:sz w:val="28"/>
          <w:szCs w:val="28"/>
        </w:rPr>
      </w:pPr>
    </w:p>
    <w:p w:rsidR="0021764E" w:rsidRPr="00C62D22" w:rsidRDefault="0021764E" w:rsidP="0021764E">
      <w:pPr>
        <w:spacing w:after="0" w:line="360" w:lineRule="auto"/>
        <w:jc w:val="center"/>
        <w:rPr>
          <w:rFonts w:ascii="Times New Roman" w:hAnsi="Times New Roman" w:cs="Times New Roman"/>
          <w:sz w:val="28"/>
          <w:szCs w:val="28"/>
        </w:rPr>
      </w:pPr>
      <w:r w:rsidRPr="00C62D22">
        <w:rPr>
          <w:rFonts w:ascii="Times New Roman" w:hAnsi="Times New Roman" w:cs="Times New Roman"/>
          <w:noProof/>
          <w:sz w:val="28"/>
          <w:szCs w:val="28"/>
        </w:rPr>
        <w:lastRenderedPageBreak/>
        <w:drawing>
          <wp:inline distT="0" distB="0" distL="0" distR="0">
            <wp:extent cx="5200650" cy="3362325"/>
            <wp:effectExtent l="19050" t="0" r="0" b="0"/>
            <wp:docPr id="123"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54"/>
                    <a:srcRect/>
                    <a:stretch>
                      <a:fillRect/>
                    </a:stretch>
                  </pic:blipFill>
                  <pic:spPr bwMode="auto">
                    <a:xfrm>
                      <a:off x="0" y="0"/>
                      <a:ext cx="5200650" cy="336232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07" type="#_x0000_t202" style="position:absolute;left:0;text-align:left;margin-left:9pt;margin-top:9.6pt;width:495pt;height:36pt;z-index:251740160" stroked="f">
            <v:textbox style="mso-next-textbox:#_x0000_s1107">
              <w:txbxContent>
                <w:p w:rsidR="0021764E" w:rsidRPr="00D23439" w:rsidRDefault="0021764E" w:rsidP="0021764E">
                  <w:pPr>
                    <w:spacing w:after="0" w:line="360" w:lineRule="auto"/>
                    <w:jc w:val="right"/>
                    <w:rPr>
                      <w:rFonts w:ascii="Times New Roman" w:hAnsi="Times New Roman"/>
                      <w:sz w:val="28"/>
                      <w:szCs w:val="28"/>
                    </w:rPr>
                  </w:pPr>
                  <w:r w:rsidRPr="00D23439">
                    <w:rPr>
                      <w:rFonts w:ascii="Times New Roman" w:hAnsi="Times New Roman"/>
                      <w:sz w:val="28"/>
                      <w:szCs w:val="28"/>
                    </w:rPr>
                    <w:t>Р</w:t>
                  </w:r>
                  <w:r>
                    <w:rPr>
                      <w:rFonts w:ascii="Times New Roman" w:hAnsi="Times New Roman"/>
                      <w:sz w:val="28"/>
                      <w:szCs w:val="28"/>
                    </w:rPr>
                    <w:t>ис. 5.7. Індекс Гослінга в</w:t>
                  </w:r>
                  <w:r w:rsidRPr="00D23439">
                    <w:rPr>
                      <w:rFonts w:ascii="Times New Roman" w:hAnsi="Times New Roman"/>
                      <w:sz w:val="28"/>
                      <w:szCs w:val="28"/>
                    </w:rPr>
                    <w:t xml:space="preserve"> загальній печінковій артерії при різних типах ПК ПЗ</w:t>
                  </w:r>
                </w:p>
                <w:p w:rsidR="0021764E" w:rsidRDefault="0021764E" w:rsidP="0021764E"/>
              </w:txbxContent>
            </v:textbox>
          </v:shape>
        </w:pict>
      </w:r>
    </w:p>
    <w:p w:rsidR="0021764E" w:rsidRPr="00C62D22" w:rsidRDefault="0021764E" w:rsidP="0021764E">
      <w:pPr>
        <w:spacing w:after="0" w:line="360" w:lineRule="auto"/>
        <w:ind w:firstLine="360"/>
        <w:jc w:val="both"/>
        <w:rPr>
          <w:rFonts w:ascii="Times New Roman" w:hAnsi="Times New Roman" w:cs="Times New Roman"/>
          <w:sz w:val="28"/>
          <w:szCs w:val="28"/>
        </w:rPr>
      </w:pPr>
    </w:p>
    <w:p w:rsidR="0021764E" w:rsidRPr="00C62D22" w:rsidRDefault="0021764E" w:rsidP="0021764E">
      <w:pPr>
        <w:spacing w:after="0" w:line="360" w:lineRule="auto"/>
        <w:ind w:firstLine="360"/>
        <w:jc w:val="both"/>
        <w:rPr>
          <w:rFonts w:ascii="Times New Roman" w:hAnsi="Times New Roman" w:cs="Times New Roman"/>
          <w:sz w:val="28"/>
          <w:szCs w:val="28"/>
        </w:rPr>
      </w:pPr>
      <w:r w:rsidRPr="00C62D22">
        <w:rPr>
          <w:rFonts w:ascii="Times New Roman" w:hAnsi="Times New Roman" w:cs="Times New Roman"/>
          <w:sz w:val="28"/>
          <w:szCs w:val="28"/>
        </w:rPr>
        <w:t xml:space="preserve">RІ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був знижений у хворих усіх груп: І групи – у середньому на 2%, ІІ групи – на 8,7 %, ІІІ групи – на 17,4% (р&lt;0,05) (рис. 5.8).</w:t>
      </w:r>
    </w:p>
    <w:p w:rsidR="0021764E" w:rsidRPr="00C62D22" w:rsidRDefault="0021764E" w:rsidP="0021764E">
      <w:pPr>
        <w:spacing w:after="0" w:line="360" w:lineRule="auto"/>
        <w:ind w:firstLine="360"/>
        <w:jc w:val="both"/>
        <w:rPr>
          <w:rFonts w:ascii="Times New Roman" w:hAnsi="Times New Roman" w:cs="Times New Roman"/>
          <w:sz w:val="28"/>
          <w:szCs w:val="28"/>
        </w:rPr>
      </w:pPr>
    </w:p>
    <w:p w:rsidR="0021764E" w:rsidRPr="00C62D22" w:rsidRDefault="00C62D22" w:rsidP="0021764E">
      <w:pPr>
        <w:spacing w:after="0" w:line="360" w:lineRule="auto"/>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08" type="#_x0000_t202" style="position:absolute;left:0;text-align:left;margin-left:-9pt;margin-top:258.5pt;width:7in;height:27pt;z-index:251741184" stroked="f">
            <v:textbox style="mso-next-textbox:#_x0000_s1108">
              <w:txbxContent>
                <w:p w:rsidR="0021764E" w:rsidRPr="00D23439" w:rsidRDefault="0021764E" w:rsidP="0021764E">
                  <w:pPr>
                    <w:spacing w:after="0" w:line="360" w:lineRule="auto"/>
                    <w:ind w:firstLine="180"/>
                    <w:jc w:val="right"/>
                    <w:rPr>
                      <w:rFonts w:ascii="Times New Roman" w:hAnsi="Times New Roman"/>
                      <w:sz w:val="28"/>
                      <w:szCs w:val="28"/>
                    </w:rPr>
                  </w:pPr>
                  <w:r w:rsidRPr="00D23439">
                    <w:rPr>
                      <w:rFonts w:ascii="Times New Roman" w:hAnsi="Times New Roman"/>
                      <w:sz w:val="28"/>
                      <w:szCs w:val="28"/>
                    </w:rPr>
                    <w:t>Р</w:t>
                  </w:r>
                  <w:r>
                    <w:rPr>
                      <w:rFonts w:ascii="Times New Roman" w:hAnsi="Times New Roman"/>
                      <w:sz w:val="28"/>
                      <w:szCs w:val="28"/>
                    </w:rPr>
                    <w:t>ис. 5.8. Індекс Пурсело в</w:t>
                  </w:r>
                  <w:r w:rsidRPr="00D23439">
                    <w:rPr>
                      <w:rFonts w:ascii="Times New Roman" w:hAnsi="Times New Roman"/>
                      <w:sz w:val="28"/>
                      <w:szCs w:val="28"/>
                    </w:rPr>
                    <w:t xml:space="preserve"> загальній печінковій артерії при різних типах </w:t>
                  </w:r>
                  <w:r>
                    <w:rPr>
                      <w:rFonts w:ascii="Times New Roman" w:hAnsi="Times New Roman"/>
                      <w:sz w:val="28"/>
                      <w:szCs w:val="28"/>
                    </w:rPr>
                    <w:t>ПК ПЗ</w:t>
                  </w:r>
                </w:p>
                <w:p w:rsidR="0021764E" w:rsidRDefault="0021764E" w:rsidP="0021764E">
                  <w:pPr>
                    <w:ind w:firstLine="180"/>
                    <w:jc w:val="right"/>
                  </w:pPr>
                </w:p>
              </w:txbxContent>
            </v:textbox>
          </v:shape>
        </w:pict>
      </w:r>
      <w:r w:rsidR="0021764E" w:rsidRPr="00C62D22">
        <w:rPr>
          <w:rFonts w:ascii="Times New Roman" w:hAnsi="Times New Roman" w:cs="Times New Roman"/>
          <w:noProof/>
          <w:sz w:val="28"/>
          <w:szCs w:val="28"/>
        </w:rPr>
        <w:drawing>
          <wp:inline distT="0" distB="0" distL="0" distR="0">
            <wp:extent cx="5381625" cy="3276600"/>
            <wp:effectExtent l="19050" t="0" r="9525" b="0"/>
            <wp:docPr id="12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55"/>
                    <a:srcRect/>
                    <a:stretch>
                      <a:fillRect/>
                    </a:stretch>
                  </pic:blipFill>
                  <pic:spPr bwMode="auto">
                    <a:xfrm>
                      <a:off x="0" y="0"/>
                      <a:ext cx="5381625" cy="32766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jc w:val="right"/>
        <w:rPr>
          <w:rFonts w:ascii="Times New Roman" w:hAnsi="Times New Roman" w:cs="Times New Roman"/>
          <w:sz w:val="28"/>
          <w:szCs w:val="28"/>
        </w:rPr>
      </w:pP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RІ </w:t>
      </w:r>
      <w:r w:rsidRPr="00C62D22">
        <w:rPr>
          <w:rFonts w:ascii="Times New Roman" w:hAnsi="Times New Roman" w:cs="Times New Roman"/>
          <w:sz w:val="28"/>
          <w:szCs w:val="28"/>
          <w:vertAlign w:val="subscript"/>
        </w:rPr>
        <w:t>ВБА</w:t>
      </w:r>
      <w:r w:rsidRPr="00C62D22">
        <w:rPr>
          <w:rFonts w:ascii="Times New Roman" w:hAnsi="Times New Roman" w:cs="Times New Roman"/>
          <w:sz w:val="28"/>
          <w:szCs w:val="28"/>
        </w:rPr>
        <w:t xml:space="preserve"> у хворих ІІ та ІІІ груп відповідно на 10,0% і 18,6% перевищував показники в контрольній групі (р&lt;0,05) (рис. 5.9). </w:t>
      </w:r>
    </w:p>
    <w:p w:rsidR="0021764E" w:rsidRPr="00C62D22" w:rsidRDefault="0021764E" w:rsidP="0021764E">
      <w:pPr>
        <w:spacing w:after="0" w:line="360" w:lineRule="auto"/>
        <w:ind w:firstLine="360"/>
        <w:jc w:val="both"/>
        <w:rPr>
          <w:rFonts w:ascii="Times New Roman" w:hAnsi="Times New Roman" w:cs="Times New Roman"/>
          <w:sz w:val="28"/>
          <w:szCs w:val="28"/>
        </w:rPr>
      </w:pPr>
    </w:p>
    <w:p w:rsidR="0021764E" w:rsidRPr="00C62D22" w:rsidRDefault="0021764E" w:rsidP="0021764E">
      <w:pPr>
        <w:spacing w:after="0" w:line="360" w:lineRule="auto"/>
        <w:jc w:val="center"/>
        <w:rPr>
          <w:rFonts w:ascii="Times New Roman" w:hAnsi="Times New Roman" w:cs="Times New Roman"/>
          <w:sz w:val="28"/>
          <w:szCs w:val="28"/>
        </w:rPr>
      </w:pPr>
      <w:r w:rsidRPr="00C62D22">
        <w:rPr>
          <w:rFonts w:ascii="Times New Roman" w:hAnsi="Times New Roman" w:cs="Times New Roman"/>
          <w:noProof/>
          <w:sz w:val="28"/>
          <w:szCs w:val="28"/>
        </w:rPr>
        <w:drawing>
          <wp:inline distT="0" distB="0" distL="0" distR="0">
            <wp:extent cx="5838825" cy="3695700"/>
            <wp:effectExtent l="19050" t="0" r="9525" b="0"/>
            <wp:docPr id="125" name="Рисунок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56"/>
                    <a:srcRect/>
                    <a:stretch>
                      <a:fillRect/>
                    </a:stretch>
                  </pic:blipFill>
                  <pic:spPr bwMode="auto">
                    <a:xfrm>
                      <a:off x="0" y="0"/>
                      <a:ext cx="5838825" cy="36957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360"/>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09" type="#_x0000_t202" style="position:absolute;left:0;text-align:left;margin-left:9pt;margin-top:9.95pt;width:7in;height:36pt;z-index:251742208" stroked="f">
            <v:textbox style="mso-next-textbox:#_x0000_s1109">
              <w:txbxContent>
                <w:p w:rsidR="0021764E" w:rsidRPr="00D23439" w:rsidRDefault="0021764E" w:rsidP="0021764E">
                  <w:pPr>
                    <w:spacing w:after="0" w:line="360" w:lineRule="auto"/>
                    <w:ind w:firstLine="540"/>
                    <w:jc w:val="right"/>
                    <w:rPr>
                      <w:rFonts w:ascii="Times New Roman" w:hAnsi="Times New Roman"/>
                      <w:sz w:val="28"/>
                      <w:szCs w:val="28"/>
                    </w:rPr>
                  </w:pPr>
                  <w:r w:rsidRPr="00D23439">
                    <w:rPr>
                      <w:rFonts w:ascii="Times New Roman" w:hAnsi="Times New Roman"/>
                      <w:sz w:val="28"/>
                      <w:szCs w:val="28"/>
                    </w:rPr>
                    <w:t xml:space="preserve">Рис. 5.9. Індекс Пурсело у </w:t>
                  </w:r>
                  <w:r>
                    <w:rPr>
                      <w:rFonts w:ascii="Times New Roman" w:hAnsi="Times New Roman"/>
                      <w:sz w:val="28"/>
                      <w:szCs w:val="28"/>
                    </w:rPr>
                    <w:t xml:space="preserve">ВБА </w:t>
                  </w:r>
                  <w:r w:rsidRPr="00D23439">
                    <w:rPr>
                      <w:rFonts w:ascii="Times New Roman" w:hAnsi="Times New Roman"/>
                      <w:sz w:val="28"/>
                      <w:szCs w:val="28"/>
                    </w:rPr>
                    <w:t>у хворих з різними типами ПК ПЗ</w:t>
                  </w:r>
                </w:p>
                <w:p w:rsidR="0021764E" w:rsidRPr="00D23439" w:rsidRDefault="0021764E" w:rsidP="0021764E">
                  <w:pPr>
                    <w:spacing w:after="0" w:line="360" w:lineRule="auto"/>
                    <w:ind w:firstLine="540"/>
                    <w:jc w:val="both"/>
                    <w:rPr>
                      <w:rFonts w:ascii="Times New Roman" w:hAnsi="Times New Roman"/>
                      <w:sz w:val="28"/>
                      <w:szCs w:val="28"/>
                    </w:rPr>
                  </w:pPr>
                </w:p>
                <w:p w:rsidR="0021764E" w:rsidRDefault="0021764E" w:rsidP="0021764E"/>
              </w:txbxContent>
            </v:textbox>
          </v:shape>
        </w:pict>
      </w: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spacing w:after="0" w:line="360" w:lineRule="auto"/>
        <w:ind w:firstLine="360"/>
        <w:jc w:val="both"/>
        <w:rPr>
          <w:rFonts w:ascii="Times New Roman" w:hAnsi="Times New Roman" w:cs="Times New Roman"/>
          <w:sz w:val="28"/>
          <w:szCs w:val="28"/>
        </w:rPr>
      </w:pPr>
      <w:r w:rsidRPr="00C62D22">
        <w:rPr>
          <w:rFonts w:ascii="Times New Roman" w:hAnsi="Times New Roman" w:cs="Times New Roman"/>
          <w:sz w:val="28"/>
          <w:szCs w:val="28"/>
        </w:rPr>
        <w:t xml:space="preserve">Оскільки RІ є загальноприйнятною величиною для оцінки ЗПОС, імовірно, його значне збільшення відображає підвищення ЗПОС у спланхнічному регіоні. При цьому встановлений негативний взаємозв’язок між RІ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 RІ </w:t>
      </w:r>
      <w:r w:rsidRPr="00C62D22">
        <w:rPr>
          <w:rFonts w:ascii="Times New Roman" w:hAnsi="Times New Roman" w:cs="Times New Roman"/>
          <w:sz w:val="28"/>
          <w:szCs w:val="28"/>
          <w:vertAlign w:val="subscript"/>
        </w:rPr>
        <w:t>ВБА</w:t>
      </w:r>
      <w:r w:rsidRPr="00C62D22">
        <w:rPr>
          <w:rFonts w:ascii="Times New Roman" w:hAnsi="Times New Roman" w:cs="Times New Roman"/>
          <w:sz w:val="28"/>
          <w:szCs w:val="28"/>
        </w:rPr>
        <w:t xml:space="preserve"> і співвідношенням об’ємного кровотока в ЗПА і ХОК (Vо</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/ХОК) залежно від тяжкості стану хворих (r = – 0,86, р&lt;0,05), а також позитивний взаємозв’язок між швидкістю кровотока в спланхнічній зоні та RІ (r = 0,83, р = 0,013).</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Вважаємо, що RІ є похідним тонусу капілярної артеріальної мережі та функціонального стану артеріовенозних шунтів, розвиток яких є однією з причин того, що реакція «артеріалізації» неспроможна компенсувати зменшення перфузії печінки.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Іншим поясненням зниження ЗПОС в артеріальних басейнах є паретичне розширення прекапілярних артеріол у відповідь на гіпоксію. У той же час, посткапілярні венули як структури, фізіологічно більш адаптовані до гіпоксії та ацидозу, зберігали тонус сфінктерів, що зумовлювало підвищення гідростатичного тиску на рівні мікроциркуляції, інтерстиціальний набряк, сладж формених елементів </w:t>
      </w:r>
      <w:r w:rsidRPr="00C62D22">
        <w:rPr>
          <w:rFonts w:ascii="Times New Roman" w:hAnsi="Times New Roman" w:cs="Times New Roman"/>
          <w:sz w:val="28"/>
          <w:szCs w:val="28"/>
        </w:rPr>
        <w:lastRenderedPageBreak/>
        <w:t xml:space="preserve">крові, активацію ендотелію. Як компенсаторно-пристосувальна реакція розвиваються артеріовенозні шунти, що спричиняє збільшення вираженості гіпоксії та ішемії. Отже, за ускладнених ПК ПЗ компенсаторно-пристосувальні реакції на рівні печінково-спланхнічного кровотока спрямовані на обмеження притоку крові в системі ВВ. Це супроводжувалося підвищенням ЗПОС у басейні ВБА, залежало від тяжкості стану хворих, зумовлювало зменшення об’ємного кровотока у відповідному судинному колекторі.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Кисневу заборгованість печінки компенсувало збільшення об’ємного кровотока за ЗПА, при цьому ЗПОС у її басейні знижувався тільки за середньої тяжкості перебігу захворювання, за вкрай тяжкого стану хворих ЗПОС у цьому басейні достовірно підвищувався, виникав негативний взаємозв’язок між RІ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 RІ </w:t>
      </w:r>
      <w:r w:rsidRPr="00C62D22">
        <w:rPr>
          <w:rFonts w:ascii="Times New Roman" w:hAnsi="Times New Roman" w:cs="Times New Roman"/>
          <w:sz w:val="28"/>
          <w:szCs w:val="28"/>
          <w:vertAlign w:val="subscript"/>
        </w:rPr>
        <w:t>ВБА</w:t>
      </w:r>
      <w:r w:rsidRPr="00C62D22">
        <w:rPr>
          <w:rFonts w:ascii="Times New Roman" w:hAnsi="Times New Roman" w:cs="Times New Roman"/>
          <w:sz w:val="28"/>
          <w:szCs w:val="28"/>
        </w:rPr>
        <w:t xml:space="preserve"> і співвідношенням ІОК </w:t>
      </w:r>
      <w:r w:rsidRPr="00C62D22">
        <w:rPr>
          <w:rFonts w:ascii="Times New Roman" w:hAnsi="Times New Roman" w:cs="Times New Roman"/>
          <w:sz w:val="28"/>
          <w:szCs w:val="28"/>
          <w:vertAlign w:val="subscript"/>
        </w:rPr>
        <w:t>ЗПА</w:t>
      </w:r>
      <w:r w:rsidRPr="00C62D22">
        <w:rPr>
          <w:rFonts w:ascii="Times New Roman" w:hAnsi="Times New Roman" w:cs="Times New Roman"/>
          <w:sz w:val="28"/>
          <w:szCs w:val="28"/>
        </w:rPr>
        <w:t>/ХОК. Отже, зменшення кровотока в системі ВВ із захисної реакції трансформувалося в патологічну, для якої характерні прогресуючі ішемія та гіпоксія, порушення функціональної активності клітин ретикулоендотеліальної системи печінки. У таких хворих не відбувалася компенсація зменшеного кровотока в системі ВВ шляхом збільшення припливу крові за ЗПА, що зумовлювало сумарне зменшення печінкового кровотока.</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Порушення в системі ВБА, а також підвищення ЗПОС можуть свідчити про захисну спрямованість, що обмежує потрапляння мікроорганізмів і токсинів з кишечнику в печінку. Проте цей же механізм може зумовити ішемію та гіпоксію кишечника, порушення його бар’єрної функції, формування його недостатності як лімфоїдного органа [239].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Найбільш доцільним при вирішенні проблеми комплексного лікування хворих із приводу ускладнених ПК ПЗ є напрямок, що полягає в етапності здійснення лікувальних заходів з використанням першого етапу пункційних або пункційно-дренувальних втручань – для поліпшення умов гемодинаміки в гепатопанкреатодуоденальній зоні, другий етап при прогресуванні захворювання – виконання відкритих оперативних втручань. </w:t>
      </w:r>
    </w:p>
    <w:p w:rsidR="0021764E" w:rsidRPr="00C62D22" w:rsidRDefault="0021764E" w:rsidP="0021764E">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Наведені результати свідчать про важливість дослідження судин спланхнічного регіону з використанням кардіосумісної допплерографії [239]. Такий підхід до </w:t>
      </w:r>
      <w:r w:rsidRPr="00C62D22">
        <w:rPr>
          <w:rFonts w:ascii="Times New Roman" w:hAnsi="Times New Roman" w:cs="Times New Roman"/>
          <w:sz w:val="28"/>
          <w:szCs w:val="28"/>
        </w:rPr>
        <w:lastRenderedPageBreak/>
        <w:t>діагностики та диференційної діагностики порушень кровообігу в спланхнічній зоні дозволяє найбільш точно виявити порушення й на підставі цього прогнозувати фатальні ускладнення. Проведення порівняльних досліджень у групах без аналізу показників центральної гемодинаміки, як правило, не дозволяє одержати переконливих результатів.</w:t>
      </w:r>
    </w:p>
    <w:p w:rsidR="0021764E" w:rsidRPr="00C62D22" w:rsidRDefault="0021764E" w:rsidP="0021764E">
      <w:pPr>
        <w:spacing w:after="0" w:line="360" w:lineRule="auto"/>
        <w:ind w:firstLine="901"/>
        <w:jc w:val="both"/>
        <w:rPr>
          <w:rFonts w:ascii="Times New Roman" w:hAnsi="Times New Roman" w:cs="Times New Roman"/>
          <w:sz w:val="28"/>
          <w:szCs w:val="28"/>
        </w:rPr>
      </w:pPr>
      <w:r w:rsidRPr="00C62D22">
        <w:rPr>
          <w:rFonts w:ascii="Times New Roman" w:hAnsi="Times New Roman" w:cs="Times New Roman"/>
          <w:b/>
          <w:sz w:val="28"/>
          <w:szCs w:val="28"/>
        </w:rPr>
        <w:t>Резюме.</w:t>
      </w:r>
      <w:r w:rsidRPr="00C62D22">
        <w:rPr>
          <w:rFonts w:ascii="Times New Roman" w:hAnsi="Times New Roman" w:cs="Times New Roman"/>
          <w:sz w:val="28"/>
          <w:szCs w:val="28"/>
        </w:rPr>
        <w:t xml:space="preserve"> Отримані нами дані дослідження, що наведені в розділах 4 та 5, дозволили </w:t>
      </w:r>
      <w:r w:rsidRPr="00C62D22">
        <w:rPr>
          <w:rFonts w:ascii="Times New Roman" w:hAnsi="Times New Roman" w:cs="Times New Roman"/>
          <w:b/>
          <w:sz w:val="28"/>
          <w:szCs w:val="28"/>
        </w:rPr>
        <w:t>сформулювати нам власну гіпотезу</w:t>
      </w:r>
      <w:r w:rsidRPr="00C62D22">
        <w:rPr>
          <w:rFonts w:ascii="Times New Roman" w:hAnsi="Times New Roman" w:cs="Times New Roman"/>
          <w:sz w:val="28"/>
          <w:szCs w:val="28"/>
        </w:rPr>
        <w:t xml:space="preserve">, що в умовах гіпоксії та ішемії ПЗ унаслідок порушення спланхнічного кровотока, під дією ангіогенних факторів відбувається активація та проліферація ендотеліоцитів, яка завершується процесами неоваскуляризації, а недостатня деградація позаклітинного матриксу, який накопичується, є основною причиною прогресування фіброзу та ремоделювання ПЗ із розвитком ускладнень, у тому числі внаслідок повторної дії факторів екзогенної та ендогенної природи. При цьому ми вважали, що ремоделювання ПЗ </w:t>
      </w:r>
      <w:r w:rsidRPr="00C62D22">
        <w:rPr>
          <w:rStyle w:val="hps"/>
          <w:rFonts w:ascii="Times New Roman" w:hAnsi="Times New Roman" w:cs="Times New Roman"/>
          <w:sz w:val="28"/>
          <w:szCs w:val="28"/>
        </w:rPr>
        <w:t xml:space="preserve">– </w:t>
      </w:r>
      <w:r w:rsidRPr="00C62D22">
        <w:rPr>
          <w:rFonts w:ascii="Times New Roman" w:hAnsi="Times New Roman" w:cs="Times New Roman"/>
          <w:sz w:val="28"/>
          <w:szCs w:val="28"/>
        </w:rPr>
        <w:t>гетерогенний процес, який призводить до змін сполучної тканини та порушення структури та функції органа внаслідок динамічного процесу диференціювання, міграції, розвитку й дозрівання структурних клітин [125, 239]. Ця гіпотеза отримала підтвердження при гістологічних, гістохімічних та імуногістохімічних дослідженнях, які наведені в наступному розділі.</w:t>
      </w:r>
    </w:p>
    <w:p w:rsidR="0021764E" w:rsidRPr="00C62D22" w:rsidRDefault="0021764E" w:rsidP="0021764E">
      <w:pPr>
        <w:widowControl w:val="0"/>
        <w:shd w:val="clear" w:color="auto" w:fill="FFFFFF"/>
        <w:tabs>
          <w:tab w:val="left" w:pos="993"/>
        </w:tabs>
        <w:autoSpaceDE w:val="0"/>
        <w:autoSpaceDN w:val="0"/>
        <w:adjustRightInd w:val="0"/>
        <w:spacing w:after="0" w:line="360" w:lineRule="auto"/>
        <w:ind w:left="567"/>
        <w:jc w:val="both"/>
        <w:rPr>
          <w:rFonts w:ascii="Times New Roman" w:hAnsi="Times New Roman" w:cs="Times New Roman"/>
          <w:sz w:val="28"/>
          <w:szCs w:val="28"/>
        </w:rPr>
      </w:pPr>
    </w:p>
    <w:p w:rsidR="0021764E" w:rsidRPr="00C62D22" w:rsidRDefault="0021764E">
      <w:pPr>
        <w:rPr>
          <w:rFonts w:ascii="Times New Roman" w:hAnsi="Times New Roman" w:cs="Times New Roman"/>
          <w:sz w:val="28"/>
          <w:szCs w:val="28"/>
        </w:rPr>
      </w:pPr>
      <w:r w:rsidRPr="00C62D22">
        <w:rPr>
          <w:rFonts w:ascii="Times New Roman" w:hAnsi="Times New Roman" w:cs="Times New Roman"/>
          <w:sz w:val="28"/>
          <w:szCs w:val="28"/>
        </w:rPr>
        <w:br w:type="page"/>
      </w:r>
    </w:p>
    <w:p w:rsidR="0021764E" w:rsidRPr="00C62D22" w:rsidRDefault="0021764E" w:rsidP="0021764E">
      <w:pPr>
        <w:spacing w:after="0" w:line="360" w:lineRule="auto"/>
        <w:jc w:val="center"/>
        <w:rPr>
          <w:rFonts w:ascii="Times New Roman" w:hAnsi="Times New Roman" w:cs="Times New Roman"/>
          <w:b/>
          <w:sz w:val="28"/>
          <w:szCs w:val="28"/>
        </w:rPr>
      </w:pPr>
      <w:r w:rsidRPr="00C62D22">
        <w:rPr>
          <w:rFonts w:ascii="Times New Roman" w:hAnsi="Times New Roman" w:cs="Times New Roman"/>
          <w:b/>
          <w:sz w:val="28"/>
          <w:szCs w:val="28"/>
        </w:rPr>
        <w:lastRenderedPageBreak/>
        <w:t>РОЗДІЛ 6</w:t>
      </w:r>
    </w:p>
    <w:p w:rsidR="0021764E" w:rsidRPr="00C62D22" w:rsidRDefault="0021764E" w:rsidP="0021764E">
      <w:pPr>
        <w:spacing w:after="0" w:line="360" w:lineRule="auto"/>
        <w:jc w:val="center"/>
        <w:rPr>
          <w:rStyle w:val="hps"/>
          <w:rFonts w:ascii="Times New Roman" w:hAnsi="Times New Roman" w:cs="Times New Roman"/>
          <w:b/>
          <w:sz w:val="28"/>
          <w:szCs w:val="28"/>
        </w:rPr>
      </w:pPr>
      <w:r w:rsidRPr="00C62D22">
        <w:rPr>
          <w:rFonts w:ascii="Times New Roman" w:hAnsi="Times New Roman" w:cs="Times New Roman"/>
          <w:b/>
          <w:sz w:val="28"/>
          <w:szCs w:val="28"/>
        </w:rPr>
        <w:t xml:space="preserve">ПАТОМОРФОЛОГІЧНІ ТА ІМУНОГІСТОХІМІЧНІ ЗМІНИ В СТІНЦІ РІЗНИХ ТИПІВ ПСЕВДОКІСТ ТА В ПАРЕНХІМІ </w:t>
      </w:r>
      <w:r w:rsidRPr="00C62D22">
        <w:rPr>
          <w:rStyle w:val="hps"/>
          <w:rFonts w:ascii="Times New Roman" w:hAnsi="Times New Roman" w:cs="Times New Roman"/>
          <w:b/>
          <w:sz w:val="28"/>
          <w:szCs w:val="28"/>
        </w:rPr>
        <w:t>ПІДШЛУНКОВОЇ ЗАЛОЗИ</w:t>
      </w:r>
    </w:p>
    <w:p w:rsidR="0021764E" w:rsidRPr="00C62D22" w:rsidRDefault="0021764E" w:rsidP="0021764E">
      <w:pPr>
        <w:spacing w:after="0" w:line="360" w:lineRule="auto"/>
        <w:jc w:val="center"/>
        <w:rPr>
          <w:rStyle w:val="hps"/>
          <w:rFonts w:ascii="Times New Roman" w:hAnsi="Times New Roman" w:cs="Times New Roman"/>
          <w:b/>
          <w:sz w:val="28"/>
          <w:szCs w:val="28"/>
        </w:rPr>
      </w:pPr>
    </w:p>
    <w:p w:rsidR="0021764E" w:rsidRPr="00C62D22" w:rsidRDefault="0021764E" w:rsidP="0021764E">
      <w:pPr>
        <w:spacing w:after="0" w:line="360" w:lineRule="auto"/>
        <w:jc w:val="center"/>
        <w:rPr>
          <w:rFonts w:ascii="Times New Roman" w:hAnsi="Times New Roman" w:cs="Times New Roman"/>
          <w:b/>
          <w:sz w:val="28"/>
          <w:szCs w:val="28"/>
        </w:rPr>
      </w:pPr>
    </w:p>
    <w:p w:rsidR="0021764E" w:rsidRPr="00C62D22" w:rsidRDefault="0021764E" w:rsidP="0021764E">
      <w:pPr>
        <w:spacing w:after="0" w:line="360" w:lineRule="auto"/>
        <w:jc w:val="center"/>
        <w:rPr>
          <w:rFonts w:ascii="Times New Roman" w:hAnsi="Times New Roman" w:cs="Times New Roman"/>
          <w:b/>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Дослідженням, які стосуються морфогенезу ускладнених ПК ПЗ, передували отримані нами попередні дані [10, 157, 167] (інтерлейкін-продуценти диференціювали за допомогою МКА до інтерлейкіну-2 (IL-2) IL-6 фірми Serotec Bio-Rad Laboratories, Inc (UK), які свідчили, що у хворих з неускладненим перебігом ПК ПЗ, унаслідок перенесеного ГП, було визначено, що наявність щільної запальної тканини, локалізація запальної інфільтрації у внутрішніх шарах стінки, перевага колагену І типу в капсулі ПК ПЗ, а також клітин-продуцентів IL-2 і IL-6 свідчать про зниження активності запального процесу. Наявність рихлої сполучної тканини, дифузна запальна інфільтрація у всіх шарах стінки, перевага колагену ІІІ типу та зниження кількості клітин-продуцентів IL-2 і IL-6 свідчать про збереження активності запального процесу. Таким чином, були підтверджені дані, що фактори росту й ЦК є тригерами фіброгенезу ПЗ. </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Тому метою наших досліджень було вивчення особливостей морфологічної будови стінок різних типів ускладнених ПК ПЗ та їх паренхіми з використанням гістологічних, гістохімічних та імуногістохімічних методик. </w:t>
      </w:r>
    </w:p>
    <w:p w:rsidR="0021764E" w:rsidRPr="00C62D22" w:rsidRDefault="0021764E" w:rsidP="0021764E">
      <w:pPr>
        <w:spacing w:after="0" w:line="360" w:lineRule="auto"/>
        <w:ind w:firstLine="540"/>
        <w:contextualSpacing/>
        <w:jc w:val="both"/>
        <w:rPr>
          <w:rFonts w:ascii="Times New Roman" w:hAnsi="Times New Roman" w:cs="Times New Roman"/>
          <w:bCs/>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b/>
          <w:bCs/>
          <w:sz w:val="28"/>
          <w:szCs w:val="28"/>
        </w:rPr>
      </w:pPr>
      <w:r w:rsidRPr="00C62D22">
        <w:rPr>
          <w:rFonts w:ascii="Times New Roman" w:hAnsi="Times New Roman" w:cs="Times New Roman"/>
          <w:b/>
          <w:bCs/>
          <w:sz w:val="28"/>
          <w:szCs w:val="28"/>
        </w:rPr>
        <w:t>6.1. Гістологічні, гістохімічні та імуногістохімічні зміни в стінках псевдокіст першого типу та в прилеглій паренхімі підшлункової залози</w:t>
      </w:r>
    </w:p>
    <w:p w:rsidR="0021764E" w:rsidRPr="00C62D22" w:rsidRDefault="0021764E" w:rsidP="0021764E">
      <w:pPr>
        <w:spacing w:after="0" w:line="360" w:lineRule="auto"/>
        <w:ind w:firstLine="540"/>
        <w:contextualSpacing/>
        <w:jc w:val="both"/>
        <w:rPr>
          <w:rFonts w:ascii="Times New Roman" w:hAnsi="Times New Roman" w:cs="Times New Roman"/>
          <w:bCs/>
          <w:sz w:val="28"/>
          <w:szCs w:val="28"/>
        </w:rPr>
      </w:pP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При мікроскопічному дослідженні інтраопераційно резектованих ділянок ПЗ хворих першої групи (14) виявлялися ПК, позбавлені епітеліального вистилання, заповнені некротичними масами з домішкою еритроцитів і лейкоцитів. У 12 спостереженнях уміст ПК був представлений гнійно-некротичним детритом [122].</w:t>
      </w:r>
    </w:p>
    <w:p w:rsidR="0021764E" w:rsidRPr="00C62D22" w:rsidRDefault="0021764E" w:rsidP="0021764E">
      <w:pPr>
        <w:spacing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Стінка ПК була представлена тканиною ПЗ із ділянками деструкції строми й ацинусів. У ділянках некрозу строми колагенові волокна були зруйнованими, фрагментованими й роз'єднаними, різко еозинофільними, пікринофільними та ШИК-позитивні. При імуногістохімічному дослідженні з МКА до колагенів І та ІІІ типів у структурі колагенових волокон виявлено світіння нерівномірної інтенсивності обох типів колагенів. При цьому переважало світіння слабкої інтенсивності без чітких меж (рис. 6.1) [180]. </w:t>
      </w:r>
    </w:p>
    <w:p w:rsidR="0021764E" w:rsidRPr="00C62D22" w:rsidRDefault="0021764E" w:rsidP="0021764E">
      <w:pPr>
        <w:spacing w:after="0" w:line="360" w:lineRule="auto"/>
        <w:ind w:firstLine="851"/>
        <w:contextualSpacing/>
        <w:jc w:val="both"/>
        <w:rPr>
          <w:rFonts w:ascii="Times New Roman" w:hAnsi="Times New Roman" w:cs="Times New Roman"/>
          <w:b/>
          <w:sz w:val="28"/>
          <w:szCs w:val="28"/>
        </w:rPr>
      </w:pPr>
    </w:p>
    <w:p w:rsidR="0021764E" w:rsidRPr="00C62D22" w:rsidRDefault="0021764E" w:rsidP="0021764E">
      <w:pPr>
        <w:spacing w:after="0" w:line="360" w:lineRule="auto"/>
        <w:ind w:left="1985"/>
        <w:contextualSpacing/>
        <w:rPr>
          <w:rFonts w:ascii="Times New Roman" w:hAnsi="Times New Roman" w:cs="Times New Roman"/>
          <w:b/>
          <w:sz w:val="28"/>
          <w:szCs w:val="28"/>
        </w:rPr>
      </w:pPr>
      <w:r w:rsidRPr="00C62D22">
        <w:rPr>
          <w:rFonts w:ascii="Times New Roman" w:hAnsi="Times New Roman" w:cs="Times New Roman"/>
          <w:b/>
          <w:noProof/>
          <w:sz w:val="28"/>
          <w:szCs w:val="28"/>
        </w:rPr>
        <w:drawing>
          <wp:inline distT="0" distB="0" distL="0" distR="0">
            <wp:extent cx="4210050" cy="2705100"/>
            <wp:effectExtent l="19050" t="0" r="0" b="0"/>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57" cstate="print"/>
                    <a:srcRect/>
                    <a:stretch>
                      <a:fillRect/>
                    </a:stretch>
                  </pic:blipFill>
                  <pic:spPr bwMode="auto">
                    <a:xfrm>
                      <a:off x="0" y="0"/>
                      <a:ext cx="4210050" cy="27051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851"/>
        <w:contextualSpacing/>
        <w:jc w:val="both"/>
        <w:rPr>
          <w:rFonts w:ascii="Times New Roman" w:hAnsi="Times New Roman" w:cs="Times New Roman"/>
          <w:color w:val="FF0000"/>
          <w:sz w:val="28"/>
          <w:szCs w:val="28"/>
        </w:rPr>
      </w:pPr>
      <w:r w:rsidRPr="00C62D22">
        <w:rPr>
          <w:rFonts w:ascii="Times New Roman" w:hAnsi="Times New Roman" w:cs="Times New Roman"/>
          <w:noProof/>
          <w:color w:val="FF0000"/>
          <w:sz w:val="28"/>
          <w:szCs w:val="28"/>
        </w:rPr>
        <w:pict>
          <v:shape id="_x0000_s1111" type="#_x0000_t202" style="position:absolute;left:0;text-align:left;margin-left:-2.25pt;margin-top:11.3pt;width:506.25pt;height:54pt;z-index:251745280" stroked="f">
            <v:textbox style="mso-next-textbox:#_x0000_s1111">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w:t>
                  </w:r>
                  <w:r w:rsidRPr="009814D0">
                    <w:rPr>
                      <w:rFonts w:ascii="Times New Roman" w:hAnsi="Times New Roman"/>
                      <w:sz w:val="28"/>
                      <w:szCs w:val="28"/>
                    </w:rPr>
                    <w:t>1. Нерівномірне світіння колаге</w:t>
                  </w:r>
                  <w:r>
                    <w:rPr>
                      <w:rFonts w:ascii="Times New Roman" w:hAnsi="Times New Roman"/>
                      <w:sz w:val="28"/>
                      <w:szCs w:val="28"/>
                    </w:rPr>
                    <w:t>ну ІІІ типу в стінці ПК</w:t>
                  </w:r>
                  <w:r w:rsidRPr="009814D0">
                    <w:rPr>
                      <w:rFonts w:ascii="Times New Roman" w:hAnsi="Times New Roman"/>
                      <w:sz w:val="28"/>
                      <w:szCs w:val="28"/>
                    </w:rPr>
                    <w:t xml:space="preserve"> І типу</w:t>
                  </w:r>
                  <w:r>
                    <w:rPr>
                      <w:rFonts w:ascii="Times New Roman" w:hAnsi="Times New Roman"/>
                      <w:sz w:val="28"/>
                      <w:szCs w:val="28"/>
                    </w:rPr>
                    <w:t xml:space="preserve"> (указано стрілкою). </w:t>
                  </w:r>
                  <w:r w:rsidRPr="009814D0">
                    <w:rPr>
                      <w:rFonts w:ascii="Times New Roman" w:hAnsi="Times New Roman"/>
                      <w:sz w:val="28"/>
                      <w:szCs w:val="28"/>
                    </w:rPr>
                    <w:t xml:space="preserve">Прямий метод Кунса з МКА до колагену Ш типу, </w:t>
                  </w:r>
                  <w:r>
                    <w:rPr>
                      <w:rFonts w:ascii="Times New Roman" w:hAnsi="Times New Roman"/>
                      <w:sz w:val="28"/>
                      <w:szCs w:val="28"/>
                    </w:rPr>
                    <w:t xml:space="preserve">х </w:t>
                  </w:r>
                  <w:r w:rsidRPr="009814D0">
                    <w:rPr>
                      <w:rFonts w:ascii="Times New Roman" w:hAnsi="Times New Roman"/>
                      <w:sz w:val="28"/>
                      <w:szCs w:val="28"/>
                    </w:rPr>
                    <w:t>600.</w:t>
                  </w:r>
                </w:p>
                <w:p w:rsidR="0021764E" w:rsidRDefault="0021764E" w:rsidP="0021764E">
                  <w:pPr>
                    <w:spacing w:after="0" w:line="360" w:lineRule="auto"/>
                    <w:ind w:firstLine="540"/>
                    <w:contextualSpacing/>
                    <w:jc w:val="center"/>
                    <w:rPr>
                      <w:rFonts w:ascii="Times New Roman" w:hAnsi="Times New Roman"/>
                      <w:sz w:val="28"/>
                      <w:szCs w:val="28"/>
                    </w:rPr>
                  </w:pPr>
                </w:p>
                <w:p w:rsidR="0021764E" w:rsidRDefault="0021764E" w:rsidP="0021764E"/>
              </w:txbxContent>
            </v:textbox>
          </v:shape>
        </w:pict>
      </w:r>
    </w:p>
    <w:p w:rsidR="0021764E" w:rsidRPr="00C62D22" w:rsidRDefault="0021764E" w:rsidP="0021764E">
      <w:pPr>
        <w:spacing w:after="0" w:line="360" w:lineRule="auto"/>
        <w:ind w:firstLine="851"/>
        <w:contextualSpacing/>
        <w:jc w:val="both"/>
        <w:rPr>
          <w:rFonts w:ascii="Times New Roman" w:hAnsi="Times New Roman" w:cs="Times New Roman"/>
          <w:color w:val="FF0000"/>
          <w:sz w:val="28"/>
          <w:szCs w:val="28"/>
        </w:rPr>
      </w:pPr>
    </w:p>
    <w:p w:rsidR="0021764E" w:rsidRPr="00C62D22" w:rsidRDefault="0021764E" w:rsidP="0021764E">
      <w:pPr>
        <w:spacing w:after="0" w:line="360" w:lineRule="auto"/>
        <w:ind w:firstLine="851"/>
        <w:contextualSpacing/>
        <w:jc w:val="both"/>
        <w:rPr>
          <w:rFonts w:ascii="Times New Roman" w:hAnsi="Times New Roman" w:cs="Times New Roman"/>
          <w:color w:val="FF0000"/>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Основна речовина, розташована між фрагментованими волокнистими структурами, у результаті його розпаду, накопичення плазмових білків і глікозаміногліканів візуалізувалися як ШИК-позитивний матеріал. Основна речовина була інфільтрована переважно поліморфноядерними лейкоцитами, макрофагами, з домішкою нечисленних лімфоцитів і фібробластів [122]. </w:t>
      </w:r>
    </w:p>
    <w:p w:rsidR="0021764E" w:rsidRPr="00C62D22" w:rsidRDefault="0021764E" w:rsidP="0021764E">
      <w:pPr>
        <w:spacing w:before="240"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При імуногістохімічному дослідженні в складі клітинних інфільтратів виявлялися всі основні клони імунних клітин – CD3 (9±0,54%), CD20 (11±1,4%), CD16 (22±2,0%), з переважанням CD18 (58±5,0 %) (табл. 6.1) [180].</w:t>
      </w:r>
    </w:p>
    <w:p w:rsidR="0021764E" w:rsidRPr="00C62D22" w:rsidRDefault="0021764E" w:rsidP="0021764E">
      <w:pPr>
        <w:spacing w:after="0" w:line="360" w:lineRule="auto"/>
        <w:jc w:val="right"/>
        <w:rPr>
          <w:rFonts w:ascii="Times New Roman" w:hAnsi="Times New Roman" w:cs="Times New Roman"/>
          <w:bCs/>
          <w:sz w:val="28"/>
          <w:szCs w:val="28"/>
        </w:rPr>
      </w:pPr>
    </w:p>
    <w:p w:rsidR="0021764E" w:rsidRPr="00C62D22" w:rsidRDefault="0021764E" w:rsidP="0021764E">
      <w:pPr>
        <w:spacing w:after="0" w:line="360" w:lineRule="auto"/>
        <w:jc w:val="right"/>
        <w:rPr>
          <w:rFonts w:ascii="Times New Roman" w:hAnsi="Times New Roman" w:cs="Times New Roman"/>
          <w:bCs/>
          <w:i/>
          <w:sz w:val="28"/>
          <w:szCs w:val="28"/>
        </w:rPr>
      </w:pPr>
      <w:r w:rsidRPr="00C62D22">
        <w:rPr>
          <w:rFonts w:ascii="Times New Roman" w:hAnsi="Times New Roman" w:cs="Times New Roman"/>
          <w:bCs/>
          <w:i/>
          <w:sz w:val="28"/>
          <w:szCs w:val="28"/>
        </w:rPr>
        <w:lastRenderedPageBreak/>
        <w:t>Таблиця 6.1</w:t>
      </w:r>
    </w:p>
    <w:p w:rsidR="0021764E" w:rsidRPr="00C62D22" w:rsidRDefault="0021764E" w:rsidP="0021764E">
      <w:pPr>
        <w:spacing w:after="0" w:line="360" w:lineRule="auto"/>
        <w:jc w:val="center"/>
        <w:rPr>
          <w:rFonts w:ascii="Times New Roman" w:hAnsi="Times New Roman" w:cs="Times New Roman"/>
          <w:b/>
          <w:bCs/>
          <w:sz w:val="28"/>
          <w:szCs w:val="28"/>
        </w:rPr>
      </w:pPr>
      <w:r w:rsidRPr="00C62D22">
        <w:rPr>
          <w:rFonts w:ascii="Times New Roman" w:hAnsi="Times New Roman" w:cs="Times New Roman"/>
          <w:b/>
          <w:bCs/>
          <w:sz w:val="28"/>
          <w:szCs w:val="28"/>
        </w:rPr>
        <w:t>Відносні об’єми імунних клітин у стінках ПК різних типів та в прилеглому інтерстиції ПЗ (%)</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121"/>
        <w:gridCol w:w="1039"/>
        <w:gridCol w:w="1080"/>
        <w:gridCol w:w="1260"/>
        <w:gridCol w:w="1080"/>
        <w:gridCol w:w="1260"/>
        <w:gridCol w:w="1080"/>
        <w:gridCol w:w="1080"/>
        <w:gridCol w:w="1080"/>
      </w:tblGrid>
      <w:tr w:rsidR="0021764E" w:rsidRPr="00C62D22" w:rsidTr="006E5FD4">
        <w:trPr>
          <w:trHeight w:val="546"/>
        </w:trPr>
        <w:tc>
          <w:tcPr>
            <w:tcW w:w="1121" w:type="dxa"/>
            <w:vMerge w:val="restart"/>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Типи ПК</w:t>
            </w:r>
          </w:p>
        </w:tc>
        <w:tc>
          <w:tcPr>
            <w:tcW w:w="4459" w:type="dxa"/>
            <w:gridSpan w:val="4"/>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Стінка ПК</w:t>
            </w:r>
          </w:p>
        </w:tc>
        <w:tc>
          <w:tcPr>
            <w:tcW w:w="4500" w:type="dxa"/>
            <w:gridSpan w:val="4"/>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Інтерстиціальний компонент ПЗ</w:t>
            </w:r>
          </w:p>
        </w:tc>
      </w:tr>
      <w:tr w:rsidR="0021764E" w:rsidRPr="00C62D22" w:rsidTr="006E5FD4">
        <w:trPr>
          <w:trHeight w:val="721"/>
        </w:trPr>
        <w:tc>
          <w:tcPr>
            <w:tcW w:w="1121" w:type="dxa"/>
            <w:vMerge/>
            <w:vAlign w:val="center"/>
          </w:tcPr>
          <w:p w:rsidR="0021764E" w:rsidRPr="00C62D22" w:rsidRDefault="0021764E" w:rsidP="006E5FD4">
            <w:pPr>
              <w:spacing w:after="0" w:line="240" w:lineRule="auto"/>
              <w:jc w:val="center"/>
              <w:rPr>
                <w:rFonts w:ascii="Times New Roman" w:hAnsi="Times New Roman" w:cs="Times New Roman"/>
                <w:sz w:val="28"/>
                <w:szCs w:val="28"/>
              </w:rPr>
            </w:pPr>
          </w:p>
        </w:tc>
        <w:tc>
          <w:tcPr>
            <w:tcW w:w="1039"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CD3</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CD20</w:t>
            </w:r>
          </w:p>
        </w:tc>
        <w:tc>
          <w:tcPr>
            <w:tcW w:w="126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CD18</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CD16</w:t>
            </w:r>
          </w:p>
        </w:tc>
        <w:tc>
          <w:tcPr>
            <w:tcW w:w="126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CD3</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CD20</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CD18</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CD16</w:t>
            </w:r>
          </w:p>
        </w:tc>
      </w:tr>
      <w:tr w:rsidR="0021764E" w:rsidRPr="00C62D22" w:rsidTr="006E5FD4">
        <w:trPr>
          <w:trHeight w:val="833"/>
        </w:trPr>
        <w:tc>
          <w:tcPr>
            <w:tcW w:w="1121"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Тип І</w:t>
            </w:r>
          </w:p>
        </w:tc>
        <w:tc>
          <w:tcPr>
            <w:tcW w:w="1039"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9±0,54</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11±1,4</w:t>
            </w:r>
          </w:p>
        </w:tc>
        <w:tc>
          <w:tcPr>
            <w:tcW w:w="126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58±5,0</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22±2,0</w:t>
            </w:r>
          </w:p>
        </w:tc>
        <w:tc>
          <w:tcPr>
            <w:tcW w:w="126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15±2,0</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20±3,0</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44±4,0</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21±3,0</w:t>
            </w:r>
          </w:p>
        </w:tc>
      </w:tr>
      <w:tr w:rsidR="0021764E" w:rsidRPr="00C62D22" w:rsidTr="006E5FD4">
        <w:trPr>
          <w:trHeight w:val="741"/>
        </w:trPr>
        <w:tc>
          <w:tcPr>
            <w:tcW w:w="1121"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Тип ІІ</w:t>
            </w:r>
          </w:p>
        </w:tc>
        <w:tc>
          <w:tcPr>
            <w:tcW w:w="1039"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29±2,8*</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37±2,9*</w:t>
            </w:r>
          </w:p>
        </w:tc>
        <w:tc>
          <w:tcPr>
            <w:tcW w:w="126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14±1,9*</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20±2,3</w:t>
            </w:r>
          </w:p>
        </w:tc>
        <w:tc>
          <w:tcPr>
            <w:tcW w:w="126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38±3,6*</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33±2,5*</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11±1,4*</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18±1,4</w:t>
            </w:r>
          </w:p>
        </w:tc>
      </w:tr>
      <w:tr w:rsidR="0021764E" w:rsidRPr="00C62D22" w:rsidTr="006E5FD4">
        <w:trPr>
          <w:trHeight w:val="559"/>
        </w:trPr>
        <w:tc>
          <w:tcPr>
            <w:tcW w:w="1121"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Тип ІІІ</w:t>
            </w:r>
          </w:p>
        </w:tc>
        <w:tc>
          <w:tcPr>
            <w:tcW w:w="1039"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28±2,4*</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30±2,0**</w:t>
            </w:r>
          </w:p>
        </w:tc>
        <w:tc>
          <w:tcPr>
            <w:tcW w:w="126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19±1,3**</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23±1,6</w:t>
            </w:r>
          </w:p>
        </w:tc>
        <w:tc>
          <w:tcPr>
            <w:tcW w:w="126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39±3,0*</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26±2,2*</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10±0,9*</w:t>
            </w:r>
          </w:p>
        </w:tc>
        <w:tc>
          <w:tcPr>
            <w:tcW w:w="1080" w:type="dxa"/>
            <w:vAlign w:val="center"/>
          </w:tcPr>
          <w:p w:rsidR="0021764E" w:rsidRPr="00C62D22" w:rsidRDefault="0021764E" w:rsidP="006E5FD4">
            <w:pPr>
              <w:spacing w:after="0" w:line="240" w:lineRule="auto"/>
              <w:jc w:val="center"/>
              <w:rPr>
                <w:rFonts w:ascii="Times New Roman" w:hAnsi="Times New Roman" w:cs="Times New Roman"/>
                <w:sz w:val="28"/>
                <w:szCs w:val="28"/>
              </w:rPr>
            </w:pPr>
            <w:r w:rsidRPr="00C62D22">
              <w:rPr>
                <w:rFonts w:ascii="Times New Roman" w:hAnsi="Times New Roman" w:cs="Times New Roman"/>
                <w:sz w:val="28"/>
                <w:szCs w:val="28"/>
              </w:rPr>
              <w:t>25±2,2</w:t>
            </w:r>
          </w:p>
        </w:tc>
      </w:tr>
    </w:tbl>
    <w:p w:rsidR="0021764E" w:rsidRPr="00C62D22" w:rsidRDefault="0021764E" w:rsidP="0021764E">
      <w:pPr>
        <w:pStyle w:val="23"/>
        <w:autoSpaceDE w:val="0"/>
        <w:autoSpaceDN w:val="0"/>
        <w:adjustRightInd w:val="0"/>
        <w:spacing w:line="360" w:lineRule="auto"/>
        <w:ind w:left="0"/>
        <w:jc w:val="both"/>
        <w:rPr>
          <w:sz w:val="28"/>
          <w:szCs w:val="28"/>
          <w:lang w:val="uk-UA"/>
        </w:rPr>
      </w:pPr>
    </w:p>
    <w:p w:rsidR="0021764E" w:rsidRPr="00C62D22" w:rsidRDefault="0021764E" w:rsidP="0021764E">
      <w:pPr>
        <w:pStyle w:val="23"/>
        <w:autoSpaceDE w:val="0"/>
        <w:autoSpaceDN w:val="0"/>
        <w:adjustRightInd w:val="0"/>
        <w:spacing w:line="360" w:lineRule="auto"/>
        <w:ind w:left="0" w:firstLine="567"/>
        <w:jc w:val="both"/>
        <w:rPr>
          <w:sz w:val="28"/>
          <w:szCs w:val="28"/>
          <w:lang w:val="uk-UA"/>
        </w:rPr>
      </w:pPr>
      <w:r w:rsidRPr="00C62D22">
        <w:rPr>
          <w:sz w:val="28"/>
          <w:szCs w:val="28"/>
          <w:lang w:val="uk-UA"/>
        </w:rPr>
        <w:t>Примітка. *– порівняно з І типом ПК (р</w:t>
      </w:r>
      <w:r w:rsidRPr="00C62D22">
        <w:rPr>
          <w:sz w:val="28"/>
          <w:szCs w:val="28"/>
        </w:rPr>
        <w:sym w:font="Symbol" w:char="F03C"/>
      </w:r>
      <w:r w:rsidRPr="00C62D22">
        <w:rPr>
          <w:sz w:val="28"/>
          <w:szCs w:val="28"/>
          <w:lang w:val="uk-UA"/>
        </w:rPr>
        <w:t>0,05), ** –  порівняно з ІІ типом ПК (р</w:t>
      </w:r>
      <w:r w:rsidRPr="00C62D22">
        <w:rPr>
          <w:sz w:val="28"/>
          <w:szCs w:val="28"/>
        </w:rPr>
        <w:sym w:font="Symbol" w:char="F03C"/>
      </w:r>
      <w:r w:rsidRPr="00C62D22">
        <w:rPr>
          <w:sz w:val="28"/>
          <w:szCs w:val="28"/>
          <w:lang w:val="uk-UA"/>
        </w:rPr>
        <w:t>0,05).</w:t>
      </w: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Зустрічалися вогнища жирових некрозів з формуванням дрібних жирових кіст. У міжчасточкових артеріях виявлявся парціальний некроз або тотальний фібриноїдний некроз стінки з руйнуванням базальної та еластичних мембран, гладких м'язових клітин. У базальних мембранах виявлялося слабке, без чітких меж світіння колагену ІV типу (рис. 6.2).</w:t>
      </w:r>
    </w:p>
    <w:p w:rsidR="0021764E" w:rsidRPr="00C62D22" w:rsidRDefault="0021764E" w:rsidP="0021764E">
      <w:pPr>
        <w:spacing w:after="0" w:line="240" w:lineRule="auto"/>
        <w:contextualSpacing/>
        <w:jc w:val="both"/>
        <w:rPr>
          <w:rFonts w:ascii="Times New Roman" w:hAnsi="Times New Roman" w:cs="Times New Roman"/>
          <w:sz w:val="28"/>
          <w:szCs w:val="28"/>
        </w:rPr>
      </w:pPr>
    </w:p>
    <w:p w:rsidR="0021764E" w:rsidRPr="00C62D22" w:rsidRDefault="0021764E" w:rsidP="0021764E">
      <w:pPr>
        <w:autoSpaceDE w:val="0"/>
        <w:autoSpaceDN w:val="0"/>
        <w:adjustRightInd w:val="0"/>
        <w:spacing w:after="0" w:line="360" w:lineRule="auto"/>
        <w:jc w:val="center"/>
        <w:rPr>
          <w:rFonts w:ascii="Times New Roman" w:hAnsi="Times New Roman" w:cs="Times New Roman"/>
          <w:noProof/>
          <w:sz w:val="28"/>
          <w:szCs w:val="28"/>
        </w:rPr>
      </w:pP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24325" cy="2400300"/>
            <wp:effectExtent l="19050" t="0" r="9525" b="0"/>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58" cstate="print"/>
                    <a:srcRect/>
                    <a:stretch>
                      <a:fillRect/>
                    </a:stretch>
                  </pic:blipFill>
                  <pic:spPr bwMode="auto">
                    <a:xfrm>
                      <a:off x="0" y="0"/>
                      <a:ext cx="4124325" cy="2400300"/>
                    </a:xfrm>
                    <a:prstGeom prst="rect">
                      <a:avLst/>
                    </a:prstGeom>
                    <a:noFill/>
                    <a:ln w="9525">
                      <a:noFill/>
                      <a:miter lim="800000"/>
                      <a:headEnd/>
                      <a:tailEnd/>
                    </a:ln>
                  </pic:spPr>
                </pic:pic>
              </a:graphicData>
            </a:graphic>
          </wp:inline>
        </w:drawing>
      </w:r>
      <w:r w:rsidRPr="00C62D22">
        <w:rPr>
          <w:rFonts w:ascii="Times New Roman" w:hAnsi="Times New Roman" w:cs="Times New Roman"/>
          <w:noProof/>
          <w:sz w:val="28"/>
          <w:szCs w:val="28"/>
        </w:rPr>
        <w:t xml:space="preserve">    </w:t>
      </w:r>
    </w:p>
    <w:p w:rsidR="0021764E" w:rsidRPr="00C62D22" w:rsidRDefault="0021764E" w:rsidP="0021764E">
      <w:pPr>
        <w:autoSpaceDE w:val="0"/>
        <w:autoSpaceDN w:val="0"/>
        <w:adjustRightInd w:val="0"/>
        <w:spacing w:after="0" w:line="360" w:lineRule="auto"/>
        <w:ind w:firstLine="540"/>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36" type="#_x0000_t202" style="position:absolute;left:0;text-align:left;margin-left:0;margin-top:1.1pt;width:513pt;height:90pt;z-index:251770880" stroked="f">
            <v:textbox style="mso-next-textbox:#_x0000_s1136">
              <w:txbxContent>
                <w:p w:rsidR="0021764E" w:rsidRPr="002545AD" w:rsidRDefault="0021764E" w:rsidP="0021764E">
                  <w:pPr>
                    <w:tabs>
                      <w:tab w:val="left" w:pos="0"/>
                    </w:tabs>
                    <w:spacing w:after="0" w:line="360" w:lineRule="auto"/>
                    <w:contextualSpacing/>
                    <w:jc w:val="right"/>
                    <w:rPr>
                      <w:rFonts w:ascii="Times New Roman" w:hAnsi="Times New Roman"/>
                      <w:sz w:val="28"/>
                      <w:szCs w:val="28"/>
                    </w:rPr>
                  </w:pPr>
                  <w:r>
                    <w:rPr>
                      <w:rFonts w:ascii="Times New Roman" w:hAnsi="Times New Roman"/>
                      <w:sz w:val="28"/>
                      <w:szCs w:val="28"/>
                    </w:rPr>
                    <w:t>Рис. 6.</w:t>
                  </w:r>
                  <w:r w:rsidRPr="002545AD">
                    <w:rPr>
                      <w:rFonts w:ascii="Times New Roman" w:hAnsi="Times New Roman"/>
                      <w:sz w:val="28"/>
                      <w:szCs w:val="28"/>
                    </w:rPr>
                    <w:t>2. Слабке нерівномірної інтенсивності світіння колагену ІV типу</w:t>
                  </w:r>
                  <w:r w:rsidRPr="00B23BCD">
                    <w:rPr>
                      <w:rFonts w:ascii="Times New Roman" w:hAnsi="Times New Roman"/>
                      <w:sz w:val="28"/>
                      <w:szCs w:val="28"/>
                    </w:rPr>
                    <w:t xml:space="preserve"> (указано </w:t>
                  </w:r>
                  <w:r>
                    <w:rPr>
                      <w:rFonts w:ascii="Times New Roman" w:hAnsi="Times New Roman"/>
                      <w:sz w:val="28"/>
                      <w:szCs w:val="28"/>
                    </w:rPr>
                    <w:t>стрілкою)</w:t>
                  </w:r>
                  <w:r w:rsidRPr="002545AD">
                    <w:rPr>
                      <w:rFonts w:ascii="Times New Roman" w:hAnsi="Times New Roman"/>
                      <w:sz w:val="28"/>
                      <w:szCs w:val="28"/>
                    </w:rPr>
                    <w:t xml:space="preserve"> в базальній мембрані судини стінки ПК І типу. Прямий метод Кунса з МКА до колагену ІV типу, х</w:t>
                  </w:r>
                  <w:r>
                    <w:rPr>
                      <w:rFonts w:ascii="Times New Roman" w:hAnsi="Times New Roman"/>
                      <w:sz w:val="28"/>
                      <w:szCs w:val="28"/>
                    </w:rPr>
                    <w:t xml:space="preserve"> </w:t>
                  </w:r>
                  <w:r w:rsidRPr="002545AD">
                    <w:rPr>
                      <w:rFonts w:ascii="Times New Roman" w:hAnsi="Times New Roman"/>
                      <w:sz w:val="28"/>
                      <w:szCs w:val="28"/>
                    </w:rPr>
                    <w:t>900</w:t>
                  </w:r>
                  <w:r>
                    <w:rPr>
                      <w:rFonts w:ascii="Times New Roman" w:hAnsi="Times New Roman"/>
                      <w:sz w:val="28"/>
                      <w:szCs w:val="28"/>
                    </w:rPr>
                    <w:t>.</w:t>
                  </w:r>
                </w:p>
                <w:p w:rsidR="0021764E" w:rsidRDefault="0021764E" w:rsidP="0021764E">
                  <w:pPr>
                    <w:jc w:val="right"/>
                  </w:pPr>
                </w:p>
              </w:txbxContent>
            </v:textbox>
          </v:shape>
        </w:pic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У більшості спостережень деструкція судинної стінки супроводжувалася виходом еритроцитів у навколишні тканини та формуванням вогнищ геморагічної інфільтрації некротизованих тканин (рис. 6.3, 6.4).</w:t>
      </w: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40" type="#_x0000_t202" style="position:absolute;left:0;text-align:left;margin-left:129.3pt;margin-top:42pt;width:21.75pt;height:23.25pt;z-index:251774976" filled="f" stroked="f">
            <v:textbox style="mso-next-textbox:#_x0000_s1140">
              <w:txbxContent>
                <w:p w:rsidR="0021764E" w:rsidRPr="00B23BCD" w:rsidRDefault="0021764E" w:rsidP="0021764E">
                  <w:pPr>
                    <w:rPr>
                      <w:rFonts w:ascii="Times New Roman" w:hAnsi="Times New Roman"/>
                      <w:b/>
                      <w:sz w:val="28"/>
                      <w:szCs w:val="28"/>
                    </w:rPr>
                  </w:pPr>
                  <w:r w:rsidRPr="00B23BCD">
                    <w:rPr>
                      <w:rFonts w:ascii="Times New Roman" w:hAnsi="Times New Roman"/>
                      <w:b/>
                      <w:sz w:val="28"/>
                      <w:szCs w:val="28"/>
                    </w:rPr>
                    <w:t>3</w:t>
                  </w:r>
                </w:p>
              </w:txbxContent>
            </v:textbox>
          </v:shape>
        </w:pict>
      </w:r>
      <w:r w:rsidRPr="00C62D22">
        <w:rPr>
          <w:rFonts w:ascii="Times New Roman" w:hAnsi="Times New Roman" w:cs="Times New Roman"/>
          <w:noProof/>
          <w:sz w:val="28"/>
          <w:szCs w:val="28"/>
        </w:rPr>
        <w:pict>
          <v:shape id="_x0000_s1139" type="#_x0000_t202" style="position:absolute;left:0;text-align:left;margin-left:380.55pt;margin-top:65.25pt;width:21.75pt;height:23.25pt;z-index:251773952" filled="f" stroked="f">
            <v:textbox style="mso-next-textbox:#_x0000_s1139">
              <w:txbxContent>
                <w:p w:rsidR="0021764E" w:rsidRPr="00B23BCD" w:rsidRDefault="0021764E" w:rsidP="0021764E">
                  <w:pPr>
                    <w:rPr>
                      <w:rFonts w:ascii="Times New Roman" w:hAnsi="Times New Roman"/>
                      <w:b/>
                      <w:sz w:val="28"/>
                      <w:szCs w:val="28"/>
                    </w:rPr>
                  </w:pPr>
                  <w:r w:rsidRPr="00B23BCD">
                    <w:rPr>
                      <w:rFonts w:ascii="Times New Roman" w:hAnsi="Times New Roman"/>
                      <w:b/>
                      <w:sz w:val="28"/>
                      <w:szCs w:val="28"/>
                    </w:rPr>
                    <w:t>2</w:t>
                  </w:r>
                </w:p>
              </w:txbxContent>
            </v:textbox>
          </v:shape>
        </w:pict>
      </w:r>
      <w:r w:rsidRPr="00C62D22">
        <w:rPr>
          <w:rFonts w:ascii="Times New Roman" w:hAnsi="Times New Roman" w:cs="Times New Roman"/>
          <w:noProof/>
          <w:sz w:val="28"/>
          <w:szCs w:val="28"/>
        </w:rPr>
        <w:pict>
          <v:shape id="_x0000_s1137" type="#_x0000_t202" style="position:absolute;left:0;text-align:left;margin-left:217.8pt;margin-top:125.25pt;width:21.75pt;height:23.25pt;z-index:251771904" filled="f" stroked="f">
            <v:textbox style="mso-next-textbox:#_x0000_s1137">
              <w:txbxContent>
                <w:p w:rsidR="0021764E" w:rsidRPr="00B23BCD" w:rsidRDefault="0021764E" w:rsidP="0021764E">
                  <w:pPr>
                    <w:rPr>
                      <w:rFonts w:ascii="Times New Roman" w:hAnsi="Times New Roman"/>
                      <w:b/>
                      <w:sz w:val="28"/>
                      <w:szCs w:val="28"/>
                    </w:rPr>
                  </w:pPr>
                  <w:r w:rsidRPr="00B23BCD">
                    <w:rPr>
                      <w:rFonts w:ascii="Times New Roman" w:hAnsi="Times New Roman"/>
                      <w:b/>
                      <w:sz w:val="28"/>
                      <w:szCs w:val="28"/>
                    </w:rPr>
                    <w:t>1</w:t>
                  </w:r>
                </w:p>
              </w:txbxContent>
            </v:textbox>
          </v:shape>
        </w:pict>
      </w:r>
      <w:r w:rsidRPr="00C62D22">
        <w:rPr>
          <w:rFonts w:ascii="Times New Roman" w:hAnsi="Times New Roman" w:cs="Times New Roman"/>
          <w:noProof/>
          <w:sz w:val="28"/>
          <w:szCs w:val="28"/>
        </w:rPr>
        <w:pict>
          <v:shape id="_x0000_s1138" type="#_x0000_t202" style="position:absolute;left:0;text-align:left;margin-left:273.3pt;margin-top:65.25pt;width:21.75pt;height:23.25pt;z-index:251772928" filled="f" stroked="f">
            <v:textbox style="mso-next-textbox:#_x0000_s1138">
              <w:txbxContent>
                <w:p w:rsidR="0021764E" w:rsidRPr="00B23BCD" w:rsidRDefault="0021764E" w:rsidP="0021764E">
                  <w:pPr>
                    <w:rPr>
                      <w:rFonts w:ascii="Times New Roman" w:hAnsi="Times New Roman"/>
                      <w:b/>
                      <w:sz w:val="28"/>
                      <w:szCs w:val="28"/>
                    </w:rPr>
                  </w:pPr>
                  <w:r w:rsidRPr="00B23BCD">
                    <w:rPr>
                      <w:rFonts w:ascii="Times New Roman" w:hAnsi="Times New Roman"/>
                      <w:b/>
                      <w:sz w:val="28"/>
                      <w:szCs w:val="28"/>
                    </w:rPr>
                    <w:t>1</w:t>
                  </w:r>
                </w:p>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24325" cy="2733675"/>
            <wp:effectExtent l="19050" t="0" r="9525" b="0"/>
            <wp:docPr id="140"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59"/>
                    <a:srcRect/>
                    <a:stretch>
                      <a:fillRect/>
                    </a:stretch>
                  </pic:blipFill>
                  <pic:spPr bwMode="auto">
                    <a:xfrm>
                      <a:off x="0" y="0"/>
                      <a:ext cx="4124325" cy="27336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34" type="#_x0000_t202" style="position:absolute;left:0;text-align:left;margin-left:4.5pt;margin-top:9.3pt;width:7in;height:81pt;z-index:251768832" stroked="f">
            <v:textbox style="mso-next-textbox:#_x0000_s1134">
              <w:txbxContent>
                <w:p w:rsidR="0021764E" w:rsidRPr="009814D0" w:rsidRDefault="0021764E" w:rsidP="0021764E">
                  <w:pPr>
                    <w:autoSpaceDE w:val="0"/>
                    <w:autoSpaceDN w:val="0"/>
                    <w:adjustRightInd w:val="0"/>
                    <w:spacing w:after="0" w:line="360" w:lineRule="auto"/>
                    <w:jc w:val="right"/>
                    <w:rPr>
                      <w:rFonts w:ascii="Times New Roman" w:hAnsi="Times New Roman"/>
                      <w:sz w:val="28"/>
                      <w:szCs w:val="28"/>
                    </w:rPr>
                  </w:pPr>
                  <w:r>
                    <w:rPr>
                      <w:rFonts w:ascii="Times New Roman" w:hAnsi="Times New Roman"/>
                      <w:sz w:val="28"/>
                      <w:szCs w:val="28"/>
                    </w:rPr>
                    <w:t>Рис. 6.3. Стінка гострої ПК</w:t>
                  </w:r>
                  <w:r w:rsidRPr="009814D0">
                    <w:rPr>
                      <w:rFonts w:ascii="Times New Roman" w:hAnsi="Times New Roman"/>
                      <w:sz w:val="28"/>
                      <w:szCs w:val="28"/>
                    </w:rPr>
                    <w:t xml:space="preserve"> з фібриноїдним некрозом строми</w:t>
                  </w:r>
                  <w:r w:rsidRPr="00B23BCD">
                    <w:rPr>
                      <w:rFonts w:ascii="Times New Roman" w:hAnsi="Times New Roman"/>
                      <w:sz w:val="28"/>
                      <w:szCs w:val="28"/>
                    </w:rPr>
                    <w:t xml:space="preserve"> (1)</w:t>
                  </w:r>
                  <w:r w:rsidRPr="009814D0">
                    <w:rPr>
                      <w:rFonts w:ascii="Times New Roman" w:hAnsi="Times New Roman"/>
                      <w:sz w:val="28"/>
                      <w:szCs w:val="28"/>
                    </w:rPr>
                    <w:t>, запальною інфільтрацією</w:t>
                  </w:r>
                  <w:r>
                    <w:rPr>
                      <w:rFonts w:ascii="Times New Roman" w:hAnsi="Times New Roman"/>
                      <w:sz w:val="28"/>
                      <w:szCs w:val="28"/>
                    </w:rPr>
                    <w:t xml:space="preserve"> (2)</w:t>
                  </w:r>
                  <w:r w:rsidRPr="009814D0">
                    <w:rPr>
                      <w:rFonts w:ascii="Times New Roman" w:hAnsi="Times New Roman"/>
                      <w:sz w:val="28"/>
                      <w:szCs w:val="28"/>
                    </w:rPr>
                    <w:t>, вогни</w:t>
                  </w:r>
                  <w:r>
                    <w:rPr>
                      <w:rFonts w:ascii="Times New Roman" w:hAnsi="Times New Roman"/>
                      <w:sz w:val="28"/>
                      <w:szCs w:val="28"/>
                    </w:rPr>
                    <w:t>щами геморагічного просочування (3) та</w:t>
                  </w:r>
                  <w:r w:rsidRPr="009814D0">
                    <w:rPr>
                      <w:rFonts w:ascii="Times New Roman" w:hAnsi="Times New Roman"/>
                      <w:sz w:val="28"/>
                      <w:szCs w:val="28"/>
                    </w:rPr>
                    <w:t xml:space="preserve"> фокусами стеатонекрозу. Забарвлення </w:t>
                  </w:r>
                  <w:r>
                    <w:rPr>
                      <w:rFonts w:ascii="Times New Roman" w:hAnsi="Times New Roman"/>
                      <w:sz w:val="28"/>
                      <w:szCs w:val="28"/>
                    </w:rPr>
                    <w:t>гематоксиліном та еозином, х100</w:t>
                  </w:r>
                </w:p>
                <w:p w:rsidR="0021764E" w:rsidRDefault="0021764E" w:rsidP="0021764E">
                  <w:pPr>
                    <w:jc w:val="center"/>
                  </w:pPr>
                </w:p>
              </w:txbxContent>
            </v:textbox>
          </v:shape>
        </w:pict>
      </w: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43" type="#_x0000_t202" style="position:absolute;left:0;text-align:left;margin-left:373.8pt;margin-top:159pt;width:21.75pt;height:20.05pt;z-index:251778048" filled="f" stroked="f">
            <v:textbox style="mso-next-textbox:#_x0000_s1143">
              <w:txbxContent>
                <w:p w:rsidR="0021764E" w:rsidRPr="00B23BCD" w:rsidRDefault="0021764E" w:rsidP="0021764E">
                  <w:pPr>
                    <w:rPr>
                      <w:rFonts w:ascii="Times New Roman" w:hAnsi="Times New Roman"/>
                      <w:b/>
                      <w:sz w:val="28"/>
                      <w:szCs w:val="28"/>
                    </w:rPr>
                  </w:pPr>
                  <w:r>
                    <w:rPr>
                      <w:rFonts w:ascii="Times New Roman" w:hAnsi="Times New Roman"/>
                      <w:b/>
                      <w:sz w:val="28"/>
                      <w:szCs w:val="28"/>
                    </w:rPr>
                    <w:t>2</w:t>
                  </w:r>
                </w:p>
              </w:txbxContent>
            </v:textbox>
          </v:shape>
        </w:pict>
      </w:r>
      <w:r w:rsidRPr="00C62D22">
        <w:rPr>
          <w:rFonts w:ascii="Times New Roman" w:hAnsi="Times New Roman" w:cs="Times New Roman"/>
          <w:noProof/>
          <w:sz w:val="28"/>
          <w:szCs w:val="28"/>
        </w:rPr>
        <w:pict>
          <v:shape id="_x0000_s1142" type="#_x0000_t202" style="position:absolute;left:0;text-align:left;margin-left:373.8pt;margin-top:71.25pt;width:21.75pt;height:24pt;z-index:251777024" filled="f" stroked="f">
            <v:textbox style="mso-next-textbox:#_x0000_s1142">
              <w:txbxContent>
                <w:p w:rsidR="0021764E" w:rsidRPr="00B23BCD" w:rsidRDefault="0021764E" w:rsidP="0021764E">
                  <w:pPr>
                    <w:rPr>
                      <w:rFonts w:ascii="Times New Roman" w:hAnsi="Times New Roman"/>
                      <w:b/>
                      <w:sz w:val="28"/>
                      <w:szCs w:val="28"/>
                    </w:rPr>
                  </w:pPr>
                  <w:r w:rsidRPr="00B23BCD">
                    <w:rPr>
                      <w:rFonts w:ascii="Times New Roman" w:hAnsi="Times New Roman"/>
                      <w:b/>
                      <w:sz w:val="28"/>
                      <w:szCs w:val="28"/>
                    </w:rPr>
                    <w:t>3</w:t>
                  </w:r>
                </w:p>
              </w:txbxContent>
            </v:textbox>
          </v:shape>
        </w:pict>
      </w:r>
      <w:r w:rsidRPr="00C62D22">
        <w:rPr>
          <w:rFonts w:ascii="Times New Roman" w:hAnsi="Times New Roman" w:cs="Times New Roman"/>
          <w:noProof/>
          <w:sz w:val="28"/>
          <w:szCs w:val="28"/>
        </w:rPr>
        <w:pict>
          <v:shape id="_x0000_s1141" type="#_x0000_t202" style="position:absolute;left:0;text-align:left;margin-left:264.3pt;margin-top:84pt;width:21.75pt;height:23.25pt;z-index:251776000" filled="f" stroked="f">
            <v:textbox style="mso-next-textbox:#_x0000_s1141">
              <w:txbxContent>
                <w:p w:rsidR="0021764E" w:rsidRPr="00B23BCD" w:rsidRDefault="0021764E" w:rsidP="0021764E">
                  <w:pPr>
                    <w:rPr>
                      <w:rFonts w:ascii="Times New Roman" w:hAnsi="Times New Roman"/>
                      <w:b/>
                      <w:sz w:val="28"/>
                      <w:szCs w:val="28"/>
                    </w:rPr>
                  </w:pPr>
                  <w:r w:rsidRPr="00B23BCD">
                    <w:rPr>
                      <w:rFonts w:ascii="Times New Roman" w:hAnsi="Times New Roman"/>
                      <w:b/>
                      <w:sz w:val="28"/>
                      <w:szCs w:val="28"/>
                    </w:rPr>
                    <w:t>1</w:t>
                  </w:r>
                </w:p>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24325" cy="2733675"/>
            <wp:effectExtent l="19050" t="0" r="9525" b="0"/>
            <wp:docPr id="141" name="Рисунок 9" descr="8пж хр с нагн-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8пж хр с нагн-100"/>
                    <pic:cNvPicPr>
                      <a:picLocks noChangeAspect="1" noChangeArrowheads="1"/>
                    </pic:cNvPicPr>
                  </pic:nvPicPr>
                  <pic:blipFill>
                    <a:blip r:embed="rId60"/>
                    <a:srcRect/>
                    <a:stretch>
                      <a:fillRect/>
                    </a:stretch>
                  </pic:blipFill>
                  <pic:spPr bwMode="auto">
                    <a:xfrm>
                      <a:off x="0" y="0"/>
                      <a:ext cx="4124325" cy="27336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12" type="#_x0000_t202" style="position:absolute;left:0;text-align:left;margin-left:0;margin-top:9.15pt;width:7in;height:81pt;z-index:251746304" stroked="f">
            <v:textbox style="mso-next-textbox:#_x0000_s1112">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w:t>
                  </w:r>
                  <w:r w:rsidRPr="009814D0">
                    <w:rPr>
                      <w:rFonts w:ascii="Times New Roman" w:hAnsi="Times New Roman"/>
                      <w:sz w:val="28"/>
                      <w:szCs w:val="28"/>
                    </w:rPr>
                    <w:t>4. Інфікована гостра</w:t>
                  </w:r>
                  <w:r>
                    <w:rPr>
                      <w:rFonts w:ascii="Times New Roman" w:hAnsi="Times New Roman"/>
                      <w:sz w:val="28"/>
                      <w:szCs w:val="28"/>
                    </w:rPr>
                    <w:t xml:space="preserve"> ПК ПЗ</w:t>
                  </w:r>
                  <w:r w:rsidRPr="009814D0">
                    <w:rPr>
                      <w:rFonts w:ascii="Times New Roman" w:hAnsi="Times New Roman"/>
                      <w:sz w:val="28"/>
                      <w:szCs w:val="28"/>
                    </w:rPr>
                    <w:t xml:space="preserve"> </w:t>
                  </w:r>
                  <w:r>
                    <w:rPr>
                      <w:rFonts w:ascii="Times New Roman" w:hAnsi="Times New Roman"/>
                      <w:sz w:val="28"/>
                      <w:szCs w:val="28"/>
                    </w:rPr>
                    <w:t>і</w:t>
                  </w:r>
                  <w:r w:rsidRPr="009814D0">
                    <w:rPr>
                      <w:rFonts w:ascii="Times New Roman" w:hAnsi="Times New Roman"/>
                      <w:sz w:val="28"/>
                      <w:szCs w:val="28"/>
                    </w:rPr>
                    <w:t>з тотальним некрозом стінки міжчасточкової артерії</w:t>
                  </w:r>
                  <w:r>
                    <w:rPr>
                      <w:rFonts w:ascii="Times New Roman" w:hAnsi="Times New Roman"/>
                      <w:sz w:val="28"/>
                      <w:szCs w:val="28"/>
                    </w:rPr>
                    <w:t xml:space="preserve"> (1)</w:t>
                  </w:r>
                  <w:r w:rsidRPr="009814D0">
                    <w:rPr>
                      <w:rFonts w:ascii="Times New Roman" w:hAnsi="Times New Roman"/>
                      <w:sz w:val="28"/>
                      <w:szCs w:val="28"/>
                    </w:rPr>
                    <w:t>. Виражений набряк</w:t>
                  </w:r>
                  <w:r>
                    <w:rPr>
                      <w:rFonts w:ascii="Times New Roman" w:hAnsi="Times New Roman"/>
                      <w:sz w:val="28"/>
                      <w:szCs w:val="28"/>
                    </w:rPr>
                    <w:t xml:space="preserve"> (2)</w:t>
                  </w:r>
                  <w:r w:rsidRPr="009814D0">
                    <w:rPr>
                      <w:rFonts w:ascii="Times New Roman" w:hAnsi="Times New Roman"/>
                      <w:sz w:val="28"/>
                      <w:szCs w:val="28"/>
                    </w:rPr>
                    <w:t xml:space="preserve"> і дифузна лейкоцитарна</w:t>
                  </w:r>
                  <w:r>
                    <w:rPr>
                      <w:rFonts w:ascii="Times New Roman" w:hAnsi="Times New Roman"/>
                      <w:sz w:val="28"/>
                      <w:szCs w:val="28"/>
                    </w:rPr>
                    <w:t xml:space="preserve"> інфільтрація стінки ПК (3)</w:t>
                  </w:r>
                  <w:r w:rsidRPr="009814D0">
                    <w:rPr>
                      <w:rFonts w:ascii="Times New Roman" w:hAnsi="Times New Roman"/>
                      <w:sz w:val="28"/>
                      <w:szCs w:val="28"/>
                    </w:rPr>
                    <w:t>. Забарвлення п</w:t>
                  </w:r>
                  <w:r>
                    <w:rPr>
                      <w:rFonts w:ascii="Times New Roman" w:hAnsi="Times New Roman"/>
                      <w:sz w:val="28"/>
                      <w:szCs w:val="28"/>
                    </w:rPr>
                    <w:t>ікрофуксином за Ван Гізоном. х100</w:t>
                  </w:r>
                </w:p>
                <w:p w:rsidR="0021764E" w:rsidRDefault="0021764E" w:rsidP="0021764E">
                  <w:pPr>
                    <w:ind w:firstLine="540"/>
                    <w:jc w:val="both"/>
                  </w:pPr>
                </w:p>
              </w:txbxContent>
            </v:textbox>
          </v:shape>
        </w:pict>
      </w:r>
    </w:p>
    <w:p w:rsidR="0021764E" w:rsidRPr="00C62D22" w:rsidRDefault="0021764E" w:rsidP="0021764E">
      <w:pPr>
        <w:autoSpaceDE w:val="0"/>
        <w:autoSpaceDN w:val="0"/>
        <w:adjustRightInd w:val="0"/>
        <w:spacing w:after="0" w:line="240" w:lineRule="auto"/>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Рисунок будови ацинусів у вогнищах некрозу був порушений за рахунок дискомплексації ациноцитів, відсутності візуалізації їх меж, спадання просвіту центроацинозних проток. Ядра ациноцитів були пікнотичні або не визначалися. Реакція Фельгена-Россенбека в ядрах і Браше в цитоплазмі були негативні. При ШИК-реакції базальна мембрана епітелію була нерівномірно виражена. У вогнищах ацинарних некрозів і в прикордонних з ними зонах в судинах мікроциркуляторного русла відзначалися ознаки дилатації, повнокров'я, адгезії і агрегації тромбоцитів, еритроцитів, еритростаз з різним ступенем гемолізу. Ендотеліоцити й періоцити капілярів були з глибокими дистрофічними, некробіотичними змінами, осередковою десквамацією ендотелію, плазматичним просяканням і вогнищевим фібриноїдним некрозом стінки судин із проникненням еритроцитів у міжацинарний інтерстицій, у цитоплазму дистрофічно й некротично змінених панкреоцитів.</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Вогнища ацинарного некрозу були оточені зоною демаркаційного запалення, що представлена переважно поліморфноядерними лейкоцитами, макрофагами, нечисленними лімфоцитами, фібробластами, поодинокими базофілами та плазматичними клітинами (рис. 6.5) [122].</w:t>
      </w:r>
    </w:p>
    <w:p w:rsidR="0021764E" w:rsidRPr="00C62D22" w:rsidRDefault="0021764E" w:rsidP="0021764E">
      <w:pPr>
        <w:autoSpaceDE w:val="0"/>
        <w:autoSpaceDN w:val="0"/>
        <w:adjustRightInd w:val="0"/>
        <w:spacing w:after="0" w:line="360" w:lineRule="auto"/>
        <w:ind w:firstLine="540"/>
        <w:jc w:val="both"/>
        <w:rPr>
          <w:rFonts w:ascii="Times New Roman" w:hAnsi="Times New Roman" w:cs="Times New Roman"/>
          <w:color w:val="000000"/>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45" type="#_x0000_t202" style="position:absolute;left:0;text-align:left;margin-left:163.8pt;margin-top:55.1pt;width:21.75pt;height:23.25pt;z-index:251780096" filled="f" stroked="f">
            <v:textbox style="mso-next-textbox:#_x0000_s1145">
              <w:txbxContent>
                <w:p w:rsidR="0021764E" w:rsidRPr="00B23BCD" w:rsidRDefault="0021764E" w:rsidP="0021764E">
                  <w:pPr>
                    <w:rPr>
                      <w:rFonts w:ascii="Times New Roman" w:hAnsi="Times New Roman"/>
                      <w:b/>
                      <w:sz w:val="28"/>
                      <w:szCs w:val="28"/>
                    </w:rPr>
                  </w:pPr>
                  <w:r>
                    <w:rPr>
                      <w:rFonts w:ascii="Times New Roman" w:hAnsi="Times New Roman"/>
                      <w:b/>
                      <w:sz w:val="28"/>
                      <w:szCs w:val="28"/>
                    </w:rPr>
                    <w:t>2</w:t>
                  </w:r>
                </w:p>
              </w:txbxContent>
            </v:textbox>
          </v:shape>
        </w:pict>
      </w:r>
      <w:r w:rsidRPr="00C62D22">
        <w:rPr>
          <w:rFonts w:ascii="Times New Roman" w:hAnsi="Times New Roman" w:cs="Times New Roman"/>
          <w:noProof/>
          <w:sz w:val="28"/>
          <w:szCs w:val="28"/>
        </w:rPr>
        <w:pict>
          <v:shape id="_x0000_s1144" type="#_x0000_t202" style="position:absolute;left:0;text-align:left;margin-left:250.8pt;margin-top:94.85pt;width:21.75pt;height:23.25pt;z-index:251779072" filled="f" stroked="f">
            <v:textbox style="mso-next-textbox:#_x0000_s1144">
              <w:txbxContent>
                <w:p w:rsidR="0021764E" w:rsidRPr="00B23BCD" w:rsidRDefault="0021764E" w:rsidP="0021764E">
                  <w:pPr>
                    <w:rPr>
                      <w:rFonts w:ascii="Times New Roman" w:hAnsi="Times New Roman"/>
                      <w:b/>
                      <w:sz w:val="28"/>
                      <w:szCs w:val="28"/>
                    </w:rPr>
                  </w:pPr>
                  <w:r w:rsidRPr="00B23BCD">
                    <w:rPr>
                      <w:rFonts w:ascii="Times New Roman" w:hAnsi="Times New Roman"/>
                      <w:b/>
                      <w:sz w:val="28"/>
                      <w:szCs w:val="28"/>
                    </w:rPr>
                    <w:t>1</w:t>
                  </w:r>
                </w:p>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52900" cy="2667000"/>
            <wp:effectExtent l="19050" t="0" r="0" b="0"/>
            <wp:docPr id="142" name="Рисунок 4" descr="3пж1 некроз ацинуса-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3пж1 некроз ацинуса-100"/>
                    <pic:cNvPicPr>
                      <a:picLocks noChangeAspect="1" noChangeArrowheads="1"/>
                    </pic:cNvPicPr>
                  </pic:nvPicPr>
                  <pic:blipFill>
                    <a:blip r:embed="rId61" cstate="print"/>
                    <a:srcRect/>
                    <a:stretch>
                      <a:fillRect/>
                    </a:stretch>
                  </pic:blipFill>
                  <pic:spPr bwMode="auto">
                    <a:xfrm>
                      <a:off x="0" y="0"/>
                      <a:ext cx="4152900" cy="26670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13" type="#_x0000_t202" style="position:absolute;left:0;text-align:left;margin-left:9pt;margin-top:10.55pt;width:495pt;height:54pt;z-index:251747328" stroked="f">
            <v:textbox style="mso-next-textbox:#_x0000_s1113">
              <w:txbxContent>
                <w:p w:rsidR="0021764E" w:rsidRPr="009814D0" w:rsidRDefault="0021764E" w:rsidP="0021764E">
                  <w:pPr>
                    <w:spacing w:after="0" w:line="360" w:lineRule="auto"/>
                    <w:ind w:left="-142"/>
                    <w:contextualSpacing/>
                    <w:jc w:val="right"/>
                    <w:rPr>
                      <w:rFonts w:ascii="Times New Roman" w:hAnsi="Times New Roman"/>
                      <w:sz w:val="28"/>
                      <w:szCs w:val="28"/>
                    </w:rPr>
                  </w:pPr>
                  <w:r>
                    <w:rPr>
                      <w:rFonts w:ascii="Times New Roman" w:hAnsi="Times New Roman"/>
                      <w:sz w:val="28"/>
                      <w:szCs w:val="28"/>
                    </w:rPr>
                    <w:t>Рис. 6.</w:t>
                  </w:r>
                  <w:r w:rsidRPr="009814D0">
                    <w:rPr>
                      <w:rFonts w:ascii="Times New Roman" w:hAnsi="Times New Roman"/>
                      <w:sz w:val="28"/>
                      <w:szCs w:val="28"/>
                    </w:rPr>
                    <w:t>5. Осередок ацинарного некро</w:t>
                  </w:r>
                  <w:r>
                    <w:rPr>
                      <w:rFonts w:ascii="Times New Roman" w:hAnsi="Times New Roman"/>
                      <w:sz w:val="28"/>
                      <w:szCs w:val="28"/>
                    </w:rPr>
                    <w:t>зу ПЗ</w:t>
                  </w:r>
                  <w:r w:rsidRPr="009814D0">
                    <w:rPr>
                      <w:rFonts w:ascii="Times New Roman" w:hAnsi="Times New Roman"/>
                      <w:sz w:val="28"/>
                      <w:szCs w:val="28"/>
                    </w:rPr>
                    <w:t xml:space="preserve"> </w:t>
                  </w:r>
                  <w:r>
                    <w:rPr>
                      <w:rFonts w:ascii="Times New Roman" w:hAnsi="Times New Roman"/>
                      <w:sz w:val="28"/>
                      <w:szCs w:val="28"/>
                    </w:rPr>
                    <w:t>(1) і</w:t>
                  </w:r>
                  <w:r w:rsidRPr="009814D0">
                    <w:rPr>
                      <w:rFonts w:ascii="Times New Roman" w:hAnsi="Times New Roman"/>
                      <w:sz w:val="28"/>
                      <w:szCs w:val="28"/>
                    </w:rPr>
                    <w:t>з перифокальною зоною демаркаційного запалення</w:t>
                  </w:r>
                  <w:r>
                    <w:rPr>
                      <w:rFonts w:ascii="Times New Roman" w:hAnsi="Times New Roman"/>
                      <w:sz w:val="28"/>
                      <w:szCs w:val="28"/>
                    </w:rPr>
                    <w:t xml:space="preserve"> (2)</w:t>
                  </w:r>
                  <w:r w:rsidRPr="009814D0">
                    <w:rPr>
                      <w:rFonts w:ascii="Times New Roman" w:hAnsi="Times New Roman"/>
                      <w:sz w:val="28"/>
                      <w:szCs w:val="28"/>
                    </w:rPr>
                    <w:t xml:space="preserve">. Забарвлення </w:t>
                  </w:r>
                  <w:r>
                    <w:rPr>
                      <w:rFonts w:ascii="Times New Roman" w:hAnsi="Times New Roman"/>
                      <w:sz w:val="28"/>
                      <w:szCs w:val="28"/>
                    </w:rPr>
                    <w:t>гематоксиліном та еозином, х100</w:t>
                  </w:r>
                </w:p>
                <w:p w:rsidR="0021764E" w:rsidRDefault="0021764E" w:rsidP="0021764E"/>
              </w:txbxContent>
            </v:textbox>
          </v:shape>
        </w:pic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Імуногістохімічне дослідження інтерстиціального компоненту ПЗ виявило переважання CD18 (44±4,0%); CD3 (15±2,0%), CD20 (20±3,0%) та CD16 (21±3,0%) були представлені слабше (табл. 6.1). У стінці ПК, по периферії зон некрозу, зустрічалися дрібні острівці грануляційної тканини, що представлена новоутвореними судинами зі слабо ШИК-позитивною базальною мембраною. У складі грануляційної тканини виявлялося слабке, місцями помірної інтенсивності світіння колагену ІІІ типу. Колаген І типу не визначався. У складі базальних мембран судин відзначалося слабке рівномірне світіння колагену ІV типу (табл. 6.2) [180]. </w:t>
      </w: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jc w:val="right"/>
        <w:rPr>
          <w:rFonts w:ascii="Times New Roman" w:hAnsi="Times New Roman" w:cs="Times New Roman"/>
          <w:bCs/>
          <w:i/>
          <w:sz w:val="28"/>
          <w:szCs w:val="28"/>
        </w:rPr>
      </w:pPr>
      <w:r w:rsidRPr="00C62D22">
        <w:rPr>
          <w:rFonts w:ascii="Times New Roman" w:hAnsi="Times New Roman" w:cs="Times New Roman"/>
          <w:bCs/>
          <w:i/>
          <w:sz w:val="28"/>
          <w:szCs w:val="28"/>
        </w:rPr>
        <w:t>Таблиця 6.2</w:t>
      </w:r>
    </w:p>
    <w:p w:rsidR="0021764E" w:rsidRPr="00C62D22" w:rsidRDefault="0021764E" w:rsidP="0021764E">
      <w:pPr>
        <w:spacing w:after="0" w:line="360" w:lineRule="auto"/>
        <w:jc w:val="center"/>
        <w:rPr>
          <w:rFonts w:ascii="Times New Roman" w:hAnsi="Times New Roman" w:cs="Times New Roman"/>
          <w:b/>
          <w:bCs/>
          <w:sz w:val="28"/>
          <w:szCs w:val="28"/>
        </w:rPr>
      </w:pPr>
      <w:r w:rsidRPr="00C62D22">
        <w:rPr>
          <w:rFonts w:ascii="Times New Roman" w:hAnsi="Times New Roman" w:cs="Times New Roman"/>
          <w:b/>
          <w:bCs/>
          <w:sz w:val="28"/>
          <w:szCs w:val="28"/>
        </w:rPr>
        <w:t>Оптична щільність імунофлюоресценції колагенів у стінках ПК ПЗ різних типів (ум. од. опт. щільн.)</w:t>
      </w:r>
    </w:p>
    <w:tbl>
      <w:tblPr>
        <w:tblW w:w="99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496"/>
        <w:gridCol w:w="2160"/>
        <w:gridCol w:w="2160"/>
        <w:gridCol w:w="2160"/>
        <w:gridCol w:w="1924"/>
      </w:tblGrid>
      <w:tr w:rsidR="0021764E" w:rsidRPr="00C62D22" w:rsidTr="006E5FD4">
        <w:trPr>
          <w:trHeight w:val="1516"/>
        </w:trPr>
        <w:tc>
          <w:tcPr>
            <w:tcW w:w="1496"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Типи ПК ПЗ</w:t>
            </w:r>
          </w:p>
        </w:tc>
        <w:tc>
          <w:tcPr>
            <w:tcW w:w="216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Колаген I типу</w:t>
            </w:r>
          </w:p>
        </w:tc>
        <w:tc>
          <w:tcPr>
            <w:tcW w:w="216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Колаген III типу</w:t>
            </w:r>
          </w:p>
          <w:p w:rsidR="0021764E" w:rsidRPr="00C62D22" w:rsidRDefault="0021764E" w:rsidP="006E5FD4">
            <w:pPr>
              <w:spacing w:after="0" w:line="360" w:lineRule="auto"/>
              <w:rPr>
                <w:rFonts w:ascii="Times New Roman" w:hAnsi="Times New Roman" w:cs="Times New Roman"/>
                <w:sz w:val="28"/>
                <w:szCs w:val="28"/>
              </w:rPr>
            </w:pPr>
          </w:p>
        </w:tc>
        <w:tc>
          <w:tcPr>
            <w:tcW w:w="216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Колаген IV типу у судинах</w:t>
            </w:r>
          </w:p>
        </w:tc>
        <w:tc>
          <w:tcPr>
            <w:tcW w:w="1924"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Ендотелін-1</w:t>
            </w:r>
          </w:p>
        </w:tc>
      </w:tr>
      <w:tr w:rsidR="0021764E" w:rsidRPr="00C62D22" w:rsidTr="006E5FD4">
        <w:tc>
          <w:tcPr>
            <w:tcW w:w="1496" w:type="dxa"/>
            <w:vAlign w:val="center"/>
          </w:tcPr>
          <w:p w:rsidR="0021764E" w:rsidRPr="00C62D22" w:rsidRDefault="0021764E" w:rsidP="006E5FD4">
            <w:pPr>
              <w:spacing w:after="0" w:line="360" w:lineRule="auto"/>
              <w:rPr>
                <w:rFonts w:ascii="Times New Roman" w:hAnsi="Times New Roman" w:cs="Times New Roman"/>
                <w:sz w:val="28"/>
                <w:szCs w:val="28"/>
              </w:rPr>
            </w:pPr>
            <w:r w:rsidRPr="00C62D22">
              <w:rPr>
                <w:rFonts w:ascii="Times New Roman" w:hAnsi="Times New Roman" w:cs="Times New Roman"/>
                <w:sz w:val="28"/>
                <w:szCs w:val="28"/>
              </w:rPr>
              <w:t xml:space="preserve">Тип І </w:t>
            </w:r>
          </w:p>
        </w:tc>
        <w:tc>
          <w:tcPr>
            <w:tcW w:w="216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0,024±0,044</w:t>
            </w:r>
          </w:p>
        </w:tc>
        <w:tc>
          <w:tcPr>
            <w:tcW w:w="216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0,419±0,055</w:t>
            </w:r>
          </w:p>
        </w:tc>
        <w:tc>
          <w:tcPr>
            <w:tcW w:w="216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0,099±0,027</w:t>
            </w:r>
          </w:p>
        </w:tc>
        <w:tc>
          <w:tcPr>
            <w:tcW w:w="1924"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0,056±0,012</w:t>
            </w:r>
          </w:p>
        </w:tc>
      </w:tr>
      <w:tr w:rsidR="0021764E" w:rsidRPr="00C62D22" w:rsidTr="006E5FD4">
        <w:trPr>
          <w:trHeight w:val="392"/>
        </w:trPr>
        <w:tc>
          <w:tcPr>
            <w:tcW w:w="1496" w:type="dxa"/>
            <w:vAlign w:val="center"/>
          </w:tcPr>
          <w:p w:rsidR="0021764E" w:rsidRPr="00C62D22" w:rsidRDefault="0021764E" w:rsidP="006E5FD4">
            <w:pPr>
              <w:spacing w:after="0" w:line="360" w:lineRule="auto"/>
              <w:rPr>
                <w:rFonts w:ascii="Times New Roman" w:hAnsi="Times New Roman" w:cs="Times New Roman"/>
                <w:sz w:val="28"/>
                <w:szCs w:val="28"/>
              </w:rPr>
            </w:pPr>
            <w:r w:rsidRPr="00C62D22">
              <w:rPr>
                <w:rFonts w:ascii="Times New Roman" w:hAnsi="Times New Roman" w:cs="Times New Roman"/>
                <w:sz w:val="28"/>
                <w:szCs w:val="28"/>
              </w:rPr>
              <w:t>Тип ІІ</w:t>
            </w:r>
          </w:p>
        </w:tc>
        <w:tc>
          <w:tcPr>
            <w:tcW w:w="216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0,267±0,066*</w:t>
            </w:r>
          </w:p>
        </w:tc>
        <w:tc>
          <w:tcPr>
            <w:tcW w:w="216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0,503±0,0076*</w:t>
            </w:r>
          </w:p>
        </w:tc>
        <w:tc>
          <w:tcPr>
            <w:tcW w:w="216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0,124±0,026*</w:t>
            </w:r>
          </w:p>
        </w:tc>
        <w:tc>
          <w:tcPr>
            <w:tcW w:w="1924"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0,084±0,018*</w:t>
            </w:r>
          </w:p>
        </w:tc>
      </w:tr>
      <w:tr w:rsidR="0021764E" w:rsidRPr="00C62D22" w:rsidTr="006E5FD4">
        <w:trPr>
          <w:trHeight w:val="510"/>
        </w:trPr>
        <w:tc>
          <w:tcPr>
            <w:tcW w:w="1496" w:type="dxa"/>
            <w:vAlign w:val="center"/>
          </w:tcPr>
          <w:p w:rsidR="0021764E" w:rsidRPr="00C62D22" w:rsidRDefault="0021764E" w:rsidP="006E5FD4">
            <w:pPr>
              <w:spacing w:after="0" w:line="360" w:lineRule="auto"/>
              <w:rPr>
                <w:rFonts w:ascii="Times New Roman" w:hAnsi="Times New Roman" w:cs="Times New Roman"/>
                <w:sz w:val="28"/>
                <w:szCs w:val="28"/>
              </w:rPr>
            </w:pPr>
            <w:r w:rsidRPr="00C62D22">
              <w:rPr>
                <w:rFonts w:ascii="Times New Roman" w:hAnsi="Times New Roman" w:cs="Times New Roman"/>
                <w:sz w:val="28"/>
                <w:szCs w:val="28"/>
              </w:rPr>
              <w:t>Тип ІІІ</w:t>
            </w:r>
          </w:p>
        </w:tc>
        <w:tc>
          <w:tcPr>
            <w:tcW w:w="2160" w:type="dxa"/>
            <w:vAlign w:val="center"/>
          </w:tcPr>
          <w:p w:rsidR="0021764E" w:rsidRPr="00C62D22" w:rsidRDefault="0021764E" w:rsidP="006E5FD4">
            <w:pPr>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0,456±0,022**</w:t>
            </w:r>
          </w:p>
        </w:tc>
        <w:tc>
          <w:tcPr>
            <w:tcW w:w="216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0,281±0,044**</w:t>
            </w:r>
          </w:p>
        </w:tc>
        <w:tc>
          <w:tcPr>
            <w:tcW w:w="2160"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0,137±0,033**</w:t>
            </w:r>
          </w:p>
        </w:tc>
        <w:tc>
          <w:tcPr>
            <w:tcW w:w="1924" w:type="dxa"/>
            <w:vAlign w:val="center"/>
          </w:tcPr>
          <w:p w:rsidR="0021764E" w:rsidRPr="00C62D22" w:rsidRDefault="0021764E"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0,062±0,043**</w:t>
            </w:r>
          </w:p>
        </w:tc>
      </w:tr>
    </w:tbl>
    <w:p w:rsidR="0021764E" w:rsidRPr="00C62D22" w:rsidRDefault="0021764E" w:rsidP="0021764E">
      <w:pPr>
        <w:spacing w:after="0"/>
        <w:rPr>
          <w:rFonts w:ascii="Times New Roman" w:hAnsi="Times New Roman" w:cs="Times New Roman"/>
          <w:sz w:val="28"/>
          <w:szCs w:val="28"/>
        </w:rPr>
      </w:pPr>
    </w:p>
    <w:p w:rsidR="0021764E" w:rsidRPr="00C62D22" w:rsidRDefault="0021764E" w:rsidP="0021764E">
      <w:pPr>
        <w:pStyle w:val="23"/>
        <w:autoSpaceDE w:val="0"/>
        <w:autoSpaceDN w:val="0"/>
        <w:adjustRightInd w:val="0"/>
        <w:spacing w:line="360" w:lineRule="auto"/>
        <w:ind w:left="0" w:firstLine="708"/>
        <w:jc w:val="both"/>
        <w:rPr>
          <w:sz w:val="28"/>
          <w:szCs w:val="28"/>
          <w:lang w:val="uk-UA"/>
        </w:rPr>
      </w:pPr>
      <w:r w:rsidRPr="00C62D22">
        <w:rPr>
          <w:sz w:val="28"/>
          <w:szCs w:val="28"/>
          <w:lang w:val="uk-UA"/>
        </w:rPr>
        <w:t>Примітка.* – порівняно з І типом ПК (р</w:t>
      </w:r>
      <w:r w:rsidRPr="00C62D22">
        <w:rPr>
          <w:sz w:val="28"/>
          <w:szCs w:val="28"/>
          <w:lang w:val="uk-UA"/>
        </w:rPr>
        <w:sym w:font="Symbol" w:char="F03C"/>
      </w:r>
      <w:r w:rsidRPr="00C62D22">
        <w:rPr>
          <w:sz w:val="28"/>
          <w:szCs w:val="28"/>
          <w:lang w:val="uk-UA"/>
        </w:rPr>
        <w:t>0,05),**–  порівняно з ІІ типом ПК (р</w:t>
      </w:r>
      <w:r w:rsidRPr="00C62D22">
        <w:rPr>
          <w:sz w:val="28"/>
          <w:szCs w:val="28"/>
          <w:lang w:val="uk-UA"/>
        </w:rPr>
        <w:sym w:font="Symbol" w:char="F03C"/>
      </w:r>
      <w:r w:rsidRPr="00C62D22">
        <w:rPr>
          <w:sz w:val="28"/>
          <w:szCs w:val="28"/>
          <w:lang w:val="uk-UA"/>
        </w:rPr>
        <w:t>0,05).</w:t>
      </w: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Ендотеліоцити виступали в просвіт судини, ядро їх було набрякле, базофільне, з помірно вираженою реакцією на ДНП, цитоплазма була слабко базофільна з інтенсивною реакцією на РНП. </w:t>
      </w: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При імуногістохімічному дослідженні з МКА до ендотеліну-1 визначалося нерівномірної інтенсивності вогнищеве світіння (рис. 6.6) [180].</w:t>
      </w:r>
    </w:p>
    <w:p w:rsidR="0021764E" w:rsidRPr="00C62D22" w:rsidRDefault="0021764E" w:rsidP="0021764E">
      <w:pPr>
        <w:spacing w:after="0" w:line="360" w:lineRule="auto"/>
        <w:ind w:firstLine="567"/>
        <w:jc w:val="both"/>
        <w:rPr>
          <w:rFonts w:ascii="Times New Roman" w:hAnsi="Times New Roman" w:cs="Times New Roman"/>
          <w:sz w:val="28"/>
          <w:szCs w:val="28"/>
        </w:rPr>
      </w:pPr>
    </w:p>
    <w:p w:rsidR="0021764E" w:rsidRPr="00C62D22" w:rsidRDefault="0021764E" w:rsidP="0021764E">
      <w:pPr>
        <w:spacing w:after="0" w:line="360" w:lineRule="auto"/>
        <w:jc w:val="center"/>
        <w:rPr>
          <w:rFonts w:ascii="Times New Roman" w:hAnsi="Times New Roman" w:cs="Times New Roman"/>
          <w:sz w:val="28"/>
          <w:szCs w:val="28"/>
        </w:rPr>
      </w:pPr>
      <w:r w:rsidRPr="00C62D22">
        <w:rPr>
          <w:rFonts w:ascii="Times New Roman" w:hAnsi="Times New Roman" w:cs="Times New Roman"/>
          <w:noProof/>
          <w:sz w:val="28"/>
          <w:szCs w:val="28"/>
        </w:rPr>
        <w:lastRenderedPageBreak/>
        <w:pict>
          <v:shape id="_x0000_s1114" type="#_x0000_t202" style="position:absolute;left:0;text-align:left;margin-left:0;margin-top:192.6pt;width:509.55pt;height:72.75pt;z-index:251748352" stroked="f">
            <v:textbox style="mso-next-textbox:#_x0000_s1114">
              <w:txbxContent>
                <w:p w:rsidR="0021764E" w:rsidRDefault="0021764E" w:rsidP="0021764E">
                  <w:pPr>
                    <w:spacing w:after="0" w:line="360" w:lineRule="auto"/>
                    <w:jc w:val="right"/>
                    <w:rPr>
                      <w:rFonts w:ascii="Times New Roman" w:hAnsi="Times New Roman"/>
                      <w:sz w:val="28"/>
                      <w:szCs w:val="28"/>
                    </w:rPr>
                  </w:pPr>
                  <w:r>
                    <w:rPr>
                      <w:rFonts w:ascii="Times New Roman" w:hAnsi="Times New Roman"/>
                      <w:sz w:val="28"/>
                      <w:szCs w:val="28"/>
                    </w:rPr>
                    <w:t>Рис. 6.6. Не</w:t>
                  </w:r>
                  <w:r w:rsidRPr="009814D0">
                    <w:rPr>
                      <w:rFonts w:ascii="Times New Roman" w:hAnsi="Times New Roman"/>
                      <w:sz w:val="28"/>
                      <w:szCs w:val="28"/>
                    </w:rPr>
                    <w:t>чисельні ендотеліоцити, які експресують рецептори до ендетеліну-1 у судині</w:t>
                  </w:r>
                  <w:r>
                    <w:rPr>
                      <w:rFonts w:ascii="Times New Roman" w:hAnsi="Times New Roman"/>
                      <w:sz w:val="28"/>
                      <w:szCs w:val="28"/>
                    </w:rPr>
                    <w:t xml:space="preserve"> стінки ПК І типу (указано стрілкою)</w:t>
                  </w:r>
                  <w:r w:rsidRPr="009814D0">
                    <w:rPr>
                      <w:rFonts w:ascii="Times New Roman" w:hAnsi="Times New Roman"/>
                      <w:sz w:val="28"/>
                      <w:szCs w:val="28"/>
                    </w:rPr>
                    <w:t>. Прямий метод Кунса з МКА до ендотеліну-1, х 400</w:t>
                  </w:r>
                  <w:r>
                    <w:rPr>
                      <w:rFonts w:ascii="Times New Roman" w:hAnsi="Times New Roman"/>
                      <w:sz w:val="28"/>
                      <w:szCs w:val="28"/>
                    </w:rPr>
                    <w:t>.</w:t>
                  </w:r>
                </w:p>
                <w:p w:rsidR="0021764E" w:rsidRDefault="0021764E" w:rsidP="0021764E">
                  <w:pPr>
                    <w:ind w:firstLine="540"/>
                    <w:jc w:val="both"/>
                  </w:pPr>
                </w:p>
              </w:txbxContent>
            </v:textbox>
          </v:shape>
        </w:pict>
      </w:r>
      <w:r w:rsidRPr="00C62D22">
        <w:rPr>
          <w:rFonts w:ascii="Times New Roman" w:hAnsi="Times New Roman" w:cs="Times New Roman"/>
          <w:noProof/>
          <w:sz w:val="28"/>
          <w:szCs w:val="28"/>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1188" type="#_x0000_t68" style="position:absolute;left:0;text-align:left;margin-left:154.05pt;margin-top:50.1pt;width:16.5pt;height:50.25pt;z-index:251824128" fillcolor="#c0504d" strokecolor="#f2f2f2" strokeweight="3pt">
            <v:shadow on="t" type="perspective" color="#622423" opacity=".5" offset="1pt" offset2="-1pt"/>
            <v:textbox style="layout-flow:vertical-ideographic"/>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219575" cy="2428875"/>
            <wp:effectExtent l="19050" t="0" r="9525" b="0"/>
            <wp:docPr id="143" name="Рисунок 11" descr="1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1 35"/>
                    <pic:cNvPicPr>
                      <a:picLocks noChangeAspect="1" noChangeArrowheads="1"/>
                    </pic:cNvPicPr>
                  </pic:nvPicPr>
                  <pic:blipFill>
                    <a:blip r:embed="rId62"/>
                    <a:srcRect/>
                    <a:stretch>
                      <a:fillRect/>
                    </a:stretch>
                  </pic:blipFill>
                  <pic:spPr bwMode="auto">
                    <a:xfrm>
                      <a:off x="0" y="0"/>
                      <a:ext cx="4219575" cy="24288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39"/>
        <w:jc w:val="both"/>
        <w:rPr>
          <w:rFonts w:ascii="Times New Roman" w:hAnsi="Times New Roman" w:cs="Times New Roman"/>
          <w:sz w:val="28"/>
          <w:szCs w:val="28"/>
        </w:rPr>
      </w:pPr>
    </w:p>
    <w:p w:rsidR="0021764E" w:rsidRPr="00C62D22" w:rsidRDefault="0021764E" w:rsidP="0021764E">
      <w:pPr>
        <w:spacing w:after="0" w:line="360" w:lineRule="auto"/>
        <w:ind w:firstLine="539"/>
        <w:jc w:val="both"/>
        <w:rPr>
          <w:rFonts w:ascii="Times New Roman" w:hAnsi="Times New Roman" w:cs="Times New Roman"/>
          <w:sz w:val="28"/>
          <w:szCs w:val="28"/>
        </w:rPr>
      </w:pP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spacing w:after="0" w:line="360" w:lineRule="auto"/>
        <w:ind w:firstLine="539"/>
        <w:jc w:val="both"/>
        <w:rPr>
          <w:rFonts w:ascii="Times New Roman" w:hAnsi="Times New Roman" w:cs="Times New Roman"/>
          <w:sz w:val="28"/>
          <w:szCs w:val="28"/>
        </w:rPr>
      </w:pPr>
    </w:p>
    <w:p w:rsidR="0021764E" w:rsidRPr="00C62D22" w:rsidRDefault="0021764E" w:rsidP="0021764E">
      <w:pPr>
        <w:spacing w:after="0" w:line="360" w:lineRule="auto"/>
        <w:ind w:firstLine="539"/>
        <w:jc w:val="both"/>
        <w:rPr>
          <w:rFonts w:ascii="Times New Roman" w:hAnsi="Times New Roman" w:cs="Times New Roman"/>
          <w:sz w:val="28"/>
          <w:szCs w:val="28"/>
        </w:rPr>
      </w:pPr>
      <w:r w:rsidRPr="00C62D22">
        <w:rPr>
          <w:rFonts w:ascii="Times New Roman" w:hAnsi="Times New Roman" w:cs="Times New Roman"/>
          <w:sz w:val="28"/>
          <w:szCs w:val="28"/>
        </w:rPr>
        <w:t xml:space="preserve">Оптична щільність світіння ендотеліоцитів у препаратах, оброблених МКА до ендотеліну-1, наведена в табл. 6.2. та становила 0,056±0,012 </w:t>
      </w:r>
      <w:r w:rsidRPr="00C62D22">
        <w:rPr>
          <w:rFonts w:ascii="Times New Roman" w:hAnsi="Times New Roman" w:cs="Times New Roman"/>
          <w:bCs/>
          <w:sz w:val="28"/>
          <w:szCs w:val="28"/>
        </w:rPr>
        <w:t xml:space="preserve">ум. од. опт. щільн. </w:t>
      </w:r>
      <w:r w:rsidRPr="00C62D22">
        <w:rPr>
          <w:rFonts w:ascii="Times New Roman" w:hAnsi="Times New Roman" w:cs="Times New Roman"/>
          <w:sz w:val="28"/>
          <w:szCs w:val="28"/>
        </w:rPr>
        <w:t>Між судинами розташовувалися численні малодиференційовані клітини гематогенного ряду, фібробласти, у цитоплазмі яких відзначалася інтенсивно виражена реакція на РНП, окремі тонкі слабо фуксинофільні колагенові волокна (рис. 6.7) [122, 180].</w:t>
      </w:r>
    </w:p>
    <w:p w:rsidR="0021764E" w:rsidRPr="00C62D22" w:rsidRDefault="0021764E" w:rsidP="0021764E">
      <w:pPr>
        <w:spacing w:after="0" w:line="24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ind w:right="1179"/>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52900" cy="2657475"/>
            <wp:effectExtent l="19050" t="0" r="0" b="0"/>
            <wp:docPr id="144" name="Рисунок 1" descr="6-1пжостр-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6-1пжостр-400"/>
                    <pic:cNvPicPr>
                      <a:picLocks noChangeAspect="1" noChangeArrowheads="1"/>
                    </pic:cNvPicPr>
                  </pic:nvPicPr>
                  <pic:blipFill>
                    <a:blip r:embed="rId63"/>
                    <a:srcRect/>
                    <a:stretch>
                      <a:fillRect/>
                    </a:stretch>
                  </pic:blipFill>
                  <pic:spPr bwMode="auto">
                    <a:xfrm>
                      <a:off x="0" y="0"/>
                      <a:ext cx="4152900" cy="26574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15" type="#_x0000_t202" style="position:absolute;left:0;text-align:left;margin-left:4.05pt;margin-top:4.15pt;width:499.95pt;height:51.8pt;z-index:251749376" stroked="f">
            <v:textbox style="mso-next-textbox:#_x0000_s1115">
              <w:txbxContent>
                <w:p w:rsidR="0021764E" w:rsidRPr="009814D0" w:rsidRDefault="0021764E" w:rsidP="0021764E">
                  <w:pPr>
                    <w:spacing w:after="0" w:line="360" w:lineRule="auto"/>
                    <w:ind w:left="-142"/>
                    <w:contextualSpacing/>
                    <w:jc w:val="right"/>
                    <w:rPr>
                      <w:rFonts w:ascii="Times New Roman" w:hAnsi="Times New Roman"/>
                      <w:sz w:val="28"/>
                      <w:szCs w:val="28"/>
                    </w:rPr>
                  </w:pPr>
                  <w:r>
                    <w:rPr>
                      <w:rFonts w:ascii="Times New Roman" w:hAnsi="Times New Roman"/>
                      <w:sz w:val="28"/>
                      <w:szCs w:val="28"/>
                    </w:rPr>
                    <w:t>Рис. 6.</w:t>
                  </w:r>
                  <w:r w:rsidRPr="009814D0">
                    <w:rPr>
                      <w:rFonts w:ascii="Times New Roman" w:hAnsi="Times New Roman"/>
                      <w:sz w:val="28"/>
                      <w:szCs w:val="28"/>
                    </w:rPr>
                    <w:t>7. Острівець грануляційної тканини в стінці гострої постнекротичної</w:t>
                  </w:r>
                  <w:r>
                    <w:rPr>
                      <w:rFonts w:ascii="Times New Roman" w:hAnsi="Times New Roman"/>
                      <w:sz w:val="28"/>
                      <w:szCs w:val="28"/>
                    </w:rPr>
                    <w:t xml:space="preserve"> ПК ПЗ</w:t>
                  </w:r>
                  <w:r w:rsidRPr="009814D0">
                    <w:rPr>
                      <w:rFonts w:ascii="Times New Roman" w:hAnsi="Times New Roman"/>
                      <w:sz w:val="28"/>
                      <w:szCs w:val="28"/>
                    </w:rPr>
                    <w:t>. Забарвлення п</w:t>
                  </w:r>
                  <w:r>
                    <w:rPr>
                      <w:rFonts w:ascii="Times New Roman" w:hAnsi="Times New Roman"/>
                      <w:sz w:val="28"/>
                      <w:szCs w:val="28"/>
                    </w:rPr>
                    <w:t>ікрофуксином за Ван Гізоном, х400</w:t>
                  </w:r>
                </w:p>
                <w:p w:rsidR="0021764E" w:rsidRDefault="0021764E" w:rsidP="0021764E">
                  <w:pPr>
                    <w:ind w:left="-142"/>
                    <w:jc w:val="right"/>
                  </w:pPr>
                </w:p>
              </w:txbxContent>
            </v:textbox>
          </v:shape>
        </w:pict>
      </w: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spacing w:after="0" w:line="360" w:lineRule="auto"/>
        <w:ind w:firstLine="708"/>
        <w:jc w:val="both"/>
        <w:rPr>
          <w:rFonts w:ascii="Times New Roman" w:hAnsi="Times New Roman" w:cs="Times New Roman"/>
          <w:sz w:val="28"/>
          <w:szCs w:val="28"/>
        </w:rPr>
      </w:pPr>
    </w:p>
    <w:p w:rsidR="0021764E" w:rsidRPr="00C62D22" w:rsidRDefault="0021764E" w:rsidP="0021764E">
      <w:pPr>
        <w:spacing w:after="0" w:line="360" w:lineRule="auto"/>
        <w:ind w:firstLine="567"/>
        <w:jc w:val="both"/>
        <w:rPr>
          <w:rFonts w:ascii="Times New Roman" w:hAnsi="Times New Roman" w:cs="Times New Roman"/>
          <w:bCs/>
          <w:sz w:val="28"/>
          <w:szCs w:val="28"/>
        </w:rPr>
      </w:pPr>
      <w:r w:rsidRPr="00C62D22">
        <w:rPr>
          <w:rFonts w:ascii="Times New Roman" w:hAnsi="Times New Roman" w:cs="Times New Roman"/>
          <w:sz w:val="28"/>
          <w:szCs w:val="28"/>
        </w:rPr>
        <w:lastRenderedPageBreak/>
        <w:t xml:space="preserve">При імуногістохімічному дослідженні з МКА до </w:t>
      </w:r>
      <w:r w:rsidRPr="00C62D22">
        <w:rPr>
          <w:rFonts w:ascii="Times New Roman" w:hAnsi="Times New Roman" w:cs="Times New Roman"/>
          <w:bCs/>
          <w:sz w:val="28"/>
          <w:szCs w:val="28"/>
        </w:rPr>
        <w:t>HLА-DR-антигену виявлялися клітини, що експресують рецептори до вказаного антигену. Ці клітини знаходилися переважно в інтерстиціальному компоненті ПЗ у кількості 14,0±0,7 екз. у полі зору (табл. 6.3) [180].</w:t>
      </w:r>
    </w:p>
    <w:p w:rsidR="0021764E" w:rsidRPr="00C62D22" w:rsidRDefault="0021764E" w:rsidP="0021764E">
      <w:pPr>
        <w:spacing w:after="0" w:line="360" w:lineRule="auto"/>
        <w:ind w:firstLine="708"/>
        <w:jc w:val="both"/>
        <w:rPr>
          <w:rFonts w:ascii="Times New Roman" w:hAnsi="Times New Roman" w:cs="Times New Roman"/>
          <w:bCs/>
          <w:sz w:val="28"/>
          <w:szCs w:val="28"/>
        </w:rPr>
      </w:pPr>
    </w:p>
    <w:p w:rsidR="0021764E" w:rsidRPr="00C62D22" w:rsidRDefault="0021764E" w:rsidP="0021764E">
      <w:pPr>
        <w:spacing w:after="0" w:line="360" w:lineRule="auto"/>
        <w:ind w:firstLine="708"/>
        <w:jc w:val="right"/>
        <w:rPr>
          <w:rFonts w:ascii="Times New Roman" w:hAnsi="Times New Roman" w:cs="Times New Roman"/>
          <w:bCs/>
          <w:i/>
          <w:sz w:val="28"/>
          <w:szCs w:val="28"/>
        </w:rPr>
      </w:pPr>
      <w:r w:rsidRPr="00C62D22">
        <w:rPr>
          <w:rFonts w:ascii="Times New Roman" w:hAnsi="Times New Roman" w:cs="Times New Roman"/>
          <w:bCs/>
          <w:i/>
          <w:sz w:val="28"/>
          <w:szCs w:val="28"/>
        </w:rPr>
        <w:t>Таблиця 6.3</w:t>
      </w:r>
    </w:p>
    <w:p w:rsidR="0021764E" w:rsidRPr="00C62D22" w:rsidRDefault="0021764E" w:rsidP="0021764E">
      <w:pPr>
        <w:spacing w:after="0" w:line="360" w:lineRule="auto"/>
        <w:jc w:val="center"/>
        <w:rPr>
          <w:rFonts w:ascii="Times New Roman" w:hAnsi="Times New Roman" w:cs="Times New Roman"/>
          <w:b/>
          <w:bCs/>
          <w:sz w:val="28"/>
          <w:szCs w:val="28"/>
        </w:rPr>
      </w:pPr>
      <w:r w:rsidRPr="00C62D22">
        <w:rPr>
          <w:rFonts w:ascii="Times New Roman" w:hAnsi="Times New Roman" w:cs="Times New Roman"/>
          <w:b/>
          <w:bCs/>
          <w:sz w:val="28"/>
          <w:szCs w:val="28"/>
        </w:rPr>
        <w:t>Кількість клітин, що експресують рецептори до HLА-DR-антигену в паренхімі ПЗ (екз. у полі зору х 400)</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759"/>
        <w:gridCol w:w="6946"/>
      </w:tblGrid>
      <w:tr w:rsidR="0021764E" w:rsidRPr="00C62D22" w:rsidTr="006E5FD4">
        <w:tc>
          <w:tcPr>
            <w:tcW w:w="2759" w:type="dxa"/>
          </w:tcPr>
          <w:p w:rsidR="0021764E" w:rsidRPr="00C62D22" w:rsidRDefault="0021764E" w:rsidP="006E5FD4">
            <w:pPr>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Типи ПК ПЗ</w:t>
            </w:r>
          </w:p>
        </w:tc>
        <w:tc>
          <w:tcPr>
            <w:tcW w:w="6946" w:type="dxa"/>
          </w:tcPr>
          <w:p w:rsidR="0021764E" w:rsidRPr="00C62D22" w:rsidRDefault="0021764E" w:rsidP="006E5FD4">
            <w:pPr>
              <w:spacing w:after="0" w:line="360" w:lineRule="auto"/>
              <w:jc w:val="center"/>
              <w:rPr>
                <w:rFonts w:ascii="Times New Roman" w:hAnsi="Times New Roman" w:cs="Times New Roman"/>
                <w:bCs/>
                <w:sz w:val="28"/>
                <w:szCs w:val="28"/>
              </w:rPr>
            </w:pPr>
            <w:r w:rsidRPr="00C62D22">
              <w:rPr>
                <w:rFonts w:ascii="Times New Roman" w:hAnsi="Times New Roman" w:cs="Times New Roman"/>
                <w:bCs/>
                <w:sz w:val="28"/>
                <w:szCs w:val="28"/>
              </w:rPr>
              <w:t>Кількість клітин у полі зору х 400</w:t>
            </w:r>
          </w:p>
        </w:tc>
      </w:tr>
      <w:tr w:rsidR="0021764E" w:rsidRPr="00C62D22" w:rsidTr="006E5FD4">
        <w:tc>
          <w:tcPr>
            <w:tcW w:w="2759" w:type="dxa"/>
          </w:tcPr>
          <w:p w:rsidR="0021764E" w:rsidRPr="00C62D22" w:rsidRDefault="0021764E" w:rsidP="006E5FD4">
            <w:pPr>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Тип І</w:t>
            </w:r>
          </w:p>
        </w:tc>
        <w:tc>
          <w:tcPr>
            <w:tcW w:w="6946" w:type="dxa"/>
          </w:tcPr>
          <w:p w:rsidR="0021764E" w:rsidRPr="00C62D22" w:rsidRDefault="0021764E" w:rsidP="006E5FD4">
            <w:pPr>
              <w:spacing w:after="0" w:line="360" w:lineRule="auto"/>
              <w:jc w:val="center"/>
              <w:rPr>
                <w:rFonts w:ascii="Times New Roman" w:hAnsi="Times New Roman" w:cs="Times New Roman"/>
                <w:bCs/>
                <w:sz w:val="28"/>
                <w:szCs w:val="28"/>
              </w:rPr>
            </w:pPr>
            <w:r w:rsidRPr="00C62D22">
              <w:rPr>
                <w:rFonts w:ascii="Times New Roman" w:hAnsi="Times New Roman" w:cs="Times New Roman"/>
                <w:bCs/>
                <w:sz w:val="28"/>
                <w:szCs w:val="28"/>
              </w:rPr>
              <w:t>14,0±0,7*</w:t>
            </w:r>
          </w:p>
        </w:tc>
      </w:tr>
      <w:tr w:rsidR="0021764E" w:rsidRPr="00C62D22" w:rsidTr="006E5FD4">
        <w:tc>
          <w:tcPr>
            <w:tcW w:w="2759" w:type="dxa"/>
          </w:tcPr>
          <w:p w:rsidR="0021764E" w:rsidRPr="00C62D22" w:rsidRDefault="0021764E" w:rsidP="006E5FD4">
            <w:pPr>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Тип ІІ</w:t>
            </w:r>
          </w:p>
        </w:tc>
        <w:tc>
          <w:tcPr>
            <w:tcW w:w="6946" w:type="dxa"/>
          </w:tcPr>
          <w:p w:rsidR="0021764E" w:rsidRPr="00C62D22" w:rsidRDefault="0021764E" w:rsidP="006E5FD4">
            <w:pPr>
              <w:spacing w:after="0" w:line="360" w:lineRule="auto"/>
              <w:jc w:val="center"/>
              <w:rPr>
                <w:rFonts w:ascii="Times New Roman" w:hAnsi="Times New Roman" w:cs="Times New Roman"/>
                <w:bCs/>
                <w:sz w:val="28"/>
                <w:szCs w:val="28"/>
              </w:rPr>
            </w:pPr>
            <w:r w:rsidRPr="00C62D22">
              <w:rPr>
                <w:rFonts w:ascii="Times New Roman" w:hAnsi="Times New Roman" w:cs="Times New Roman"/>
                <w:bCs/>
                <w:sz w:val="28"/>
                <w:szCs w:val="28"/>
              </w:rPr>
              <w:t>16,0±1,1</w:t>
            </w:r>
          </w:p>
        </w:tc>
      </w:tr>
      <w:tr w:rsidR="0021764E" w:rsidRPr="00C62D22" w:rsidTr="006E5FD4">
        <w:tc>
          <w:tcPr>
            <w:tcW w:w="2759" w:type="dxa"/>
          </w:tcPr>
          <w:p w:rsidR="0021764E" w:rsidRPr="00C62D22" w:rsidRDefault="0021764E" w:rsidP="006E5FD4">
            <w:pPr>
              <w:spacing w:after="0" w:line="360" w:lineRule="auto"/>
              <w:rPr>
                <w:rFonts w:ascii="Times New Roman" w:hAnsi="Times New Roman" w:cs="Times New Roman"/>
                <w:bCs/>
                <w:sz w:val="28"/>
                <w:szCs w:val="28"/>
              </w:rPr>
            </w:pPr>
            <w:r w:rsidRPr="00C62D22">
              <w:rPr>
                <w:rFonts w:ascii="Times New Roman" w:hAnsi="Times New Roman" w:cs="Times New Roman"/>
                <w:bCs/>
                <w:sz w:val="28"/>
                <w:szCs w:val="28"/>
              </w:rPr>
              <w:t>Тип ІІІ</w:t>
            </w:r>
          </w:p>
        </w:tc>
        <w:tc>
          <w:tcPr>
            <w:tcW w:w="6946" w:type="dxa"/>
          </w:tcPr>
          <w:p w:rsidR="0021764E" w:rsidRPr="00C62D22" w:rsidRDefault="0021764E" w:rsidP="006E5FD4">
            <w:pPr>
              <w:spacing w:after="0" w:line="360" w:lineRule="auto"/>
              <w:jc w:val="center"/>
              <w:rPr>
                <w:rFonts w:ascii="Times New Roman" w:hAnsi="Times New Roman" w:cs="Times New Roman"/>
                <w:bCs/>
                <w:sz w:val="28"/>
                <w:szCs w:val="28"/>
              </w:rPr>
            </w:pPr>
            <w:r w:rsidRPr="00C62D22">
              <w:rPr>
                <w:rFonts w:ascii="Times New Roman" w:hAnsi="Times New Roman" w:cs="Times New Roman"/>
                <w:bCs/>
                <w:sz w:val="28"/>
                <w:szCs w:val="28"/>
              </w:rPr>
              <w:t>25±2,8**</w:t>
            </w:r>
          </w:p>
        </w:tc>
      </w:tr>
    </w:tbl>
    <w:p w:rsidR="0021764E" w:rsidRPr="00C62D22" w:rsidRDefault="0021764E" w:rsidP="0021764E">
      <w:pPr>
        <w:spacing w:after="0"/>
        <w:jc w:val="both"/>
        <w:rPr>
          <w:rFonts w:ascii="Times New Roman" w:hAnsi="Times New Roman" w:cs="Times New Roman"/>
          <w:bCs/>
          <w:sz w:val="28"/>
          <w:szCs w:val="28"/>
        </w:rPr>
      </w:pPr>
    </w:p>
    <w:p w:rsidR="0021764E" w:rsidRPr="00C62D22" w:rsidRDefault="0021764E" w:rsidP="0021764E">
      <w:pPr>
        <w:pStyle w:val="23"/>
        <w:autoSpaceDE w:val="0"/>
        <w:autoSpaceDN w:val="0"/>
        <w:adjustRightInd w:val="0"/>
        <w:spacing w:line="360" w:lineRule="auto"/>
        <w:ind w:left="0" w:firstLine="567"/>
        <w:jc w:val="both"/>
        <w:rPr>
          <w:sz w:val="28"/>
          <w:szCs w:val="28"/>
          <w:lang w:val="uk-UA"/>
        </w:rPr>
      </w:pPr>
      <w:r w:rsidRPr="00C62D22">
        <w:rPr>
          <w:sz w:val="28"/>
          <w:szCs w:val="28"/>
          <w:lang w:val="uk-UA"/>
        </w:rPr>
        <w:t>Примітка.* –  порівняно з І типом ПК (р</w:t>
      </w:r>
      <w:r w:rsidRPr="00C62D22">
        <w:rPr>
          <w:sz w:val="28"/>
          <w:szCs w:val="28"/>
          <w:lang w:val="uk-UA"/>
        </w:rPr>
        <w:sym w:font="Symbol" w:char="F03C"/>
      </w:r>
      <w:r w:rsidRPr="00C62D22">
        <w:rPr>
          <w:sz w:val="28"/>
          <w:szCs w:val="28"/>
          <w:lang w:val="uk-UA"/>
        </w:rPr>
        <w:t>0,05), **–  порівняно з ІІ типом ПК (р</w:t>
      </w:r>
      <w:r w:rsidRPr="00C62D22">
        <w:rPr>
          <w:sz w:val="28"/>
          <w:szCs w:val="28"/>
          <w:lang w:val="uk-UA"/>
        </w:rPr>
        <w:sym w:font="Symbol" w:char="F03C"/>
      </w:r>
      <w:r w:rsidRPr="00C62D22">
        <w:rPr>
          <w:sz w:val="28"/>
          <w:szCs w:val="28"/>
          <w:lang w:val="uk-UA"/>
        </w:rPr>
        <w:t>0,05).</w:t>
      </w:r>
    </w:p>
    <w:p w:rsidR="0021764E" w:rsidRPr="00C62D22" w:rsidRDefault="0021764E" w:rsidP="0021764E">
      <w:pPr>
        <w:spacing w:after="0" w:line="360" w:lineRule="auto"/>
        <w:ind w:firstLine="567"/>
        <w:jc w:val="both"/>
        <w:rPr>
          <w:rFonts w:ascii="Times New Roman" w:hAnsi="Times New Roman" w:cs="Times New Roman"/>
          <w:sz w:val="28"/>
          <w:szCs w:val="28"/>
        </w:rPr>
      </w:pP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Поза зон некрозу міжчасточкова, перидуктальна, внутрішньочасточкова сполучна тканина була набрякла, у 9 спостереженнях надлишково розвинена. Міжчасточкова та перидуктальна строма була представлена ретикулярними й колагеновими волокнами, у 7 спостереженнях у ній відзначалося надлишкове утворення пучків інтенсивно фуксинофільних колагенових волокон. Вони були дещо набряклі, розволокненні. Простір між волокнами були оптично розширені за рахунок помірного або вираженого набряку основної речовини. Між сполучнотканинними волокнами візуалізувалися синтетично активні фібробласти, фіброцити, поліморфноядерні лейкоцити, макрофаги, лімфоцити. Внутрішньочасточкова строма була представлена тонкими слабо еозинофільними й фуксинофільними колагеновими волокнами. Волокна були дещо роз'єднані внаслідок набряку, між ними в невеликій кількості зустрічалися клітини гематогенного ряду (лімфоцити, плазмоцити, нейтрофіли) і фібробласти зі слабо вираженою реакцією на ДНП в ядрі і помірно вираженою реакцією на РНП у </w:t>
      </w:r>
      <w:r w:rsidRPr="00C62D22">
        <w:rPr>
          <w:rFonts w:ascii="Times New Roman" w:hAnsi="Times New Roman" w:cs="Times New Roman"/>
          <w:sz w:val="28"/>
          <w:szCs w:val="28"/>
        </w:rPr>
        <w:lastRenderedPageBreak/>
        <w:t>цитоплазмі. Внутрішньочасточкові капіляри зі зниженим тонусом стінки були розширені. У частини з них виявлялася помірна проліферація перителіоцитів, вогнищева десквамація та проліферація ендотеліоцитів з помірною реакцією на РНП у цитоплазмі й на ДНП у ядрі. Гладкі м'язові клітини з ознаками помірної дистрофії, із цитоплазмою, яка слабо фарбувалася еозином та ядром, яке помірно забарвлювалося гематоксиліном, зі слабко вираженими реакціями Браше й Фельгена-Россенбека. Базальна мембрана капілярів була слабо ШИК-позитивна, дещо набрякла. У просвітах частини капілярів і венул відзначалася агрегація еритроцитів і тромбоцитів, поодинокі дрібні тромби. Тонус венул був знижений, стінка в частини з них з колбоподібною дилятацією, іноді з тонкою та вогнищевим некрозом і виходом плазми й формених елементів крові в периваскулярні простори. Ендотеліоцити венул були подовжені й стоншені, ядра клітин – з ознаками каріопікнозу, іноді каріолізису, реакція на ДНП у них негативна. Базальна мембрана була тонка, помірно ШИК-позитивна, периваскулярно спостерігалося накопичення ШИК-позитивних продуктів. Артеріоли, розташовані біля часточок ПЗ, були звивисті, у формі зашморгу, більша кількість з них з ознаками підвищеного тонусу й розташуванням ендотелію у вигляді частоколу. На окремих ділянках просвіт артеріол був невиразний. Поза спазму ендотеліоцити були сплощені, витягнуті. Частина артеріол були з дистонічним та паретичним розширенням їх просвіту з одночасною проліферацією їх ендотелію, гіперплазією й гіпертрофією гладких м'язових клітин судинної стінки. Базальна мембрана ендотелію була ШИК-позитивна, стовщена, з розволокненнями. Вогнищами в стінках дрібних артерій та артеріол виявлялися ознаки мукоїдного набухання та фібриноїдних змін. Периваскулярно відзначався набряк тканин і дрібновогнищеві круглі клітинні інфільтрати. Артерії дрібного та середнього калібру були закладені в міжчасточковій стромі з дещо потовщеною набряклою стінкою й звуженим просвітом, у якому визначалася помірна кількість формених елементів крові, переважно еритроцитів. Частина артерій була з підвищеним тонусом стінки, типовою акомодацією й осередковою десквамацією ендотеліоцитів, з помірно вираженою реакцією Браше в цитоплазмі й слабо вираженою реакцією Фельгена-</w:t>
      </w:r>
      <w:r w:rsidRPr="00C62D22">
        <w:rPr>
          <w:rFonts w:ascii="Times New Roman" w:hAnsi="Times New Roman" w:cs="Times New Roman"/>
          <w:sz w:val="28"/>
          <w:szCs w:val="28"/>
        </w:rPr>
        <w:lastRenderedPageBreak/>
        <w:t>Россенбека в ядрах. Судинна базальна мембрана була складчаста, при ШИК-реакції переривчаста. Підендотеліальний шар був дещо розширений, помірно ШИК-позитивний. При фарбуванні фукселіном на еластичні волокна за Вейгертом внутрішня еластична мембрана була складчаста, рівномірної товщини. Гладкі м'язові клітини були середнього шару, дещо збільшені в об'ємі з помірно еозинофільною цитоплазмою зі слабо вираженою реакцією на РНП і добре забарвленим ядром з помірною реакцією на ДНП. Між гладкими м'язовими клітинами визначалися одиничні фібробласти, тонкі колагенові й еластичні волокна, останні на кордоні із зовнішньою оболонкою формували добре розвинену зовнішню еластичну мембрану. Зовнішня оболонка була представлена набряклою пухкою волокнистою сполучною тканиною з помірним розвитком колагенових волокон. Міжчасточкові вени були розширені, переповнені частково гемолізованою кров'ю і значним умістом нейтрофілів. Ендотеліоцити були сплощені, з помірною реакцією на РНП у цитоплазмі та на ДНП у ядрі. Базальна мембрана була помірно ШИК-позитивна, де−не−де розволокненнями. У периваскулярному просторі визначалися скупчення еритроцитів. Лімфатичні капіляри, розташовані навколо збережених ацинусів й острівців, були щілиноподібної форми, лімфатичні судини розширені, переповнені лімфою. Ендотеліоцити, які їх вистилали, були подовженої форми, зі слабко базофільною цитоплазмою, бідною РНП, і ядром зі слабкою реакцією на ДНП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Закладені в міжчасточковій стромі нервові ганглії з набряком тканин  відзначалися набуханням цитоплазми клітин нервових стовбурів зі слабо вираженою реакцією на РНП. Ядра веретеноподібної форми помірно забарвлювалися гематоксиліном, у них визначалася помірно виражена реакція на ДНП. Сполучнотканинна капсула й прошарки сполучної тканини, що проникаючі в паренхіму вузла, були помірно ШИК-позитивні та фуксинофільні. Периневральний простір був набряклий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У всіх спостереженнях відзначалася лімфолейкоцитарна, у частині спостережень переважно нейтрофільна, інфільтрація строми ПЗ, яка носила дифузний або дифузно-вогнищевий характер з поширенням на нервові стовбури і </w:t>
      </w:r>
      <w:r w:rsidRPr="00C62D22">
        <w:rPr>
          <w:rFonts w:ascii="Times New Roman" w:hAnsi="Times New Roman" w:cs="Times New Roman"/>
          <w:sz w:val="28"/>
          <w:szCs w:val="28"/>
        </w:rPr>
        <w:lastRenderedPageBreak/>
        <w:t xml:space="preserve">ацинуси. Часточки ПЗ, як правило, були однакових розмірів, в 3 спостереженнях зустрічалися групи часточок різного розміру, розділених фіброзованою стромою. Панкреатичні ацинуси екзокринної частини складалися з великих конусоподібних клітин із круглим базально розташованим ядром, яке помірно сприймало основні барвники, з розташуванням хроматину у вигляді дрібних зерен або рідше ніжною сітчастою структурою. При реакції Фельгена-Россенбека на ДНП ядра помірно забарвлювалися в червонувато-фіолетовий колір. Цитоплазма клітин була слабо базофільна, при реакції Браше інтенсивно забарвлювалася в специфічний рожево-червоний колір з наявністю великих гранул, які містили РНП, що свідчило про високу синтетичну активність екзокринних панкреоцитів. Між панкреатичними ацинусами визначалися округлої форми острівці Лангерганса, розміри яких відповідали гістологічній нормі. Ендокриноцити острівців були дещо менше ацинарних клітин, округлої, рідше полігональної форми з округлим помірно базофільним ядром зі слабо вираженою реакцією Фельгена-Россенбека та еозинофільною цитоплазмою, яка інтенсивно фарбувалася в рожево-червоний колір при реакції Браше (рис. 6.8) [122]. </w:t>
      </w: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16" type="#_x0000_t202" style="position:absolute;left:0;text-align:left;margin-left:-11.7pt;margin-top:215.3pt;width:525pt;height:108pt;z-index:251750400" stroked="f">
            <v:textbox style="mso-next-textbox:#_x0000_s1116">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w:t>
                  </w:r>
                  <w:r w:rsidRPr="009814D0">
                    <w:rPr>
                      <w:rFonts w:ascii="Times New Roman" w:hAnsi="Times New Roman"/>
                      <w:sz w:val="28"/>
                      <w:szCs w:val="28"/>
                    </w:rPr>
                    <w:t>8.</w:t>
                  </w:r>
                  <w:r w:rsidRPr="009814D0">
                    <w:rPr>
                      <w:rFonts w:ascii="ArialMT" w:hAnsi="ArialMT" w:cs="ArialMT"/>
                      <w:sz w:val="16"/>
                      <w:szCs w:val="16"/>
                    </w:rPr>
                    <w:t xml:space="preserve"> </w:t>
                  </w:r>
                  <w:r>
                    <w:rPr>
                      <w:rFonts w:ascii="Times New Roman" w:hAnsi="Times New Roman"/>
                      <w:sz w:val="28"/>
                      <w:szCs w:val="28"/>
                    </w:rPr>
                    <w:t>Часточки ПЗ</w:t>
                  </w:r>
                  <w:r w:rsidRPr="009814D0">
                    <w:rPr>
                      <w:rFonts w:ascii="Times New Roman" w:hAnsi="Times New Roman"/>
                      <w:sz w:val="28"/>
                      <w:szCs w:val="28"/>
                    </w:rPr>
                    <w:t xml:space="preserve"> поза зонами некрозу</w:t>
                  </w:r>
                  <w:r>
                    <w:rPr>
                      <w:rFonts w:ascii="Times New Roman" w:hAnsi="Times New Roman"/>
                      <w:sz w:val="28"/>
                      <w:szCs w:val="28"/>
                    </w:rPr>
                    <w:t xml:space="preserve"> (1)</w:t>
                  </w:r>
                  <w:r w:rsidRPr="009814D0">
                    <w:rPr>
                      <w:rFonts w:ascii="Times New Roman" w:hAnsi="Times New Roman"/>
                      <w:sz w:val="28"/>
                      <w:szCs w:val="28"/>
                    </w:rPr>
                    <w:t>. Острівець Лангерганса</w:t>
                  </w:r>
                  <w:r>
                    <w:rPr>
                      <w:rFonts w:ascii="Times New Roman" w:hAnsi="Times New Roman"/>
                      <w:sz w:val="28"/>
                      <w:szCs w:val="28"/>
                    </w:rPr>
                    <w:t xml:space="preserve"> (2)</w:t>
                  </w:r>
                  <w:r w:rsidRPr="009814D0">
                    <w:rPr>
                      <w:rFonts w:ascii="Times New Roman" w:hAnsi="Times New Roman"/>
                      <w:sz w:val="28"/>
                      <w:szCs w:val="28"/>
                    </w:rPr>
                    <w:t>. По</w:t>
                  </w:r>
                  <w:r>
                    <w:rPr>
                      <w:rFonts w:ascii="Times New Roman" w:hAnsi="Times New Roman"/>
                      <w:sz w:val="28"/>
                      <w:szCs w:val="28"/>
                    </w:rPr>
                    <w:t>мірний внутрішньочасточковий пери</w:t>
                  </w:r>
                  <w:r w:rsidRPr="009814D0">
                    <w:rPr>
                      <w:rFonts w:ascii="Times New Roman" w:hAnsi="Times New Roman"/>
                      <w:sz w:val="28"/>
                      <w:szCs w:val="28"/>
                    </w:rPr>
                    <w:t>дуктальний фібро</w:t>
                  </w:r>
                  <w:r>
                    <w:rPr>
                      <w:rFonts w:ascii="Times New Roman" w:hAnsi="Times New Roman"/>
                      <w:sz w:val="28"/>
                      <w:szCs w:val="28"/>
                    </w:rPr>
                    <w:t>з (3). Помірний міжчасточковий, пери</w:t>
                  </w:r>
                  <w:r w:rsidRPr="009814D0">
                    <w:rPr>
                      <w:rFonts w:ascii="Times New Roman" w:hAnsi="Times New Roman"/>
                      <w:sz w:val="28"/>
                      <w:szCs w:val="28"/>
                    </w:rPr>
                    <w:t>дуктальний, слабко виражений внутрішньочасточковий набряк строми</w:t>
                  </w:r>
                  <w:r>
                    <w:rPr>
                      <w:rFonts w:ascii="Times New Roman" w:hAnsi="Times New Roman"/>
                      <w:sz w:val="28"/>
                      <w:szCs w:val="28"/>
                    </w:rPr>
                    <w:t xml:space="preserve"> (4)</w:t>
                  </w:r>
                  <w:r w:rsidRPr="009814D0">
                    <w:rPr>
                      <w:rFonts w:ascii="Times New Roman" w:hAnsi="Times New Roman"/>
                      <w:sz w:val="28"/>
                      <w:szCs w:val="28"/>
                    </w:rPr>
                    <w:t>. Забарвлення гематокси</w:t>
                  </w:r>
                  <w:r>
                    <w:rPr>
                      <w:rFonts w:ascii="Times New Roman" w:hAnsi="Times New Roman"/>
                      <w:sz w:val="28"/>
                      <w:szCs w:val="28"/>
                    </w:rPr>
                    <w:t>ліном та еозином, х200</w:t>
                  </w:r>
                </w:p>
                <w:p w:rsidR="0021764E" w:rsidRDefault="0021764E" w:rsidP="0021764E">
                  <w:pPr>
                    <w:ind w:firstLine="540"/>
                    <w:jc w:val="both"/>
                  </w:pPr>
                </w:p>
              </w:txbxContent>
            </v:textbox>
          </v:shape>
        </w:pict>
      </w:r>
      <w:r w:rsidRPr="00C62D22">
        <w:rPr>
          <w:rFonts w:ascii="Times New Roman" w:hAnsi="Times New Roman" w:cs="Times New Roman"/>
          <w:noProof/>
          <w:sz w:val="28"/>
          <w:szCs w:val="28"/>
        </w:rPr>
        <w:pict>
          <v:shape id="_x0000_s1149" type="#_x0000_t202" style="position:absolute;left:0;text-align:left;margin-left:398.55pt;margin-top:115.1pt;width:21.75pt;height:23.25pt;z-index:251784192" filled="f" stroked="f">
            <v:textbox style="mso-next-textbox:#_x0000_s1149">
              <w:txbxContent>
                <w:p w:rsidR="0021764E" w:rsidRPr="00B23BCD" w:rsidRDefault="0021764E" w:rsidP="0021764E">
                  <w:pPr>
                    <w:rPr>
                      <w:rFonts w:ascii="Times New Roman" w:hAnsi="Times New Roman"/>
                      <w:b/>
                      <w:sz w:val="28"/>
                      <w:szCs w:val="28"/>
                    </w:rPr>
                  </w:pPr>
                  <w:r>
                    <w:rPr>
                      <w:rFonts w:ascii="Times New Roman" w:hAnsi="Times New Roman"/>
                      <w:b/>
                      <w:sz w:val="28"/>
                      <w:szCs w:val="28"/>
                    </w:rPr>
                    <w:t>3</w:t>
                  </w:r>
                </w:p>
              </w:txbxContent>
            </v:textbox>
          </v:shape>
        </w:pict>
      </w:r>
      <w:r w:rsidRPr="00C62D22">
        <w:rPr>
          <w:rFonts w:ascii="Times New Roman" w:hAnsi="Times New Roman" w:cs="Times New Roman"/>
          <w:noProof/>
          <w:sz w:val="28"/>
          <w:szCs w:val="28"/>
        </w:rPr>
        <w:pict>
          <v:shape id="_x0000_s1148" type="#_x0000_t202" style="position:absolute;left:0;text-align:left;margin-left:357.3pt;margin-top:79.85pt;width:21.75pt;height:23.25pt;z-index:251783168" filled="f" stroked="f">
            <v:textbox style="mso-next-textbox:#_x0000_s1148">
              <w:txbxContent>
                <w:p w:rsidR="0021764E" w:rsidRPr="00B23BCD" w:rsidRDefault="0021764E" w:rsidP="0021764E">
                  <w:pPr>
                    <w:rPr>
                      <w:rFonts w:ascii="Times New Roman" w:hAnsi="Times New Roman"/>
                      <w:b/>
                      <w:sz w:val="28"/>
                      <w:szCs w:val="28"/>
                    </w:rPr>
                  </w:pPr>
                  <w:r>
                    <w:rPr>
                      <w:rFonts w:ascii="Times New Roman" w:hAnsi="Times New Roman"/>
                      <w:b/>
                      <w:sz w:val="28"/>
                      <w:szCs w:val="28"/>
                    </w:rPr>
                    <w:t>4</w:t>
                  </w:r>
                </w:p>
              </w:txbxContent>
            </v:textbox>
          </v:shape>
        </w:pict>
      </w:r>
      <w:r w:rsidRPr="00C62D22">
        <w:rPr>
          <w:rFonts w:ascii="Times New Roman" w:hAnsi="Times New Roman" w:cs="Times New Roman"/>
          <w:noProof/>
          <w:sz w:val="28"/>
          <w:szCs w:val="28"/>
        </w:rPr>
        <w:pict>
          <v:shape id="_x0000_s1147" type="#_x0000_t202" style="position:absolute;left:0;text-align:left;margin-left:227.55pt;margin-top:52.1pt;width:21.75pt;height:23.25pt;z-index:251782144" stroked="f">
            <v:textbox style="mso-next-textbox:#_x0000_s1147">
              <w:txbxContent>
                <w:p w:rsidR="0021764E" w:rsidRPr="00B23BCD" w:rsidRDefault="0021764E" w:rsidP="0021764E">
                  <w:pPr>
                    <w:rPr>
                      <w:rFonts w:ascii="Times New Roman" w:hAnsi="Times New Roman"/>
                      <w:b/>
                      <w:sz w:val="28"/>
                      <w:szCs w:val="28"/>
                    </w:rPr>
                  </w:pPr>
                  <w:r>
                    <w:rPr>
                      <w:rFonts w:ascii="Times New Roman" w:hAnsi="Times New Roman"/>
                      <w:b/>
                      <w:sz w:val="28"/>
                      <w:szCs w:val="28"/>
                    </w:rPr>
                    <w:t>2</w:t>
                  </w:r>
                </w:p>
              </w:txbxContent>
            </v:textbox>
          </v:shape>
        </w:pict>
      </w:r>
      <w:r w:rsidRPr="00C62D22">
        <w:rPr>
          <w:rFonts w:ascii="Times New Roman" w:hAnsi="Times New Roman" w:cs="Times New Roman"/>
          <w:noProof/>
          <w:sz w:val="28"/>
          <w:szCs w:val="28"/>
        </w:rPr>
        <w:pict>
          <v:shape id="_x0000_s1146" type="#_x0000_t202" style="position:absolute;left:0;text-align:left;margin-left:110.55pt;margin-top:106.85pt;width:21.75pt;height:23.25pt;z-index:251781120" stroked="f">
            <v:textbox style="mso-next-textbox:#_x0000_s1146">
              <w:txbxContent>
                <w:p w:rsidR="0021764E" w:rsidRPr="00B23BCD" w:rsidRDefault="0021764E" w:rsidP="0021764E">
                  <w:pPr>
                    <w:rPr>
                      <w:rFonts w:ascii="Times New Roman" w:hAnsi="Times New Roman"/>
                      <w:b/>
                      <w:sz w:val="28"/>
                      <w:szCs w:val="28"/>
                    </w:rPr>
                  </w:pPr>
                  <w:r w:rsidRPr="00B23BCD">
                    <w:rPr>
                      <w:rFonts w:ascii="Times New Roman" w:hAnsi="Times New Roman"/>
                      <w:b/>
                      <w:sz w:val="28"/>
                      <w:szCs w:val="28"/>
                    </w:rPr>
                    <w:t>1</w:t>
                  </w:r>
                </w:p>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24325" cy="2657475"/>
            <wp:effectExtent l="19050" t="0" r="9525" b="0"/>
            <wp:docPr id="145" name="Рисунок 145" descr="3пж1-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descr="3пж1-200"/>
                    <pic:cNvPicPr>
                      <a:picLocks noChangeAspect="1" noChangeArrowheads="1"/>
                    </pic:cNvPicPr>
                  </pic:nvPicPr>
                  <pic:blipFill>
                    <a:blip r:embed="rId64" cstate="print"/>
                    <a:srcRect/>
                    <a:stretch>
                      <a:fillRect/>
                    </a:stretch>
                  </pic:blipFill>
                  <pic:spPr bwMode="auto">
                    <a:xfrm>
                      <a:off x="0" y="0"/>
                      <a:ext cx="4124325" cy="26574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Вставні протоки ацинусів були розташовані збоку від ациноцитів на спільній з ними базальній мембрані та в центрі ацинусу. Клітини їх були сплощені, з овальним слабо базофільним ядром і слабо ацидофільною цитоплазмою. Реакція на ДНП в ядрах і реакція на РНП у цитоплазмі клітин були слабо виражені. Епітелій, що вистилав міжацинозні й внутрішньочасточкові протоки, був одношаровий кубічний з великим базофільним ядром, з помірною реакцією ДНП, цитоплазма його помірно еозинофільна, бідна РНП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Слизова оболонка міжчасточкових протоків була представлена високим призматичним епітелієм і власною сполучнотканинною пластинкою. Ядра епітеліоцитів добре сприймали основні барвники, реакція на ДНП у них була інтенсивно виражена. Цитоплазма клітин була еозинофільна з помірною реакцією Браше. Базальна мембрана епітелію була неперервна, слабо фуксинофільна й ШИК-позитивна. У частині проток визначалися ділянки десквамації епітеліоцитів з оголенням їх базальної мембрани. Волокна власної сполучнотканинної пластинки слизової оболонки були дещо роз'єднані, слабо фуксинофільні, помірно ШИК-позитивні. В 11 спостереженнях навколо проток відзначалася проліферація синтетично активних фібробластів і помірне утворення фуксинофільних колагенових волокон [122]. </w:t>
      </w:r>
    </w:p>
    <w:p w:rsidR="0021764E" w:rsidRPr="00C62D22" w:rsidRDefault="0021764E" w:rsidP="0021764E">
      <w:pPr>
        <w:shd w:val="clear" w:color="auto" w:fill="FFFFFF"/>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Таким чином, дані комплексного морфологічного дослідження інтраопераційно резектованих ділянок ПЗ хворих першої групи (14) показали, що формування гострої ПК ПЗ відбувалося при наявності морфологічної картини гострого деструктивного панкреатиту, характеризувалося важкими дисциркуляторними порушеннями (виражений набряк строми, повнокров'я судин з периваскулярними крововиливами, формування осередків геморагічної інфільтрації), деструктивними змінами всіх структурних компонентів залози (ацинарні, стромальні та жирові некрози, альтеративні зміни судин і проток) з подальшим розвитком реактивної запальної відповіді на ушкодження у вигляді дифузної або дифузно-вогнищевої лімфолейкоцитарної інфільтрації строми та паренхіми ПЗ й ознаками початкового репаративного процесу з формуванням вогнищ грануляційної тканини [122]. Імуногістохімічне дослідження стінок ПЗ І типу та прилеглої паренхіми ПЗ у </w:t>
      </w:r>
      <w:r w:rsidRPr="00C62D22">
        <w:rPr>
          <w:rFonts w:ascii="Times New Roman" w:hAnsi="Times New Roman" w:cs="Times New Roman"/>
          <w:sz w:val="28"/>
          <w:szCs w:val="28"/>
        </w:rPr>
        <w:lastRenderedPageBreak/>
        <w:t xml:space="preserve">сполучнотканинному компоненті виявило переважання молодого інтерстиціального колагену ІІІ типу та дефіцит зрілого колагену І типу. У судинному компоненті – дефіцит колагену ІV типу в складі базальних мембран та слабку здатність ендотеліоцитів експресувати рецептори до ендотеліну-1. Перевага CD18 нейтрофільних гранулоцитів у складі запальних інфільтратів як у стінці ПК, так і в прилеглій тканині свідчили про гостру запальну реакцію. Здатність клітинного компоненту ПЗ експресувати рецептори до HLA-DR-антигену була низькою [180]. </w:t>
      </w:r>
    </w:p>
    <w:p w:rsidR="0021764E" w:rsidRPr="00C62D22" w:rsidRDefault="0021764E" w:rsidP="0021764E">
      <w:pPr>
        <w:shd w:val="clear" w:color="auto" w:fill="FFFFFF"/>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hd w:val="clear" w:color="auto" w:fill="FFFFFF"/>
        <w:spacing w:after="0" w:line="360" w:lineRule="auto"/>
        <w:ind w:firstLine="567"/>
        <w:contextualSpacing/>
        <w:jc w:val="both"/>
        <w:rPr>
          <w:rFonts w:ascii="Times New Roman" w:hAnsi="Times New Roman" w:cs="Times New Roman"/>
          <w:bCs/>
          <w:sz w:val="28"/>
          <w:szCs w:val="28"/>
        </w:rPr>
      </w:pPr>
      <w:r w:rsidRPr="00C62D22">
        <w:rPr>
          <w:rFonts w:ascii="Times New Roman" w:hAnsi="Times New Roman" w:cs="Times New Roman"/>
          <w:b/>
          <w:sz w:val="28"/>
          <w:szCs w:val="28"/>
        </w:rPr>
        <w:t xml:space="preserve">6.2. </w:t>
      </w:r>
      <w:r w:rsidRPr="00C62D22">
        <w:rPr>
          <w:rFonts w:ascii="Times New Roman" w:hAnsi="Times New Roman" w:cs="Times New Roman"/>
          <w:b/>
          <w:bCs/>
          <w:sz w:val="28"/>
          <w:szCs w:val="28"/>
        </w:rPr>
        <w:t>Гістологічні, гістохімічні та імуногістохімічні зміни в стінках псевдокіст підшлункової залози другого типу та в прилеглій паренхімі підшлункової залози</w:t>
      </w:r>
    </w:p>
    <w:p w:rsidR="0021764E" w:rsidRPr="00C62D22" w:rsidRDefault="0021764E" w:rsidP="0021764E">
      <w:pPr>
        <w:shd w:val="clear" w:color="auto" w:fill="FFFFFF"/>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Мікроскопічно в препаратах інтраопераційно резектованих ділянок ПЗ хворих другої групи (16) виявлялася будова ПК, що заповнена еозинофільною рідиною, у 4 спостереженнях з обривками некротизованих тканин, просочених частково гемолізованою кров'ю з наявністю вільно лежачих грудочок гемосидерину. Внутрішній шар стінки ПК був позбавлений епітеліального вистилання, представлений грануляційною тканиною, у складі якої візуалізувалася велика кількість новостворених тонкостінних судин, вистелених ендотеліоцитами з інтенсивною реакцією Браше в цитоплазмі та помірною реакцією Фельгена-Россенбека в набряклому базофільному ядрі [122].</w:t>
      </w: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У складі грануляційної тканини виявлявся колаген ІІІ типу у вигляді вогнищевого світіння, помірної, місцями слабкої інтенсивності. У базальних мембранах судин відмічався колаген ІV типу (0,503±0,0076 ум. од. опт. щільн.). Оптична щільність інтенсивності світіння колагену ІV типу наведена в табл. 6.2. Ендотеліоцити були здатні експресувати рецептори до ендотеліну-1 (рис. 6.9), з показником оптичної щільності – 0,084±0,018 ум. од. опт. щільн. (табл. 6.2) [46, 180]. </w:t>
      </w:r>
    </w:p>
    <w:p w:rsidR="0021764E" w:rsidRPr="00C62D22" w:rsidRDefault="0021764E" w:rsidP="0021764E">
      <w:pPr>
        <w:spacing w:after="0" w:line="360" w:lineRule="auto"/>
        <w:ind w:firstLine="567"/>
        <w:contextualSpacing/>
        <w:jc w:val="both"/>
        <w:rPr>
          <w:rFonts w:ascii="Times New Roman" w:hAnsi="Times New Roman" w:cs="Times New Roman"/>
          <w:b/>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lastRenderedPageBreak/>
        <w:pict>
          <v:shape id="_x0000_s1117" type="#_x0000_t202" style="position:absolute;left:0;text-align:left;margin-left:0;margin-top:212.85pt;width:510pt;height:70.5pt;z-index:251751424" stroked="f">
            <v:textbox style="mso-next-textbox:#_x0000_s1117">
              <w:txbxContent>
                <w:p w:rsidR="0021764E" w:rsidRPr="009814D0" w:rsidRDefault="0021764E" w:rsidP="0021764E">
                  <w:pPr>
                    <w:spacing w:after="0" w:line="360" w:lineRule="auto"/>
                    <w:ind w:left="-142"/>
                    <w:contextualSpacing/>
                    <w:jc w:val="right"/>
                    <w:rPr>
                      <w:rFonts w:ascii="Times New Roman" w:hAnsi="Times New Roman"/>
                      <w:sz w:val="28"/>
                      <w:szCs w:val="28"/>
                    </w:rPr>
                  </w:pPr>
                  <w:r>
                    <w:rPr>
                      <w:rFonts w:ascii="Times New Roman" w:hAnsi="Times New Roman"/>
                      <w:sz w:val="28"/>
                      <w:szCs w:val="28"/>
                    </w:rPr>
                    <w:t>Рис. 6.9</w:t>
                  </w:r>
                  <w:r w:rsidRPr="009814D0">
                    <w:rPr>
                      <w:rFonts w:ascii="Times New Roman" w:hAnsi="Times New Roman"/>
                      <w:sz w:val="28"/>
                      <w:szCs w:val="28"/>
                    </w:rPr>
                    <w:t xml:space="preserve">. Ендотеліоцити, </w:t>
                  </w:r>
                  <w:r>
                    <w:rPr>
                      <w:rFonts w:ascii="Times New Roman" w:hAnsi="Times New Roman"/>
                      <w:sz w:val="28"/>
                      <w:szCs w:val="28"/>
                    </w:rPr>
                    <w:t xml:space="preserve">що </w:t>
                  </w:r>
                  <w:r w:rsidRPr="009814D0">
                    <w:rPr>
                      <w:rFonts w:ascii="Times New Roman" w:hAnsi="Times New Roman"/>
                      <w:sz w:val="28"/>
                      <w:szCs w:val="28"/>
                    </w:rPr>
                    <w:t>експрес</w:t>
                  </w:r>
                  <w:r>
                    <w:rPr>
                      <w:rFonts w:ascii="Times New Roman" w:hAnsi="Times New Roman"/>
                      <w:sz w:val="28"/>
                      <w:szCs w:val="28"/>
                    </w:rPr>
                    <w:t>ують</w:t>
                  </w:r>
                  <w:r w:rsidRPr="009814D0">
                    <w:rPr>
                      <w:rFonts w:ascii="Times New Roman" w:hAnsi="Times New Roman"/>
                      <w:sz w:val="28"/>
                      <w:szCs w:val="28"/>
                    </w:rPr>
                    <w:t xml:space="preserve"> рецептори до ендотеліну-1 у су</w:t>
                  </w:r>
                  <w:r>
                    <w:rPr>
                      <w:rFonts w:ascii="Times New Roman" w:hAnsi="Times New Roman"/>
                      <w:sz w:val="28"/>
                      <w:szCs w:val="28"/>
                    </w:rPr>
                    <w:t>динах стінки ПК ІІ</w:t>
                  </w:r>
                  <w:r w:rsidRPr="009814D0">
                    <w:rPr>
                      <w:rFonts w:ascii="Times New Roman" w:hAnsi="Times New Roman"/>
                      <w:sz w:val="28"/>
                      <w:szCs w:val="28"/>
                    </w:rPr>
                    <w:t xml:space="preserve"> типу</w:t>
                  </w:r>
                  <w:r>
                    <w:rPr>
                      <w:rFonts w:ascii="Times New Roman" w:hAnsi="Times New Roman"/>
                      <w:sz w:val="28"/>
                      <w:szCs w:val="28"/>
                    </w:rPr>
                    <w:t xml:space="preserve"> (указано стрілкою)</w:t>
                  </w:r>
                  <w:r w:rsidRPr="009814D0">
                    <w:rPr>
                      <w:rFonts w:ascii="Times New Roman" w:hAnsi="Times New Roman"/>
                      <w:sz w:val="28"/>
                      <w:szCs w:val="28"/>
                    </w:rPr>
                    <w:t>. Прямий метод Кун</w:t>
                  </w:r>
                  <w:r>
                    <w:rPr>
                      <w:rFonts w:ascii="Times New Roman" w:hAnsi="Times New Roman"/>
                      <w:sz w:val="28"/>
                      <w:szCs w:val="28"/>
                    </w:rPr>
                    <w:t>са з МКА до ендотеліну-1, х 600</w:t>
                  </w:r>
                </w:p>
                <w:p w:rsidR="0021764E" w:rsidRDefault="0021764E" w:rsidP="0021764E"/>
              </w:txbxContent>
            </v:textbox>
          </v:shape>
        </w:pict>
      </w:r>
      <w:r w:rsidRPr="00C62D22">
        <w:rPr>
          <w:rFonts w:ascii="Times New Roman" w:hAnsi="Times New Roman" w:cs="Times New Roman"/>
          <w:noProof/>
          <w:sz w:val="28"/>
          <w:szCs w:val="28"/>
        </w:rPr>
        <w:pict>
          <v:shape id="_x0000_s1150" type="#_x0000_t67" style="position:absolute;left:0;text-align:left;margin-left:160.05pt;margin-top:113.85pt;width:16.5pt;height:44.25pt;z-index:251785216" fillcolor="#c0504d" strokecolor="#f2f2f2" strokeweight="3pt">
            <v:shadow on="t" type="perspective" color="#622423" opacity=".5" offset="1pt" offset2="-1pt"/>
            <v:textbox style="layout-flow:vertical-ideographic"/>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24325" cy="2667000"/>
            <wp:effectExtent l="19050" t="0" r="9525" b="0"/>
            <wp:docPr id="146" name="Рисунок 14" descr="CD 34 Контр новор 1-2 х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CD 34 Контр новор 1-2 х600"/>
                    <pic:cNvPicPr>
                      <a:picLocks noChangeAspect="1" noChangeArrowheads="1"/>
                    </pic:cNvPicPr>
                  </pic:nvPicPr>
                  <pic:blipFill>
                    <a:blip r:embed="rId65"/>
                    <a:srcRect/>
                    <a:stretch>
                      <a:fillRect/>
                    </a:stretch>
                  </pic:blipFill>
                  <pic:spPr bwMode="auto">
                    <a:xfrm>
                      <a:off x="0" y="0"/>
                      <a:ext cx="4124325" cy="26670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240" w:lineRule="auto"/>
        <w:contextualSpacing/>
        <w:jc w:val="both"/>
        <w:rPr>
          <w:rFonts w:ascii="Times New Roman" w:hAnsi="Times New Roman" w:cs="Times New Roman"/>
          <w:sz w:val="28"/>
          <w:szCs w:val="28"/>
        </w:rPr>
      </w:pPr>
    </w:p>
    <w:p w:rsidR="0021764E" w:rsidRPr="00C62D22" w:rsidRDefault="0021764E" w:rsidP="0021764E">
      <w:pPr>
        <w:spacing w:after="0" w:line="24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Між судинами виявлялися численні синтетично активні фібробласти, макрофаги, поліморфноядерні лейкоцити, тонкі пучки фуксинофільних колагенових волокон. У складі колагенових волокон переважав колаген ІІІ типу, а також відмічався більш зрілий колаген І типу. У зовнішньому шарі визначалися інтенсивно фуксинофільні колагенові волокна, у яких колаген І типу переважав над колагеном ІІІ типу (рис. 6.10) [46, 180]. </w:t>
      </w:r>
    </w:p>
    <w:p w:rsidR="0021764E" w:rsidRPr="00C62D22" w:rsidRDefault="0021764E" w:rsidP="0021764E">
      <w:pPr>
        <w:spacing w:after="0" w:line="24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rPr>
          <w:rFonts w:ascii="Times New Roman" w:hAnsi="Times New Roman" w:cs="Times New Roman"/>
          <w:sz w:val="28"/>
          <w:szCs w:val="28"/>
        </w:rPr>
      </w:pPr>
      <w:r w:rsidRPr="00C62D22">
        <w:rPr>
          <w:rFonts w:ascii="Times New Roman" w:hAnsi="Times New Roman" w:cs="Times New Roman"/>
          <w:noProof/>
          <w:sz w:val="28"/>
          <w:szCs w:val="28"/>
        </w:rPr>
        <w:pict>
          <v:shape id="_x0000_s1118" type="#_x0000_t202" style="position:absolute;margin-left:0;margin-top:212pt;width:7in;height:63pt;z-index:251752448" stroked="f">
            <v:textbox style="mso-next-textbox:#_x0000_s1118">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6.10. Яскраве світіння колагену І типу в</w:t>
                  </w:r>
                  <w:r w:rsidRPr="009814D0">
                    <w:rPr>
                      <w:rFonts w:ascii="Times New Roman" w:hAnsi="Times New Roman"/>
                      <w:sz w:val="28"/>
                      <w:szCs w:val="28"/>
                    </w:rPr>
                    <w:t xml:space="preserve"> зовнішньому</w:t>
                  </w:r>
                  <w:r>
                    <w:rPr>
                      <w:rFonts w:ascii="Times New Roman" w:hAnsi="Times New Roman"/>
                      <w:sz w:val="28"/>
                      <w:szCs w:val="28"/>
                    </w:rPr>
                    <w:t xml:space="preserve"> шарі стінки ПК ІІ</w:t>
                  </w:r>
                  <w:r w:rsidRPr="009814D0">
                    <w:rPr>
                      <w:rFonts w:ascii="Times New Roman" w:hAnsi="Times New Roman"/>
                      <w:sz w:val="28"/>
                      <w:szCs w:val="28"/>
                    </w:rPr>
                    <w:t xml:space="preserve"> типу</w:t>
                  </w:r>
                  <w:r>
                    <w:rPr>
                      <w:rFonts w:ascii="Times New Roman" w:hAnsi="Times New Roman"/>
                      <w:sz w:val="28"/>
                      <w:szCs w:val="28"/>
                    </w:rPr>
                    <w:t xml:space="preserve"> (указано стрілкою)</w:t>
                  </w:r>
                  <w:r w:rsidRPr="009814D0">
                    <w:rPr>
                      <w:rFonts w:ascii="Times New Roman" w:hAnsi="Times New Roman"/>
                      <w:sz w:val="28"/>
                      <w:szCs w:val="28"/>
                    </w:rPr>
                    <w:t>. Прямий метод Кунса</w:t>
                  </w:r>
                  <w:r>
                    <w:rPr>
                      <w:rFonts w:ascii="Times New Roman" w:hAnsi="Times New Roman"/>
                      <w:sz w:val="28"/>
                      <w:szCs w:val="28"/>
                    </w:rPr>
                    <w:t xml:space="preserve"> з МКА до колагену І типу, х600</w:t>
                  </w:r>
                </w:p>
                <w:p w:rsidR="0021764E" w:rsidRDefault="0021764E" w:rsidP="0021764E">
                  <w:pPr>
                    <w:jc w:val="right"/>
                  </w:pPr>
                </w:p>
              </w:txbxContent>
            </v:textbox>
          </v:shape>
        </w:pict>
      </w:r>
      <w:r w:rsidRPr="00C62D22">
        <w:rPr>
          <w:rFonts w:ascii="Times New Roman" w:hAnsi="Times New Roman" w:cs="Times New Roman"/>
          <w:noProof/>
          <w:sz w:val="28"/>
          <w:szCs w:val="28"/>
        </w:rPr>
        <w:pict>
          <v:shape id="_x0000_s1151" type="#_x0000_t13" style="position:absolute;margin-left:190.8pt;margin-top:84.5pt;width:63.75pt;height:15.75pt;z-index:251786240" fillcolor="#c0504d" strokecolor="#f2f2f2" strokeweight="3pt">
            <v:shadow on="t" type="perspective" color="#622423" opacity=".5" offset="1pt" offset2="-1pt"/>
          </v:shape>
        </w:pict>
      </w: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33850" cy="2647950"/>
            <wp:effectExtent l="19050" t="0" r="0" b="0"/>
            <wp:docPr id="147" name="Рисунок 15" descr="Колл 4 600 10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 descr="Колл 4 600 10к"/>
                    <pic:cNvPicPr>
                      <a:picLocks noChangeAspect="1" noChangeArrowheads="1"/>
                    </pic:cNvPicPr>
                  </pic:nvPicPr>
                  <pic:blipFill>
                    <a:blip r:embed="rId66"/>
                    <a:srcRect/>
                    <a:stretch>
                      <a:fillRect/>
                    </a:stretch>
                  </pic:blipFill>
                  <pic:spPr bwMode="auto">
                    <a:xfrm>
                      <a:off x="0" y="0"/>
                      <a:ext cx="4133850" cy="264795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У зовнішньому шарі при фарбуванні пікрофуксином за Ван Гізоном визначалися інтенсивно фуксинофільні колагенові волокна, що формували грубі пучки, орієнтовані паралельно внутрішньої поверхні ПК. Усереднений показник оптичної щільності інтерстиціальних колагенів у стінці ПК ІІ типу наведено в табл. 6.1, які свідчать про перевагу молодого колагену ІІІ типу над зрілим колагеном І типу при цих ПК ПЗ. Серед клітинних елементів у стінці ПК ІІ типу відзначалися імунні клітини, а саме: CD3 (29±2,8%), CD20 (37±2,9%), CD18 (14±1,9%) та CD16 (20±2,3%) (рис. 6.11) [46, 180]. </w:t>
      </w:r>
    </w:p>
    <w:p w:rsidR="0021764E" w:rsidRPr="00C62D22" w:rsidRDefault="0021764E" w:rsidP="0021764E">
      <w:pPr>
        <w:spacing w:after="0" w:line="24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19" type="#_x0000_t202" style="position:absolute;left:0;text-align:left;margin-left:18pt;margin-top:191.55pt;width:495pt;height:54pt;z-index:251753472" stroked="f">
            <v:textbox style="mso-next-textbox:#_x0000_s1119">
              <w:txbxContent>
                <w:p w:rsidR="0021764E" w:rsidRPr="009814D0" w:rsidRDefault="0021764E" w:rsidP="0021764E">
                  <w:pPr>
                    <w:spacing w:after="0" w:line="360" w:lineRule="auto"/>
                    <w:ind w:left="-142"/>
                    <w:contextualSpacing/>
                    <w:jc w:val="right"/>
                    <w:rPr>
                      <w:rFonts w:ascii="Times New Roman" w:hAnsi="Times New Roman"/>
                      <w:sz w:val="28"/>
                      <w:szCs w:val="28"/>
                    </w:rPr>
                  </w:pPr>
                  <w:r>
                    <w:rPr>
                      <w:rFonts w:ascii="Times New Roman" w:hAnsi="Times New Roman"/>
                      <w:sz w:val="28"/>
                      <w:szCs w:val="28"/>
                    </w:rPr>
                    <w:t>Рис. 6.11</w:t>
                  </w:r>
                  <w:r w:rsidRPr="009814D0">
                    <w:rPr>
                      <w:rFonts w:ascii="Times New Roman" w:hAnsi="Times New Roman"/>
                      <w:sz w:val="28"/>
                      <w:szCs w:val="28"/>
                    </w:rPr>
                    <w:t>. CD3 лімфоц</w:t>
                  </w:r>
                  <w:r>
                    <w:rPr>
                      <w:rFonts w:ascii="Times New Roman" w:hAnsi="Times New Roman"/>
                      <w:sz w:val="28"/>
                      <w:szCs w:val="28"/>
                    </w:rPr>
                    <w:t>ити в стінці ПК ІІ</w:t>
                  </w:r>
                  <w:r w:rsidRPr="009814D0">
                    <w:rPr>
                      <w:rFonts w:ascii="Times New Roman" w:hAnsi="Times New Roman"/>
                      <w:sz w:val="28"/>
                      <w:szCs w:val="28"/>
                    </w:rPr>
                    <w:t xml:space="preserve"> типу</w:t>
                  </w:r>
                  <w:r>
                    <w:rPr>
                      <w:rFonts w:ascii="Times New Roman" w:hAnsi="Times New Roman"/>
                      <w:sz w:val="28"/>
                      <w:szCs w:val="28"/>
                    </w:rPr>
                    <w:t xml:space="preserve"> (указано стрілкою)</w:t>
                  </w:r>
                  <w:r w:rsidRPr="009814D0">
                    <w:rPr>
                      <w:rFonts w:ascii="Times New Roman" w:hAnsi="Times New Roman"/>
                      <w:sz w:val="28"/>
                      <w:szCs w:val="28"/>
                    </w:rPr>
                    <w:t xml:space="preserve">. Прямий </w:t>
                  </w:r>
                  <w:r>
                    <w:rPr>
                      <w:rFonts w:ascii="Times New Roman" w:hAnsi="Times New Roman"/>
                      <w:sz w:val="28"/>
                      <w:szCs w:val="28"/>
                    </w:rPr>
                    <w:t>метод Кунса з МКА до CD3, х 400</w:t>
                  </w:r>
                </w:p>
                <w:p w:rsidR="0021764E" w:rsidRDefault="0021764E" w:rsidP="0021764E"/>
              </w:txbxContent>
            </v:textbox>
          </v:shape>
        </w:pict>
      </w:r>
      <w:r w:rsidRPr="00C62D22">
        <w:rPr>
          <w:rFonts w:ascii="Times New Roman" w:hAnsi="Times New Roman" w:cs="Times New Roman"/>
          <w:noProof/>
          <w:sz w:val="28"/>
          <w:szCs w:val="28"/>
        </w:rPr>
        <w:pict>
          <v:shape id="_x0000_s1152" type="#_x0000_t13" style="position:absolute;left:0;text-align:left;margin-left:202.8pt;margin-top:60.15pt;width:49.5pt;height:15.75pt;z-index:251787264" fillcolor="#c0504d" strokecolor="#f2f2f2" strokeweight="3pt">
            <v:shadow on="t" type="perspective" color="#622423" opacity=".5" offset="1pt" offset2="-1pt"/>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24325" cy="2438400"/>
            <wp:effectExtent l="19050" t="0" r="9525" b="0"/>
            <wp:docPr id="148" name="Рисунок 16" descr="10 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descr="10 673"/>
                    <pic:cNvPicPr>
                      <a:picLocks noChangeAspect="1" noChangeArrowheads="1"/>
                    </pic:cNvPicPr>
                  </pic:nvPicPr>
                  <pic:blipFill>
                    <a:blip r:embed="rId67"/>
                    <a:srcRect/>
                    <a:stretch>
                      <a:fillRect/>
                    </a:stretch>
                  </pic:blipFill>
                  <pic:spPr bwMode="auto">
                    <a:xfrm>
                      <a:off x="0" y="0"/>
                      <a:ext cx="4124325" cy="24384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240" w:lineRule="auto"/>
        <w:contextualSpacing/>
        <w:jc w:val="both"/>
        <w:rPr>
          <w:rFonts w:ascii="Times New Roman" w:hAnsi="Times New Roman" w:cs="Times New Roman"/>
          <w:sz w:val="28"/>
          <w:szCs w:val="28"/>
        </w:rPr>
      </w:pPr>
    </w:p>
    <w:p w:rsidR="0021764E" w:rsidRPr="00C62D22" w:rsidRDefault="0021764E" w:rsidP="0021764E">
      <w:pPr>
        <w:spacing w:after="0" w:line="24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При цьому кількість CD18 була невеликою, тоді як переважали Т та В лімфоцити (CD3 та CD20), та часто відмічалися й CD16 (табл. 6.1) [46, 180]. Між ними візуалізувалися нечисленні фібробласти, фіброцити, судини з дещо потовщеною стінкою. У тканині ПЗ поза кісти міжчасточкова, внутрішньочасточкова та перидуктальна строма були надлишково розвинені внаслідок розростання пластів сполучної тканини різного ступеня зрілості. Місцями це були ділянки грубоволокнистої сполучної тканини, що представлена пучками фуксинофільних колагенових волокон з нечисленними фібробластами, фіброцитами зі слабо вираженою синтетичною й проліферативною активністю та інфільтрованою лімфоцитами, гістіоцитами, нечисленними плазмоцитами й поліморфноядерними лейкоцитами (рис. 6.12) [122].</w:t>
      </w: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lastRenderedPageBreak/>
        <w:pict>
          <v:shape id="_x0000_s1120" type="#_x0000_t202" style="position:absolute;left:0;text-align:left;margin-left:0;margin-top:183.4pt;width:513pt;height:1in;z-index:251754496" stroked="f">
            <v:textbox style="mso-next-textbox:#_x0000_s1120">
              <w:txbxContent>
                <w:p w:rsidR="0021764E" w:rsidRPr="009814D0" w:rsidRDefault="0021764E" w:rsidP="0021764E">
                  <w:pPr>
                    <w:spacing w:after="0" w:line="360" w:lineRule="auto"/>
                    <w:ind w:left="-142"/>
                    <w:contextualSpacing/>
                    <w:jc w:val="right"/>
                    <w:rPr>
                      <w:rFonts w:ascii="Times New Roman" w:hAnsi="Times New Roman"/>
                      <w:sz w:val="28"/>
                      <w:szCs w:val="28"/>
                    </w:rPr>
                  </w:pPr>
                  <w:r>
                    <w:rPr>
                      <w:rFonts w:ascii="Times New Roman" w:hAnsi="Times New Roman"/>
                      <w:sz w:val="28"/>
                      <w:szCs w:val="28"/>
                    </w:rPr>
                    <w:t>Рис. 6.12</w:t>
                  </w:r>
                  <w:r w:rsidRPr="009814D0">
                    <w:rPr>
                      <w:rFonts w:ascii="Times New Roman" w:hAnsi="Times New Roman"/>
                      <w:sz w:val="28"/>
                      <w:szCs w:val="28"/>
                    </w:rPr>
                    <w:t>. Стінка хронічної</w:t>
                  </w:r>
                  <w:r>
                    <w:rPr>
                      <w:rFonts w:ascii="Times New Roman" w:hAnsi="Times New Roman"/>
                      <w:sz w:val="28"/>
                      <w:szCs w:val="28"/>
                    </w:rPr>
                    <w:t xml:space="preserve"> ПК ПЗ</w:t>
                  </w:r>
                  <w:r w:rsidRPr="009814D0">
                    <w:rPr>
                      <w:rFonts w:ascii="Times New Roman" w:hAnsi="Times New Roman"/>
                      <w:sz w:val="28"/>
                      <w:szCs w:val="28"/>
                    </w:rPr>
                    <w:t>, предс</w:t>
                  </w:r>
                  <w:r>
                    <w:rPr>
                      <w:rFonts w:ascii="Times New Roman" w:hAnsi="Times New Roman"/>
                      <w:sz w:val="28"/>
                      <w:szCs w:val="28"/>
                    </w:rPr>
                    <w:t>тавлена грануляційною тканиною (1) й</w:t>
                  </w:r>
                  <w:r w:rsidRPr="009814D0">
                    <w:rPr>
                      <w:rFonts w:ascii="Times New Roman" w:hAnsi="Times New Roman"/>
                      <w:sz w:val="28"/>
                      <w:szCs w:val="28"/>
                    </w:rPr>
                    <w:t xml:space="preserve"> фіброзним шаром</w:t>
                  </w:r>
                  <w:r>
                    <w:rPr>
                      <w:rFonts w:ascii="Times New Roman" w:hAnsi="Times New Roman"/>
                      <w:sz w:val="28"/>
                      <w:szCs w:val="28"/>
                    </w:rPr>
                    <w:t xml:space="preserve"> (2)</w:t>
                  </w:r>
                  <w:r w:rsidRPr="009814D0">
                    <w:rPr>
                      <w:rFonts w:ascii="Times New Roman" w:hAnsi="Times New Roman"/>
                      <w:sz w:val="28"/>
                      <w:szCs w:val="28"/>
                    </w:rPr>
                    <w:t>. У просвіті просочений кров'ю тканинний детрит</w:t>
                  </w:r>
                  <w:r>
                    <w:rPr>
                      <w:rFonts w:ascii="Times New Roman" w:hAnsi="Times New Roman"/>
                      <w:sz w:val="28"/>
                      <w:szCs w:val="28"/>
                    </w:rPr>
                    <w:t xml:space="preserve"> (3)</w:t>
                  </w:r>
                  <w:r w:rsidRPr="009814D0">
                    <w:rPr>
                      <w:rFonts w:ascii="Times New Roman" w:hAnsi="Times New Roman"/>
                      <w:sz w:val="28"/>
                      <w:szCs w:val="28"/>
                    </w:rPr>
                    <w:t>. Забарвлення п</w:t>
                  </w:r>
                  <w:r>
                    <w:rPr>
                      <w:rFonts w:ascii="Times New Roman" w:hAnsi="Times New Roman"/>
                      <w:sz w:val="28"/>
                      <w:szCs w:val="28"/>
                    </w:rPr>
                    <w:t>ікрофуксином за Ван Гізоном, х200</w:t>
                  </w:r>
                </w:p>
                <w:p w:rsidR="0021764E" w:rsidRDefault="0021764E" w:rsidP="0021764E">
                  <w:pPr>
                    <w:ind w:firstLine="540"/>
                  </w:pPr>
                </w:p>
              </w:txbxContent>
            </v:textbox>
          </v:shape>
        </w:pict>
      </w:r>
      <w:r w:rsidRPr="00C62D22">
        <w:rPr>
          <w:rFonts w:ascii="Times New Roman" w:hAnsi="Times New Roman" w:cs="Times New Roman"/>
          <w:noProof/>
          <w:sz w:val="28"/>
          <w:szCs w:val="28"/>
        </w:rPr>
        <w:pict>
          <v:shape id="_x0000_s1159" type="#_x0000_t202" style="position:absolute;left:0;text-align:left;margin-left:423pt;margin-top:139.8pt;width:26.3pt;height:30.85pt;z-index:251794432;mso-width-relative:margin;mso-height-relative:margin" strokecolor="white">
            <v:textbox style="mso-next-textbox:#_x0000_s1159">
              <w:txbxContent>
                <w:p w:rsidR="0021764E" w:rsidRPr="00B23BCD" w:rsidRDefault="0021764E" w:rsidP="0021764E">
                  <w:pPr>
                    <w:rPr>
                      <w:rFonts w:ascii="Times New Roman" w:hAnsi="Times New Roman"/>
                      <w:sz w:val="28"/>
                      <w:szCs w:val="28"/>
                    </w:rPr>
                  </w:pPr>
                  <w:r>
                    <w:rPr>
                      <w:rFonts w:ascii="Times New Roman" w:hAnsi="Times New Roman"/>
                      <w:sz w:val="28"/>
                      <w:szCs w:val="28"/>
                    </w:rPr>
                    <w:t>2</w:t>
                  </w:r>
                </w:p>
              </w:txbxContent>
            </v:textbox>
          </v:shape>
        </w:pict>
      </w:r>
      <w:r w:rsidRPr="00C62D22">
        <w:rPr>
          <w:rFonts w:ascii="Times New Roman" w:hAnsi="Times New Roman" w:cs="Times New Roman"/>
          <w:noProof/>
          <w:sz w:val="28"/>
          <w:szCs w:val="28"/>
        </w:rPr>
        <w:pict>
          <v:shape id="_x0000_s1157" type="#_x0000_t202" style="position:absolute;left:0;text-align:left;margin-left:423pt;margin-top:85.8pt;width:18pt;height:31.45pt;z-index:251792384;mso-width-relative:margin;mso-height-relative:margin" strokecolor="white">
            <v:textbox style="mso-next-textbox:#_x0000_s1157">
              <w:txbxContent>
                <w:p w:rsidR="0021764E" w:rsidRPr="00B23BCD" w:rsidRDefault="0021764E" w:rsidP="0021764E">
                  <w:pPr>
                    <w:rPr>
                      <w:rFonts w:ascii="Times New Roman" w:hAnsi="Times New Roman"/>
                      <w:sz w:val="28"/>
                      <w:szCs w:val="28"/>
                    </w:rPr>
                  </w:pPr>
                  <w:r>
                    <w:rPr>
                      <w:rFonts w:ascii="Times New Roman" w:hAnsi="Times New Roman"/>
                      <w:sz w:val="28"/>
                      <w:szCs w:val="28"/>
                    </w:rPr>
                    <w:t>1</w:t>
                  </w:r>
                </w:p>
              </w:txbxContent>
            </v:textbox>
          </v:shape>
        </w:pict>
      </w:r>
      <w:r w:rsidRPr="00C62D22">
        <w:rPr>
          <w:rFonts w:ascii="Times New Roman" w:hAnsi="Times New Roman" w:cs="Times New Roman"/>
          <w:noProof/>
          <w:sz w:val="28"/>
          <w:szCs w:val="28"/>
        </w:rPr>
        <w:pict>
          <v:shape id="_x0000_s1156" type="#_x0000_t202" style="position:absolute;left:0;text-align:left;margin-left:423pt;margin-top:22.8pt;width:11.9pt;height:30.6pt;z-index:251791360;mso-width-relative:margin;mso-height-relative:margin" strokecolor="white">
            <v:textbox style="mso-next-textbox:#_x0000_s1156">
              <w:txbxContent>
                <w:p w:rsidR="0021764E" w:rsidRPr="00B23BCD" w:rsidRDefault="0021764E" w:rsidP="0021764E">
                  <w:pPr>
                    <w:rPr>
                      <w:rFonts w:ascii="Times New Roman" w:hAnsi="Times New Roman"/>
                      <w:sz w:val="28"/>
                      <w:szCs w:val="28"/>
                    </w:rPr>
                  </w:pPr>
                  <w:r>
                    <w:rPr>
                      <w:rFonts w:ascii="Times New Roman" w:hAnsi="Times New Roman"/>
                      <w:sz w:val="28"/>
                      <w:szCs w:val="28"/>
                    </w:rPr>
                    <w:t>3</w:t>
                  </w:r>
                </w:p>
              </w:txbxContent>
            </v:textbox>
          </v:shape>
        </w:pict>
      </w:r>
      <w:r w:rsidRPr="00C62D22">
        <w:rPr>
          <w:rFonts w:ascii="Times New Roman" w:hAnsi="Times New Roman" w:cs="Times New Roman"/>
          <w:noProof/>
          <w:sz w:val="28"/>
          <w:szCs w:val="28"/>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153" type="#_x0000_t88" style="position:absolute;left:0;text-align:left;margin-left:414pt;margin-top:4.8pt;width:11.55pt;height:64.65pt;z-index:251788288"/>
        </w:pict>
      </w:r>
      <w:r w:rsidRPr="00C62D22">
        <w:rPr>
          <w:rFonts w:ascii="Times New Roman" w:hAnsi="Times New Roman" w:cs="Times New Roman"/>
          <w:noProof/>
          <w:sz w:val="28"/>
          <w:szCs w:val="28"/>
        </w:rPr>
        <w:pict>
          <v:shape id="_x0000_s1154" type="#_x0000_t88" style="position:absolute;left:0;text-align:left;margin-left:414pt;margin-top:67.8pt;width:11.55pt;height:54pt;z-index:251789312"/>
        </w:pict>
      </w:r>
      <w:r w:rsidRPr="00C62D22">
        <w:rPr>
          <w:rFonts w:ascii="Times New Roman" w:hAnsi="Times New Roman" w:cs="Times New Roman"/>
          <w:noProof/>
          <w:sz w:val="28"/>
          <w:szCs w:val="28"/>
        </w:rPr>
        <w:pict>
          <v:shape id="_x0000_s1155" type="#_x0000_t88" style="position:absolute;left:0;text-align:left;margin-left:414pt;margin-top:121.8pt;width:9pt;height:62.6pt;z-index:251790336"/>
        </w:pict>
      </w:r>
      <w:r w:rsidRPr="00C62D22">
        <w:rPr>
          <w:rFonts w:ascii="Times New Roman" w:hAnsi="Times New Roman" w:cs="Times New Roman"/>
          <w:noProof/>
          <w:sz w:val="28"/>
          <w:szCs w:val="28"/>
        </w:rPr>
        <w:pict>
          <v:shape id="_x0000_s1158" type="#_x0000_t202" style="position:absolute;left:0;text-align:left;margin-left:446.55pt;margin-top:52pt;width:17.3pt;height:12pt;z-index:251793408;mso-width-relative:margin;mso-height-relative:margin" strokecolor="white">
            <v:textbox style="mso-next-textbox:#_x0000_s1158">
              <w:txbxContent>
                <w:p w:rsidR="0021764E" w:rsidRPr="00B23BCD" w:rsidRDefault="0021764E" w:rsidP="0021764E">
                  <w:pPr>
                    <w:rPr>
                      <w:rFonts w:ascii="Times New Roman" w:hAnsi="Times New Roman"/>
                      <w:sz w:val="28"/>
                      <w:szCs w:val="28"/>
                    </w:rPr>
                  </w:pPr>
                  <w:r>
                    <w:rPr>
                      <w:rFonts w:ascii="Times New Roman" w:hAnsi="Times New Roman"/>
                      <w:sz w:val="28"/>
                      <w:szCs w:val="28"/>
                    </w:rPr>
                    <w:t>3</w:t>
                  </w:r>
                </w:p>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62425" cy="2333625"/>
            <wp:effectExtent l="19050" t="0" r="9525" b="0"/>
            <wp:docPr id="149" name="Рисунок 17" descr="8пж остр-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8пж остр-200"/>
                    <pic:cNvPicPr>
                      <a:picLocks noChangeAspect="1" noChangeArrowheads="1"/>
                    </pic:cNvPicPr>
                  </pic:nvPicPr>
                  <pic:blipFill>
                    <a:blip r:embed="rId68" cstate="print"/>
                    <a:srcRect/>
                    <a:stretch>
                      <a:fillRect/>
                    </a:stretch>
                  </pic:blipFill>
                  <pic:spPr bwMode="auto">
                    <a:xfrm>
                      <a:off x="0" y="0"/>
                      <a:ext cx="4162425" cy="233362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contextualSpacing/>
        <w:jc w:val="center"/>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240" w:lineRule="auto"/>
        <w:contextualSpacing/>
        <w:jc w:val="both"/>
        <w:rPr>
          <w:rFonts w:ascii="Times New Roman" w:hAnsi="Times New Roman" w:cs="Times New Roman"/>
          <w:sz w:val="28"/>
          <w:szCs w:val="28"/>
        </w:rPr>
      </w:pPr>
    </w:p>
    <w:p w:rsidR="0021764E" w:rsidRPr="00C62D22" w:rsidRDefault="0021764E" w:rsidP="0021764E">
      <w:pPr>
        <w:spacing w:after="0" w:line="24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Серед імунних клітин у стромальному компоненті ПЗ переважали CD3 (38±3,6%) над CD20 (33±2,5%) лімфоцитами. Нейтрофільні гранулоцити CD18 і макрофаги CD16 були представлені в меншій кількості (табл. 6.1). Виявлені також клітини, що експресують рецептори до </w:t>
      </w:r>
      <w:r w:rsidRPr="00C62D22">
        <w:rPr>
          <w:rFonts w:ascii="Times New Roman" w:hAnsi="Times New Roman" w:cs="Times New Roman"/>
          <w:bCs/>
          <w:sz w:val="28"/>
          <w:szCs w:val="28"/>
        </w:rPr>
        <w:t>HLА-DR-антигену</w:t>
      </w:r>
      <w:r w:rsidRPr="00C62D22">
        <w:rPr>
          <w:rFonts w:ascii="Times New Roman" w:hAnsi="Times New Roman" w:cs="Times New Roman"/>
          <w:sz w:val="28"/>
          <w:szCs w:val="28"/>
        </w:rPr>
        <w:t xml:space="preserve"> – </w:t>
      </w:r>
      <w:r w:rsidRPr="00C62D22">
        <w:rPr>
          <w:rFonts w:ascii="Times New Roman" w:hAnsi="Times New Roman" w:cs="Times New Roman"/>
          <w:bCs/>
          <w:sz w:val="28"/>
          <w:szCs w:val="28"/>
        </w:rPr>
        <w:t>16,0±0,9</w:t>
      </w:r>
      <w:r w:rsidRPr="00C62D22">
        <w:rPr>
          <w:rFonts w:ascii="Times New Roman" w:hAnsi="Times New Roman" w:cs="Times New Roman"/>
          <w:sz w:val="28"/>
          <w:szCs w:val="28"/>
        </w:rPr>
        <w:t xml:space="preserve"> екз. у полі зору, х 400 (табл. 6.3, рис. 6.13) [46, 180].</w:t>
      </w:r>
    </w:p>
    <w:p w:rsidR="0021764E" w:rsidRPr="00C62D22" w:rsidRDefault="0021764E" w:rsidP="0021764E">
      <w:pPr>
        <w:spacing w:after="0" w:line="24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b/>
          <w:sz w:val="28"/>
          <w:szCs w:val="28"/>
        </w:rPr>
      </w:pPr>
      <w:r w:rsidRPr="00C62D22">
        <w:rPr>
          <w:rFonts w:ascii="Times New Roman" w:hAnsi="Times New Roman" w:cs="Times New Roman"/>
          <w:b/>
          <w:noProof/>
          <w:sz w:val="28"/>
          <w:szCs w:val="28"/>
        </w:rPr>
        <w:pict>
          <v:shape id="_x0000_s1187" type="#_x0000_t13" style="position:absolute;left:0;text-align:left;margin-left:250.8pt;margin-top:72.5pt;width:31.5pt;height:18pt;z-index:251823104" fillcolor="#c0504d" strokecolor="#f2f2f2" strokeweight="3pt">
            <v:shadow on="t" type="perspective" color="#622423" opacity=".5" offset="1pt" offset2="-1pt"/>
          </v:shape>
        </w:pict>
      </w:r>
      <w:r w:rsidRPr="00C62D22">
        <w:rPr>
          <w:rFonts w:ascii="Times New Roman" w:hAnsi="Times New Roman" w:cs="Times New Roman"/>
          <w:b/>
          <w:noProof/>
          <w:sz w:val="28"/>
          <w:szCs w:val="28"/>
        </w:rPr>
        <w:t xml:space="preserve">    </w:t>
      </w:r>
      <w:r w:rsidRPr="00C62D22">
        <w:rPr>
          <w:rFonts w:ascii="Times New Roman" w:hAnsi="Times New Roman" w:cs="Times New Roman"/>
          <w:b/>
          <w:noProof/>
          <w:sz w:val="28"/>
          <w:szCs w:val="28"/>
        </w:rPr>
        <w:drawing>
          <wp:inline distT="0" distB="0" distL="0" distR="0">
            <wp:extent cx="4114800" cy="2657475"/>
            <wp:effectExtent l="19050" t="0" r="0" b="0"/>
            <wp:docPr id="150" name="Рисунок 18" descr="1-и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descr="1-ил"/>
                    <pic:cNvPicPr>
                      <a:picLocks noChangeAspect="1" noChangeArrowheads="1"/>
                    </pic:cNvPicPr>
                  </pic:nvPicPr>
                  <pic:blipFill>
                    <a:blip r:embed="rId69">
                      <a:lum bright="-14000" contrast="34000"/>
                    </a:blip>
                    <a:srcRect/>
                    <a:stretch>
                      <a:fillRect/>
                    </a:stretch>
                  </pic:blipFill>
                  <pic:spPr bwMode="auto">
                    <a:xfrm>
                      <a:off x="0" y="0"/>
                      <a:ext cx="4114800" cy="2657475"/>
                    </a:xfrm>
                    <a:prstGeom prst="rect">
                      <a:avLst/>
                    </a:prstGeom>
                    <a:noFill/>
                    <a:ln w="9525">
                      <a:noFill/>
                      <a:miter lim="800000"/>
                      <a:headEnd/>
                      <a:tailEnd/>
                    </a:ln>
                  </pic:spPr>
                </pic:pic>
              </a:graphicData>
            </a:graphic>
          </wp:inline>
        </w:drawing>
      </w:r>
      <w:r w:rsidRPr="00C62D22">
        <w:rPr>
          <w:rFonts w:ascii="Times New Roman" w:hAnsi="Times New Roman" w:cs="Times New Roman"/>
          <w:b/>
          <w:noProof/>
          <w:sz w:val="28"/>
          <w:szCs w:val="28"/>
        </w:rPr>
        <w:t xml:space="preserve">  </w:t>
      </w:r>
    </w:p>
    <w:p w:rsidR="0021764E" w:rsidRPr="00C62D22" w:rsidRDefault="0021764E" w:rsidP="0021764E">
      <w:pPr>
        <w:spacing w:after="0" w:line="360" w:lineRule="auto"/>
        <w:contextualSpacing/>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21" type="#_x0000_t202" style="position:absolute;left:0;text-align:left;margin-left:0;margin-top:2.1pt;width:7in;height:68.55pt;z-index:251755520" stroked="f">
            <v:textbox style="mso-next-textbox:#_x0000_s1121">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6.13</w:t>
                  </w:r>
                  <w:r w:rsidRPr="009814D0">
                    <w:rPr>
                      <w:rFonts w:ascii="Times New Roman" w:hAnsi="Times New Roman"/>
                      <w:sz w:val="28"/>
                      <w:szCs w:val="28"/>
                    </w:rPr>
                    <w:t xml:space="preserve">. Поодинокі клітини, </w:t>
                  </w:r>
                  <w:r>
                    <w:rPr>
                      <w:rFonts w:ascii="Times New Roman" w:hAnsi="Times New Roman"/>
                      <w:sz w:val="28"/>
                      <w:szCs w:val="28"/>
                    </w:rPr>
                    <w:t>що експресують</w:t>
                  </w:r>
                  <w:r w:rsidRPr="009814D0">
                    <w:rPr>
                      <w:rFonts w:ascii="Times New Roman" w:hAnsi="Times New Roman"/>
                      <w:sz w:val="28"/>
                      <w:szCs w:val="28"/>
                    </w:rPr>
                    <w:t xml:space="preserve"> рецептори до </w:t>
                  </w:r>
                  <w:r w:rsidRPr="009814D0">
                    <w:rPr>
                      <w:rFonts w:ascii="Times New Roman" w:hAnsi="Times New Roman"/>
                      <w:bCs/>
                      <w:sz w:val="28"/>
                      <w:szCs w:val="28"/>
                    </w:rPr>
                    <w:t>HL</w:t>
                  </w:r>
                  <w:r>
                    <w:rPr>
                      <w:rFonts w:ascii="Times New Roman" w:hAnsi="Times New Roman"/>
                      <w:bCs/>
                      <w:sz w:val="28"/>
                      <w:szCs w:val="28"/>
                    </w:rPr>
                    <w:t>А</w:t>
                  </w:r>
                  <w:r w:rsidRPr="009814D0">
                    <w:rPr>
                      <w:rFonts w:ascii="Times New Roman" w:hAnsi="Times New Roman"/>
                      <w:bCs/>
                      <w:sz w:val="28"/>
                      <w:szCs w:val="28"/>
                    </w:rPr>
                    <w:t>DR-антигену</w:t>
                  </w:r>
                  <w:r>
                    <w:rPr>
                      <w:rFonts w:ascii="Times New Roman" w:hAnsi="Times New Roman"/>
                      <w:bCs/>
                      <w:sz w:val="28"/>
                      <w:szCs w:val="28"/>
                    </w:rPr>
                    <w:t xml:space="preserve"> (указано стрілкою)</w:t>
                  </w:r>
                  <w:r w:rsidRPr="009814D0">
                    <w:rPr>
                      <w:rFonts w:ascii="Times New Roman" w:hAnsi="Times New Roman"/>
                      <w:bCs/>
                      <w:sz w:val="28"/>
                      <w:szCs w:val="28"/>
                    </w:rPr>
                    <w:t>. Прямий метод Кунса з МКА до HL</w:t>
                  </w:r>
                  <w:r>
                    <w:rPr>
                      <w:rFonts w:ascii="Times New Roman" w:hAnsi="Times New Roman"/>
                      <w:bCs/>
                      <w:sz w:val="28"/>
                      <w:szCs w:val="28"/>
                    </w:rPr>
                    <w:t>А-</w:t>
                  </w:r>
                  <w:r w:rsidRPr="009814D0">
                    <w:rPr>
                      <w:rFonts w:ascii="Times New Roman" w:hAnsi="Times New Roman"/>
                      <w:bCs/>
                      <w:sz w:val="28"/>
                      <w:szCs w:val="28"/>
                    </w:rPr>
                    <w:t>DR</w:t>
                  </w:r>
                  <w:r>
                    <w:rPr>
                      <w:rFonts w:ascii="Times New Roman" w:hAnsi="Times New Roman"/>
                      <w:bCs/>
                      <w:sz w:val="28"/>
                      <w:szCs w:val="28"/>
                    </w:rPr>
                    <w:t>-антигену, х 600</w:t>
                  </w:r>
                </w:p>
                <w:p w:rsidR="0021764E" w:rsidRDefault="0021764E" w:rsidP="0021764E"/>
              </w:txbxContent>
            </v:textbox>
          </v:shape>
        </w:pict>
      </w: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Пучки колагенових волокон були дещо набряклі, простори між ними розширені за рахунок набряку основної речовини. Із зонами фіброзу строми чергувалися ділянки молодої сполучної тканини, замісної вогнища некрозу паренхіми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Новостворена сполучна тканина була багата тонкостінними судинами, між якими розташовувалися численні синтетично й проліферативно активні фібробласти, клітини гематогенного ряду, тонкі слабо фуксинофільні пучки колагенових волокон (рис. 6.14) [122]. </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62" type="#_x0000_t202" style="position:absolute;left:0;text-align:left;margin-left:139.05pt;margin-top:145.55pt;width:30.05pt;height:31.5pt;z-index:251797504;mso-width-relative:margin;mso-height-relative:margin" filled="f" stroked="f" strokecolor="white">
            <v:textbox style="mso-next-textbox:#_x0000_s1162">
              <w:txbxContent>
                <w:p w:rsidR="0021764E" w:rsidRPr="00B23BCD" w:rsidRDefault="0021764E" w:rsidP="0021764E">
                  <w:pPr>
                    <w:rPr>
                      <w:rFonts w:ascii="Times New Roman" w:hAnsi="Times New Roman"/>
                      <w:b/>
                      <w:sz w:val="28"/>
                      <w:szCs w:val="28"/>
                    </w:rPr>
                  </w:pPr>
                  <w:r w:rsidRPr="00B23BCD">
                    <w:rPr>
                      <w:rFonts w:ascii="Times New Roman" w:hAnsi="Times New Roman"/>
                      <w:b/>
                      <w:sz w:val="28"/>
                      <w:szCs w:val="28"/>
                    </w:rPr>
                    <w:t>3</w:t>
                  </w:r>
                </w:p>
              </w:txbxContent>
            </v:textbox>
          </v:shape>
        </w:pict>
      </w:r>
      <w:r w:rsidRPr="00C62D22">
        <w:rPr>
          <w:rFonts w:ascii="Times New Roman" w:hAnsi="Times New Roman" w:cs="Times New Roman"/>
          <w:noProof/>
          <w:sz w:val="28"/>
          <w:szCs w:val="28"/>
        </w:rPr>
        <w:pict>
          <v:shape id="_x0000_s1161" type="#_x0000_t202" style="position:absolute;left:0;text-align:left;margin-left:349.8pt;margin-top:57.8pt;width:17.3pt;height:23.25pt;z-index:251796480;mso-width-relative:margin;mso-height-relative:margin" filled="f" stroked="f" strokecolor="white">
            <v:textbox style="mso-next-textbox:#_x0000_s1161">
              <w:txbxContent>
                <w:p w:rsidR="0021764E" w:rsidRPr="00B23BCD" w:rsidRDefault="0021764E" w:rsidP="0021764E">
                  <w:pPr>
                    <w:rPr>
                      <w:rFonts w:ascii="Times New Roman" w:hAnsi="Times New Roman"/>
                      <w:b/>
                      <w:sz w:val="28"/>
                      <w:szCs w:val="28"/>
                    </w:rPr>
                  </w:pPr>
                  <w:r w:rsidRPr="00B23BCD">
                    <w:rPr>
                      <w:rFonts w:ascii="Times New Roman" w:hAnsi="Times New Roman"/>
                      <w:b/>
                      <w:sz w:val="28"/>
                      <w:szCs w:val="28"/>
                    </w:rPr>
                    <w:t>2</w:t>
                  </w:r>
                </w:p>
              </w:txbxContent>
            </v:textbox>
          </v:shape>
        </w:pict>
      </w:r>
      <w:r w:rsidRPr="00C62D22">
        <w:rPr>
          <w:rFonts w:ascii="Times New Roman" w:hAnsi="Times New Roman" w:cs="Times New Roman"/>
          <w:noProof/>
          <w:sz w:val="28"/>
          <w:szCs w:val="28"/>
        </w:rPr>
        <w:pict>
          <v:shape id="_x0000_s1160" type="#_x0000_t202" style="position:absolute;left:0;text-align:left;margin-left:273.3pt;margin-top:57.8pt;width:17.3pt;height:23.25pt;z-index:251795456;mso-width-relative:margin;mso-height-relative:margin" filled="f" stroked="f" strokecolor="white">
            <v:textbox style="mso-next-textbox:#_x0000_s1160">
              <w:txbxContent>
                <w:p w:rsidR="0021764E" w:rsidRPr="00B23BCD" w:rsidRDefault="0021764E" w:rsidP="0021764E">
                  <w:pPr>
                    <w:rPr>
                      <w:rFonts w:ascii="Times New Roman" w:hAnsi="Times New Roman"/>
                      <w:b/>
                      <w:sz w:val="28"/>
                      <w:szCs w:val="28"/>
                    </w:rPr>
                  </w:pPr>
                  <w:r>
                    <w:rPr>
                      <w:rFonts w:ascii="Times New Roman" w:hAnsi="Times New Roman"/>
                      <w:b/>
                      <w:sz w:val="28"/>
                      <w:szCs w:val="28"/>
                    </w:rPr>
                    <w:t>1</w:t>
                  </w:r>
                </w:p>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71950" cy="2638425"/>
            <wp:effectExtent l="19050" t="0" r="0" b="0"/>
            <wp:docPr id="151" name="Рисунок 19" descr="3пж1 придукт склероз-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descr="3пж1 придукт склероз-200"/>
                    <pic:cNvPicPr>
                      <a:picLocks noChangeAspect="1" noChangeArrowheads="1"/>
                    </pic:cNvPicPr>
                  </pic:nvPicPr>
                  <pic:blipFill>
                    <a:blip r:embed="rId70" cstate="print"/>
                    <a:srcRect/>
                    <a:stretch>
                      <a:fillRect/>
                    </a:stretch>
                  </pic:blipFill>
                  <pic:spPr bwMode="auto">
                    <a:xfrm>
                      <a:off x="0" y="0"/>
                      <a:ext cx="4171950" cy="263842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contextualSpacing/>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22" type="#_x0000_t202" style="position:absolute;left:0;text-align:left;margin-left:0;margin-top:3.5pt;width:7in;height:74.55pt;z-index:251756544" stroked="f">
            <v:textbox style="mso-next-textbox:#_x0000_s1122">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6.14. Пери</w:t>
                  </w:r>
                  <w:r w:rsidRPr="009814D0">
                    <w:rPr>
                      <w:rFonts w:ascii="Times New Roman" w:hAnsi="Times New Roman"/>
                      <w:sz w:val="28"/>
                      <w:szCs w:val="28"/>
                    </w:rPr>
                    <w:t xml:space="preserve">дуктальний </w:t>
                  </w:r>
                  <w:r>
                    <w:rPr>
                      <w:rFonts w:ascii="Times New Roman" w:hAnsi="Times New Roman"/>
                      <w:sz w:val="28"/>
                      <w:szCs w:val="28"/>
                    </w:rPr>
                    <w:t xml:space="preserve">(1) </w:t>
                  </w:r>
                  <w:r w:rsidRPr="009814D0">
                    <w:rPr>
                      <w:rFonts w:ascii="Times New Roman" w:hAnsi="Times New Roman"/>
                      <w:sz w:val="28"/>
                      <w:szCs w:val="28"/>
                    </w:rPr>
                    <w:t xml:space="preserve">і міжчасточковий фіброз строми </w:t>
                  </w:r>
                  <w:r>
                    <w:rPr>
                      <w:rFonts w:ascii="Times New Roman" w:hAnsi="Times New Roman"/>
                      <w:sz w:val="28"/>
                      <w:szCs w:val="28"/>
                    </w:rPr>
                    <w:t>ПЗ (2)</w:t>
                  </w:r>
                  <w:r w:rsidRPr="009814D0">
                    <w:rPr>
                      <w:rFonts w:ascii="Times New Roman" w:hAnsi="Times New Roman"/>
                      <w:sz w:val="28"/>
                      <w:szCs w:val="28"/>
                    </w:rPr>
                    <w:t>. Ділянка молодої сполучної тканини (ліворуч)</w:t>
                  </w:r>
                  <w:r>
                    <w:rPr>
                      <w:rFonts w:ascii="Times New Roman" w:hAnsi="Times New Roman"/>
                      <w:sz w:val="28"/>
                      <w:szCs w:val="28"/>
                    </w:rPr>
                    <w:t xml:space="preserve"> (3)</w:t>
                  </w:r>
                  <w:r w:rsidRPr="009814D0">
                    <w:rPr>
                      <w:rFonts w:ascii="Times New Roman" w:hAnsi="Times New Roman"/>
                      <w:sz w:val="28"/>
                      <w:szCs w:val="28"/>
                    </w:rPr>
                    <w:t>. Забарвлення п</w:t>
                  </w:r>
                  <w:r>
                    <w:rPr>
                      <w:rFonts w:ascii="Times New Roman" w:hAnsi="Times New Roman"/>
                      <w:sz w:val="28"/>
                      <w:szCs w:val="28"/>
                    </w:rPr>
                    <w:t>ікрофуксином за Ван Гізоном, х200</w:t>
                  </w:r>
                </w:p>
                <w:p w:rsidR="0021764E" w:rsidRDefault="0021764E" w:rsidP="0021764E"/>
              </w:txbxContent>
            </v:textbox>
          </v:shape>
        </w:pict>
      </w: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Внутрішньочасточкові капіляри були з ознаками зниженого тонусу, дилятовані. У частини з них виявлялася помірна проліферація перителіоцитів та ендотеліоцитів з помірною реакцією на РНП у цитоплазмі й на ДНП у ядрі. Гладкі м'язові клітини були з ознаками помірної дистрофії, зі слабо вираженими реакціями Браше в цитоплазмі та Фельгена-Россенбека в ядрах. У деяких капілярах виявлялася десквамація ендотелію зі скупченням його в просвіті судин. Базальна мембрана капілярів була дещо набрякла, слабо ШИК-позитивна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У просвітах частини капілярів і венул зрідка зустрічалися дрібні тромби. Венули були зі зниженим тонусом стінки, подекуди з колбоподібною дилатацією, </w:t>
      </w:r>
      <w:r w:rsidRPr="00C62D22">
        <w:rPr>
          <w:rFonts w:ascii="Times New Roman" w:hAnsi="Times New Roman" w:cs="Times New Roman"/>
          <w:sz w:val="28"/>
          <w:szCs w:val="28"/>
        </w:rPr>
        <w:lastRenderedPageBreak/>
        <w:t>витонченням і фокальним некрозом, периваскулярно з дрібновогнищевими крововиливами й накопиченням ШИК-позитивних продуктів. Ендотеліоцити венул були сплощені, ядра клітин були пікнотичні або не візуалізувалися з негативною реакцією на ДНП у них. Базальна мембрана була помірно ШИК-позитивна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Розташовані біля часточок ПЗ артеріоли були покручені, петлясті, з ознаками підвищеного тонусу стінки й типовою акомодацією ендотеліоцитів, нерівномірно звуженим або нерозрізненим просвітом. Поза спазму ендотеліоцити були сплощені, витягнуті. Частина артеріол була паретично розширена з осередковою проліферацією ендотелію, гіперплазією та гіпертрофією гладких м'язових клітин судинної стінки. Базальна мембрана судин була ШИК-позитивна, потовщена, з розволокненнями. Вогнищево в стінках дрібних артерій та артеріол виявлялися ознаки мукоїдного набухання й фібриноїдних змін з периваскулярним набряком тканин [122]. </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Розташовані у фіброзованій міжчасточковій стромі артерії дрібного та середнього калібру були нерівномірно кровонаповнені, ендотеліоцити, які їх вистилали, з вогнищами десквамації та проліферації, місцями були розташовані у вигляді частоколу. Реакція Браше в цитоплазмі клітин була помірно виражена, реакція Фельгена-Россенбека в ядрах була виражена слабо, в осередках проліферації – помірно. Судинна базальна мембрана була місцями гофрована, нерівномірно ШИК-позитивна. Підендотеліальний шар був дещо розширений за рахунок накопичення ШИК-позитивної речовини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Внутрішня еластична мембрана при фарбуванні фукселіном на еластичні волокна за Вейгертом була розширена за рахунок гіперплазії та її розщеплення, що надавало артеріям м'язового типу схожість з артеріями м'язово-еластичного типу. Середній шар судин був потовщений унаслідок гіпертрофії та гіперплазії гладких м'язових клітин з вираженою реакцією на РНП у цитоплазмі та інтенсивною реакцією на ДНП в ядрах. Між гладкими м'язовими клітинами визначалися кілька потовщені фуксинофільні колагенові волокна. Між ними візуалізувалися еластичні волокна, що формували на кордоні із зовнішньою оболонкою добре розвинену </w:t>
      </w:r>
      <w:r w:rsidRPr="00C62D22">
        <w:rPr>
          <w:rFonts w:ascii="Times New Roman" w:hAnsi="Times New Roman" w:cs="Times New Roman"/>
          <w:sz w:val="28"/>
          <w:szCs w:val="28"/>
        </w:rPr>
        <w:lastRenderedPageBreak/>
        <w:t>зовнішню еластичну мембрану. Навколо артерій розташовувалися тонкі пучки фуксинофільних колагенових волокон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Міжчасточкові вени були розширені, переповнені кров'ю з вогнищевими периваскулярними крововиливами. Ендотеліоцити були сплощені з помірною реакцією на РНП у цитоплазмі та на ДНП у ядрі. Судинна базальна мембрана була трохи розволокнена, помірно ШИК-позитивна. Лімфатичні капіляри, які розташовувалися навколо збережених ацинусів та острівців, щілиноподібної форми, лімфатичні судини були розширені, переповнені лімфою. Ендотеліоцити, які їх вистилали, мали подовжену форму зі слабко базофільною цитоплазмою, бідною РНП і ядром зі слабкою реакцією на ДНП. У місцях колишніх крововиливів у міжчасточковій стромі зустрічалися вогнища відкладення гемосидерину (рис. 6.15).</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64" type="#_x0000_t202" style="position:absolute;left:0;text-align:left;margin-left:140.55pt;margin-top:82.7pt;width:17.3pt;height:23.25pt;z-index:251799552;mso-width-relative:margin;mso-height-relative:margin" filled="f" stroked="f" strokecolor="white">
            <v:textbox style="mso-next-textbox:#_x0000_s1164">
              <w:txbxContent>
                <w:p w:rsidR="0021764E" w:rsidRPr="00B23BCD" w:rsidRDefault="0021764E" w:rsidP="0021764E">
                  <w:pPr>
                    <w:rPr>
                      <w:rFonts w:ascii="Times New Roman" w:hAnsi="Times New Roman"/>
                      <w:b/>
                      <w:sz w:val="28"/>
                      <w:szCs w:val="28"/>
                    </w:rPr>
                  </w:pPr>
                  <w:r>
                    <w:rPr>
                      <w:rFonts w:ascii="Times New Roman" w:hAnsi="Times New Roman"/>
                      <w:b/>
                      <w:sz w:val="28"/>
                      <w:szCs w:val="28"/>
                    </w:rPr>
                    <w:t>1</w:t>
                  </w:r>
                </w:p>
              </w:txbxContent>
            </v:textbox>
          </v:shape>
        </w:pict>
      </w:r>
      <w:r w:rsidRPr="00C62D22">
        <w:rPr>
          <w:rFonts w:ascii="Times New Roman" w:hAnsi="Times New Roman" w:cs="Times New Roman"/>
          <w:noProof/>
          <w:sz w:val="28"/>
          <w:szCs w:val="28"/>
        </w:rPr>
        <w:pict>
          <v:shape id="_x0000_s1163" type="#_x0000_t202" style="position:absolute;left:0;text-align:left;margin-left:331.8pt;margin-top:120.95pt;width:17.3pt;height:23.25pt;z-index:251798528;mso-width-relative:margin;mso-height-relative:margin" filled="f" stroked="f" strokecolor="white">
            <v:textbox style="mso-next-textbox:#_x0000_s1163">
              <w:txbxContent>
                <w:p w:rsidR="0021764E" w:rsidRPr="00B23BCD" w:rsidRDefault="0021764E" w:rsidP="0021764E">
                  <w:pPr>
                    <w:rPr>
                      <w:rFonts w:ascii="Times New Roman" w:hAnsi="Times New Roman"/>
                      <w:b/>
                      <w:sz w:val="28"/>
                      <w:szCs w:val="28"/>
                    </w:rPr>
                  </w:pPr>
                  <w:r>
                    <w:rPr>
                      <w:rFonts w:ascii="Times New Roman" w:hAnsi="Times New Roman"/>
                      <w:b/>
                      <w:sz w:val="28"/>
                      <w:szCs w:val="28"/>
                    </w:rPr>
                    <w:t>1</w:t>
                  </w:r>
                </w:p>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52900" cy="2667000"/>
            <wp:effectExtent l="19050" t="0" r="0" b="0"/>
            <wp:docPr id="152" name="Рисунок 20" descr="3пж1 хрон-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3пж1 хрон-100"/>
                    <pic:cNvPicPr>
                      <a:picLocks noChangeAspect="1" noChangeArrowheads="1"/>
                    </pic:cNvPicPr>
                  </pic:nvPicPr>
                  <pic:blipFill>
                    <a:blip r:embed="rId71" cstate="print"/>
                    <a:srcRect/>
                    <a:stretch>
                      <a:fillRect/>
                    </a:stretch>
                  </pic:blipFill>
                  <pic:spPr bwMode="auto">
                    <a:xfrm>
                      <a:off x="0" y="0"/>
                      <a:ext cx="4152900" cy="26670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23" type="#_x0000_t202" style="position:absolute;left:0;text-align:left;margin-left:0;margin-top:3.7pt;width:7in;height:60.3pt;z-index:251757568" stroked="f">
            <v:textbox style="mso-next-textbox:#_x0000_s1123">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6.15</w:t>
                  </w:r>
                  <w:r w:rsidRPr="009814D0">
                    <w:rPr>
                      <w:rFonts w:ascii="Times New Roman" w:hAnsi="Times New Roman"/>
                      <w:sz w:val="28"/>
                      <w:szCs w:val="28"/>
                    </w:rPr>
                    <w:t>. Вогнища відкладення гемосидерину в стінці хроні</w:t>
                  </w:r>
                  <w:r>
                    <w:rPr>
                      <w:rFonts w:ascii="Times New Roman" w:hAnsi="Times New Roman"/>
                      <w:sz w:val="28"/>
                      <w:szCs w:val="28"/>
                    </w:rPr>
                    <w:t>чної постнекротичної ПК (1). Заба</w:t>
                  </w:r>
                  <w:r w:rsidRPr="009814D0">
                    <w:rPr>
                      <w:rFonts w:ascii="Times New Roman" w:hAnsi="Times New Roman"/>
                      <w:sz w:val="28"/>
                      <w:szCs w:val="28"/>
                    </w:rPr>
                    <w:t>рвлення</w:t>
                  </w:r>
                  <w:r>
                    <w:rPr>
                      <w:rFonts w:ascii="Times New Roman" w:hAnsi="Times New Roman"/>
                      <w:sz w:val="28"/>
                      <w:szCs w:val="28"/>
                    </w:rPr>
                    <w:t xml:space="preserve"> гематоксиліном й еозином, х100</w:t>
                  </w:r>
                </w:p>
                <w:p w:rsidR="0021764E" w:rsidRPr="009814D0" w:rsidRDefault="0021764E" w:rsidP="0021764E">
                  <w:pPr>
                    <w:spacing w:after="0" w:line="360" w:lineRule="auto"/>
                    <w:ind w:firstLine="540"/>
                    <w:contextualSpacing/>
                    <w:jc w:val="both"/>
                    <w:rPr>
                      <w:rFonts w:ascii="Times New Roman" w:hAnsi="Times New Roman"/>
                      <w:sz w:val="28"/>
                      <w:szCs w:val="28"/>
                    </w:rPr>
                  </w:pPr>
                </w:p>
                <w:p w:rsidR="0021764E" w:rsidRDefault="0021764E" w:rsidP="0021764E"/>
              </w:txbxContent>
            </v:textbox>
          </v:shape>
        </w:pic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Нервові ганглії міжчасточкової строми відзначалися набряком тканин, огрубінням і потовщенням нервових стовбурів, набуханням цитоплазми клітин, у якій визначалася слабко виражена реакція на РНП. Помірно базофільні ядра нейроцитів були веретеноподібної форми зі слабо вираженою реакцією на ДНП. Сполучнотканинна капсула складалася з прошарків сполучної тканини, які </w:t>
      </w:r>
      <w:r w:rsidRPr="00C62D22">
        <w:rPr>
          <w:rFonts w:ascii="Times New Roman" w:hAnsi="Times New Roman" w:cs="Times New Roman"/>
          <w:sz w:val="28"/>
          <w:szCs w:val="28"/>
        </w:rPr>
        <w:lastRenderedPageBreak/>
        <w:t>проникали в паренхіму вузла, були потовщені, помірно ШИК-позитивні та фуксинофільні. Периневральні простори були розширені внаслідок набряку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У всіх спостереженнях відзначалася лімфогістіоцитарна інфільтрація фіброзованої строми, яка носила дифузний або дифузно-вогнищевий характер з утворенням периваскулярних інфільтратів, у 8 випадках з поширенням на нервові стовбури й паренхіматозні структури та формуванням лімфоїдних фолікулів [122]. </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Екзокринна паренхіма ПЗ характеризувалася атрофічними змінами, була представлена часточками неоднакової величини з наявністю помилкових часточок, сформованих унаслідок розростання сполучної тканини в міжчасточковій і внутрішньочасточковій стромі. Незмінені панкреатичні ацинуси складалися з великих конусоподібних клітин. Ядра їх були округлої форми, розташовані базально, помірно сприймали основні барвники, реакція Фельгена-Россенбека в них була слабко виражена. Цитоплазма клітин була базофільна з ознаками високої синтетичної активності при реакції Браше. У помилкових часточках спостерігалася метаплазія ациноцитів у протокові епітеліоцити. Метаплазований ацинарний епітелій ставав проміжним між ациноцитом і протоковим епітелієм, формувалися ацинодуктулярні структури, що мали вигляд первинних вивідних проток. Просвіти їх були розширені, метаплазовані ациноцити були сплощені, ядра клітин дрібні, округлі, добре сприймали основні барвники, цитоплазма еозинофільна. Реакції на ДНП у ядрі та на РНП у цитоплазмі були помірно виражені. Базальна мембрана епітелію була слабо фуксинофільна, помірно ШИК-позитивна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Ендокринні острівці, розташовані між ацинусами, були звичайних розмірів, округлої або овальної форми. Ендокриноцити були округлої, рідше полігональної форми з еозинофільною цитоплазмою з інтенсивною реакцією Браше. Ядра були базофільними зі слабо вираженою реакцією Фельгена-Россенбека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Вставні протоки ацинусів були вистелені сплощеними клітинами з овальним слабо базофільним ядром з помірною реакцією на ДНП і слабо еозинофільною цитоплазмою з низькою інтенсивністю реакції на РНП. Міжацинозні та внутрішньочасточкові протоки були вислані одношаровим кубічним епітелієм з великими ядрами, добре забарвлювалися гематоксиліном з помірною реакцією </w:t>
      </w:r>
      <w:r w:rsidRPr="00C62D22">
        <w:rPr>
          <w:rFonts w:ascii="Times New Roman" w:hAnsi="Times New Roman" w:cs="Times New Roman"/>
          <w:sz w:val="28"/>
          <w:szCs w:val="28"/>
        </w:rPr>
        <w:lastRenderedPageBreak/>
        <w:t>Фельгена-Россенбека, цитоплазма їх була помірно еозинофільна, бідна РНП. Слизова оболонка між часточкових проток була представлена високим призматичним епітелієм і власною сполучнотканинною пластинкою. Ядра клітин були базофільні з інтенсивною реакцією на ДНП, цитоплазма була еозинофільна з інтенсивною реакцією на РНП. Базальна мембрана епітелію була слабко таИК-позитивна та фуксинофільна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Власна сполучнотканинна пластинка слизової оболонки була набрякла, сполучнотканинні волокна її були слабо фуксинофільні, помірно ШИК-позитивні. У 13 спостереженнях відзначалося розширення просвіту окремих міжчасточкових проток, вогнищева десквамація й вогнищева гіперплазія епітелію з появою багатошарових структур, у ядрах епітеліоцитів відзначалася інтенсивна реакція Фельгена-Россенбека. Перидуктально відзначалося розростання волокнистої сполучної тканини, волокна якої були інтенсивно фуксинофільні (рис. 6.16)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24" type="#_x0000_t202" style="position:absolute;left:0;text-align:left;margin-left:-5.25pt;margin-top:215.75pt;width:509.25pt;height:2in;z-index:251758592" stroked="f">
            <v:textbox style="mso-next-textbox:#_x0000_s1124">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6.16</w:t>
                  </w:r>
                  <w:r w:rsidRPr="009814D0">
                    <w:rPr>
                      <w:rFonts w:ascii="Times New Roman" w:hAnsi="Times New Roman"/>
                      <w:sz w:val="28"/>
                      <w:szCs w:val="28"/>
                    </w:rPr>
                    <w:t>. Вогнищево-дифузна лімфогістіоцитарна інфільтрація фіброзо</w:t>
                  </w:r>
                  <w:r>
                    <w:rPr>
                      <w:rFonts w:ascii="Times New Roman" w:hAnsi="Times New Roman"/>
                      <w:sz w:val="28"/>
                      <w:szCs w:val="28"/>
                    </w:rPr>
                    <w:t>ваної строми ПЗ</w:t>
                  </w:r>
                  <w:r w:rsidRPr="009814D0">
                    <w:rPr>
                      <w:rFonts w:ascii="Times New Roman" w:hAnsi="Times New Roman"/>
                      <w:sz w:val="28"/>
                      <w:szCs w:val="28"/>
                    </w:rPr>
                    <w:t xml:space="preserve"> </w:t>
                  </w:r>
                  <w:r>
                    <w:rPr>
                      <w:rFonts w:ascii="Times New Roman" w:hAnsi="Times New Roman"/>
                      <w:sz w:val="28"/>
                      <w:szCs w:val="28"/>
                    </w:rPr>
                    <w:t>і</w:t>
                  </w:r>
                  <w:r w:rsidRPr="009814D0">
                    <w:rPr>
                      <w:rFonts w:ascii="Times New Roman" w:hAnsi="Times New Roman"/>
                      <w:sz w:val="28"/>
                      <w:szCs w:val="28"/>
                    </w:rPr>
                    <w:t>з формуванням лімфоїдного фолікула</w:t>
                  </w:r>
                  <w:r>
                    <w:rPr>
                      <w:rFonts w:ascii="Times New Roman" w:hAnsi="Times New Roman"/>
                      <w:sz w:val="28"/>
                      <w:szCs w:val="28"/>
                    </w:rPr>
                    <w:t xml:space="preserve"> (1)</w:t>
                  </w:r>
                  <w:r w:rsidRPr="009814D0">
                    <w:rPr>
                      <w:rFonts w:ascii="Times New Roman" w:hAnsi="Times New Roman"/>
                      <w:sz w:val="28"/>
                      <w:szCs w:val="28"/>
                    </w:rPr>
                    <w:t>. Помилкові часточки з м</w:t>
                  </w:r>
                  <w:r>
                    <w:rPr>
                      <w:rFonts w:ascii="Times New Roman" w:hAnsi="Times New Roman"/>
                      <w:sz w:val="28"/>
                      <w:szCs w:val="28"/>
                    </w:rPr>
                    <w:t>етаплазією ацинарного епітелію (2) та</w:t>
                  </w:r>
                  <w:r w:rsidRPr="009814D0">
                    <w:rPr>
                      <w:rFonts w:ascii="Times New Roman" w:hAnsi="Times New Roman"/>
                      <w:sz w:val="28"/>
                      <w:szCs w:val="28"/>
                    </w:rPr>
                    <w:t xml:space="preserve"> формуванням ацинодуктулярних структур</w:t>
                  </w:r>
                  <w:r>
                    <w:rPr>
                      <w:rFonts w:ascii="Times New Roman" w:hAnsi="Times New Roman"/>
                      <w:sz w:val="28"/>
                      <w:szCs w:val="28"/>
                    </w:rPr>
                    <w:t xml:space="preserve"> (3)</w:t>
                  </w:r>
                  <w:r w:rsidRPr="009814D0">
                    <w:rPr>
                      <w:rFonts w:ascii="Times New Roman" w:hAnsi="Times New Roman"/>
                      <w:sz w:val="28"/>
                      <w:szCs w:val="28"/>
                    </w:rPr>
                    <w:t>. Ектазія міжчасточкових протоків з осередковою гіперплазією епітелію</w:t>
                  </w:r>
                  <w:r>
                    <w:rPr>
                      <w:rFonts w:ascii="Times New Roman" w:hAnsi="Times New Roman"/>
                      <w:sz w:val="28"/>
                      <w:szCs w:val="28"/>
                    </w:rPr>
                    <w:t xml:space="preserve"> (4)</w:t>
                  </w:r>
                  <w:r w:rsidRPr="009814D0">
                    <w:rPr>
                      <w:rFonts w:ascii="Times New Roman" w:hAnsi="Times New Roman"/>
                      <w:sz w:val="28"/>
                      <w:szCs w:val="28"/>
                    </w:rPr>
                    <w:t>. Забарвлення</w:t>
                  </w:r>
                  <w:r>
                    <w:rPr>
                      <w:rFonts w:ascii="Times New Roman" w:hAnsi="Times New Roman"/>
                      <w:sz w:val="28"/>
                      <w:szCs w:val="28"/>
                    </w:rPr>
                    <w:t xml:space="preserve"> гематоксиліном й еозином, х100</w:t>
                  </w:r>
                </w:p>
                <w:p w:rsidR="0021764E" w:rsidRDefault="0021764E" w:rsidP="0021764E"/>
              </w:txbxContent>
            </v:textbox>
          </v:shape>
        </w:pict>
      </w:r>
      <w:r w:rsidRPr="00C62D22">
        <w:rPr>
          <w:rFonts w:ascii="Times New Roman" w:hAnsi="Times New Roman" w:cs="Times New Roman"/>
          <w:noProof/>
          <w:sz w:val="28"/>
          <w:szCs w:val="28"/>
        </w:rPr>
        <w:pict>
          <v:shape id="_x0000_s1172" type="#_x0000_t202" style="position:absolute;left:0;text-align:left;margin-left:242.5pt;margin-top:6.8pt;width:17.3pt;height:23.25pt;z-index:251807744;mso-width-relative:margin;mso-height-relative:margin" filled="f" stroked="f" strokecolor="white">
            <v:textbox style="mso-next-textbox:#_x0000_s1172">
              <w:txbxContent>
                <w:p w:rsidR="0021764E" w:rsidRPr="00B23BCD" w:rsidRDefault="0021764E" w:rsidP="0021764E">
                  <w:pPr>
                    <w:rPr>
                      <w:rFonts w:ascii="Times New Roman" w:hAnsi="Times New Roman"/>
                      <w:b/>
                      <w:sz w:val="28"/>
                      <w:szCs w:val="28"/>
                    </w:rPr>
                  </w:pPr>
                  <w:r>
                    <w:rPr>
                      <w:rFonts w:ascii="Times New Roman" w:hAnsi="Times New Roman"/>
                      <w:b/>
                      <w:sz w:val="28"/>
                      <w:szCs w:val="28"/>
                    </w:rPr>
                    <w:t>4</w:t>
                  </w:r>
                </w:p>
              </w:txbxContent>
            </v:textbox>
          </v:shape>
        </w:pict>
      </w:r>
      <w:r w:rsidRPr="00C62D22">
        <w:rPr>
          <w:rFonts w:ascii="Times New Roman" w:hAnsi="Times New Roman" w:cs="Times New Roman"/>
          <w:noProof/>
          <w:sz w:val="28"/>
          <w:szCs w:val="28"/>
        </w:rPr>
        <w:pict>
          <v:shape id="_x0000_s1171" type="#_x0000_t202" style="position:absolute;left:0;text-align:left;margin-left:154.75pt;margin-top:162.05pt;width:17.3pt;height:23.25pt;z-index:251806720;mso-width-relative:margin;mso-height-relative:margin" filled="f" stroked="f" strokecolor="white">
            <v:textbox style="mso-next-textbox:#_x0000_s1171">
              <w:txbxContent>
                <w:p w:rsidR="0021764E" w:rsidRPr="00B23BCD" w:rsidRDefault="0021764E" w:rsidP="0021764E">
                  <w:pPr>
                    <w:rPr>
                      <w:rFonts w:ascii="Times New Roman" w:hAnsi="Times New Roman"/>
                      <w:b/>
                      <w:sz w:val="28"/>
                      <w:szCs w:val="28"/>
                    </w:rPr>
                  </w:pPr>
                  <w:r>
                    <w:rPr>
                      <w:rFonts w:ascii="Times New Roman" w:hAnsi="Times New Roman"/>
                      <w:b/>
                      <w:sz w:val="28"/>
                      <w:szCs w:val="28"/>
                    </w:rPr>
                    <w:t>3</w:t>
                  </w:r>
                </w:p>
              </w:txbxContent>
            </v:textbox>
          </v:shape>
        </w:pict>
      </w:r>
      <w:r w:rsidRPr="00C62D22">
        <w:rPr>
          <w:rFonts w:ascii="Times New Roman" w:hAnsi="Times New Roman" w:cs="Times New Roman"/>
          <w:noProof/>
          <w:sz w:val="28"/>
          <w:szCs w:val="28"/>
        </w:rPr>
        <w:pict>
          <v:shapetype id="_x0000_t32" coordsize="21600,21600" o:spt="32" o:oned="t" path="m,l21600,21600e" filled="f">
            <v:path arrowok="t" fillok="f" o:connecttype="none"/>
            <o:lock v:ext="edit" shapetype="t"/>
          </v:shapetype>
          <v:shape id="_x0000_s1170" type="#_x0000_t32" style="position:absolute;left:0;text-align:left;margin-left:172.05pt;margin-top:122.3pt;width:46.5pt;height:44.25pt;flip:y;z-index:251805696" o:connectortype="straight">
            <v:stroke endarrow="block"/>
          </v:shape>
        </w:pict>
      </w:r>
      <w:r w:rsidRPr="00C62D22">
        <w:rPr>
          <w:rFonts w:ascii="Times New Roman" w:hAnsi="Times New Roman" w:cs="Times New Roman"/>
          <w:noProof/>
          <w:sz w:val="28"/>
          <w:szCs w:val="28"/>
        </w:rPr>
        <w:pict>
          <v:shape id="_x0000_s1169" type="#_x0000_t32" style="position:absolute;left:0;text-align:left;margin-left:172.05pt;margin-top:132.05pt;width:17.3pt;height:34.5pt;flip:y;z-index:251804672" o:connectortype="straight">
            <v:stroke endarrow="block"/>
          </v:shape>
        </w:pict>
      </w:r>
      <w:r w:rsidRPr="00C62D22">
        <w:rPr>
          <w:rFonts w:ascii="Times New Roman" w:hAnsi="Times New Roman" w:cs="Times New Roman"/>
          <w:noProof/>
          <w:sz w:val="28"/>
          <w:szCs w:val="28"/>
        </w:rPr>
        <w:pict>
          <v:shape id="_x0000_s1168" type="#_x0000_t32" style="position:absolute;left:0;text-align:left;margin-left:172.05pt;margin-top:145.55pt;width:17.3pt;height:21pt;flip:y;z-index:251803648" o:connectortype="straight">
            <v:stroke endarrow="block"/>
          </v:shape>
        </w:pict>
      </w:r>
      <w:r w:rsidRPr="00C62D22">
        <w:rPr>
          <w:rFonts w:ascii="Times New Roman" w:hAnsi="Times New Roman" w:cs="Times New Roman"/>
          <w:noProof/>
          <w:sz w:val="28"/>
          <w:szCs w:val="28"/>
        </w:rPr>
        <w:pict>
          <v:shape id="_x0000_s1167" type="#_x0000_t202" style="position:absolute;left:0;text-align:left;margin-left:151pt;margin-top:122.3pt;width:17.3pt;height:23.25pt;z-index:251802624;mso-width-relative:margin;mso-height-relative:margin" filled="f" stroked="f" strokecolor="white">
            <v:textbox style="mso-next-textbox:#_x0000_s1167">
              <w:txbxContent>
                <w:p w:rsidR="0021764E" w:rsidRPr="00B23BCD" w:rsidRDefault="0021764E" w:rsidP="0021764E">
                  <w:pPr>
                    <w:rPr>
                      <w:rFonts w:ascii="Times New Roman" w:hAnsi="Times New Roman"/>
                      <w:b/>
                      <w:sz w:val="28"/>
                      <w:szCs w:val="28"/>
                    </w:rPr>
                  </w:pPr>
                  <w:r>
                    <w:rPr>
                      <w:rFonts w:ascii="Times New Roman" w:hAnsi="Times New Roman"/>
                      <w:b/>
                      <w:sz w:val="28"/>
                      <w:szCs w:val="28"/>
                    </w:rPr>
                    <w:t>2</w:t>
                  </w:r>
                </w:p>
              </w:txbxContent>
            </v:textbox>
          </v:shape>
        </w:pict>
      </w:r>
      <w:r w:rsidRPr="00C62D22">
        <w:rPr>
          <w:rFonts w:ascii="Times New Roman" w:hAnsi="Times New Roman" w:cs="Times New Roman"/>
          <w:noProof/>
          <w:sz w:val="28"/>
          <w:szCs w:val="28"/>
        </w:rPr>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166" type="#_x0000_t87" style="position:absolute;left:0;text-align:left;margin-left:172.05pt;margin-top:108.8pt;width:17.3pt;height:45.75pt;z-index:251801600"/>
        </w:pict>
      </w:r>
      <w:r w:rsidRPr="00C62D22">
        <w:rPr>
          <w:rFonts w:ascii="Times New Roman" w:hAnsi="Times New Roman" w:cs="Times New Roman"/>
          <w:noProof/>
          <w:sz w:val="28"/>
          <w:szCs w:val="28"/>
        </w:rPr>
        <w:pict>
          <v:shape id="_x0000_s1165" type="#_x0000_t202" style="position:absolute;left:0;text-align:left;margin-left:178.8pt;margin-top:39.8pt;width:17.3pt;height:23.25pt;z-index:251800576;mso-width-relative:margin;mso-height-relative:margin" filled="f" stroked="f" strokecolor="white">
            <v:textbox style="mso-next-textbox:#_x0000_s1165">
              <w:txbxContent>
                <w:p w:rsidR="0021764E" w:rsidRPr="00B23BCD" w:rsidRDefault="0021764E" w:rsidP="0021764E">
                  <w:pPr>
                    <w:rPr>
                      <w:rFonts w:ascii="Times New Roman" w:hAnsi="Times New Roman"/>
                      <w:b/>
                      <w:sz w:val="28"/>
                      <w:szCs w:val="28"/>
                    </w:rPr>
                  </w:pPr>
                  <w:r>
                    <w:rPr>
                      <w:rFonts w:ascii="Times New Roman" w:hAnsi="Times New Roman"/>
                      <w:b/>
                      <w:sz w:val="28"/>
                      <w:szCs w:val="28"/>
                    </w:rPr>
                    <w:t>1</w:t>
                  </w:r>
                </w:p>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33850" cy="2667000"/>
            <wp:effectExtent l="19050" t="0" r="0" b="0"/>
            <wp:docPr id="153" name="Рисунок 21" descr="10-2пж-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1" descr="10-2пж-100"/>
                    <pic:cNvPicPr>
                      <a:picLocks noChangeAspect="1" noChangeArrowheads="1"/>
                    </pic:cNvPicPr>
                  </pic:nvPicPr>
                  <pic:blipFill>
                    <a:blip r:embed="rId72" cstate="print"/>
                    <a:srcRect/>
                    <a:stretch>
                      <a:fillRect/>
                    </a:stretch>
                  </pic:blipFill>
                  <pic:spPr bwMode="auto">
                    <a:xfrm>
                      <a:off x="0" y="0"/>
                      <a:ext cx="4133850" cy="26670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В одному спостереженні виявлялася будова фіброзного раку (скірр) ПЗ на тлі ХП. Пухлинна тканина була представлена полями замурованих у фіброзній стромі окремих клітин або їх груп, які формували ланцюжки. Пухлинні клітини були різної форми й розмірів, цитоплазма їх еозинофільна, багата РНП. Ядра клітин були неправильної форми, гіперхромні з інтенсивною реакцією на ДНП, займають більшу частину або всю площу клітини. Зустрічалися багатоядерні клітини (рис. 6.17)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33850" cy="2667000"/>
            <wp:effectExtent l="19050" t="0" r="0" b="0"/>
            <wp:docPr id="154" name="Рисунок 22" descr="5пж3 рак-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descr="5пж3 рак-200"/>
                    <pic:cNvPicPr>
                      <a:picLocks noChangeAspect="1" noChangeArrowheads="1"/>
                    </pic:cNvPicPr>
                  </pic:nvPicPr>
                  <pic:blipFill>
                    <a:blip r:embed="rId73" cstate="print"/>
                    <a:srcRect/>
                    <a:stretch>
                      <a:fillRect/>
                    </a:stretch>
                  </pic:blipFill>
                  <pic:spPr bwMode="auto">
                    <a:xfrm>
                      <a:off x="0" y="0"/>
                      <a:ext cx="4133850" cy="2667000"/>
                    </a:xfrm>
                    <a:prstGeom prst="rect">
                      <a:avLst/>
                    </a:prstGeom>
                    <a:noFill/>
                    <a:ln w="9525">
                      <a:noFill/>
                      <a:miter lim="800000"/>
                      <a:headEnd/>
                      <a:tailEnd/>
                    </a:ln>
                  </pic:spPr>
                </pic:pic>
              </a:graphicData>
            </a:graphic>
          </wp:inline>
        </w:drawing>
      </w:r>
    </w:p>
    <w:p w:rsidR="0021764E" w:rsidRPr="00C62D22" w:rsidRDefault="0021764E" w:rsidP="0021764E">
      <w:pPr>
        <w:shd w:val="clear" w:color="auto" w:fill="FFFFFF"/>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25" type="#_x0000_t202" style="position:absolute;left:0;text-align:left;margin-left:0;margin-top:7.45pt;width:7in;height:54pt;z-index:251759616" stroked="f">
            <v:textbox style="mso-next-textbox:#_x0000_s1125">
              <w:txbxContent>
                <w:p w:rsidR="0021764E" w:rsidRPr="009814D0" w:rsidRDefault="0021764E" w:rsidP="0021764E">
                  <w:pPr>
                    <w:shd w:val="clear" w:color="auto" w:fill="FFFFFF"/>
                    <w:spacing w:after="0" w:line="360" w:lineRule="auto"/>
                    <w:contextualSpacing/>
                    <w:jc w:val="right"/>
                    <w:rPr>
                      <w:rFonts w:ascii="Times New Roman" w:hAnsi="Times New Roman"/>
                      <w:sz w:val="28"/>
                      <w:szCs w:val="28"/>
                    </w:rPr>
                  </w:pPr>
                  <w:r>
                    <w:rPr>
                      <w:rFonts w:ascii="Times New Roman" w:hAnsi="Times New Roman"/>
                      <w:sz w:val="28"/>
                      <w:szCs w:val="28"/>
                    </w:rPr>
                    <w:t>Рис. 6.17</w:t>
                  </w:r>
                  <w:r w:rsidRPr="009814D0">
                    <w:rPr>
                      <w:rFonts w:ascii="Times New Roman" w:hAnsi="Times New Roman"/>
                      <w:sz w:val="28"/>
                      <w:szCs w:val="28"/>
                    </w:rPr>
                    <w:t xml:space="preserve">. Низькодиференційований фіброзний рак </w:t>
                  </w:r>
                  <w:r>
                    <w:rPr>
                      <w:rFonts w:ascii="Times New Roman" w:hAnsi="Times New Roman"/>
                      <w:sz w:val="28"/>
                      <w:szCs w:val="28"/>
                    </w:rPr>
                    <w:t>ПЗ</w:t>
                  </w:r>
                  <w:r w:rsidRPr="009814D0">
                    <w:rPr>
                      <w:rFonts w:ascii="Times New Roman" w:hAnsi="Times New Roman"/>
                      <w:sz w:val="28"/>
                      <w:szCs w:val="28"/>
                    </w:rPr>
                    <w:t>. Забарвлення</w:t>
                  </w:r>
                  <w:r>
                    <w:rPr>
                      <w:rFonts w:ascii="Times New Roman" w:hAnsi="Times New Roman"/>
                      <w:sz w:val="28"/>
                      <w:szCs w:val="28"/>
                    </w:rPr>
                    <w:t xml:space="preserve"> гематоксиліном й еозином, х200</w:t>
                  </w:r>
                </w:p>
                <w:p w:rsidR="0021764E" w:rsidRDefault="0021764E" w:rsidP="0021764E">
                  <w:pPr>
                    <w:ind w:firstLine="540"/>
                  </w:pPr>
                </w:p>
              </w:txbxContent>
            </v:textbox>
          </v:shape>
        </w:pict>
      </w: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Таким чином, у всіх хворих ІІ групи спостерігалася сформована хронічна постнекротична ПК ПЗ, стінка якої була представлена грануляційною тканиною та фіброзним шаром. У сполучнотканинному компоненті були виявлені обидва типи інтенстиціальних колагенів – з перевагою менш зрілого колагену ІІІ типу над колагеном І типу [46, 180].</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Стінки мікросудин ПК були сформовані та представлені базальними мембранами, які містили колаген ІV типу та розташованими на них ендотеліоцитами, здатними експресувати рецептори до ендотеліна-1. Серед імунних клітин переважали лімфоцити (CD3 і CD20), зустрічалися макрофаги CD16 та поодинокі нейтрофільні гранулоцити – CD18. Ступінь експресії рецепторів до HLA-DR-антигену був невисоким [46, 180]. У прилеглих тканинах ПЗ виявлялася </w:t>
      </w:r>
      <w:r w:rsidRPr="00C62D22">
        <w:rPr>
          <w:rFonts w:ascii="Times New Roman" w:hAnsi="Times New Roman" w:cs="Times New Roman"/>
          <w:sz w:val="28"/>
          <w:szCs w:val="28"/>
        </w:rPr>
        <w:lastRenderedPageBreak/>
        <w:t>морфологічна картина ХП з фіброзними змінами міжчасточкової, перидуктальної та внутрішньочасточкової строми й хронічною запальною інфільтрацією, атрофією й перебудовою паренхіматозних структур з формуванням помилкових ацинарних часточок, метаплазією їх клітин і ацинодуктулярною перебудовою ацинусів, ектазією й осередковою гіперплазією протокового епітелію, дистрофічними змінами нервових гангліїв. Крім того, в одному спостереженні вище перелічені зміни тканини ПЗ, були фоном для розвитку її злоякісного новоутворення – фіброзного раку [122].</w:t>
      </w:r>
    </w:p>
    <w:p w:rsidR="0021764E" w:rsidRPr="00C62D22" w:rsidRDefault="0021764E" w:rsidP="0021764E">
      <w:pPr>
        <w:spacing w:after="0" w:line="360" w:lineRule="auto"/>
        <w:ind w:firstLine="540"/>
        <w:contextualSpacing/>
        <w:jc w:val="both"/>
        <w:rPr>
          <w:rFonts w:ascii="Times New Roman" w:hAnsi="Times New Roman" w:cs="Times New Roman"/>
          <w:b/>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b/>
          <w:bCs/>
          <w:sz w:val="28"/>
          <w:szCs w:val="28"/>
        </w:rPr>
      </w:pPr>
      <w:r w:rsidRPr="00C62D22">
        <w:rPr>
          <w:rFonts w:ascii="Times New Roman" w:hAnsi="Times New Roman" w:cs="Times New Roman"/>
          <w:b/>
          <w:sz w:val="28"/>
          <w:szCs w:val="28"/>
        </w:rPr>
        <w:t>6.3.</w:t>
      </w:r>
      <w:r w:rsidRPr="00C62D22">
        <w:rPr>
          <w:rFonts w:ascii="Times New Roman" w:hAnsi="Times New Roman" w:cs="Times New Roman"/>
          <w:b/>
          <w:bCs/>
          <w:sz w:val="28"/>
          <w:szCs w:val="28"/>
        </w:rPr>
        <w:t xml:space="preserve"> Гістологічні, гістохімічні та імуногістохімічні зміни в стінках псевдокіст третього типу та в прилеглій паренхімі підшлункової залози</w:t>
      </w:r>
    </w:p>
    <w:p w:rsidR="0021764E" w:rsidRPr="00C62D22" w:rsidRDefault="0021764E" w:rsidP="0021764E">
      <w:pPr>
        <w:spacing w:after="0" w:line="360" w:lineRule="auto"/>
        <w:ind w:firstLine="540"/>
        <w:contextualSpacing/>
        <w:jc w:val="both"/>
        <w:rPr>
          <w:rFonts w:ascii="Times New Roman" w:hAnsi="Times New Roman" w:cs="Times New Roman"/>
          <w:b/>
          <w:sz w:val="28"/>
          <w:szCs w:val="28"/>
        </w:rPr>
      </w:pP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При мікроскопічному дослідженні препаратів ПЗ досліджуваної групи (17 хворих) у більшості спостережень у зоні попередніх некрозів візуалізувалися сформовані ПК без епітеліального вистилання, стінка їх була представлена фіброзною тканиною та внутрішнім шаром грануляційної тканини (рис.6.18) [122]. </w:t>
      </w:r>
    </w:p>
    <w:p w:rsidR="0021764E" w:rsidRPr="00C62D22" w:rsidRDefault="0021764E" w:rsidP="0021764E">
      <w:pPr>
        <w:spacing w:after="0" w:line="36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35" type="#_x0000_t202" style="position:absolute;left:0;text-align:left;margin-left:4.05pt;margin-top:218.15pt;width:499.95pt;height:54pt;z-index:251769856" stroked="f">
            <v:textbox style="mso-next-textbox:#_x0000_s1135">
              <w:txbxContent>
                <w:p w:rsidR="0021764E"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 xml:space="preserve">Рис. 6.18. Стінка постнекротичної ПК ПЗ. </w:t>
                  </w:r>
                  <w:r w:rsidRPr="009814D0">
                    <w:rPr>
                      <w:rFonts w:ascii="Times New Roman" w:hAnsi="Times New Roman"/>
                      <w:sz w:val="28"/>
                      <w:szCs w:val="28"/>
                    </w:rPr>
                    <w:t xml:space="preserve">Забарвлення </w:t>
                  </w:r>
                  <w:r>
                    <w:rPr>
                      <w:rFonts w:ascii="Times New Roman" w:hAnsi="Times New Roman"/>
                      <w:sz w:val="28"/>
                      <w:szCs w:val="28"/>
                    </w:rPr>
                    <w:t>гематоксиліном й еозином, х400</w:t>
                  </w:r>
                </w:p>
                <w:p w:rsidR="0021764E" w:rsidRDefault="0021764E" w:rsidP="0021764E">
                  <w:pPr>
                    <w:spacing w:after="0" w:line="360" w:lineRule="auto"/>
                    <w:ind w:firstLine="540"/>
                    <w:contextualSpacing/>
                    <w:jc w:val="both"/>
                    <w:rPr>
                      <w:rFonts w:ascii="Times New Roman" w:hAnsi="Times New Roman"/>
                      <w:sz w:val="28"/>
                      <w:szCs w:val="28"/>
                    </w:rPr>
                  </w:pPr>
                </w:p>
                <w:p w:rsidR="0021764E" w:rsidRDefault="0021764E" w:rsidP="0021764E">
                  <w:pPr>
                    <w:spacing w:after="0" w:line="360" w:lineRule="auto"/>
                    <w:ind w:firstLine="540"/>
                    <w:contextualSpacing/>
                    <w:jc w:val="both"/>
                    <w:rPr>
                      <w:rFonts w:ascii="Times New Roman" w:hAnsi="Times New Roman"/>
                      <w:sz w:val="28"/>
                      <w:szCs w:val="28"/>
                    </w:rPr>
                  </w:pPr>
                </w:p>
                <w:p w:rsidR="0021764E" w:rsidRPr="005D4768" w:rsidRDefault="0021764E" w:rsidP="0021764E">
                  <w:pPr>
                    <w:spacing w:line="360" w:lineRule="auto"/>
                    <w:ind w:firstLine="540"/>
                    <w:contextualSpacing/>
                    <w:jc w:val="both"/>
                    <w:rPr>
                      <w:sz w:val="28"/>
                      <w:szCs w:val="28"/>
                    </w:rPr>
                  </w:pPr>
                </w:p>
              </w:txbxContent>
            </v:textbox>
            <w10:wrap type="square"/>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33850" cy="2647950"/>
            <wp:effectExtent l="19050" t="0" r="0" b="0"/>
            <wp:docPr id="155" name="Рисунок 73" descr="т22-40 кис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3" descr="т22-40 киста"/>
                    <pic:cNvPicPr>
                      <a:picLocks noChangeAspect="1" noChangeArrowheads="1"/>
                    </pic:cNvPicPr>
                  </pic:nvPicPr>
                  <pic:blipFill>
                    <a:blip r:embed="rId74" cstate="print">
                      <a:lum bright="-20000"/>
                    </a:blip>
                    <a:srcRect/>
                    <a:stretch>
                      <a:fillRect/>
                    </a:stretch>
                  </pic:blipFill>
                  <pic:spPr bwMode="auto">
                    <a:xfrm>
                      <a:off x="0" y="0"/>
                      <a:ext cx="4133850" cy="264795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Виявлялися кістоподібно розширені міжчасточкові протоки різного калібру. Просвіт кіст був заповнений білковим шаруватим детритом, десквамованим епітелієм, в 11 спостереженнях з наявністю інтенсивно базофільних глибчастих кальцифікатів. Епітелій, який вистилав стінку, був здебільшого сплощений, вогнищево десквамований, вогнищево гіперплазований з появою циліндричних слизоутворюючих синтетично активних клітин, місцями формували сосочкоподібні розростання або аденоматозні структури. Зустрічалися вогнища гіперплазії протокового епітелію з утворенням структур, які нагадували багатошаровий плаский епітелій, верхні шари якого були представлені циліндричним слизоутворюючим епітелієм (рис. 6.19) [122].</w:t>
      </w:r>
    </w:p>
    <w:p w:rsidR="0021764E" w:rsidRPr="00C62D22" w:rsidRDefault="0021764E" w:rsidP="0021764E">
      <w:pPr>
        <w:spacing w:after="0" w:line="240" w:lineRule="auto"/>
        <w:contextualSpacing/>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73" type="#_x0000_t202" style="position:absolute;left:0;text-align:left;margin-left:334pt;margin-top:58.8pt;width:22.5pt;height:23.25pt;z-index:251808768;mso-width-relative:margin;mso-height-relative:margin" stroked="f" strokecolor="white">
            <v:textbox style="mso-next-textbox:#_x0000_s1173">
              <w:txbxContent>
                <w:p w:rsidR="0021764E" w:rsidRPr="00B23BCD" w:rsidRDefault="0021764E" w:rsidP="0021764E">
                  <w:pPr>
                    <w:rPr>
                      <w:rFonts w:ascii="Times New Roman" w:hAnsi="Times New Roman"/>
                      <w:b/>
                      <w:sz w:val="28"/>
                      <w:szCs w:val="28"/>
                    </w:rPr>
                  </w:pPr>
                  <w:r>
                    <w:rPr>
                      <w:rFonts w:ascii="Times New Roman" w:hAnsi="Times New Roman"/>
                      <w:b/>
                      <w:sz w:val="28"/>
                      <w:szCs w:val="28"/>
                    </w:rPr>
                    <w:t>1</w:t>
                  </w:r>
                </w:p>
              </w:txbxContent>
            </v:textbox>
          </v:shape>
        </w:pict>
      </w:r>
      <w:r w:rsidRPr="00C62D22">
        <w:rPr>
          <w:rFonts w:ascii="Times New Roman" w:hAnsi="Times New Roman" w:cs="Times New Roman"/>
          <w:noProof/>
          <w:sz w:val="28"/>
          <w:szCs w:val="28"/>
        </w:rPr>
        <w:pict>
          <v:shape id="_x0000_s1174" type="#_x0000_t202" style="position:absolute;left:0;text-align:left;margin-left:288.3pt;margin-top:103.05pt;width:21.75pt;height:23.25pt;z-index:251809792;mso-width-relative:margin;mso-height-relative:margin" stroked="f" strokecolor="white">
            <v:textbox style="mso-next-textbox:#_x0000_s1174">
              <w:txbxContent>
                <w:p w:rsidR="0021764E" w:rsidRPr="00B23BCD" w:rsidRDefault="0021764E" w:rsidP="0021764E">
                  <w:pPr>
                    <w:rPr>
                      <w:rFonts w:ascii="Times New Roman" w:hAnsi="Times New Roman"/>
                      <w:b/>
                      <w:sz w:val="28"/>
                      <w:szCs w:val="28"/>
                    </w:rPr>
                  </w:pPr>
                  <w:r>
                    <w:rPr>
                      <w:rFonts w:ascii="Times New Roman" w:hAnsi="Times New Roman"/>
                      <w:b/>
                      <w:sz w:val="28"/>
                      <w:szCs w:val="28"/>
                    </w:rPr>
                    <w:t>2</w:t>
                  </w:r>
                </w:p>
              </w:txbxContent>
            </v:textbox>
          </v:shape>
        </w:pict>
      </w:r>
      <w:r w:rsidRPr="00C62D22">
        <w:rPr>
          <w:rFonts w:ascii="Times New Roman" w:hAnsi="Times New Roman" w:cs="Times New Roman"/>
          <w:noProof/>
          <w:sz w:val="28"/>
          <w:szCs w:val="28"/>
        </w:rPr>
        <w:pict>
          <v:shape id="_x0000_s1176" type="#_x0000_t202" style="position:absolute;left:0;text-align:left;margin-left:415pt;margin-top:50.55pt;width:17.3pt;height:23.25pt;z-index:251811840;mso-width-relative:margin;mso-height-relative:margin" filled="f" stroked="f" strokecolor="white">
            <v:textbox style="mso-next-textbox:#_x0000_s1176">
              <w:txbxContent>
                <w:p w:rsidR="0021764E" w:rsidRPr="00B23BCD" w:rsidRDefault="0021764E" w:rsidP="0021764E">
                  <w:pPr>
                    <w:rPr>
                      <w:rFonts w:ascii="Times New Roman" w:hAnsi="Times New Roman"/>
                      <w:b/>
                      <w:sz w:val="28"/>
                      <w:szCs w:val="28"/>
                    </w:rPr>
                  </w:pPr>
                  <w:r>
                    <w:rPr>
                      <w:rFonts w:ascii="Times New Roman" w:hAnsi="Times New Roman"/>
                      <w:b/>
                      <w:sz w:val="28"/>
                      <w:szCs w:val="28"/>
                    </w:rPr>
                    <w:t>3</w:t>
                  </w:r>
                </w:p>
              </w:txbxContent>
            </v:textbox>
          </v:shape>
        </w:pict>
      </w:r>
      <w:r w:rsidRPr="00C62D22">
        <w:rPr>
          <w:rFonts w:ascii="Times New Roman" w:hAnsi="Times New Roman" w:cs="Times New Roman"/>
          <w:noProof/>
          <w:sz w:val="28"/>
          <w:szCs w:val="28"/>
        </w:rPr>
        <w:pict>
          <v:shape id="_x0000_s1175" type="#_x0000_t202" style="position:absolute;left:0;text-align:left;margin-left:356.5pt;margin-top:109.05pt;width:17.3pt;height:23.25pt;z-index:251810816;mso-width-relative:margin;mso-height-relative:margin" filled="f" stroked="f" strokecolor="white">
            <v:textbox style="mso-next-textbox:#_x0000_s1175">
              <w:txbxContent>
                <w:p w:rsidR="0021764E" w:rsidRPr="00B23BCD" w:rsidRDefault="0021764E" w:rsidP="0021764E">
                  <w:pPr>
                    <w:rPr>
                      <w:rFonts w:ascii="Times New Roman" w:hAnsi="Times New Roman"/>
                      <w:b/>
                      <w:sz w:val="28"/>
                      <w:szCs w:val="28"/>
                    </w:rPr>
                  </w:pPr>
                  <w:r>
                    <w:rPr>
                      <w:rFonts w:ascii="Times New Roman" w:hAnsi="Times New Roman"/>
                      <w:b/>
                      <w:sz w:val="28"/>
                      <w:szCs w:val="28"/>
                    </w:rPr>
                    <w:t>3</w:t>
                  </w:r>
                </w:p>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91000" cy="2638425"/>
            <wp:effectExtent l="19050" t="0" r="0" b="0"/>
            <wp:docPr id="156" name="Рисунок 23" descr="5пж рет киста-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 descr="5пж рет киста-200"/>
                    <pic:cNvPicPr>
                      <a:picLocks noChangeAspect="1" noChangeArrowheads="1"/>
                    </pic:cNvPicPr>
                  </pic:nvPicPr>
                  <pic:blipFill>
                    <a:blip r:embed="rId75"/>
                    <a:srcRect/>
                    <a:stretch>
                      <a:fillRect/>
                    </a:stretch>
                  </pic:blipFill>
                  <pic:spPr bwMode="auto">
                    <a:xfrm>
                      <a:off x="0" y="0"/>
                      <a:ext cx="4191000" cy="263842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26" type="#_x0000_t202" style="position:absolute;left:0;text-align:left;margin-left:0;margin-top:.2pt;width:507pt;height:1in;z-index:251760640" stroked="f">
            <v:textbox style="mso-next-textbox:#_x0000_s1126">
              <w:txbxContent>
                <w:p w:rsidR="0021764E" w:rsidRPr="009C26D3"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 xml:space="preserve">Рис. 6.19. ПК ПЗ ІІІ типу </w:t>
                  </w:r>
                  <w:r w:rsidRPr="009814D0">
                    <w:rPr>
                      <w:rFonts w:ascii="Times New Roman" w:hAnsi="Times New Roman"/>
                      <w:sz w:val="28"/>
                      <w:szCs w:val="28"/>
                    </w:rPr>
                    <w:t>з ео</w:t>
                  </w:r>
                  <w:r>
                    <w:rPr>
                      <w:rFonts w:ascii="Times New Roman" w:hAnsi="Times New Roman"/>
                      <w:sz w:val="28"/>
                      <w:szCs w:val="28"/>
                    </w:rPr>
                    <w:t>зинофільним шаруватим детритом у просвіті (1). Вогнища десквамації (2) та</w:t>
                  </w:r>
                  <w:r w:rsidRPr="009814D0">
                    <w:rPr>
                      <w:rFonts w:ascii="Times New Roman" w:hAnsi="Times New Roman"/>
                      <w:sz w:val="28"/>
                      <w:szCs w:val="28"/>
                    </w:rPr>
                    <w:t xml:space="preserve"> гіперплазії протокового епітелію</w:t>
                  </w:r>
                  <w:r>
                    <w:rPr>
                      <w:rFonts w:ascii="Times New Roman" w:hAnsi="Times New Roman"/>
                      <w:sz w:val="28"/>
                      <w:szCs w:val="28"/>
                    </w:rPr>
                    <w:t xml:space="preserve"> (3)</w:t>
                  </w:r>
                  <w:r w:rsidRPr="009814D0">
                    <w:rPr>
                      <w:rFonts w:ascii="Times New Roman" w:hAnsi="Times New Roman"/>
                      <w:sz w:val="28"/>
                      <w:szCs w:val="28"/>
                    </w:rPr>
                    <w:t xml:space="preserve">. Забарвлення </w:t>
                  </w:r>
                  <w:r>
                    <w:rPr>
                      <w:rFonts w:ascii="Times New Roman" w:hAnsi="Times New Roman"/>
                      <w:sz w:val="28"/>
                      <w:szCs w:val="28"/>
                    </w:rPr>
                    <w:t>гематоксиліном й еозином, х200</w:t>
                  </w:r>
                </w:p>
                <w:p w:rsidR="0021764E" w:rsidRDefault="0021764E" w:rsidP="0021764E">
                  <w:pPr>
                    <w:ind w:firstLine="540"/>
                  </w:pPr>
                </w:p>
              </w:txbxContent>
            </v:textbox>
          </v:shape>
        </w:pict>
      </w: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spacing w:after="0" w:line="360" w:lineRule="auto"/>
        <w:jc w:val="both"/>
        <w:rPr>
          <w:rFonts w:ascii="Times New Roman" w:hAnsi="Times New Roman" w:cs="Times New Roman"/>
          <w:sz w:val="28"/>
          <w:szCs w:val="28"/>
        </w:rPr>
      </w:pP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 xml:space="preserve">У вогнищах проліферації в ядрах епітеліоцитів відзначалася інтенсивна реакція Фельгена-Россенбека. Під епітелієм візуалізувався шар волокнистої сполучної тканини різної товщини. Колагенові волокна були інтенсивно фуксинофільні, формували грубі пучки, які розташовувалися паралельно внутрішній поверхні ПК, із нечисленними фібробластами, фіброцитами, судинами зі склерозованою стінкою між ними [122]. При імуногістохімічному дослідженні в складі колагенових волокон </w:t>
      </w:r>
      <w:r w:rsidRPr="00C62D22">
        <w:rPr>
          <w:rFonts w:ascii="Times New Roman" w:hAnsi="Times New Roman" w:cs="Times New Roman"/>
          <w:sz w:val="28"/>
          <w:szCs w:val="28"/>
        </w:rPr>
        <w:lastRenderedPageBreak/>
        <w:t>виявлено обидва типи інтерстиціальних колагенів: як зрілий колаген І типу, так і більш молодий колаген ІІІ типу. При цьому виявлялася перевага колагену І типу, про що свідчила оптична щільність інтенсивності імунофлюоресценції. Колаген І типу виявлявся у вигляді світіння лінійного характеру, тоді як світіння колагену ІІІ типу частіше було вогнищевим, у декотрих полях зору – лінійним (рис. 6.20) [45, 180].</w:t>
      </w:r>
    </w:p>
    <w:p w:rsidR="0021764E" w:rsidRPr="00C62D22" w:rsidRDefault="0021764E" w:rsidP="0021764E">
      <w:pPr>
        <w:spacing w:after="0" w:line="360" w:lineRule="auto"/>
        <w:ind w:firstLine="708"/>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b/>
          <w:sz w:val="28"/>
          <w:szCs w:val="28"/>
        </w:rPr>
      </w:pPr>
      <w:r w:rsidRPr="00C62D22">
        <w:rPr>
          <w:rFonts w:ascii="Times New Roman" w:hAnsi="Times New Roman" w:cs="Times New Roman"/>
          <w:b/>
          <w:noProof/>
          <w:sz w:val="28"/>
          <w:szCs w:val="28"/>
        </w:rPr>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177" type="#_x0000_t66" style="position:absolute;left:0;text-align:left;margin-left:281.55pt;margin-top:100.05pt;width:59.25pt;height:18pt;z-index:251812864" fillcolor="#c0504d" strokecolor="#f2f2f2" strokeweight="3pt">
            <v:shadow on="t" type="perspective" color="#622423" opacity=".5" offset="1pt" offset2="-1pt"/>
          </v:shape>
        </w:pict>
      </w:r>
      <w:r w:rsidRPr="00C62D22">
        <w:rPr>
          <w:rFonts w:ascii="Times New Roman" w:hAnsi="Times New Roman" w:cs="Times New Roman"/>
          <w:b/>
          <w:noProof/>
          <w:sz w:val="28"/>
          <w:szCs w:val="28"/>
        </w:rPr>
        <w:t xml:space="preserve">     </w:t>
      </w:r>
      <w:r w:rsidRPr="00C62D22">
        <w:rPr>
          <w:rFonts w:ascii="Times New Roman" w:hAnsi="Times New Roman" w:cs="Times New Roman"/>
          <w:b/>
          <w:noProof/>
          <w:sz w:val="28"/>
          <w:szCs w:val="28"/>
        </w:rPr>
        <w:drawing>
          <wp:inline distT="0" distB="0" distL="0" distR="0">
            <wp:extent cx="4124325" cy="2686050"/>
            <wp:effectExtent l="19050" t="0" r="9525" b="0"/>
            <wp:docPr id="157" name="Рисунок 24" descr="Колл 2 124-11-2 х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 descr="Колл 2 124-11-2 х100"/>
                    <pic:cNvPicPr>
                      <a:picLocks noChangeAspect="1" noChangeArrowheads="1"/>
                    </pic:cNvPicPr>
                  </pic:nvPicPr>
                  <pic:blipFill>
                    <a:blip r:embed="rId76"/>
                    <a:srcRect/>
                    <a:stretch>
                      <a:fillRect/>
                    </a:stretch>
                  </pic:blipFill>
                  <pic:spPr bwMode="auto">
                    <a:xfrm>
                      <a:off x="0" y="0"/>
                      <a:ext cx="4124325" cy="268605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contextualSpacing/>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27" type="#_x0000_t202" style="position:absolute;left:0;text-align:left;margin-left:9pt;margin-top:2.85pt;width:495pt;height:54pt;z-index:251761664" stroked="f">
            <v:textbox style="mso-next-textbox:#_x0000_s1127">
              <w:txbxContent>
                <w:p w:rsidR="0021764E" w:rsidRPr="00227E6E"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6.20</w:t>
                  </w:r>
                  <w:r w:rsidRPr="009814D0">
                    <w:rPr>
                      <w:rFonts w:ascii="Times New Roman" w:hAnsi="Times New Roman"/>
                      <w:sz w:val="28"/>
                      <w:szCs w:val="28"/>
                    </w:rPr>
                    <w:t>. Кол</w:t>
                  </w:r>
                  <w:r>
                    <w:rPr>
                      <w:rFonts w:ascii="Times New Roman" w:hAnsi="Times New Roman"/>
                      <w:sz w:val="28"/>
                      <w:szCs w:val="28"/>
                    </w:rPr>
                    <w:t>аген І типу в стінці ПК</w:t>
                  </w:r>
                  <w:r w:rsidRPr="009814D0">
                    <w:rPr>
                      <w:rFonts w:ascii="Times New Roman" w:hAnsi="Times New Roman"/>
                      <w:sz w:val="28"/>
                      <w:szCs w:val="28"/>
                    </w:rPr>
                    <w:t xml:space="preserve"> </w:t>
                  </w:r>
                  <w:r>
                    <w:rPr>
                      <w:rFonts w:ascii="Times New Roman" w:hAnsi="Times New Roman"/>
                      <w:sz w:val="28"/>
                      <w:szCs w:val="28"/>
                    </w:rPr>
                    <w:t xml:space="preserve">ІІІ </w:t>
                  </w:r>
                  <w:r w:rsidRPr="009814D0">
                    <w:rPr>
                      <w:rFonts w:ascii="Times New Roman" w:hAnsi="Times New Roman"/>
                      <w:sz w:val="28"/>
                      <w:szCs w:val="28"/>
                    </w:rPr>
                    <w:t>типу</w:t>
                  </w:r>
                  <w:r>
                    <w:rPr>
                      <w:rFonts w:ascii="Times New Roman" w:hAnsi="Times New Roman"/>
                      <w:sz w:val="28"/>
                      <w:szCs w:val="28"/>
                    </w:rPr>
                    <w:t xml:space="preserve"> (указано стрілкою)</w:t>
                  </w:r>
                  <w:r w:rsidRPr="009814D0">
                    <w:rPr>
                      <w:rFonts w:ascii="Times New Roman" w:hAnsi="Times New Roman"/>
                      <w:sz w:val="28"/>
                      <w:szCs w:val="28"/>
                    </w:rPr>
                    <w:t>. Прямий метод Кун</w:t>
                  </w:r>
                  <w:r>
                    <w:rPr>
                      <w:rFonts w:ascii="Times New Roman" w:hAnsi="Times New Roman"/>
                      <w:sz w:val="28"/>
                      <w:szCs w:val="28"/>
                    </w:rPr>
                    <w:t>са з МКА до колагену-1, х 400</w:t>
                  </w:r>
                </w:p>
                <w:p w:rsidR="0021764E" w:rsidRDefault="0021764E" w:rsidP="0021764E"/>
              </w:txbxContent>
            </v:textbox>
          </v:shape>
        </w:pict>
      </w: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24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У судинних базальних мембранах відзначалося частіше яскраве світіння колагену ІV типу (0,137±0,033 ум. од. опт. щільн.). У той же час спостерігалися ділянки з помірною інтенсивністю світіння (рис. 6.21) [45, 180]. </w:t>
      </w:r>
    </w:p>
    <w:p w:rsidR="0021764E" w:rsidRPr="00C62D22" w:rsidRDefault="0021764E" w:rsidP="0021764E">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Показник оптичної щільності імунофлюоресценції цього колагену перевищував такий у І та ІІ групах (табл.6.2). Ендотеліальний прошарок експресував рецептори до ендотеліну-1, однак  порівняно зі спостереженнями ІІ групи ця здатність клітин була знижена, про що свідчив показник оптичної щільності інтенсивності світіння ендотеліоцитів у препаратах, оброблених МКА до ендотеліну-1 (табл. 6.2). Клітинний склад стінки ПК був представлений як фіброцитами й фібробластами, так й імунними клітинами – CD3, CD20, CD18 і CD16. При цьому не зважаючи на те, що </w:t>
      </w:r>
      <w:r w:rsidRPr="00C62D22">
        <w:rPr>
          <w:rFonts w:ascii="Times New Roman" w:hAnsi="Times New Roman" w:cs="Times New Roman"/>
          <w:sz w:val="28"/>
          <w:szCs w:val="28"/>
        </w:rPr>
        <w:lastRenderedPageBreak/>
        <w:t xml:space="preserve">переважали CD3 і CD20, кількість нейтрофільних гранулоцитів CD18 була більшою порівняно зі спостереженнями ІІ групи (табл. 6.1) [45, 180]. </w:t>
      </w:r>
    </w:p>
    <w:p w:rsidR="0021764E" w:rsidRPr="00C62D22" w:rsidRDefault="0021764E" w:rsidP="0021764E">
      <w:pPr>
        <w:spacing w:after="0" w:line="240" w:lineRule="auto"/>
        <w:ind w:firstLine="851"/>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b/>
          <w:sz w:val="28"/>
          <w:szCs w:val="28"/>
        </w:rPr>
      </w:pPr>
      <w:r w:rsidRPr="00C62D22">
        <w:rPr>
          <w:rFonts w:ascii="Times New Roman" w:hAnsi="Times New Roman" w:cs="Times New Roman"/>
          <w:noProof/>
          <w:sz w:val="28"/>
          <w:szCs w:val="28"/>
        </w:rPr>
        <w:pict>
          <v:shape id="_x0000_s1128" type="#_x0000_t202" style="position:absolute;left:0;text-align:left;margin-left:0;margin-top:211.35pt;width:510.75pt;height:81pt;z-index:251762688" stroked="f">
            <v:textbox style="mso-next-textbox:#_x0000_s1128">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6.21</w:t>
                  </w:r>
                  <w:r w:rsidRPr="009814D0">
                    <w:rPr>
                      <w:rFonts w:ascii="Times New Roman" w:hAnsi="Times New Roman"/>
                      <w:sz w:val="28"/>
                      <w:szCs w:val="28"/>
                    </w:rPr>
                    <w:t>. Нерівномір</w:t>
                  </w:r>
                  <w:r>
                    <w:rPr>
                      <w:rFonts w:ascii="Times New Roman" w:hAnsi="Times New Roman"/>
                      <w:sz w:val="28"/>
                      <w:szCs w:val="28"/>
                    </w:rPr>
                    <w:t>ної інтенсивності, переважно яскраве світіння колагену ІV типу (указано стрілкою) в</w:t>
                  </w:r>
                  <w:r w:rsidRPr="009814D0">
                    <w:rPr>
                      <w:rFonts w:ascii="Times New Roman" w:hAnsi="Times New Roman"/>
                      <w:sz w:val="28"/>
                      <w:szCs w:val="28"/>
                    </w:rPr>
                    <w:t xml:space="preserve"> базальній мембрані суди</w:t>
                  </w:r>
                  <w:r>
                    <w:rPr>
                      <w:rFonts w:ascii="Times New Roman" w:hAnsi="Times New Roman"/>
                      <w:sz w:val="28"/>
                      <w:szCs w:val="28"/>
                    </w:rPr>
                    <w:t xml:space="preserve">ни в стінці </w:t>
                  </w:r>
                  <w:r w:rsidRPr="009C26D3">
                    <w:rPr>
                      <w:rFonts w:ascii="Times New Roman" w:hAnsi="Times New Roman"/>
                      <w:sz w:val="28"/>
                      <w:szCs w:val="28"/>
                    </w:rPr>
                    <w:t xml:space="preserve">ПК </w:t>
                  </w:r>
                  <w:r>
                    <w:rPr>
                      <w:rFonts w:ascii="Times New Roman" w:hAnsi="Times New Roman"/>
                      <w:sz w:val="28"/>
                      <w:szCs w:val="28"/>
                    </w:rPr>
                    <w:t>ІІІ</w:t>
                  </w:r>
                  <w:r w:rsidRPr="009814D0">
                    <w:rPr>
                      <w:rFonts w:ascii="Times New Roman" w:hAnsi="Times New Roman"/>
                      <w:sz w:val="28"/>
                      <w:szCs w:val="28"/>
                    </w:rPr>
                    <w:t xml:space="preserve"> типу. Прямий метод Кунса з</w:t>
                  </w:r>
                  <w:r>
                    <w:rPr>
                      <w:rFonts w:ascii="Times New Roman" w:hAnsi="Times New Roman"/>
                      <w:sz w:val="28"/>
                      <w:szCs w:val="28"/>
                    </w:rPr>
                    <w:t xml:space="preserve"> МКА до колагену ІV типу, х 900</w:t>
                  </w:r>
                </w:p>
                <w:p w:rsidR="0021764E" w:rsidRDefault="0021764E" w:rsidP="0021764E">
                  <w:pPr>
                    <w:jc w:val="right"/>
                  </w:pPr>
                </w:p>
              </w:txbxContent>
            </v:textbox>
          </v:shape>
        </w:pict>
      </w:r>
      <w:r w:rsidRPr="00C62D22">
        <w:rPr>
          <w:rFonts w:ascii="Times New Roman" w:hAnsi="Times New Roman" w:cs="Times New Roman"/>
          <w:noProof/>
          <w:sz w:val="28"/>
          <w:szCs w:val="28"/>
        </w:rPr>
        <w:pict>
          <v:shape id="_x0000_s1178" type="#_x0000_t68" style="position:absolute;left:0;text-align:left;margin-left:260.55pt;margin-top:70.45pt;width:20.25pt;height:48pt;z-index:251813888" fillcolor="#c0504d" strokecolor="#f2f2f2" strokeweight="3pt">
            <v:shadow on="t" type="perspective" color="#622423" opacity=".5" offset="1pt" offset2="-1pt"/>
            <v:textbox style="layout-flow:vertical-ideographic"/>
          </v:shape>
        </w:pict>
      </w:r>
      <w:r w:rsidRPr="00C62D22">
        <w:rPr>
          <w:rFonts w:ascii="Times New Roman" w:hAnsi="Times New Roman" w:cs="Times New Roman"/>
          <w:b/>
          <w:noProof/>
          <w:sz w:val="28"/>
          <w:szCs w:val="28"/>
        </w:rPr>
        <w:t xml:space="preserve">    </w:t>
      </w:r>
      <w:r w:rsidRPr="00C62D22">
        <w:rPr>
          <w:rFonts w:ascii="Times New Roman" w:hAnsi="Times New Roman" w:cs="Times New Roman"/>
          <w:b/>
          <w:noProof/>
          <w:sz w:val="28"/>
          <w:szCs w:val="28"/>
        </w:rPr>
        <w:drawing>
          <wp:inline distT="0" distB="0" distL="0" distR="0">
            <wp:extent cx="4152900" cy="2667000"/>
            <wp:effectExtent l="19050" t="0" r="0" b="0"/>
            <wp:docPr id="158" name="Рисунок 25" descr="Колл 1 3к х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Колл 1 3к х600"/>
                    <pic:cNvPicPr>
                      <a:picLocks noChangeAspect="1" noChangeArrowheads="1"/>
                    </pic:cNvPicPr>
                  </pic:nvPicPr>
                  <pic:blipFill>
                    <a:blip r:embed="rId77"/>
                    <a:srcRect/>
                    <a:stretch>
                      <a:fillRect/>
                    </a:stretch>
                  </pic:blipFill>
                  <pic:spPr bwMode="auto">
                    <a:xfrm>
                      <a:off x="0" y="0"/>
                      <a:ext cx="4152900" cy="26670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24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Фіброзна тканина стінок формувала пальцеподібні та «клапанні» вибухання в просвіт проток, місцями з майже повним перекриттям їх просвіту (рис. 6.22) [122].</w:t>
      </w:r>
    </w:p>
    <w:p w:rsidR="0021764E" w:rsidRPr="00C62D22" w:rsidRDefault="0021764E" w:rsidP="0021764E">
      <w:pPr>
        <w:spacing w:after="0" w:line="240" w:lineRule="auto"/>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80" type="#_x0000_t202" style="position:absolute;left:0;text-align:left;margin-left:274.05pt;margin-top:111.65pt;width:20.25pt;height:23.25pt;z-index:251815936;mso-width-relative:margin;mso-height-relative:margin" filled="f" stroked="f" strokecolor="white">
            <v:textbox style="mso-next-textbox:#_x0000_s1180">
              <w:txbxContent>
                <w:p w:rsidR="0021764E" w:rsidRPr="00B23BCD" w:rsidRDefault="0021764E" w:rsidP="0021764E">
                  <w:pPr>
                    <w:rPr>
                      <w:rFonts w:ascii="Times New Roman" w:hAnsi="Times New Roman"/>
                      <w:b/>
                      <w:sz w:val="28"/>
                      <w:szCs w:val="28"/>
                    </w:rPr>
                  </w:pPr>
                  <w:r>
                    <w:rPr>
                      <w:rFonts w:ascii="Times New Roman" w:hAnsi="Times New Roman"/>
                      <w:b/>
                      <w:sz w:val="28"/>
                      <w:szCs w:val="28"/>
                    </w:rPr>
                    <w:t>1</w:t>
                  </w:r>
                </w:p>
              </w:txbxContent>
            </v:textbox>
          </v:shape>
        </w:pict>
      </w:r>
      <w:r w:rsidRPr="00C62D22">
        <w:rPr>
          <w:rFonts w:ascii="Times New Roman" w:hAnsi="Times New Roman" w:cs="Times New Roman"/>
          <w:noProof/>
          <w:sz w:val="28"/>
          <w:szCs w:val="28"/>
        </w:rPr>
        <w:pict>
          <v:shape id="_x0000_s1179" type="#_x0000_t202" style="position:absolute;left:0;text-align:left;margin-left:362.5pt;margin-top:118.4pt;width:17.3pt;height:24.75pt;z-index:251814912;mso-width-relative:margin;mso-height-relative:margin" filled="f" stroked="f" strokecolor="white">
            <v:textbox style="mso-next-textbox:#_x0000_s1179">
              <w:txbxContent>
                <w:p w:rsidR="0021764E" w:rsidRPr="00B23BCD" w:rsidRDefault="0021764E" w:rsidP="0021764E">
                  <w:pPr>
                    <w:rPr>
                      <w:rFonts w:ascii="Times New Roman" w:hAnsi="Times New Roman"/>
                      <w:b/>
                      <w:sz w:val="28"/>
                      <w:szCs w:val="28"/>
                    </w:rPr>
                  </w:pPr>
                  <w:r>
                    <w:rPr>
                      <w:rFonts w:ascii="Times New Roman" w:hAnsi="Times New Roman"/>
                      <w:b/>
                      <w:sz w:val="28"/>
                      <w:szCs w:val="28"/>
                    </w:rPr>
                    <w:t>2</w:t>
                  </w:r>
                </w:p>
              </w:txbxContent>
            </v:textbox>
          </v:shape>
        </w:pict>
      </w:r>
      <w:r w:rsidRPr="00C62D22">
        <w:rPr>
          <w:rFonts w:ascii="Times New Roman" w:hAnsi="Times New Roman" w:cs="Times New Roman"/>
          <w:noProof/>
          <w:sz w:val="28"/>
          <w:szCs w:val="28"/>
        </w:rPr>
        <w:pict>
          <v:shape id="_x0000_s1129" type="#_x0000_t202" style="position:absolute;left:0;text-align:left;margin-left:9pt;margin-top:208.1pt;width:495pt;height:99pt;z-index:251763712" stroked="f">
            <v:textbox style="mso-next-textbox:#_x0000_s1129">
              <w:txbxContent>
                <w:p w:rsidR="0021764E"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6.22</w:t>
                  </w:r>
                  <w:r w:rsidRPr="009814D0">
                    <w:rPr>
                      <w:rFonts w:ascii="Times New Roman" w:hAnsi="Times New Roman"/>
                      <w:sz w:val="28"/>
                      <w:szCs w:val="28"/>
                    </w:rPr>
                    <w:t>.</w:t>
                  </w:r>
                  <w:r>
                    <w:rPr>
                      <w:rFonts w:ascii="Times New Roman" w:hAnsi="Times New Roman"/>
                      <w:sz w:val="28"/>
                      <w:szCs w:val="28"/>
                    </w:rPr>
                    <w:t xml:space="preserve"> ПК ПЗ ІІІ типу. Вогнищева гіперплазія та</w:t>
                  </w:r>
                  <w:r w:rsidRPr="009814D0">
                    <w:rPr>
                      <w:rFonts w:ascii="Times New Roman" w:hAnsi="Times New Roman"/>
                      <w:sz w:val="28"/>
                      <w:szCs w:val="28"/>
                    </w:rPr>
                    <w:t xml:space="preserve"> метаплазія протокового епітелію з формуванням папілярних структур</w:t>
                  </w:r>
                  <w:r>
                    <w:rPr>
                      <w:rFonts w:ascii="Times New Roman" w:hAnsi="Times New Roman"/>
                      <w:sz w:val="28"/>
                      <w:szCs w:val="28"/>
                    </w:rPr>
                    <w:t xml:space="preserve"> (1)</w:t>
                  </w:r>
                  <w:r w:rsidRPr="009814D0">
                    <w:rPr>
                      <w:rFonts w:ascii="Times New Roman" w:hAnsi="Times New Roman"/>
                      <w:sz w:val="28"/>
                      <w:szCs w:val="28"/>
                    </w:rPr>
                    <w:t>. Пальцеподібне вибухання фіброзної ткан</w:t>
                  </w:r>
                  <w:r>
                    <w:rPr>
                      <w:rFonts w:ascii="Times New Roman" w:hAnsi="Times New Roman"/>
                      <w:sz w:val="28"/>
                      <w:szCs w:val="28"/>
                    </w:rPr>
                    <w:t>ини стінки в просвіт ПК (2)</w:t>
                  </w:r>
                  <w:r w:rsidRPr="009814D0">
                    <w:rPr>
                      <w:rFonts w:ascii="Times New Roman" w:hAnsi="Times New Roman"/>
                      <w:sz w:val="28"/>
                      <w:szCs w:val="28"/>
                    </w:rPr>
                    <w:t>. Забарвлення</w:t>
                  </w:r>
                  <w:r>
                    <w:rPr>
                      <w:rFonts w:ascii="Times New Roman" w:hAnsi="Times New Roman"/>
                      <w:sz w:val="28"/>
                      <w:szCs w:val="28"/>
                    </w:rPr>
                    <w:t xml:space="preserve"> гематоксиліном й еозином, х200</w:t>
                  </w:r>
                </w:p>
                <w:p w:rsidR="0021764E" w:rsidRDefault="0021764E" w:rsidP="0021764E"/>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24325" cy="2667000"/>
            <wp:effectExtent l="19050" t="0" r="9525" b="0"/>
            <wp:docPr id="159" name="Рисунок 26" descr="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Image1"/>
                    <pic:cNvPicPr>
                      <a:picLocks noChangeAspect="1" noChangeArrowheads="1"/>
                    </pic:cNvPicPr>
                  </pic:nvPicPr>
                  <pic:blipFill>
                    <a:blip r:embed="rId78"/>
                    <a:srcRect/>
                    <a:stretch>
                      <a:fillRect/>
                    </a:stretch>
                  </pic:blipFill>
                  <pic:spPr bwMode="auto">
                    <a:xfrm>
                      <a:off x="0" y="0"/>
                      <a:ext cx="4124325" cy="26670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У прилеглій до ПК тканині строма ПЗ була представлена потужними розростаннями грубоволокнистої сполучної тканини, яка була у вигляді грубих товстих пучків фуксинофільних колагенових волокон, між якими визначалися нечисленні синтетично й проліферативно слабо активні фібробласти, фіброцити.</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Кількість внутрішньочасточкових капілярів,  порівняно з іншими групами, була знижена. Вони були розширені, вистелені сплощеним ендотеліоцитами зі слабо вираженою реакцій на РНП у цитоплазмі та на ДНП у ядрі. Гладкі м'язові клітини були гіпертрофовані з ознаками помірної дистрофії, зі слабо вираженою реакцією Браше в цитоплазмі та Фельгена-Россенбека в ядрах. Базальна мембрана капілярів була тонка, ШИК-позитивна. Венули були дилятовані, мали стінку зі зниженим тонусом, стоншену, місцями розірвану, периваскулярно з дрібновогнищевими крововиливами та накопиченням ШИК-позитивних продуктів. Ендотеліоцити венул були сплощені, ядра клітин зморщені або не визначалися, реакція на ДНП в них була негативна. Базальна мембрана була помірно ШИК-позитивна, місцями не візуалізувалася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Розташовані біля часточок ПЗ артеріоли були покручені, петлясті, із чергуванням ділянок спазмування та дилатації. Стінка артеріол була  потовщена за рахунок гіперплазії та гіпертрофії гладких м'язових клітин і склерозу підендотеліального простору. Судинна базальна мембрана була ШИК-позитивна, потовщена. Ендотеліоцити були вогнищево проліферовані, вогнищево десквамовані, зі слабо вираженою реакцією на ДНП у ядрі й на РНП у цитоплазмі [122]. </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В артеріях дрібного й середнього калібру, розташованих у фіброзованій стромі, відзначалася перекалібровка їх просвіту за рахунок розростання й склерозу внутрішньої оболонки, гіпертрофії та гіперплазії гладкого м'язового шару з вираженою реакцією на РНП у цитоплазмі та інтенсивною реакцією на ДНП у ядрах клітин [122]. </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Між гладкими м'язовими клітинами визначалися потовщені фуксинофільні колагенові волокна. Ендотеліоцити, що вистилають артерії, були з вогнищами десквамації та проліферації, місцями розташовані у вигляді частоколу. Реакція Браше в цитоплазмі клітин була помірно виражена, реакція Фельгена-Россенбека в </w:t>
      </w:r>
      <w:r w:rsidRPr="00C62D22">
        <w:rPr>
          <w:rFonts w:ascii="Times New Roman" w:hAnsi="Times New Roman" w:cs="Times New Roman"/>
          <w:sz w:val="28"/>
          <w:szCs w:val="28"/>
        </w:rPr>
        <w:lastRenderedPageBreak/>
        <w:t xml:space="preserve">ядрах була виражена слабо, в осередках проліферації − помірно. Базальна мембрана судин місцями була складчаста, нерівномірно потовщена, ШИК-позитивна. Внутрішня еластична мембрана була потовщена за рахунок гіперплазії та її розщеплення. Периваскулярно надлишково розвинена сполучна тканина. Міжчасточкові вени були зі зниженим тонусом стінки, надлишково кровонаповнені з вогнищевими екстравазатами. Ендотеліоцити були сплощені, вогнищево десквамовані, з помірною реакцією на РНП у цитоплазмі та на ДНП в ядрі. Судинна базальна мембрана при ШИК-реакції та при фарбуванні пікрофуксином за Ван Гізоном була нерівномірно потовщена. Відзначалася гіпертрофія та гіперплазія гладких м'язових клітин середнього шару стінки вен. Лімфатичні капіляри були щілеподібні, лімфатичні судини ектазовані, переповнені лімфою. Ендотеліоцити, які їх вистилали, мали подовжену форми зі слабко базофільною цитоплазмою, бідною РНП і ядром зі слабкою реакцією на ДНП (рис. 6.23) [122]. </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83" type="#_x0000_t202" style="position:absolute;left:0;text-align:left;margin-left:385.8pt;margin-top:90.8pt;width:19.2pt;height:23.25pt;z-index:251819008;mso-width-relative:margin;mso-height-relative:margin" stroked="f" strokecolor="white">
            <v:textbox style="mso-next-textbox:#_x0000_s1183">
              <w:txbxContent>
                <w:p w:rsidR="0021764E" w:rsidRPr="00B23BCD" w:rsidRDefault="0021764E" w:rsidP="0021764E">
                  <w:pPr>
                    <w:rPr>
                      <w:rFonts w:ascii="Times New Roman" w:hAnsi="Times New Roman"/>
                      <w:b/>
                      <w:sz w:val="28"/>
                      <w:szCs w:val="28"/>
                    </w:rPr>
                  </w:pPr>
                  <w:r>
                    <w:rPr>
                      <w:rFonts w:ascii="Times New Roman" w:hAnsi="Times New Roman"/>
                      <w:b/>
                      <w:sz w:val="28"/>
                      <w:szCs w:val="28"/>
                    </w:rPr>
                    <w:t>3</w:t>
                  </w:r>
                </w:p>
              </w:txbxContent>
            </v:textbox>
          </v:shape>
        </w:pict>
      </w:r>
      <w:r w:rsidRPr="00C62D22">
        <w:rPr>
          <w:rFonts w:ascii="Times New Roman" w:hAnsi="Times New Roman" w:cs="Times New Roman"/>
          <w:noProof/>
          <w:sz w:val="28"/>
          <w:szCs w:val="28"/>
        </w:rPr>
        <w:pict>
          <v:shape id="_x0000_s1182" type="#_x0000_t202" style="position:absolute;left:0;text-align:left;margin-left:350.55pt;margin-top:49.1pt;width:20.25pt;height:23.25pt;z-index:251817984;mso-width-relative:margin;mso-height-relative:margin" stroked="f" strokecolor="white">
            <v:textbox style="mso-next-textbox:#_x0000_s1182">
              <w:txbxContent>
                <w:p w:rsidR="0021764E" w:rsidRPr="00B23BCD" w:rsidRDefault="0021764E" w:rsidP="0021764E">
                  <w:pPr>
                    <w:rPr>
                      <w:rFonts w:ascii="Times New Roman" w:hAnsi="Times New Roman"/>
                      <w:b/>
                      <w:sz w:val="28"/>
                      <w:szCs w:val="28"/>
                    </w:rPr>
                  </w:pPr>
                  <w:r>
                    <w:rPr>
                      <w:rFonts w:ascii="Times New Roman" w:hAnsi="Times New Roman"/>
                      <w:b/>
                      <w:sz w:val="28"/>
                      <w:szCs w:val="28"/>
                    </w:rPr>
                    <w:t>1</w:t>
                  </w:r>
                </w:p>
              </w:txbxContent>
            </v:textbox>
          </v:shape>
        </w:pict>
      </w:r>
      <w:r w:rsidRPr="00C62D22">
        <w:rPr>
          <w:rFonts w:ascii="Times New Roman" w:hAnsi="Times New Roman" w:cs="Times New Roman"/>
          <w:noProof/>
          <w:sz w:val="28"/>
          <w:szCs w:val="28"/>
        </w:rPr>
        <w:pict>
          <v:shape id="_x0000_s1181" type="#_x0000_t202" style="position:absolute;left:0;text-align:left;margin-left:221.55pt;margin-top:106.85pt;width:20.25pt;height:23.25pt;z-index:251816960;mso-width-relative:margin;mso-height-relative:margin" stroked="f" strokecolor="white">
            <v:textbox style="mso-next-textbox:#_x0000_s1181">
              <w:txbxContent>
                <w:p w:rsidR="0021764E" w:rsidRPr="00B23BCD" w:rsidRDefault="0021764E" w:rsidP="0021764E">
                  <w:pPr>
                    <w:rPr>
                      <w:rFonts w:ascii="Times New Roman" w:hAnsi="Times New Roman"/>
                      <w:b/>
                      <w:sz w:val="28"/>
                      <w:szCs w:val="28"/>
                    </w:rPr>
                  </w:pPr>
                  <w:r>
                    <w:rPr>
                      <w:rFonts w:ascii="Times New Roman" w:hAnsi="Times New Roman"/>
                      <w:b/>
                      <w:sz w:val="28"/>
                      <w:szCs w:val="28"/>
                    </w:rPr>
                    <w:t>2</w:t>
                  </w:r>
                </w:p>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62425" cy="2667000"/>
            <wp:effectExtent l="19050" t="0" r="9525" b="0"/>
            <wp:docPr id="160" name="Рисунок 27" descr="1пж сосуды-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7" descr="1пж сосуды-200"/>
                    <pic:cNvPicPr>
                      <a:picLocks noChangeAspect="1" noChangeArrowheads="1"/>
                    </pic:cNvPicPr>
                  </pic:nvPicPr>
                  <pic:blipFill>
                    <a:blip r:embed="rId79"/>
                    <a:srcRect/>
                    <a:stretch>
                      <a:fillRect/>
                    </a:stretch>
                  </pic:blipFill>
                  <pic:spPr bwMode="auto">
                    <a:xfrm>
                      <a:off x="0" y="0"/>
                      <a:ext cx="4162425" cy="26670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30" type="#_x0000_t202" style="position:absolute;left:0;text-align:left;margin-left:0;margin-top:6.6pt;width:505.5pt;height:171pt;z-index:251764736" stroked="f">
            <v:textbox style="mso-next-textbox:#_x0000_s1130">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6.23</w:t>
                  </w:r>
                  <w:r w:rsidRPr="009814D0">
                    <w:rPr>
                      <w:rFonts w:ascii="Times New Roman" w:hAnsi="Times New Roman"/>
                      <w:sz w:val="28"/>
                      <w:szCs w:val="28"/>
                    </w:rPr>
                    <w:t>. Міжчасточкова артерія зі</w:t>
                  </w:r>
                  <w:r>
                    <w:rPr>
                      <w:rFonts w:ascii="Times New Roman" w:hAnsi="Times New Roman"/>
                      <w:sz w:val="28"/>
                      <w:szCs w:val="28"/>
                    </w:rPr>
                    <w:t xml:space="preserve"> звуженням просвіту, осередковою</w:t>
                  </w:r>
                  <w:r w:rsidRPr="009814D0">
                    <w:rPr>
                      <w:rFonts w:ascii="Times New Roman" w:hAnsi="Times New Roman"/>
                      <w:sz w:val="28"/>
                      <w:szCs w:val="28"/>
                    </w:rPr>
                    <w:t xml:space="preserve"> десквамацією ендотелію, потовщенням внутрішньої е</w:t>
                  </w:r>
                  <w:r>
                    <w:rPr>
                      <w:rFonts w:ascii="Times New Roman" w:hAnsi="Times New Roman"/>
                      <w:sz w:val="28"/>
                      <w:szCs w:val="28"/>
                    </w:rPr>
                    <w:t>ластичної мембрани, гіперплазією та</w:t>
                  </w:r>
                  <w:r w:rsidRPr="009814D0">
                    <w:rPr>
                      <w:rFonts w:ascii="Times New Roman" w:hAnsi="Times New Roman"/>
                      <w:sz w:val="28"/>
                      <w:szCs w:val="28"/>
                    </w:rPr>
                    <w:t xml:space="preserve"> гіпертрофією </w:t>
                  </w:r>
                  <w:r>
                    <w:rPr>
                      <w:rFonts w:ascii="Times New Roman" w:hAnsi="Times New Roman"/>
                      <w:sz w:val="28"/>
                      <w:szCs w:val="28"/>
                    </w:rPr>
                    <w:t>гладких</w:t>
                  </w:r>
                  <w:r w:rsidRPr="009814D0">
                    <w:rPr>
                      <w:rFonts w:ascii="Times New Roman" w:hAnsi="Times New Roman"/>
                      <w:sz w:val="28"/>
                      <w:szCs w:val="28"/>
                    </w:rPr>
                    <w:t xml:space="preserve"> м’язових клітин</w:t>
                  </w:r>
                  <w:r>
                    <w:rPr>
                      <w:rFonts w:ascii="Times New Roman" w:hAnsi="Times New Roman"/>
                      <w:sz w:val="28"/>
                      <w:szCs w:val="28"/>
                    </w:rPr>
                    <w:t xml:space="preserve"> (1). </w:t>
                  </w:r>
                  <w:r w:rsidRPr="009814D0">
                    <w:rPr>
                      <w:rFonts w:ascii="Times New Roman" w:hAnsi="Times New Roman"/>
                      <w:sz w:val="28"/>
                      <w:szCs w:val="28"/>
                    </w:rPr>
                    <w:t>Повнокров'я міжчасточкової вени, осередкове витончення стінки, гіперплазія гладк</w:t>
                  </w:r>
                  <w:r>
                    <w:rPr>
                      <w:rFonts w:ascii="Times New Roman" w:hAnsi="Times New Roman"/>
                      <w:sz w:val="28"/>
                      <w:szCs w:val="28"/>
                    </w:rPr>
                    <w:t xml:space="preserve">их </w:t>
                  </w:r>
                  <w:r w:rsidRPr="009814D0">
                    <w:rPr>
                      <w:rFonts w:ascii="Times New Roman" w:hAnsi="Times New Roman"/>
                      <w:sz w:val="28"/>
                      <w:szCs w:val="28"/>
                    </w:rPr>
                    <w:t>м'язових клітин</w:t>
                  </w:r>
                  <w:r>
                    <w:rPr>
                      <w:rFonts w:ascii="Times New Roman" w:hAnsi="Times New Roman"/>
                      <w:sz w:val="28"/>
                      <w:szCs w:val="28"/>
                    </w:rPr>
                    <w:t xml:space="preserve"> (2)</w:t>
                  </w:r>
                  <w:r w:rsidRPr="009814D0">
                    <w:rPr>
                      <w:rFonts w:ascii="Times New Roman" w:hAnsi="Times New Roman"/>
                      <w:sz w:val="28"/>
                      <w:szCs w:val="28"/>
                    </w:rPr>
                    <w:t>. Периваскулярний фіброз строми</w:t>
                  </w:r>
                  <w:r>
                    <w:rPr>
                      <w:rFonts w:ascii="Times New Roman" w:hAnsi="Times New Roman"/>
                      <w:sz w:val="28"/>
                      <w:szCs w:val="28"/>
                    </w:rPr>
                    <w:t xml:space="preserve"> (3)</w:t>
                  </w:r>
                  <w:r w:rsidRPr="009814D0">
                    <w:rPr>
                      <w:rFonts w:ascii="Times New Roman" w:hAnsi="Times New Roman"/>
                      <w:sz w:val="28"/>
                      <w:szCs w:val="28"/>
                    </w:rPr>
                    <w:t>. Забарвлення пікрофуксином за Ван Гізон</w:t>
                  </w:r>
                  <w:r>
                    <w:rPr>
                      <w:rFonts w:ascii="Times New Roman" w:hAnsi="Times New Roman"/>
                      <w:sz w:val="28"/>
                      <w:szCs w:val="28"/>
                    </w:rPr>
                    <w:t>ом</w:t>
                  </w:r>
                  <w:r w:rsidRPr="009814D0">
                    <w:rPr>
                      <w:rFonts w:ascii="Times New Roman" w:hAnsi="Times New Roman"/>
                      <w:sz w:val="28"/>
                      <w:szCs w:val="28"/>
                    </w:rPr>
                    <w:t>, х300.</w:t>
                  </w:r>
                </w:p>
                <w:p w:rsidR="0021764E" w:rsidRPr="009814D0" w:rsidRDefault="0021764E" w:rsidP="0021764E">
                  <w:pPr>
                    <w:spacing w:after="0" w:line="360" w:lineRule="auto"/>
                    <w:ind w:firstLine="540"/>
                    <w:contextualSpacing/>
                    <w:jc w:val="both"/>
                    <w:rPr>
                      <w:rFonts w:ascii="Times New Roman" w:hAnsi="Times New Roman"/>
                      <w:sz w:val="28"/>
                      <w:szCs w:val="28"/>
                    </w:rPr>
                  </w:pPr>
                </w:p>
                <w:p w:rsidR="0021764E" w:rsidRDefault="0021764E" w:rsidP="0021764E"/>
              </w:txbxContent>
            </v:textbox>
          </v:shape>
        </w:pic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Нервові ганглії міжчасточкової строми відзначалися гіпертрофією нервових стовбурів, дистрофією нервових клітин і зменшенням їх кількості, реакція на РНП у цитоплазмі та на ДНП у ядрі були слабко виражені. Сполучнотканинна капсула й прошарки сполучної тканини, які проникали в паренхіму вузла, були надлишково розвинені, фуксинофільні. Периневральні простори були розширені внаслідок набряку. У всіх спостереженнях (17) фіброзована строма була помірно інфільтрована лімфоцитами й гістіоцитами з домішкою плазмоцитів, поодиноких поліморфноядерних лейкоцитів з формуванням вогнищевих інфільтратів переважно навколо судин, нервових гангліїв, поблизу атрофованих часточок, місцями з утворенням лімфоїдних фолікулів [122]. Серед імунних клітин переважали CD3 і CD20, достатньо добре була представлена популяція CD16, тоді як кількість нейтрофільних гранулоцитів CD18 була невеликою (табл. 6.1). У частині полів зору запальна інфільтрація була практично відсутня. При імуногістохімічному дослідженні з МКА до HLA-DR-антигену звертало на себе увагу достовірне збільшення кількості клітин, здатних експресувати рецептори до цього антигену, порівняно зі спостереженнями 1 та 2 групи. Кількість клітин, експресуючих рецептори до </w:t>
      </w:r>
      <w:r w:rsidRPr="00C62D22">
        <w:rPr>
          <w:rFonts w:ascii="Times New Roman" w:hAnsi="Times New Roman" w:cs="Times New Roman"/>
          <w:bCs/>
          <w:sz w:val="28"/>
          <w:szCs w:val="28"/>
        </w:rPr>
        <w:t xml:space="preserve">HLА-DR-антигену в паренхімі ПЗ, було 25±1,8 екз. у полі зору, х 400 (табл. 6.3, рис. 6.24) </w:t>
      </w:r>
      <w:r w:rsidRPr="00C62D22">
        <w:rPr>
          <w:rFonts w:ascii="Times New Roman" w:hAnsi="Times New Roman" w:cs="Times New Roman"/>
          <w:sz w:val="28"/>
          <w:szCs w:val="28"/>
        </w:rPr>
        <w:t>[45, 180]</w:t>
      </w:r>
      <w:r w:rsidRPr="00C62D22">
        <w:rPr>
          <w:rFonts w:ascii="Times New Roman" w:hAnsi="Times New Roman" w:cs="Times New Roman"/>
          <w:bCs/>
          <w:sz w:val="28"/>
          <w:szCs w:val="28"/>
        </w:rPr>
        <w:t>.</w:t>
      </w:r>
    </w:p>
    <w:p w:rsidR="0021764E" w:rsidRPr="00C62D22" w:rsidRDefault="0021764E" w:rsidP="0021764E">
      <w:pPr>
        <w:spacing w:after="0" w:line="360" w:lineRule="auto"/>
        <w:jc w:val="both"/>
        <w:rPr>
          <w:rFonts w:ascii="Times New Roman" w:hAnsi="Times New Roman" w:cs="Times New Roman"/>
          <w:b/>
          <w:bCs/>
          <w:sz w:val="28"/>
          <w:szCs w:val="28"/>
        </w:rPr>
      </w:pPr>
    </w:p>
    <w:p w:rsidR="0021764E" w:rsidRPr="00C62D22" w:rsidRDefault="0021764E" w:rsidP="0021764E">
      <w:pPr>
        <w:spacing w:after="0" w:line="360" w:lineRule="auto"/>
        <w:jc w:val="center"/>
        <w:rPr>
          <w:rFonts w:ascii="Times New Roman" w:hAnsi="Times New Roman" w:cs="Times New Roman"/>
          <w:b/>
          <w:bCs/>
          <w:sz w:val="28"/>
          <w:szCs w:val="28"/>
        </w:rPr>
      </w:pPr>
      <w:r w:rsidRPr="00C62D22">
        <w:rPr>
          <w:rFonts w:ascii="Times New Roman" w:hAnsi="Times New Roman" w:cs="Times New Roman"/>
          <w:noProof/>
          <w:sz w:val="28"/>
          <w:szCs w:val="28"/>
        </w:rPr>
        <w:pict>
          <v:shape id="_x0000_s1131" type="#_x0000_t202" style="position:absolute;left:0;text-align:left;margin-left:-5.7pt;margin-top:210.5pt;width:509.7pt;height:90pt;z-index:251765760" stroked="f">
            <v:textbox style="mso-next-textbox:#_x0000_s1131">
              <w:txbxContent>
                <w:p w:rsidR="0021764E" w:rsidRPr="00C146F1"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6.24</w:t>
                  </w:r>
                  <w:r w:rsidRPr="00C146F1">
                    <w:rPr>
                      <w:rFonts w:ascii="Times New Roman" w:hAnsi="Times New Roman"/>
                      <w:sz w:val="28"/>
                      <w:szCs w:val="28"/>
                    </w:rPr>
                    <w:t>. Клітини, що експресують рецептори до</w:t>
                  </w:r>
                  <w:r w:rsidRPr="00C146F1">
                    <w:rPr>
                      <w:rFonts w:ascii="Times New Roman" w:hAnsi="Times New Roman"/>
                      <w:bCs/>
                      <w:sz w:val="28"/>
                      <w:szCs w:val="28"/>
                    </w:rPr>
                    <w:t xml:space="preserve"> HLА</w:t>
                  </w:r>
                  <w:r>
                    <w:rPr>
                      <w:rFonts w:ascii="Times New Roman" w:hAnsi="Times New Roman"/>
                      <w:bCs/>
                      <w:sz w:val="28"/>
                      <w:szCs w:val="28"/>
                    </w:rPr>
                    <w:t>-</w:t>
                  </w:r>
                  <w:r w:rsidRPr="00C146F1">
                    <w:rPr>
                      <w:rFonts w:ascii="Times New Roman" w:hAnsi="Times New Roman"/>
                      <w:bCs/>
                      <w:sz w:val="28"/>
                      <w:szCs w:val="28"/>
                    </w:rPr>
                    <w:t>DR-антигену в паренхімі ПЗ при ПК ІІІ типу. Прямий метод Кунса з МКА до HLА</w:t>
                  </w:r>
                  <w:r>
                    <w:rPr>
                      <w:rFonts w:ascii="Times New Roman" w:hAnsi="Times New Roman"/>
                      <w:bCs/>
                      <w:sz w:val="28"/>
                      <w:szCs w:val="28"/>
                    </w:rPr>
                    <w:t>-</w:t>
                  </w:r>
                  <w:r w:rsidRPr="00C146F1">
                    <w:rPr>
                      <w:rFonts w:ascii="Times New Roman" w:hAnsi="Times New Roman"/>
                      <w:bCs/>
                      <w:sz w:val="28"/>
                      <w:szCs w:val="28"/>
                    </w:rPr>
                    <w:t>DR-антигену, х 600</w:t>
                  </w:r>
                </w:p>
                <w:p w:rsidR="0021764E" w:rsidRDefault="0021764E" w:rsidP="0021764E"/>
              </w:txbxContent>
            </v:textbox>
          </v:shape>
        </w:pict>
      </w:r>
      <w:r w:rsidRPr="00C62D22">
        <w:rPr>
          <w:rFonts w:ascii="Times New Roman" w:hAnsi="Times New Roman" w:cs="Times New Roman"/>
          <w:b/>
          <w:noProof/>
          <w:sz w:val="28"/>
          <w:szCs w:val="28"/>
        </w:rPr>
        <w:t xml:space="preserve">     </w:t>
      </w:r>
      <w:r w:rsidRPr="00C62D22">
        <w:rPr>
          <w:rFonts w:ascii="Times New Roman" w:hAnsi="Times New Roman" w:cs="Times New Roman"/>
          <w:b/>
          <w:noProof/>
          <w:sz w:val="28"/>
          <w:szCs w:val="28"/>
        </w:rPr>
        <w:drawing>
          <wp:inline distT="0" distB="0" distL="0" distR="0">
            <wp:extent cx="4171950" cy="2657475"/>
            <wp:effectExtent l="19050" t="0" r="0" b="0"/>
            <wp:docPr id="161" name="Рисунок 28" descr="6 ин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descr="6 инс"/>
                    <pic:cNvPicPr>
                      <a:picLocks noChangeAspect="1" noChangeArrowheads="1"/>
                    </pic:cNvPicPr>
                  </pic:nvPicPr>
                  <pic:blipFill>
                    <a:blip r:embed="rId80"/>
                    <a:srcRect/>
                    <a:stretch>
                      <a:fillRect/>
                    </a:stretch>
                  </pic:blipFill>
                  <pic:spPr bwMode="auto">
                    <a:xfrm>
                      <a:off x="0" y="0"/>
                      <a:ext cx="4171950" cy="2657475"/>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У фіброзованій стромі ПЗ визначалися замуровані неоднакової величини помилкові часточки з вираженою атрофією ацинусів, метаплазією ацинарного епітелію та формуванням ацинодуктулярних структур (рис. 6.25)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ind w:right="279"/>
        <w:contextualSpacing/>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184" type="#_x0000_t202" style="position:absolute;left:0;text-align:left;margin-left:342.3pt;margin-top:117pt;width:20.25pt;height:19.5pt;z-index:251820032;mso-width-relative:margin;mso-height-relative:margin" stroked="f" strokecolor="white">
            <v:textbox style="mso-next-textbox:#_x0000_s1184">
              <w:txbxContent>
                <w:p w:rsidR="0021764E" w:rsidRPr="00B23BCD" w:rsidRDefault="0021764E" w:rsidP="0021764E">
                  <w:pPr>
                    <w:rPr>
                      <w:rFonts w:ascii="Times New Roman" w:hAnsi="Times New Roman"/>
                      <w:b/>
                      <w:sz w:val="28"/>
                      <w:szCs w:val="28"/>
                    </w:rPr>
                  </w:pPr>
                  <w:r>
                    <w:rPr>
                      <w:rFonts w:ascii="Times New Roman" w:hAnsi="Times New Roman"/>
                      <w:b/>
                      <w:sz w:val="28"/>
                      <w:szCs w:val="28"/>
                    </w:rPr>
                    <w:t>1</w:t>
                  </w:r>
                </w:p>
              </w:txbxContent>
            </v:textbox>
          </v:shape>
        </w:pict>
      </w:r>
      <w:r w:rsidRPr="00C62D22">
        <w:rPr>
          <w:rFonts w:ascii="Times New Roman" w:hAnsi="Times New Roman" w:cs="Times New Roman"/>
          <w:noProof/>
          <w:sz w:val="28"/>
          <w:szCs w:val="28"/>
        </w:rPr>
        <w:pict>
          <v:shape id="_x0000_s1132" type="#_x0000_t202" style="position:absolute;left:0;text-align:left;margin-left:-1.2pt;margin-top:214.2pt;width:511.5pt;height:1in;z-index:251766784" stroked="f">
            <v:textbox style="mso-next-textbox:#_x0000_s1132">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6.25</w:t>
                  </w:r>
                  <w:r w:rsidRPr="009814D0">
                    <w:rPr>
                      <w:rFonts w:ascii="Times New Roman" w:hAnsi="Times New Roman"/>
                      <w:sz w:val="28"/>
                      <w:szCs w:val="28"/>
                    </w:rPr>
                    <w:t>. Дрібні помилкові часточки ацинусів</w:t>
                  </w:r>
                  <w:r>
                    <w:rPr>
                      <w:rFonts w:ascii="Times New Roman" w:hAnsi="Times New Roman"/>
                      <w:sz w:val="28"/>
                      <w:szCs w:val="28"/>
                    </w:rPr>
                    <w:t xml:space="preserve"> (1)</w:t>
                  </w:r>
                  <w:r w:rsidRPr="009814D0">
                    <w:rPr>
                      <w:rFonts w:ascii="Times New Roman" w:hAnsi="Times New Roman"/>
                      <w:sz w:val="28"/>
                      <w:szCs w:val="28"/>
                    </w:rPr>
                    <w:t>, оточе</w:t>
                  </w:r>
                  <w:r>
                    <w:rPr>
                      <w:rFonts w:ascii="Times New Roman" w:hAnsi="Times New Roman"/>
                      <w:sz w:val="28"/>
                      <w:szCs w:val="28"/>
                    </w:rPr>
                    <w:t>ні фіброзованою стромою</w:t>
                  </w:r>
                  <w:r w:rsidRPr="009814D0">
                    <w:rPr>
                      <w:rFonts w:ascii="Times New Roman" w:hAnsi="Times New Roman"/>
                      <w:sz w:val="28"/>
                      <w:szCs w:val="28"/>
                    </w:rPr>
                    <w:t xml:space="preserve"> з помірною лімфогістіоц</w:t>
                  </w:r>
                  <w:r>
                    <w:rPr>
                      <w:rFonts w:ascii="Times New Roman" w:hAnsi="Times New Roman"/>
                      <w:sz w:val="28"/>
                      <w:szCs w:val="28"/>
                    </w:rPr>
                    <w:t>итарною інфільтрацією (2). Ектазія та</w:t>
                  </w:r>
                  <w:r w:rsidRPr="009814D0">
                    <w:rPr>
                      <w:rFonts w:ascii="Times New Roman" w:hAnsi="Times New Roman"/>
                      <w:sz w:val="28"/>
                      <w:szCs w:val="28"/>
                    </w:rPr>
                    <w:t xml:space="preserve"> деформація проток</w:t>
                  </w:r>
                  <w:r>
                    <w:rPr>
                      <w:rFonts w:ascii="Times New Roman" w:hAnsi="Times New Roman"/>
                      <w:sz w:val="28"/>
                      <w:szCs w:val="28"/>
                    </w:rPr>
                    <w:t xml:space="preserve"> (3)</w:t>
                  </w:r>
                  <w:r w:rsidRPr="009814D0">
                    <w:rPr>
                      <w:rFonts w:ascii="Times New Roman" w:hAnsi="Times New Roman"/>
                      <w:sz w:val="28"/>
                      <w:szCs w:val="28"/>
                    </w:rPr>
                    <w:t>. Забарвлення</w:t>
                  </w:r>
                  <w:r>
                    <w:rPr>
                      <w:rFonts w:ascii="Times New Roman" w:hAnsi="Times New Roman"/>
                      <w:sz w:val="28"/>
                      <w:szCs w:val="28"/>
                    </w:rPr>
                    <w:t xml:space="preserve"> гематоксиліном й еозином, х100</w:t>
                  </w:r>
                </w:p>
                <w:p w:rsidR="0021764E" w:rsidRDefault="0021764E" w:rsidP="0021764E"/>
              </w:txbxContent>
            </v:textbox>
          </v:shape>
        </w:pict>
      </w:r>
      <w:r w:rsidRPr="00C62D22">
        <w:rPr>
          <w:rFonts w:ascii="Times New Roman" w:hAnsi="Times New Roman" w:cs="Times New Roman"/>
          <w:noProof/>
          <w:sz w:val="28"/>
          <w:szCs w:val="28"/>
        </w:rPr>
        <w:pict>
          <v:shape id="_x0000_s1186" type="#_x0000_t202" style="position:absolute;left:0;text-align:left;margin-left:362.55pt;margin-top:185.25pt;width:20.25pt;height:23.25pt;z-index:251822080;mso-width-relative:margin;mso-height-relative:margin" stroked="f" strokecolor="white">
            <v:textbox style="mso-next-textbox:#_x0000_s1186">
              <w:txbxContent>
                <w:p w:rsidR="0021764E" w:rsidRPr="00B23BCD" w:rsidRDefault="0021764E" w:rsidP="0021764E">
                  <w:pPr>
                    <w:rPr>
                      <w:rFonts w:ascii="Times New Roman" w:hAnsi="Times New Roman"/>
                      <w:b/>
                      <w:sz w:val="28"/>
                      <w:szCs w:val="28"/>
                    </w:rPr>
                  </w:pPr>
                  <w:r>
                    <w:rPr>
                      <w:rFonts w:ascii="Times New Roman" w:hAnsi="Times New Roman"/>
                      <w:b/>
                      <w:sz w:val="28"/>
                      <w:szCs w:val="28"/>
                    </w:rPr>
                    <w:t>2</w:t>
                  </w:r>
                </w:p>
              </w:txbxContent>
            </v:textbox>
          </v:shape>
        </w:pict>
      </w:r>
      <w:r w:rsidRPr="00C62D22">
        <w:rPr>
          <w:rFonts w:ascii="Times New Roman" w:hAnsi="Times New Roman" w:cs="Times New Roman"/>
          <w:noProof/>
          <w:sz w:val="28"/>
          <w:szCs w:val="28"/>
        </w:rPr>
        <w:pict>
          <v:shape id="_x0000_s1185" type="#_x0000_t202" style="position:absolute;left:0;text-align:left;margin-left:153.3pt;margin-top:60.75pt;width:22.5pt;height:23.25pt;z-index:251821056;mso-width-relative:margin;mso-height-relative:margin" filled="f" stroked="f" strokecolor="white">
            <v:textbox style="mso-next-textbox:#_x0000_s1185">
              <w:txbxContent>
                <w:p w:rsidR="0021764E" w:rsidRPr="00B23BCD" w:rsidRDefault="0021764E" w:rsidP="0021764E">
                  <w:pPr>
                    <w:rPr>
                      <w:rFonts w:ascii="Times New Roman" w:hAnsi="Times New Roman"/>
                      <w:b/>
                      <w:sz w:val="28"/>
                      <w:szCs w:val="28"/>
                    </w:rPr>
                  </w:pPr>
                  <w:r>
                    <w:rPr>
                      <w:rFonts w:ascii="Times New Roman" w:hAnsi="Times New Roman"/>
                      <w:b/>
                      <w:sz w:val="28"/>
                      <w:szCs w:val="28"/>
                    </w:rPr>
                    <w:t>3</w:t>
                  </w:r>
                </w:p>
              </w:txbxContent>
            </v:textbox>
          </v:shape>
        </w:pict>
      </w:r>
      <w:r w:rsidRPr="00C62D22">
        <w:rPr>
          <w:rFonts w:ascii="Times New Roman" w:hAnsi="Times New Roman" w:cs="Times New Roman"/>
          <w:noProof/>
          <w:sz w:val="28"/>
          <w:szCs w:val="28"/>
        </w:rPr>
        <w:t xml:space="preserve">        </w:t>
      </w:r>
      <w:r w:rsidRPr="00C62D22">
        <w:rPr>
          <w:rFonts w:ascii="Times New Roman" w:hAnsi="Times New Roman" w:cs="Times New Roman"/>
          <w:noProof/>
          <w:sz w:val="28"/>
          <w:szCs w:val="28"/>
        </w:rPr>
        <w:drawing>
          <wp:inline distT="0" distB="0" distL="0" distR="0">
            <wp:extent cx="4152900" cy="2667000"/>
            <wp:effectExtent l="19050" t="0" r="0" b="0"/>
            <wp:docPr id="162" name="Рисунок 29" descr="6пж протоки-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descr="6пж протоки-100"/>
                    <pic:cNvPicPr>
                      <a:picLocks noChangeAspect="1" noChangeArrowheads="1"/>
                    </pic:cNvPicPr>
                  </pic:nvPicPr>
                  <pic:blipFill>
                    <a:blip r:embed="rId81" cstate="print"/>
                    <a:srcRect/>
                    <a:stretch>
                      <a:fillRect/>
                    </a:stretch>
                  </pic:blipFill>
                  <pic:spPr bwMode="auto">
                    <a:xfrm>
                      <a:off x="0" y="0"/>
                      <a:ext cx="4152900" cy="2667000"/>
                    </a:xfrm>
                    <a:prstGeom prst="rect">
                      <a:avLst/>
                    </a:prstGeom>
                    <a:noFill/>
                    <a:ln w="9525">
                      <a:noFill/>
                      <a:miter lim="800000"/>
                      <a:headEnd/>
                      <a:tailEnd/>
                    </a:ln>
                  </pic:spPr>
                </pic:pic>
              </a:graphicData>
            </a:graphic>
          </wp:inline>
        </w:drawing>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contextualSpacing/>
        <w:jc w:val="both"/>
        <w:rPr>
          <w:rFonts w:ascii="Times New Roman" w:hAnsi="Times New Roman" w:cs="Times New Roman"/>
          <w:sz w:val="28"/>
          <w:szCs w:val="28"/>
        </w:rPr>
      </w:pP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Гістохімічно в ациноцитах визначалася слабко виражена або негативна проліферативна активність і помірно виражена синтетична активність. Базальна мембрана епітелію була дещо потовщена, слабко фуксинофільна, помірно ШИК-позитивна [122].</w:t>
      </w:r>
    </w:p>
    <w:p w:rsidR="0021764E" w:rsidRPr="00C62D22" w:rsidRDefault="0021764E" w:rsidP="0021764E">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Деякі помилкові часточки практично не містили ацинусів і були представлені тільки ендокринними острівцями. Кількість острівців Лангерганса, порівняно з іншими групами, було зменшено, проте розміри їх збільшувалися за рахунок укрупнення ендокринних клітин та їх ядер (рис. 6.26). </w:t>
      </w:r>
    </w:p>
    <w:p w:rsidR="006E5FD4" w:rsidRPr="00C62D22" w:rsidRDefault="006E5FD4" w:rsidP="0021764E">
      <w:pPr>
        <w:spacing w:after="0" w:line="360" w:lineRule="auto"/>
        <w:contextualSpacing/>
        <w:jc w:val="both"/>
        <w:rPr>
          <w:rFonts w:ascii="Times New Roman" w:hAnsi="Times New Roman" w:cs="Times New Roman"/>
          <w:noProof/>
          <w:sz w:val="28"/>
          <w:szCs w:val="28"/>
          <w:lang w:val="en-US"/>
        </w:rPr>
      </w:pPr>
    </w:p>
    <w:p w:rsidR="006E5FD4" w:rsidRPr="00C62D22" w:rsidRDefault="006E5FD4" w:rsidP="0021764E">
      <w:pPr>
        <w:spacing w:after="0" w:line="360" w:lineRule="auto"/>
        <w:contextualSpacing/>
        <w:jc w:val="both"/>
        <w:rPr>
          <w:rFonts w:ascii="Times New Roman" w:hAnsi="Times New Roman" w:cs="Times New Roman"/>
          <w:noProof/>
          <w:sz w:val="28"/>
          <w:szCs w:val="28"/>
          <w:lang w:val="en-US"/>
        </w:rPr>
      </w:pPr>
    </w:p>
    <w:p w:rsidR="006E5FD4" w:rsidRPr="00C62D22" w:rsidRDefault="006E5FD4" w:rsidP="0021764E">
      <w:pPr>
        <w:spacing w:after="0" w:line="360" w:lineRule="auto"/>
        <w:contextualSpacing/>
        <w:jc w:val="both"/>
        <w:rPr>
          <w:rFonts w:ascii="Times New Roman" w:hAnsi="Times New Roman" w:cs="Times New Roman"/>
          <w:noProof/>
          <w:sz w:val="28"/>
          <w:szCs w:val="28"/>
          <w:lang w:val="en-US"/>
        </w:rPr>
      </w:pPr>
    </w:p>
    <w:p w:rsidR="006E5FD4" w:rsidRPr="00C62D22" w:rsidRDefault="006E5FD4" w:rsidP="0021764E">
      <w:pPr>
        <w:spacing w:after="0" w:line="360" w:lineRule="auto"/>
        <w:contextualSpacing/>
        <w:jc w:val="both"/>
        <w:rPr>
          <w:rFonts w:ascii="Times New Roman" w:hAnsi="Times New Roman" w:cs="Times New Roman"/>
          <w:noProof/>
          <w:sz w:val="28"/>
          <w:szCs w:val="28"/>
          <w:lang w:val="en-US"/>
        </w:rPr>
      </w:pPr>
    </w:p>
    <w:p w:rsidR="006E5FD4" w:rsidRPr="00C62D22" w:rsidRDefault="006E5FD4" w:rsidP="0021764E">
      <w:pPr>
        <w:spacing w:after="0" w:line="360" w:lineRule="auto"/>
        <w:contextualSpacing/>
        <w:jc w:val="both"/>
        <w:rPr>
          <w:rFonts w:ascii="Times New Roman" w:hAnsi="Times New Roman" w:cs="Times New Roman"/>
          <w:noProof/>
          <w:sz w:val="28"/>
          <w:szCs w:val="28"/>
          <w:lang w:val="en-US"/>
        </w:rPr>
      </w:pPr>
    </w:p>
    <w:p w:rsidR="006E5FD4" w:rsidRPr="00C62D22" w:rsidRDefault="006E5FD4" w:rsidP="0021764E">
      <w:pPr>
        <w:spacing w:after="0" w:line="360" w:lineRule="auto"/>
        <w:contextualSpacing/>
        <w:jc w:val="both"/>
        <w:rPr>
          <w:rFonts w:ascii="Times New Roman" w:hAnsi="Times New Roman" w:cs="Times New Roman"/>
          <w:noProof/>
          <w:sz w:val="28"/>
          <w:szCs w:val="28"/>
          <w:lang w:val="en-US"/>
        </w:rPr>
      </w:pPr>
    </w:p>
    <w:p w:rsidR="006E5FD4" w:rsidRPr="00C62D22" w:rsidRDefault="006E5FD4" w:rsidP="0021764E">
      <w:pPr>
        <w:spacing w:after="0" w:line="360" w:lineRule="auto"/>
        <w:contextualSpacing/>
        <w:jc w:val="both"/>
        <w:rPr>
          <w:rFonts w:ascii="Times New Roman" w:hAnsi="Times New Roman" w:cs="Times New Roman"/>
          <w:noProof/>
          <w:sz w:val="28"/>
          <w:szCs w:val="28"/>
          <w:lang w:val="en-US"/>
        </w:rPr>
      </w:pPr>
      <w:r w:rsidRPr="00C62D22">
        <w:rPr>
          <w:rFonts w:ascii="Times New Roman" w:hAnsi="Times New Roman" w:cs="Times New Roman"/>
          <w:noProof/>
          <w:sz w:val="28"/>
          <w:szCs w:val="28"/>
        </w:rPr>
        <w:drawing>
          <wp:anchor distT="0" distB="0" distL="114300" distR="114300" simplePos="0" relativeHeight="251744256" behindDoc="0" locked="0" layoutInCell="1" allowOverlap="1">
            <wp:simplePos x="0" y="0"/>
            <wp:positionH relativeFrom="column">
              <wp:posOffset>1175385</wp:posOffset>
            </wp:positionH>
            <wp:positionV relativeFrom="paragraph">
              <wp:posOffset>175260</wp:posOffset>
            </wp:positionV>
            <wp:extent cx="4114800" cy="2667000"/>
            <wp:effectExtent l="19050" t="0" r="0" b="0"/>
            <wp:wrapSquare wrapText="bothSides"/>
            <wp:docPr id="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82"/>
                    <a:srcRect/>
                    <a:stretch>
                      <a:fillRect/>
                    </a:stretch>
                  </pic:blipFill>
                  <pic:spPr bwMode="auto">
                    <a:xfrm>
                      <a:off x="0" y="0"/>
                      <a:ext cx="4114800" cy="2667000"/>
                    </a:xfrm>
                    <a:prstGeom prst="rect">
                      <a:avLst/>
                    </a:prstGeom>
                    <a:noFill/>
                  </pic:spPr>
                </pic:pic>
              </a:graphicData>
            </a:graphic>
          </wp:anchor>
        </w:drawing>
      </w:r>
    </w:p>
    <w:p w:rsidR="006E5FD4" w:rsidRPr="00C62D22" w:rsidRDefault="006E5FD4" w:rsidP="0021764E">
      <w:pPr>
        <w:spacing w:after="0" w:line="360" w:lineRule="auto"/>
        <w:contextualSpacing/>
        <w:jc w:val="both"/>
        <w:rPr>
          <w:rFonts w:ascii="Times New Roman" w:hAnsi="Times New Roman" w:cs="Times New Roman"/>
          <w:noProof/>
          <w:sz w:val="28"/>
          <w:szCs w:val="28"/>
          <w:lang w:val="en-US"/>
        </w:rPr>
      </w:pPr>
    </w:p>
    <w:p w:rsidR="006E5FD4" w:rsidRPr="00C62D22" w:rsidRDefault="006E5FD4" w:rsidP="0021764E">
      <w:pPr>
        <w:spacing w:after="0" w:line="360" w:lineRule="auto"/>
        <w:contextualSpacing/>
        <w:jc w:val="both"/>
        <w:rPr>
          <w:rFonts w:ascii="Times New Roman" w:hAnsi="Times New Roman" w:cs="Times New Roman"/>
          <w:noProof/>
          <w:sz w:val="28"/>
          <w:szCs w:val="28"/>
          <w:lang w:val="en-US"/>
        </w:rPr>
      </w:pPr>
    </w:p>
    <w:p w:rsidR="006E5FD4" w:rsidRPr="00C62D22" w:rsidRDefault="006E5FD4" w:rsidP="0021764E">
      <w:pPr>
        <w:spacing w:after="0" w:line="360" w:lineRule="auto"/>
        <w:contextualSpacing/>
        <w:jc w:val="both"/>
        <w:rPr>
          <w:rFonts w:ascii="Times New Roman" w:hAnsi="Times New Roman" w:cs="Times New Roman"/>
          <w:noProof/>
          <w:sz w:val="28"/>
          <w:szCs w:val="28"/>
          <w:lang w:val="en-US"/>
        </w:rPr>
      </w:pPr>
    </w:p>
    <w:p w:rsidR="0021764E" w:rsidRPr="00C62D22" w:rsidRDefault="006E5FD4" w:rsidP="0021764E">
      <w:pPr>
        <w:spacing w:after="0" w:line="360" w:lineRule="auto"/>
        <w:contextualSpacing/>
        <w:jc w:val="both"/>
        <w:rPr>
          <w:rFonts w:ascii="Times New Roman" w:hAnsi="Times New Roman" w:cs="Times New Roman"/>
          <w:noProof/>
          <w:sz w:val="28"/>
          <w:szCs w:val="28"/>
          <w:lang w:val="en-US"/>
        </w:rPr>
      </w:pPr>
      <w:r w:rsidRPr="00C62D22">
        <w:rPr>
          <w:rFonts w:ascii="Times New Roman" w:hAnsi="Times New Roman" w:cs="Times New Roman"/>
          <w:noProof/>
          <w:sz w:val="28"/>
          <w:szCs w:val="28"/>
        </w:rPr>
        <w:pict>
          <v:shape id="_x0000_s1190" type="#_x0000_t202" style="position:absolute;left:0;text-align:left;margin-left:186.3pt;margin-top:9.75pt;width:21pt;height:23.25pt;z-index:251826176">
            <v:textbox style="mso-next-textbox:#_x0000_s1190">
              <w:txbxContent>
                <w:p w:rsidR="0021764E" w:rsidRPr="005A6DB5" w:rsidRDefault="0021764E" w:rsidP="0021764E">
                  <w:pPr>
                    <w:rPr>
                      <w:rFonts w:ascii="Times New Roman" w:hAnsi="Times New Roman"/>
                      <w:sz w:val="28"/>
                      <w:szCs w:val="28"/>
                    </w:rPr>
                  </w:pPr>
                  <w:r>
                    <w:rPr>
                      <w:rFonts w:ascii="Times New Roman" w:hAnsi="Times New Roman"/>
                      <w:sz w:val="28"/>
                      <w:szCs w:val="28"/>
                    </w:rPr>
                    <w:t>1</w:t>
                  </w:r>
                </w:p>
              </w:txbxContent>
            </v:textbox>
          </v:shape>
        </w:pict>
      </w:r>
    </w:p>
    <w:p w:rsidR="006E5FD4" w:rsidRPr="00C62D22" w:rsidRDefault="006E5FD4" w:rsidP="006E5FD4">
      <w:pPr>
        <w:spacing w:after="0" w:line="360" w:lineRule="auto"/>
        <w:contextualSpacing/>
        <w:jc w:val="both"/>
        <w:rPr>
          <w:rFonts w:ascii="Times New Roman" w:hAnsi="Times New Roman" w:cs="Times New Roman"/>
          <w:sz w:val="28"/>
          <w:szCs w:val="28"/>
          <w:lang w:val="en-US"/>
        </w:rPr>
      </w:pPr>
      <w:r w:rsidRPr="00C62D22">
        <w:rPr>
          <w:rFonts w:ascii="Times New Roman" w:hAnsi="Times New Roman" w:cs="Times New Roman"/>
          <w:noProof/>
          <w:sz w:val="28"/>
          <w:szCs w:val="28"/>
        </w:rPr>
        <w:pict>
          <v:shape id="_x0000_s1191" type="#_x0000_t202" style="position:absolute;left:0;text-align:left;margin-left:287.55pt;margin-top:7.6pt;width:21pt;height:20.25pt;z-index:251827200">
            <v:textbox style="mso-next-textbox:#_x0000_s1191">
              <w:txbxContent>
                <w:p w:rsidR="0021764E" w:rsidRPr="005A6DB5" w:rsidRDefault="0021764E" w:rsidP="0021764E">
                  <w:pPr>
                    <w:rPr>
                      <w:rFonts w:ascii="Times New Roman" w:hAnsi="Times New Roman"/>
                      <w:sz w:val="28"/>
                      <w:szCs w:val="28"/>
                    </w:rPr>
                  </w:pPr>
                  <w:r>
                    <w:rPr>
                      <w:rFonts w:ascii="Times New Roman" w:hAnsi="Times New Roman"/>
                      <w:sz w:val="28"/>
                      <w:szCs w:val="28"/>
                    </w:rPr>
                    <w:t>2</w:t>
                  </w:r>
                </w:p>
              </w:txbxContent>
            </v:textbox>
          </v:shape>
        </w:pict>
      </w:r>
    </w:p>
    <w:p w:rsidR="006E5FD4" w:rsidRPr="00C62D22" w:rsidRDefault="006E5FD4" w:rsidP="006E5FD4">
      <w:pPr>
        <w:spacing w:after="0" w:line="360" w:lineRule="auto"/>
        <w:contextualSpacing/>
        <w:jc w:val="both"/>
        <w:rPr>
          <w:rFonts w:ascii="Times New Roman" w:hAnsi="Times New Roman" w:cs="Times New Roman"/>
          <w:sz w:val="28"/>
          <w:szCs w:val="28"/>
          <w:lang w:val="en-US"/>
        </w:rPr>
      </w:pPr>
      <w:r w:rsidRPr="00C62D22">
        <w:rPr>
          <w:rFonts w:ascii="Times New Roman" w:hAnsi="Times New Roman" w:cs="Times New Roman"/>
          <w:noProof/>
          <w:sz w:val="28"/>
          <w:szCs w:val="28"/>
        </w:rPr>
        <w:pict>
          <v:shape id="_x0000_s1189" type="#_x0000_t202" style="position:absolute;left:0;text-align:left;margin-left:207.3pt;margin-top:13pt;width:21pt;height:21.75pt;z-index:251825152">
            <v:textbox style="mso-next-textbox:#_x0000_s1189">
              <w:txbxContent>
                <w:p w:rsidR="0021764E" w:rsidRPr="005A6DB5" w:rsidRDefault="0021764E" w:rsidP="0021764E">
                  <w:pPr>
                    <w:rPr>
                      <w:rFonts w:ascii="Times New Roman" w:hAnsi="Times New Roman"/>
                      <w:sz w:val="28"/>
                      <w:szCs w:val="28"/>
                    </w:rPr>
                  </w:pPr>
                  <w:r w:rsidRPr="005A6DB5">
                    <w:rPr>
                      <w:rFonts w:ascii="Times New Roman" w:hAnsi="Times New Roman"/>
                      <w:sz w:val="28"/>
                      <w:szCs w:val="28"/>
                    </w:rPr>
                    <w:t>3</w:t>
                  </w:r>
                </w:p>
              </w:txbxContent>
            </v:textbox>
          </v:shape>
        </w:pict>
      </w:r>
    </w:p>
    <w:p w:rsidR="006E5FD4" w:rsidRPr="00C62D22" w:rsidRDefault="006E5FD4" w:rsidP="006E5FD4">
      <w:pPr>
        <w:spacing w:after="0" w:line="360" w:lineRule="auto"/>
        <w:contextualSpacing/>
        <w:jc w:val="both"/>
        <w:rPr>
          <w:rFonts w:ascii="Times New Roman" w:hAnsi="Times New Roman" w:cs="Times New Roman"/>
          <w:sz w:val="28"/>
          <w:szCs w:val="28"/>
          <w:lang w:val="en-US"/>
        </w:rPr>
      </w:pPr>
    </w:p>
    <w:p w:rsidR="006E5FD4" w:rsidRPr="00C62D22" w:rsidRDefault="006E5FD4" w:rsidP="006E5FD4">
      <w:pPr>
        <w:spacing w:after="0" w:line="360" w:lineRule="auto"/>
        <w:contextualSpacing/>
        <w:jc w:val="both"/>
        <w:rPr>
          <w:rFonts w:ascii="Times New Roman" w:hAnsi="Times New Roman" w:cs="Times New Roman"/>
          <w:sz w:val="28"/>
          <w:szCs w:val="28"/>
          <w:lang w:val="en-US"/>
        </w:rPr>
      </w:pPr>
    </w:p>
    <w:p w:rsidR="006E5FD4" w:rsidRPr="00C62D22" w:rsidRDefault="006E5FD4" w:rsidP="006E5FD4">
      <w:pPr>
        <w:spacing w:after="0" w:line="360" w:lineRule="auto"/>
        <w:contextualSpacing/>
        <w:jc w:val="both"/>
        <w:rPr>
          <w:rFonts w:ascii="Times New Roman" w:hAnsi="Times New Roman" w:cs="Times New Roman"/>
          <w:sz w:val="28"/>
          <w:szCs w:val="28"/>
          <w:lang w:val="en-US"/>
        </w:rPr>
      </w:pPr>
    </w:p>
    <w:p w:rsidR="006E5FD4" w:rsidRPr="00C62D22" w:rsidRDefault="006E5FD4" w:rsidP="006E5FD4">
      <w:pPr>
        <w:spacing w:after="0" w:line="360" w:lineRule="auto"/>
        <w:contextualSpacing/>
        <w:jc w:val="both"/>
        <w:rPr>
          <w:rFonts w:ascii="Times New Roman" w:hAnsi="Times New Roman" w:cs="Times New Roman"/>
          <w:sz w:val="28"/>
          <w:szCs w:val="28"/>
          <w:lang w:val="en-US"/>
        </w:rPr>
      </w:pPr>
      <w:r w:rsidRPr="00C62D22">
        <w:rPr>
          <w:rFonts w:ascii="Times New Roman" w:hAnsi="Times New Roman" w:cs="Times New Roman"/>
          <w:noProof/>
          <w:sz w:val="28"/>
          <w:szCs w:val="28"/>
        </w:rPr>
        <w:pict>
          <v:shape id="_x0000_s1133" type="#_x0000_t202" style="position:absolute;left:0;text-align:left;margin-left:2.25pt;margin-top:9.85pt;width:502.8pt;height:111pt;z-index:251767808" stroked="f">
            <v:textbox style="mso-next-textbox:#_x0000_s1133">
              <w:txbxContent>
                <w:p w:rsidR="0021764E" w:rsidRPr="009814D0" w:rsidRDefault="0021764E" w:rsidP="0021764E">
                  <w:pPr>
                    <w:spacing w:after="0" w:line="360" w:lineRule="auto"/>
                    <w:contextualSpacing/>
                    <w:jc w:val="right"/>
                    <w:rPr>
                      <w:rFonts w:ascii="Times New Roman" w:hAnsi="Times New Roman"/>
                      <w:sz w:val="28"/>
                      <w:szCs w:val="28"/>
                    </w:rPr>
                  </w:pPr>
                  <w:r>
                    <w:rPr>
                      <w:rFonts w:ascii="Times New Roman" w:hAnsi="Times New Roman"/>
                      <w:sz w:val="28"/>
                      <w:szCs w:val="28"/>
                    </w:rPr>
                    <w:t>Рис. 6.26</w:t>
                  </w:r>
                  <w:r w:rsidRPr="009814D0">
                    <w:rPr>
                      <w:rFonts w:ascii="Times New Roman" w:hAnsi="Times New Roman"/>
                      <w:sz w:val="28"/>
                      <w:szCs w:val="28"/>
                    </w:rPr>
                    <w:t xml:space="preserve">. Вогнищева лімфогістіоцитарна інфільтрація фіброзованої строми ПЗ </w:t>
                  </w:r>
                  <w:r>
                    <w:rPr>
                      <w:rFonts w:ascii="Times New Roman" w:hAnsi="Times New Roman"/>
                      <w:sz w:val="28"/>
                      <w:szCs w:val="28"/>
                    </w:rPr>
                    <w:t>і</w:t>
                  </w:r>
                  <w:r w:rsidRPr="009814D0">
                    <w:rPr>
                      <w:rFonts w:ascii="Times New Roman" w:hAnsi="Times New Roman"/>
                      <w:sz w:val="28"/>
                      <w:szCs w:val="28"/>
                    </w:rPr>
                    <w:t>з поширенням на помилкову</w:t>
                  </w:r>
                  <w:r>
                    <w:rPr>
                      <w:rFonts w:ascii="Times New Roman" w:hAnsi="Times New Roman"/>
                      <w:sz w:val="28"/>
                      <w:szCs w:val="28"/>
                    </w:rPr>
                    <w:t xml:space="preserve"> часточку (1) й формуванням лі</w:t>
                  </w:r>
                  <w:r w:rsidRPr="009814D0">
                    <w:rPr>
                      <w:rFonts w:ascii="Times New Roman" w:hAnsi="Times New Roman"/>
                      <w:sz w:val="28"/>
                      <w:szCs w:val="28"/>
                    </w:rPr>
                    <w:t>мфоїдного фолікула</w:t>
                  </w:r>
                  <w:r>
                    <w:rPr>
                      <w:rFonts w:ascii="Times New Roman" w:hAnsi="Times New Roman"/>
                      <w:sz w:val="28"/>
                      <w:szCs w:val="28"/>
                    </w:rPr>
                    <w:t xml:space="preserve"> (2)</w:t>
                  </w:r>
                  <w:r w:rsidRPr="009814D0">
                    <w:rPr>
                      <w:rFonts w:ascii="Times New Roman" w:hAnsi="Times New Roman"/>
                      <w:sz w:val="28"/>
                      <w:szCs w:val="28"/>
                    </w:rPr>
                    <w:t>. Укрупнення острі</w:t>
                  </w:r>
                  <w:r>
                    <w:rPr>
                      <w:rFonts w:ascii="Times New Roman" w:hAnsi="Times New Roman"/>
                      <w:sz w:val="28"/>
                      <w:szCs w:val="28"/>
                    </w:rPr>
                    <w:t>вців Лангерганса (3). Забарвлення пікрофуксином за Ван Гізоном, х200</w:t>
                  </w:r>
                </w:p>
                <w:p w:rsidR="0021764E" w:rsidRDefault="0021764E" w:rsidP="0021764E"/>
              </w:txbxContent>
            </v:textbox>
          </v:shape>
        </w:pict>
      </w:r>
    </w:p>
    <w:p w:rsidR="006E5FD4" w:rsidRPr="00C62D22" w:rsidRDefault="006E5FD4" w:rsidP="006E5FD4">
      <w:pPr>
        <w:spacing w:after="0" w:line="360" w:lineRule="auto"/>
        <w:contextualSpacing/>
        <w:jc w:val="both"/>
        <w:rPr>
          <w:rFonts w:ascii="Times New Roman" w:hAnsi="Times New Roman" w:cs="Times New Roman"/>
          <w:sz w:val="28"/>
          <w:szCs w:val="28"/>
          <w:lang w:val="en-US"/>
        </w:rPr>
      </w:pPr>
    </w:p>
    <w:p w:rsidR="006E5FD4" w:rsidRPr="00C62D22" w:rsidRDefault="006E5FD4" w:rsidP="006E5FD4">
      <w:pPr>
        <w:spacing w:after="0" w:line="360" w:lineRule="auto"/>
        <w:contextualSpacing/>
        <w:jc w:val="both"/>
        <w:rPr>
          <w:rFonts w:ascii="Times New Roman" w:hAnsi="Times New Roman" w:cs="Times New Roman"/>
          <w:sz w:val="28"/>
          <w:szCs w:val="28"/>
          <w:lang w:val="en-US"/>
        </w:rPr>
      </w:pPr>
    </w:p>
    <w:p w:rsidR="006E5FD4" w:rsidRPr="00C62D22" w:rsidRDefault="006E5FD4" w:rsidP="006E5FD4">
      <w:pPr>
        <w:spacing w:after="0" w:line="360" w:lineRule="auto"/>
        <w:contextualSpacing/>
        <w:jc w:val="both"/>
        <w:rPr>
          <w:rFonts w:ascii="Times New Roman" w:hAnsi="Times New Roman" w:cs="Times New Roman"/>
          <w:sz w:val="28"/>
          <w:szCs w:val="28"/>
          <w:lang w:val="en-US"/>
        </w:rPr>
      </w:pPr>
    </w:p>
    <w:p w:rsidR="006E5FD4" w:rsidRPr="00C62D22" w:rsidRDefault="006E5FD4" w:rsidP="006E5FD4">
      <w:pPr>
        <w:spacing w:after="0" w:line="360" w:lineRule="auto"/>
        <w:contextualSpacing/>
        <w:jc w:val="both"/>
        <w:rPr>
          <w:rFonts w:ascii="Times New Roman" w:hAnsi="Times New Roman" w:cs="Times New Roman"/>
          <w:sz w:val="28"/>
          <w:szCs w:val="28"/>
          <w:lang w:val="en-US"/>
        </w:rPr>
      </w:pPr>
    </w:p>
    <w:p w:rsidR="0021764E" w:rsidRPr="00C62D22" w:rsidRDefault="0021764E" w:rsidP="006E5FD4">
      <w:pPr>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У</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цитоплазмі</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ендокриноцитів</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відзначається</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інтенсивна</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реакція</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Браше</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у</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ядрах</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слабко</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виражена</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реакція</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Фельгена</w:t>
      </w:r>
      <w:r w:rsidRPr="00C62D22">
        <w:rPr>
          <w:rFonts w:ascii="Times New Roman" w:hAnsi="Times New Roman" w:cs="Times New Roman"/>
          <w:sz w:val="28"/>
          <w:szCs w:val="28"/>
          <w:lang w:val="en-US"/>
        </w:rPr>
        <w:t>-</w:t>
      </w:r>
      <w:r w:rsidRPr="00C62D22">
        <w:rPr>
          <w:rFonts w:ascii="Times New Roman" w:hAnsi="Times New Roman" w:cs="Times New Roman"/>
          <w:sz w:val="28"/>
          <w:szCs w:val="28"/>
        </w:rPr>
        <w:t>Россенбека</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Вставні протоки ацинусів були вистелені сплощеним епітелієм, міжацинозні й внутрішньочасточкові протоки − одношаровим кубічним. В епітеліоцитах гістохімічно спостерігалася слабо виражена синтетична й проліферативна активність. Просвіти протоків були нерівномірно розширені [122].</w:t>
      </w:r>
    </w:p>
    <w:p w:rsidR="0021764E" w:rsidRPr="00C62D22" w:rsidRDefault="0021764E" w:rsidP="0021764E">
      <w:pPr>
        <w:shd w:val="clear" w:color="auto" w:fill="FFFFFF"/>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Таким чином, у всіх спостереженнях хворих ІІІ групи спостерігався виражений фіброз строми з атрофією паренхіми й перебудовою всіх структурних компонентів ПЗ: формуванням помилкових ацинарних часточок з ацинодуктулярною перебудовою ацинусів, компенсаторною гіпертрофією острівкового апарата, перебудовою протокової системи залози з формуванням ретенційних ПК з фіброзною стінкою, висланих епітелієм з явищами гіперплазії та метаплазії, перекалібровкою просвітів артеріальних судин, дистрофічними та гіпертрофічними змінами нервових гангліїв [122]. Особливістю ПК ІІІ типу порівняно з ПК І та ІІ </w:t>
      </w:r>
      <w:r w:rsidRPr="00C62D22">
        <w:rPr>
          <w:rFonts w:ascii="Times New Roman" w:hAnsi="Times New Roman" w:cs="Times New Roman"/>
          <w:sz w:val="28"/>
          <w:szCs w:val="28"/>
        </w:rPr>
        <w:lastRenderedPageBreak/>
        <w:t>типу, є наявність більш зрілої сполучної тканини в їх стінках, про що свідчить перевага колагену І типу над колагеном ІІІ типу. Базальні мембрани мікросудин стінки ПК ІІІ типу були потовщені внаслідок надлишкового накопичення колагену ІV типу, що призводило до зниження здатності ендотеліального прошарку експресувати рецептори до ендотеліну-1. Це дозволяє припустити, що в морфогенезі ПК ІІІ типу має місце аутоімунна ланка, на що вказує високий ступінь експресії клітинами HLА-DR-антигену [45, 180].</w:t>
      </w:r>
    </w:p>
    <w:p w:rsidR="0021764E" w:rsidRPr="00C62D22" w:rsidRDefault="0021764E" w:rsidP="0021764E">
      <w:pPr>
        <w:shd w:val="clear" w:color="auto" w:fill="FFFFFF"/>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bCs/>
          <w:color w:val="000000"/>
          <w:sz w:val="28"/>
          <w:szCs w:val="28"/>
        </w:rPr>
        <w:t>Ураховуючи, що морфологічні зміни, які відбуваються при формуванні ПК, призводять до дисфункції органа, їх слід розглядати як несприятливий перебіг патологічного процесу, який потребує хірургічної корекції.</w:t>
      </w:r>
    </w:p>
    <w:p w:rsidR="0021764E" w:rsidRPr="00C62D22" w:rsidRDefault="0021764E" w:rsidP="0021764E">
      <w:pPr>
        <w:shd w:val="clear" w:color="auto" w:fill="FFFFFF"/>
        <w:spacing w:after="0" w:line="360" w:lineRule="auto"/>
        <w:ind w:firstLine="567"/>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Таким чином, імуногістохімічне дослідження дозволило виявити окремі ланки морфогенезу кістоутворення, ступінь зрілості сполучнотканинного компоненту в стінках ПК ПЗ І, ІІ та ІІІ типів, а також оцінити ступінь виразу склеротичних змін в інтерстиціальному компоненті ПЗ [45, 180]. </w:t>
      </w: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У стінці гострої ПК І типу переважав молодий інтерстиціальний колаген ІІІ типу, тоді як зрілий І типу був представлений у невеликому об’ємі (табл. 6.2). Відомо, що переважання колагену ІІІ типу характерно для грануляційної тканини, а також для дозріваючої сполучної тканини [180, 185, 225]. За мірою дозрівання сполучної тканини в стінці ПК формувалася хронічна кіста ІІ типу. У стінці хронічної ПК відмічалася також, як і в стінці ПК І типу, переважання колагену ІІІ типу. Однак, звертає на себе увагу достовірне підвищення вмісту зрілого інтерстиціального колагену І типу [46, 180]. Вищенаведене свідчить про те, що сполучнотканинний компонент хронічної ПК більш зрілий, ніж гострої. У той же час, переважання колагену ІІІ типу вказує на більш активний синтез фібробластами й фіброцитами саме колагену ІІІ типу, тоді як ці клітини менш активно синтезують колаген І типу. Можливо, що поява колагену І типу в складі сполучнотканинного компоненту стінки ПК пов’язане з дозріванням молодого колагену ІІІ типу в більш зрілий – І типу. Така можливість підтверджується й даними літератури [225].</w:t>
      </w:r>
    </w:p>
    <w:p w:rsidR="0021764E" w:rsidRPr="00C62D22" w:rsidRDefault="0021764E" w:rsidP="0021764E">
      <w:pPr>
        <w:spacing w:after="0" w:line="360" w:lineRule="auto"/>
        <w:ind w:firstLine="567"/>
        <w:jc w:val="both"/>
        <w:rPr>
          <w:rFonts w:ascii="Times New Roman" w:hAnsi="Times New Roman" w:cs="Times New Roman"/>
          <w:b/>
          <w:sz w:val="28"/>
          <w:szCs w:val="28"/>
        </w:rPr>
      </w:pPr>
      <w:r w:rsidRPr="00C62D22">
        <w:rPr>
          <w:rFonts w:ascii="Times New Roman" w:hAnsi="Times New Roman" w:cs="Times New Roman"/>
          <w:sz w:val="28"/>
          <w:szCs w:val="28"/>
        </w:rPr>
        <w:t xml:space="preserve">У стінці ПК ПЗ ІІІ типу помітно переважав колаген І типу, що вказувало на наявність зрілої волокнистої сполучної тканини [45, 180]. Особливості </w:t>
      </w:r>
      <w:r w:rsidRPr="00C62D22">
        <w:rPr>
          <w:rFonts w:ascii="Times New Roman" w:hAnsi="Times New Roman" w:cs="Times New Roman"/>
          <w:sz w:val="28"/>
          <w:szCs w:val="28"/>
        </w:rPr>
        <w:lastRenderedPageBreak/>
        <w:t>колагеноутворення виявлені нами й у базальних мембранах мікросудин, розташованих у стінці ПК. Звертає на себе увагу наростання вмісту колагену ІV типу в базальних мембранах судин від гострої ПК І типу до ПК ІІІ типу (табл. 6.2). Цікаво, що вказана особливість співпадає з активністю синтезу інтерстиціальних колагенів І та ІІІ типів. Потовщеними базальні мембрани були й у стінці судин ПК ІІІ типу, що було пов’язане, на нашу думку, з особливостями імунної реакції як у стінці ПК, так і в стромі органа, аналіз якої приведений нижче [180]. Як відомо, колаген ІV типу є однією з постійних складових базальних мембран судин [186]. Саме станом базальних мембран, у тому числі й рівнем умісту в них колагену ІV типу, пояснюють дисфункцію ендотеліального прошарку судин [375]</w:t>
      </w:r>
      <w:r w:rsidRPr="00C62D22">
        <w:rPr>
          <w:rFonts w:ascii="Times New Roman" w:hAnsi="Times New Roman" w:cs="Times New Roman"/>
          <w:b/>
          <w:sz w:val="28"/>
          <w:szCs w:val="28"/>
        </w:rPr>
        <w:t>.</w:t>
      </w:r>
    </w:p>
    <w:p w:rsidR="0021764E" w:rsidRPr="00C62D22" w:rsidRDefault="0021764E" w:rsidP="0021764E">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 xml:space="preserve">Наші дослідження підтверджують вищесказане. Так, ступінь експресії рецепторів до ендотеліну-1 ендотелієм мікросудин стінки ПК мінімальним був у спостереженнях І групи, можливо, у тому числі й унаслідок дефіциту колагену ІV типу. У спостереженнях ІІ групи показник оптичної щільності імунофлюоресценції ендотелію в препаратах, оброблених МКА до ендотеліну-1, був максимальним, хоча при цьому в базальних мембранах кількість колагену ІV типу була помірною. Тоді, як при максимальному вмісту колагену ІV типу в базальних мембранах судин стінки ПК ІІІ типу рівень експресії рецепторів до ендотеліну-1 знижувалася, порівняно зі спостереженнями ІІ групи. Таким чином, як дефіцит, так і надлишок колагену ІV типу в складі базальних мембран судин стінки ПК проявляється порушенням процесів експресії ендотеліну-1 рецепторами ендотеліоцитів [180]. </w:t>
      </w:r>
    </w:p>
    <w:p w:rsidR="0021764E" w:rsidRPr="00C62D22" w:rsidRDefault="0021764E" w:rsidP="0021764E">
      <w:pPr>
        <w:pStyle w:val="13"/>
        <w:spacing w:line="360" w:lineRule="auto"/>
        <w:ind w:left="0" w:firstLine="567"/>
        <w:jc w:val="both"/>
        <w:rPr>
          <w:b/>
          <w:sz w:val="28"/>
          <w:szCs w:val="28"/>
          <w:lang w:val="uk-UA"/>
        </w:rPr>
      </w:pPr>
      <w:r w:rsidRPr="00C62D22">
        <w:rPr>
          <w:sz w:val="28"/>
          <w:szCs w:val="28"/>
          <w:lang w:val="uk-UA"/>
        </w:rPr>
        <w:t>Аналізуючи характер клітинної інфільтрації в стінках ПК ПЗ різних типів, помітно, що переважання нейтрофільних гранулоцитів у стінці ПК І типу свідчить про наявність гострого запального процесу з можливістю нагноєння [122]. При цьому виражена макрофагальна реакція, що пояснюється, з одного боку фагоцитарною активністю макрофагів по відношенню до клітинного детриту [311], а з іншого боку, участю макрофагів у процесах колагену, що активуються при формуванні стінки ПК [155].</w:t>
      </w:r>
    </w:p>
    <w:p w:rsidR="0021764E" w:rsidRPr="00C62D22" w:rsidRDefault="0021764E" w:rsidP="0021764E">
      <w:pPr>
        <w:pStyle w:val="13"/>
        <w:spacing w:line="360" w:lineRule="auto"/>
        <w:ind w:left="0" w:firstLine="567"/>
        <w:jc w:val="both"/>
        <w:rPr>
          <w:b/>
          <w:sz w:val="28"/>
          <w:szCs w:val="28"/>
          <w:lang w:val="uk-UA"/>
        </w:rPr>
      </w:pPr>
      <w:r w:rsidRPr="00C62D22">
        <w:rPr>
          <w:sz w:val="28"/>
          <w:szCs w:val="28"/>
          <w:lang w:val="uk-UA"/>
        </w:rPr>
        <w:t xml:space="preserve">При хронізації процесу (ПК ПЗ ІІ типу) серед імунних клітин у стінці ПК наростає кількість лімфоцитів як Т, так і В. Різко знижується активність </w:t>
      </w:r>
      <w:r w:rsidRPr="00C62D22">
        <w:rPr>
          <w:sz w:val="28"/>
          <w:szCs w:val="28"/>
          <w:lang w:val="uk-UA"/>
        </w:rPr>
        <w:lastRenderedPageBreak/>
        <w:t>нейтрофільних гранулоцитів, тоді як макрофагальна реакція достатньо добре виражена. Серед лімфоцитів переважаючою популяцією є В-популяція (СD20). Можливо, саме переважання В-лімфоцитів зменшує популяцію нейтрофільних гранулоцитів, так як відомо, що фактор гальмування міграції нейтрофільних гранулоцитів, який продукується В-лімфоцитами, сприяє зниженню їх кількості у вогнищі запалення [46, 180, 206].</w:t>
      </w:r>
    </w:p>
    <w:p w:rsidR="0021764E" w:rsidRPr="00C62D22" w:rsidRDefault="0021764E" w:rsidP="0021764E">
      <w:pPr>
        <w:pStyle w:val="13"/>
        <w:spacing w:line="360" w:lineRule="auto"/>
        <w:ind w:left="0" w:firstLine="567"/>
        <w:jc w:val="both"/>
        <w:rPr>
          <w:sz w:val="28"/>
          <w:szCs w:val="28"/>
          <w:lang w:val="uk-UA"/>
        </w:rPr>
      </w:pPr>
      <w:r w:rsidRPr="00C62D22">
        <w:rPr>
          <w:sz w:val="28"/>
          <w:szCs w:val="28"/>
          <w:lang w:val="uk-UA"/>
        </w:rPr>
        <w:t>Максимально вираженою макрофагальна реакція як у стінці ПК, так і в паренхімі ПЗ виявилася при ПК ІІІ типу. Виражена макрофагальна реакція, можливо, є однією з важливіших ланок у морфогенезі вираженого склерозу, рівно як і максимальною (порівняно з ПК І та ІІ групи) ступеню зрілості сполучнотканинного компоненту стінки ПК. Склеротичні зміни в паренхімі органа нами виявлені при гістологічному дослідженні (при забарвленні за Ван Гізоном), а в бік високої зрілості стінки ПК ІІІ типу свідчило перебільшення вмісту в ній зрілого інтерстиціального колагену І типу над молодим  колагеном ІІІ типу [45, 180]. Як відомо, макрофаги, активізуючи колагеноутворення фібробластами, здатні викликати розвиток склерозу [401]</w:t>
      </w:r>
      <w:r w:rsidRPr="00C62D22">
        <w:rPr>
          <w:b/>
          <w:sz w:val="28"/>
          <w:szCs w:val="28"/>
          <w:lang w:val="uk-UA"/>
        </w:rPr>
        <w:t>.</w:t>
      </w:r>
    </w:p>
    <w:p w:rsidR="0021764E" w:rsidRPr="00C62D22" w:rsidRDefault="0021764E" w:rsidP="0021764E">
      <w:pPr>
        <w:pStyle w:val="13"/>
        <w:spacing w:line="360" w:lineRule="auto"/>
        <w:ind w:left="0" w:firstLine="567"/>
        <w:jc w:val="both"/>
        <w:rPr>
          <w:sz w:val="28"/>
          <w:szCs w:val="28"/>
          <w:lang w:val="uk-UA"/>
        </w:rPr>
      </w:pPr>
      <w:r w:rsidRPr="00C62D22">
        <w:rPr>
          <w:sz w:val="28"/>
          <w:szCs w:val="28"/>
          <w:lang w:val="uk-UA"/>
        </w:rPr>
        <w:t>При ІІ та ІІІ типах ПК як у стінках ПК, так і в паренхімі органа серед елементів імунної інфільтрації значно зростає кількість лімфоцитів, у тому числі й Т-лімфоцитів (CD3). Це також сприяє активізації колагеноутворення фібробластами як результат розростання спочатку молодої, а потім і зрілої сполучної тканини [45, 46, 180]. За даними літератури, саме Т-лімфоцити загальновизнані активаторами фібропластичної реакції [8]. У лімфоцитах знайдено Т-клітинний фактор росту фібробластів, фібробласт активуючий фактор, лімфоцитарний хемотаксичний фактор для фібробластів, колагенпродукуючий фактор [9].</w:t>
      </w:r>
    </w:p>
    <w:p w:rsidR="0021764E" w:rsidRPr="00C62D22" w:rsidRDefault="0021764E" w:rsidP="0021764E">
      <w:pPr>
        <w:pStyle w:val="13"/>
        <w:spacing w:line="360" w:lineRule="auto"/>
        <w:ind w:left="0" w:firstLine="567"/>
        <w:jc w:val="both"/>
        <w:rPr>
          <w:sz w:val="28"/>
          <w:szCs w:val="28"/>
          <w:lang w:val="uk-UA"/>
        </w:rPr>
      </w:pPr>
      <w:r w:rsidRPr="00C62D22">
        <w:rPr>
          <w:sz w:val="28"/>
          <w:szCs w:val="28"/>
          <w:lang w:val="uk-UA"/>
        </w:rPr>
        <w:t xml:space="preserve">У паренхімі ПЗ при гістологічному дослідженні, крім склерозу, виявлені ознаки патологічної регенерації, а саме: атрофія паренхіми та перебудова всіх структурних компонентів ПЗ із формуванням псевдоацинарних часток з перебудовою ацинусів, протокової системи ПЗ із формуванням ретенційних кіст з фіброзною стінкою, які вислані епітелієм з явищами гіперплазії та метаплазії. При цьому в місцевих </w:t>
      </w:r>
      <w:r w:rsidRPr="00C62D22">
        <w:rPr>
          <w:sz w:val="28"/>
          <w:szCs w:val="28"/>
          <w:lang w:val="uk-UA"/>
        </w:rPr>
        <w:lastRenderedPageBreak/>
        <w:t xml:space="preserve">імунних реакціях переважали лімфоцити, і, в першу чергу, Т- популяція цих клітин [122]. </w:t>
      </w:r>
    </w:p>
    <w:p w:rsidR="0021764E" w:rsidRPr="00C62D22" w:rsidRDefault="0021764E" w:rsidP="0021764E">
      <w:pPr>
        <w:pStyle w:val="13"/>
        <w:spacing w:line="360" w:lineRule="auto"/>
        <w:ind w:left="0" w:firstLine="567"/>
        <w:jc w:val="both"/>
        <w:rPr>
          <w:sz w:val="28"/>
          <w:szCs w:val="28"/>
          <w:lang w:val="uk-UA"/>
        </w:rPr>
      </w:pPr>
      <w:r w:rsidRPr="00C62D22">
        <w:rPr>
          <w:sz w:val="28"/>
          <w:szCs w:val="28"/>
          <w:lang w:val="uk-UA"/>
        </w:rPr>
        <w:t>Як відомо, саме Т-лімфоцити викликають проліферацію клітин у ділянці репарації, якою і є стінка ПК. Крім того, [8, 9] показали, що поряд із трофічною функцією Т-лімфоцити мають ще одну важливу функцію, засновану на їх специфічних властивостях, а саме: функцією активації клітин нелімфоїдного походження, і тому вони відіграють важливу роль в онтогенезі різних тканин у нормі, а також при регенерації цих тканин. У зв’язку з вище наведеним, можна стверджувати, що однією з ланок патологічної регенерації паренхіми ПЗ є участь Т-лімфоцитів.</w:t>
      </w:r>
    </w:p>
    <w:p w:rsidR="0021764E" w:rsidRPr="00C62D22" w:rsidRDefault="0021764E" w:rsidP="0021764E">
      <w:pPr>
        <w:spacing w:after="0" w:line="360" w:lineRule="auto"/>
        <w:ind w:firstLine="567"/>
        <w:jc w:val="both"/>
        <w:rPr>
          <w:rFonts w:ascii="Times New Roman" w:hAnsi="Times New Roman" w:cs="Times New Roman"/>
          <w:b/>
          <w:sz w:val="28"/>
          <w:szCs w:val="28"/>
        </w:rPr>
      </w:pPr>
      <w:r w:rsidRPr="00C62D22">
        <w:rPr>
          <w:rFonts w:ascii="Times New Roman" w:hAnsi="Times New Roman" w:cs="Times New Roman"/>
          <w:sz w:val="28"/>
          <w:szCs w:val="28"/>
        </w:rPr>
        <w:t>Звертає на себе увагу більш виражена патологічна регенерація, що спостерігається в спостереженнях ІІІ групи. З метою вивчення морфологічних механізмів вищевказаного процесу, нами вивчена популяція клітин, здатних експресувати рецептори до HLA-DR-антигену [180]. Кількість клітин у полі зору х 400 у препаратах, оброблених МКА до HLA-DR-антигену, наведено в таблиці 6.3. Звертає увагу різке збільшення кількості цих клітин у стінці ПК і в паренхімі ПЗ у спостереженнях ІІІ групи. Як відомо, підвищена експресія HLA-DR-антигену свідчить про наявність аутоімунної ланки в морфогенезі того чи іншого патологічного процесу. У нашому випадку має місце імунне запалення й у зв’язку із цим більш груба перебудова паренхіми ПЗ у вигляді патологічної регенерації [45, 46, 180, 226]</w:t>
      </w:r>
      <w:r w:rsidRPr="00C62D22">
        <w:rPr>
          <w:rFonts w:ascii="Times New Roman" w:hAnsi="Times New Roman" w:cs="Times New Roman"/>
          <w:b/>
          <w:sz w:val="28"/>
          <w:szCs w:val="28"/>
        </w:rPr>
        <w:t>.</w:t>
      </w:r>
    </w:p>
    <w:p w:rsidR="006E5FD4" w:rsidRPr="00C62D22" w:rsidRDefault="006E5FD4">
      <w:pPr>
        <w:rPr>
          <w:rFonts w:ascii="Times New Roman" w:hAnsi="Times New Roman" w:cs="Times New Roman"/>
          <w:sz w:val="28"/>
          <w:szCs w:val="28"/>
        </w:rPr>
      </w:pPr>
      <w:r w:rsidRPr="00C62D22">
        <w:rPr>
          <w:rFonts w:ascii="Times New Roman" w:hAnsi="Times New Roman" w:cs="Times New Roman"/>
          <w:sz w:val="28"/>
          <w:szCs w:val="28"/>
        </w:rPr>
        <w:br w:type="page"/>
      </w:r>
    </w:p>
    <w:p w:rsidR="006E5FD4" w:rsidRPr="00C62D22" w:rsidRDefault="006E5FD4" w:rsidP="006E5FD4">
      <w:pPr>
        <w:tabs>
          <w:tab w:val="left" w:pos="360"/>
        </w:tabs>
        <w:spacing w:after="0" w:line="360" w:lineRule="auto"/>
        <w:ind w:firstLine="567"/>
        <w:jc w:val="center"/>
        <w:rPr>
          <w:rFonts w:ascii="Times New Roman" w:hAnsi="Times New Roman" w:cs="Times New Roman"/>
          <w:b/>
          <w:sz w:val="28"/>
          <w:szCs w:val="28"/>
        </w:rPr>
      </w:pPr>
      <w:r w:rsidRPr="00C62D22">
        <w:rPr>
          <w:rFonts w:ascii="Times New Roman" w:hAnsi="Times New Roman" w:cs="Times New Roman"/>
          <w:b/>
          <w:sz w:val="28"/>
          <w:szCs w:val="28"/>
        </w:rPr>
        <w:lastRenderedPageBreak/>
        <w:t>РОЗДІЛ 7</w:t>
      </w:r>
    </w:p>
    <w:p w:rsidR="006E5FD4" w:rsidRPr="00C62D22" w:rsidRDefault="006E5FD4" w:rsidP="006E5FD4">
      <w:pPr>
        <w:tabs>
          <w:tab w:val="left" w:pos="360"/>
        </w:tabs>
        <w:spacing w:after="0" w:line="360" w:lineRule="auto"/>
        <w:ind w:firstLine="567"/>
        <w:jc w:val="center"/>
        <w:rPr>
          <w:rFonts w:ascii="Times New Roman" w:hAnsi="Times New Roman" w:cs="Times New Roman"/>
          <w:b/>
          <w:sz w:val="28"/>
          <w:szCs w:val="28"/>
        </w:rPr>
      </w:pPr>
      <w:r w:rsidRPr="00C62D22">
        <w:rPr>
          <w:rFonts w:ascii="Times New Roman" w:hAnsi="Times New Roman" w:cs="Times New Roman"/>
          <w:b/>
          <w:sz w:val="28"/>
          <w:szCs w:val="28"/>
        </w:rPr>
        <w:t>ХІРУРГІЧНЕ ЛІКУВАННЯ ХВОРИХ З УСКЛАДНЕНИМИ ПСЕВДОКІСТАМИ ПІДШЛУНКОВОЇ ЗАЛОЗИ ПЕРШОГО ТИПУ</w:t>
      </w:r>
    </w:p>
    <w:p w:rsidR="006E5FD4" w:rsidRPr="00C62D22" w:rsidRDefault="006E5FD4" w:rsidP="006E5FD4">
      <w:pPr>
        <w:pStyle w:val="a5"/>
        <w:tabs>
          <w:tab w:val="left" w:pos="4395"/>
        </w:tabs>
        <w:spacing w:before="0" w:beforeAutospacing="0" w:after="0" w:afterAutospacing="0" w:line="360" w:lineRule="auto"/>
        <w:ind w:firstLine="567"/>
        <w:jc w:val="both"/>
        <w:rPr>
          <w:color w:val="000000"/>
          <w:sz w:val="28"/>
          <w:szCs w:val="28"/>
          <w:lang w:val="uk-UA"/>
        </w:rPr>
      </w:pPr>
    </w:p>
    <w:p w:rsidR="006E5FD4" w:rsidRPr="00C62D22" w:rsidRDefault="006E5FD4" w:rsidP="006E5FD4">
      <w:pPr>
        <w:pStyle w:val="a5"/>
        <w:tabs>
          <w:tab w:val="left" w:pos="4395"/>
        </w:tabs>
        <w:spacing w:before="0" w:beforeAutospacing="0" w:after="0" w:afterAutospacing="0" w:line="360" w:lineRule="auto"/>
        <w:ind w:firstLine="567"/>
        <w:jc w:val="both"/>
        <w:rPr>
          <w:color w:val="000000"/>
          <w:sz w:val="28"/>
          <w:szCs w:val="28"/>
          <w:lang w:val="uk-UA"/>
        </w:rPr>
      </w:pPr>
    </w:p>
    <w:p w:rsidR="006E5FD4" w:rsidRPr="00C62D22" w:rsidRDefault="006E5FD4" w:rsidP="006E5FD4">
      <w:pPr>
        <w:pStyle w:val="a5"/>
        <w:tabs>
          <w:tab w:val="left" w:pos="4395"/>
        </w:tabs>
        <w:spacing w:before="0" w:beforeAutospacing="0" w:after="0" w:afterAutospacing="0" w:line="360" w:lineRule="auto"/>
        <w:ind w:firstLine="567"/>
        <w:jc w:val="both"/>
        <w:rPr>
          <w:color w:val="000000"/>
          <w:sz w:val="28"/>
          <w:szCs w:val="28"/>
          <w:lang w:val="uk-UA"/>
        </w:rPr>
      </w:pPr>
    </w:p>
    <w:p w:rsidR="006E5FD4" w:rsidRPr="00C62D22" w:rsidRDefault="006E5FD4" w:rsidP="006E5FD4">
      <w:pPr>
        <w:pStyle w:val="a5"/>
        <w:tabs>
          <w:tab w:val="left" w:pos="4395"/>
        </w:tabs>
        <w:spacing w:before="0" w:beforeAutospacing="0" w:after="0" w:afterAutospacing="0" w:line="360" w:lineRule="auto"/>
        <w:ind w:firstLine="567"/>
        <w:jc w:val="both"/>
        <w:rPr>
          <w:sz w:val="28"/>
          <w:szCs w:val="28"/>
          <w:lang w:val="uk-UA"/>
        </w:rPr>
      </w:pPr>
      <w:r w:rsidRPr="00C62D22">
        <w:rPr>
          <w:color w:val="000000"/>
          <w:sz w:val="28"/>
          <w:szCs w:val="28"/>
          <w:lang w:val="uk-UA"/>
        </w:rPr>
        <w:t>Для лікування хворих з ПК І типу (n=81) нами було запропоновано застосування тактики «</w:t>
      </w:r>
      <w:r w:rsidRPr="00C62D22">
        <w:rPr>
          <w:color w:val="000000"/>
          <w:sz w:val="28"/>
          <w:szCs w:val="28"/>
          <w:lang w:val="en-GB"/>
        </w:rPr>
        <w:t>step</w:t>
      </w:r>
      <w:r w:rsidRPr="00C62D22">
        <w:rPr>
          <w:color w:val="000000"/>
          <w:sz w:val="28"/>
          <w:szCs w:val="28"/>
        </w:rPr>
        <w:t>-</w:t>
      </w:r>
      <w:r w:rsidRPr="00C62D22">
        <w:rPr>
          <w:color w:val="000000"/>
          <w:sz w:val="28"/>
          <w:szCs w:val="28"/>
          <w:lang w:val="en-GB"/>
        </w:rPr>
        <w:t>up</w:t>
      </w:r>
      <w:r w:rsidRPr="00C62D22">
        <w:rPr>
          <w:color w:val="000000"/>
          <w:sz w:val="28"/>
          <w:szCs w:val="28"/>
          <w:lang w:val="uk-UA"/>
        </w:rPr>
        <w:t xml:space="preserve"> </w:t>
      </w:r>
      <w:r w:rsidRPr="00C62D22">
        <w:rPr>
          <w:color w:val="000000"/>
          <w:sz w:val="28"/>
          <w:szCs w:val="28"/>
          <w:lang w:val="en-GB"/>
        </w:rPr>
        <w:t>approach</w:t>
      </w:r>
      <w:r w:rsidRPr="00C62D22">
        <w:rPr>
          <w:color w:val="000000"/>
          <w:sz w:val="28"/>
          <w:szCs w:val="28"/>
          <w:lang w:val="uk-UA"/>
        </w:rPr>
        <w:t xml:space="preserve">», яка полягала у наступному. У хворих з дисфункцією органа </w:t>
      </w:r>
      <w:r w:rsidRPr="00C62D22">
        <w:rPr>
          <w:sz w:val="28"/>
          <w:szCs w:val="28"/>
          <w:lang w:val="uk-UA"/>
        </w:rPr>
        <w:t xml:space="preserve">(SOFA </w:t>
      </w:r>
      <w:r w:rsidRPr="00C62D22">
        <w:rPr>
          <w:sz w:val="28"/>
          <w:szCs w:val="28"/>
          <w:lang w:val="uk-UA"/>
        </w:rPr>
        <w:sym w:font="Symbol" w:char="003E"/>
      </w:r>
      <w:r w:rsidRPr="00C62D22">
        <w:rPr>
          <w:sz w:val="28"/>
          <w:szCs w:val="28"/>
          <w:lang w:val="uk-UA"/>
        </w:rPr>
        <w:t xml:space="preserve"> 8) з метою «вичікувальної» тактики виконували крізьшкірне або ендоскопічне дренування ПК ПЗ. Цей підхід був розроблений з метою «управління» сепсисом або покращенням загального стану пацієнта, необхідного для подальшого використання «відкритих» втручань на ПЗ. Хворим з ПК ПЗ без поліорганної недостатності або з помірною дисфункцією органа (SOFA від 3 до 8), а також пацієнтам, з мінімальним хірургічним ризиком, виконували лапаротомію з хірургічною обробкою порожнини ПК, а в подальшому, при сформуванні стінок ПК – формування ЦЕА. Хворим з ПК ПЗ із тонкими стінками виконували зовнішнє дренування їх порожнини з додатковою тампонадою великим чепцем [41, 42, 47, 43, 130, 116, 121, 123, 141, 115, 181]. </w:t>
      </w:r>
    </w:p>
    <w:p w:rsidR="006E5FD4" w:rsidRPr="00C62D22" w:rsidRDefault="006E5FD4" w:rsidP="006E5FD4">
      <w:pPr>
        <w:pStyle w:val="a5"/>
        <w:tabs>
          <w:tab w:val="left" w:pos="4395"/>
        </w:tabs>
        <w:spacing w:before="0" w:beforeAutospacing="0" w:after="0" w:afterAutospacing="0" w:line="360" w:lineRule="auto"/>
        <w:ind w:firstLine="709"/>
        <w:jc w:val="both"/>
        <w:rPr>
          <w:b/>
          <w:sz w:val="28"/>
          <w:szCs w:val="28"/>
          <w:lang w:val="uk-UA"/>
        </w:rPr>
      </w:pPr>
    </w:p>
    <w:p w:rsidR="006E5FD4" w:rsidRPr="00C62D22" w:rsidRDefault="006E5FD4" w:rsidP="006E5FD4">
      <w:pPr>
        <w:pStyle w:val="a5"/>
        <w:tabs>
          <w:tab w:val="left" w:pos="4395"/>
        </w:tabs>
        <w:spacing w:before="0" w:beforeAutospacing="0" w:after="0" w:afterAutospacing="0" w:line="360" w:lineRule="auto"/>
        <w:ind w:firstLine="567"/>
        <w:jc w:val="both"/>
        <w:rPr>
          <w:b/>
          <w:sz w:val="28"/>
          <w:szCs w:val="28"/>
          <w:lang w:val="uk-UA"/>
        </w:rPr>
      </w:pPr>
      <w:r w:rsidRPr="00C62D22">
        <w:rPr>
          <w:b/>
          <w:sz w:val="28"/>
          <w:szCs w:val="28"/>
          <w:lang w:val="uk-UA"/>
        </w:rPr>
        <w:t>7.1. Застосування мініінвазивних методів хірургічного лікування хворих на ускладнені псевдокісти підшлункової залози першого типу</w:t>
      </w:r>
    </w:p>
    <w:p w:rsidR="006E5FD4" w:rsidRPr="00C62D22" w:rsidRDefault="006E5FD4" w:rsidP="006E5FD4">
      <w:pPr>
        <w:pStyle w:val="a5"/>
        <w:tabs>
          <w:tab w:val="left" w:pos="4395"/>
        </w:tabs>
        <w:spacing w:before="0" w:beforeAutospacing="0" w:after="0" w:afterAutospacing="0" w:line="360" w:lineRule="auto"/>
        <w:ind w:firstLine="567"/>
        <w:jc w:val="both"/>
        <w:rPr>
          <w:b/>
          <w:sz w:val="28"/>
          <w:szCs w:val="28"/>
          <w:lang w:val="uk-UA"/>
        </w:rPr>
      </w:pPr>
    </w:p>
    <w:p w:rsidR="006E5FD4" w:rsidRPr="00C62D22" w:rsidRDefault="006E5FD4" w:rsidP="006E5FD4">
      <w:pPr>
        <w:pStyle w:val="a5"/>
        <w:tabs>
          <w:tab w:val="left" w:pos="4395"/>
        </w:tabs>
        <w:spacing w:before="0" w:beforeAutospacing="0" w:after="0" w:afterAutospacing="0" w:line="360" w:lineRule="auto"/>
        <w:ind w:firstLine="567"/>
        <w:jc w:val="both"/>
        <w:rPr>
          <w:sz w:val="28"/>
          <w:szCs w:val="28"/>
          <w:lang w:val="uk-UA"/>
        </w:rPr>
      </w:pPr>
      <w:r w:rsidRPr="00C62D22">
        <w:rPr>
          <w:sz w:val="28"/>
          <w:szCs w:val="28"/>
          <w:lang w:val="uk-UA"/>
        </w:rPr>
        <w:t>Характер оперативних втручань, виконаних у хворих з ПК ПЗ І типу, наведено в табл. 7.1. Для лікування хворих з різними ускладненнями ПК ПЗ І типу, у якості І етапу, переважно застосовувалися мініінвазивні методики (49 пацієнтів), з метою декомпресії ПК, та «вичікувальної» тактики для стабілізації стану хворого [41, 42, 43, 114, 115, 116].</w:t>
      </w:r>
    </w:p>
    <w:p w:rsidR="006E5FD4" w:rsidRPr="00C62D22" w:rsidRDefault="006E5FD4" w:rsidP="006E5FD4">
      <w:pPr>
        <w:pStyle w:val="a5"/>
        <w:tabs>
          <w:tab w:val="left" w:pos="4395"/>
        </w:tabs>
        <w:spacing w:before="0" w:beforeAutospacing="0" w:after="0" w:afterAutospacing="0" w:line="360" w:lineRule="auto"/>
        <w:ind w:firstLine="567"/>
        <w:jc w:val="both"/>
        <w:rPr>
          <w:sz w:val="28"/>
          <w:szCs w:val="28"/>
          <w:lang w:val="uk-UA"/>
        </w:rPr>
      </w:pPr>
      <w:r w:rsidRPr="00C62D22">
        <w:rPr>
          <w:sz w:val="28"/>
          <w:szCs w:val="28"/>
          <w:lang w:val="uk-UA"/>
        </w:rPr>
        <w:t xml:space="preserve">При інфікованих ПК ПЗ (24 пацієнта), у якості І етапу 19 хворим (у тому числі 2-ом – з інфікованими ПК ПЗ, ускладненими кровотечею в їх порожнину, 2-ом – з </w:t>
      </w:r>
      <w:r w:rsidRPr="00C62D22">
        <w:rPr>
          <w:sz w:val="28"/>
          <w:szCs w:val="28"/>
          <w:lang w:val="uk-UA"/>
        </w:rPr>
        <w:lastRenderedPageBreak/>
        <w:t>інфікованими ПК ПЗ, ускладненими МЖ) виконані крізьшкірні пункції під контролем УЗД [181, 126, 130].</w:t>
      </w:r>
    </w:p>
    <w:p w:rsidR="006E5FD4" w:rsidRPr="00C62D22" w:rsidRDefault="006E5FD4" w:rsidP="006E5FD4">
      <w:pPr>
        <w:pStyle w:val="a5"/>
        <w:tabs>
          <w:tab w:val="left" w:pos="4395"/>
        </w:tabs>
        <w:spacing w:before="0" w:beforeAutospacing="0" w:after="0" w:afterAutospacing="0" w:line="360" w:lineRule="auto"/>
        <w:jc w:val="both"/>
        <w:rPr>
          <w:sz w:val="28"/>
          <w:szCs w:val="28"/>
          <w:lang w:val="uk-UA"/>
        </w:rPr>
      </w:pPr>
    </w:p>
    <w:p w:rsidR="006E5FD4" w:rsidRPr="00C62D22" w:rsidRDefault="006E5FD4" w:rsidP="006E5FD4">
      <w:pPr>
        <w:pStyle w:val="a5"/>
        <w:tabs>
          <w:tab w:val="left" w:pos="4395"/>
        </w:tabs>
        <w:spacing w:before="0" w:beforeAutospacing="0" w:after="0" w:afterAutospacing="0" w:line="360" w:lineRule="auto"/>
        <w:ind w:firstLine="709"/>
        <w:jc w:val="right"/>
        <w:rPr>
          <w:i/>
          <w:sz w:val="28"/>
          <w:szCs w:val="28"/>
          <w:lang w:val="uk-UA"/>
        </w:rPr>
      </w:pPr>
      <w:r w:rsidRPr="00C62D22">
        <w:rPr>
          <w:i/>
          <w:sz w:val="28"/>
          <w:szCs w:val="28"/>
          <w:lang w:val="uk-UA"/>
        </w:rPr>
        <w:t>Таблиця 7.1</w:t>
      </w:r>
    </w:p>
    <w:p w:rsidR="006E5FD4" w:rsidRPr="00C62D22" w:rsidRDefault="006E5FD4" w:rsidP="006E5FD4">
      <w:pPr>
        <w:pStyle w:val="a5"/>
        <w:tabs>
          <w:tab w:val="left" w:pos="4395"/>
        </w:tabs>
        <w:spacing w:before="0" w:beforeAutospacing="0" w:after="0" w:afterAutospacing="0" w:line="360" w:lineRule="auto"/>
        <w:jc w:val="center"/>
        <w:rPr>
          <w:b/>
          <w:sz w:val="28"/>
          <w:szCs w:val="28"/>
          <w:lang w:val="uk-UA"/>
        </w:rPr>
      </w:pPr>
      <w:r w:rsidRPr="00C62D22">
        <w:rPr>
          <w:b/>
          <w:sz w:val="28"/>
          <w:szCs w:val="28"/>
          <w:lang w:val="uk-UA"/>
        </w:rPr>
        <w:t>Характер оперативних втручань, виконаних у хворих з ПК ПЗ І типу (n=49)</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40"/>
        <w:gridCol w:w="1440"/>
        <w:gridCol w:w="1980"/>
        <w:gridCol w:w="1366"/>
      </w:tblGrid>
      <w:tr w:rsidR="006E5FD4" w:rsidRPr="00C62D22" w:rsidTr="006E5FD4">
        <w:trPr>
          <w:trHeight w:val="711"/>
        </w:trPr>
        <w:tc>
          <w:tcPr>
            <w:tcW w:w="5040"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Втручання</w:t>
            </w:r>
          </w:p>
        </w:tc>
        <w:tc>
          <w:tcPr>
            <w:tcW w:w="1440"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Кіл</w:t>
            </w:r>
            <w:r w:rsidRPr="00C62D22">
              <w:rPr>
                <w:rFonts w:ascii="Times New Roman" w:eastAsia="GaramondC-Light" w:hAnsi="Times New Roman" w:cs="Times New Roman"/>
                <w:sz w:val="28"/>
                <w:szCs w:val="28"/>
              </w:rPr>
              <w:t>ь</w:t>
            </w:r>
            <w:r w:rsidRPr="00C62D22">
              <w:rPr>
                <w:rFonts w:ascii="Times New Roman" w:eastAsia="GaramondC-Light" w:hAnsi="Times New Roman" w:cs="Times New Roman"/>
                <w:sz w:val="28"/>
                <w:szCs w:val="28"/>
              </w:rPr>
              <w:t xml:space="preserve">кість </w:t>
            </w:r>
            <w:r w:rsidRPr="00C62D22">
              <w:rPr>
                <w:rFonts w:ascii="Times New Roman" w:eastAsia="GaramondC-Light" w:hAnsi="Times New Roman" w:cs="Times New Roman"/>
                <w:sz w:val="28"/>
                <w:szCs w:val="28"/>
              </w:rPr>
              <w:br/>
              <w:t>хв</w:t>
            </w:r>
            <w:r w:rsidRPr="00C62D22">
              <w:rPr>
                <w:rFonts w:ascii="Times New Roman" w:eastAsia="GaramondC-Light" w:hAnsi="Times New Roman" w:cs="Times New Roman"/>
                <w:sz w:val="28"/>
                <w:szCs w:val="28"/>
              </w:rPr>
              <w:t>о</w:t>
            </w:r>
            <w:r w:rsidRPr="00C62D22">
              <w:rPr>
                <w:rFonts w:ascii="Times New Roman" w:eastAsia="GaramondC-Light" w:hAnsi="Times New Roman" w:cs="Times New Roman"/>
                <w:sz w:val="28"/>
                <w:szCs w:val="28"/>
              </w:rPr>
              <w:t>рих</w:t>
            </w:r>
          </w:p>
        </w:tc>
        <w:tc>
          <w:tcPr>
            <w:tcW w:w="1980"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Мали </w:t>
            </w:r>
            <w:r w:rsidRPr="00C62D22">
              <w:rPr>
                <w:rFonts w:ascii="Times New Roman" w:eastAsia="GaramondC-Light" w:hAnsi="Times New Roman" w:cs="Times New Roman"/>
                <w:sz w:val="28"/>
                <w:szCs w:val="28"/>
              </w:rPr>
              <w:br/>
              <w:t>ускладне</w:t>
            </w:r>
            <w:r w:rsidRPr="00C62D22">
              <w:rPr>
                <w:rFonts w:ascii="Times New Roman" w:eastAsia="GaramondC-Light" w:hAnsi="Times New Roman" w:cs="Times New Roman"/>
                <w:sz w:val="28"/>
                <w:szCs w:val="28"/>
              </w:rPr>
              <w:t>н</w:t>
            </w:r>
            <w:r w:rsidRPr="00C62D22">
              <w:rPr>
                <w:rFonts w:ascii="Times New Roman" w:eastAsia="GaramondC-Light" w:hAnsi="Times New Roman" w:cs="Times New Roman"/>
                <w:sz w:val="28"/>
                <w:szCs w:val="28"/>
              </w:rPr>
              <w:t>ня</w:t>
            </w:r>
          </w:p>
        </w:tc>
        <w:tc>
          <w:tcPr>
            <w:tcW w:w="1366"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Поме</w:t>
            </w:r>
            <w:r w:rsidRPr="00C62D22">
              <w:rPr>
                <w:rFonts w:ascii="Times New Roman" w:eastAsia="GaramondC-Light" w:hAnsi="Times New Roman" w:cs="Times New Roman"/>
                <w:sz w:val="28"/>
                <w:szCs w:val="28"/>
              </w:rPr>
              <w:t>р</w:t>
            </w:r>
            <w:r w:rsidRPr="00C62D22">
              <w:rPr>
                <w:rFonts w:ascii="Times New Roman" w:eastAsia="GaramondC-Light" w:hAnsi="Times New Roman" w:cs="Times New Roman"/>
                <w:sz w:val="28"/>
                <w:szCs w:val="28"/>
              </w:rPr>
              <w:t>ло</w:t>
            </w:r>
          </w:p>
        </w:tc>
      </w:tr>
      <w:tr w:rsidR="006E5FD4" w:rsidRPr="00C62D22" w:rsidTr="006E5FD4">
        <w:tc>
          <w:tcPr>
            <w:tcW w:w="50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Пункції ПК під контролем УЗД</w:t>
            </w:r>
          </w:p>
        </w:tc>
        <w:tc>
          <w:tcPr>
            <w:tcW w:w="144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37</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16</w:t>
            </w:r>
          </w:p>
        </w:tc>
        <w:tc>
          <w:tcPr>
            <w:tcW w:w="1366"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r w:rsidR="006E5FD4" w:rsidRPr="00C62D22" w:rsidTr="006E5FD4">
        <w:tc>
          <w:tcPr>
            <w:tcW w:w="50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ЕСГ пункції</w:t>
            </w:r>
          </w:p>
        </w:tc>
        <w:tc>
          <w:tcPr>
            <w:tcW w:w="144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c>
          <w:tcPr>
            <w:tcW w:w="1366"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r w:rsidR="006E5FD4" w:rsidRPr="00C62D22" w:rsidTr="006E5FD4">
        <w:tc>
          <w:tcPr>
            <w:tcW w:w="50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Зовнішнє дренування ПК ПЗ за типом «</w:t>
            </w:r>
            <w:r w:rsidRPr="00C62D22">
              <w:rPr>
                <w:sz w:val="28"/>
                <w:szCs w:val="28"/>
                <w:lang w:val="en-US"/>
              </w:rPr>
              <w:t>pig</w:t>
            </w:r>
            <w:r w:rsidRPr="00C62D22">
              <w:rPr>
                <w:sz w:val="28"/>
                <w:szCs w:val="28"/>
                <w:lang w:val="uk-UA"/>
              </w:rPr>
              <w:t xml:space="preserve"> </w:t>
            </w:r>
            <w:r w:rsidRPr="00C62D22">
              <w:rPr>
                <w:sz w:val="28"/>
                <w:szCs w:val="28"/>
                <w:lang w:val="en-US"/>
              </w:rPr>
              <w:t>tail</w:t>
            </w:r>
            <w:r w:rsidRPr="00C62D22">
              <w:rPr>
                <w:sz w:val="28"/>
                <w:szCs w:val="28"/>
                <w:lang w:val="uk-UA"/>
              </w:rPr>
              <w:t>»</w:t>
            </w:r>
          </w:p>
        </w:tc>
        <w:tc>
          <w:tcPr>
            <w:tcW w:w="144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9</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c>
          <w:tcPr>
            <w:tcW w:w="1366"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r w:rsidR="006E5FD4" w:rsidRPr="00C62D22" w:rsidTr="006E5FD4">
        <w:tc>
          <w:tcPr>
            <w:tcW w:w="50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Лапароскопічне дренування ПК ПЗ</w:t>
            </w:r>
          </w:p>
        </w:tc>
        <w:tc>
          <w:tcPr>
            <w:tcW w:w="144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2</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c>
          <w:tcPr>
            <w:tcW w:w="1366"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r>
      <w:tr w:rsidR="006E5FD4" w:rsidRPr="00C62D22" w:rsidTr="006E5FD4">
        <w:tc>
          <w:tcPr>
            <w:tcW w:w="50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 xml:space="preserve">Усього </w:t>
            </w:r>
          </w:p>
        </w:tc>
        <w:tc>
          <w:tcPr>
            <w:tcW w:w="144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49</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19</w:t>
            </w:r>
          </w:p>
        </w:tc>
        <w:tc>
          <w:tcPr>
            <w:tcW w:w="1366"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r>
    </w:tbl>
    <w:p w:rsidR="006E5FD4" w:rsidRPr="00C62D22" w:rsidRDefault="006E5FD4" w:rsidP="006E5FD4">
      <w:pPr>
        <w:pStyle w:val="a5"/>
        <w:tabs>
          <w:tab w:val="left" w:pos="4395"/>
        </w:tabs>
        <w:spacing w:before="0" w:beforeAutospacing="0" w:after="0" w:afterAutospacing="0"/>
        <w:ind w:firstLine="709"/>
        <w:jc w:val="both"/>
        <w:rPr>
          <w:sz w:val="28"/>
          <w:szCs w:val="28"/>
          <w:lang w:val="uk-UA"/>
        </w:rPr>
      </w:pP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r w:rsidRPr="00C62D22">
        <w:rPr>
          <w:sz w:val="28"/>
          <w:szCs w:val="28"/>
          <w:lang w:val="uk-UA"/>
        </w:rPr>
        <w:t>У 6-ти пацієнтів (у тому числі 1-го – з інфікованою ПК ПЗ, ускладненою компресією ДПК, 1-го – з інфікованою ПК ПЗ, тромбозом селезінкової вени, панкреатогенним асцитом-перитонітом) виконано зовнішнє дренування ПК ПЗ під контролем УЗД за типом «</w:t>
      </w:r>
      <w:r w:rsidRPr="00C62D22">
        <w:rPr>
          <w:sz w:val="28"/>
          <w:szCs w:val="28"/>
          <w:lang w:val="en-US"/>
        </w:rPr>
        <w:t>pig</w:t>
      </w:r>
      <w:r w:rsidRPr="00C62D22">
        <w:rPr>
          <w:sz w:val="28"/>
          <w:szCs w:val="28"/>
          <w:lang w:val="uk-UA"/>
        </w:rPr>
        <w:t xml:space="preserve"> </w:t>
      </w:r>
      <w:r w:rsidRPr="00C62D22">
        <w:rPr>
          <w:sz w:val="28"/>
          <w:szCs w:val="28"/>
          <w:lang w:val="en-US"/>
        </w:rPr>
        <w:t>tail</w:t>
      </w:r>
      <w:r w:rsidRPr="00C62D22">
        <w:rPr>
          <w:sz w:val="28"/>
          <w:szCs w:val="28"/>
          <w:lang w:val="uk-UA"/>
        </w:rPr>
        <w:t>» (рис. 7.1).</w:t>
      </w: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p>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noProof/>
          <w:sz w:val="28"/>
          <w:szCs w:val="28"/>
        </w:rPr>
        <w:pict>
          <v:shape id="_x0000_s1194" type="#_x0000_t202" style="position:absolute;left:0;text-align:left;margin-left:0;margin-top:221.1pt;width:7in;height:27pt;z-index:251829248" stroked="f">
            <v:textbox style="mso-next-textbox:#_x0000_s1194">
              <w:txbxContent>
                <w:p w:rsidR="006E5FD4" w:rsidRPr="00FA3E2C" w:rsidRDefault="006E5FD4" w:rsidP="006E5FD4">
                  <w:pPr>
                    <w:ind w:firstLine="540"/>
                    <w:jc w:val="right"/>
                    <w:rPr>
                      <w:rFonts w:ascii="Times New Roman" w:hAnsi="Times New Roman"/>
                      <w:sz w:val="28"/>
                      <w:szCs w:val="28"/>
                    </w:rPr>
                  </w:pPr>
                  <w:r>
                    <w:rPr>
                      <w:rFonts w:ascii="Times New Roman" w:hAnsi="Times New Roman"/>
                      <w:sz w:val="28"/>
                      <w:szCs w:val="28"/>
                    </w:rPr>
                    <w:t>Рис. 7</w:t>
                  </w:r>
                  <w:r w:rsidRPr="00B9749A">
                    <w:rPr>
                      <w:rFonts w:ascii="Times New Roman" w:hAnsi="Times New Roman"/>
                      <w:sz w:val="28"/>
                      <w:szCs w:val="28"/>
                    </w:rPr>
                    <w:t>.1</w:t>
                  </w:r>
                  <w:r>
                    <w:rPr>
                      <w:rFonts w:ascii="Times New Roman" w:hAnsi="Times New Roman"/>
                      <w:sz w:val="28"/>
                      <w:szCs w:val="28"/>
                    </w:rPr>
                    <w:t>.</w:t>
                  </w:r>
                  <w:r w:rsidRPr="00B9749A">
                    <w:rPr>
                      <w:rFonts w:ascii="Times New Roman" w:hAnsi="Times New Roman"/>
                      <w:sz w:val="28"/>
                      <w:szCs w:val="28"/>
                    </w:rPr>
                    <w:t xml:space="preserve"> Зовнішнє </w:t>
                  </w:r>
                  <w:r>
                    <w:rPr>
                      <w:rFonts w:ascii="Times New Roman" w:hAnsi="Times New Roman"/>
                      <w:sz w:val="28"/>
                      <w:szCs w:val="28"/>
                    </w:rPr>
                    <w:t>дренування порожнини ПК</w:t>
                  </w:r>
                  <w:r w:rsidRPr="00B9749A">
                    <w:rPr>
                      <w:rFonts w:ascii="Times New Roman" w:hAnsi="Times New Roman"/>
                      <w:sz w:val="28"/>
                      <w:szCs w:val="28"/>
                    </w:rPr>
                    <w:t xml:space="preserve"> ПЗ за методикою «</w:t>
                  </w:r>
                  <w:r w:rsidRPr="00B9749A">
                    <w:rPr>
                      <w:rFonts w:ascii="Times New Roman" w:hAnsi="Times New Roman"/>
                      <w:sz w:val="28"/>
                      <w:szCs w:val="28"/>
                      <w:lang w:val="en-US"/>
                    </w:rPr>
                    <w:t>pig</w:t>
                  </w:r>
                  <w:r w:rsidRPr="00B9749A">
                    <w:rPr>
                      <w:rFonts w:ascii="Times New Roman" w:hAnsi="Times New Roman"/>
                      <w:sz w:val="28"/>
                      <w:szCs w:val="28"/>
                    </w:rPr>
                    <w:t xml:space="preserve"> </w:t>
                  </w:r>
                  <w:r w:rsidRPr="00B9749A">
                    <w:rPr>
                      <w:rFonts w:ascii="Times New Roman" w:hAnsi="Times New Roman"/>
                      <w:sz w:val="28"/>
                      <w:szCs w:val="28"/>
                      <w:lang w:val="en-US"/>
                    </w:rPr>
                    <w:t>tail</w:t>
                  </w:r>
                  <w:r>
                    <w:rPr>
                      <w:rFonts w:ascii="Times New Roman" w:hAnsi="Times New Roman"/>
                      <w:sz w:val="28"/>
                      <w:szCs w:val="28"/>
                    </w:rPr>
                    <w:t>»</w:t>
                  </w:r>
                </w:p>
                <w:p w:rsidR="006E5FD4" w:rsidRDefault="006E5FD4" w:rsidP="006E5FD4"/>
              </w:txbxContent>
            </v:textbox>
          </v:shape>
        </w:pict>
      </w:r>
      <w:r w:rsidRPr="00C62D22">
        <w:rPr>
          <w:color w:val="FFFFFF"/>
          <w:sz w:val="28"/>
          <w:szCs w:val="28"/>
          <w:lang w:val="uk-UA"/>
        </w:rPr>
        <w:t xml:space="preserve">     </w:t>
      </w:r>
      <w:r w:rsidRPr="00C62D22">
        <w:rPr>
          <w:noProof/>
          <w:color w:val="FFFFFF"/>
          <w:sz w:val="28"/>
          <w:szCs w:val="28"/>
        </w:rPr>
        <w:drawing>
          <wp:inline distT="0" distB="0" distL="0" distR="0">
            <wp:extent cx="3457575" cy="2762250"/>
            <wp:effectExtent l="19050" t="0" r="9525"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83" cstate="print"/>
                    <a:srcRect/>
                    <a:stretch>
                      <a:fillRect/>
                    </a:stretch>
                  </pic:blipFill>
                  <pic:spPr bwMode="auto">
                    <a:xfrm>
                      <a:off x="0" y="0"/>
                      <a:ext cx="3457575" cy="2762250"/>
                    </a:xfrm>
                    <a:prstGeom prst="rect">
                      <a:avLst/>
                    </a:prstGeom>
                    <a:noFill/>
                    <a:ln w="9525">
                      <a:noFill/>
                      <a:miter lim="800000"/>
                      <a:headEnd/>
                      <a:tailEnd/>
                    </a:ln>
                  </pic:spPr>
                </pic:pic>
              </a:graphicData>
            </a:graphic>
          </wp:inline>
        </w:drawing>
      </w:r>
    </w:p>
    <w:p w:rsidR="006E5FD4" w:rsidRPr="00C62D22" w:rsidRDefault="006E5FD4" w:rsidP="006E5FD4">
      <w:pPr>
        <w:pStyle w:val="a5"/>
        <w:tabs>
          <w:tab w:val="left" w:pos="4395"/>
        </w:tabs>
        <w:spacing w:before="0" w:beforeAutospacing="0" w:after="0" w:afterAutospacing="0" w:line="360" w:lineRule="auto"/>
        <w:ind w:firstLine="540"/>
        <w:jc w:val="both"/>
        <w:rPr>
          <w:sz w:val="28"/>
          <w:szCs w:val="28"/>
          <w:lang w:val="uk-UA"/>
        </w:rPr>
      </w:pPr>
      <w:r w:rsidRPr="00C62D22">
        <w:rPr>
          <w:sz w:val="28"/>
          <w:szCs w:val="28"/>
          <w:lang w:val="uk-UA"/>
        </w:rPr>
        <w:t xml:space="preserve">При дослідженні вмісту інфікованих ПК ПЗ І типу встановлено, що основними збудниками панкреатичної інфекції були грамнегативні мікроорганізми, зокрема </w:t>
      </w:r>
      <w:r w:rsidRPr="00C62D22">
        <w:rPr>
          <w:color w:val="171512"/>
          <w:sz w:val="28"/>
          <w:szCs w:val="28"/>
        </w:rPr>
        <w:lastRenderedPageBreak/>
        <w:t>Escherichia</w:t>
      </w:r>
      <w:r w:rsidRPr="00C62D22">
        <w:rPr>
          <w:color w:val="171512"/>
          <w:sz w:val="28"/>
          <w:szCs w:val="28"/>
          <w:lang w:val="uk-UA"/>
        </w:rPr>
        <w:t xml:space="preserve"> </w:t>
      </w:r>
      <w:r w:rsidRPr="00C62D22">
        <w:rPr>
          <w:color w:val="171512"/>
          <w:sz w:val="28"/>
          <w:szCs w:val="28"/>
        </w:rPr>
        <w:t>coli</w:t>
      </w:r>
      <w:r w:rsidRPr="00C62D22">
        <w:rPr>
          <w:color w:val="171512"/>
          <w:sz w:val="28"/>
          <w:szCs w:val="28"/>
          <w:lang w:val="uk-UA"/>
        </w:rPr>
        <w:t xml:space="preserve"> в 7 (29,2%), умовно-патогенні енторобактерії – </w:t>
      </w:r>
      <w:r w:rsidRPr="00C62D22">
        <w:rPr>
          <w:color w:val="000000"/>
          <w:sz w:val="28"/>
          <w:szCs w:val="28"/>
        </w:rPr>
        <w:t>Klebsiella</w:t>
      </w:r>
      <w:r w:rsidRPr="00C62D22">
        <w:rPr>
          <w:color w:val="000000"/>
          <w:sz w:val="28"/>
          <w:szCs w:val="28"/>
          <w:lang w:val="uk-UA"/>
        </w:rPr>
        <w:t xml:space="preserve"> </w:t>
      </w:r>
      <w:r w:rsidRPr="00C62D22">
        <w:rPr>
          <w:color w:val="000000"/>
          <w:sz w:val="28"/>
          <w:szCs w:val="28"/>
        </w:rPr>
        <w:t>pneumonia</w:t>
      </w:r>
      <w:r w:rsidRPr="00C62D22">
        <w:rPr>
          <w:color w:val="000000"/>
          <w:sz w:val="28"/>
          <w:szCs w:val="28"/>
          <w:lang w:val="uk-UA"/>
        </w:rPr>
        <w:t xml:space="preserve"> у 6 (25%) та </w:t>
      </w:r>
      <w:r w:rsidRPr="00C62D22">
        <w:rPr>
          <w:color w:val="171512"/>
          <w:sz w:val="28"/>
          <w:szCs w:val="28"/>
        </w:rPr>
        <w:t>Proteus</w:t>
      </w:r>
      <w:r w:rsidRPr="00C62D22">
        <w:rPr>
          <w:color w:val="171512"/>
          <w:sz w:val="28"/>
          <w:szCs w:val="28"/>
          <w:lang w:val="uk-UA"/>
        </w:rPr>
        <w:t xml:space="preserve"> </w:t>
      </w:r>
      <w:r w:rsidRPr="00C62D22">
        <w:rPr>
          <w:color w:val="171512"/>
          <w:sz w:val="28"/>
          <w:szCs w:val="28"/>
        </w:rPr>
        <w:t>spp</w:t>
      </w:r>
      <w:r w:rsidRPr="00C62D22">
        <w:rPr>
          <w:color w:val="171512"/>
          <w:sz w:val="28"/>
          <w:szCs w:val="28"/>
          <w:lang w:val="uk-UA"/>
        </w:rPr>
        <w:t xml:space="preserve">. у 5 (20,8%). На цьому тлі частота виділення </w:t>
      </w:r>
      <w:r w:rsidRPr="00C62D22">
        <w:rPr>
          <w:color w:val="171512"/>
          <w:sz w:val="28"/>
          <w:szCs w:val="28"/>
        </w:rPr>
        <w:t>Enterococcus</w:t>
      </w:r>
      <w:r w:rsidRPr="00C62D22">
        <w:rPr>
          <w:color w:val="171512"/>
          <w:sz w:val="28"/>
          <w:szCs w:val="28"/>
          <w:lang w:val="uk-UA"/>
        </w:rPr>
        <w:t xml:space="preserve"> </w:t>
      </w:r>
      <w:r w:rsidRPr="00C62D22">
        <w:rPr>
          <w:color w:val="171512"/>
          <w:sz w:val="28"/>
          <w:szCs w:val="28"/>
        </w:rPr>
        <w:t>spp</w:t>
      </w:r>
      <w:r w:rsidRPr="00C62D22">
        <w:rPr>
          <w:color w:val="171512"/>
          <w:sz w:val="28"/>
          <w:szCs w:val="28"/>
          <w:lang w:val="uk-UA"/>
        </w:rPr>
        <w:t xml:space="preserve">. становила 2 (8,3 %), а </w:t>
      </w:r>
      <w:r w:rsidRPr="00C62D22">
        <w:rPr>
          <w:color w:val="171512"/>
          <w:sz w:val="28"/>
          <w:szCs w:val="28"/>
        </w:rPr>
        <w:t>Staphylococcus</w:t>
      </w:r>
      <w:r w:rsidRPr="00C62D22">
        <w:rPr>
          <w:color w:val="171512"/>
          <w:sz w:val="28"/>
          <w:szCs w:val="28"/>
          <w:lang w:val="uk-UA"/>
        </w:rPr>
        <w:t xml:space="preserve"> </w:t>
      </w:r>
      <w:r w:rsidRPr="00C62D22">
        <w:rPr>
          <w:color w:val="171512"/>
          <w:sz w:val="28"/>
          <w:szCs w:val="28"/>
        </w:rPr>
        <w:t>aureus</w:t>
      </w:r>
      <w:r w:rsidRPr="00C62D22">
        <w:rPr>
          <w:color w:val="171512"/>
          <w:sz w:val="28"/>
          <w:szCs w:val="28"/>
          <w:lang w:val="uk-UA"/>
        </w:rPr>
        <w:t xml:space="preserve"> – 4 (16,7%). </w:t>
      </w: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r w:rsidRPr="00C62D22">
        <w:rPr>
          <w:sz w:val="28"/>
          <w:szCs w:val="28"/>
          <w:lang w:val="uk-UA"/>
        </w:rPr>
        <w:t>У ранньому післяопераційному періоді у 6-х хворих потребували повторних пункцій під контролем УЗД, та 1 пацієнт – редренування ПК ПЗ, у зв’язку з нерозрішенням ПК та прогресуванням ГП.</w:t>
      </w: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r w:rsidRPr="00C62D22">
        <w:rPr>
          <w:sz w:val="28"/>
          <w:szCs w:val="28"/>
          <w:lang w:val="uk-UA"/>
        </w:rPr>
        <w:t>Характер повторних мініінвазивних втручань наведений у табл. 7.2.</w:t>
      </w: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p>
    <w:p w:rsidR="006E5FD4" w:rsidRPr="00C62D22" w:rsidRDefault="006E5FD4" w:rsidP="006E5FD4">
      <w:pPr>
        <w:pStyle w:val="a5"/>
        <w:tabs>
          <w:tab w:val="left" w:pos="4395"/>
        </w:tabs>
        <w:spacing w:before="0" w:beforeAutospacing="0" w:after="0" w:afterAutospacing="0" w:line="360" w:lineRule="auto"/>
        <w:ind w:firstLine="709"/>
        <w:jc w:val="right"/>
        <w:rPr>
          <w:i/>
          <w:sz w:val="28"/>
          <w:szCs w:val="28"/>
          <w:lang w:val="uk-UA"/>
        </w:rPr>
      </w:pPr>
      <w:r w:rsidRPr="00C62D22">
        <w:rPr>
          <w:i/>
          <w:sz w:val="28"/>
          <w:szCs w:val="28"/>
          <w:lang w:val="uk-UA"/>
        </w:rPr>
        <w:t>Таблиця 7.2.</w:t>
      </w:r>
    </w:p>
    <w:p w:rsidR="006E5FD4" w:rsidRPr="00C62D22" w:rsidRDefault="006E5FD4" w:rsidP="006E5FD4">
      <w:pPr>
        <w:pStyle w:val="a5"/>
        <w:tabs>
          <w:tab w:val="left" w:pos="4395"/>
        </w:tabs>
        <w:spacing w:before="0" w:beforeAutospacing="0" w:after="0" w:afterAutospacing="0" w:line="360" w:lineRule="auto"/>
        <w:ind w:firstLine="540"/>
        <w:jc w:val="center"/>
        <w:rPr>
          <w:b/>
          <w:sz w:val="28"/>
          <w:szCs w:val="28"/>
          <w:lang w:val="uk-UA"/>
        </w:rPr>
      </w:pPr>
      <w:r w:rsidRPr="00C62D22">
        <w:rPr>
          <w:b/>
          <w:sz w:val="28"/>
          <w:szCs w:val="28"/>
          <w:lang w:val="uk-UA"/>
        </w:rPr>
        <w:t>Характер повторних мініінвазивних втручань у хворих з ускладненими</w:t>
      </w:r>
    </w:p>
    <w:p w:rsidR="006E5FD4" w:rsidRPr="00C62D22" w:rsidRDefault="006E5FD4" w:rsidP="006E5FD4">
      <w:pPr>
        <w:pStyle w:val="a5"/>
        <w:tabs>
          <w:tab w:val="left" w:pos="4395"/>
        </w:tabs>
        <w:spacing w:before="0" w:beforeAutospacing="0" w:after="0" w:afterAutospacing="0" w:line="360" w:lineRule="auto"/>
        <w:ind w:firstLine="540"/>
        <w:jc w:val="center"/>
        <w:rPr>
          <w:b/>
          <w:sz w:val="28"/>
          <w:szCs w:val="28"/>
          <w:lang w:val="uk-UA"/>
        </w:rPr>
      </w:pPr>
      <w:r w:rsidRPr="00C62D22">
        <w:rPr>
          <w:b/>
          <w:sz w:val="28"/>
          <w:szCs w:val="28"/>
          <w:lang w:val="uk-UA"/>
        </w:rPr>
        <w:t>ПК ПЗ І типу</w:t>
      </w: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40"/>
        <w:gridCol w:w="1800"/>
        <w:gridCol w:w="1767"/>
        <w:gridCol w:w="1800"/>
      </w:tblGrid>
      <w:tr w:rsidR="006E5FD4" w:rsidRPr="00C62D22" w:rsidTr="006E5FD4">
        <w:tc>
          <w:tcPr>
            <w:tcW w:w="4140"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Втручання</w:t>
            </w:r>
          </w:p>
        </w:tc>
        <w:tc>
          <w:tcPr>
            <w:tcW w:w="1800"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Кіл</w:t>
            </w:r>
            <w:r w:rsidRPr="00C62D22">
              <w:rPr>
                <w:rFonts w:ascii="Times New Roman" w:eastAsia="GaramondC-Light" w:hAnsi="Times New Roman" w:cs="Times New Roman"/>
                <w:sz w:val="28"/>
                <w:szCs w:val="28"/>
              </w:rPr>
              <w:t>ь</w:t>
            </w:r>
            <w:r w:rsidRPr="00C62D22">
              <w:rPr>
                <w:rFonts w:ascii="Times New Roman" w:eastAsia="GaramondC-Light" w:hAnsi="Times New Roman" w:cs="Times New Roman"/>
                <w:sz w:val="28"/>
                <w:szCs w:val="28"/>
              </w:rPr>
              <w:t xml:space="preserve">кість </w:t>
            </w:r>
            <w:r w:rsidRPr="00C62D22">
              <w:rPr>
                <w:rFonts w:ascii="Times New Roman" w:eastAsia="GaramondC-Light" w:hAnsi="Times New Roman" w:cs="Times New Roman"/>
                <w:sz w:val="28"/>
                <w:szCs w:val="28"/>
              </w:rPr>
              <w:br/>
              <w:t>хв</w:t>
            </w:r>
            <w:r w:rsidRPr="00C62D22">
              <w:rPr>
                <w:rFonts w:ascii="Times New Roman" w:eastAsia="GaramondC-Light" w:hAnsi="Times New Roman" w:cs="Times New Roman"/>
                <w:sz w:val="28"/>
                <w:szCs w:val="28"/>
              </w:rPr>
              <w:t>о</w:t>
            </w:r>
            <w:r w:rsidRPr="00C62D22">
              <w:rPr>
                <w:rFonts w:ascii="Times New Roman" w:eastAsia="GaramondC-Light" w:hAnsi="Times New Roman" w:cs="Times New Roman"/>
                <w:sz w:val="28"/>
                <w:szCs w:val="28"/>
              </w:rPr>
              <w:t>рих</w:t>
            </w:r>
          </w:p>
        </w:tc>
        <w:tc>
          <w:tcPr>
            <w:tcW w:w="1767"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Мали </w:t>
            </w:r>
            <w:r w:rsidRPr="00C62D22">
              <w:rPr>
                <w:rFonts w:ascii="Times New Roman" w:eastAsia="GaramondC-Light" w:hAnsi="Times New Roman" w:cs="Times New Roman"/>
                <w:sz w:val="28"/>
                <w:szCs w:val="28"/>
              </w:rPr>
              <w:br/>
              <w:t>ускладне</w:t>
            </w:r>
            <w:r w:rsidRPr="00C62D22">
              <w:rPr>
                <w:rFonts w:ascii="Times New Roman" w:eastAsia="GaramondC-Light" w:hAnsi="Times New Roman" w:cs="Times New Roman"/>
                <w:sz w:val="28"/>
                <w:szCs w:val="28"/>
              </w:rPr>
              <w:t>н</w:t>
            </w:r>
            <w:r w:rsidRPr="00C62D22">
              <w:rPr>
                <w:rFonts w:ascii="Times New Roman" w:eastAsia="GaramondC-Light" w:hAnsi="Times New Roman" w:cs="Times New Roman"/>
                <w:sz w:val="28"/>
                <w:szCs w:val="28"/>
              </w:rPr>
              <w:t>ня</w:t>
            </w:r>
          </w:p>
        </w:tc>
        <w:tc>
          <w:tcPr>
            <w:tcW w:w="1800"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Поме</w:t>
            </w:r>
            <w:r w:rsidRPr="00C62D22">
              <w:rPr>
                <w:rFonts w:ascii="Times New Roman" w:eastAsia="GaramondC-Light" w:hAnsi="Times New Roman" w:cs="Times New Roman"/>
                <w:sz w:val="28"/>
                <w:szCs w:val="28"/>
              </w:rPr>
              <w:t>р</w:t>
            </w:r>
            <w:r w:rsidRPr="00C62D22">
              <w:rPr>
                <w:rFonts w:ascii="Times New Roman" w:eastAsia="GaramondC-Light" w:hAnsi="Times New Roman" w:cs="Times New Roman"/>
                <w:sz w:val="28"/>
                <w:szCs w:val="28"/>
              </w:rPr>
              <w:t>ло</w:t>
            </w:r>
          </w:p>
        </w:tc>
      </w:tr>
      <w:tr w:rsidR="006E5FD4" w:rsidRPr="00C62D22" w:rsidTr="006E5FD4">
        <w:tc>
          <w:tcPr>
            <w:tcW w:w="41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Зовнішнє дренування ПК ПЗ за типом «</w:t>
            </w:r>
            <w:r w:rsidRPr="00C62D22">
              <w:rPr>
                <w:sz w:val="28"/>
                <w:szCs w:val="28"/>
                <w:lang w:val="en-US"/>
              </w:rPr>
              <w:t>pig</w:t>
            </w:r>
            <w:r w:rsidRPr="00C62D22">
              <w:rPr>
                <w:sz w:val="28"/>
                <w:szCs w:val="28"/>
                <w:lang w:val="uk-UA"/>
              </w:rPr>
              <w:t xml:space="preserve"> </w:t>
            </w:r>
            <w:r w:rsidRPr="00C62D22">
              <w:rPr>
                <w:sz w:val="28"/>
                <w:szCs w:val="28"/>
                <w:lang w:val="en-US"/>
              </w:rPr>
              <w:t>tail</w:t>
            </w:r>
            <w:r w:rsidRPr="00C62D22">
              <w:rPr>
                <w:sz w:val="28"/>
                <w:szCs w:val="28"/>
                <w:lang w:val="uk-UA"/>
              </w:rPr>
              <w:t>»</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4</w:t>
            </w:r>
          </w:p>
        </w:tc>
        <w:tc>
          <w:tcPr>
            <w:tcW w:w="1767"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r w:rsidR="006E5FD4" w:rsidRPr="00C62D22" w:rsidTr="006E5FD4">
        <w:tc>
          <w:tcPr>
            <w:tcW w:w="41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ЦГС під контролем УЗД</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c>
          <w:tcPr>
            <w:tcW w:w="1767"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r w:rsidR="006E5FD4" w:rsidRPr="00C62D22" w:rsidTr="006E5FD4">
        <w:tc>
          <w:tcPr>
            <w:tcW w:w="41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Пункція під контролем УЗД</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c>
          <w:tcPr>
            <w:tcW w:w="1767"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p>
        </w:tc>
      </w:tr>
      <w:tr w:rsidR="006E5FD4" w:rsidRPr="00C62D22" w:rsidTr="006E5FD4">
        <w:tc>
          <w:tcPr>
            <w:tcW w:w="41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РЕО судин-джерел кровотечі</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c>
          <w:tcPr>
            <w:tcW w:w="1767"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r w:rsidR="006E5FD4" w:rsidRPr="00C62D22" w:rsidTr="006E5FD4">
        <w:tc>
          <w:tcPr>
            <w:tcW w:w="41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 xml:space="preserve">Усього </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7</w:t>
            </w:r>
          </w:p>
        </w:tc>
        <w:tc>
          <w:tcPr>
            <w:tcW w:w="1767"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bl>
    <w:p w:rsidR="006E5FD4" w:rsidRPr="00C62D22" w:rsidRDefault="006E5FD4" w:rsidP="006E5FD4">
      <w:pPr>
        <w:pStyle w:val="a5"/>
        <w:tabs>
          <w:tab w:val="left" w:pos="4395"/>
        </w:tabs>
        <w:spacing w:before="0" w:beforeAutospacing="0" w:after="0" w:afterAutospacing="0" w:line="360" w:lineRule="auto"/>
        <w:ind w:firstLine="709"/>
        <w:jc w:val="right"/>
        <w:rPr>
          <w:b/>
          <w:i/>
          <w:sz w:val="28"/>
          <w:szCs w:val="28"/>
          <w:lang w:val="uk-UA"/>
        </w:rPr>
      </w:pP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r w:rsidRPr="00C62D22">
        <w:rPr>
          <w:sz w:val="28"/>
          <w:szCs w:val="28"/>
          <w:lang w:val="uk-UA"/>
        </w:rPr>
        <w:t xml:space="preserve">Реактивний плеврит виник у 3 хворих, яким були виконані пункції плевральних порожнин під контролем УЗД. З досліджуваних 24 хворих з інфікованими ПК ПЗ, 3 – уже мали в анамнезі пункції під контролем УЗД, 1 – оперований із приводу серозної цистаденоми (стан після ПДР), 1 – оперований із приводу посттравматичного панкреонекрозу (санація та дренування чепцевої сумки), 1 – мав стан після накладання ЦЕА (цистоентероанастомозу). </w:t>
      </w: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r w:rsidRPr="00C62D22">
        <w:rPr>
          <w:sz w:val="28"/>
          <w:szCs w:val="28"/>
          <w:lang w:val="uk-UA"/>
        </w:rPr>
        <w:t>При ПК ПЗ І типу, ускладнених компресією шлунка та/або ДПК (9 пацієнтів), у якості І етапу, 6 хворим виконані крізьшкірні пункції ПК під контролем УЗД, у 1 з них, у подальшому – зовнішнє дренування ПК ПЗ під контролем УЗД за типом «</w:t>
      </w:r>
      <w:r w:rsidRPr="00C62D22">
        <w:rPr>
          <w:sz w:val="28"/>
          <w:szCs w:val="28"/>
          <w:lang w:val="en-US"/>
        </w:rPr>
        <w:t>pig</w:t>
      </w:r>
      <w:r w:rsidRPr="00C62D22">
        <w:rPr>
          <w:sz w:val="28"/>
          <w:szCs w:val="28"/>
          <w:lang w:val="uk-UA"/>
        </w:rPr>
        <w:t xml:space="preserve"> </w:t>
      </w:r>
      <w:r w:rsidRPr="00C62D22">
        <w:rPr>
          <w:sz w:val="28"/>
          <w:szCs w:val="28"/>
          <w:lang w:val="en-US"/>
        </w:rPr>
        <w:t>tail</w:t>
      </w:r>
      <w:r w:rsidRPr="00C62D22">
        <w:rPr>
          <w:sz w:val="28"/>
          <w:szCs w:val="28"/>
          <w:lang w:val="uk-UA"/>
        </w:rPr>
        <w:t xml:space="preserve">». В 1-го пацієнта пункції під контролем УЗД виконувалися тричі. 1-му хворому з </w:t>
      </w:r>
      <w:r w:rsidRPr="00C62D22">
        <w:rPr>
          <w:sz w:val="28"/>
          <w:szCs w:val="28"/>
          <w:lang w:val="uk-UA"/>
        </w:rPr>
        <w:lastRenderedPageBreak/>
        <w:t>гострим панкреатитом, ПК ПЗ, ускладненою компресією бульби ДПК, виконана ендосонографічна (ЕСГ) пункція ПК, яка в післяопераційному періоді ускладнилася через 6 діб рецидивом ПК, що був ліквідований пункцією ПК під контролем УЗД. Крізьшкірне дренування ПК ПЗ під контролем УЗД за типом «</w:t>
      </w:r>
      <w:r w:rsidRPr="00C62D22">
        <w:rPr>
          <w:sz w:val="28"/>
          <w:szCs w:val="28"/>
          <w:lang w:val="en-US"/>
        </w:rPr>
        <w:t>pig</w:t>
      </w:r>
      <w:r w:rsidRPr="00C62D22">
        <w:rPr>
          <w:sz w:val="28"/>
          <w:szCs w:val="28"/>
          <w:lang w:val="uk-UA"/>
        </w:rPr>
        <w:t xml:space="preserve"> </w:t>
      </w:r>
      <w:r w:rsidRPr="00C62D22">
        <w:rPr>
          <w:sz w:val="28"/>
          <w:szCs w:val="28"/>
          <w:lang w:val="en-US"/>
        </w:rPr>
        <w:t>tail</w:t>
      </w:r>
      <w:r w:rsidRPr="00C62D22">
        <w:rPr>
          <w:sz w:val="28"/>
          <w:szCs w:val="28"/>
          <w:lang w:val="uk-UA"/>
        </w:rPr>
        <w:t xml:space="preserve">» виконано 1-му хворому з багатокамерною ПК ПЗ великих розмірів, яка здавлювала шлунок. Рецидив ПК ПЗ виник у 1-го хворого, був ліквідований повторними пункціями під контролем УЗД. </w:t>
      </w: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r w:rsidRPr="00C62D22">
        <w:rPr>
          <w:sz w:val="28"/>
          <w:szCs w:val="28"/>
          <w:lang w:val="uk-UA"/>
        </w:rPr>
        <w:t>Лапароскопічне дренування гострих ПК ПЗ виконано 2-ом хворим. 1-му хворому з гострим панкреонекрозом, ПК голівки та хвоста ПЗ, деформацією бульби ДПК виконана у зв’язку з прогресуванням панкреонекрозу та синдрому загальної інтоксикації, виконана релюмбоскопія, релапароскопія, некрсеквестректомія (НСЕ), дренування позаочеревного простору, черевної порожнини. Хворий помер, причиною смерті був синдром поліорганної недостатності.</w:t>
      </w: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r w:rsidRPr="00C62D22">
        <w:rPr>
          <w:sz w:val="28"/>
          <w:szCs w:val="28"/>
          <w:lang w:val="uk-UA"/>
        </w:rPr>
        <w:t>При ПК ПЗ І типу, ускладнених МЖ, у якості І етапу, 3-м хворим виконані пункції під контролем УЗД. В 1 хворого після пункції під контролем УЗД, МЖ була ліквідована за допомогою крізьшкірної крізьпечінкової холецистостомії (ККХС). Рецидиви ПК ПЗ виникли у 2-х хворих, ліквідовані повторними пункціями під контролем УЗД. 1 хворий мав в анамнезі зовнішнє дренування ПК [44].</w:t>
      </w: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r w:rsidRPr="00C62D22">
        <w:rPr>
          <w:sz w:val="28"/>
          <w:szCs w:val="28"/>
          <w:lang w:val="uk-UA"/>
        </w:rPr>
        <w:t>При ПК ПЗ І типу, ускладненою цистогастральною норицею, астенічним синдромом, у якості І етапу, 1-му пацієнту виконано крізьшкірне дренування ПК ПЗ під контролем УЗД за типом «pig tail», з подальшою крізьшкірною ЦГС зі стентуванням гастростомного отвору під контролем УЗД на 12 добу після стабілізації стану хворого. В анамнезі в цього хворого були неодноразові пункції ПК під контролем УЗД. В 1-го хворого з гострим інфікованим панкреонекрозом, ПК ПЗ, яка перфорувала в шлунок, цистопанкреатичною норицею, у якості першого етапу лікування, виконана пункція ПК ПЗ під контролем УЗД.</w:t>
      </w: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r w:rsidRPr="00C62D22">
        <w:rPr>
          <w:sz w:val="28"/>
          <w:szCs w:val="28"/>
          <w:lang w:val="uk-UA"/>
        </w:rPr>
        <w:t xml:space="preserve">При ПК ПЗ І типу, ускладнених кровотечею в її порожнину (9 пацієнтів), 7-ми хворим, у якості І етапу, виконані пункції ПК під контролем УЗД. Повторні пункції ПК, з метою декомпресії, були виконані 3 хворим. 1-му пацієнту після пункції ПК </w:t>
      </w:r>
      <w:r w:rsidRPr="00C62D22">
        <w:rPr>
          <w:sz w:val="28"/>
          <w:szCs w:val="28"/>
          <w:lang w:val="uk-UA"/>
        </w:rPr>
        <w:lastRenderedPageBreak/>
        <w:t>ПЗ під контролем УЗД, з метою гемостазу, проведено рентгенендоваскулярну оклюзію (РЕО) селезінкової артерії (рис. 7.2) [49, 119, 272].</w:t>
      </w: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p>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noProof/>
          <w:sz w:val="28"/>
          <w:szCs w:val="28"/>
        </w:rPr>
        <w:pict>
          <v:shape id="_x0000_s1200" type="#_x0000_t202" style="position:absolute;left:0;text-align:left;margin-left:-4.95pt;margin-top:212.15pt;width:510.95pt;height:58.2pt;z-index:251835392" stroked="f">
            <v:textbox style="mso-next-textbox:#_x0000_s1200">
              <w:txbxContent>
                <w:p w:rsidR="006E5FD4" w:rsidRPr="000B241E" w:rsidRDefault="006E5FD4" w:rsidP="006E5FD4">
                  <w:pPr>
                    <w:spacing w:line="360" w:lineRule="auto"/>
                    <w:jc w:val="right"/>
                    <w:rPr>
                      <w:rFonts w:ascii="Times New Roman" w:hAnsi="Times New Roman"/>
                      <w:sz w:val="28"/>
                      <w:szCs w:val="28"/>
                    </w:rPr>
                  </w:pPr>
                  <w:r w:rsidRPr="000B241E">
                    <w:rPr>
                      <w:rFonts w:ascii="Times New Roman" w:hAnsi="Times New Roman"/>
                      <w:sz w:val="28"/>
                      <w:szCs w:val="28"/>
                    </w:rPr>
                    <w:t>Р</w:t>
                  </w:r>
                  <w:r>
                    <w:rPr>
                      <w:rFonts w:ascii="Times New Roman" w:hAnsi="Times New Roman"/>
                      <w:sz w:val="28"/>
                      <w:szCs w:val="28"/>
                    </w:rPr>
                    <w:t>ис.7.</w:t>
                  </w:r>
                  <w:r w:rsidRPr="000B241E">
                    <w:rPr>
                      <w:rFonts w:ascii="Times New Roman" w:hAnsi="Times New Roman"/>
                      <w:sz w:val="28"/>
                      <w:szCs w:val="28"/>
                    </w:rPr>
                    <w:t xml:space="preserve">2. </w:t>
                  </w:r>
                  <w:r>
                    <w:rPr>
                      <w:rFonts w:ascii="Times New Roman" w:hAnsi="Times New Roman"/>
                      <w:sz w:val="28"/>
                      <w:szCs w:val="28"/>
                    </w:rPr>
                    <w:t>Ангіографічна рентгенедоваскулярна оклюзія</w:t>
                  </w:r>
                  <w:r w:rsidRPr="000B241E">
                    <w:rPr>
                      <w:rFonts w:ascii="Times New Roman" w:hAnsi="Times New Roman"/>
                      <w:sz w:val="28"/>
                      <w:szCs w:val="28"/>
                    </w:rPr>
                    <w:t xml:space="preserve"> селезінкової артерії (</w:t>
                  </w:r>
                  <w:r>
                    <w:rPr>
                      <w:rFonts w:ascii="Times New Roman" w:hAnsi="Times New Roman"/>
                      <w:sz w:val="28"/>
                      <w:szCs w:val="28"/>
                    </w:rPr>
                    <w:t>указано стрілкою)</w:t>
                  </w:r>
                </w:p>
              </w:txbxContent>
            </v:textbox>
          </v:shape>
        </w:pict>
      </w:r>
      <w:r w:rsidRPr="00C62D22">
        <w:rPr>
          <w:noProof/>
          <w:sz w:val="28"/>
          <w:szCs w:val="28"/>
        </w:rPr>
        <w:pict>
          <v:shape id="_x0000_s1201" type="#_x0000_t13" style="position:absolute;left:0;text-align:left;margin-left:195.75pt;margin-top:75.2pt;width:1in;height:18pt;z-index:251836416"/>
        </w:pict>
      </w:r>
      <w:r w:rsidRPr="00C62D22">
        <w:rPr>
          <w:sz w:val="28"/>
          <w:szCs w:val="28"/>
          <w:lang w:val="uk-UA"/>
        </w:rPr>
        <w:t xml:space="preserve">     </w:t>
      </w:r>
      <w:r w:rsidRPr="00C62D22">
        <w:rPr>
          <w:noProof/>
          <w:sz w:val="28"/>
          <w:szCs w:val="28"/>
        </w:rPr>
        <w:drawing>
          <wp:inline distT="0" distB="0" distL="0" distR="0">
            <wp:extent cx="4124325" cy="2647950"/>
            <wp:effectExtent l="19050" t="0" r="9525" b="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84" cstate="print"/>
                    <a:srcRect/>
                    <a:stretch>
                      <a:fillRect/>
                    </a:stretch>
                  </pic:blipFill>
                  <pic:spPr bwMode="auto">
                    <a:xfrm>
                      <a:off x="0" y="0"/>
                      <a:ext cx="4124325" cy="2647950"/>
                    </a:xfrm>
                    <a:prstGeom prst="rect">
                      <a:avLst/>
                    </a:prstGeom>
                    <a:noFill/>
                    <a:ln w="9525">
                      <a:noFill/>
                      <a:miter lim="800000"/>
                      <a:headEnd/>
                      <a:tailEnd/>
                    </a:ln>
                  </pic:spPr>
                </pic:pic>
              </a:graphicData>
            </a:graphic>
          </wp:inline>
        </w:drawing>
      </w:r>
    </w:p>
    <w:p w:rsidR="006E5FD4" w:rsidRPr="00C62D22" w:rsidRDefault="006E5FD4" w:rsidP="006E5FD4">
      <w:pPr>
        <w:pStyle w:val="a5"/>
        <w:tabs>
          <w:tab w:val="left" w:pos="4395"/>
        </w:tabs>
        <w:spacing w:before="0" w:beforeAutospacing="0" w:after="0" w:afterAutospacing="0" w:line="360" w:lineRule="auto"/>
        <w:jc w:val="both"/>
        <w:rPr>
          <w:sz w:val="28"/>
          <w:szCs w:val="28"/>
          <w:lang w:val="uk-UA"/>
        </w:rPr>
      </w:pPr>
    </w:p>
    <w:p w:rsidR="006E5FD4" w:rsidRPr="00C62D22" w:rsidRDefault="006E5FD4" w:rsidP="006E5FD4">
      <w:pPr>
        <w:pStyle w:val="a5"/>
        <w:tabs>
          <w:tab w:val="left" w:pos="4395"/>
        </w:tabs>
        <w:spacing w:before="0" w:beforeAutospacing="0" w:after="0" w:afterAutospacing="0" w:line="360" w:lineRule="auto"/>
        <w:jc w:val="both"/>
        <w:rPr>
          <w:sz w:val="28"/>
          <w:szCs w:val="28"/>
          <w:lang w:val="uk-UA"/>
        </w:rPr>
      </w:pPr>
    </w:p>
    <w:p w:rsidR="006E5FD4" w:rsidRPr="00C62D22" w:rsidRDefault="006E5FD4" w:rsidP="006E5FD4">
      <w:pPr>
        <w:pStyle w:val="a5"/>
        <w:tabs>
          <w:tab w:val="left" w:pos="4395"/>
        </w:tabs>
        <w:spacing w:before="0" w:beforeAutospacing="0" w:after="0" w:afterAutospacing="0"/>
        <w:jc w:val="both"/>
        <w:rPr>
          <w:sz w:val="28"/>
          <w:szCs w:val="28"/>
          <w:lang w:val="uk-UA"/>
        </w:rPr>
      </w:pPr>
    </w:p>
    <w:p w:rsidR="006E5FD4" w:rsidRPr="00C62D22" w:rsidRDefault="006E5FD4" w:rsidP="006E5FD4">
      <w:pPr>
        <w:pStyle w:val="a5"/>
        <w:tabs>
          <w:tab w:val="left" w:pos="4395"/>
        </w:tabs>
        <w:spacing w:before="0" w:beforeAutospacing="0" w:after="0" w:afterAutospacing="0" w:line="360" w:lineRule="auto"/>
        <w:ind w:firstLine="540"/>
        <w:jc w:val="both"/>
        <w:rPr>
          <w:sz w:val="28"/>
          <w:szCs w:val="28"/>
          <w:lang w:val="uk-UA"/>
        </w:rPr>
      </w:pPr>
      <w:r w:rsidRPr="00C62D22">
        <w:rPr>
          <w:sz w:val="28"/>
          <w:szCs w:val="28"/>
          <w:lang w:val="uk-UA"/>
        </w:rPr>
        <w:t>В 1-го хворого з гострим інфікованим панкреонекрозом, ПК ПЗ, ускладненою кровотечею в її порожнину та розривом, розповсюдженим серозно-фібринозним перитонітом, у якості І етапу, виконано зовнішнє дренування ПК під контролем УЗД за типом «pig tail». У післяопераційному періоду у хворого виникло гостре рідинне скупчення в лівому піддіафрагмальному просторі, яке ліквідоване крізьшкірними пункціями під контролем УЗД. У 2-х хворих в анамнезі були оперативні втручання з приводу захворювань ПЗ: 1 – оперований із приводу інсуломи (лапароскопічна енуклеація), 1 – лапароскопічне дренування чепцевої сумки з приводу гострого деструктивного панкреатиту.</w:t>
      </w:r>
    </w:p>
    <w:p w:rsidR="006E5FD4" w:rsidRPr="00C62D22" w:rsidRDefault="006E5FD4" w:rsidP="006E5FD4">
      <w:pPr>
        <w:pStyle w:val="a5"/>
        <w:tabs>
          <w:tab w:val="left" w:pos="4395"/>
        </w:tabs>
        <w:spacing w:before="0" w:beforeAutospacing="0" w:after="0" w:afterAutospacing="0" w:line="360" w:lineRule="auto"/>
        <w:ind w:firstLine="567"/>
        <w:jc w:val="both"/>
        <w:rPr>
          <w:sz w:val="28"/>
          <w:szCs w:val="28"/>
          <w:lang w:val="uk-UA"/>
        </w:rPr>
      </w:pPr>
      <w:r w:rsidRPr="00C62D22">
        <w:rPr>
          <w:sz w:val="28"/>
          <w:szCs w:val="28"/>
          <w:lang w:val="uk-UA"/>
        </w:rPr>
        <w:t xml:space="preserve">Таким чином, мініінвазивні методи лікування хворих на ускладнені ПК ПЗ, у якості І етапу були застосовані в 49 (60,5%) пацієнтів з гострими ПК. Перевагу віддавали пункціям під контролем УЗД, які у загальній структурі мініінвазивних методик становили 75,5%. У 19 (38,8%) хворих, яким у якості І етапу, виконані мініінвазивні методики, виникли ускладнення (реактивні плеврити, рецидиви ПК), які були ліквідовані повторними УЗД пункціями. Застосування мініінвазивних </w:t>
      </w:r>
      <w:r w:rsidRPr="00C62D22">
        <w:rPr>
          <w:sz w:val="28"/>
          <w:szCs w:val="28"/>
          <w:lang w:val="uk-UA"/>
        </w:rPr>
        <w:lastRenderedPageBreak/>
        <w:t>методик дозволило зменшити кількість лапаротомних втручань у хворих цієї групи, у якості ІІ етапу, до 9 (18,75%). Помер 1 хворий, причиною смерті якого був синдром поліорганної недостатності.</w:t>
      </w:r>
    </w:p>
    <w:p w:rsidR="006E5FD4" w:rsidRPr="00C62D22" w:rsidRDefault="006E5FD4" w:rsidP="006E5FD4">
      <w:pPr>
        <w:pStyle w:val="a5"/>
        <w:tabs>
          <w:tab w:val="left" w:pos="4395"/>
        </w:tabs>
        <w:spacing w:before="0" w:beforeAutospacing="0" w:after="0" w:afterAutospacing="0" w:line="360" w:lineRule="auto"/>
        <w:ind w:firstLine="709"/>
        <w:jc w:val="both"/>
        <w:rPr>
          <w:sz w:val="28"/>
          <w:szCs w:val="28"/>
          <w:lang w:val="uk-UA"/>
        </w:rPr>
      </w:pPr>
    </w:p>
    <w:p w:rsidR="006E5FD4" w:rsidRPr="00C62D22" w:rsidRDefault="006E5FD4" w:rsidP="006E5FD4">
      <w:pPr>
        <w:spacing w:after="0" w:line="360" w:lineRule="auto"/>
        <w:ind w:firstLine="567"/>
        <w:jc w:val="both"/>
        <w:rPr>
          <w:rFonts w:ascii="Times New Roman" w:hAnsi="Times New Roman" w:cs="Times New Roman"/>
          <w:b/>
          <w:sz w:val="28"/>
          <w:szCs w:val="28"/>
          <w:lang w:val="uk-UA"/>
        </w:rPr>
      </w:pPr>
      <w:r w:rsidRPr="00C62D22">
        <w:rPr>
          <w:rFonts w:ascii="Times New Roman" w:hAnsi="Times New Roman" w:cs="Times New Roman"/>
          <w:b/>
          <w:sz w:val="28"/>
          <w:szCs w:val="28"/>
          <w:lang w:val="uk-UA"/>
        </w:rPr>
        <w:t xml:space="preserve">7.2. «Відкриті» втручання у хворих на ускладнені псевдокісти підшлункової залози першого типу </w:t>
      </w:r>
    </w:p>
    <w:p w:rsidR="006E5FD4" w:rsidRPr="00C62D22" w:rsidRDefault="006E5FD4" w:rsidP="006E5FD4">
      <w:pPr>
        <w:spacing w:after="0" w:line="240" w:lineRule="auto"/>
        <w:ind w:firstLine="709"/>
        <w:jc w:val="both"/>
        <w:rPr>
          <w:rFonts w:ascii="Times New Roman" w:hAnsi="Times New Roman" w:cs="Times New Roman"/>
          <w:b/>
          <w:sz w:val="28"/>
          <w:szCs w:val="28"/>
          <w:lang w:val="uk-UA"/>
        </w:rPr>
      </w:pP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lang w:val="uk-UA"/>
        </w:rPr>
        <w:t xml:space="preserve">«Відкриті» оперативні втручання у хворих з ускладненими ПК ПЗ І типу застосовувалися у двох випадках: в якості основного методу хірургічного лікування, та в якості ІІ етапу після виконання мініінвазивних методик, стабілізації стану хворого [121, 130]. </w:t>
      </w:r>
      <w:r w:rsidRPr="00C62D22">
        <w:rPr>
          <w:rFonts w:ascii="Times New Roman" w:hAnsi="Times New Roman" w:cs="Times New Roman"/>
          <w:sz w:val="28"/>
          <w:szCs w:val="28"/>
        </w:rPr>
        <w:t xml:space="preserve">У якості основного методу лікування хворим з ускладненими ПК ПЗ першого типу було виконано 32 (39,5%) лапаротомні втручання. </w:t>
      </w:r>
    </w:p>
    <w:p w:rsidR="006E5FD4" w:rsidRPr="00C62D22" w:rsidRDefault="006E5FD4" w:rsidP="006E5FD4">
      <w:pPr>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Характер оперативних втручань, виконаних у хворих у якості основного втручання, наведений у табл. 7.3.</w:t>
      </w:r>
    </w:p>
    <w:p w:rsidR="006E5FD4" w:rsidRPr="00C62D22" w:rsidRDefault="006E5FD4" w:rsidP="006E5FD4">
      <w:pPr>
        <w:spacing w:after="0" w:line="240" w:lineRule="auto"/>
        <w:ind w:firstLine="709"/>
        <w:jc w:val="both"/>
        <w:rPr>
          <w:rFonts w:ascii="Times New Roman" w:hAnsi="Times New Roman" w:cs="Times New Roman"/>
          <w:sz w:val="28"/>
          <w:szCs w:val="28"/>
        </w:rPr>
      </w:pPr>
    </w:p>
    <w:p w:rsidR="006E5FD4" w:rsidRPr="00C62D22" w:rsidRDefault="006E5FD4" w:rsidP="006E5FD4">
      <w:pPr>
        <w:spacing w:after="0" w:line="360" w:lineRule="auto"/>
        <w:ind w:firstLine="709"/>
        <w:jc w:val="right"/>
        <w:rPr>
          <w:rFonts w:ascii="Times New Roman" w:hAnsi="Times New Roman" w:cs="Times New Roman"/>
          <w:i/>
          <w:sz w:val="28"/>
          <w:szCs w:val="28"/>
        </w:rPr>
      </w:pPr>
      <w:r w:rsidRPr="00C62D22">
        <w:rPr>
          <w:rFonts w:ascii="Times New Roman" w:hAnsi="Times New Roman" w:cs="Times New Roman"/>
          <w:i/>
          <w:sz w:val="28"/>
          <w:szCs w:val="28"/>
        </w:rPr>
        <w:t>Таблиця 7.3</w:t>
      </w:r>
    </w:p>
    <w:p w:rsidR="006E5FD4" w:rsidRPr="00C62D22" w:rsidRDefault="006E5FD4" w:rsidP="006E5FD4">
      <w:pPr>
        <w:spacing w:after="0" w:line="360" w:lineRule="auto"/>
        <w:ind w:firstLine="709"/>
        <w:jc w:val="center"/>
        <w:rPr>
          <w:rFonts w:ascii="Times New Roman" w:hAnsi="Times New Roman" w:cs="Times New Roman"/>
          <w:b/>
          <w:sz w:val="28"/>
          <w:szCs w:val="28"/>
        </w:rPr>
      </w:pPr>
      <w:r w:rsidRPr="00C62D22">
        <w:rPr>
          <w:rFonts w:ascii="Times New Roman" w:hAnsi="Times New Roman" w:cs="Times New Roman"/>
          <w:b/>
          <w:sz w:val="28"/>
          <w:szCs w:val="28"/>
        </w:rPr>
        <w:t>Характер лапаротомних втручань, виконаних у хворих з ускладненими ПК ПЗ І типу (n=32)</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5040"/>
        <w:gridCol w:w="1620"/>
        <w:gridCol w:w="1800"/>
        <w:gridCol w:w="1440"/>
      </w:tblGrid>
      <w:tr w:rsidR="006E5FD4" w:rsidRPr="00C62D22" w:rsidTr="006E5FD4">
        <w:tc>
          <w:tcPr>
            <w:tcW w:w="5040" w:type="dxa"/>
            <w:shd w:val="clear" w:color="auto" w:fill="auto"/>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Втручання</w:t>
            </w:r>
          </w:p>
        </w:tc>
        <w:tc>
          <w:tcPr>
            <w:tcW w:w="1620" w:type="dxa"/>
            <w:shd w:val="clear" w:color="auto" w:fill="auto"/>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Кіл</w:t>
            </w:r>
            <w:r w:rsidRPr="00C62D22">
              <w:rPr>
                <w:rFonts w:ascii="Times New Roman" w:eastAsia="GaramondC-Light" w:hAnsi="Times New Roman" w:cs="Times New Roman"/>
                <w:sz w:val="28"/>
                <w:szCs w:val="28"/>
              </w:rPr>
              <w:t>ь</w:t>
            </w:r>
            <w:r w:rsidRPr="00C62D22">
              <w:rPr>
                <w:rFonts w:ascii="Times New Roman" w:eastAsia="GaramondC-Light" w:hAnsi="Times New Roman" w:cs="Times New Roman"/>
                <w:sz w:val="28"/>
                <w:szCs w:val="28"/>
              </w:rPr>
              <w:t xml:space="preserve">кість </w:t>
            </w:r>
            <w:r w:rsidRPr="00C62D22">
              <w:rPr>
                <w:rFonts w:ascii="Times New Roman" w:eastAsia="GaramondC-Light" w:hAnsi="Times New Roman" w:cs="Times New Roman"/>
                <w:sz w:val="28"/>
                <w:szCs w:val="28"/>
              </w:rPr>
              <w:br/>
              <w:t>хв</w:t>
            </w:r>
            <w:r w:rsidRPr="00C62D22">
              <w:rPr>
                <w:rFonts w:ascii="Times New Roman" w:eastAsia="GaramondC-Light" w:hAnsi="Times New Roman" w:cs="Times New Roman"/>
                <w:sz w:val="28"/>
                <w:szCs w:val="28"/>
              </w:rPr>
              <w:t>о</w:t>
            </w:r>
            <w:r w:rsidRPr="00C62D22">
              <w:rPr>
                <w:rFonts w:ascii="Times New Roman" w:eastAsia="GaramondC-Light" w:hAnsi="Times New Roman" w:cs="Times New Roman"/>
                <w:sz w:val="28"/>
                <w:szCs w:val="28"/>
              </w:rPr>
              <w:t>рих</w:t>
            </w:r>
          </w:p>
        </w:tc>
        <w:tc>
          <w:tcPr>
            <w:tcW w:w="1800" w:type="dxa"/>
            <w:shd w:val="clear" w:color="auto" w:fill="auto"/>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Мали </w:t>
            </w:r>
            <w:r w:rsidRPr="00C62D22">
              <w:rPr>
                <w:rFonts w:ascii="Times New Roman" w:eastAsia="GaramondC-Light" w:hAnsi="Times New Roman" w:cs="Times New Roman"/>
                <w:sz w:val="28"/>
                <w:szCs w:val="28"/>
              </w:rPr>
              <w:br/>
              <w:t>ускладне</w:t>
            </w:r>
            <w:r w:rsidRPr="00C62D22">
              <w:rPr>
                <w:rFonts w:ascii="Times New Roman" w:eastAsia="GaramondC-Light" w:hAnsi="Times New Roman" w:cs="Times New Roman"/>
                <w:sz w:val="28"/>
                <w:szCs w:val="28"/>
              </w:rPr>
              <w:t>н</w:t>
            </w:r>
            <w:r w:rsidRPr="00C62D22">
              <w:rPr>
                <w:rFonts w:ascii="Times New Roman" w:eastAsia="GaramondC-Light" w:hAnsi="Times New Roman" w:cs="Times New Roman"/>
                <w:sz w:val="28"/>
                <w:szCs w:val="28"/>
              </w:rPr>
              <w:t>ня</w:t>
            </w:r>
          </w:p>
        </w:tc>
        <w:tc>
          <w:tcPr>
            <w:tcW w:w="1440" w:type="dxa"/>
            <w:shd w:val="clear" w:color="auto" w:fill="auto"/>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Поме</w:t>
            </w:r>
            <w:r w:rsidRPr="00C62D22">
              <w:rPr>
                <w:rFonts w:ascii="Times New Roman" w:eastAsia="GaramondC-Light" w:hAnsi="Times New Roman" w:cs="Times New Roman"/>
                <w:sz w:val="28"/>
                <w:szCs w:val="28"/>
              </w:rPr>
              <w:t>р</w:t>
            </w:r>
            <w:r w:rsidRPr="00C62D22">
              <w:rPr>
                <w:rFonts w:ascii="Times New Roman" w:eastAsia="GaramondC-Light" w:hAnsi="Times New Roman" w:cs="Times New Roman"/>
                <w:sz w:val="28"/>
                <w:szCs w:val="28"/>
              </w:rPr>
              <w:t>ло</w:t>
            </w:r>
          </w:p>
        </w:tc>
      </w:tr>
      <w:tr w:rsidR="006E5FD4" w:rsidRPr="00C62D22" w:rsidTr="006E5FD4">
        <w:tc>
          <w:tcPr>
            <w:tcW w:w="5040" w:type="dxa"/>
            <w:shd w:val="clear" w:color="auto" w:fill="auto"/>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НСЕ, дренування ПК, черевної порожнини</w:t>
            </w:r>
          </w:p>
        </w:tc>
        <w:tc>
          <w:tcPr>
            <w:tcW w:w="162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9</w:t>
            </w:r>
          </w:p>
        </w:tc>
        <w:tc>
          <w:tcPr>
            <w:tcW w:w="180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2</w:t>
            </w:r>
          </w:p>
        </w:tc>
        <w:tc>
          <w:tcPr>
            <w:tcW w:w="144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r w:rsidR="006E5FD4" w:rsidRPr="00C62D22" w:rsidTr="006E5FD4">
        <w:tc>
          <w:tcPr>
            <w:tcW w:w="5040" w:type="dxa"/>
            <w:shd w:val="clear" w:color="auto" w:fill="auto"/>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НСЕ, оментобурсостомії, ( з VAC – терапією)</w:t>
            </w:r>
          </w:p>
        </w:tc>
        <w:tc>
          <w:tcPr>
            <w:tcW w:w="162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3(2)</w:t>
            </w:r>
          </w:p>
        </w:tc>
        <w:tc>
          <w:tcPr>
            <w:tcW w:w="180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3</w:t>
            </w:r>
          </w:p>
        </w:tc>
        <w:tc>
          <w:tcPr>
            <w:tcW w:w="144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r>
      <w:tr w:rsidR="006E5FD4" w:rsidRPr="00C62D22" w:rsidTr="006E5FD4">
        <w:tc>
          <w:tcPr>
            <w:tcW w:w="5040" w:type="dxa"/>
            <w:shd w:val="clear" w:color="auto" w:fill="auto"/>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Зовнішнє дренування ПК ПЗ</w:t>
            </w:r>
          </w:p>
        </w:tc>
        <w:tc>
          <w:tcPr>
            <w:tcW w:w="162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14</w:t>
            </w:r>
          </w:p>
        </w:tc>
        <w:tc>
          <w:tcPr>
            <w:tcW w:w="180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2</w:t>
            </w:r>
          </w:p>
        </w:tc>
        <w:tc>
          <w:tcPr>
            <w:tcW w:w="144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r w:rsidR="006E5FD4" w:rsidRPr="00C62D22" w:rsidTr="006E5FD4">
        <w:tc>
          <w:tcPr>
            <w:tcW w:w="5040" w:type="dxa"/>
            <w:shd w:val="clear" w:color="auto" w:fill="auto"/>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Цистопанкреатоєюностомії</w:t>
            </w:r>
          </w:p>
        </w:tc>
        <w:tc>
          <w:tcPr>
            <w:tcW w:w="162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2</w:t>
            </w:r>
          </w:p>
        </w:tc>
        <w:tc>
          <w:tcPr>
            <w:tcW w:w="180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c>
          <w:tcPr>
            <w:tcW w:w="144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r w:rsidR="006E5FD4" w:rsidRPr="00C62D22" w:rsidTr="006E5FD4">
        <w:tc>
          <w:tcPr>
            <w:tcW w:w="5040" w:type="dxa"/>
            <w:shd w:val="clear" w:color="auto" w:fill="auto"/>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Санація та дренування черевної порожнини</w:t>
            </w:r>
          </w:p>
        </w:tc>
        <w:tc>
          <w:tcPr>
            <w:tcW w:w="162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2</w:t>
            </w:r>
          </w:p>
        </w:tc>
        <w:tc>
          <w:tcPr>
            <w:tcW w:w="180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2</w:t>
            </w:r>
          </w:p>
        </w:tc>
        <w:tc>
          <w:tcPr>
            <w:tcW w:w="144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r w:rsidR="006E5FD4" w:rsidRPr="00C62D22" w:rsidTr="006E5FD4">
        <w:tc>
          <w:tcPr>
            <w:tcW w:w="5040" w:type="dxa"/>
            <w:shd w:val="clear" w:color="auto" w:fill="auto"/>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 xml:space="preserve">Усього </w:t>
            </w:r>
          </w:p>
        </w:tc>
        <w:tc>
          <w:tcPr>
            <w:tcW w:w="162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32</w:t>
            </w:r>
          </w:p>
        </w:tc>
        <w:tc>
          <w:tcPr>
            <w:tcW w:w="180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9</w:t>
            </w:r>
          </w:p>
        </w:tc>
        <w:tc>
          <w:tcPr>
            <w:tcW w:w="1440" w:type="dxa"/>
            <w:shd w:val="clear" w:color="auto" w:fill="auto"/>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r>
    </w:tbl>
    <w:p w:rsidR="006E5FD4" w:rsidRPr="00C62D22" w:rsidRDefault="006E5FD4" w:rsidP="006E5FD4">
      <w:pPr>
        <w:spacing w:after="0" w:line="360" w:lineRule="auto"/>
        <w:ind w:firstLine="709"/>
        <w:jc w:val="right"/>
        <w:rPr>
          <w:rFonts w:ascii="Times New Roman" w:hAnsi="Times New Roman" w:cs="Times New Roman"/>
          <w:i/>
          <w:sz w:val="28"/>
          <w:szCs w:val="28"/>
        </w:rPr>
      </w:pP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У 5-ти хворих з інфікованими ПК ПЗ першого типу, з гострим панкреонекрозом виконані лапаротомії, НСЕ, зовнішнє дренування ПК, у 2-х – з формуванням оментобурсостоми (ОБС), у тому числі в 1-го, з використанням </w:t>
      </w:r>
      <w:r w:rsidRPr="00C62D22">
        <w:rPr>
          <w:rFonts w:ascii="Times New Roman" w:hAnsi="Times New Roman" w:cs="Times New Roman"/>
          <w:sz w:val="28"/>
          <w:szCs w:val="28"/>
          <w:lang w:val="en-US"/>
        </w:rPr>
        <w:t>VAC</w:t>
      </w:r>
      <w:r w:rsidRPr="00C62D22">
        <w:rPr>
          <w:rFonts w:ascii="Times New Roman" w:hAnsi="Times New Roman" w:cs="Times New Roman"/>
          <w:sz w:val="28"/>
          <w:szCs w:val="28"/>
        </w:rPr>
        <w:t xml:space="preserve"> – методики за допомогою набору пов’язок </w:t>
      </w:r>
      <w:r w:rsidRPr="00C62D22">
        <w:rPr>
          <w:rFonts w:ascii="Times New Roman" w:hAnsi="Times New Roman" w:cs="Times New Roman"/>
          <w:sz w:val="28"/>
          <w:szCs w:val="28"/>
          <w:lang w:val="en-US"/>
        </w:rPr>
        <w:t>NPWT</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Dressing</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Kit</w:t>
      </w:r>
      <w:r w:rsidRPr="00C62D22">
        <w:rPr>
          <w:rFonts w:ascii="Times New Roman" w:hAnsi="Times New Roman" w:cs="Times New Roman"/>
          <w:sz w:val="28"/>
          <w:szCs w:val="28"/>
        </w:rPr>
        <w:t xml:space="preserve">, Англія. </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Помер 1 хворий, причиною смерті був ДВЗ-синдром та розвиток поліорганної недостатності.</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Лапаротомії із зовнішнім дренуванням ПК ПЗ виконані у 7 хворих з інфікованими ПК ПЗ (рис. 7.3), у тому числі в 1-го хворого з інфікованою ПК тіла-хвоста ПЗ, з норицевою перфорацією в шлунок.</w:t>
      </w:r>
    </w:p>
    <w:p w:rsidR="006E5FD4" w:rsidRPr="00C62D22" w:rsidRDefault="006E5FD4" w:rsidP="006E5FD4">
      <w:pPr>
        <w:spacing w:after="0" w:line="360" w:lineRule="auto"/>
        <w:ind w:firstLine="709"/>
        <w:jc w:val="both"/>
        <w:rPr>
          <w:rFonts w:ascii="Times New Roman" w:hAnsi="Times New Roman" w:cs="Times New Roman"/>
          <w:color w:val="000000"/>
          <w:sz w:val="28"/>
          <w:szCs w:val="28"/>
        </w:rPr>
      </w:pPr>
      <w:r w:rsidRPr="00C62D22">
        <w:rPr>
          <w:rFonts w:ascii="Times New Roman" w:hAnsi="Times New Roman" w:cs="Times New Roman"/>
          <w:noProof/>
          <w:color w:val="000000"/>
          <w:sz w:val="28"/>
          <w:szCs w:val="28"/>
        </w:rPr>
        <w:pict>
          <v:shape id="_x0000_s1204" type="#_x0000_t202" style="position:absolute;left:0;text-align:left;margin-left:18pt;margin-top:1.3pt;width:423pt;height:17.1pt;z-index:251839488" stroked="f">
            <v:textbox style="mso-next-textbox:#_x0000_s1204">
              <w:txbxContent>
                <w:p w:rsidR="006E5FD4" w:rsidRPr="00402B8C" w:rsidRDefault="006E5FD4" w:rsidP="006E5FD4">
                  <w:pPr>
                    <w:rPr>
                      <w:szCs w:val="28"/>
                    </w:rPr>
                  </w:pPr>
                </w:p>
              </w:txbxContent>
            </v:textbox>
          </v:shape>
        </w:pict>
      </w:r>
    </w:p>
    <w:p w:rsidR="006E5FD4" w:rsidRPr="00C62D22" w:rsidRDefault="006E5FD4" w:rsidP="006E5FD4">
      <w:pPr>
        <w:spacing w:after="0" w:line="360" w:lineRule="auto"/>
        <w:jc w:val="center"/>
        <w:rPr>
          <w:rFonts w:ascii="Times New Roman" w:hAnsi="Times New Roman" w:cs="Times New Roman"/>
          <w:color w:val="000000"/>
          <w:sz w:val="28"/>
          <w:szCs w:val="28"/>
        </w:rPr>
      </w:pPr>
      <w:r w:rsidRPr="00C62D22">
        <w:rPr>
          <w:rFonts w:ascii="Times New Roman" w:hAnsi="Times New Roman" w:cs="Times New Roman"/>
          <w:noProof/>
          <w:color w:val="000000"/>
          <w:sz w:val="28"/>
          <w:szCs w:val="28"/>
        </w:rPr>
        <w:pict>
          <v:shape id="_x0000_s1206" type="#_x0000_t13" style="position:absolute;left:0;text-align:left;margin-left:162pt;margin-top:46.35pt;width:2in;height:18pt;z-index:251841536" fillcolor="aqua"/>
        </w:pict>
      </w:r>
      <w:r w:rsidRPr="00C62D22">
        <w:rPr>
          <w:rFonts w:ascii="Times New Roman" w:hAnsi="Times New Roman" w:cs="Times New Roman"/>
          <w:color w:val="000000"/>
          <w:sz w:val="28"/>
          <w:szCs w:val="28"/>
        </w:rPr>
        <w:t xml:space="preserve">    </w:t>
      </w:r>
      <w:r w:rsidRPr="00C62D22">
        <w:rPr>
          <w:rFonts w:ascii="Times New Roman" w:hAnsi="Times New Roman" w:cs="Times New Roman"/>
          <w:noProof/>
          <w:color w:val="000000"/>
          <w:sz w:val="28"/>
          <w:szCs w:val="28"/>
        </w:rPr>
        <w:drawing>
          <wp:inline distT="0" distB="0" distL="0" distR="0">
            <wp:extent cx="4133850" cy="2647950"/>
            <wp:effectExtent l="19050" t="0" r="0" b="0"/>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85" cstate="print"/>
                    <a:srcRect/>
                    <a:stretch>
                      <a:fillRect/>
                    </a:stretch>
                  </pic:blipFill>
                  <pic:spPr bwMode="auto">
                    <a:xfrm>
                      <a:off x="0" y="0"/>
                      <a:ext cx="4133850" cy="2647950"/>
                    </a:xfrm>
                    <a:prstGeom prst="rect">
                      <a:avLst/>
                    </a:prstGeom>
                    <a:noFill/>
                    <a:ln w="9525">
                      <a:noFill/>
                      <a:miter lim="800000"/>
                      <a:headEnd/>
                      <a:tailEnd/>
                    </a:ln>
                  </pic:spPr>
                </pic:pic>
              </a:graphicData>
            </a:graphic>
          </wp:inline>
        </w:drawing>
      </w:r>
    </w:p>
    <w:p w:rsidR="006E5FD4" w:rsidRPr="00C62D22" w:rsidRDefault="006E5FD4" w:rsidP="006E5FD4">
      <w:pPr>
        <w:spacing w:after="0" w:line="360" w:lineRule="auto"/>
        <w:ind w:firstLine="709"/>
        <w:jc w:val="both"/>
        <w:rPr>
          <w:rFonts w:ascii="Times New Roman" w:hAnsi="Times New Roman" w:cs="Times New Roman"/>
          <w:color w:val="000000"/>
          <w:sz w:val="28"/>
          <w:szCs w:val="28"/>
        </w:rPr>
      </w:pPr>
      <w:r w:rsidRPr="00C62D22">
        <w:rPr>
          <w:rFonts w:ascii="Times New Roman" w:hAnsi="Times New Roman" w:cs="Times New Roman"/>
          <w:noProof/>
          <w:color w:val="000000"/>
          <w:sz w:val="28"/>
          <w:szCs w:val="28"/>
        </w:rPr>
        <w:pict>
          <v:shape id="_x0000_s1205" type="#_x0000_t202" style="position:absolute;left:0;text-align:left;margin-left:2.25pt;margin-top:.9pt;width:501.75pt;height:27pt;z-index:251840512" stroked="f">
            <v:textbox style="mso-next-textbox:#_x0000_s1205">
              <w:txbxContent>
                <w:p w:rsidR="006E5FD4" w:rsidRPr="005108CE" w:rsidRDefault="006E5FD4" w:rsidP="006E5FD4">
                  <w:pPr>
                    <w:ind w:firstLine="540"/>
                    <w:jc w:val="right"/>
                    <w:rPr>
                      <w:rFonts w:ascii="Times New Roman" w:hAnsi="Times New Roman"/>
                      <w:sz w:val="28"/>
                      <w:szCs w:val="28"/>
                    </w:rPr>
                  </w:pPr>
                  <w:r>
                    <w:rPr>
                      <w:rFonts w:ascii="Times New Roman" w:hAnsi="Times New Roman"/>
                      <w:sz w:val="28"/>
                      <w:szCs w:val="28"/>
                    </w:rPr>
                    <w:t>Рис. 7.3</w:t>
                  </w:r>
                  <w:r w:rsidRPr="005108CE">
                    <w:rPr>
                      <w:rFonts w:ascii="Times New Roman" w:hAnsi="Times New Roman"/>
                      <w:sz w:val="28"/>
                      <w:szCs w:val="28"/>
                    </w:rPr>
                    <w:t>. Зовнішнє дренування ПК ПЗ першого типу</w:t>
                  </w:r>
                  <w:r>
                    <w:rPr>
                      <w:rFonts w:ascii="Times New Roman" w:hAnsi="Times New Roman"/>
                      <w:sz w:val="28"/>
                      <w:szCs w:val="28"/>
                    </w:rPr>
                    <w:t xml:space="preserve"> (указано стрілкою)</w:t>
                  </w:r>
                </w:p>
              </w:txbxContent>
            </v:textbox>
          </v:shape>
        </w:pict>
      </w:r>
    </w:p>
    <w:p w:rsidR="006E5FD4" w:rsidRPr="00C62D22" w:rsidRDefault="006E5FD4" w:rsidP="006E5FD4">
      <w:pPr>
        <w:spacing w:after="0" w:line="360" w:lineRule="auto"/>
        <w:jc w:val="both"/>
        <w:rPr>
          <w:rFonts w:ascii="Times New Roman" w:hAnsi="Times New Roman" w:cs="Times New Roman"/>
          <w:sz w:val="28"/>
          <w:szCs w:val="28"/>
        </w:rPr>
      </w:pPr>
    </w:p>
    <w:p w:rsidR="006E5FD4" w:rsidRPr="00C62D22" w:rsidRDefault="006E5FD4" w:rsidP="006E5FD4">
      <w:pPr>
        <w:spacing w:after="0" w:line="360" w:lineRule="auto"/>
        <w:ind w:firstLine="540"/>
        <w:jc w:val="both"/>
        <w:rPr>
          <w:rFonts w:ascii="Times New Roman" w:hAnsi="Times New Roman" w:cs="Times New Roman"/>
          <w:color w:val="000000"/>
          <w:sz w:val="28"/>
          <w:szCs w:val="28"/>
        </w:rPr>
      </w:pPr>
      <w:r w:rsidRPr="00C62D22">
        <w:rPr>
          <w:rFonts w:ascii="Times New Roman" w:hAnsi="Times New Roman" w:cs="Times New Roman"/>
          <w:sz w:val="28"/>
          <w:szCs w:val="28"/>
        </w:rPr>
        <w:t>Цистопанкреатоєюностомії (ЦПЄС) (виконані у 2-ох пацієнтів, які мали ПК з сформованими стінками, у тому числі в 1 з інфікованою ПК ПЗ, ускладненою крововиливом у її порожнину, МЖ (доповнена холецистоєюностомією); у 1-го хворого – ЦПЄС на зовнішньому дренажі.</w:t>
      </w:r>
      <w:r w:rsidRPr="00C62D22">
        <w:rPr>
          <w:rFonts w:ascii="Times New Roman" w:hAnsi="Times New Roman" w:cs="Times New Roman"/>
          <w:color w:val="000000"/>
          <w:sz w:val="28"/>
          <w:szCs w:val="28"/>
        </w:rPr>
        <w:t xml:space="preserve"> </w:t>
      </w:r>
    </w:p>
    <w:p w:rsidR="006E5FD4" w:rsidRPr="00C62D22" w:rsidRDefault="006E5FD4" w:rsidP="006E5FD4">
      <w:pPr>
        <w:spacing w:after="0" w:line="360" w:lineRule="auto"/>
        <w:ind w:firstLine="360"/>
        <w:jc w:val="both"/>
        <w:rPr>
          <w:rFonts w:ascii="Times New Roman" w:hAnsi="Times New Roman" w:cs="Times New Roman"/>
          <w:sz w:val="28"/>
          <w:szCs w:val="28"/>
        </w:rPr>
      </w:pPr>
      <w:r w:rsidRPr="00C62D22">
        <w:rPr>
          <w:rFonts w:ascii="Times New Roman" w:hAnsi="Times New Roman" w:cs="Times New Roman"/>
          <w:color w:val="000000"/>
          <w:sz w:val="28"/>
          <w:szCs w:val="28"/>
        </w:rPr>
        <w:t xml:space="preserve">У 9 (64,3%) випадків бактеріальна флора була представлена умовно-патогенними ентеробактеріями грамнегативного спектру (E. coli, K. pneumoniae, B. cepacia, P. mirabili).Частота інфікування грампозитивними збудниками (S. epidermidis, S. saprophyticus) склала 5 (35,7%) хворих. </w:t>
      </w:r>
      <w:r w:rsidRPr="00C62D22">
        <w:rPr>
          <w:rFonts w:ascii="Times New Roman" w:hAnsi="Times New Roman" w:cs="Times New Roman"/>
          <w:sz w:val="28"/>
          <w:szCs w:val="28"/>
        </w:rPr>
        <w:t xml:space="preserve">1 хворий госпіталізований до клініки </w:t>
      </w:r>
      <w:r w:rsidRPr="00C62D22">
        <w:rPr>
          <w:rFonts w:ascii="Times New Roman" w:hAnsi="Times New Roman" w:cs="Times New Roman"/>
          <w:sz w:val="28"/>
          <w:szCs w:val="28"/>
        </w:rPr>
        <w:lastRenderedPageBreak/>
        <w:t xml:space="preserve">повторно. В анамнезі – дренування чепцевої сумки під контролем УЗД, лапаротомія, НСЕ, дренування позаочеревного простору. </w:t>
      </w:r>
    </w:p>
    <w:p w:rsidR="006E5FD4" w:rsidRPr="00C62D22" w:rsidRDefault="006E5FD4" w:rsidP="006E5FD4">
      <w:pPr>
        <w:spacing w:after="0" w:line="360" w:lineRule="auto"/>
        <w:ind w:firstLine="567"/>
        <w:jc w:val="both"/>
        <w:rPr>
          <w:rFonts w:ascii="Times New Roman" w:hAnsi="Times New Roman" w:cs="Times New Roman"/>
          <w:color w:val="000000"/>
          <w:sz w:val="28"/>
          <w:szCs w:val="28"/>
        </w:rPr>
      </w:pPr>
      <w:r w:rsidRPr="00C62D22">
        <w:rPr>
          <w:rFonts w:ascii="Times New Roman" w:hAnsi="Times New Roman" w:cs="Times New Roman"/>
          <w:sz w:val="28"/>
          <w:szCs w:val="28"/>
        </w:rPr>
        <w:t>Через 1 місяць після операції виник напад гострого панкреатиту, ПК ПЗ, що ускладнена нагноєнням та зовнішньою панкреатичною норицею. Виконана релапаротомія, зовнішнє дренування ПК, санація та дренування черевної порожнини.</w:t>
      </w:r>
      <w:r w:rsidRPr="00C62D22">
        <w:rPr>
          <w:rFonts w:ascii="Times New Roman" w:hAnsi="Times New Roman" w:cs="Times New Roman"/>
          <w:color w:val="000000"/>
          <w:sz w:val="28"/>
          <w:szCs w:val="28"/>
        </w:rPr>
        <w:t xml:space="preserve"> </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При наявності ПК ПЗ першого типу, ускладненою кровотечею в її порожнину, 2-ом хворим виконані лапаротомії, НСЕ, ОБС (рис. 7.4 – 7.5).</w:t>
      </w:r>
      <w:r w:rsidRPr="00C62D22">
        <w:rPr>
          <w:rFonts w:ascii="Times New Roman" w:hAnsi="Times New Roman" w:cs="Times New Roman"/>
          <w:noProof/>
          <w:sz w:val="28"/>
          <w:szCs w:val="28"/>
        </w:rPr>
        <w:pict>
          <v:shape id="_x0000_s1199" type="#_x0000_t202" style="position:absolute;left:0;text-align:left;margin-left:-63pt;margin-top:11.8pt;width:1in;height:9pt;z-index:251834368;mso-position-horizontal-relative:text;mso-position-vertical-relative:text" filled="f" stroked="f">
            <v:textbox style="mso-next-textbox:#_x0000_s1199">
              <w:txbxContent>
                <w:p w:rsidR="006E5FD4" w:rsidRPr="00ED4238" w:rsidRDefault="006E5FD4" w:rsidP="006E5FD4">
                  <w:pPr>
                    <w:rPr>
                      <w:szCs w:val="28"/>
                    </w:rPr>
                  </w:pPr>
                </w:p>
              </w:txbxContent>
            </v:textbox>
          </v:shape>
        </w:pict>
      </w:r>
    </w:p>
    <w:p w:rsidR="006E5FD4" w:rsidRPr="00C62D22" w:rsidRDefault="006E5FD4" w:rsidP="006E5FD4">
      <w:pPr>
        <w:spacing w:after="0" w:line="360" w:lineRule="auto"/>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198" type="#_x0000_t202" style="position:absolute;left:0;text-align:left;margin-left:1in;margin-top:19pt;width:360.95pt;height:229.2pt;z-index:251833344;mso-wrap-style:none" stroked="f">
            <v:textbox style="mso-next-textbox:#_x0000_s1198;mso-fit-shape-to-text:t">
              <w:txbxContent>
                <w:p w:rsidR="006E5FD4" w:rsidRDefault="006E5FD4" w:rsidP="006E5FD4">
                  <w:pPr>
                    <w:ind w:firstLine="360"/>
                    <w:jc w:val="center"/>
                  </w:pPr>
                  <w:r>
                    <w:rPr>
                      <w:noProof/>
                    </w:rPr>
                    <w:drawing>
                      <wp:inline distT="0" distB="0" distL="0" distR="0">
                        <wp:extent cx="4143375" cy="2667000"/>
                        <wp:effectExtent l="19050" t="0" r="9525" b="0"/>
                        <wp:docPr id="200" name="Рисунок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86"/>
                                <a:srcRect/>
                                <a:stretch>
                                  <a:fillRect/>
                                </a:stretch>
                              </pic:blipFill>
                              <pic:spPr bwMode="auto">
                                <a:xfrm>
                                  <a:off x="0" y="0"/>
                                  <a:ext cx="4143375" cy="2667000"/>
                                </a:xfrm>
                                <a:prstGeom prst="rect">
                                  <a:avLst/>
                                </a:prstGeom>
                                <a:noFill/>
                                <a:ln w="9525">
                                  <a:noFill/>
                                  <a:miter lim="800000"/>
                                  <a:headEnd/>
                                  <a:tailEnd/>
                                </a:ln>
                              </pic:spPr>
                            </pic:pic>
                          </a:graphicData>
                        </a:graphic>
                      </wp:inline>
                    </w:drawing>
                  </w:r>
                </w:p>
              </w:txbxContent>
            </v:textbox>
          </v:shape>
        </w:pict>
      </w:r>
    </w:p>
    <w:p w:rsidR="006E5FD4" w:rsidRPr="00C62D22" w:rsidRDefault="006E5FD4" w:rsidP="006E5FD4">
      <w:pPr>
        <w:spacing w:after="0" w:line="360" w:lineRule="auto"/>
        <w:ind w:firstLine="709"/>
        <w:jc w:val="both"/>
        <w:rPr>
          <w:rFonts w:ascii="Times New Roman" w:hAnsi="Times New Roman" w:cs="Times New Roman"/>
          <w:sz w:val="28"/>
          <w:szCs w:val="28"/>
        </w:rPr>
      </w:pPr>
    </w:p>
    <w:p w:rsidR="006E5FD4" w:rsidRPr="00C62D22" w:rsidRDefault="006E5FD4" w:rsidP="006E5FD4">
      <w:pPr>
        <w:spacing w:after="0" w:line="360" w:lineRule="auto"/>
        <w:ind w:firstLine="709"/>
        <w:jc w:val="both"/>
        <w:rPr>
          <w:rFonts w:ascii="Times New Roman" w:hAnsi="Times New Roman" w:cs="Times New Roman"/>
          <w:sz w:val="28"/>
          <w:szCs w:val="28"/>
        </w:rPr>
      </w:pPr>
    </w:p>
    <w:p w:rsidR="006E5FD4" w:rsidRPr="00C62D22" w:rsidRDefault="006E5FD4" w:rsidP="006E5FD4">
      <w:pPr>
        <w:spacing w:after="0" w:line="360" w:lineRule="auto"/>
        <w:ind w:firstLine="709"/>
        <w:jc w:val="both"/>
        <w:rPr>
          <w:rFonts w:ascii="Times New Roman" w:hAnsi="Times New Roman" w:cs="Times New Roman"/>
          <w:sz w:val="28"/>
          <w:szCs w:val="28"/>
        </w:rPr>
      </w:pPr>
    </w:p>
    <w:p w:rsidR="006E5FD4" w:rsidRPr="00C62D22" w:rsidRDefault="006E5FD4" w:rsidP="006E5FD4">
      <w:pPr>
        <w:spacing w:after="0" w:line="360" w:lineRule="auto"/>
        <w:ind w:firstLine="709"/>
        <w:jc w:val="both"/>
        <w:rPr>
          <w:rFonts w:ascii="Times New Roman" w:hAnsi="Times New Roman" w:cs="Times New Roman"/>
          <w:sz w:val="28"/>
          <w:szCs w:val="28"/>
        </w:rPr>
      </w:pPr>
    </w:p>
    <w:p w:rsidR="006E5FD4" w:rsidRPr="00C62D22" w:rsidRDefault="006E5FD4" w:rsidP="006E5FD4">
      <w:pPr>
        <w:spacing w:after="0" w:line="360" w:lineRule="auto"/>
        <w:ind w:firstLine="540"/>
        <w:jc w:val="both"/>
        <w:rPr>
          <w:rFonts w:ascii="Times New Roman" w:hAnsi="Times New Roman" w:cs="Times New Roman"/>
          <w:sz w:val="28"/>
          <w:szCs w:val="28"/>
        </w:rPr>
      </w:pPr>
    </w:p>
    <w:p w:rsidR="006E5FD4" w:rsidRPr="00C62D22" w:rsidRDefault="006E5FD4" w:rsidP="006E5FD4">
      <w:pPr>
        <w:spacing w:after="0" w:line="360" w:lineRule="auto"/>
        <w:ind w:firstLine="709"/>
        <w:jc w:val="both"/>
        <w:rPr>
          <w:rFonts w:ascii="Times New Roman" w:hAnsi="Times New Roman" w:cs="Times New Roman"/>
          <w:sz w:val="28"/>
          <w:szCs w:val="28"/>
        </w:rPr>
      </w:pPr>
    </w:p>
    <w:p w:rsidR="006E5FD4" w:rsidRPr="00C62D22" w:rsidRDefault="006E5FD4" w:rsidP="006E5FD4">
      <w:pPr>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sz w:val="28"/>
          <w:szCs w:val="28"/>
        </w:rPr>
        <w:t xml:space="preserve">     </w:t>
      </w:r>
    </w:p>
    <w:p w:rsidR="006E5FD4" w:rsidRPr="00C62D22" w:rsidRDefault="006E5FD4" w:rsidP="006E5FD4">
      <w:pPr>
        <w:spacing w:after="0" w:line="360" w:lineRule="auto"/>
        <w:ind w:firstLine="709"/>
        <w:jc w:val="both"/>
        <w:rPr>
          <w:rFonts w:ascii="Times New Roman" w:hAnsi="Times New Roman" w:cs="Times New Roman"/>
          <w:sz w:val="28"/>
          <w:szCs w:val="28"/>
        </w:rPr>
      </w:pPr>
    </w:p>
    <w:p w:rsidR="006E5FD4" w:rsidRPr="00C62D22" w:rsidRDefault="006E5FD4" w:rsidP="006E5FD4">
      <w:pPr>
        <w:spacing w:after="0" w:line="360" w:lineRule="auto"/>
        <w:jc w:val="both"/>
        <w:rPr>
          <w:rFonts w:ascii="Times New Roman" w:hAnsi="Times New Roman" w:cs="Times New Roman"/>
          <w:sz w:val="28"/>
          <w:szCs w:val="28"/>
        </w:rPr>
      </w:pPr>
    </w:p>
    <w:p w:rsidR="006E5FD4" w:rsidRPr="00C62D22" w:rsidRDefault="006E5FD4" w:rsidP="006E5FD4">
      <w:pPr>
        <w:spacing w:after="0" w:line="360" w:lineRule="auto"/>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207" type="#_x0000_t202" style="position:absolute;left:0;text-align:left;margin-left:18pt;margin-top:2.5pt;width:477pt;height:27pt;z-index:251842560" stroked="f">
            <v:textbox style="mso-next-textbox:#_x0000_s1207">
              <w:txbxContent>
                <w:p w:rsidR="006E5FD4" w:rsidRDefault="006E5FD4" w:rsidP="006E5FD4">
                  <w:pPr>
                    <w:ind w:firstLine="540"/>
                    <w:jc w:val="right"/>
                  </w:pPr>
                  <w:r>
                    <w:rPr>
                      <w:rFonts w:ascii="Times New Roman" w:hAnsi="Times New Roman"/>
                      <w:sz w:val="28"/>
                      <w:szCs w:val="28"/>
                    </w:rPr>
                    <w:t>Рис. 7.4</w:t>
                  </w:r>
                  <w:r w:rsidRPr="00B40091">
                    <w:rPr>
                      <w:rFonts w:ascii="Times New Roman" w:hAnsi="Times New Roman"/>
                      <w:sz w:val="28"/>
                      <w:szCs w:val="28"/>
                    </w:rPr>
                    <w:t xml:space="preserve">. </w:t>
                  </w:r>
                  <w:r>
                    <w:rPr>
                      <w:rFonts w:ascii="Times New Roman" w:hAnsi="Times New Roman"/>
                      <w:sz w:val="28"/>
                      <w:szCs w:val="28"/>
                    </w:rPr>
                    <w:t>Тампонування</w:t>
                  </w:r>
                  <w:r w:rsidRPr="00B40091">
                    <w:rPr>
                      <w:rFonts w:ascii="Times New Roman" w:hAnsi="Times New Roman"/>
                      <w:sz w:val="28"/>
                      <w:szCs w:val="28"/>
                    </w:rPr>
                    <w:t xml:space="preserve"> порожнини</w:t>
                  </w:r>
                  <w:r>
                    <w:rPr>
                      <w:rFonts w:ascii="Times New Roman" w:hAnsi="Times New Roman"/>
                      <w:sz w:val="28"/>
                      <w:szCs w:val="28"/>
                    </w:rPr>
                    <w:t xml:space="preserve"> ПК ПЗ</w:t>
                  </w:r>
                </w:p>
              </w:txbxContent>
            </v:textbox>
          </v:shape>
        </w:pict>
      </w:r>
    </w:p>
    <w:p w:rsidR="006E5FD4" w:rsidRPr="00C62D22" w:rsidRDefault="006E5FD4" w:rsidP="006E5FD4">
      <w:pPr>
        <w:spacing w:after="0" w:line="360" w:lineRule="auto"/>
        <w:jc w:val="both"/>
        <w:rPr>
          <w:rFonts w:ascii="Times New Roman" w:hAnsi="Times New Roman" w:cs="Times New Roman"/>
          <w:sz w:val="28"/>
          <w:szCs w:val="28"/>
          <w:lang w:val="en-US"/>
        </w:rPr>
      </w:pPr>
    </w:p>
    <w:p w:rsidR="006E5FD4" w:rsidRPr="00C62D22" w:rsidRDefault="006E5FD4" w:rsidP="006E5FD4">
      <w:pPr>
        <w:spacing w:after="0" w:line="360" w:lineRule="auto"/>
        <w:ind w:right="639"/>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24325" cy="2667000"/>
            <wp:effectExtent l="19050" t="0" r="9525" b="0"/>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87"/>
                    <a:srcRect/>
                    <a:stretch>
                      <a:fillRect/>
                    </a:stretch>
                  </pic:blipFill>
                  <pic:spPr bwMode="auto">
                    <a:xfrm>
                      <a:off x="0" y="0"/>
                      <a:ext cx="4124325" cy="2667000"/>
                    </a:xfrm>
                    <a:prstGeom prst="rect">
                      <a:avLst/>
                    </a:prstGeom>
                    <a:noFill/>
                    <a:ln w="9525">
                      <a:noFill/>
                      <a:miter lim="800000"/>
                      <a:headEnd/>
                      <a:tailEnd/>
                    </a:ln>
                  </pic:spPr>
                </pic:pic>
              </a:graphicData>
            </a:graphic>
          </wp:inline>
        </w:drawing>
      </w:r>
    </w:p>
    <w:p w:rsidR="006E5FD4" w:rsidRPr="00C62D22" w:rsidRDefault="006E5FD4" w:rsidP="006E5FD4">
      <w:pPr>
        <w:spacing w:after="0" w:line="360" w:lineRule="auto"/>
        <w:ind w:left="720" w:right="279"/>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202" type="#_x0000_t202" style="position:absolute;left:0;text-align:left;margin-left:9pt;margin-top:10.2pt;width:494pt;height:36pt;z-index:251837440" stroked="f">
            <v:textbox style="mso-next-textbox:#_x0000_s1202">
              <w:txbxContent>
                <w:p w:rsidR="006E5FD4" w:rsidRPr="00B40091" w:rsidRDefault="006E5FD4" w:rsidP="006E5FD4">
                  <w:pPr>
                    <w:spacing w:line="360" w:lineRule="auto"/>
                    <w:ind w:firstLine="540"/>
                    <w:jc w:val="right"/>
                    <w:rPr>
                      <w:rFonts w:ascii="Times New Roman" w:hAnsi="Times New Roman"/>
                      <w:sz w:val="28"/>
                      <w:szCs w:val="28"/>
                    </w:rPr>
                  </w:pPr>
                  <w:r>
                    <w:rPr>
                      <w:rFonts w:ascii="Times New Roman" w:hAnsi="Times New Roman"/>
                      <w:sz w:val="28"/>
                      <w:szCs w:val="28"/>
                    </w:rPr>
                    <w:t>Рис. 7.5. С</w:t>
                  </w:r>
                  <w:r w:rsidRPr="00B40091">
                    <w:rPr>
                      <w:rFonts w:ascii="Times New Roman" w:hAnsi="Times New Roman"/>
                      <w:sz w:val="28"/>
                      <w:szCs w:val="28"/>
                    </w:rPr>
                    <w:t>формована оментобурсостома</w:t>
                  </w:r>
                </w:p>
                <w:p w:rsidR="006E5FD4" w:rsidRDefault="006E5FD4" w:rsidP="006E5FD4">
                  <w:pPr>
                    <w:spacing w:after="0" w:line="360" w:lineRule="auto"/>
                    <w:ind w:firstLine="709"/>
                    <w:jc w:val="both"/>
                    <w:rPr>
                      <w:rFonts w:ascii="Times New Roman" w:hAnsi="Times New Roman"/>
                      <w:sz w:val="28"/>
                      <w:szCs w:val="28"/>
                    </w:rPr>
                  </w:pPr>
                </w:p>
                <w:p w:rsidR="006E5FD4" w:rsidRDefault="006E5FD4" w:rsidP="006E5FD4"/>
              </w:txbxContent>
            </v:textbox>
          </v:shape>
        </w:pict>
      </w:r>
    </w:p>
    <w:p w:rsidR="006E5FD4" w:rsidRPr="00C62D22" w:rsidRDefault="006E5FD4" w:rsidP="006E5FD4">
      <w:pPr>
        <w:spacing w:after="0" w:line="360" w:lineRule="auto"/>
        <w:jc w:val="both"/>
        <w:rPr>
          <w:rFonts w:ascii="Times New Roman" w:hAnsi="Times New Roman" w:cs="Times New Roman"/>
          <w:sz w:val="28"/>
          <w:szCs w:val="28"/>
          <w:lang w:val="en-US"/>
        </w:rPr>
      </w:pPr>
    </w:p>
    <w:p w:rsidR="006E5FD4" w:rsidRPr="00C62D22" w:rsidRDefault="006E5FD4" w:rsidP="006E5FD4">
      <w:pPr>
        <w:spacing w:after="0" w:line="360" w:lineRule="auto"/>
        <w:ind w:firstLine="539"/>
        <w:jc w:val="both"/>
        <w:rPr>
          <w:rFonts w:ascii="Times New Roman" w:hAnsi="Times New Roman" w:cs="Times New Roman"/>
          <w:sz w:val="28"/>
          <w:szCs w:val="28"/>
        </w:rPr>
      </w:pPr>
      <w:r w:rsidRPr="00C62D22">
        <w:rPr>
          <w:rFonts w:ascii="Times New Roman" w:hAnsi="Times New Roman" w:cs="Times New Roman"/>
          <w:sz w:val="28"/>
          <w:szCs w:val="28"/>
          <w:lang w:val="en-US"/>
        </w:rPr>
        <w:t>1-</w:t>
      </w:r>
      <w:r w:rsidRPr="00C62D22">
        <w:rPr>
          <w:rFonts w:ascii="Times New Roman" w:hAnsi="Times New Roman" w:cs="Times New Roman"/>
          <w:sz w:val="28"/>
          <w:szCs w:val="28"/>
        </w:rPr>
        <w:t>му</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хворому</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в</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анамнезі</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виконувалися</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операції</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з</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приводу</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гострого</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змішаного</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панкреонекрозу</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ферментативного</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перитоніту</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лапароскопічне</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дренування</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чепцевої</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сумки</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релапароскопія</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редренування</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чепцевої</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сумки</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та</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позаочеревного</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простору</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зліва</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пункції</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неускладненої</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ПК</w:t>
      </w:r>
      <w:r w:rsidRPr="00C62D22">
        <w:rPr>
          <w:rFonts w:ascii="Times New Roman" w:hAnsi="Times New Roman" w:cs="Times New Roman"/>
          <w:sz w:val="28"/>
          <w:szCs w:val="28"/>
          <w:lang w:val="en-US"/>
        </w:rPr>
        <w:t xml:space="preserve">). </w:t>
      </w:r>
      <w:r w:rsidRPr="00C62D22">
        <w:rPr>
          <w:rFonts w:ascii="Times New Roman" w:hAnsi="Times New Roman" w:cs="Times New Roman"/>
          <w:sz w:val="28"/>
          <w:szCs w:val="28"/>
        </w:rPr>
        <w:t xml:space="preserve">У ранньому післяопераційному періоду в нього виникла панкреатична нориця (дебіт до 50 мл панкреатичного соку). </w:t>
      </w:r>
    </w:p>
    <w:p w:rsidR="006E5FD4" w:rsidRPr="00C62D22" w:rsidRDefault="006E5FD4" w:rsidP="006E5FD4">
      <w:pPr>
        <w:spacing w:after="0" w:line="360" w:lineRule="auto"/>
        <w:ind w:firstLine="539"/>
        <w:jc w:val="both"/>
        <w:rPr>
          <w:rFonts w:ascii="Times New Roman" w:hAnsi="Times New Roman" w:cs="Times New Roman"/>
          <w:sz w:val="28"/>
          <w:szCs w:val="28"/>
        </w:rPr>
      </w:pPr>
      <w:r w:rsidRPr="00C62D22">
        <w:rPr>
          <w:rFonts w:ascii="Times New Roman" w:hAnsi="Times New Roman" w:cs="Times New Roman"/>
          <w:sz w:val="28"/>
          <w:szCs w:val="28"/>
        </w:rPr>
        <w:t xml:space="preserve">1-му пацієнту з гострим розповсюдженим панкреонекрозом, гострою інфікованою ПК із кровотечею в її порожнину, розповсюдженим серозно-фібринозним перитонітом, абдомінальним компартмент-синдромом, абдомінальним сепсисом виконано лапаротомію з НСЕ, гемостазом, тампонуванням порожнини ПК та лапаростомією з використанням </w:t>
      </w:r>
      <w:r w:rsidRPr="00C62D22">
        <w:rPr>
          <w:rFonts w:ascii="Times New Roman" w:hAnsi="Times New Roman" w:cs="Times New Roman"/>
          <w:sz w:val="28"/>
          <w:szCs w:val="28"/>
          <w:lang w:val="en-US"/>
        </w:rPr>
        <w:t>VAC</w:t>
      </w:r>
      <w:r w:rsidRPr="00C62D22">
        <w:rPr>
          <w:rFonts w:ascii="Times New Roman" w:hAnsi="Times New Roman" w:cs="Times New Roman"/>
          <w:sz w:val="28"/>
          <w:szCs w:val="28"/>
        </w:rPr>
        <w:t xml:space="preserve"> – методики за допомогою набору пов’язок </w:t>
      </w:r>
      <w:r w:rsidRPr="00C62D22">
        <w:rPr>
          <w:rFonts w:ascii="Times New Roman" w:hAnsi="Times New Roman" w:cs="Times New Roman"/>
          <w:sz w:val="28"/>
          <w:szCs w:val="28"/>
          <w:lang w:val="en-US"/>
        </w:rPr>
        <w:t>NPWT</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Dressing</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en-US"/>
        </w:rPr>
        <w:t>Kit</w:t>
      </w:r>
      <w:r w:rsidRPr="00C62D22">
        <w:rPr>
          <w:rFonts w:ascii="Times New Roman" w:hAnsi="Times New Roman" w:cs="Times New Roman"/>
          <w:sz w:val="28"/>
          <w:szCs w:val="28"/>
        </w:rPr>
        <w:t>, Англія (рис. 7.6 – 7.7).</w:t>
      </w:r>
    </w:p>
    <w:p w:rsidR="006E5FD4" w:rsidRPr="00C62D22" w:rsidRDefault="006E5FD4" w:rsidP="006E5FD4">
      <w:pPr>
        <w:spacing w:after="0" w:line="360" w:lineRule="auto"/>
        <w:ind w:firstLine="709"/>
        <w:jc w:val="both"/>
        <w:rPr>
          <w:rFonts w:ascii="Times New Roman" w:hAnsi="Times New Roman" w:cs="Times New Roman"/>
          <w:sz w:val="28"/>
          <w:szCs w:val="28"/>
        </w:rPr>
      </w:pPr>
    </w:p>
    <w:p w:rsidR="006E5FD4" w:rsidRPr="00C62D22" w:rsidRDefault="006E5FD4"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71950" cy="2667000"/>
            <wp:effectExtent l="19050" t="0" r="0" b="0"/>
            <wp:docPr id="192" name="Рисунок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2"/>
                    <pic:cNvPicPr>
                      <a:picLocks noChangeAspect="1" noChangeArrowheads="1"/>
                    </pic:cNvPicPr>
                  </pic:nvPicPr>
                  <pic:blipFill>
                    <a:blip r:embed="rId88"/>
                    <a:srcRect/>
                    <a:stretch>
                      <a:fillRect/>
                    </a:stretch>
                  </pic:blipFill>
                  <pic:spPr bwMode="auto">
                    <a:xfrm>
                      <a:off x="0" y="0"/>
                      <a:ext cx="4171950" cy="2667000"/>
                    </a:xfrm>
                    <a:prstGeom prst="rect">
                      <a:avLst/>
                    </a:prstGeom>
                    <a:noFill/>
                    <a:ln w="9525">
                      <a:noFill/>
                      <a:miter lim="800000"/>
                      <a:headEnd/>
                      <a:tailEnd/>
                    </a:ln>
                  </pic:spPr>
                </pic:pic>
              </a:graphicData>
            </a:graphic>
          </wp:inline>
        </w:drawing>
      </w:r>
    </w:p>
    <w:p w:rsidR="006E5FD4" w:rsidRPr="00C62D22" w:rsidRDefault="006E5FD4" w:rsidP="006E5FD4">
      <w:pPr>
        <w:spacing w:after="0" w:line="360" w:lineRule="auto"/>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209" type="#_x0000_t202" style="position:absolute;left:0;text-align:left;margin-left:-3.45pt;margin-top:16.3pt;width:511.5pt;height:63pt;z-index:251844608" stroked="f">
            <v:textbox style="mso-next-textbox:#_x0000_s1209">
              <w:txbxContent>
                <w:p w:rsidR="006E5FD4" w:rsidRPr="002E734F" w:rsidRDefault="006E5FD4" w:rsidP="006E5FD4">
                  <w:pPr>
                    <w:spacing w:line="360" w:lineRule="auto"/>
                    <w:jc w:val="right"/>
                    <w:rPr>
                      <w:rFonts w:ascii="Times New Roman" w:hAnsi="Times New Roman"/>
                      <w:sz w:val="28"/>
                      <w:szCs w:val="28"/>
                    </w:rPr>
                  </w:pPr>
                  <w:r>
                    <w:rPr>
                      <w:rFonts w:ascii="Times New Roman" w:hAnsi="Times New Roman"/>
                      <w:sz w:val="28"/>
                      <w:szCs w:val="28"/>
                    </w:rPr>
                    <w:t>Рис.7.6</w:t>
                  </w:r>
                  <w:r w:rsidRPr="002E734F">
                    <w:rPr>
                      <w:rFonts w:ascii="Times New Roman" w:hAnsi="Times New Roman"/>
                      <w:sz w:val="28"/>
                      <w:szCs w:val="28"/>
                    </w:rPr>
                    <w:t xml:space="preserve">. Етап формування оментобурсостоми з використанням </w:t>
                  </w:r>
                  <w:r w:rsidRPr="002E734F">
                    <w:rPr>
                      <w:rFonts w:ascii="Times New Roman" w:hAnsi="Times New Roman"/>
                      <w:sz w:val="28"/>
                      <w:szCs w:val="28"/>
                      <w:lang w:val="en-US"/>
                    </w:rPr>
                    <w:t>VAC</w:t>
                  </w:r>
                  <w:r>
                    <w:rPr>
                      <w:rFonts w:ascii="Times New Roman" w:hAnsi="Times New Roman"/>
                      <w:sz w:val="28"/>
                      <w:szCs w:val="28"/>
                    </w:rPr>
                    <w:t xml:space="preserve"> –</w:t>
                  </w:r>
                  <w:r w:rsidRPr="002E734F">
                    <w:rPr>
                      <w:rFonts w:ascii="Times New Roman" w:hAnsi="Times New Roman"/>
                      <w:sz w:val="28"/>
                      <w:szCs w:val="28"/>
                    </w:rPr>
                    <w:t xml:space="preserve"> методик</w:t>
                  </w:r>
                  <w:r>
                    <w:rPr>
                      <w:rFonts w:ascii="Times New Roman" w:hAnsi="Times New Roman"/>
                      <w:sz w:val="28"/>
                      <w:szCs w:val="28"/>
                    </w:rPr>
                    <w:t xml:space="preserve">и за допомогою набору пов’язок </w:t>
                  </w:r>
                  <w:r w:rsidRPr="002E734F">
                    <w:rPr>
                      <w:rFonts w:ascii="Times New Roman" w:hAnsi="Times New Roman"/>
                      <w:sz w:val="28"/>
                      <w:szCs w:val="28"/>
                      <w:lang w:val="en-US"/>
                    </w:rPr>
                    <w:t>NPWT</w:t>
                  </w:r>
                  <w:r w:rsidRPr="002E734F">
                    <w:rPr>
                      <w:rFonts w:ascii="Times New Roman" w:hAnsi="Times New Roman"/>
                      <w:sz w:val="28"/>
                      <w:szCs w:val="28"/>
                    </w:rPr>
                    <w:t xml:space="preserve"> </w:t>
                  </w:r>
                  <w:r w:rsidRPr="002E734F">
                    <w:rPr>
                      <w:rFonts w:ascii="Times New Roman" w:hAnsi="Times New Roman"/>
                      <w:sz w:val="28"/>
                      <w:szCs w:val="28"/>
                      <w:lang w:val="en-US"/>
                    </w:rPr>
                    <w:t>Dressing</w:t>
                  </w:r>
                  <w:r w:rsidRPr="002E734F">
                    <w:rPr>
                      <w:rFonts w:ascii="Times New Roman" w:hAnsi="Times New Roman"/>
                      <w:sz w:val="28"/>
                      <w:szCs w:val="28"/>
                    </w:rPr>
                    <w:t xml:space="preserve"> </w:t>
                  </w:r>
                  <w:r w:rsidRPr="002E734F">
                    <w:rPr>
                      <w:rFonts w:ascii="Times New Roman" w:hAnsi="Times New Roman"/>
                      <w:sz w:val="28"/>
                      <w:szCs w:val="28"/>
                      <w:lang w:val="en-US"/>
                    </w:rPr>
                    <w:t>Kit</w:t>
                  </w:r>
                  <w:r w:rsidRPr="002E734F">
                    <w:rPr>
                      <w:rFonts w:ascii="Times New Roman" w:hAnsi="Times New Roman"/>
                      <w:sz w:val="28"/>
                      <w:szCs w:val="28"/>
                    </w:rPr>
                    <w:t>, Англія</w:t>
                  </w:r>
                </w:p>
                <w:p w:rsidR="006E5FD4" w:rsidRDefault="006E5FD4" w:rsidP="006E5FD4"/>
              </w:txbxContent>
            </v:textbox>
          </v:shape>
        </w:pict>
      </w:r>
    </w:p>
    <w:p w:rsidR="006E5FD4" w:rsidRPr="00C62D22" w:rsidRDefault="006E5FD4" w:rsidP="006E5FD4">
      <w:pPr>
        <w:spacing w:after="0" w:line="360" w:lineRule="auto"/>
        <w:jc w:val="both"/>
        <w:rPr>
          <w:rFonts w:ascii="Times New Roman" w:hAnsi="Times New Roman" w:cs="Times New Roman"/>
          <w:sz w:val="28"/>
          <w:szCs w:val="28"/>
        </w:rPr>
      </w:pPr>
    </w:p>
    <w:p w:rsidR="006E5FD4" w:rsidRPr="00C62D22" w:rsidRDefault="006E5FD4" w:rsidP="006E5FD4">
      <w:pPr>
        <w:spacing w:after="0" w:line="360" w:lineRule="auto"/>
        <w:rPr>
          <w:rFonts w:ascii="Times New Roman" w:hAnsi="Times New Roman" w:cs="Times New Roman"/>
          <w:sz w:val="28"/>
          <w:szCs w:val="28"/>
        </w:rPr>
      </w:pPr>
    </w:p>
    <w:p w:rsidR="00C62D22" w:rsidRPr="00C62D22" w:rsidRDefault="00C62D22" w:rsidP="00C62D22">
      <w:pPr>
        <w:spacing w:after="0" w:line="360" w:lineRule="auto"/>
        <w:ind w:firstLine="540"/>
        <w:rPr>
          <w:rFonts w:ascii="Times New Roman" w:hAnsi="Times New Roman" w:cs="Times New Roman"/>
          <w:sz w:val="28"/>
          <w:szCs w:val="28"/>
          <w:lang w:val="en-US"/>
        </w:rPr>
      </w:pPr>
      <w:r w:rsidRPr="00C62D22">
        <w:rPr>
          <w:rFonts w:ascii="Times New Roman" w:hAnsi="Times New Roman" w:cs="Times New Roman"/>
          <w:noProof/>
          <w:sz w:val="28"/>
          <w:szCs w:val="28"/>
        </w:rPr>
        <w:lastRenderedPageBreak/>
        <w:pict>
          <v:shape id="_x0000_s1203" type="#_x0000_t202" style="position:absolute;left:0;text-align:left;margin-left:3.75pt;margin-top:209.6pt;width:495pt;height:52.5pt;z-index:251838464" stroked="f">
            <v:textbox style="mso-next-textbox:#_x0000_s1203">
              <w:txbxContent>
                <w:p w:rsidR="006E5FD4" w:rsidRPr="002A353C" w:rsidRDefault="006E5FD4" w:rsidP="006E5FD4">
                  <w:pPr>
                    <w:spacing w:line="360" w:lineRule="auto"/>
                    <w:ind w:firstLine="540"/>
                    <w:jc w:val="right"/>
                    <w:rPr>
                      <w:rFonts w:ascii="Times New Roman" w:hAnsi="Times New Roman"/>
                      <w:sz w:val="28"/>
                      <w:szCs w:val="28"/>
                    </w:rPr>
                  </w:pPr>
                  <w:r>
                    <w:rPr>
                      <w:rFonts w:ascii="Times New Roman" w:hAnsi="Times New Roman"/>
                      <w:sz w:val="28"/>
                      <w:szCs w:val="28"/>
                    </w:rPr>
                    <w:t>Рис. 7.7. Сформована оментобурсостома</w:t>
                  </w:r>
                  <w:r w:rsidRPr="002A353C">
                    <w:rPr>
                      <w:rFonts w:ascii="Times New Roman" w:hAnsi="Times New Roman"/>
                      <w:sz w:val="28"/>
                      <w:szCs w:val="28"/>
                    </w:rPr>
                    <w:t xml:space="preserve"> </w:t>
                  </w:r>
                  <w:r w:rsidRPr="002E734F">
                    <w:rPr>
                      <w:rFonts w:ascii="Times New Roman" w:hAnsi="Times New Roman"/>
                      <w:sz w:val="28"/>
                      <w:szCs w:val="28"/>
                    </w:rPr>
                    <w:t xml:space="preserve">з використанням </w:t>
                  </w:r>
                  <w:r w:rsidRPr="002E734F">
                    <w:rPr>
                      <w:rFonts w:ascii="Times New Roman" w:hAnsi="Times New Roman"/>
                      <w:sz w:val="28"/>
                      <w:szCs w:val="28"/>
                      <w:lang w:val="en-US"/>
                    </w:rPr>
                    <w:t>VAC</w:t>
                  </w:r>
                  <w:r>
                    <w:rPr>
                      <w:rFonts w:ascii="Times New Roman" w:hAnsi="Times New Roman"/>
                      <w:sz w:val="28"/>
                      <w:szCs w:val="28"/>
                    </w:rPr>
                    <w:t xml:space="preserve"> –</w:t>
                  </w:r>
                  <w:r w:rsidRPr="002E734F">
                    <w:rPr>
                      <w:rFonts w:ascii="Times New Roman" w:hAnsi="Times New Roman"/>
                      <w:sz w:val="28"/>
                      <w:szCs w:val="28"/>
                    </w:rPr>
                    <w:t xml:space="preserve"> методики</w:t>
                  </w:r>
                  <w:r>
                    <w:rPr>
                      <w:rFonts w:ascii="Times New Roman" w:hAnsi="Times New Roman"/>
                      <w:sz w:val="28"/>
                      <w:szCs w:val="28"/>
                    </w:rPr>
                    <w:t xml:space="preserve"> та вакуум-екстрактор для активної санації чепцевої сумки</w:t>
                  </w:r>
                </w:p>
                <w:p w:rsidR="006E5FD4" w:rsidRDefault="006E5FD4" w:rsidP="006E5FD4"/>
              </w:txbxContent>
            </v:textbox>
          </v:shape>
        </w:pict>
      </w:r>
      <w:r w:rsidRPr="00C62D22">
        <w:rPr>
          <w:rFonts w:ascii="Times New Roman" w:hAnsi="Times New Roman" w:cs="Times New Roman"/>
          <w:noProof/>
          <w:sz w:val="28"/>
          <w:szCs w:val="28"/>
        </w:rPr>
        <w:drawing>
          <wp:anchor distT="0" distB="0" distL="114300" distR="114300" simplePos="0" relativeHeight="251920384" behindDoc="0" locked="0" layoutInCell="1" allowOverlap="1">
            <wp:simplePos x="0" y="0"/>
            <wp:positionH relativeFrom="column">
              <wp:posOffset>3261360</wp:posOffset>
            </wp:positionH>
            <wp:positionV relativeFrom="paragraph">
              <wp:posOffset>-81915</wp:posOffset>
            </wp:positionV>
            <wp:extent cx="3005455" cy="2743200"/>
            <wp:effectExtent l="19050" t="0" r="4445" b="0"/>
            <wp:wrapNone/>
            <wp:docPr id="341" name="Рисунок 3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89"/>
                    <a:srcRect/>
                    <a:stretch>
                      <a:fillRect/>
                    </a:stretch>
                  </pic:blipFill>
                  <pic:spPr bwMode="auto">
                    <a:xfrm>
                      <a:off x="0" y="0"/>
                      <a:ext cx="3005455" cy="2743200"/>
                    </a:xfrm>
                    <a:prstGeom prst="rect">
                      <a:avLst/>
                    </a:prstGeom>
                    <a:noFill/>
                  </pic:spPr>
                </pic:pic>
              </a:graphicData>
            </a:graphic>
          </wp:anchor>
        </w:drawing>
      </w:r>
      <w:r w:rsidRPr="00C62D22">
        <w:rPr>
          <w:rFonts w:ascii="Times New Roman" w:hAnsi="Times New Roman" w:cs="Times New Roman"/>
          <w:noProof/>
          <w:sz w:val="28"/>
          <w:szCs w:val="28"/>
        </w:rPr>
        <w:drawing>
          <wp:anchor distT="0" distB="0" distL="114300" distR="114300" simplePos="0" relativeHeight="251919360" behindDoc="0" locked="0" layoutInCell="1" allowOverlap="1">
            <wp:simplePos x="0" y="0"/>
            <wp:positionH relativeFrom="column">
              <wp:posOffset>137160</wp:posOffset>
            </wp:positionH>
            <wp:positionV relativeFrom="paragraph">
              <wp:posOffset>-81915</wp:posOffset>
            </wp:positionV>
            <wp:extent cx="3124200" cy="2743200"/>
            <wp:effectExtent l="19050" t="0" r="0" b="0"/>
            <wp:wrapNone/>
            <wp:docPr id="340" name="Рисунок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90"/>
                    <a:srcRect/>
                    <a:stretch>
                      <a:fillRect/>
                    </a:stretch>
                  </pic:blipFill>
                  <pic:spPr bwMode="auto">
                    <a:xfrm>
                      <a:off x="0" y="0"/>
                      <a:ext cx="3124200" cy="2743200"/>
                    </a:xfrm>
                    <a:prstGeom prst="rect">
                      <a:avLst/>
                    </a:prstGeom>
                    <a:noFill/>
                  </pic:spPr>
                </pic:pic>
              </a:graphicData>
            </a:graphic>
          </wp:anchor>
        </w:drawing>
      </w:r>
      <w:r w:rsidR="006E5FD4" w:rsidRPr="00C62D22">
        <w:rPr>
          <w:rFonts w:ascii="Times New Roman" w:hAnsi="Times New Roman" w:cs="Times New Roman"/>
          <w:sz w:val="28"/>
          <w:szCs w:val="28"/>
        </w:rPr>
        <w:t xml:space="preserve">          </w:t>
      </w:r>
      <w:r w:rsidR="006E5FD4" w:rsidRPr="00C62D22">
        <w:rPr>
          <w:rFonts w:ascii="Times New Roman" w:hAnsi="Times New Roman" w:cs="Times New Roman"/>
          <w:noProof/>
          <w:sz w:val="28"/>
          <w:szCs w:val="28"/>
        </w:rPr>
      </w:r>
      <w:r w:rsidRPr="00C62D22">
        <w:rPr>
          <w:rFonts w:ascii="Times New Roman" w:hAnsi="Times New Roman" w:cs="Times New Roman"/>
          <w:sz w:val="28"/>
          <w:szCs w:val="28"/>
        </w:rPr>
        <w:pict>
          <v:group id="_x0000_s1192" editas="canvas" style="width:494.45pt;height:234pt;mso-position-horizontal-relative:char;mso-position-vertical-relative:line" coordorigin="5906,7682" coordsize="7064,3304">
            <o:lock v:ext="edit" aspectratio="t"/>
            <v:shape id="_x0000_s1193" type="#_x0000_t75" style="position:absolute;left:5906;top:7682;width:7064;height:3304" o:preferrelative="f">
              <v:fill o:detectmouseclick="t"/>
              <v:path o:extrusionok="t" o:connecttype="none"/>
              <o:lock v:ext="edit" text="t"/>
            </v:shape>
            <w10:wrap type="none"/>
            <w10:anchorlock/>
          </v:group>
        </w:pict>
      </w:r>
    </w:p>
    <w:p w:rsidR="006E5FD4" w:rsidRPr="00C62D22" w:rsidRDefault="006E5FD4"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Через 6 діб хворому проведено програмовану релапаротомію, НСЕ, ОБС з тампонуванням. У післяопераційний період сформувалася товстокишкова нориця, через контрапертуру в лівому підребер’ї встановлено дренаж.</w:t>
      </w:r>
    </w:p>
    <w:p w:rsidR="006E5FD4" w:rsidRPr="00C62D22" w:rsidRDefault="006E5FD4" w:rsidP="00C62D22">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 xml:space="preserve">Нагноєння післяопераційних ран, загоєння вторинним натягом спостерігалося у 2 хворих, з ПК, ускладненими кровотечами. </w:t>
      </w:r>
      <w:r w:rsidRPr="00C62D22">
        <w:rPr>
          <w:rFonts w:ascii="Times New Roman" w:hAnsi="Times New Roman" w:cs="Times New Roman"/>
          <w:noProof/>
          <w:sz w:val="28"/>
          <w:szCs w:val="28"/>
        </w:rPr>
        <w:pict>
          <v:shape id="_x0000_s1197" type="#_x0000_t202" style="position:absolute;left:0;text-align:left;margin-left:413.4pt;margin-top:-55pt;width:18pt;height:36pt;z-index:251832320;mso-position-horizontal-relative:text;mso-position-vertical-relative:text" filled="f" stroked="f">
            <v:textbox style="mso-next-textbox:#_x0000_s1197">
              <w:txbxContent>
                <w:p w:rsidR="006E5FD4" w:rsidRPr="003734BD" w:rsidRDefault="006E5FD4" w:rsidP="006E5FD4">
                  <w:pPr>
                    <w:rPr>
                      <w:rFonts w:ascii="Times New Roman" w:hAnsi="Times New Roman"/>
                      <w:b/>
                      <w:i/>
                      <w:color w:val="FFFFFF"/>
                      <w:sz w:val="28"/>
                      <w:szCs w:val="28"/>
                    </w:rPr>
                  </w:pPr>
                  <w:r w:rsidRPr="003734BD">
                    <w:rPr>
                      <w:rFonts w:ascii="Times New Roman" w:hAnsi="Times New Roman"/>
                      <w:b/>
                      <w:i/>
                      <w:color w:val="FFFFFF"/>
                      <w:sz w:val="28"/>
                      <w:szCs w:val="28"/>
                    </w:rPr>
                    <w:t>Б</w:t>
                  </w:r>
                </w:p>
              </w:txbxContent>
            </v:textbox>
          </v:shape>
        </w:pict>
      </w:r>
      <w:r w:rsidRPr="00C62D22">
        <w:rPr>
          <w:rFonts w:ascii="Times New Roman" w:hAnsi="Times New Roman" w:cs="Times New Roman"/>
          <w:sz w:val="28"/>
          <w:szCs w:val="28"/>
        </w:rPr>
        <w:t>Зовнішнє дренування ПК ПЗ, що ускладнені кровотечею в її порожнину, на тлі гострого інфікованого панкреонекрозу виконано 1-му хворому.</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При ПК ПЗ І типу, ускладнених розривом, 2-ом хворим виконано лапаротомію, НСЕ, зовнішнє дренування ПК ПЗ та черевної порожнини. В 1-го хворого в післяопераційний період виникла зовнішня гнійно-панкреатична нориця, в анамнезі оперований з приводу гострого панкреонекрозу (дренування черевної порожнини, сформувалася цистобіліарна нориця). В 1-го хворого з розривом ПК та розповсюдженим перитонітом, виконано лапаротомію, НСЕ, зовнішнє дренування холедоху, дренування черевної порожнини, зовнішнє дренування ПК ПЗ, програмований лаваж черевної порожнини (рис.7.8).</w:t>
      </w:r>
    </w:p>
    <w:p w:rsidR="006E5FD4" w:rsidRPr="00C62D22" w:rsidRDefault="006E5FD4" w:rsidP="006E5FD4">
      <w:pPr>
        <w:spacing w:after="0" w:line="360" w:lineRule="auto"/>
        <w:ind w:firstLine="709"/>
        <w:jc w:val="both"/>
        <w:rPr>
          <w:rFonts w:ascii="Times New Roman" w:hAnsi="Times New Roman" w:cs="Times New Roman"/>
          <w:sz w:val="28"/>
          <w:szCs w:val="28"/>
        </w:rPr>
      </w:pPr>
    </w:p>
    <w:p w:rsidR="006E5FD4" w:rsidRPr="00C62D22" w:rsidRDefault="006E5FD4"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lastRenderedPageBreak/>
        <w:t xml:space="preserve">    </w:t>
      </w:r>
      <w:r w:rsidRPr="00C62D22">
        <w:rPr>
          <w:rFonts w:ascii="Times New Roman" w:hAnsi="Times New Roman" w:cs="Times New Roman"/>
          <w:noProof/>
          <w:sz w:val="28"/>
          <w:szCs w:val="28"/>
        </w:rPr>
        <w:drawing>
          <wp:inline distT="0" distB="0" distL="0" distR="0">
            <wp:extent cx="4162425" cy="2647950"/>
            <wp:effectExtent l="19050" t="0" r="9525" b="0"/>
            <wp:docPr id="195" name="Рисунок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91" cstate="print"/>
                    <a:srcRect/>
                    <a:stretch>
                      <a:fillRect/>
                    </a:stretch>
                  </pic:blipFill>
                  <pic:spPr bwMode="auto">
                    <a:xfrm>
                      <a:off x="0" y="0"/>
                      <a:ext cx="4162425" cy="2647950"/>
                    </a:xfrm>
                    <a:prstGeom prst="rect">
                      <a:avLst/>
                    </a:prstGeom>
                    <a:noFill/>
                    <a:ln w="9525">
                      <a:noFill/>
                      <a:miter lim="800000"/>
                      <a:headEnd/>
                      <a:tailEnd/>
                    </a:ln>
                  </pic:spPr>
                </pic:pic>
              </a:graphicData>
            </a:graphic>
          </wp:inline>
        </w:drawing>
      </w:r>
    </w:p>
    <w:p w:rsidR="006E5FD4" w:rsidRPr="00C62D22" w:rsidRDefault="006E5FD4" w:rsidP="006E5FD4">
      <w:pPr>
        <w:spacing w:after="0" w:line="360" w:lineRule="auto"/>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208" type="#_x0000_t202" style="position:absolute;left:0;text-align:left;margin-left:-.75pt;margin-top:9.3pt;width:514.05pt;height:27pt;z-index:251843584" stroked="f">
            <v:textbox style="mso-next-textbox:#_x0000_s1208">
              <w:txbxContent>
                <w:p w:rsidR="006E5FD4" w:rsidRPr="004E259F" w:rsidRDefault="006E5FD4" w:rsidP="006E5FD4">
                  <w:pPr>
                    <w:spacing w:line="360" w:lineRule="auto"/>
                    <w:ind w:firstLine="540"/>
                    <w:jc w:val="right"/>
                    <w:rPr>
                      <w:rFonts w:ascii="Times New Roman" w:hAnsi="Times New Roman"/>
                      <w:sz w:val="28"/>
                      <w:szCs w:val="28"/>
                    </w:rPr>
                  </w:pPr>
                  <w:r>
                    <w:rPr>
                      <w:rFonts w:ascii="Times New Roman" w:hAnsi="Times New Roman"/>
                      <w:sz w:val="28"/>
                      <w:szCs w:val="28"/>
                    </w:rPr>
                    <w:t>Рис.7.8</w:t>
                  </w:r>
                  <w:r w:rsidRPr="004E259F">
                    <w:rPr>
                      <w:rFonts w:ascii="Times New Roman" w:hAnsi="Times New Roman"/>
                      <w:sz w:val="28"/>
                      <w:szCs w:val="28"/>
                    </w:rPr>
                    <w:t>. Лапаростома у хворого з</w:t>
                  </w:r>
                  <w:r>
                    <w:rPr>
                      <w:rFonts w:ascii="Times New Roman" w:hAnsi="Times New Roman"/>
                      <w:sz w:val="28"/>
                      <w:szCs w:val="28"/>
                    </w:rPr>
                    <w:t xml:space="preserve"> гострим панкреонекрозом</w:t>
                  </w:r>
                </w:p>
              </w:txbxContent>
            </v:textbox>
          </v:shape>
        </w:pict>
      </w:r>
    </w:p>
    <w:p w:rsidR="006E5FD4" w:rsidRPr="00C62D22" w:rsidRDefault="006E5FD4" w:rsidP="006E5FD4">
      <w:pPr>
        <w:spacing w:after="0" w:line="360" w:lineRule="auto"/>
        <w:ind w:firstLine="709"/>
        <w:jc w:val="both"/>
        <w:rPr>
          <w:rFonts w:ascii="Times New Roman" w:hAnsi="Times New Roman" w:cs="Times New Roman"/>
          <w:sz w:val="28"/>
          <w:szCs w:val="28"/>
        </w:rPr>
      </w:pP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В 1-го пацієнта з гострим панкреатитом, розривом ПК ПЗ, розповсюдженим фібринозно-гнійним перитонітом, виконано лапаротомію, санацію та дренування черевної порожнини, з програмованим лаважом черевної порожнини впродовж 5 разів. У післяопераційному періоду у хворого виникли зовнішня панкреатична нориця та зовнішня кишкова нориця.</w:t>
      </w:r>
    </w:p>
    <w:p w:rsidR="006E5FD4" w:rsidRPr="00C62D22" w:rsidRDefault="006E5FD4" w:rsidP="006E5FD4">
      <w:pPr>
        <w:tabs>
          <w:tab w:val="left" w:pos="567"/>
        </w:tabs>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В 4-х хворих з розривами ПК ПЗ, розповсюдженими перитонітами, виконані лапаротомії, зовнішнє дренування ПК, санація та дренування черевної порожнини. В 1-го хворого перебіг ГП ускладнювався реактивним плевритом, який був усунутий за допомогою дренування плевральної порожнини за Бюлау. В 1-єї хворої з гострою ПК, ускладненою розривом, парапанкреатичним піддіафрагмальним скупченням, асцитом виконана релапаротомія з наступною санацією та дренуванням черевної порожнини.</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При ПК ПЗ І типу, ускладнених компресією шлунка та/чи ДПК, 3 хворим виконані лапаротомії, зовнішні дренування ПК ПЗ, санації та дренування черевної порожнини. В 1-єї хворої в післяопераційний період виникла гіпостатична двобічна пневмонія.</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1-му хворому з гострим дрібновогнищевим панкреонекрозом, постнекротичною ПК ПЗ, ускладненою гострою МЖ, тромбозом селезінкової вени, виконана лапаротомію, НСЕ, зовнішнє дренування ПК, холецистектомію (ХЕ).</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lastRenderedPageBreak/>
        <w:t>Лапаротомні втручання виконані у 9 хворих, з ускладненими ПК ПЗ І типу, у якості ІІ етапу, після декомпресії ПК під контролем УЗД та стабілізації стану хворого. Характер оперативних втручань наведений у табл. 7.4</w:t>
      </w:r>
    </w:p>
    <w:p w:rsidR="006E5FD4" w:rsidRPr="00C62D22" w:rsidRDefault="006E5FD4" w:rsidP="006E5FD4">
      <w:pPr>
        <w:spacing w:after="0" w:line="360" w:lineRule="auto"/>
        <w:ind w:firstLine="708"/>
        <w:jc w:val="both"/>
        <w:rPr>
          <w:rFonts w:ascii="Times New Roman" w:hAnsi="Times New Roman" w:cs="Times New Roman"/>
          <w:sz w:val="28"/>
          <w:szCs w:val="28"/>
        </w:rPr>
      </w:pPr>
    </w:p>
    <w:p w:rsidR="006E5FD4" w:rsidRPr="00C62D22" w:rsidRDefault="006E5FD4" w:rsidP="006E5FD4">
      <w:pPr>
        <w:spacing w:after="0" w:line="360" w:lineRule="auto"/>
        <w:ind w:firstLine="708"/>
        <w:jc w:val="right"/>
        <w:rPr>
          <w:rFonts w:ascii="Times New Roman" w:hAnsi="Times New Roman" w:cs="Times New Roman"/>
          <w:i/>
          <w:sz w:val="28"/>
          <w:szCs w:val="28"/>
        </w:rPr>
      </w:pPr>
      <w:r w:rsidRPr="00C62D22">
        <w:rPr>
          <w:rFonts w:ascii="Times New Roman" w:hAnsi="Times New Roman" w:cs="Times New Roman"/>
          <w:i/>
          <w:sz w:val="28"/>
          <w:szCs w:val="28"/>
        </w:rPr>
        <w:t>Таблиця 7.4</w:t>
      </w:r>
    </w:p>
    <w:p w:rsidR="006E5FD4" w:rsidRPr="00C62D22" w:rsidRDefault="006E5FD4" w:rsidP="006E5FD4">
      <w:pPr>
        <w:spacing w:after="0" w:line="360" w:lineRule="auto"/>
        <w:jc w:val="center"/>
        <w:rPr>
          <w:rFonts w:ascii="Times New Roman" w:hAnsi="Times New Roman" w:cs="Times New Roman"/>
          <w:b/>
          <w:sz w:val="28"/>
          <w:szCs w:val="28"/>
        </w:rPr>
      </w:pPr>
      <w:r w:rsidRPr="00C62D22">
        <w:rPr>
          <w:rFonts w:ascii="Times New Roman" w:hAnsi="Times New Roman" w:cs="Times New Roman"/>
          <w:b/>
          <w:sz w:val="28"/>
          <w:szCs w:val="28"/>
        </w:rPr>
        <w:t>Характер лапаротомних втручань, виконаних у хворих з ускладненими ПК ПЗ першого типу, у якості ІІ етапу</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140"/>
        <w:gridCol w:w="1980"/>
        <w:gridCol w:w="1980"/>
        <w:gridCol w:w="1800"/>
      </w:tblGrid>
      <w:tr w:rsidR="006E5FD4" w:rsidRPr="00C62D22" w:rsidTr="006E5FD4">
        <w:tc>
          <w:tcPr>
            <w:tcW w:w="4140"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Втручання</w:t>
            </w:r>
          </w:p>
        </w:tc>
        <w:tc>
          <w:tcPr>
            <w:tcW w:w="1980"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Кіл</w:t>
            </w:r>
            <w:r w:rsidRPr="00C62D22">
              <w:rPr>
                <w:rFonts w:ascii="Times New Roman" w:eastAsia="GaramondC-Light" w:hAnsi="Times New Roman" w:cs="Times New Roman"/>
                <w:sz w:val="28"/>
                <w:szCs w:val="28"/>
              </w:rPr>
              <w:t>ь</w:t>
            </w:r>
            <w:r w:rsidRPr="00C62D22">
              <w:rPr>
                <w:rFonts w:ascii="Times New Roman" w:eastAsia="GaramondC-Light" w:hAnsi="Times New Roman" w:cs="Times New Roman"/>
                <w:sz w:val="28"/>
                <w:szCs w:val="28"/>
              </w:rPr>
              <w:t xml:space="preserve">кість </w:t>
            </w:r>
            <w:r w:rsidRPr="00C62D22">
              <w:rPr>
                <w:rFonts w:ascii="Times New Roman" w:eastAsia="GaramondC-Light" w:hAnsi="Times New Roman" w:cs="Times New Roman"/>
                <w:sz w:val="28"/>
                <w:szCs w:val="28"/>
              </w:rPr>
              <w:br/>
              <w:t>хв</w:t>
            </w:r>
            <w:r w:rsidRPr="00C62D22">
              <w:rPr>
                <w:rFonts w:ascii="Times New Roman" w:eastAsia="GaramondC-Light" w:hAnsi="Times New Roman" w:cs="Times New Roman"/>
                <w:sz w:val="28"/>
                <w:szCs w:val="28"/>
              </w:rPr>
              <w:t>о</w:t>
            </w:r>
            <w:r w:rsidRPr="00C62D22">
              <w:rPr>
                <w:rFonts w:ascii="Times New Roman" w:eastAsia="GaramondC-Light" w:hAnsi="Times New Roman" w:cs="Times New Roman"/>
                <w:sz w:val="28"/>
                <w:szCs w:val="28"/>
              </w:rPr>
              <w:t>рих</w:t>
            </w:r>
          </w:p>
        </w:tc>
        <w:tc>
          <w:tcPr>
            <w:tcW w:w="1980"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Мали </w:t>
            </w:r>
            <w:r w:rsidRPr="00C62D22">
              <w:rPr>
                <w:rFonts w:ascii="Times New Roman" w:eastAsia="GaramondC-Light" w:hAnsi="Times New Roman" w:cs="Times New Roman"/>
                <w:sz w:val="28"/>
                <w:szCs w:val="28"/>
              </w:rPr>
              <w:br/>
              <w:t>ускладне</w:t>
            </w:r>
            <w:r w:rsidRPr="00C62D22">
              <w:rPr>
                <w:rFonts w:ascii="Times New Roman" w:eastAsia="GaramondC-Light" w:hAnsi="Times New Roman" w:cs="Times New Roman"/>
                <w:sz w:val="28"/>
                <w:szCs w:val="28"/>
              </w:rPr>
              <w:t>н</w:t>
            </w:r>
            <w:r w:rsidRPr="00C62D22">
              <w:rPr>
                <w:rFonts w:ascii="Times New Roman" w:eastAsia="GaramondC-Light" w:hAnsi="Times New Roman" w:cs="Times New Roman"/>
                <w:sz w:val="28"/>
                <w:szCs w:val="28"/>
              </w:rPr>
              <w:t>ня</w:t>
            </w:r>
          </w:p>
        </w:tc>
        <w:tc>
          <w:tcPr>
            <w:tcW w:w="1800" w:type="dxa"/>
            <w:vAlign w:val="center"/>
          </w:tcPr>
          <w:p w:rsidR="006E5FD4" w:rsidRPr="00C62D22" w:rsidRDefault="006E5FD4" w:rsidP="006E5FD4">
            <w:pPr>
              <w:autoSpaceDE w:val="0"/>
              <w:autoSpaceDN w:val="0"/>
              <w:adjustRightInd w:val="0"/>
              <w:spacing w:after="0" w:line="360" w:lineRule="auto"/>
              <w:jc w:val="center"/>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Поме</w:t>
            </w:r>
            <w:r w:rsidRPr="00C62D22">
              <w:rPr>
                <w:rFonts w:ascii="Times New Roman" w:eastAsia="GaramondC-Light" w:hAnsi="Times New Roman" w:cs="Times New Roman"/>
                <w:sz w:val="28"/>
                <w:szCs w:val="28"/>
              </w:rPr>
              <w:t>р</w:t>
            </w:r>
            <w:r w:rsidRPr="00C62D22">
              <w:rPr>
                <w:rFonts w:ascii="Times New Roman" w:eastAsia="GaramondC-Light" w:hAnsi="Times New Roman" w:cs="Times New Roman"/>
                <w:sz w:val="28"/>
                <w:szCs w:val="28"/>
              </w:rPr>
              <w:t>ло</w:t>
            </w:r>
          </w:p>
        </w:tc>
      </w:tr>
      <w:tr w:rsidR="006E5FD4" w:rsidRPr="00C62D22" w:rsidTr="006E5FD4">
        <w:tc>
          <w:tcPr>
            <w:tcW w:w="41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 xml:space="preserve">Цистопанкреатоєюностомії </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4</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b/>
                <w:sz w:val="28"/>
                <w:szCs w:val="28"/>
                <w:lang w:val="uk-UA"/>
              </w:rPr>
            </w:pPr>
            <w:r w:rsidRPr="00C62D22">
              <w:rPr>
                <w:sz w:val="28"/>
                <w:szCs w:val="28"/>
                <w:lang w:val="uk-UA"/>
              </w:rPr>
              <w:t>–</w:t>
            </w:r>
          </w:p>
        </w:tc>
      </w:tr>
      <w:tr w:rsidR="006E5FD4" w:rsidRPr="00C62D22" w:rsidTr="006E5FD4">
        <w:tc>
          <w:tcPr>
            <w:tcW w:w="41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Санація та дренування черевної порожнини</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2</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1</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b/>
                <w:sz w:val="28"/>
                <w:szCs w:val="28"/>
                <w:lang w:val="uk-UA"/>
              </w:rPr>
            </w:pPr>
            <w:r w:rsidRPr="00C62D22">
              <w:rPr>
                <w:sz w:val="28"/>
                <w:szCs w:val="28"/>
                <w:lang w:val="uk-UA"/>
              </w:rPr>
              <w:t>–</w:t>
            </w:r>
          </w:p>
        </w:tc>
      </w:tr>
      <w:tr w:rsidR="006E5FD4" w:rsidRPr="00C62D22" w:rsidTr="006E5FD4">
        <w:tc>
          <w:tcPr>
            <w:tcW w:w="41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Некрсеквестректомії, оментобурсостомії</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3</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b/>
                <w:sz w:val="28"/>
                <w:szCs w:val="28"/>
                <w:lang w:val="uk-UA"/>
              </w:rPr>
            </w:pPr>
            <w:r w:rsidRPr="00C62D22">
              <w:rPr>
                <w:sz w:val="28"/>
                <w:szCs w:val="28"/>
                <w:lang w:val="uk-UA"/>
              </w:rPr>
              <w:t>–</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b/>
                <w:sz w:val="28"/>
                <w:szCs w:val="28"/>
                <w:lang w:val="uk-UA"/>
              </w:rPr>
            </w:pPr>
            <w:r w:rsidRPr="00C62D22">
              <w:rPr>
                <w:sz w:val="28"/>
                <w:szCs w:val="28"/>
                <w:lang w:val="uk-UA"/>
              </w:rPr>
              <w:t>–</w:t>
            </w:r>
          </w:p>
        </w:tc>
      </w:tr>
      <w:tr w:rsidR="006E5FD4" w:rsidRPr="00C62D22" w:rsidTr="006E5FD4">
        <w:tc>
          <w:tcPr>
            <w:tcW w:w="4140" w:type="dxa"/>
          </w:tcPr>
          <w:p w:rsidR="006E5FD4" w:rsidRPr="00C62D22" w:rsidRDefault="006E5FD4" w:rsidP="006E5FD4">
            <w:pPr>
              <w:pStyle w:val="a5"/>
              <w:tabs>
                <w:tab w:val="left" w:pos="4395"/>
              </w:tabs>
              <w:spacing w:before="0" w:beforeAutospacing="0" w:after="0" w:afterAutospacing="0" w:line="360" w:lineRule="auto"/>
              <w:rPr>
                <w:sz w:val="28"/>
                <w:szCs w:val="28"/>
                <w:lang w:val="uk-UA"/>
              </w:rPr>
            </w:pPr>
            <w:r w:rsidRPr="00C62D22">
              <w:rPr>
                <w:sz w:val="28"/>
                <w:szCs w:val="28"/>
                <w:lang w:val="uk-UA"/>
              </w:rPr>
              <w:t xml:space="preserve">Усього </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9</w:t>
            </w:r>
          </w:p>
        </w:tc>
        <w:tc>
          <w:tcPr>
            <w:tcW w:w="198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2</w:t>
            </w:r>
          </w:p>
        </w:tc>
        <w:tc>
          <w:tcPr>
            <w:tcW w:w="1800" w:type="dxa"/>
          </w:tcPr>
          <w:p w:rsidR="006E5FD4" w:rsidRPr="00C62D22" w:rsidRDefault="006E5FD4" w:rsidP="006E5FD4">
            <w:pPr>
              <w:pStyle w:val="a5"/>
              <w:tabs>
                <w:tab w:val="left" w:pos="4395"/>
              </w:tabs>
              <w:spacing w:before="0" w:beforeAutospacing="0" w:after="0" w:afterAutospacing="0" w:line="360" w:lineRule="auto"/>
              <w:jc w:val="center"/>
              <w:rPr>
                <w:sz w:val="28"/>
                <w:szCs w:val="28"/>
                <w:lang w:val="uk-UA"/>
              </w:rPr>
            </w:pPr>
            <w:r w:rsidRPr="00C62D22">
              <w:rPr>
                <w:sz w:val="28"/>
                <w:szCs w:val="28"/>
                <w:lang w:val="uk-UA"/>
              </w:rPr>
              <w:t>–</w:t>
            </w:r>
          </w:p>
        </w:tc>
      </w:tr>
    </w:tbl>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При інфікованих ПК ПЗ, у якості ІІ етапу лікування, 1-му пацієнту з гострим субтотальним панкреонекрозом та компресією шлунка, після пункції під контролем УЗД, після стабілізації загального стану, виконано лапаротомію, НСЕ, ОБС із тампонадою порожнини ПК за методикою клініки (Патент України на корисну модель № 95264 від 10.12.2014. «Спосіб хірургічного лікування псевдокіст підшлункової залози, ускладнених нагноєнням»).</w:t>
      </w:r>
    </w:p>
    <w:p w:rsidR="006E5FD4" w:rsidRPr="00C62D22" w:rsidRDefault="006E5FD4" w:rsidP="006E5FD4">
      <w:pPr>
        <w:pStyle w:val="a5"/>
        <w:tabs>
          <w:tab w:val="left" w:pos="4395"/>
        </w:tabs>
        <w:spacing w:before="0" w:beforeAutospacing="0" w:after="0" w:afterAutospacing="0" w:line="360" w:lineRule="auto"/>
        <w:ind w:firstLine="567"/>
        <w:jc w:val="both"/>
        <w:rPr>
          <w:i/>
          <w:sz w:val="28"/>
          <w:szCs w:val="28"/>
          <w:lang w:val="uk-UA"/>
        </w:rPr>
      </w:pPr>
      <w:r w:rsidRPr="00C62D22">
        <w:rPr>
          <w:i/>
          <w:sz w:val="28"/>
          <w:szCs w:val="28"/>
        </w:rPr>
        <w:t xml:space="preserve">Спосіб виконували таким чином. </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При наявності у хворого ПК ПЗ з підозрою на її нагноєння попередньо виконували пункцію ПК під наглядом УЗД. При цьому визначали характер рідини, рівень амілази рідини та вид збудника. Спостерігали за станом хворого, і після його стабілізації виконували верхньо-серединну лапаротомію. Після ревізії органів черевної порожнини, мобілізували ДПК за Кохером. Розкривали чепцеву сумку. Порожнину ПК пунктували, розсікали впродовж голки, проводили її санацію та експрес-біопсію ділянки ПК.</w:t>
      </w:r>
      <w:r w:rsidRPr="00C62D22">
        <w:rPr>
          <w:rFonts w:ascii="Times New Roman" w:hAnsi="Times New Roman" w:cs="Times New Roman"/>
          <w:sz w:val="28"/>
          <w:szCs w:val="28"/>
        </w:rPr>
        <w:pict>
          <v:shape id="_x0000_s1196" type="#_x0000_t202" style="position:absolute;left:0;text-align:left;margin-left:414pt;margin-top:18pt;width:18pt;height:45pt;z-index:251831296;mso-position-horizontal-relative:text;mso-position-vertical-relative:text" filled="f" stroked="f">
            <v:textbox style="mso-next-textbox:#_x0000_s1196">
              <w:txbxContent>
                <w:p w:rsidR="006E5FD4" w:rsidRPr="00884BB7" w:rsidRDefault="006E5FD4" w:rsidP="006E5FD4">
                  <w:pPr>
                    <w:rPr>
                      <w:rFonts w:ascii="Times New Roman" w:hAnsi="Times New Roman"/>
                      <w:b/>
                      <w:i/>
                      <w:color w:val="FFFFFF"/>
                      <w:sz w:val="28"/>
                      <w:szCs w:val="28"/>
                    </w:rPr>
                  </w:pPr>
                  <w:r w:rsidRPr="006306F7">
                    <w:rPr>
                      <w:sz w:val="28"/>
                      <w:szCs w:val="28"/>
                    </w:rPr>
                    <w:pgNum/>
                  </w:r>
                  <w:r w:rsidRPr="00884BB7">
                    <w:rPr>
                      <w:rFonts w:ascii="Times New Roman" w:hAnsi="Times New Roman"/>
                      <w:b/>
                      <w:i/>
                      <w:color w:val="FFFFFF"/>
                      <w:sz w:val="28"/>
                      <w:szCs w:val="28"/>
                    </w:rPr>
                    <w:t>Б</w:t>
                  </w:r>
                </w:p>
              </w:txbxContent>
            </v:textbox>
          </v:shape>
        </w:pict>
      </w:r>
    </w:p>
    <w:p w:rsidR="006E5FD4" w:rsidRPr="00C62D22" w:rsidRDefault="006E5FD4" w:rsidP="006E5FD4">
      <w:pPr>
        <w:pStyle w:val="a5"/>
        <w:tabs>
          <w:tab w:val="left" w:pos="4395"/>
        </w:tabs>
        <w:spacing w:before="0" w:beforeAutospacing="0" w:after="0" w:afterAutospacing="0" w:line="360" w:lineRule="auto"/>
        <w:ind w:firstLine="567"/>
        <w:jc w:val="both"/>
        <w:rPr>
          <w:sz w:val="28"/>
          <w:szCs w:val="28"/>
          <w:lang w:val="uk-UA"/>
        </w:rPr>
      </w:pPr>
      <w:r w:rsidRPr="00C62D22">
        <w:rPr>
          <w:sz w:val="28"/>
          <w:szCs w:val="28"/>
          <w:lang w:val="uk-UA"/>
        </w:rPr>
        <w:lastRenderedPageBreak/>
        <w:t>При відсутності ознак злоякісного новоутворення, попередньо «викроєне» пасмо великого чепця заводили в порожнину ПК з її тампонуванням</w:t>
      </w:r>
      <w:r w:rsidRPr="00C62D22">
        <w:rPr>
          <w:i/>
          <w:color w:val="000000"/>
          <w:sz w:val="28"/>
          <w:szCs w:val="28"/>
          <w:lang w:val="uk-UA"/>
        </w:rPr>
        <w:t>.</w:t>
      </w:r>
      <w:r w:rsidRPr="00C62D22">
        <w:rPr>
          <w:noProof/>
          <w:sz w:val="28"/>
          <w:szCs w:val="28"/>
          <w:lang w:val="uk-UA"/>
        </w:rPr>
        <w:pict>
          <v:shape id="_x0000_s1195" type="#_x0000_t202" style="position:absolute;left:0;text-align:left;margin-left:-27pt;margin-top:51.9pt;width:45pt;height:6in;z-index:251830272;mso-position-horizontal-relative:text;mso-position-vertical-relative:text" filled="f" stroked="f" strokecolor="white">
            <v:textbox style="mso-next-textbox:#_x0000_s1195">
              <w:txbxContent>
                <w:p w:rsidR="006E5FD4" w:rsidRPr="0088567D" w:rsidRDefault="006E5FD4" w:rsidP="006E5FD4">
                  <w:pPr>
                    <w:rPr>
                      <w:szCs w:val="28"/>
                    </w:rPr>
                  </w:pPr>
                </w:p>
              </w:txbxContent>
            </v:textbox>
          </v:shape>
        </w:pict>
      </w:r>
    </w:p>
    <w:p w:rsidR="006E5FD4" w:rsidRPr="00C62D22" w:rsidRDefault="006E5FD4" w:rsidP="006E5FD4">
      <w:pPr>
        <w:shd w:val="clear" w:color="auto" w:fill="FFFFFF"/>
        <w:autoSpaceDE w:val="0"/>
        <w:autoSpaceDN w:val="0"/>
        <w:adjustRightInd w:val="0"/>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Додатково до порожнини підводили дренаж у вигляді U-подiбноï дренажноï трубки, над ним – гумову рукавицю, а розсічені стінки ПК підшивали до парiєтальноï очеревини. Трубку та рукавицю виводили через окрему контрапертуру й фіксували до шкіри, черевну порожнину зашивали наглухо. Рукавицю знімали на 4 добу, а трубку – до припинення за нею виділень. При цьому підвищення ефективності хірургічного лікування гострих ПК ПЗ відбувалося за рахунок біологічної облітерації порожнини пасмом великого чепця, зменшенням вірогідності виникнення арозивної кровотечі, абсцедування чи панкреатичної нориці.</w:t>
      </w:r>
    </w:p>
    <w:p w:rsidR="006E5FD4" w:rsidRPr="00C62D22" w:rsidRDefault="006E5FD4" w:rsidP="006E5FD4">
      <w:pPr>
        <w:shd w:val="clear" w:color="auto" w:fill="FFFFFF"/>
        <w:autoSpaceDE w:val="0"/>
        <w:autoSpaceDN w:val="0"/>
        <w:adjustRightInd w:val="0"/>
        <w:spacing w:after="0" w:line="360" w:lineRule="auto"/>
        <w:ind w:firstLine="567"/>
        <w:jc w:val="both"/>
        <w:rPr>
          <w:rFonts w:ascii="Times New Roman" w:hAnsi="Times New Roman" w:cs="Times New Roman"/>
          <w:i/>
          <w:sz w:val="28"/>
          <w:szCs w:val="28"/>
        </w:rPr>
      </w:pPr>
      <w:r w:rsidRPr="00C62D22">
        <w:rPr>
          <w:rFonts w:ascii="Times New Roman" w:hAnsi="Times New Roman" w:cs="Times New Roman"/>
          <w:i/>
          <w:color w:val="000000"/>
          <w:sz w:val="28"/>
          <w:szCs w:val="28"/>
        </w:rPr>
        <w:t>Ефективність способу ілюструє такий приклад.</w:t>
      </w:r>
    </w:p>
    <w:p w:rsidR="006E5FD4" w:rsidRPr="00C62D22" w:rsidRDefault="006E5FD4" w:rsidP="006E5FD4">
      <w:pPr>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 xml:space="preserve">Хворий Н., 38 р, госпіталізований до хірургічного відділення у важкому стані зі скаргами на загальну слабкість, біль в епігастрії, лівому підребер'ї, підвищення температури до 38,5 С, нудоту, блювоту після вживання їжі, зниження ваги до </w:t>
      </w:r>
      <w:smartTag w:uri="urn:schemas-microsoft-com:office:smarttags" w:element="metricconverter">
        <w:smartTagPr>
          <w:attr w:name="ProductID" w:val="7 кг"/>
        </w:smartTagPr>
        <w:r w:rsidRPr="00C62D22">
          <w:rPr>
            <w:rFonts w:ascii="Times New Roman" w:hAnsi="Times New Roman" w:cs="Times New Roman"/>
            <w:sz w:val="28"/>
            <w:szCs w:val="28"/>
          </w:rPr>
          <w:t>7 кг</w:t>
        </w:r>
      </w:smartTag>
      <w:r w:rsidRPr="00C62D22">
        <w:rPr>
          <w:rFonts w:ascii="Times New Roman" w:hAnsi="Times New Roman" w:cs="Times New Roman"/>
          <w:sz w:val="28"/>
          <w:szCs w:val="28"/>
        </w:rPr>
        <w:t xml:space="preserve"> за 4 місяці. В анамнезі – закрита травма живота, забій ПЗ. При пальпації – в епігастральній ділянці визначається пухлиноподібне новоутворення, розмірами 6х8 см, яке поширюється під ліве підребер'я. При УЗД та МСКТ – ознаки гострого деструктивного панкреатиту, ПК голівки-тіла ПЗ, розмірами 65х85 мм, заповнена негомогенною рідиною. При клінічному аналізу крові – лейкоцитоз (19,2х10</w:t>
      </w:r>
      <w:r w:rsidRPr="00C62D22">
        <w:rPr>
          <w:rFonts w:ascii="Times New Roman" w:hAnsi="Times New Roman" w:cs="Times New Roman"/>
          <w:sz w:val="28"/>
          <w:szCs w:val="28"/>
          <w:vertAlign w:val="superscript"/>
        </w:rPr>
        <w:t>9</w:t>
      </w:r>
      <w:r w:rsidRPr="00C62D22">
        <w:rPr>
          <w:rFonts w:ascii="Times New Roman" w:hAnsi="Times New Roman" w:cs="Times New Roman"/>
          <w:sz w:val="28"/>
          <w:szCs w:val="28"/>
        </w:rPr>
        <w:t xml:space="preserve">/л) зі зсувом лейкоцитарної формули вліво, прискорення ШОЕ до 42 мм/год. У біохімічних аналізах крові – амілаза – 106 г*г/л. Виконана пункція ПК під контролем УЗД. Отримано до 650 мл світло-зеленої рідини з різким запахом, з гноєм, амілаза рідини – 240 г*г/л. Хворому проведено консервативне лікування: антибіотики, знеболюючі, антисекреторні засоби, інфузійна терапія. Стан хворого покращився. Через 3 доби проведено контрольне УЗД. Порожнина ПК розмірами до </w:t>
      </w:r>
      <w:smartTag w:uri="urn:schemas-microsoft-com:office:smarttags" w:element="metricconverter">
        <w:smartTagPr>
          <w:attr w:name="ProductID" w:val="6 см"/>
        </w:smartTagPr>
        <w:r w:rsidRPr="00C62D22">
          <w:rPr>
            <w:rFonts w:ascii="Times New Roman" w:hAnsi="Times New Roman" w:cs="Times New Roman"/>
            <w:sz w:val="28"/>
            <w:szCs w:val="28"/>
          </w:rPr>
          <w:t>6 см</w:t>
        </w:r>
      </w:smartTag>
      <w:r w:rsidRPr="00C62D22">
        <w:rPr>
          <w:rFonts w:ascii="Times New Roman" w:hAnsi="Times New Roman" w:cs="Times New Roman"/>
          <w:sz w:val="28"/>
          <w:szCs w:val="28"/>
        </w:rPr>
        <w:t xml:space="preserve"> у діаметрі, заповнена негомогенною рідиною. Виконано верхньо-серединну лапаротомію. ДПК мобілізована за Кохером. Розкрита чепцева сумка. До порожнини ПК введено пункційну голку. Виконано розсічення порожнини кісти впродовж голки. Евакуйовано до 300 мл світлої серозної рідини з домішками гною (амілаза рідини 140 г*г/л), після цього висічена частина стінки ПК з експрес-морфологічним </w:t>
      </w:r>
      <w:r w:rsidRPr="00C62D22">
        <w:rPr>
          <w:rFonts w:ascii="Times New Roman" w:hAnsi="Times New Roman" w:cs="Times New Roman"/>
          <w:sz w:val="28"/>
          <w:szCs w:val="28"/>
        </w:rPr>
        <w:lastRenderedPageBreak/>
        <w:t>дослідженням (біопсія – грануляційна тканина з лімфогістіоцитарною інфільтрацією). Порожнина утворення санована, тампонована пасмом великого чепця.</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 xml:space="preserve">Додатково до порожнини підводили дренаж у вигляді U-подiбноï дренажної трубки, а над ним – гумову рукавицю. Стінки ПК підшивали до парiєтальноï очеревини. Трубку та рукавицю виводили через окрему контрапертуру й фіксували до шкіри, черевну порожнину зашили наглухо. У післяопераційний період через дренажі виділялося впродовж 6 діб-до 30-50 мл серозної рідини. Дренажі додатково санували розчином антисептику. Рукавицю зняли на 4 добу, а трубку – до припинення за нею виділень. При контрольній перевірці через 6 міс, 1 та 1,5 роки скарг не було, хворий дотримується дієти та замісної терапії. При контрольному УЗД та МСКТ ПК та нориць у ділянці ПЗ не виявлено. </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Пацієнту з гострим панкреонекрозом, ПК ПЗ, тромбозом селезінкової вени, панкреатогенним асцитом-перитонітом, після зовнішнього крізьшкірного дренування, у якості ІІ етапу, на 12 добу виконана лапаротомія, санація та дренування черевної порожнини, та у зв’язку з прогресуванням перитоніту через 14 діб – релапаротомію, санацію та редренування черевної порожнини (рис. 7.9).</w:t>
      </w:r>
    </w:p>
    <w:p w:rsidR="006E5FD4" w:rsidRPr="00C62D22" w:rsidRDefault="006E5FD4" w:rsidP="006E5FD4">
      <w:pPr>
        <w:spacing w:after="0" w:line="360" w:lineRule="auto"/>
        <w:ind w:firstLine="709"/>
        <w:jc w:val="both"/>
        <w:rPr>
          <w:rFonts w:ascii="Times New Roman" w:hAnsi="Times New Roman" w:cs="Times New Roman"/>
          <w:sz w:val="28"/>
          <w:szCs w:val="28"/>
        </w:rPr>
      </w:pPr>
    </w:p>
    <w:p w:rsidR="006E5FD4" w:rsidRPr="00C62D22" w:rsidRDefault="006E5FD4"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048125" cy="2676525"/>
            <wp:effectExtent l="19050" t="0" r="9525" b="0"/>
            <wp:docPr id="196" name="Рисунок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92" cstate="print"/>
                    <a:srcRect/>
                    <a:stretch>
                      <a:fillRect/>
                    </a:stretch>
                  </pic:blipFill>
                  <pic:spPr bwMode="auto">
                    <a:xfrm>
                      <a:off x="0" y="0"/>
                      <a:ext cx="4048125" cy="2676525"/>
                    </a:xfrm>
                    <a:prstGeom prst="rect">
                      <a:avLst/>
                    </a:prstGeom>
                    <a:noFill/>
                    <a:ln w="9525">
                      <a:noFill/>
                      <a:miter lim="800000"/>
                      <a:headEnd/>
                      <a:tailEnd/>
                    </a:ln>
                  </pic:spPr>
                </pic:pic>
              </a:graphicData>
            </a:graphic>
          </wp:inline>
        </w:drawing>
      </w:r>
    </w:p>
    <w:p w:rsidR="006E5FD4" w:rsidRPr="00C62D22" w:rsidRDefault="006E5FD4" w:rsidP="006E5FD4">
      <w:pPr>
        <w:spacing w:after="0" w:line="360" w:lineRule="auto"/>
        <w:ind w:firstLine="709"/>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210" type="#_x0000_t202" style="position:absolute;left:0;text-align:left;margin-left:-5.7pt;margin-top:-.15pt;width:515pt;height:36pt;z-index:251845632" stroked="f">
            <v:textbox style="mso-next-textbox:#_x0000_s1210">
              <w:txbxContent>
                <w:p w:rsidR="006E5FD4" w:rsidRPr="00F33A82" w:rsidRDefault="006E5FD4" w:rsidP="006E5FD4">
                  <w:pPr>
                    <w:ind w:firstLine="540"/>
                    <w:jc w:val="right"/>
                    <w:rPr>
                      <w:rFonts w:ascii="Times New Roman" w:hAnsi="Times New Roman"/>
                      <w:sz w:val="28"/>
                      <w:szCs w:val="28"/>
                    </w:rPr>
                  </w:pPr>
                  <w:r>
                    <w:rPr>
                      <w:rFonts w:ascii="Times New Roman" w:hAnsi="Times New Roman"/>
                      <w:sz w:val="28"/>
                      <w:szCs w:val="28"/>
                    </w:rPr>
                    <w:t>Рис. 7.9</w:t>
                  </w:r>
                  <w:r w:rsidRPr="00F33A82">
                    <w:rPr>
                      <w:rFonts w:ascii="Times New Roman" w:hAnsi="Times New Roman"/>
                      <w:sz w:val="28"/>
                      <w:szCs w:val="28"/>
                    </w:rPr>
                    <w:t>. Релапаротомія, санація та редренування черевної порожнини</w:t>
                  </w:r>
                </w:p>
              </w:txbxContent>
            </v:textbox>
          </v:shape>
        </w:pict>
      </w:r>
    </w:p>
    <w:p w:rsidR="006E5FD4" w:rsidRPr="00C62D22" w:rsidRDefault="006E5FD4" w:rsidP="006E5FD4">
      <w:pPr>
        <w:spacing w:after="0" w:line="240" w:lineRule="auto"/>
        <w:ind w:firstLine="709"/>
        <w:jc w:val="both"/>
        <w:rPr>
          <w:rFonts w:ascii="Times New Roman" w:hAnsi="Times New Roman" w:cs="Times New Roman"/>
          <w:sz w:val="28"/>
          <w:szCs w:val="28"/>
        </w:rPr>
      </w:pP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1-му хворому з гострим асептичним панкреонекрозом, тромбозом селезінкової вени та ВПГ, після пункції під контролем УЗД, на 9 добу, після стабілізації стану хворого, виконано лапаротомію, НСЕ з дренуванням чепцевої сумки за Бегером. 1-му хворому з ГП, напруженою посттравматичною ПК голівки ПЗ з інфікуванням вмісту виконано пункції під контролем УЗД, з метою декомпресії ПК та попередження її розриву, та в подальшому, після сформування стінки ПК виконано лапаротомію, ЦЄС за Ру. В 1-го хворого з ПК ПЗ, ускладненою компресією шлунка, після пункції ПК під контролем УЗД напруженої ПК, з метою декомпресії та попередження її розриву, після формування стінки ПК виконано, у якості ІІ етапу, лапаротомію, ЦПЄС. В 1-го хворого з тотальним інфікованим панкреонекрозом, ПК ПЗ, що деформувала шлунок та ДПК, гострим розповсюдженим фібринозним перитонітом, абдомінальним сепсисом, після пункції ПК під контролем УЗД, у якості ІІ етапу, виконано лапаротомію, НСЕ, санацію та дренування черевної порожнини. В 2-ох пацієнтів з ПК ПЗ, ускладненими кровотечею, після пункцій ПК ПЗ під контролем УЗД, у якості ІІ етапу, після стабілізації стану, виконані лапаротомії, ЦЄС за Ру. В 1-го хворого з гострим інфікованим панкреонекрозом, ПК ПЗ, ускладненою кровотечею в її порожнину та перфорацією, розповсюдженим серозно-фібринозним перитонітом, у якості І етапу, виконано пункцію із зовнішнім дренування ПК під контролем УЗД за типом «pig tail», з подальшою лапаротомією, санацією, дренуванням черевної порожнини та тампонування порожнини ПК за методикою клініки, у якості ІІ етапу (Патент України на корисну модель № 95265 від 10.12.2014. «Cпосiб хiрургiчного лiкування гострих псевдокiст пiдшлунковоï залози ускладнених арозивною кровотечею у порожнину псевдокісти»). </w:t>
      </w:r>
    </w:p>
    <w:p w:rsidR="006E5FD4" w:rsidRPr="00C62D22" w:rsidRDefault="006E5FD4" w:rsidP="006E5FD4">
      <w:pPr>
        <w:pStyle w:val="a5"/>
        <w:tabs>
          <w:tab w:val="left" w:pos="4395"/>
        </w:tabs>
        <w:spacing w:before="0" w:beforeAutospacing="0" w:after="0" w:afterAutospacing="0" w:line="360" w:lineRule="auto"/>
        <w:ind w:firstLine="567"/>
        <w:jc w:val="both"/>
        <w:rPr>
          <w:i/>
          <w:sz w:val="28"/>
          <w:szCs w:val="28"/>
          <w:lang w:val="uk-UA"/>
        </w:rPr>
      </w:pPr>
      <w:r w:rsidRPr="00C62D22">
        <w:rPr>
          <w:i/>
          <w:sz w:val="28"/>
          <w:szCs w:val="28"/>
          <w:lang w:val="uk-UA"/>
        </w:rPr>
        <w:t>Спосіб виконували таким чином.</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 xml:space="preserve">При наявності у хворого ПЗ при підозрі на кровотечу в її порожнину, попередньо виконували її пункцію під наглядом УЗД. При цьому визначали рівень амілази рідини та характер рідини. Спостерігали за станом хворого, і після його стабілізації виконували верхньо-серединну лапаротомію. Після ревізії органів черевної порожнини мобілізували ДПК за Кохером. Розкривали чепцеву сумку. </w:t>
      </w:r>
      <w:r w:rsidRPr="00C62D22">
        <w:rPr>
          <w:rFonts w:ascii="Times New Roman" w:hAnsi="Times New Roman" w:cs="Times New Roman"/>
          <w:sz w:val="28"/>
          <w:szCs w:val="28"/>
        </w:rPr>
        <w:lastRenderedPageBreak/>
        <w:t xml:space="preserve">Порожнину ПК пунктували, розсікали впродовж голки, проводили її санацію, гемостаз арозивних судин та експрес-біопсію ділянки ПК (рис. 7.10). </w:t>
      </w:r>
    </w:p>
    <w:p w:rsidR="006E5FD4" w:rsidRPr="00C62D22" w:rsidRDefault="006E5FD4" w:rsidP="006E5FD4">
      <w:pPr>
        <w:spacing w:after="0" w:line="360" w:lineRule="auto"/>
        <w:ind w:firstLine="708"/>
        <w:jc w:val="both"/>
        <w:rPr>
          <w:rFonts w:ascii="Times New Roman" w:hAnsi="Times New Roman" w:cs="Times New Roman"/>
          <w:sz w:val="28"/>
          <w:szCs w:val="28"/>
        </w:rPr>
      </w:pPr>
    </w:p>
    <w:p w:rsidR="006E5FD4" w:rsidRPr="00C62D22" w:rsidRDefault="00C62D22"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211" type="#_x0000_t202" style="position:absolute;left:0;text-align:left;margin-left:-3.45pt;margin-top:209.1pt;width:513pt;height:97.5pt;z-index:251846656" stroked="f">
            <v:textbox style="mso-next-textbox:#_x0000_s1211">
              <w:txbxContent>
                <w:p w:rsidR="006E5FD4" w:rsidRPr="00F33A82" w:rsidRDefault="006E5FD4" w:rsidP="006E5FD4">
                  <w:pPr>
                    <w:pStyle w:val="a5"/>
                    <w:tabs>
                      <w:tab w:val="left" w:pos="4395"/>
                    </w:tabs>
                    <w:spacing w:before="0" w:beforeAutospacing="0" w:after="0" w:afterAutospacing="0" w:line="360" w:lineRule="auto"/>
                    <w:jc w:val="right"/>
                    <w:rPr>
                      <w:sz w:val="28"/>
                      <w:szCs w:val="28"/>
                      <w:lang w:val="uk-UA"/>
                    </w:rPr>
                  </w:pPr>
                  <w:r>
                    <w:rPr>
                      <w:sz w:val="28"/>
                      <w:szCs w:val="28"/>
                    </w:rPr>
                    <w:t>Рис. 7.</w:t>
                  </w:r>
                  <w:r>
                    <w:rPr>
                      <w:sz w:val="28"/>
                      <w:szCs w:val="28"/>
                      <w:lang w:val="uk-UA"/>
                    </w:rPr>
                    <w:t>10</w:t>
                  </w:r>
                  <w:r w:rsidRPr="00F33A82">
                    <w:rPr>
                      <w:sz w:val="28"/>
                      <w:szCs w:val="28"/>
                    </w:rPr>
                    <w:t xml:space="preserve">. Етап виконання </w:t>
                  </w:r>
                  <w:r w:rsidRPr="00F33A82">
                    <w:rPr>
                      <w:sz w:val="28"/>
                      <w:szCs w:val="28"/>
                      <w:lang w:val="uk-UA"/>
                    </w:rPr>
                    <w:t>«</w:t>
                  </w:r>
                  <w:r w:rsidRPr="00F33A82">
                    <w:rPr>
                      <w:sz w:val="28"/>
                      <w:szCs w:val="28"/>
                    </w:rPr>
                    <w:t>C</w:t>
                  </w:r>
                  <w:r w:rsidRPr="00F33A82">
                    <w:rPr>
                      <w:sz w:val="28"/>
                      <w:szCs w:val="28"/>
                      <w:lang w:val="uk-UA"/>
                    </w:rPr>
                    <w:t>пособу х</w:t>
                  </w:r>
                  <w:r w:rsidRPr="00F33A82">
                    <w:rPr>
                      <w:sz w:val="28"/>
                      <w:szCs w:val="28"/>
                    </w:rPr>
                    <w:t>i</w:t>
                  </w:r>
                  <w:r w:rsidRPr="00F33A82">
                    <w:rPr>
                      <w:sz w:val="28"/>
                      <w:szCs w:val="28"/>
                      <w:lang w:val="uk-UA"/>
                    </w:rPr>
                    <w:t>рург</w:t>
                  </w:r>
                  <w:r w:rsidRPr="00F33A82">
                    <w:rPr>
                      <w:sz w:val="28"/>
                      <w:szCs w:val="28"/>
                    </w:rPr>
                    <w:t>i</w:t>
                  </w:r>
                  <w:r w:rsidRPr="00F33A82">
                    <w:rPr>
                      <w:sz w:val="28"/>
                      <w:szCs w:val="28"/>
                      <w:lang w:val="uk-UA"/>
                    </w:rPr>
                    <w:t>чного л</w:t>
                  </w:r>
                  <w:r w:rsidRPr="00F33A82">
                    <w:rPr>
                      <w:sz w:val="28"/>
                      <w:szCs w:val="28"/>
                    </w:rPr>
                    <w:t>i</w:t>
                  </w:r>
                  <w:r w:rsidRPr="00F33A82">
                    <w:rPr>
                      <w:sz w:val="28"/>
                      <w:szCs w:val="28"/>
                      <w:lang w:val="uk-UA"/>
                    </w:rPr>
                    <w:t>кування гострих псевдок</w:t>
                  </w:r>
                  <w:r w:rsidRPr="00F33A82">
                    <w:rPr>
                      <w:sz w:val="28"/>
                      <w:szCs w:val="28"/>
                    </w:rPr>
                    <w:t>i</w:t>
                  </w:r>
                  <w:r w:rsidRPr="00F33A82">
                    <w:rPr>
                      <w:sz w:val="28"/>
                      <w:szCs w:val="28"/>
                      <w:lang w:val="uk-UA"/>
                    </w:rPr>
                    <w:t>ст п</w:t>
                  </w:r>
                  <w:r w:rsidRPr="00F33A82">
                    <w:rPr>
                      <w:sz w:val="28"/>
                      <w:szCs w:val="28"/>
                    </w:rPr>
                    <w:t>i</w:t>
                  </w:r>
                  <w:r w:rsidRPr="00F33A82">
                    <w:rPr>
                      <w:sz w:val="28"/>
                      <w:szCs w:val="28"/>
                      <w:lang w:val="uk-UA"/>
                    </w:rPr>
                    <w:t>дшлунковоï залози</w:t>
                  </w:r>
                  <w:r>
                    <w:rPr>
                      <w:sz w:val="28"/>
                      <w:szCs w:val="28"/>
                      <w:lang w:val="uk-UA"/>
                    </w:rPr>
                    <w:t>,</w:t>
                  </w:r>
                  <w:r w:rsidRPr="00F33A82">
                    <w:rPr>
                      <w:sz w:val="28"/>
                      <w:szCs w:val="28"/>
                      <w:lang w:val="uk-UA"/>
                    </w:rPr>
                    <w:t xml:space="preserve"> ус</w:t>
                  </w:r>
                  <w:r>
                    <w:rPr>
                      <w:sz w:val="28"/>
                      <w:szCs w:val="28"/>
                      <w:lang w:val="uk-UA"/>
                    </w:rPr>
                    <w:t>кладнених арозивною кровотечею в</w:t>
                  </w:r>
                  <w:r w:rsidRPr="00F33A82">
                    <w:rPr>
                      <w:sz w:val="28"/>
                      <w:szCs w:val="28"/>
                      <w:lang w:val="uk-UA"/>
                    </w:rPr>
                    <w:t xml:space="preserve"> порожнину псевдокісти»: розкриття порожнини ПК (</w:t>
                  </w:r>
                  <w:r>
                    <w:rPr>
                      <w:sz w:val="28"/>
                      <w:szCs w:val="28"/>
                      <w:lang w:val="uk-UA"/>
                    </w:rPr>
                    <w:t>у</w:t>
                  </w:r>
                  <w:r w:rsidRPr="00F33A82">
                    <w:rPr>
                      <w:sz w:val="28"/>
                      <w:szCs w:val="28"/>
                      <w:lang w:val="uk-UA"/>
                    </w:rPr>
                    <w:t xml:space="preserve">казана </w:t>
                  </w:r>
                  <w:r>
                    <w:rPr>
                      <w:sz w:val="28"/>
                      <w:szCs w:val="28"/>
                      <w:lang w:val="uk-UA"/>
                    </w:rPr>
                    <w:t xml:space="preserve">жовтою </w:t>
                  </w:r>
                  <w:r w:rsidRPr="00F33A82">
                    <w:rPr>
                      <w:sz w:val="28"/>
                      <w:szCs w:val="28"/>
                      <w:lang w:val="uk-UA"/>
                    </w:rPr>
                    <w:t>стрілкою),</w:t>
                  </w:r>
                  <w:r>
                    <w:rPr>
                      <w:sz w:val="28"/>
                      <w:szCs w:val="28"/>
                      <w:lang w:val="uk-UA"/>
                    </w:rPr>
                    <w:t xml:space="preserve"> гемостаз судин (указано білою стріл</w:t>
                  </w:r>
                  <w:r w:rsidRPr="00F33A82">
                    <w:rPr>
                      <w:sz w:val="28"/>
                      <w:szCs w:val="28"/>
                      <w:lang w:val="uk-UA"/>
                    </w:rPr>
                    <w:t>кою)</w:t>
                  </w:r>
                </w:p>
                <w:p w:rsidR="006E5FD4" w:rsidRDefault="006E5FD4" w:rsidP="006E5FD4"/>
              </w:txbxContent>
            </v:textbox>
          </v:shape>
        </w:pict>
      </w:r>
      <w:r w:rsidR="006E5FD4" w:rsidRPr="00C62D22">
        <w:rPr>
          <w:rFonts w:ascii="Times New Roman" w:hAnsi="Times New Roman" w:cs="Times New Roman"/>
          <w:sz w:val="28"/>
          <w:szCs w:val="28"/>
        </w:rPr>
        <w:t xml:space="preserve">  </w:t>
      </w:r>
      <w:r w:rsidR="006E5FD4" w:rsidRPr="00C62D22">
        <w:rPr>
          <w:rFonts w:ascii="Times New Roman" w:hAnsi="Times New Roman" w:cs="Times New Roman"/>
          <w:noProof/>
          <w:sz w:val="28"/>
          <w:szCs w:val="28"/>
        </w:rPr>
        <w:drawing>
          <wp:inline distT="0" distB="0" distL="0" distR="0">
            <wp:extent cx="4143375" cy="2647950"/>
            <wp:effectExtent l="19050" t="0" r="9525" b="0"/>
            <wp:docPr id="197" name="Рисунок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93"/>
                    <a:srcRect/>
                    <a:stretch>
                      <a:fillRect/>
                    </a:stretch>
                  </pic:blipFill>
                  <pic:spPr bwMode="auto">
                    <a:xfrm>
                      <a:off x="0" y="0"/>
                      <a:ext cx="4143375" cy="2647950"/>
                    </a:xfrm>
                    <a:prstGeom prst="rect">
                      <a:avLst/>
                    </a:prstGeom>
                    <a:noFill/>
                    <a:ln w="9525">
                      <a:noFill/>
                      <a:miter lim="800000"/>
                      <a:headEnd/>
                      <a:tailEnd/>
                    </a:ln>
                  </pic:spPr>
                </pic:pic>
              </a:graphicData>
            </a:graphic>
          </wp:inline>
        </w:drawing>
      </w:r>
    </w:p>
    <w:p w:rsidR="006E5FD4" w:rsidRPr="00C62D22" w:rsidRDefault="006E5FD4" w:rsidP="006E5FD4">
      <w:pPr>
        <w:spacing w:after="0" w:line="360" w:lineRule="auto"/>
        <w:ind w:right="459"/>
        <w:rPr>
          <w:rFonts w:ascii="Times New Roman" w:hAnsi="Times New Roman" w:cs="Times New Roman"/>
          <w:sz w:val="28"/>
          <w:szCs w:val="28"/>
        </w:rPr>
      </w:pPr>
    </w:p>
    <w:p w:rsidR="006E5FD4" w:rsidRPr="00C62D22" w:rsidRDefault="006E5FD4" w:rsidP="006E5FD4">
      <w:pPr>
        <w:spacing w:after="0" w:line="360" w:lineRule="auto"/>
        <w:ind w:right="459"/>
        <w:rPr>
          <w:rFonts w:ascii="Times New Roman" w:hAnsi="Times New Roman" w:cs="Times New Roman"/>
          <w:sz w:val="28"/>
          <w:szCs w:val="28"/>
        </w:rPr>
      </w:pPr>
    </w:p>
    <w:p w:rsidR="006E5FD4" w:rsidRPr="00C62D22" w:rsidRDefault="006E5FD4" w:rsidP="006E5FD4">
      <w:pPr>
        <w:spacing w:after="0" w:line="360" w:lineRule="auto"/>
        <w:jc w:val="both"/>
        <w:rPr>
          <w:rFonts w:ascii="Times New Roman" w:hAnsi="Times New Roman" w:cs="Times New Roman"/>
          <w:sz w:val="28"/>
          <w:szCs w:val="28"/>
        </w:rPr>
      </w:pPr>
    </w:p>
    <w:p w:rsidR="006E5FD4" w:rsidRPr="00C62D22" w:rsidRDefault="006E5FD4" w:rsidP="006E5FD4">
      <w:pPr>
        <w:spacing w:after="0" w:line="360" w:lineRule="auto"/>
        <w:jc w:val="both"/>
        <w:rPr>
          <w:rFonts w:ascii="Times New Roman" w:hAnsi="Times New Roman" w:cs="Times New Roman"/>
          <w:sz w:val="28"/>
          <w:szCs w:val="28"/>
        </w:rPr>
      </w:pPr>
    </w:p>
    <w:p w:rsidR="006E5FD4" w:rsidRPr="00C62D22" w:rsidRDefault="006E5FD4" w:rsidP="006E5FD4">
      <w:pPr>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 xml:space="preserve">При відсутності ознак злоякісного новоутворення, попередньо «викроєне» пасмо великого чепця заводили в порожнину ПК з її тампонуванням (рис. 7.11). </w:t>
      </w:r>
    </w:p>
    <w:p w:rsidR="006E5FD4" w:rsidRPr="00C62D22" w:rsidRDefault="006E5FD4" w:rsidP="006E5FD4">
      <w:pPr>
        <w:spacing w:after="0" w:line="240" w:lineRule="auto"/>
        <w:ind w:firstLine="708"/>
        <w:jc w:val="both"/>
        <w:rPr>
          <w:rFonts w:ascii="Times New Roman" w:hAnsi="Times New Roman" w:cs="Times New Roman"/>
          <w:sz w:val="28"/>
          <w:szCs w:val="28"/>
        </w:rPr>
      </w:pPr>
    </w:p>
    <w:p w:rsidR="006E5FD4" w:rsidRPr="00C62D22" w:rsidRDefault="006E5FD4"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200525" cy="2676525"/>
            <wp:effectExtent l="19050" t="0" r="9525" b="0"/>
            <wp:docPr id="198" name="Рисунок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94" cstate="print"/>
                    <a:srcRect/>
                    <a:stretch>
                      <a:fillRect/>
                    </a:stretch>
                  </pic:blipFill>
                  <pic:spPr bwMode="auto">
                    <a:xfrm>
                      <a:off x="0" y="0"/>
                      <a:ext cx="4200525" cy="2676525"/>
                    </a:xfrm>
                    <a:prstGeom prst="rect">
                      <a:avLst/>
                    </a:prstGeom>
                    <a:noFill/>
                    <a:ln w="9525">
                      <a:noFill/>
                      <a:miter lim="800000"/>
                      <a:headEnd/>
                      <a:tailEnd/>
                    </a:ln>
                  </pic:spPr>
                </pic:pic>
              </a:graphicData>
            </a:graphic>
          </wp:inline>
        </w:drawing>
      </w:r>
    </w:p>
    <w:p w:rsidR="006E5FD4" w:rsidRPr="00C62D22" w:rsidRDefault="006E5FD4" w:rsidP="006E5FD4">
      <w:pPr>
        <w:spacing w:after="0" w:line="360" w:lineRule="auto"/>
        <w:ind w:firstLine="708"/>
        <w:jc w:val="both"/>
        <w:rPr>
          <w:rFonts w:ascii="Times New Roman" w:hAnsi="Times New Roman" w:cs="Times New Roman"/>
          <w:sz w:val="28"/>
          <w:szCs w:val="28"/>
        </w:rPr>
      </w:pPr>
      <w:r w:rsidRPr="00C62D22">
        <w:rPr>
          <w:rFonts w:ascii="Times New Roman" w:hAnsi="Times New Roman" w:cs="Times New Roman"/>
          <w:noProof/>
          <w:sz w:val="28"/>
          <w:szCs w:val="28"/>
        </w:rPr>
        <w:pict>
          <v:shape id="_x0000_s1212" type="#_x0000_t202" style="position:absolute;left:0;text-align:left;margin-left:0;margin-top:1.4pt;width:511.05pt;height:103.65pt;z-index:251847680" stroked="f">
            <v:textbox style="mso-next-textbox:#_x0000_s1212">
              <w:txbxContent>
                <w:p w:rsidR="006E5FD4" w:rsidRPr="00B450CA" w:rsidRDefault="006E5FD4" w:rsidP="006E5FD4">
                  <w:pPr>
                    <w:spacing w:line="360" w:lineRule="auto"/>
                    <w:jc w:val="right"/>
                    <w:rPr>
                      <w:rFonts w:ascii="Times New Roman" w:hAnsi="Times New Roman"/>
                      <w:sz w:val="28"/>
                      <w:szCs w:val="28"/>
                    </w:rPr>
                  </w:pPr>
                  <w:r w:rsidRPr="00B450CA">
                    <w:rPr>
                      <w:rFonts w:ascii="Times New Roman" w:hAnsi="Times New Roman"/>
                      <w:sz w:val="28"/>
                      <w:szCs w:val="28"/>
                    </w:rPr>
                    <w:t>Рис.</w:t>
                  </w:r>
                  <w:r>
                    <w:rPr>
                      <w:rFonts w:ascii="Times New Roman" w:hAnsi="Times New Roman"/>
                      <w:sz w:val="28"/>
                      <w:szCs w:val="28"/>
                    </w:rPr>
                    <w:t xml:space="preserve"> 7.11</w:t>
                  </w:r>
                  <w:r w:rsidRPr="00B450CA">
                    <w:rPr>
                      <w:rFonts w:ascii="Times New Roman" w:hAnsi="Times New Roman"/>
                      <w:sz w:val="28"/>
                      <w:szCs w:val="28"/>
                    </w:rPr>
                    <w:t>. Етап виконання «Cпособу хiрургiчного лiкування гострих псевдокiст пiдшлунковоï залози</w:t>
                  </w:r>
                  <w:r>
                    <w:rPr>
                      <w:rFonts w:ascii="Times New Roman" w:hAnsi="Times New Roman"/>
                      <w:sz w:val="28"/>
                      <w:szCs w:val="28"/>
                    </w:rPr>
                    <w:t>,</w:t>
                  </w:r>
                  <w:r w:rsidRPr="00B450CA">
                    <w:rPr>
                      <w:rFonts w:ascii="Times New Roman" w:hAnsi="Times New Roman"/>
                      <w:sz w:val="28"/>
                      <w:szCs w:val="28"/>
                    </w:rPr>
                    <w:t xml:space="preserve"> ус</w:t>
                  </w:r>
                  <w:r>
                    <w:rPr>
                      <w:rFonts w:ascii="Times New Roman" w:hAnsi="Times New Roman"/>
                      <w:sz w:val="28"/>
                      <w:szCs w:val="28"/>
                    </w:rPr>
                    <w:t>кладнених арозивною кровотечею в</w:t>
                  </w:r>
                  <w:r w:rsidRPr="00B450CA">
                    <w:rPr>
                      <w:rFonts w:ascii="Times New Roman" w:hAnsi="Times New Roman"/>
                      <w:sz w:val="28"/>
                      <w:szCs w:val="28"/>
                    </w:rPr>
                    <w:t xml:space="preserve"> порожнину псевдокісти»</w:t>
                  </w:r>
                  <w:r>
                    <w:rPr>
                      <w:rFonts w:ascii="Times New Roman" w:hAnsi="Times New Roman"/>
                      <w:sz w:val="28"/>
                      <w:szCs w:val="28"/>
                    </w:rPr>
                    <w:t>,</w:t>
                  </w:r>
                  <w:r w:rsidRPr="00B450CA">
                    <w:rPr>
                      <w:rFonts w:ascii="Times New Roman" w:hAnsi="Times New Roman"/>
                      <w:sz w:val="28"/>
                      <w:szCs w:val="28"/>
                    </w:rPr>
                    <w:t xml:space="preserve"> «викроєне» пасмо</w:t>
                  </w:r>
                  <w:r>
                    <w:rPr>
                      <w:rFonts w:ascii="Times New Roman" w:hAnsi="Times New Roman"/>
                      <w:sz w:val="28"/>
                      <w:szCs w:val="28"/>
                    </w:rPr>
                    <w:t xml:space="preserve"> великого чепця (указано білою</w:t>
                  </w:r>
                  <w:r w:rsidRPr="00B450CA">
                    <w:rPr>
                      <w:rFonts w:ascii="Times New Roman" w:hAnsi="Times New Roman"/>
                      <w:sz w:val="28"/>
                      <w:szCs w:val="28"/>
                    </w:rPr>
                    <w:t xml:space="preserve"> стрілкою)</w:t>
                  </w:r>
                  <w:r>
                    <w:rPr>
                      <w:rFonts w:ascii="Times New Roman" w:hAnsi="Times New Roman"/>
                      <w:sz w:val="28"/>
                      <w:szCs w:val="28"/>
                    </w:rPr>
                    <w:t>, візуалізується порожнина ПК (у</w:t>
                  </w:r>
                  <w:r w:rsidRPr="00B450CA">
                    <w:rPr>
                      <w:rFonts w:ascii="Times New Roman" w:hAnsi="Times New Roman"/>
                      <w:sz w:val="28"/>
                      <w:szCs w:val="28"/>
                    </w:rPr>
                    <w:t>казано жовтою стрілкою)</w:t>
                  </w:r>
                </w:p>
              </w:txbxContent>
            </v:textbox>
          </v:shape>
        </w:pict>
      </w:r>
    </w:p>
    <w:p w:rsidR="006E5FD4" w:rsidRPr="00C62D22" w:rsidRDefault="006E5FD4" w:rsidP="006E5FD4">
      <w:pPr>
        <w:shd w:val="clear" w:color="auto" w:fill="FFFFFF"/>
        <w:autoSpaceDE w:val="0"/>
        <w:autoSpaceDN w:val="0"/>
        <w:adjustRightInd w:val="0"/>
        <w:spacing w:after="0" w:line="360" w:lineRule="auto"/>
        <w:jc w:val="both"/>
        <w:rPr>
          <w:rFonts w:ascii="Times New Roman" w:hAnsi="Times New Roman" w:cs="Times New Roman"/>
          <w:i/>
          <w:color w:val="000000"/>
          <w:sz w:val="28"/>
          <w:szCs w:val="28"/>
          <w:lang w:val="en-US"/>
        </w:rPr>
      </w:pP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lastRenderedPageBreak/>
        <w:t>Додатково до порожнини підводили дренаж у вигляді U-подiбноï дренажної трубки з марлевим тампоном, та над ним – гумову рукавицю з марлевим тампоном, а стінки ПК підшивали до парiєтальноï очеревини. Трубку, рукавицю та тампони виводили через окрему контрапертуру й фіксували до шкіри, черевну порожнину зашивали наглухо. Рукавицю знімали на 4 добу, а трубку – до припинення за нею виділень. При цьому підвищення ефективності хірургічного лікування гострих ПК ПЗ відбувалося за рахунок біологічної облітерації порожнини пасмом великого чіпця, зменшенням вірогідності виникнення арозивної кровотечі, абсцедування чи панкреатичної нориці.</w:t>
      </w:r>
    </w:p>
    <w:p w:rsidR="006E5FD4" w:rsidRPr="00C62D22" w:rsidRDefault="006E5FD4" w:rsidP="006E5FD4">
      <w:pPr>
        <w:shd w:val="clear" w:color="auto" w:fill="FFFFFF"/>
        <w:autoSpaceDE w:val="0"/>
        <w:autoSpaceDN w:val="0"/>
        <w:adjustRightInd w:val="0"/>
        <w:spacing w:after="0" w:line="360" w:lineRule="auto"/>
        <w:ind w:firstLine="567"/>
        <w:jc w:val="both"/>
        <w:rPr>
          <w:rFonts w:ascii="Times New Roman" w:hAnsi="Times New Roman" w:cs="Times New Roman"/>
          <w:i/>
          <w:sz w:val="28"/>
          <w:szCs w:val="28"/>
        </w:rPr>
      </w:pPr>
      <w:r w:rsidRPr="00C62D22">
        <w:rPr>
          <w:rFonts w:ascii="Times New Roman" w:hAnsi="Times New Roman" w:cs="Times New Roman"/>
          <w:i/>
          <w:color w:val="000000"/>
          <w:sz w:val="28"/>
          <w:szCs w:val="28"/>
        </w:rPr>
        <w:t>Ефективність способу ілюструє такий приклад.</w:t>
      </w:r>
    </w:p>
    <w:p w:rsidR="006E5FD4" w:rsidRPr="00C62D22" w:rsidRDefault="006E5FD4" w:rsidP="006E5FD4">
      <w:pPr>
        <w:spacing w:after="0" w:line="360" w:lineRule="auto"/>
        <w:ind w:firstLine="567"/>
        <w:jc w:val="both"/>
        <w:rPr>
          <w:rFonts w:ascii="Times New Roman" w:hAnsi="Times New Roman" w:cs="Times New Roman"/>
          <w:sz w:val="28"/>
          <w:szCs w:val="28"/>
        </w:rPr>
      </w:pPr>
      <w:r w:rsidRPr="00C62D22">
        <w:rPr>
          <w:rFonts w:ascii="Times New Roman" w:hAnsi="Times New Roman" w:cs="Times New Roman"/>
          <w:sz w:val="28"/>
          <w:szCs w:val="28"/>
        </w:rPr>
        <w:t xml:space="preserve">Хворий К., 29 р, госпіталізований до хірургічного відділення зі скаргами на загальну слабкість, запаморочення, утрату свідомості, біль в епігастрії, лівому підребер'ї. В анамнезі після вживання алкоголю – напад гострого панкреатиту 2 міс назад. При огляді – стан хворого важкий, АТ -100/70 мм рт. ст. В епігастрії визначається пухлиноподібне новоутворення, розмірами до </w:t>
      </w:r>
      <w:smartTag w:uri="urn:schemas-microsoft-com:office:smarttags" w:element="metricconverter">
        <w:smartTagPr>
          <w:attr w:name="ProductID" w:val="5 см"/>
        </w:smartTagPr>
        <w:r w:rsidRPr="00C62D22">
          <w:rPr>
            <w:rFonts w:ascii="Times New Roman" w:hAnsi="Times New Roman" w:cs="Times New Roman"/>
            <w:sz w:val="28"/>
            <w:szCs w:val="28"/>
          </w:rPr>
          <w:t>5 см</w:t>
        </w:r>
      </w:smartTag>
      <w:r w:rsidRPr="00C62D22">
        <w:rPr>
          <w:rFonts w:ascii="Times New Roman" w:hAnsi="Times New Roman" w:cs="Times New Roman"/>
          <w:sz w:val="28"/>
          <w:szCs w:val="28"/>
        </w:rPr>
        <w:t xml:space="preserve"> у діаметрі. При УЗД та МСКТ – ознаки гострого деструктивного панкреатиту, ПК голівки ПЗ, діаметром до </w:t>
      </w:r>
      <w:smartTag w:uri="urn:schemas-microsoft-com:office:smarttags" w:element="metricconverter">
        <w:smartTagPr>
          <w:attr w:name="ProductID" w:val="67 мм"/>
        </w:smartTagPr>
        <w:r w:rsidRPr="00C62D22">
          <w:rPr>
            <w:rFonts w:ascii="Times New Roman" w:hAnsi="Times New Roman" w:cs="Times New Roman"/>
            <w:sz w:val="28"/>
            <w:szCs w:val="28"/>
          </w:rPr>
          <w:t>67 мм</w:t>
        </w:r>
      </w:smartTag>
      <w:r w:rsidRPr="00C62D22">
        <w:rPr>
          <w:rFonts w:ascii="Times New Roman" w:hAnsi="Times New Roman" w:cs="Times New Roman"/>
          <w:sz w:val="28"/>
          <w:szCs w:val="28"/>
        </w:rPr>
        <w:t xml:space="preserve">, з ознаками кровотечі. При допплерографії судин ОЧП – тромбоз гілок черевного стовбура. При клінічному аналізу крові – гемоглобін – 99 г/л, лейкоцити – 6,7х10 </w:t>
      </w:r>
      <w:r w:rsidRPr="00C62D22">
        <w:rPr>
          <w:rFonts w:ascii="Times New Roman" w:hAnsi="Times New Roman" w:cs="Times New Roman"/>
          <w:sz w:val="28"/>
          <w:szCs w:val="28"/>
          <w:vertAlign w:val="superscript"/>
        </w:rPr>
        <w:t>9</w:t>
      </w:r>
      <w:r w:rsidRPr="00C62D22">
        <w:rPr>
          <w:rFonts w:ascii="Times New Roman" w:hAnsi="Times New Roman" w:cs="Times New Roman"/>
          <w:sz w:val="28"/>
          <w:szCs w:val="28"/>
        </w:rPr>
        <w:t xml:space="preserve">/л, прискорення ШОЕ до 12 мм/год. У біохімічному аналізу крові – амілаза – 97 г*г/л. Проведена пункція та зовнішнє дренування ПК під контролем УЗД. Отримано до 450 мл геморагічної рідини з домішками гемолізованої крові, амілаза рідини – 120 г*г/л. Хворому проведено консервативне лікування: антибіотики знеболюючі, антисекреторні засоби, інфузійна терапія, гемостатична терапія. Стан хворого покращився. АТ 130/80 мм рт. ст. Через 3 доби проведено контрольне УЗД. Порожнина ПК розмірами до </w:t>
      </w:r>
      <w:smartTag w:uri="urn:schemas-microsoft-com:office:smarttags" w:element="metricconverter">
        <w:smartTagPr>
          <w:attr w:name="ProductID" w:val="5 см"/>
        </w:smartTagPr>
        <w:r w:rsidRPr="00C62D22">
          <w:rPr>
            <w:rFonts w:ascii="Times New Roman" w:hAnsi="Times New Roman" w:cs="Times New Roman"/>
            <w:sz w:val="28"/>
            <w:szCs w:val="28"/>
          </w:rPr>
          <w:t>5 см</w:t>
        </w:r>
      </w:smartTag>
      <w:r w:rsidRPr="00C62D22">
        <w:rPr>
          <w:rFonts w:ascii="Times New Roman" w:hAnsi="Times New Roman" w:cs="Times New Roman"/>
          <w:sz w:val="28"/>
          <w:szCs w:val="28"/>
        </w:rPr>
        <w:t xml:space="preserve"> у діаметрі, заповнена негомогенною рідиною. Виконано верхньо-серединну лапаротомію. ДПК мобілізована за Кохером. Розкрита чепцева сумка. До порожнини ПК введено пункційну голку. Виконано розсічення порожнини кісти впродовж голки. Евакуйовано до 160 мл серозно-геморагічної рідини (амілаза рідини 60 г*г/л), після цього висічена частина стінки ПК із експрес-морфологічним дослідженням (біопсія </w:t>
      </w:r>
      <w:r w:rsidRPr="00C62D22">
        <w:rPr>
          <w:rFonts w:ascii="Times New Roman" w:hAnsi="Times New Roman" w:cs="Times New Roman"/>
          <w:sz w:val="28"/>
          <w:szCs w:val="28"/>
        </w:rPr>
        <w:lastRenderedPageBreak/>
        <w:t xml:space="preserve">– грануляційна тканина з лімфогістіоцитарною інфільтрацією). Порожнина утворення санована, тампонована пасмом великого чепця (рис. 7.12). </w:t>
      </w:r>
    </w:p>
    <w:p w:rsidR="006E5FD4" w:rsidRPr="00C62D22" w:rsidRDefault="006E5FD4" w:rsidP="006E5FD4">
      <w:pPr>
        <w:spacing w:after="0" w:line="240" w:lineRule="auto"/>
        <w:ind w:firstLine="708"/>
        <w:jc w:val="both"/>
        <w:rPr>
          <w:rFonts w:ascii="Times New Roman" w:hAnsi="Times New Roman" w:cs="Times New Roman"/>
          <w:sz w:val="28"/>
          <w:szCs w:val="28"/>
        </w:rPr>
      </w:pPr>
    </w:p>
    <w:p w:rsidR="006E5FD4" w:rsidRPr="00C62D22" w:rsidRDefault="006E5FD4" w:rsidP="006E5FD4">
      <w:pPr>
        <w:spacing w:after="0" w:line="360" w:lineRule="auto"/>
        <w:jc w:val="center"/>
        <w:rPr>
          <w:rFonts w:ascii="Times New Roman" w:hAnsi="Times New Roman" w:cs="Times New Roman"/>
          <w:sz w:val="28"/>
          <w:szCs w:val="28"/>
        </w:rPr>
      </w:pPr>
      <w:r w:rsidRPr="00C62D22">
        <w:rPr>
          <w:rFonts w:ascii="Times New Roman" w:hAnsi="Times New Roman" w:cs="Times New Roman"/>
          <w:noProof/>
          <w:sz w:val="28"/>
          <w:szCs w:val="28"/>
        </w:rPr>
        <w:pict>
          <v:shape id="_x0000_s1213" type="#_x0000_t13" style="position:absolute;left:0;text-align:left;margin-left:162pt;margin-top:138.4pt;width:99pt;height:26.05pt;z-index:251848704" fillcolor="lime"/>
        </w:pict>
      </w:r>
      <w:r w:rsidRPr="00C62D22">
        <w:rPr>
          <w:rFonts w:ascii="Times New Roman" w:hAnsi="Times New Roman" w:cs="Times New Roman"/>
          <w:noProof/>
          <w:sz w:val="28"/>
          <w:szCs w:val="28"/>
        </w:rPr>
        <w:pict>
          <v:shape id="_x0000_s1214" type="#_x0000_t202" style="position:absolute;left:0;text-align:left;margin-left:9pt;margin-top:209.45pt;width:495pt;height:55pt;z-index:251849728" stroked="f">
            <v:textbox style="mso-next-textbox:#_x0000_s1214">
              <w:txbxContent>
                <w:p w:rsidR="006E5FD4" w:rsidRPr="00B450CA" w:rsidRDefault="006E5FD4" w:rsidP="006E5FD4">
                  <w:pPr>
                    <w:spacing w:line="360" w:lineRule="auto"/>
                    <w:jc w:val="right"/>
                    <w:rPr>
                      <w:rFonts w:ascii="Times New Roman" w:hAnsi="Times New Roman"/>
                      <w:sz w:val="28"/>
                      <w:szCs w:val="28"/>
                    </w:rPr>
                  </w:pPr>
                  <w:r>
                    <w:rPr>
                      <w:rFonts w:ascii="Times New Roman" w:hAnsi="Times New Roman"/>
                      <w:sz w:val="28"/>
                      <w:szCs w:val="28"/>
                    </w:rPr>
                    <w:t>Рис. 7.12</w:t>
                  </w:r>
                  <w:r w:rsidRPr="00B450CA">
                    <w:rPr>
                      <w:rFonts w:ascii="Times New Roman" w:hAnsi="Times New Roman"/>
                      <w:sz w:val="28"/>
                      <w:szCs w:val="28"/>
                    </w:rPr>
                    <w:t>. Порожнина ПК ПЗ тампонована великим чепцем (</w:t>
                  </w:r>
                  <w:r>
                    <w:rPr>
                      <w:rFonts w:ascii="Times New Roman" w:hAnsi="Times New Roman"/>
                      <w:sz w:val="28"/>
                      <w:szCs w:val="28"/>
                    </w:rPr>
                    <w:t>у</w:t>
                  </w:r>
                  <w:r w:rsidRPr="00B450CA">
                    <w:rPr>
                      <w:rFonts w:ascii="Times New Roman" w:hAnsi="Times New Roman"/>
                      <w:sz w:val="28"/>
                      <w:szCs w:val="28"/>
                    </w:rPr>
                    <w:t>казано стрілкою) (Пат. Україн</w:t>
                  </w:r>
                  <w:r>
                    <w:rPr>
                      <w:rFonts w:ascii="Times New Roman" w:hAnsi="Times New Roman"/>
                      <w:sz w:val="28"/>
                      <w:szCs w:val="28"/>
                    </w:rPr>
                    <w:t xml:space="preserve">и на корисну модель № 95265 від </w:t>
                  </w:r>
                  <w:r w:rsidRPr="00B450CA">
                    <w:rPr>
                      <w:rFonts w:ascii="Times New Roman" w:hAnsi="Times New Roman"/>
                      <w:sz w:val="28"/>
                      <w:szCs w:val="28"/>
                    </w:rPr>
                    <w:t>10.12.2014)</w:t>
                  </w:r>
                </w:p>
              </w:txbxContent>
            </v:textbox>
          </v:shape>
        </w:pict>
      </w:r>
      <w:r w:rsidRPr="00C62D22">
        <w:rPr>
          <w:rFonts w:ascii="Times New Roman" w:hAnsi="Times New Roman" w:cs="Times New Roman"/>
          <w:sz w:val="28"/>
          <w:szCs w:val="28"/>
        </w:rPr>
        <w:t xml:space="preserve">     </w:t>
      </w:r>
      <w:r w:rsidRPr="00C62D22">
        <w:rPr>
          <w:rFonts w:ascii="Times New Roman" w:hAnsi="Times New Roman" w:cs="Times New Roman"/>
          <w:noProof/>
          <w:sz w:val="28"/>
          <w:szCs w:val="28"/>
        </w:rPr>
        <w:drawing>
          <wp:inline distT="0" distB="0" distL="0" distR="0">
            <wp:extent cx="4152900" cy="2667000"/>
            <wp:effectExtent l="19050" t="0" r="0" b="0"/>
            <wp:docPr id="199" name="Рисунок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95"/>
                    <a:srcRect/>
                    <a:stretch>
                      <a:fillRect/>
                    </a:stretch>
                  </pic:blipFill>
                  <pic:spPr bwMode="auto">
                    <a:xfrm>
                      <a:off x="0" y="0"/>
                      <a:ext cx="4152900" cy="2667000"/>
                    </a:xfrm>
                    <a:prstGeom prst="rect">
                      <a:avLst/>
                    </a:prstGeom>
                    <a:noFill/>
                    <a:ln w="9525">
                      <a:noFill/>
                      <a:miter lim="800000"/>
                      <a:headEnd/>
                      <a:tailEnd/>
                    </a:ln>
                  </pic:spPr>
                </pic:pic>
              </a:graphicData>
            </a:graphic>
          </wp:inline>
        </w:drawing>
      </w:r>
    </w:p>
    <w:p w:rsidR="00C62D22" w:rsidRPr="00C62D22" w:rsidRDefault="00C62D22" w:rsidP="006E5FD4">
      <w:pPr>
        <w:spacing w:after="0" w:line="360" w:lineRule="auto"/>
        <w:jc w:val="both"/>
        <w:rPr>
          <w:rFonts w:ascii="Times New Roman" w:hAnsi="Times New Roman" w:cs="Times New Roman"/>
          <w:sz w:val="28"/>
          <w:szCs w:val="28"/>
          <w:lang w:val="en-US"/>
        </w:rPr>
      </w:pPr>
    </w:p>
    <w:p w:rsidR="00C62D22" w:rsidRPr="00C62D22" w:rsidRDefault="00C62D22" w:rsidP="006E5FD4">
      <w:pPr>
        <w:spacing w:after="0" w:line="360" w:lineRule="auto"/>
        <w:jc w:val="both"/>
        <w:rPr>
          <w:rFonts w:ascii="Times New Roman" w:hAnsi="Times New Roman" w:cs="Times New Roman"/>
          <w:sz w:val="28"/>
          <w:szCs w:val="28"/>
          <w:lang w:val="en-US"/>
        </w:rPr>
      </w:pPr>
    </w:p>
    <w:p w:rsidR="00C62D22" w:rsidRPr="00C62D22" w:rsidRDefault="00C62D22" w:rsidP="006E5FD4">
      <w:pPr>
        <w:spacing w:after="0" w:line="360" w:lineRule="auto"/>
        <w:jc w:val="both"/>
        <w:rPr>
          <w:rFonts w:ascii="Times New Roman" w:hAnsi="Times New Roman" w:cs="Times New Roman"/>
          <w:sz w:val="28"/>
          <w:szCs w:val="28"/>
          <w:lang w:val="en-US"/>
        </w:rPr>
      </w:pPr>
    </w:p>
    <w:p w:rsidR="006E5FD4" w:rsidRPr="00C62D22" w:rsidRDefault="006E5FD4" w:rsidP="006E5FD4">
      <w:pPr>
        <w:spacing w:after="0" w:line="360" w:lineRule="auto"/>
        <w:jc w:val="both"/>
        <w:rPr>
          <w:rFonts w:ascii="Times New Roman" w:hAnsi="Times New Roman" w:cs="Times New Roman"/>
          <w:sz w:val="28"/>
          <w:szCs w:val="28"/>
        </w:rPr>
      </w:pPr>
      <w:r w:rsidRPr="00C62D22">
        <w:rPr>
          <w:rFonts w:ascii="Times New Roman" w:hAnsi="Times New Roman" w:cs="Times New Roman"/>
          <w:sz w:val="28"/>
          <w:szCs w:val="28"/>
        </w:rPr>
        <w:t>Додатково до порожнини підводили дренаж у вигляді U-подiбноï дренажної трубки з марлевим тампоном, а над ним – гумову рукавицю з марлевим тампоном, стінки ПК підшили до парiєтальноï очеревини. Трубку та рукавицю вивели через окрему контрапертуру й фіксували до шкіри, черевну порожнину зашили наглухо. У післяопераційний період через дренажі виділялося впродовж 6 діб – до 30-50 мл серозно-геморагічної рідини. Дренажі додатково санували розчином антисептику. Рукавицю зняли на 4 добу, а трубку – до припинення з неї виділень. При контрольній перевірці через 6 міс, 1 та 1,5 роки скарг не було, хворий дотримується дієти та замісної терапії. При контрольному УЗД та МСКТ ПК та нориць у ділянці ПЗ не виявлено.</w:t>
      </w:r>
    </w:p>
    <w:p w:rsidR="006E5FD4" w:rsidRPr="00C62D22" w:rsidRDefault="006E5FD4" w:rsidP="006E5FD4">
      <w:pPr>
        <w:spacing w:after="0" w:line="360" w:lineRule="auto"/>
        <w:ind w:firstLine="567"/>
        <w:jc w:val="both"/>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 xml:space="preserve">Таким чином, для хірургічного лікування ускладнених гострих ПК ПЗ, необхідно застосовувати диференційований індивідуальний підхід, з урахуванням загального стану хворого, виду ускладнення, ступеню дисфункції органа SOFA. Застосування мініінвазивних технологій дозволяло відтермінувати «відкриті» </w:t>
      </w:r>
      <w:r w:rsidRPr="00C62D22">
        <w:rPr>
          <w:rFonts w:ascii="Times New Roman" w:eastAsia="GaramondC-Light" w:hAnsi="Times New Roman" w:cs="Times New Roman"/>
          <w:sz w:val="28"/>
          <w:szCs w:val="28"/>
        </w:rPr>
        <w:lastRenderedPageBreak/>
        <w:t xml:space="preserve">втручання та суттєво зменшити терміни перебування хворих у стаціонарі, що мало економічне та соціальне значення. </w:t>
      </w:r>
    </w:p>
    <w:p w:rsidR="006E5FD4" w:rsidRPr="00C62D22" w:rsidRDefault="006E5FD4" w:rsidP="006E5FD4">
      <w:pPr>
        <w:widowControl w:val="0"/>
        <w:shd w:val="clear" w:color="auto" w:fill="FFFFFF"/>
        <w:tabs>
          <w:tab w:val="left" w:pos="1080"/>
        </w:tabs>
        <w:autoSpaceDE w:val="0"/>
        <w:autoSpaceDN w:val="0"/>
        <w:adjustRightInd w:val="0"/>
        <w:spacing w:after="0" w:line="360" w:lineRule="auto"/>
        <w:ind w:left="567"/>
        <w:jc w:val="both"/>
        <w:rPr>
          <w:rFonts w:ascii="Times New Roman" w:hAnsi="Times New Roman" w:cs="Times New Roman"/>
          <w:sz w:val="28"/>
          <w:szCs w:val="28"/>
        </w:rPr>
      </w:pPr>
    </w:p>
    <w:p w:rsidR="00C62D22" w:rsidRPr="00C62D22" w:rsidRDefault="00C62D22">
      <w:pPr>
        <w:rPr>
          <w:rFonts w:ascii="Times New Roman" w:hAnsi="Times New Roman" w:cs="Times New Roman"/>
          <w:sz w:val="28"/>
          <w:szCs w:val="28"/>
        </w:rPr>
      </w:pPr>
      <w:r w:rsidRPr="00C62D22">
        <w:rPr>
          <w:rFonts w:ascii="Times New Roman" w:hAnsi="Times New Roman" w:cs="Times New Roman"/>
          <w:sz w:val="28"/>
          <w:szCs w:val="28"/>
        </w:rPr>
        <w:br w:type="page"/>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lastRenderedPageBreak/>
        <w:t>РОЗДІЛ 8</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ХІРУРГІЧНЕ ЛІКУВАННЯ УСКЛАДНЕНИХ ПСЕВДОКІСТ ПІДШЛУНКОВОЇ ЗАЛОЗИ ДРУГОГО ТИПУ</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p>
    <w:p w:rsidR="00C62D22" w:rsidRPr="00C62D22" w:rsidRDefault="00C62D22" w:rsidP="00C62D22">
      <w:pPr>
        <w:tabs>
          <w:tab w:val="left" w:pos="567"/>
        </w:tabs>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color w:val="000000"/>
          <w:sz w:val="28"/>
          <w:szCs w:val="28"/>
          <w:lang w:val="en-US"/>
        </w:rPr>
        <w:tab/>
      </w:r>
      <w:r w:rsidRPr="00C62D22">
        <w:rPr>
          <w:rFonts w:ascii="Times New Roman" w:eastAsia="Times New Roman" w:hAnsi="Times New Roman" w:cs="Times New Roman"/>
          <w:color w:val="000000"/>
          <w:sz w:val="28"/>
          <w:szCs w:val="28"/>
          <w:lang w:val="uk-UA"/>
        </w:rPr>
        <w:t xml:space="preserve">Для лікування хворих з ПК ПЗ ІІ типу (n=247) була застосована тактика «step-up </w:t>
      </w:r>
      <w:r w:rsidRPr="00C62D22">
        <w:rPr>
          <w:rFonts w:ascii="Times New Roman" w:eastAsia="Times New Roman" w:hAnsi="Times New Roman" w:cs="Times New Roman"/>
          <w:color w:val="000000"/>
          <w:sz w:val="28"/>
          <w:szCs w:val="28"/>
          <w:lang w:val="en-GB"/>
        </w:rPr>
        <w:t>approach</w:t>
      </w:r>
      <w:r w:rsidRPr="00C62D22">
        <w:rPr>
          <w:rFonts w:ascii="Times New Roman" w:eastAsia="Times New Roman" w:hAnsi="Times New Roman" w:cs="Times New Roman"/>
          <w:color w:val="000000"/>
          <w:sz w:val="28"/>
          <w:szCs w:val="28"/>
          <w:lang w:val="uk-UA"/>
        </w:rPr>
        <w:t xml:space="preserve">». У пацієнтів з дисфункцією органа </w:t>
      </w:r>
      <w:r w:rsidRPr="00C62D22">
        <w:rPr>
          <w:rFonts w:ascii="Times New Roman" w:eastAsia="Times New Roman" w:hAnsi="Times New Roman" w:cs="Times New Roman"/>
          <w:sz w:val="28"/>
          <w:szCs w:val="28"/>
          <w:lang w:val="uk-UA"/>
        </w:rPr>
        <w:t xml:space="preserve">(SOFA </w:t>
      </w:r>
      <w:r w:rsidRPr="00C62D22">
        <w:rPr>
          <w:rFonts w:ascii="Times New Roman" w:eastAsia="Times New Roman" w:hAnsi="Times New Roman" w:cs="Times New Roman"/>
          <w:sz w:val="28"/>
          <w:szCs w:val="28"/>
          <w:lang w:val="uk-UA"/>
        </w:rPr>
        <w:sym w:font="Symbol" w:char="003E"/>
      </w:r>
      <w:r w:rsidRPr="00C62D22">
        <w:rPr>
          <w:rFonts w:ascii="Times New Roman" w:eastAsia="Times New Roman" w:hAnsi="Times New Roman" w:cs="Times New Roman"/>
          <w:sz w:val="28"/>
          <w:szCs w:val="28"/>
          <w:lang w:val="uk-UA"/>
        </w:rPr>
        <w:t xml:space="preserve"> 8) з метою «вичікувальної» тактики виконували крізьшкірне або ендоскопічне дренування ПК ПЗ. Хворим з ПК ПЗ з помірною дисфункцією органа (SOFA від 3 до 8), а також пацієнтам з мінімальним хірургічним ризиком, виконували лапаротомію з хірургічною обробкою порожнини ПК та формуванням ЦЕА. Хворим з ПК ПЗ з тонкими стінками виконували зовнішнє дренування їх порожнини з додатковою тампонадою великим чепцем [47, 116, 267]. </w:t>
      </w:r>
    </w:p>
    <w:p w:rsidR="00C62D22" w:rsidRPr="00C62D22" w:rsidRDefault="00C62D22" w:rsidP="00C62D22">
      <w:pPr>
        <w:tabs>
          <w:tab w:val="left" w:pos="4395"/>
        </w:tabs>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8.1. Застосування мініінвазивних методів лікування ускладнених псевдокіст підшлункової залози другого типу</w:t>
      </w:r>
    </w:p>
    <w:p w:rsidR="00C62D22" w:rsidRPr="00C62D22" w:rsidRDefault="00C62D22" w:rsidP="00C62D22">
      <w:pPr>
        <w:spacing w:after="0" w:line="360" w:lineRule="auto"/>
        <w:jc w:val="both"/>
        <w:rPr>
          <w:rFonts w:ascii="Times New Roman" w:eastAsia="Times New Roman" w:hAnsi="Times New Roman" w:cs="Times New Roman"/>
          <w:b/>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Мініінвазивні втручання виконані в 119 (48,2%) хворих з ускладненими ПК ПЗ ІІ типу [41, 42, 198, 354]. Характер мініінвазивних втручань наведений у табл. 8.1.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8.1</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 xml:space="preserve">Характер мініінвазивних втручань у хворих з ускладненими </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ПК ПЗ ІІ типу (n=119)</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1440"/>
        <w:gridCol w:w="1980"/>
        <w:gridCol w:w="1440"/>
      </w:tblGrid>
      <w:tr w:rsidR="00C62D22" w:rsidRPr="00C62D22" w:rsidTr="00E83BB7">
        <w:tc>
          <w:tcPr>
            <w:tcW w:w="52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Втручання</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Кількість</w:t>
            </w:r>
          </w:p>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 хворих</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Мали </w:t>
            </w:r>
          </w:p>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ускладнення</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Померло </w:t>
            </w:r>
          </w:p>
        </w:tc>
      </w:tr>
      <w:tr w:rsidR="00C62D22" w:rsidRPr="00C62D22" w:rsidTr="00E83BB7">
        <w:tc>
          <w:tcPr>
            <w:tcW w:w="522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Пункції ПК ПЗ під контролем УЗД</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55</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19</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22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ЕСГ пункції ПК ПЗ</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16</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22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Ендоскопічна ЦГС із стентуванням</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bl>
    <w:p w:rsidR="00C62D22" w:rsidRPr="00C62D22" w:rsidRDefault="00C62D22" w:rsidP="00C62D22">
      <w:pPr>
        <w:tabs>
          <w:tab w:val="left" w:pos="4395"/>
        </w:tabs>
        <w:spacing w:after="0" w:line="360" w:lineRule="auto"/>
        <w:rPr>
          <w:rFonts w:ascii="Times New Roman" w:eastAsia="Times New Roman" w:hAnsi="Times New Roman" w:cs="Times New Roman"/>
          <w:sz w:val="28"/>
          <w:szCs w:val="28"/>
          <w:lang w:val="en-US"/>
        </w:rPr>
      </w:pPr>
    </w:p>
    <w:p w:rsidR="00C62D22" w:rsidRPr="00C62D22" w:rsidRDefault="00C62D22" w:rsidP="00C62D22">
      <w:pPr>
        <w:tabs>
          <w:tab w:val="left" w:pos="4395"/>
        </w:tabs>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lastRenderedPageBreak/>
        <w:t>Продовження табл. 8.1</w:t>
      </w: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1440"/>
        <w:gridCol w:w="1980"/>
        <w:gridCol w:w="1440"/>
      </w:tblGrid>
      <w:tr w:rsidR="00C62D22" w:rsidRPr="00C62D22" w:rsidTr="00E83BB7">
        <w:trPr>
          <w:trHeight w:val="784"/>
        </w:trPr>
        <w:tc>
          <w:tcPr>
            <w:tcW w:w="522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Ендоскопічна ЦДС</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rPr>
          <w:trHeight w:val="784"/>
        </w:trPr>
        <w:tc>
          <w:tcPr>
            <w:tcW w:w="522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Крізьшкірні дренування ПК ПЗ за типом «pig tail»</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17</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22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Лапароскопічні зовнішні дренування ПК</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22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Лапароскопічні ЦЄС</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22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Крізьшкірне пункційне дренування черевної порожнини під контролем УЗД</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22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РЕО судин</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15</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22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Встановлення стент-графту</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220" w:type="dxa"/>
          </w:tcPr>
          <w:p w:rsidR="00C62D22" w:rsidRPr="00C62D22" w:rsidRDefault="00C62D22" w:rsidP="00C62D22">
            <w:pPr>
              <w:tabs>
                <w:tab w:val="left" w:pos="620"/>
              </w:tabs>
              <w:spacing w:after="0" w:line="360" w:lineRule="auto"/>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Усього</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119</w:t>
            </w:r>
          </w:p>
        </w:tc>
        <w:tc>
          <w:tcPr>
            <w:tcW w:w="19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29</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bl>
    <w:p w:rsidR="00C62D22" w:rsidRPr="00C62D22" w:rsidRDefault="00C62D22" w:rsidP="00C62D22">
      <w:pPr>
        <w:tabs>
          <w:tab w:val="left" w:pos="620"/>
        </w:tabs>
        <w:spacing w:after="0" w:line="360" w:lineRule="auto"/>
        <w:jc w:val="center"/>
        <w:rPr>
          <w:rFonts w:ascii="Times New Roman" w:eastAsia="Times New Roman" w:hAnsi="Times New Roman" w:cs="Times New Roman"/>
          <w:b/>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лікуванні інфікованих ПК ПЗ ІІ типу (36 хворих) 22-ом – виконані пункції під контролем УЗД (рис. 8.1., 8.2), 9-ти – крізьшкірні дренування під контролем УЗД за типом «pig tail» (рис.8.3, 8.4) [41, 130].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rPr>
          <w:rFonts w:ascii="Times New Roman" w:eastAsia="Times New Roman" w:hAnsi="Times New Roman" w:cs="Times New Roman"/>
          <w:b/>
          <w:sz w:val="28"/>
          <w:szCs w:val="28"/>
          <w:lang w:val="uk-UA"/>
        </w:rPr>
      </w:pPr>
      <w:r w:rsidRPr="00C62D22">
        <w:rPr>
          <w:rFonts w:ascii="Times New Roman" w:eastAsia="Times New Roman" w:hAnsi="Times New Roman" w:cs="Times New Roman"/>
          <w:b/>
          <w:noProof/>
          <w:sz w:val="28"/>
          <w:szCs w:val="28"/>
        </w:rPr>
        <w:pict>
          <v:shape id="_x0000_s1258" type="#_x0000_t202" style="position:absolute;margin-left:90pt;margin-top:9pt;width:355.4pt;height:218.2pt;z-index:251852800" stroked="f">
            <v:textbox style="mso-next-textbox:#_x0000_s1258;mso-fit-shape-to-text:t">
              <w:txbxContent>
                <w:p w:rsidR="00C62D22" w:rsidRDefault="00C62D22" w:rsidP="00C62D22">
                  <w:pPr>
                    <w:ind w:right="-160"/>
                    <w:jc w:val="center"/>
                  </w:pPr>
                  <w:r>
                    <w:rPr>
                      <w:noProof/>
                    </w:rPr>
                    <w:drawing>
                      <wp:inline distT="0" distB="0" distL="0" distR="0">
                        <wp:extent cx="4248150" cy="2676525"/>
                        <wp:effectExtent l="19050" t="0" r="0" b="0"/>
                        <wp:docPr id="56"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96"/>
                                <a:srcRect/>
                                <a:stretch>
                                  <a:fillRect/>
                                </a:stretch>
                              </pic:blipFill>
                              <pic:spPr bwMode="auto">
                                <a:xfrm>
                                  <a:off x="0" y="0"/>
                                  <a:ext cx="4248150" cy="2676525"/>
                                </a:xfrm>
                                <a:prstGeom prst="rect">
                                  <a:avLst/>
                                </a:prstGeom>
                                <a:noFill/>
                                <a:ln w="9525">
                                  <a:noFill/>
                                  <a:miter lim="800000"/>
                                  <a:headEnd/>
                                  <a:tailEnd/>
                                </a:ln>
                              </pic:spPr>
                            </pic:pic>
                          </a:graphicData>
                        </a:graphic>
                      </wp:inline>
                    </w:drawing>
                  </w:r>
                </w:p>
              </w:txbxContent>
            </v:textbox>
          </v:shape>
        </w:pic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jc w:val="center"/>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b/>
          <w:noProof/>
          <w:sz w:val="28"/>
          <w:szCs w:val="28"/>
        </w:rPr>
        <w:pict>
          <v:shape id="_x0000_s1259" type="#_x0000_t202" style="position:absolute;margin-left:9pt;margin-top:9pt;width:486pt;height:36pt;z-index:251853824" stroked="f">
            <v:textbox style="mso-next-textbox:#_x0000_s1259">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8.1. Пункція ПК ПЗ під контролем УЗД</w:t>
                  </w:r>
                </w:p>
              </w:txbxContent>
            </v:textbox>
          </v:shape>
        </w:pict>
      </w: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ind w:right="715"/>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64" type="#_x0000_t13" style="position:absolute;left:0;text-align:left;margin-left:153pt;margin-top:90.35pt;width:1in;height:27pt;z-index:251858944" fillcolor="lime"/>
        </w:pic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33850" cy="2905125"/>
            <wp:effectExtent l="19050" t="0" r="0" b="0"/>
            <wp:docPr id="122" name="Рисунок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97"/>
                    <a:srcRect/>
                    <a:stretch>
                      <a:fillRect/>
                    </a:stretch>
                  </pic:blipFill>
                  <pic:spPr bwMode="auto">
                    <a:xfrm>
                      <a:off x="0" y="0"/>
                      <a:ext cx="4133850" cy="290512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63" type="#_x0000_t202" style="position:absolute;left:0;text-align:left;margin-left:9pt;margin-top:-.1pt;width:495pt;height:54pt;z-index:251857920" stroked="f">
            <v:textbox style="mso-next-textbox:#_x0000_s1263">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8.2. Ультрасонографічна візуалізація (стрілкою вказана пункційна голка в порожнині ПК)</w:t>
                  </w: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24325" cy="2895600"/>
            <wp:effectExtent l="19050" t="0" r="9525" b="0"/>
            <wp:docPr id="55" name="Рисунок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98" cstate="print"/>
                    <a:srcRect/>
                    <a:stretch>
                      <a:fillRect/>
                    </a:stretch>
                  </pic:blipFill>
                  <pic:spPr bwMode="auto">
                    <a:xfrm>
                      <a:off x="0" y="0"/>
                      <a:ext cx="4124325" cy="289560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65" type="#_x0000_t202" style="position:absolute;left:0;text-align:left;margin-left:9pt;margin-top:13.45pt;width:495pt;height:45pt;z-index:251859968" stroked="f">
            <v:textbox style="mso-next-textbox:#_x0000_s1265">
              <w:txbxContent>
                <w:p w:rsidR="00C62D22" w:rsidRPr="00C62D22" w:rsidRDefault="00C62D22" w:rsidP="00C62D22">
                  <w:pPr>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 8.3. Санація порожнини інфікованої ПК </w:t>
                  </w: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 xml:space="preserve">    </w:t>
      </w:r>
      <w:r w:rsidRPr="00C62D22">
        <w:rPr>
          <w:rFonts w:ascii="Times New Roman" w:eastAsia="Times New Roman" w:hAnsi="Times New Roman" w:cs="Times New Roman"/>
          <w:noProof/>
          <w:sz w:val="28"/>
          <w:szCs w:val="28"/>
        </w:rPr>
        <w:drawing>
          <wp:inline distT="0" distB="0" distL="0" distR="0">
            <wp:extent cx="4171950" cy="2676525"/>
            <wp:effectExtent l="19050" t="0" r="0" b="0"/>
            <wp:docPr id="54" name="Рисунок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99" cstate="print"/>
                    <a:srcRect/>
                    <a:stretch>
                      <a:fillRect/>
                    </a:stretch>
                  </pic:blipFill>
                  <pic:spPr bwMode="auto">
                    <a:xfrm>
                      <a:off x="0" y="0"/>
                      <a:ext cx="4171950" cy="267652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66" type="#_x0000_t202" style="position:absolute;left:0;text-align:left;margin-left:27pt;margin-top:.9pt;width:477pt;height:27pt;z-index:251860992" stroked="f">
            <v:textbox style="mso-next-textbox:#_x0000_s1266">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8.4. Крізьшкірне дренування ПК за типом «pig tail»</w:t>
                  </w: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11-ти хворим пункції під контролем УЗД виконували повторно, 1-му пацієнту, у якості ІІ етапу лікування, виконано крізьшкірне дренування під контролем УЗД за типом «pig tail» (рис. 8.5).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right="715"/>
        <w:jc w:val="center"/>
        <w:rPr>
          <w:rFonts w:ascii="Times New Roman" w:eastAsia="Times New Roman" w:hAnsi="Times New Roman" w:cs="Times New Roman"/>
          <w:noProof/>
          <w:sz w:val="28"/>
          <w:szCs w:val="28"/>
          <w:lang w:val="uk-UA"/>
        </w:rPr>
      </w:pPr>
      <w:r w:rsidRPr="00C62D22">
        <w:rPr>
          <w:rFonts w:ascii="Times New Roman" w:eastAsia="Times New Roman" w:hAnsi="Times New Roman" w:cs="Times New Roman"/>
          <w:noProof/>
          <w:sz w:val="28"/>
          <w:szCs w:val="28"/>
        </w:rPr>
        <w:pict>
          <v:shape id="_x0000_s1283" type="#_x0000_t202" style="position:absolute;left:0;text-align:left;margin-left:135pt;margin-top:36.9pt;width:27pt;height:36pt;z-index:251878400" filled="f" stroked="f">
            <v:textbox style="mso-next-textbox:#_x0000_s1283">
              <w:txbxContent>
                <w:p w:rsidR="00C62D22" w:rsidRPr="00D04EB0" w:rsidRDefault="00C62D22" w:rsidP="00C62D22">
                  <w:pPr>
                    <w:rPr>
                      <w:b/>
                      <w:color w:val="FFFFFF"/>
                      <w:sz w:val="28"/>
                      <w:szCs w:val="28"/>
                      <w:lang w:val="uk-UA"/>
                    </w:rPr>
                  </w:pPr>
                  <w:r w:rsidRPr="00D04EB0">
                    <w:rPr>
                      <w:b/>
                      <w:color w:val="FFFFFF"/>
                      <w:sz w:val="28"/>
                      <w:szCs w:val="28"/>
                      <w:lang w:val="uk-UA"/>
                    </w:rPr>
                    <w:t>1</w:t>
                  </w:r>
                </w:p>
              </w:txbxContent>
            </v:textbox>
          </v:shape>
        </w:pict>
      </w:r>
      <w:r w:rsidRPr="00C62D22">
        <w:rPr>
          <w:rFonts w:ascii="Times New Roman" w:eastAsia="Times New Roman" w:hAnsi="Times New Roman" w:cs="Times New Roman"/>
          <w:noProof/>
          <w:sz w:val="28"/>
          <w:szCs w:val="28"/>
        </w:rPr>
        <w:pict>
          <v:shape id="_x0000_s1284" type="#_x0000_t202" style="position:absolute;left:0;text-align:left;margin-left:369pt;margin-top:132.05pt;width:36pt;height:27pt;z-index:251879424" filled="f" stroked="f">
            <v:textbox style="mso-next-textbox:#_x0000_s1284">
              <w:txbxContent>
                <w:p w:rsidR="00C62D22" w:rsidRPr="00D04EB0" w:rsidRDefault="00C62D22" w:rsidP="00C62D22">
                  <w:pPr>
                    <w:rPr>
                      <w:b/>
                      <w:color w:val="FFFFFF"/>
                      <w:sz w:val="28"/>
                      <w:szCs w:val="28"/>
                      <w:lang w:val="uk-UA"/>
                    </w:rPr>
                  </w:pPr>
                  <w:r w:rsidRPr="00D04EB0">
                    <w:rPr>
                      <w:b/>
                      <w:color w:val="FFFFFF"/>
                      <w:sz w:val="28"/>
                      <w:szCs w:val="28"/>
                      <w:lang w:val="uk-UA"/>
                    </w:rPr>
                    <w:t>2</w:t>
                  </w:r>
                </w:p>
              </w:txbxContent>
            </v:textbox>
          </v:shape>
        </w:pict>
      </w:r>
      <w:r w:rsidRPr="00C62D22">
        <w:rPr>
          <w:rFonts w:ascii="Times New Roman" w:eastAsia="Times New Roman" w:hAnsi="Times New Roman" w:cs="Times New Roman"/>
          <w:noProof/>
          <w:sz w:val="28"/>
          <w:szCs w:val="28"/>
        </w:rPr>
        <w:pict>
          <v:shape id="_x0000_s1282" type="#_x0000_t66" style="position:absolute;left:0;text-align:left;margin-left:306pt;margin-top:159.05pt;width:1in;height:9pt;z-index:251877376"/>
        </w:pict>
      </w:r>
      <w:r w:rsidRPr="00C62D22">
        <w:rPr>
          <w:rFonts w:ascii="Times New Roman" w:eastAsia="Times New Roman" w:hAnsi="Times New Roman" w:cs="Times New Roman"/>
          <w:noProof/>
          <w:sz w:val="28"/>
          <w:szCs w:val="28"/>
        </w:rPr>
        <w:pict>
          <v:shape id="_x0000_s1285" type="#_x0000_t13" style="position:absolute;left:0;text-align:left;margin-left:153pt;margin-top:63.9pt;width:1in;height:9pt;z-index:251880448"/>
        </w:pict>
      </w:r>
      <w:r w:rsidRPr="00C62D22">
        <w:rPr>
          <w:rFonts w:ascii="Times New Roman" w:eastAsia="Times New Roman" w:hAnsi="Times New Roman" w:cs="Times New Roman"/>
          <w:noProof/>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52900" cy="2676525"/>
            <wp:effectExtent l="19050" t="0" r="0" b="0"/>
            <wp:docPr id="5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0" cstate="print"/>
                    <a:srcRect/>
                    <a:stretch>
                      <a:fillRect/>
                    </a:stretch>
                  </pic:blipFill>
                  <pic:spPr bwMode="auto">
                    <a:xfrm>
                      <a:off x="0" y="0"/>
                      <a:ext cx="4152900" cy="267652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noProof/>
          <w:sz w:val="28"/>
          <w:szCs w:val="28"/>
          <w:lang w:val="uk-UA"/>
        </w:rPr>
      </w:pPr>
      <w:r w:rsidRPr="00C62D22">
        <w:rPr>
          <w:rFonts w:ascii="Times New Roman" w:eastAsia="Times New Roman" w:hAnsi="Times New Roman" w:cs="Times New Roman"/>
          <w:noProof/>
          <w:sz w:val="28"/>
          <w:szCs w:val="28"/>
        </w:rPr>
        <w:pict>
          <v:shape id="_x0000_s1281" type="#_x0000_t202" style="position:absolute;left:0;text-align:left;margin-left:-2pt;margin-top:13.55pt;width:506pt;height:54pt;z-index:251876352" stroked="f">
            <v:textbox style="mso-next-textbox:#_x0000_s1281">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8.5. Фістулографія хворого К., 67 р.: візуалізується порожнина ПК (1), дренаж за типом «pig tail» (2)</w:t>
                  </w:r>
                </w:p>
              </w:txbxContent>
            </v:textbox>
          </v:shape>
        </w:pict>
      </w:r>
    </w:p>
    <w:p w:rsidR="00C62D22" w:rsidRPr="00C62D22" w:rsidRDefault="00C62D22" w:rsidP="00C62D22">
      <w:pPr>
        <w:spacing w:after="0" w:line="360" w:lineRule="auto"/>
        <w:jc w:val="both"/>
        <w:rPr>
          <w:rFonts w:ascii="Times New Roman" w:eastAsia="Times New Roman" w:hAnsi="Times New Roman" w:cs="Times New Roman"/>
          <w:noProof/>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Характер повторних мініінвазивних втручань наведено у табл. 8.2.</w:t>
      </w: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lastRenderedPageBreak/>
        <w:t>Таблиця 8.2</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 xml:space="preserve">Характер повторних мініінвазивних втручань у хворих з ускладненими </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ПК ПЗ ІІ типу</w:t>
      </w:r>
    </w:p>
    <w:tbl>
      <w:tblPr>
        <w:tblW w:w="972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040"/>
        <w:gridCol w:w="1440"/>
        <w:gridCol w:w="1800"/>
        <w:gridCol w:w="1440"/>
      </w:tblGrid>
      <w:tr w:rsidR="00C62D22" w:rsidRPr="00C62D22" w:rsidTr="00E83BB7">
        <w:tc>
          <w:tcPr>
            <w:tcW w:w="50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Втручання</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Кількість</w:t>
            </w:r>
          </w:p>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 хворих</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Мали </w:t>
            </w:r>
          </w:p>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ускладнення</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Померло </w:t>
            </w:r>
          </w:p>
        </w:tc>
      </w:tr>
      <w:tr w:rsidR="00C62D22" w:rsidRPr="00C62D22" w:rsidTr="00E83BB7">
        <w:tc>
          <w:tcPr>
            <w:tcW w:w="5040" w:type="dxa"/>
          </w:tcPr>
          <w:p w:rsidR="00C62D22" w:rsidRPr="00C62D22" w:rsidRDefault="00C62D22" w:rsidP="00C62D22">
            <w:pPr>
              <w:tabs>
                <w:tab w:val="left" w:pos="620"/>
              </w:tabs>
              <w:spacing w:after="0" w:line="360" w:lineRule="auto"/>
              <w:rPr>
                <w:rFonts w:ascii="Times New Roman" w:eastAsia="Times New Roman" w:hAnsi="Times New Roman" w:cs="Times New Roman"/>
                <w:b/>
                <w:sz w:val="28"/>
                <w:szCs w:val="28"/>
                <w:lang w:val="uk-UA"/>
              </w:rPr>
            </w:pPr>
            <w:r w:rsidRPr="00C62D22">
              <w:rPr>
                <w:rFonts w:ascii="Times New Roman" w:eastAsia="Times New Roman" w:hAnsi="Times New Roman" w:cs="Times New Roman"/>
                <w:sz w:val="28"/>
                <w:szCs w:val="28"/>
                <w:lang w:val="uk-UA"/>
              </w:rPr>
              <w:t>Крізьшкірні дренування ПК ПЗ за типом «pig tail»</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04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Пункції ПК під контролем УЗД</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6</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04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ЕСГ пункція ПК</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04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ЕСГ дренування ПК</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04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Ендоскопічна ЦГС із стентуванням</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04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Ендоскопічна ЦДС</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04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РЕО судин</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504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Усього </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22</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144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Найчастіше у хворих в рідині інфікованих ПК ПЗ зустрічалися грамнегативні мікроорганізми, зокрема, Escherichia coli – у 7 (19,5%), умовно-патогенні ентеробактерії: Klebsiella spp. – у 6 (16,7%) та Proteus spp. – у 3 (8,3%). Звертає на себе увагу високий рівень Streptococcus spp. – 5 (13,9%), Pseudomonas spp – 4              (11,1%), Enterococcus spp. – 4 (11,1%). На цьому фоні частота виділення Staphylococcus aureus – 3 (8, %), Bacteroides fragilis – 3 (8,3%) та грибів роду Candida – у 1 (2,8%).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З 36-ти хворих з інфікованими ПК ПЗ І типу, 10 пацієнтів в анамнезі мали оперативні втручання на ПЗ, одному з них попередньо було виконано крізьшкірне трансгастральне дренування ПК ПЗ під контролем УЗД та в післяопераційний період відбулася дислокація дренажу з порожнини ПК у шлунок.</w:t>
      </w: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За останні роки в клініці впроваджується використання ЕСГ та ендоскопічних методів дренувань ПК ПЗ з метою ліквідації біліарної гіпертензії [51, 198]. ЕСГ пункції інфікованих ПК ПЗ виконані 3-м пацієнтам. 1-му хворому виконано </w:t>
      </w:r>
      <w:r w:rsidRPr="00C62D22">
        <w:rPr>
          <w:rFonts w:ascii="Times New Roman" w:eastAsia="Times New Roman" w:hAnsi="Times New Roman" w:cs="Times New Roman"/>
          <w:sz w:val="28"/>
          <w:szCs w:val="28"/>
          <w:lang w:val="uk-UA"/>
        </w:rPr>
        <w:lastRenderedPageBreak/>
        <w:t xml:space="preserve">повторну ЕСГ пункцію, та через 4 доби – виконали ендоскопічну ЦГС за стентуванням. </w:t>
      </w:r>
    </w:p>
    <w:p w:rsidR="00C62D22" w:rsidRPr="00C62D22" w:rsidRDefault="00C62D22" w:rsidP="00C62D22">
      <w:pPr>
        <w:tabs>
          <w:tab w:val="left" w:pos="14570"/>
          <w:tab w:val="left" w:pos="14601"/>
        </w:tabs>
        <w:spacing w:after="0" w:line="360" w:lineRule="auto"/>
        <w:ind w:right="-81"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Обов’язковою умовою для ендоскопічного внутрішнього дренування було щільне прилягання ПК до задньої стінки шлунка й ДПК, та локальне випинання ПК до їх просвіту. Ендоскопічні анастомози формували за допомогою пластикових стентів (7-</w:t>
      </w:r>
      <w:smartTag w:uri="urn:schemas-microsoft-com:office:smarttags" w:element="metricconverter">
        <w:smartTagPr>
          <w:attr w:name="ProductID" w:val="10 F"/>
        </w:smartTagPr>
        <w:r w:rsidRPr="00C62D22">
          <w:rPr>
            <w:rFonts w:ascii="Times New Roman" w:eastAsia="Times New Roman" w:hAnsi="Times New Roman" w:cs="Times New Roman"/>
            <w:sz w:val="28"/>
            <w:szCs w:val="28"/>
            <w:lang w:val="uk-UA"/>
          </w:rPr>
          <w:t xml:space="preserve">10 </w:t>
        </w:r>
        <w:r w:rsidRPr="00C62D22">
          <w:rPr>
            <w:rFonts w:ascii="Times New Roman" w:eastAsia="Times New Roman" w:hAnsi="Times New Roman" w:cs="Times New Roman"/>
            <w:sz w:val="28"/>
            <w:szCs w:val="28"/>
            <w:lang w:val="en-US"/>
          </w:rPr>
          <w:t>F</w:t>
        </w:r>
      </w:smartTag>
      <w:r w:rsidRPr="00C62D22">
        <w:rPr>
          <w:rFonts w:ascii="Times New Roman" w:eastAsia="Times New Roman" w:hAnsi="Times New Roman" w:cs="Times New Roman"/>
          <w:sz w:val="28"/>
          <w:szCs w:val="28"/>
          <w:lang w:val="uk-UA"/>
        </w:rPr>
        <w:t>) за типом «</w:t>
      </w:r>
      <w:r w:rsidRPr="00C62D22">
        <w:rPr>
          <w:rFonts w:ascii="Times New Roman" w:eastAsia="Times New Roman" w:hAnsi="Times New Roman" w:cs="Times New Roman"/>
          <w:sz w:val="28"/>
          <w:szCs w:val="28"/>
          <w:lang w:val="en-US"/>
        </w:rPr>
        <w:t>double</w:t>
      </w:r>
      <w:r w:rsidRPr="00C62D22">
        <w:rPr>
          <w:rFonts w:ascii="Times New Roman" w:eastAsia="Times New Roman" w:hAnsi="Times New Roman" w:cs="Times New Roman"/>
          <w:sz w:val="28"/>
          <w:szCs w:val="28"/>
          <w:lang w:val="uk-UA"/>
        </w:rPr>
        <w:t>-</w:t>
      </w:r>
      <w:r w:rsidRPr="00C62D22">
        <w:rPr>
          <w:rFonts w:ascii="Times New Roman" w:eastAsia="Times New Roman" w:hAnsi="Times New Roman" w:cs="Times New Roman"/>
          <w:sz w:val="28"/>
          <w:szCs w:val="28"/>
          <w:lang w:val="en-US"/>
        </w:rPr>
        <w:t>pig</w: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sz w:val="28"/>
          <w:szCs w:val="28"/>
          <w:lang w:val="en-US"/>
        </w:rPr>
        <w:t>tail</w:t>
      </w:r>
      <w:r w:rsidRPr="00C62D22">
        <w:rPr>
          <w:rFonts w:ascii="Times New Roman" w:eastAsia="Times New Roman" w:hAnsi="Times New Roman" w:cs="Times New Roman"/>
          <w:sz w:val="28"/>
          <w:szCs w:val="28"/>
          <w:lang w:val="uk-UA"/>
        </w:rPr>
        <w:t>» [51]. 1-му хворому, з інфікованою ПК та компресією шлунка, у якості І етапу лікування, виконано ендоскопічну ЦГС із стентуванням (рис. 8.6), у післяопераційний період ПК погано дренувалася, додатково проведено ЕСГ пункцію ПК та через 5 діб – ЕСГ дренування ПК. 2 пацієнтам, яким виконувалися ендоскопічні втручання, мали в анамнезі операції з приводу захворювань ПЗ.</w:t>
      </w: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p>
    <w:p w:rsidR="00C62D22" w:rsidRPr="00C62D22" w:rsidRDefault="00C62D22" w:rsidP="00C62D22">
      <w:pPr>
        <w:tabs>
          <w:tab w:val="left" w:pos="14570"/>
          <w:tab w:val="left" w:pos="14601"/>
        </w:tabs>
        <w:spacing w:after="0" w:line="360" w:lineRule="auto"/>
        <w:ind w:right="-81"/>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76" type="#_x0000_t202" style="position:absolute;left:0;text-align:left;margin-left:0;margin-top:260.15pt;width:507.3pt;height:36pt;z-index:251871232" stroked="f">
            <v:textbox style="mso-next-textbox:#_x0000_s1276">
              <w:txbxContent>
                <w:p w:rsidR="00C62D22" w:rsidRPr="00C62D22" w:rsidRDefault="00C62D22" w:rsidP="00C62D22">
                  <w:pPr>
                    <w:jc w:val="right"/>
                    <w:rPr>
                      <w:rFonts w:ascii="Times New Roman" w:hAnsi="Times New Roman" w:cs="Times New Roman"/>
                      <w:sz w:val="28"/>
                      <w:szCs w:val="28"/>
                      <w:lang w:val="uk-UA"/>
                    </w:rPr>
                  </w:pPr>
                  <w:r w:rsidRPr="00C62D22">
                    <w:rPr>
                      <w:rFonts w:ascii="Times New Roman" w:hAnsi="Times New Roman" w:cs="Times New Roman"/>
                      <w:sz w:val="28"/>
                      <w:szCs w:val="28"/>
                    </w:rPr>
                    <w:t>Рис. 8.</w:t>
                  </w:r>
                  <w:r w:rsidRPr="00C62D22">
                    <w:rPr>
                      <w:rFonts w:ascii="Times New Roman" w:hAnsi="Times New Roman" w:cs="Times New Roman"/>
                      <w:sz w:val="28"/>
                      <w:szCs w:val="28"/>
                      <w:lang w:val="uk-UA"/>
                    </w:rPr>
                    <w:t>6</w:t>
                  </w:r>
                  <w:r w:rsidRPr="00C62D22">
                    <w:rPr>
                      <w:rFonts w:ascii="Times New Roman" w:hAnsi="Times New Roman" w:cs="Times New Roman"/>
                      <w:sz w:val="28"/>
                      <w:szCs w:val="28"/>
                    </w:rPr>
                    <w:t xml:space="preserve">. </w:t>
                  </w:r>
                  <w:r w:rsidRPr="00C62D22">
                    <w:rPr>
                      <w:rFonts w:ascii="Times New Roman" w:hAnsi="Times New Roman" w:cs="Times New Roman"/>
                      <w:sz w:val="28"/>
                      <w:szCs w:val="28"/>
                      <w:lang w:val="uk-UA"/>
                    </w:rPr>
                    <w:t>Е</w:t>
                  </w:r>
                  <w:r w:rsidRPr="00C62D22">
                    <w:rPr>
                      <w:rFonts w:ascii="Times New Roman" w:hAnsi="Times New Roman" w:cs="Times New Roman"/>
                      <w:sz w:val="28"/>
                      <w:szCs w:val="28"/>
                    </w:rPr>
                    <w:t>ндоскоп</w:t>
                  </w:r>
                  <w:r w:rsidRPr="00C62D22">
                    <w:rPr>
                      <w:rFonts w:ascii="Times New Roman" w:hAnsi="Times New Roman" w:cs="Times New Roman"/>
                      <w:sz w:val="28"/>
                      <w:szCs w:val="28"/>
                      <w:lang w:val="uk-UA"/>
                    </w:rPr>
                    <w:t xml:space="preserve">ічна </w:t>
                  </w:r>
                  <w:r w:rsidRPr="00C62D22">
                    <w:rPr>
                      <w:rFonts w:ascii="Times New Roman" w:hAnsi="Times New Roman" w:cs="Times New Roman"/>
                      <w:sz w:val="28"/>
                      <w:szCs w:val="28"/>
                    </w:rPr>
                    <w:t xml:space="preserve">ЦГС </w:t>
                  </w:r>
                  <w:r w:rsidRPr="00C62D22">
                    <w:rPr>
                      <w:rFonts w:ascii="Times New Roman" w:hAnsi="Times New Roman" w:cs="Times New Roman"/>
                      <w:sz w:val="28"/>
                      <w:szCs w:val="28"/>
                      <w:lang w:val="uk-UA"/>
                    </w:rPr>
                    <w:t xml:space="preserve">із стентуванням </w:t>
                  </w:r>
                </w:p>
              </w:txbxContent>
            </v:textbox>
          </v:shape>
        </w:pict>
      </w:r>
      <w:r w:rsidRPr="00C62D22">
        <w:rPr>
          <w:rFonts w:ascii="Times New Roman" w:eastAsia="Times New Roman" w:hAnsi="Times New Roman" w:cs="Times New Roman"/>
          <w:noProof/>
          <w:sz w:val="28"/>
          <w:szCs w:val="28"/>
        </w:rPr>
        <w:drawing>
          <wp:inline distT="0" distB="0" distL="0" distR="0">
            <wp:extent cx="2857500" cy="3209925"/>
            <wp:effectExtent l="19050" t="0" r="0" b="0"/>
            <wp:docPr id="126" name="Рисунок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101">
                      <a:grayscl/>
                    </a:blip>
                    <a:srcRect/>
                    <a:stretch>
                      <a:fillRect/>
                    </a:stretch>
                  </pic:blipFill>
                  <pic:spPr bwMode="auto">
                    <a:xfrm>
                      <a:off x="0" y="0"/>
                      <a:ext cx="2857500" cy="3209925"/>
                    </a:xfrm>
                    <a:prstGeom prst="rect">
                      <a:avLst/>
                    </a:prstGeom>
                    <a:noFill/>
                    <a:ln w="9525">
                      <a:noFill/>
                      <a:miter lim="800000"/>
                      <a:headEnd/>
                      <a:tailEnd/>
                    </a:ln>
                  </pic:spPr>
                </pic:pic>
              </a:graphicData>
            </a:graphic>
          </wp:inline>
        </w:drawing>
      </w:r>
      <w:r w:rsidRPr="00C62D22">
        <w:rPr>
          <w:rFonts w:ascii="Times New Roman" w:eastAsia="Times New Roman" w:hAnsi="Times New Roman" w:cs="Times New Roman"/>
          <w:noProof/>
          <w:sz w:val="28"/>
          <w:szCs w:val="28"/>
        </w:rPr>
        <w:drawing>
          <wp:inline distT="0" distB="0" distL="0" distR="0">
            <wp:extent cx="2828925" cy="3219450"/>
            <wp:effectExtent l="19050" t="0" r="9525" b="0"/>
            <wp:docPr id="127" name="Рисунок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102">
                      <a:grayscl/>
                    </a:blip>
                    <a:srcRect/>
                    <a:stretch>
                      <a:fillRect/>
                    </a:stretch>
                  </pic:blipFill>
                  <pic:spPr bwMode="auto">
                    <a:xfrm>
                      <a:off x="0" y="0"/>
                      <a:ext cx="2828925" cy="3219450"/>
                    </a:xfrm>
                    <a:prstGeom prst="rect">
                      <a:avLst/>
                    </a:prstGeom>
                    <a:noFill/>
                    <a:ln w="9525">
                      <a:noFill/>
                      <a:miter lim="800000"/>
                      <a:headEnd/>
                      <a:tailEnd/>
                    </a:ln>
                  </pic:spPr>
                </pic:pic>
              </a:graphicData>
            </a:graphic>
          </wp:inline>
        </w:drawing>
      </w: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Лапароскопічна ЦЄС виконана 1-му хворому з інфікованою ПК ПЗ. Хворим із ПК ПЗ, ускладнених МЖ (7 пацієнтів), виконані такі мініінвазивні втручання: 2-ом – пункції ПК під контролем УЗД (у післяопераційний період потребували повторних пункцій), 1-му – зовнішнє дренування ПК під контролем УЗД за типом «pig tail», 2-ом – ЕСГ пункції, 1-му – ендоскопічна ЦДС (у післяопераційний період через 2 доби </w:t>
      </w:r>
      <w:r w:rsidRPr="00C62D22">
        <w:rPr>
          <w:rFonts w:ascii="Times New Roman" w:eastAsia="Times New Roman" w:hAnsi="Times New Roman" w:cs="Times New Roman"/>
          <w:sz w:val="28"/>
          <w:szCs w:val="28"/>
          <w:lang w:val="uk-UA"/>
        </w:rPr>
        <w:lastRenderedPageBreak/>
        <w:t>виникла дислокація стенту – повторна ендоскопічна ЦДС). 1 хворому з ХП, ПК ПЗ, ускладненою МЖ, гнійним холангітом, холедохолітіазом, стенозуючим папілітом, попередньо виконано ЕПСТ із літоекстракцією (рис.8.7).</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27500" cy="2670175"/>
            <wp:effectExtent l="19050" t="0" r="6350" b="0"/>
            <wp:docPr id="2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3"/>
                    <a:srcRect/>
                    <a:stretch>
                      <a:fillRect/>
                    </a:stretch>
                  </pic:blipFill>
                  <pic:spPr bwMode="auto">
                    <a:xfrm>
                      <a:off x="0" y="0"/>
                      <a:ext cx="4127500" cy="267017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77" type="#_x0000_t202" style="position:absolute;left:0;text-align:left;margin-left:0;margin-top:18.45pt;width:7in;height:38.4pt;z-index:251872256" stroked="f">
            <v:textbox style="mso-next-textbox:#_x0000_s1277">
              <w:txbxContent>
                <w:p w:rsidR="00C62D22" w:rsidRPr="00C62D22" w:rsidRDefault="00C62D22" w:rsidP="00C62D22">
                  <w:pPr>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8.7. Ендоскопічна папілосфінктеротомія</w:t>
                  </w: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1-на хвора в анамнезі була оперована (3 місяці поспіль) з приводу гострого панкреонекрозу, ПК ПЗ (лапаротомія, НСЕ, зовнішнє дренування ПК, зовнішнє дренування холедоху), виник рецидив ПК – ліквідована пункцією ПК під контролем УЗД.</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Хворим з ПК ПЗ, ускладнених компресією шлунка та /чи ДПК (31), виконані такі мініінвазивні хірургічні втручання: 11-ти – пункції ПК ПЗ під контролем УЗД (повторно пунктовані 4 пацієнта), з них 2-є хворих мали в анамнезі операції з приводу захворювань ПЗ; 1 – крізьшкірне дренування ПК під контролем УЗД за типом «р</w:t>
      </w:r>
      <w:r w:rsidRPr="00C62D22">
        <w:rPr>
          <w:rFonts w:ascii="Times New Roman" w:eastAsia="Times New Roman" w:hAnsi="Times New Roman" w:cs="Times New Roman"/>
          <w:sz w:val="28"/>
          <w:szCs w:val="28"/>
          <w:lang w:val="en-US"/>
        </w:rPr>
        <w:t>ig</w: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sz w:val="28"/>
          <w:szCs w:val="28"/>
          <w:lang w:val="en-US"/>
        </w:rPr>
        <w:t>tail</w:t>
      </w:r>
      <w:r w:rsidRPr="00C62D22">
        <w:rPr>
          <w:rFonts w:ascii="Times New Roman" w:eastAsia="Times New Roman" w:hAnsi="Times New Roman" w:cs="Times New Roman"/>
          <w:sz w:val="28"/>
          <w:szCs w:val="28"/>
          <w:lang w:val="uk-UA"/>
        </w:rPr>
        <w:t xml:space="preserve">»; 9 – ЕСГ пункції ПЗ (повторно виконували ЕСГ пункції 2 пацієнтам); 3 – ендоскопічні ЦГС (усі хворі мали в анамнезі втручання на ПЗ, з приводу ПК ПЗ – 2, аденокарциноми хвоста ПЗ). В 1-го хворого в післяопераційний період на 2 добу паралельно до стенту ендоскопічно встановлено дренаж, який видалено на 4 добу). У якості ІІ етапу, після ЕСГ пункцій 1-му хворому з ПК голівки ПЗ, деформацією вихідного відділу шлунка та ДПК, виконана ендоскопічна ЦГС (у </w:t>
      </w:r>
      <w:r w:rsidRPr="00C62D22">
        <w:rPr>
          <w:rFonts w:ascii="Times New Roman" w:eastAsia="Times New Roman" w:hAnsi="Times New Roman" w:cs="Times New Roman"/>
          <w:sz w:val="28"/>
          <w:szCs w:val="28"/>
          <w:lang w:val="uk-UA"/>
        </w:rPr>
        <w:lastRenderedPageBreak/>
        <w:t>післяопераційний період виникла кровотеча, зупинена консервативно), 1-му пацієнту з ПК голівки ПЗ, субкомпенсованою дуоденальною непрохідністю, виконана ендоскопічна ЦДС (рис. 8.8) [51, 127, 144].</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78" type="#_x0000_t202" style="position:absolute;left:0;text-align:left;margin-left:9pt;margin-top:320.65pt;width:498pt;height:43.9pt;z-index:251873280" stroked="f">
            <v:textbox style="mso-next-textbox:#_x0000_s1278">
              <w:txbxContent>
                <w:p w:rsidR="00C62D22" w:rsidRPr="00C62D22" w:rsidRDefault="00C62D22" w:rsidP="00C62D22">
                  <w:pPr>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8.8. Схема формування цистодуоденоанастомозу</w:t>
                  </w:r>
                </w:p>
              </w:txbxContent>
            </v:textbox>
          </v:shape>
        </w:pict>
      </w:r>
      <w:r w:rsidRPr="00C62D22">
        <w:rPr>
          <w:rFonts w:ascii="Times New Roman" w:eastAsia="Times New Roman" w:hAnsi="Times New Roman" w:cs="Times New Roman"/>
          <w:noProof/>
          <w:sz w:val="28"/>
          <w:szCs w:val="28"/>
        </w:rPr>
        <w:drawing>
          <wp:inline distT="0" distB="0" distL="0" distR="0">
            <wp:extent cx="5476875" cy="4191000"/>
            <wp:effectExtent l="19050" t="0" r="9525" b="0"/>
            <wp:docPr id="129" name="Рисунок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104"/>
                    <a:srcRect/>
                    <a:stretch>
                      <a:fillRect/>
                    </a:stretch>
                  </pic:blipFill>
                  <pic:spPr bwMode="auto">
                    <a:xfrm>
                      <a:off x="0" y="0"/>
                      <a:ext cx="5476875" cy="419100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Хворим з ПК ПЗ ІІ типу, ускладненими компресією шлунка та/чи ДПК, виконані такі лапароскопічні втручання: 4-ом – ЦЄС, 3-ом – зовнішні дренування ПК ПЗ.</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При ПК ПЗ ІІ типу, ускладнених розривом, виконані такі мініінвазивні втручання: 3-м – крізьшкірне дренування ПК під контролем УЗД за типом «р</w:t>
      </w:r>
      <w:r w:rsidRPr="00C62D22">
        <w:rPr>
          <w:rFonts w:ascii="Times New Roman" w:eastAsia="Times New Roman" w:hAnsi="Times New Roman" w:cs="Times New Roman"/>
          <w:sz w:val="28"/>
          <w:szCs w:val="28"/>
          <w:lang w:val="en-US"/>
        </w:rPr>
        <w:t>ig</w: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sz w:val="28"/>
          <w:szCs w:val="28"/>
          <w:lang w:val="en-US"/>
        </w:rPr>
        <w:t>tail</w:t>
      </w:r>
      <w:r w:rsidRPr="00C62D22">
        <w:rPr>
          <w:rFonts w:ascii="Times New Roman" w:eastAsia="Times New Roman" w:hAnsi="Times New Roman" w:cs="Times New Roman"/>
          <w:sz w:val="28"/>
          <w:szCs w:val="28"/>
          <w:lang w:val="uk-UA"/>
        </w:rPr>
        <w:t>», 2-ом – пункції ПК ПЗ під контролем УЗД (1 хворий в анамнезі мав крізьшкірне дренування ПК під контролем УЗД за типом «р</w:t>
      </w:r>
      <w:r w:rsidRPr="00C62D22">
        <w:rPr>
          <w:rFonts w:ascii="Times New Roman" w:eastAsia="Times New Roman" w:hAnsi="Times New Roman" w:cs="Times New Roman"/>
          <w:sz w:val="28"/>
          <w:szCs w:val="28"/>
          <w:lang w:val="en-US"/>
        </w:rPr>
        <w:t>ig</w: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sz w:val="28"/>
          <w:szCs w:val="28"/>
          <w:lang w:val="en-US"/>
        </w:rPr>
        <w:t>tail</w:t>
      </w:r>
      <w:r w:rsidRPr="00C62D22">
        <w:rPr>
          <w:rFonts w:ascii="Times New Roman" w:eastAsia="Times New Roman" w:hAnsi="Times New Roman" w:cs="Times New Roman"/>
          <w:sz w:val="28"/>
          <w:szCs w:val="28"/>
          <w:lang w:val="uk-UA"/>
        </w:rPr>
        <w:t>») [267].</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В 1 хворого (в анамнезі 1 місяць тому були виконані: лапаротомія, дренування черевної порожнини, спленектомія з приводу розриву ПК ПЗ, через 16 діб – релапаротомія, санація та дренування черевної порожнини) перебіг захворювання </w:t>
      </w:r>
      <w:r w:rsidRPr="00C62D22">
        <w:rPr>
          <w:rFonts w:ascii="Times New Roman" w:eastAsia="Times New Roman" w:hAnsi="Times New Roman" w:cs="Times New Roman"/>
          <w:sz w:val="28"/>
          <w:szCs w:val="28"/>
          <w:lang w:val="uk-UA"/>
        </w:rPr>
        <w:lastRenderedPageBreak/>
        <w:t>ускладнився лівобічним ексудативним плевритом, який було усунено пункцією та дренуванням лівої плевральної порожнини під контролем УЗД.</w:t>
      </w:r>
    </w:p>
    <w:p w:rsidR="00C62D22" w:rsidRPr="00C62D22" w:rsidRDefault="00C62D22" w:rsidP="00C62D22">
      <w:pPr>
        <w:tabs>
          <w:tab w:val="left" w:pos="14570"/>
          <w:tab w:val="left" w:pos="14601"/>
        </w:tabs>
        <w:spacing w:after="0" w:line="360" w:lineRule="auto"/>
        <w:ind w:right="-81"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 якості І етапу 15-ти хворим з ПК ПЗ, ускладненими кровотечею в їх порожнину, виконували рентгенендоваскулярну оклюзію (РЕО) судини, яка призвела до кровотечі [49, 119, 272]. Основними протипоказаннями до РЕО були кровотечі з венозних судин, судин недоступних для емболізації, наявність вираженого колатерального кровотоку в ділянці кровотечі, кровотечі з магістральної судини, емболізація якої була небезпечна для життя пацієнта, та при технічній неможливості оклюзії всіх джерел геморагії. В 2-ох хворих із псевдоаневризмою селезінкової артерії на 2 добу після РЕО а. lienalis виник рецидив кровотечі, яка ліквідована повторною РЕО селезінкової артерії. 2-є хворих мали в анамнезі РЕО селезінкової артерії; 1 – оперований у анамнезі 1 рік поспіль із приводу гострої шлунково-кишкової кровотечі (ГШКК), неодноразово лікувався консервативно. 1 хворий в анамнезі 1 місяць поспіль мав крізьшкірне дренування ПК під контролем УЗД за типом «р</w:t>
      </w:r>
      <w:r w:rsidRPr="00C62D22">
        <w:rPr>
          <w:rFonts w:ascii="Times New Roman" w:eastAsia="Times New Roman" w:hAnsi="Times New Roman" w:cs="Times New Roman"/>
          <w:sz w:val="28"/>
          <w:szCs w:val="28"/>
          <w:lang w:val="en-US"/>
        </w:rPr>
        <w:t>ig</w: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sz w:val="28"/>
          <w:szCs w:val="28"/>
          <w:lang w:val="en-US"/>
        </w:rPr>
        <w:t>tail</w:t>
      </w:r>
      <w:r w:rsidRPr="00C62D22">
        <w:rPr>
          <w:rFonts w:ascii="Times New Roman" w:eastAsia="Times New Roman" w:hAnsi="Times New Roman" w:cs="Times New Roman"/>
          <w:sz w:val="28"/>
          <w:szCs w:val="28"/>
          <w:lang w:val="uk-UA"/>
        </w:rPr>
        <w:t xml:space="preserve">», пункцію ПК ПЗ під контролем УЗД; перебіг захворювання ускладнився аневризмою гастродуоденальної артерії (ГДА), тромбозом селезінкової вени, асцитом – виконана РЕО аневризми ГДА (рис. 8.9 – 8.11). </w:t>
      </w: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p>
    <w:p w:rsidR="00C62D22" w:rsidRPr="00C62D22" w:rsidRDefault="00C62D22" w:rsidP="00C62D22">
      <w:pPr>
        <w:tabs>
          <w:tab w:val="left" w:pos="14570"/>
          <w:tab w:val="left" w:pos="14601"/>
        </w:tabs>
        <w:spacing w:after="0" w:line="360" w:lineRule="auto"/>
        <w:ind w:right="-81"/>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68" type="#_x0000_t13" style="position:absolute;left:0;text-align:left;margin-left:117pt;margin-top:147.4pt;width:81pt;height:27pt;z-index:251863040"/>
        </w:pic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81475" cy="2647950"/>
            <wp:effectExtent l="19050" t="0" r="9525" b="0"/>
            <wp:docPr id="130" name="Рисунок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105" cstate="print"/>
                    <a:srcRect/>
                    <a:stretch>
                      <a:fillRect/>
                    </a:stretch>
                  </pic:blipFill>
                  <pic:spPr bwMode="auto">
                    <a:xfrm>
                      <a:off x="0" y="0"/>
                      <a:ext cx="4181475" cy="2647950"/>
                    </a:xfrm>
                    <a:prstGeom prst="rect">
                      <a:avLst/>
                    </a:prstGeom>
                    <a:noFill/>
                    <a:ln w="9525">
                      <a:noFill/>
                      <a:miter lim="800000"/>
                      <a:headEnd/>
                      <a:tailEnd/>
                    </a:ln>
                  </pic:spPr>
                </pic:pic>
              </a:graphicData>
            </a:graphic>
          </wp:inline>
        </w:drawing>
      </w: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60" type="#_x0000_t202" style="position:absolute;left:0;text-align:left;margin-left:-9pt;margin-top:2.5pt;width:7in;height:86.55pt;z-index:251854848" stroked="f">
            <v:textbox style="mso-next-textbox:#_x0000_s1260">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8.9. Ангіограма хворого У, 32 роки: псевдоаневризма лівої шлункової артерії</w:t>
                  </w:r>
                </w:p>
              </w:txbxContent>
            </v:textbox>
          </v:shape>
        </w:pict>
      </w:r>
    </w:p>
    <w:p w:rsidR="00C62D22" w:rsidRPr="00C62D22" w:rsidRDefault="00C62D22" w:rsidP="00C62D22">
      <w:pPr>
        <w:tabs>
          <w:tab w:val="left" w:pos="14570"/>
          <w:tab w:val="left" w:pos="14601"/>
        </w:tabs>
        <w:spacing w:after="0" w:line="360" w:lineRule="auto"/>
        <w:ind w:right="-81"/>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lastRenderedPageBreak/>
        <w:pict>
          <v:shape id="_x0000_s1267" type="#_x0000_t13" style="position:absolute;left:0;text-align:left;margin-left:108pt;margin-top:117.35pt;width:99pt;height:18pt;z-index:251862016"/>
        </w:pic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71950" cy="2676525"/>
            <wp:effectExtent l="19050" t="0" r="0" b="0"/>
            <wp:docPr id="131" name="Рисунок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106" cstate="print"/>
                    <a:srcRect/>
                    <a:stretch>
                      <a:fillRect/>
                    </a:stretch>
                  </pic:blipFill>
                  <pic:spPr bwMode="auto">
                    <a:xfrm>
                      <a:off x="0" y="0"/>
                      <a:ext cx="4171950" cy="2676525"/>
                    </a:xfrm>
                    <a:prstGeom prst="rect">
                      <a:avLst/>
                    </a:prstGeom>
                    <a:noFill/>
                    <a:ln w="9525">
                      <a:noFill/>
                      <a:miter lim="800000"/>
                      <a:headEnd/>
                      <a:tailEnd/>
                    </a:ln>
                  </pic:spPr>
                </pic:pic>
              </a:graphicData>
            </a:graphic>
          </wp:inline>
        </w:drawing>
      </w: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61" type="#_x0000_t202" style="position:absolute;left:0;text-align:left;margin-left:9pt;margin-top:16.2pt;width:495pt;height:26.15pt;z-index:251855872" stroked="f">
            <v:textbox style="mso-next-textbox:#_x0000_s1261">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8.10. Целіакографія хворого У: ліва шлункова артерія після РЕО</w:t>
                  </w:r>
                </w:p>
              </w:txbxContent>
            </v:textbox>
          </v:shape>
        </w:pict>
      </w: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p>
    <w:p w:rsidR="00C62D22" w:rsidRPr="00C62D22" w:rsidRDefault="00C62D22" w:rsidP="00C62D22">
      <w:pPr>
        <w:tabs>
          <w:tab w:val="left" w:pos="14570"/>
          <w:tab w:val="left" w:pos="14601"/>
        </w:tabs>
        <w:spacing w:after="0" w:line="360" w:lineRule="auto"/>
        <w:ind w:right="-81"/>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69" type="#_x0000_t13" style="position:absolute;left:0;text-align:left;margin-left:153pt;margin-top:140.9pt;width:81pt;height:18pt;z-index:251864064"/>
        </w:pic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52900" cy="2657475"/>
            <wp:effectExtent l="19050" t="0" r="0" b="0"/>
            <wp:docPr id="132" name="Рисунок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107" cstate="print"/>
                    <a:srcRect/>
                    <a:stretch>
                      <a:fillRect/>
                    </a:stretch>
                  </pic:blipFill>
                  <pic:spPr bwMode="auto">
                    <a:xfrm>
                      <a:off x="0" y="0"/>
                      <a:ext cx="4152900" cy="2657475"/>
                    </a:xfrm>
                    <a:prstGeom prst="rect">
                      <a:avLst/>
                    </a:prstGeom>
                    <a:noFill/>
                    <a:ln w="9525">
                      <a:noFill/>
                      <a:miter lim="800000"/>
                      <a:headEnd/>
                      <a:tailEnd/>
                    </a:ln>
                  </pic:spPr>
                </pic:pic>
              </a:graphicData>
            </a:graphic>
          </wp:inline>
        </w:drawing>
      </w: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62" type="#_x0000_t202" style="position:absolute;left:0;text-align:left;margin-left:9pt;margin-top:1.5pt;width:495pt;height:54pt;z-index:251856896" stroked="f">
            <v:textbox style="mso-next-textbox:#_x0000_s1262">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Рис.8.11. Целіакографія (пряма проекція) хворого У: ліва шлункова артерія після РЕО (5 діб поспіль)</w:t>
                  </w:r>
                </w:p>
              </w:txbxContent>
            </v:textbox>
          </v:shape>
        </w:pict>
      </w: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p>
    <w:p w:rsidR="00C62D22" w:rsidRPr="00C62D22" w:rsidRDefault="00C62D22" w:rsidP="00C62D22">
      <w:pPr>
        <w:tabs>
          <w:tab w:val="left" w:pos="14570"/>
          <w:tab w:val="left" w:pos="14601"/>
        </w:tabs>
        <w:spacing w:after="0" w:line="360" w:lineRule="auto"/>
        <w:ind w:right="-81"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Після зупинки кровотечі за допомогою РЕО, у якості ІІ етапу, виконані: ЕСГ пункція ПК – 1, пункція ПК під контролем УЗД – 1, крізьшкірне дренування ПК під контролем УЗД за типом «р</w:t>
      </w:r>
      <w:r w:rsidRPr="00C62D22">
        <w:rPr>
          <w:rFonts w:ascii="Times New Roman" w:eastAsia="Times New Roman" w:hAnsi="Times New Roman" w:cs="Times New Roman"/>
          <w:sz w:val="28"/>
          <w:szCs w:val="28"/>
          <w:lang w:val="en-US"/>
        </w:rPr>
        <w:t>ig</w: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sz w:val="28"/>
          <w:szCs w:val="28"/>
          <w:lang w:val="en-US"/>
        </w:rPr>
        <w:t>tail</w:t>
      </w:r>
      <w:r w:rsidRPr="00C62D22">
        <w:rPr>
          <w:rFonts w:ascii="Times New Roman" w:eastAsia="Times New Roman" w:hAnsi="Times New Roman" w:cs="Times New Roman"/>
          <w:sz w:val="28"/>
          <w:szCs w:val="28"/>
          <w:lang w:val="uk-UA"/>
        </w:rPr>
        <w:t>» – 1.</w:t>
      </w: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В 1-го хворого при кровотечі з магістральної судини (загальна печінкова артерія) було встановлено стент-графт як метод альтернативного рентгенендоваскулярного </w:t>
      </w:r>
      <w:r w:rsidRPr="00C62D22">
        <w:rPr>
          <w:rFonts w:ascii="Times New Roman" w:eastAsia="Times New Roman" w:hAnsi="Times New Roman" w:cs="Times New Roman"/>
          <w:sz w:val="28"/>
          <w:szCs w:val="28"/>
          <w:lang w:val="uk-UA"/>
        </w:rPr>
        <w:lastRenderedPageBreak/>
        <w:t>втручання, що дозволив зберегти кровоток по судині та закрив дефект судинної стінки.</w:t>
      </w:r>
    </w:p>
    <w:p w:rsidR="00C62D22" w:rsidRPr="00C62D22" w:rsidRDefault="00C62D22" w:rsidP="00C62D22">
      <w:pPr>
        <w:tabs>
          <w:tab w:val="left" w:pos="14570"/>
          <w:tab w:val="left" w:pos="14601"/>
        </w:tabs>
        <w:spacing w:after="0" w:line="360" w:lineRule="auto"/>
        <w:ind w:right="-81"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Пункції ПК під контролем УЗД виконані у 18 пацієнтів (у 7-ми повторні пункції ПК), дренування ПК під контролем УЗД за типом «р</w:t>
      </w:r>
      <w:r w:rsidRPr="00C62D22">
        <w:rPr>
          <w:rFonts w:ascii="Times New Roman" w:eastAsia="Times New Roman" w:hAnsi="Times New Roman" w:cs="Times New Roman"/>
          <w:sz w:val="28"/>
          <w:szCs w:val="28"/>
          <w:lang w:val="en-US"/>
        </w:rPr>
        <w:t>ig</w: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sz w:val="28"/>
          <w:szCs w:val="28"/>
          <w:lang w:val="en-US"/>
        </w:rPr>
        <w:t>tail</w:t>
      </w:r>
      <w:r w:rsidRPr="00C62D22">
        <w:rPr>
          <w:rFonts w:ascii="Times New Roman" w:eastAsia="Times New Roman" w:hAnsi="Times New Roman" w:cs="Times New Roman"/>
          <w:sz w:val="28"/>
          <w:szCs w:val="28"/>
          <w:lang w:val="uk-UA"/>
        </w:rPr>
        <w:t>» – у 3-х (у 1-го повторні пункції під контролем УЗД). У 2-ох хворих, у якості ІІ етапу, виконане дренування ПК під контролем УЗД за типом «р</w:t>
      </w:r>
      <w:r w:rsidRPr="00C62D22">
        <w:rPr>
          <w:rFonts w:ascii="Times New Roman" w:eastAsia="Times New Roman" w:hAnsi="Times New Roman" w:cs="Times New Roman"/>
          <w:sz w:val="28"/>
          <w:szCs w:val="28"/>
          <w:lang w:val="en-US"/>
        </w:rPr>
        <w:t>ig</w: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sz w:val="28"/>
          <w:szCs w:val="28"/>
          <w:lang w:val="en-US"/>
        </w:rPr>
        <w:t>tail</w:t>
      </w:r>
      <w:r w:rsidRPr="00C62D22">
        <w:rPr>
          <w:rFonts w:ascii="Times New Roman" w:eastAsia="Times New Roman" w:hAnsi="Times New Roman" w:cs="Times New Roman"/>
          <w:sz w:val="28"/>
          <w:szCs w:val="28"/>
          <w:lang w:val="uk-UA"/>
        </w:rPr>
        <w:t xml:space="preserve">». 2-є хворих було госпіталізовано повторно, вони мали в анамнезі пункції та дренування ПК під контролем УЗД; 1 пацієнт 1 рік поспіль був оперований із приводу розриву ПК ПЗ, (лапаротомія, зовнішнє дренування ПК ПЗ); 1 – із приводу інфікованого панкреонекрозу (у післяопераційний період – пункція та зовнішнє дренування ПК під контролем УЗД). 1 хворий із хронічним фіброзно-дегенеративним панкреатитом, ПК голівки ПЗ із кровотечею в її порожнину госпіталізований повторно. 1 місяць поспіль йому виконана пункція ПК під контролем УЗД, лапаротомія, санація та дренування черевної порожнини, через 5 діб після операції – пункцію ПК під контролем УЗД, через 11 діб після операції виникла кровотеча, виконано релапаротомію, досягнуто гемостазу. Через 23 доби хворий був госпіталізований повторно. При пункції отримана гемолізована кров, кровотеча зупинена за допомогою РЕО нижньої панкреатодуоденальної артерії, та в подальшому виконані пункції ПК під контролем УЗД. Післяопераційний період ускладнився лівобічним реактивним плевритом, який було ліквідовано плевральною пункцією. </w:t>
      </w:r>
    </w:p>
    <w:p w:rsidR="00C62D22" w:rsidRPr="00C62D22" w:rsidRDefault="00C62D22" w:rsidP="00C62D22">
      <w:pPr>
        <w:tabs>
          <w:tab w:val="left" w:pos="14570"/>
          <w:tab w:val="left" w:pos="14601"/>
        </w:tabs>
        <w:spacing w:after="0" w:line="360" w:lineRule="auto"/>
        <w:ind w:right="-81"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ЕСГ пункції були виконані 2-ом хворим з ПК ПЗ, ускладненими кровотечею (у 1-го пацієнта ЕСГ пункція ПК виконана через 7 діб повторно у зв’язку з рецидивом ПК). В 1-го хворого в анамнезі – НСЕ, релапаротомія, розкриття парапанкреатичного абсцесу.</w:t>
      </w:r>
    </w:p>
    <w:p w:rsidR="00C62D22" w:rsidRPr="00C62D22" w:rsidRDefault="00C62D22" w:rsidP="00C62D22">
      <w:pPr>
        <w:tabs>
          <w:tab w:val="left" w:pos="14570"/>
          <w:tab w:val="left" w:pos="14601"/>
        </w:tabs>
        <w:spacing w:after="0" w:line="360" w:lineRule="auto"/>
        <w:ind w:right="-81"/>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8</w:t>
      </w:r>
      <w:r w:rsidRPr="00C62D22">
        <w:rPr>
          <w:rFonts w:ascii="Times New Roman" w:eastAsia="Times New Roman" w:hAnsi="Times New Roman" w:cs="Times New Roman"/>
          <w:b/>
          <w:sz w:val="28"/>
          <w:szCs w:val="28"/>
        </w:rPr>
        <w:t xml:space="preserve">.2. «Відкриті» втручання у хворих на ускладнені </w:t>
      </w:r>
      <w:r w:rsidRPr="00C62D22">
        <w:rPr>
          <w:rFonts w:ascii="Times New Roman" w:eastAsia="Times New Roman" w:hAnsi="Times New Roman" w:cs="Times New Roman"/>
          <w:b/>
          <w:sz w:val="28"/>
          <w:szCs w:val="28"/>
          <w:lang w:val="uk-UA"/>
        </w:rPr>
        <w:t>псевдокісти підшлункової залози другого</w:t>
      </w:r>
      <w:r w:rsidRPr="00C62D22">
        <w:rPr>
          <w:rFonts w:ascii="Times New Roman" w:eastAsia="Times New Roman" w:hAnsi="Times New Roman" w:cs="Times New Roman"/>
          <w:b/>
          <w:sz w:val="28"/>
          <w:szCs w:val="28"/>
        </w:rPr>
        <w:t xml:space="preserve"> типу</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«Відкриті» втручання у хворих на ускладнені ПК ПЗ ІІ типу виконувалися як у якості самостійних операцій, так і в якості ІІ етапу, після мініінвазивних втручань [267]. Характер лапаротомних втручань, виконаних у хворих, наведено в табл. 8.3.</w:t>
      </w: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lastRenderedPageBreak/>
        <w:t>Таблиця 8.3</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 xml:space="preserve">Характер лапаротомних втручань у хворих з ускладненими </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ПК ПЗ ІІ типу (n=128)</w:t>
      </w:r>
    </w:p>
    <w:tbl>
      <w:tblPr>
        <w:tblW w:w="972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80"/>
        <w:gridCol w:w="1620"/>
        <w:gridCol w:w="1800"/>
        <w:gridCol w:w="1620"/>
      </w:tblGrid>
      <w:tr w:rsidR="00C62D22" w:rsidRPr="00C62D22" w:rsidTr="00E83BB7">
        <w:tc>
          <w:tcPr>
            <w:tcW w:w="468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Втручання</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Кількість</w:t>
            </w:r>
          </w:p>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 хворих</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Мали </w:t>
            </w:r>
          </w:p>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ускладнення</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Померло </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Зовнішнє дренування ПК ПЗ</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29</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3</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rPr>
              <w:t>Ц</w:t>
            </w:r>
            <w:r w:rsidRPr="00C62D22">
              <w:rPr>
                <w:rFonts w:ascii="Times New Roman" w:eastAsia="Times New Roman" w:hAnsi="Times New Roman" w:cs="Times New Roman"/>
                <w:sz w:val="28"/>
                <w:szCs w:val="28"/>
                <w:lang w:val="uk-UA"/>
              </w:rPr>
              <w:t>ЄС</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76</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2</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rPr>
              <w:t>Ц</w:t>
            </w:r>
            <w:r w:rsidRPr="00C62D22">
              <w:rPr>
                <w:rFonts w:ascii="Times New Roman" w:eastAsia="Times New Roman" w:hAnsi="Times New Roman" w:cs="Times New Roman"/>
                <w:sz w:val="28"/>
                <w:szCs w:val="28"/>
                <w:lang w:val="uk-UA"/>
              </w:rPr>
              <w:t>ЄС</w:t>
            </w:r>
            <w:r w:rsidRPr="00C62D22">
              <w:rPr>
                <w:rFonts w:ascii="Times New Roman" w:eastAsia="Times New Roman" w:hAnsi="Times New Roman" w:cs="Times New Roman"/>
                <w:sz w:val="28"/>
                <w:szCs w:val="28"/>
              </w:rPr>
              <w:t>,</w:t>
            </w:r>
            <w:r w:rsidRPr="00C62D22">
              <w:rPr>
                <w:rFonts w:ascii="Times New Roman" w:eastAsia="Times New Roman" w:hAnsi="Times New Roman" w:cs="Times New Roman"/>
                <w:sz w:val="28"/>
                <w:szCs w:val="28"/>
                <w:lang w:val="uk-UA"/>
              </w:rPr>
              <w:t xml:space="preserve"> ГЄС</w:t>
            </w:r>
            <w:r w:rsidRPr="00C62D22">
              <w:rPr>
                <w:rFonts w:ascii="Times New Roman" w:eastAsia="Times New Roman" w:hAnsi="Times New Roman" w:cs="Times New Roman"/>
                <w:sz w:val="28"/>
                <w:szCs w:val="28"/>
              </w:rPr>
              <w:t xml:space="preserve"> </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2</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rPr>
              <w:t>Ц</w:t>
            </w:r>
            <w:r w:rsidRPr="00C62D22">
              <w:rPr>
                <w:rFonts w:ascii="Times New Roman" w:eastAsia="Times New Roman" w:hAnsi="Times New Roman" w:cs="Times New Roman"/>
                <w:sz w:val="28"/>
                <w:szCs w:val="28"/>
                <w:lang w:val="uk-UA"/>
              </w:rPr>
              <w:t>ЄС</w:t>
            </w:r>
            <w:r w:rsidRPr="00C62D22">
              <w:rPr>
                <w:rFonts w:ascii="Times New Roman" w:eastAsia="Times New Roman" w:hAnsi="Times New Roman" w:cs="Times New Roman"/>
                <w:sz w:val="28"/>
                <w:szCs w:val="28"/>
              </w:rPr>
              <w:t xml:space="preserve">, </w:t>
            </w:r>
            <w:r w:rsidRPr="00C62D22">
              <w:rPr>
                <w:rFonts w:ascii="Times New Roman" w:eastAsia="Times New Roman" w:hAnsi="Times New Roman" w:cs="Times New Roman"/>
                <w:sz w:val="28"/>
                <w:szCs w:val="28"/>
                <w:lang w:val="uk-UA"/>
              </w:rPr>
              <w:t>ХДА</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Ц</w:t>
            </w:r>
            <w:r w:rsidRPr="00C62D22">
              <w:rPr>
                <w:rFonts w:ascii="Times New Roman" w:eastAsia="Times New Roman" w:hAnsi="Times New Roman" w:cs="Times New Roman"/>
                <w:sz w:val="28"/>
                <w:szCs w:val="28"/>
                <w:lang w:val="uk-UA"/>
              </w:rPr>
              <w:t>ЄС</w:t>
            </w:r>
            <w:r w:rsidRPr="00C62D22">
              <w:rPr>
                <w:rFonts w:ascii="Times New Roman" w:eastAsia="Times New Roman" w:hAnsi="Times New Roman" w:cs="Times New Roman"/>
                <w:sz w:val="28"/>
                <w:szCs w:val="28"/>
              </w:rPr>
              <w:t>, холецистоєюностомія</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3</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ГЄС</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lang w:val="uk-UA"/>
              </w:rPr>
              <w:t>Х</w:t>
            </w:r>
            <w:r w:rsidRPr="00C62D22">
              <w:rPr>
                <w:rFonts w:ascii="Times New Roman" w:eastAsia="Times New Roman" w:hAnsi="Times New Roman" w:cs="Times New Roman"/>
                <w:sz w:val="28"/>
                <w:szCs w:val="28"/>
              </w:rPr>
              <w:t>олецистостомія</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Санація та дренування черевної порожнини</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Операція Фрея</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4</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1</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Операція Бегера</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1</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Бернська модифікація операції Бегера</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2</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Дистальна резекція ПЗ</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highlight w:val="yellow"/>
              </w:rPr>
            </w:pPr>
            <w:r w:rsidRPr="00C62D22">
              <w:rPr>
                <w:rFonts w:ascii="Times New Roman" w:eastAsia="Times New Roman" w:hAnsi="Times New Roman" w:cs="Times New Roman"/>
                <w:sz w:val="28"/>
                <w:szCs w:val="28"/>
              </w:rPr>
              <w:t>6</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rPr>
              <w:t>П</w:t>
            </w:r>
            <w:r w:rsidRPr="00C62D22">
              <w:rPr>
                <w:rFonts w:ascii="Times New Roman" w:eastAsia="Times New Roman" w:hAnsi="Times New Roman" w:cs="Times New Roman"/>
                <w:sz w:val="28"/>
                <w:szCs w:val="28"/>
                <w:lang w:val="uk-UA"/>
              </w:rPr>
              <w:t>ДР</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rPr>
            </w:pPr>
            <w:r w:rsidRPr="00C62D22">
              <w:rPr>
                <w:rFonts w:ascii="Times New Roman" w:eastAsia="Times New Roman" w:hAnsi="Times New Roman" w:cs="Times New Roman"/>
                <w:sz w:val="28"/>
                <w:szCs w:val="28"/>
              </w:rPr>
              <w:t>1</w:t>
            </w:r>
          </w:p>
        </w:tc>
      </w:tr>
      <w:tr w:rsidR="00C62D22" w:rsidRPr="00C62D22" w:rsidTr="00E83BB7">
        <w:tc>
          <w:tcPr>
            <w:tcW w:w="4680" w:type="dxa"/>
          </w:tcPr>
          <w:p w:rsidR="00C62D22" w:rsidRPr="00C62D22" w:rsidRDefault="00C62D22" w:rsidP="00C62D22">
            <w:pPr>
              <w:tabs>
                <w:tab w:val="left" w:pos="620"/>
              </w:tabs>
              <w:spacing w:after="0" w:line="360" w:lineRule="auto"/>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 xml:space="preserve">Усього </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rPr>
              <w:t>1</w:t>
            </w:r>
            <w:r w:rsidRPr="00C62D22">
              <w:rPr>
                <w:rFonts w:ascii="Times New Roman" w:eastAsia="Times New Roman" w:hAnsi="Times New Roman" w:cs="Times New Roman"/>
                <w:b/>
                <w:sz w:val="28"/>
                <w:szCs w:val="28"/>
                <w:lang w:val="uk-UA"/>
              </w:rPr>
              <w:t>28</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7</w:t>
            </w:r>
          </w:p>
        </w:tc>
        <w:tc>
          <w:tcPr>
            <w:tcW w:w="162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1</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При інфікованих ПК ПЗ ІІ типу (18) 7-ми хворим виконано ЦЕС (у тому числі 1-му пацієнту з інфікованою ПК голівки ПЗ, ПК хвоста ПЗ, МЖ, компресією ДПК – ЦЕС із зовнішнім дренуванням ПК хвоста ПЗ) (рис.8.12., 8.13), 10 – зовнішнє дренування ПК ПЗ.</w:t>
      </w:r>
    </w:p>
    <w:p w:rsidR="00C62D22" w:rsidRPr="00C62D22" w:rsidRDefault="00C62D22" w:rsidP="00C62D22">
      <w:pPr>
        <w:spacing w:after="0" w:line="360" w:lineRule="auto"/>
        <w:ind w:right="1745"/>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lastRenderedPageBreak/>
        <w:pict>
          <v:shape id="_x0000_s1271" type="#_x0000_t13" style="position:absolute;left:0;text-align:left;margin-left:167.55pt;margin-top:72.35pt;width:54pt;height:27pt;z-index:251866112"/>
        </w:pict>
      </w:r>
      <w:r w:rsidRPr="00C62D22">
        <w:rPr>
          <w:rFonts w:ascii="Times New Roman" w:eastAsia="Times New Roman" w:hAnsi="Times New Roman" w:cs="Times New Roman"/>
          <w:sz w:val="28"/>
          <w:szCs w:val="28"/>
          <w:lang w:val="en-US"/>
        </w:rPr>
        <w:t xml:space="preserve">                   </w:t>
      </w:r>
      <w:r w:rsidRPr="00C62D22">
        <w:rPr>
          <w:rFonts w:ascii="Times New Roman" w:eastAsia="Times New Roman" w:hAnsi="Times New Roman" w:cs="Times New Roman"/>
          <w:noProof/>
          <w:sz w:val="28"/>
          <w:szCs w:val="28"/>
        </w:rPr>
        <w:drawing>
          <wp:inline distT="0" distB="0" distL="0" distR="0">
            <wp:extent cx="4114800" cy="2671445"/>
            <wp:effectExtent l="19050" t="0" r="0" b="0"/>
            <wp:docPr id="233" name="Рисунок 25" descr="IMG_0245.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5" descr="IMG_0245.jpg"/>
                    <pic:cNvPicPr>
                      <a:picLocks/>
                    </pic:cNvPicPr>
                  </pic:nvPicPr>
                  <pic:blipFill>
                    <a:blip r:embed="rId108"/>
                    <a:srcRect l="30484" t="16687" r="23468" b="10419"/>
                    <a:stretch>
                      <a:fillRect/>
                    </a:stretch>
                  </pic:blipFill>
                  <pic:spPr bwMode="auto">
                    <a:xfrm>
                      <a:off x="0" y="0"/>
                      <a:ext cx="4114800" cy="267144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70" type="#_x0000_t202" style="position:absolute;left:0;text-align:left;margin-left:9pt;margin-top:6.8pt;width:495pt;height:54pt;z-index:251865088" stroked="f">
            <v:textbox style="mso-next-textbox:#_x0000_s1270">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8.12. Етапи формування цистоентероанастомозу: розкрита порожнина ПК ПЗ (указана стрілкою)</w:t>
                  </w: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72" type="#_x0000_t13" style="position:absolute;left:0;text-align:left;margin-left:189pt;margin-top:69.35pt;width:54pt;height:27pt;z-index:251867136"/>
        </w:pict>
      </w:r>
      <w:r w:rsidRPr="00C62D22">
        <w:rPr>
          <w:rFonts w:ascii="Times New Roman" w:eastAsia="Times New Roman" w:hAnsi="Times New Roman" w:cs="Times New Roman"/>
          <w:noProof/>
          <w:sz w:val="28"/>
          <w:szCs w:val="28"/>
        </w:rPr>
        <w:drawing>
          <wp:inline distT="0" distB="0" distL="0" distR="0">
            <wp:extent cx="4114800" cy="2667635"/>
            <wp:effectExtent l="19050" t="0" r="0" b="0"/>
            <wp:docPr id="232" name="Рисунок 26" descr="IMG_0259.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6" descr="IMG_0259.jpg"/>
                    <pic:cNvPicPr>
                      <a:picLocks/>
                    </pic:cNvPicPr>
                  </pic:nvPicPr>
                  <pic:blipFill>
                    <a:blip r:embed="rId109"/>
                    <a:srcRect l="38272" t="20815" r="16429"/>
                    <a:stretch>
                      <a:fillRect/>
                    </a:stretch>
                  </pic:blipFill>
                  <pic:spPr bwMode="auto">
                    <a:xfrm>
                      <a:off x="0" y="0"/>
                      <a:ext cx="4114800" cy="266763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73" type="#_x0000_t202" style="position:absolute;left:0;text-align:left;margin-left:0;margin-top:3.85pt;width:7in;height:54pt;z-index:251868160" stroked="f">
            <v:textbox style="mso-next-textbox:#_x0000_s1273">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8.13. Етапи формування цистоентероанастомозу: сформований цистоентероанастомоз (указано стрілкою)</w:t>
                  </w: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Мікробіологічне дослідження рідини інфікованих ПК ПЗ свідчило про наявність у 8 (28,6%) хворих бактерій </w:t>
      </w:r>
      <w:r w:rsidRPr="00C62D22">
        <w:rPr>
          <w:rFonts w:ascii="Times New Roman" w:eastAsia="Times New Roman" w:hAnsi="Times New Roman" w:cs="Times New Roman"/>
          <w:color w:val="171512"/>
          <w:sz w:val="28"/>
          <w:szCs w:val="28"/>
        </w:rPr>
        <w:t>Escherichia</w:t>
      </w:r>
      <w:r w:rsidRPr="00C62D22">
        <w:rPr>
          <w:rFonts w:ascii="Times New Roman" w:eastAsia="Times New Roman" w:hAnsi="Times New Roman" w:cs="Times New Roman"/>
          <w:color w:val="171512"/>
          <w:sz w:val="28"/>
          <w:szCs w:val="28"/>
          <w:lang w:val="uk-UA"/>
        </w:rPr>
        <w:t xml:space="preserve"> </w:t>
      </w:r>
      <w:r w:rsidRPr="00C62D22">
        <w:rPr>
          <w:rFonts w:ascii="Times New Roman" w:eastAsia="Times New Roman" w:hAnsi="Times New Roman" w:cs="Times New Roman"/>
          <w:color w:val="171512"/>
          <w:sz w:val="28"/>
          <w:szCs w:val="28"/>
        </w:rPr>
        <w:t>coli</w:t>
      </w:r>
      <w:r w:rsidRPr="00C62D22">
        <w:rPr>
          <w:rFonts w:ascii="Times New Roman" w:eastAsia="Times New Roman" w:hAnsi="Times New Roman" w:cs="Times New Roman"/>
          <w:color w:val="171512"/>
          <w:sz w:val="28"/>
          <w:szCs w:val="28"/>
          <w:lang w:val="uk-UA"/>
        </w:rPr>
        <w:t>, у 6 (21,4% ) –</w:t>
      </w:r>
      <w:r w:rsidRPr="00C62D22">
        <w:rPr>
          <w:rFonts w:ascii="Times New Roman" w:eastAsia="Times New Roman" w:hAnsi="Times New Roman" w:cs="Times New Roman"/>
          <w:color w:val="171512"/>
          <w:sz w:val="28"/>
          <w:szCs w:val="28"/>
        </w:rPr>
        <w:t>Pseudomonas</w:t>
      </w:r>
      <w:r w:rsidRPr="00C62D22">
        <w:rPr>
          <w:rFonts w:ascii="Times New Roman" w:eastAsia="Times New Roman" w:hAnsi="Times New Roman" w:cs="Times New Roman"/>
          <w:color w:val="171512"/>
          <w:sz w:val="28"/>
          <w:szCs w:val="28"/>
          <w:lang w:val="uk-UA"/>
        </w:rPr>
        <w:t xml:space="preserve"> </w:t>
      </w:r>
      <w:r w:rsidRPr="00C62D22">
        <w:rPr>
          <w:rFonts w:ascii="Times New Roman" w:eastAsia="Times New Roman" w:hAnsi="Times New Roman" w:cs="Times New Roman"/>
          <w:color w:val="171512"/>
          <w:sz w:val="28"/>
          <w:szCs w:val="28"/>
        </w:rPr>
        <w:t>spp</w:t>
      </w:r>
      <w:r w:rsidRPr="00C62D22">
        <w:rPr>
          <w:rFonts w:ascii="Times New Roman" w:eastAsia="Times New Roman" w:hAnsi="Times New Roman" w:cs="Times New Roman"/>
          <w:color w:val="171512"/>
          <w:sz w:val="28"/>
          <w:szCs w:val="28"/>
          <w:lang w:val="uk-UA"/>
        </w:rPr>
        <w:t xml:space="preserve">, у 5 (17,9%) – </w:t>
      </w:r>
      <w:r w:rsidRPr="00C62D22">
        <w:rPr>
          <w:rFonts w:ascii="Times New Roman" w:eastAsia="Times New Roman" w:hAnsi="Times New Roman" w:cs="Times New Roman"/>
          <w:color w:val="171512"/>
          <w:sz w:val="28"/>
          <w:szCs w:val="28"/>
        </w:rPr>
        <w:t>Klebsiella</w:t>
      </w:r>
      <w:r w:rsidRPr="00C62D22">
        <w:rPr>
          <w:rFonts w:ascii="Times New Roman" w:eastAsia="Times New Roman" w:hAnsi="Times New Roman" w:cs="Times New Roman"/>
          <w:color w:val="171512"/>
          <w:sz w:val="28"/>
          <w:szCs w:val="28"/>
          <w:lang w:val="uk-UA"/>
        </w:rPr>
        <w:t xml:space="preserve"> </w:t>
      </w:r>
      <w:r w:rsidRPr="00C62D22">
        <w:rPr>
          <w:rFonts w:ascii="Times New Roman" w:eastAsia="Times New Roman" w:hAnsi="Times New Roman" w:cs="Times New Roman"/>
          <w:color w:val="171512"/>
          <w:sz w:val="28"/>
          <w:szCs w:val="28"/>
        </w:rPr>
        <w:t>spp</w:t>
      </w:r>
      <w:r w:rsidRPr="00C62D22">
        <w:rPr>
          <w:rFonts w:ascii="Times New Roman" w:eastAsia="Times New Roman" w:hAnsi="Times New Roman" w:cs="Times New Roman"/>
          <w:color w:val="171512"/>
          <w:sz w:val="28"/>
          <w:szCs w:val="28"/>
          <w:lang w:val="uk-UA"/>
        </w:rPr>
        <w:t xml:space="preserve">., у 4 (14,3%) – </w:t>
      </w:r>
      <w:r w:rsidRPr="00C62D22">
        <w:rPr>
          <w:rFonts w:ascii="Times New Roman" w:eastAsia="Times New Roman" w:hAnsi="Times New Roman" w:cs="Times New Roman"/>
          <w:color w:val="171512"/>
          <w:sz w:val="28"/>
          <w:szCs w:val="28"/>
        </w:rPr>
        <w:t>Staphylococcus</w:t>
      </w:r>
      <w:r w:rsidRPr="00C62D22">
        <w:rPr>
          <w:rFonts w:ascii="Times New Roman" w:eastAsia="Times New Roman" w:hAnsi="Times New Roman" w:cs="Times New Roman"/>
          <w:color w:val="171512"/>
          <w:sz w:val="28"/>
          <w:szCs w:val="28"/>
          <w:lang w:val="uk-UA"/>
        </w:rPr>
        <w:t xml:space="preserve"> </w:t>
      </w:r>
      <w:r w:rsidRPr="00C62D22">
        <w:rPr>
          <w:rFonts w:ascii="Times New Roman" w:eastAsia="Times New Roman" w:hAnsi="Times New Roman" w:cs="Times New Roman"/>
          <w:color w:val="171512"/>
          <w:sz w:val="28"/>
          <w:szCs w:val="28"/>
        </w:rPr>
        <w:t>aureus</w:t>
      </w:r>
      <w:r w:rsidRPr="00C62D22">
        <w:rPr>
          <w:rFonts w:ascii="Times New Roman" w:eastAsia="Times New Roman" w:hAnsi="Times New Roman" w:cs="Times New Roman"/>
          <w:color w:val="171512"/>
          <w:sz w:val="28"/>
          <w:szCs w:val="28"/>
          <w:lang w:val="uk-UA"/>
        </w:rPr>
        <w:t xml:space="preserve">, у 2 (7,1%) – </w:t>
      </w:r>
      <w:r w:rsidRPr="00C62D22">
        <w:rPr>
          <w:rFonts w:ascii="Times New Roman" w:eastAsia="Times New Roman" w:hAnsi="Times New Roman" w:cs="Times New Roman"/>
          <w:color w:val="171512"/>
          <w:sz w:val="28"/>
          <w:szCs w:val="28"/>
        </w:rPr>
        <w:t>Streptococcus</w:t>
      </w:r>
      <w:r w:rsidRPr="00C62D22">
        <w:rPr>
          <w:rFonts w:ascii="Times New Roman" w:eastAsia="Times New Roman" w:hAnsi="Times New Roman" w:cs="Times New Roman"/>
          <w:color w:val="171512"/>
          <w:sz w:val="28"/>
          <w:szCs w:val="28"/>
          <w:lang w:val="uk-UA"/>
        </w:rPr>
        <w:t xml:space="preserve"> </w:t>
      </w:r>
      <w:r w:rsidRPr="00C62D22">
        <w:rPr>
          <w:rFonts w:ascii="Times New Roman" w:eastAsia="Times New Roman" w:hAnsi="Times New Roman" w:cs="Times New Roman"/>
          <w:color w:val="171512"/>
          <w:sz w:val="28"/>
          <w:szCs w:val="28"/>
        </w:rPr>
        <w:t>spp</w:t>
      </w:r>
      <w:r w:rsidRPr="00C62D22">
        <w:rPr>
          <w:rFonts w:ascii="Times New Roman" w:eastAsia="Times New Roman" w:hAnsi="Times New Roman" w:cs="Times New Roman"/>
          <w:color w:val="171512"/>
          <w:sz w:val="28"/>
          <w:szCs w:val="28"/>
          <w:lang w:val="uk-UA"/>
        </w:rPr>
        <w:t xml:space="preserve">., у 2 (7,1%) – </w:t>
      </w:r>
      <w:r w:rsidRPr="00C62D22">
        <w:rPr>
          <w:rFonts w:ascii="Times New Roman" w:eastAsia="Times New Roman" w:hAnsi="Times New Roman" w:cs="Times New Roman"/>
          <w:color w:val="171512"/>
          <w:sz w:val="28"/>
          <w:szCs w:val="28"/>
        </w:rPr>
        <w:t>Enterococcus</w:t>
      </w:r>
      <w:r w:rsidRPr="00C62D22">
        <w:rPr>
          <w:rFonts w:ascii="Times New Roman" w:eastAsia="Times New Roman" w:hAnsi="Times New Roman" w:cs="Times New Roman"/>
          <w:color w:val="171512"/>
          <w:sz w:val="28"/>
          <w:szCs w:val="28"/>
          <w:lang w:val="uk-UA"/>
        </w:rPr>
        <w:t xml:space="preserve"> </w:t>
      </w:r>
      <w:r w:rsidRPr="00C62D22">
        <w:rPr>
          <w:rFonts w:ascii="Times New Roman" w:eastAsia="Times New Roman" w:hAnsi="Times New Roman" w:cs="Times New Roman"/>
          <w:color w:val="171512"/>
          <w:sz w:val="28"/>
          <w:szCs w:val="28"/>
        </w:rPr>
        <w:t>faecalis</w:t>
      </w:r>
      <w:r w:rsidRPr="00C62D22">
        <w:rPr>
          <w:rFonts w:ascii="Times New Roman" w:eastAsia="Times New Roman" w:hAnsi="Times New Roman" w:cs="Times New Roman"/>
          <w:color w:val="171512"/>
          <w:sz w:val="28"/>
          <w:szCs w:val="28"/>
          <w:lang w:val="uk-UA"/>
        </w:rPr>
        <w:t xml:space="preserve">, у 1 (3,6 %) – </w:t>
      </w:r>
      <w:r w:rsidRPr="00C62D22">
        <w:rPr>
          <w:rFonts w:ascii="Times New Roman" w:eastAsia="Times New Roman" w:hAnsi="Times New Roman" w:cs="Times New Roman"/>
          <w:color w:val="171512"/>
          <w:sz w:val="28"/>
          <w:szCs w:val="28"/>
        </w:rPr>
        <w:t>Proteus</w:t>
      </w:r>
      <w:r w:rsidRPr="00C62D22">
        <w:rPr>
          <w:rFonts w:ascii="Times New Roman" w:eastAsia="Times New Roman" w:hAnsi="Times New Roman" w:cs="Times New Roman"/>
          <w:color w:val="171512"/>
          <w:sz w:val="28"/>
          <w:szCs w:val="28"/>
          <w:lang w:val="uk-UA"/>
        </w:rPr>
        <w:t xml:space="preserve"> </w:t>
      </w:r>
      <w:r w:rsidRPr="00C62D22">
        <w:rPr>
          <w:rFonts w:ascii="Times New Roman" w:eastAsia="Times New Roman" w:hAnsi="Times New Roman" w:cs="Times New Roman"/>
          <w:color w:val="171512"/>
          <w:sz w:val="28"/>
          <w:szCs w:val="28"/>
        </w:rPr>
        <w:t>spp</w:t>
      </w:r>
      <w:r w:rsidRPr="00C62D22">
        <w:rPr>
          <w:rFonts w:ascii="Times New Roman" w:eastAsia="Times New Roman" w:hAnsi="Times New Roman" w:cs="Times New Roman"/>
          <w:color w:val="171512"/>
          <w:sz w:val="28"/>
          <w:szCs w:val="28"/>
          <w:lang w:val="uk-UA"/>
        </w:rPr>
        <w:t>.</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В 1-го хворого з інфікованою ПК ПЗ позаочеревної локалізації виконано ЦЄС за модифікованою методикою («Спосіб лікування інфікованих псевдокіст </w:t>
      </w:r>
      <w:r w:rsidRPr="00C62D22">
        <w:rPr>
          <w:rFonts w:ascii="Times New Roman" w:eastAsia="Times New Roman" w:hAnsi="Times New Roman" w:cs="Times New Roman"/>
          <w:sz w:val="28"/>
          <w:szCs w:val="28"/>
          <w:lang w:val="uk-UA"/>
        </w:rPr>
        <w:lastRenderedPageBreak/>
        <w:t>підшлункової залози позаочеревної локалізації на фоні хронічного панкреатиту», заявка на винахід № а201610033 від 3.10.16.) (рис.8.14).</w:t>
      </w:r>
    </w:p>
    <w:p w:rsidR="00C62D22" w:rsidRPr="00C62D22" w:rsidRDefault="00C62D22" w:rsidP="00C62D22">
      <w:pPr>
        <w:tabs>
          <w:tab w:val="left" w:pos="54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89" type="#_x0000_t202" style="position:absolute;left:0;text-align:left;margin-left:-9pt;margin-top:224.1pt;width:513pt;height:96.95pt;z-index:251884544" stroked="f">
            <v:textbox style="mso-next-textbox:#_x0000_s1289">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rPr>
                    <w:t>Рис.8</w:t>
                  </w:r>
                  <w:r w:rsidRPr="00C62D22">
                    <w:rPr>
                      <w:rFonts w:ascii="Times New Roman" w:hAnsi="Times New Roman" w:cs="Times New Roman"/>
                      <w:sz w:val="28"/>
                      <w:szCs w:val="28"/>
                      <w:lang w:val="uk-UA"/>
                    </w:rPr>
                    <w:t>.14</w:t>
                  </w:r>
                  <w:r w:rsidRPr="00C62D22">
                    <w:rPr>
                      <w:rFonts w:ascii="Times New Roman" w:hAnsi="Times New Roman" w:cs="Times New Roman"/>
                      <w:sz w:val="28"/>
                      <w:szCs w:val="28"/>
                    </w:rPr>
                    <w:t>.</w:t>
                  </w:r>
                  <w:r w:rsidRPr="00C62D22">
                    <w:rPr>
                      <w:rFonts w:ascii="Times New Roman" w:hAnsi="Times New Roman" w:cs="Times New Roman"/>
                      <w:sz w:val="28"/>
                      <w:szCs w:val="28"/>
                      <w:lang w:val="uk-UA"/>
                    </w:rPr>
                    <w:t xml:space="preserve"> «Спосіб лікування інфікованих псевдокіст підшлункової залози позаочеревної локалізації на фоні хронічного панкреатиту»: пасмо великого чепця (3) окремими швами (4) підшивають до капсули псевдокісти (1) та до серозної оболонки тонкої кишки (2)</w:t>
                  </w:r>
                </w:p>
                <w:p w:rsidR="00C62D22" w:rsidRPr="00AB4F30" w:rsidRDefault="00C62D22" w:rsidP="00C62D22">
                  <w:pPr>
                    <w:spacing w:line="360" w:lineRule="auto"/>
                    <w:jc w:val="both"/>
                    <w:rPr>
                      <w:sz w:val="28"/>
                      <w:szCs w:val="28"/>
                      <w:lang w:val="uk-UA"/>
                    </w:rPr>
                  </w:pPr>
                </w:p>
              </w:txbxContent>
            </v:textbox>
          </v:shape>
        </w:pict>
      </w:r>
      <w:r w:rsidRPr="00C62D22">
        <w:rPr>
          <w:rFonts w:ascii="Times New Roman" w:eastAsia="Times New Roman" w:hAnsi="Times New Roman" w:cs="Times New Roman"/>
          <w:noProof/>
          <w:sz w:val="28"/>
          <w:szCs w:val="28"/>
        </w:rPr>
        <w:drawing>
          <wp:inline distT="0" distB="0" distL="0" distR="0">
            <wp:extent cx="4048125" cy="2857500"/>
            <wp:effectExtent l="19050" t="0" r="9525" b="0"/>
            <wp:docPr id="135" name="Рисунок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110"/>
                    <a:srcRect/>
                    <a:stretch>
                      <a:fillRect/>
                    </a:stretch>
                  </pic:blipFill>
                  <pic:spPr bwMode="auto">
                    <a:xfrm>
                      <a:off x="0" y="0"/>
                      <a:ext cx="4048125" cy="2857500"/>
                    </a:xfrm>
                    <a:prstGeom prst="rect">
                      <a:avLst/>
                    </a:prstGeom>
                    <a:noFill/>
                    <a:ln w="9525">
                      <a:noFill/>
                      <a:miter lim="800000"/>
                      <a:headEnd/>
                      <a:tailEnd/>
                    </a:ln>
                  </pic:spPr>
                </pic:pic>
              </a:graphicData>
            </a:graphic>
          </wp:inline>
        </w:drawing>
      </w:r>
    </w:p>
    <w:p w:rsidR="00C62D22" w:rsidRPr="00C62D22" w:rsidRDefault="00C62D22" w:rsidP="00C62D22">
      <w:pPr>
        <w:tabs>
          <w:tab w:val="left" w:pos="540"/>
        </w:tabs>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tabs>
          <w:tab w:val="left" w:pos="540"/>
        </w:tabs>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tabs>
          <w:tab w:val="left" w:pos="540"/>
        </w:tabs>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widowControl w:val="0"/>
        <w:shd w:val="clear" w:color="auto" w:fill="FFFFFF"/>
        <w:tabs>
          <w:tab w:val="left" w:pos="993"/>
        </w:tabs>
        <w:autoSpaceDE w:val="0"/>
        <w:autoSpaceDN w:val="0"/>
        <w:adjustRightInd w:val="0"/>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widowControl w:val="0"/>
        <w:shd w:val="clear" w:color="auto" w:fill="FFFFFF"/>
        <w:tabs>
          <w:tab w:val="left" w:pos="993"/>
        </w:tabs>
        <w:autoSpaceDE w:val="0"/>
        <w:autoSpaceDN w:val="0"/>
        <w:adjustRightInd w:val="0"/>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widowControl w:val="0"/>
        <w:shd w:val="clear" w:color="auto" w:fill="FFFFFF"/>
        <w:tabs>
          <w:tab w:val="left" w:pos="993"/>
        </w:tabs>
        <w:autoSpaceDE w:val="0"/>
        <w:autoSpaceDN w:val="0"/>
        <w:adjustRightInd w:val="0"/>
        <w:spacing w:after="0" w:line="360" w:lineRule="auto"/>
        <w:ind w:firstLine="567"/>
        <w:jc w:val="both"/>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Спосіб виконували таким чином.</w:t>
      </w:r>
    </w:p>
    <w:p w:rsidR="00C62D22" w:rsidRPr="00C62D22" w:rsidRDefault="00C62D22" w:rsidP="00C62D22">
      <w:pPr>
        <w:tabs>
          <w:tab w:val="left" w:pos="540"/>
        </w:tabs>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Після попередньої пункції ПК ПЗ, виконували її санацію антисептиками під контролем УЗД, виконували верхньо-серединну лапаротомію, та мобілізацію ДПК за Кохером. Розкривали  чепцеву сумку. Після пункції ПК та її санації, викроювали пасмо тонкої кишки, відключеної за Ру, та підводили до ПК на відстані 10-</w:t>
      </w:r>
      <w:smartTag w:uri="urn:schemas-microsoft-com:office:smarttags" w:element="metricconverter">
        <w:smartTagPr>
          <w:attr w:name="ProductID" w:val="15 см"/>
        </w:smartTagPr>
        <w:r w:rsidRPr="00C62D22">
          <w:rPr>
            <w:rFonts w:ascii="Times New Roman" w:eastAsia="Times New Roman" w:hAnsi="Times New Roman" w:cs="Times New Roman"/>
            <w:sz w:val="28"/>
            <w:szCs w:val="28"/>
            <w:lang w:val="uk-UA"/>
          </w:rPr>
          <w:t>15 см</w:t>
        </w:r>
      </w:smartTag>
      <w:r w:rsidRPr="00C62D22">
        <w:rPr>
          <w:rFonts w:ascii="Times New Roman" w:eastAsia="Times New Roman" w:hAnsi="Times New Roman" w:cs="Times New Roman"/>
          <w:sz w:val="28"/>
          <w:szCs w:val="28"/>
          <w:lang w:val="uk-UA"/>
        </w:rPr>
        <w:t xml:space="preserve"> від дуоденоєюнального переходу. Окремо викроювали пасмо великого чепця на «судинній ніжці» та підводили до задньої «губи» майбутнього цистопанкреатоентероанастомозу. Анастомоз формували «бік у бік». Починали окремими однорядковими швами між стінкою ПК, пасмом великого чепця, ближче до його центру від країв, та стінкою тонкої кишки, формувати задню «губу» анастомозу, ушиваючи пасмо чепця до цистопанкреатоентероанастомозу. Після формування задньої «губи» анастомозу, починали формувати передню «губу». «Перекидали» пасмо великого чепця в ділянку передньої «губи» анастомозу та </w:t>
      </w:r>
      <w:r w:rsidRPr="00C62D22">
        <w:rPr>
          <w:rFonts w:ascii="Times New Roman" w:eastAsia="Times New Roman" w:hAnsi="Times New Roman" w:cs="Times New Roman"/>
          <w:sz w:val="28"/>
          <w:szCs w:val="28"/>
          <w:lang w:val="uk-UA"/>
        </w:rPr>
        <w:lastRenderedPageBreak/>
        <w:t xml:space="preserve">окремими однорядковими швами між стінкою ПК, пасмом великого чепця, ближче до його центру, та стінкою тонкої кишки, формували передню «губу» анастомозу, ушиваючи пасмо чепця до цистопанкреатоентероанастомозу. Вільні краї пасма великого чепця окремими швами підшивали до капсули ПК та серозної оболонки тонкої кишки, з метою герметизації анастомозу </w:t>
      </w:r>
    </w:p>
    <w:p w:rsidR="00C62D22" w:rsidRPr="00C62D22" w:rsidRDefault="00C62D22" w:rsidP="00C62D22">
      <w:pPr>
        <w:tabs>
          <w:tab w:val="left" w:pos="567"/>
        </w:tabs>
        <w:spacing w:after="0" w:line="360" w:lineRule="auto"/>
        <w:ind w:firstLine="567"/>
        <w:jc w:val="both"/>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Спосіб ілюструє такий приклад.</w:t>
      </w:r>
    </w:p>
    <w:p w:rsidR="00C62D22" w:rsidRPr="00C62D22" w:rsidRDefault="00C62D22" w:rsidP="00C62D22">
      <w:pPr>
        <w:tabs>
          <w:tab w:val="left" w:pos="567"/>
        </w:tabs>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Хворий С., 43 років, поступив до клініки зі скаргами на біль у епігастральній ділянці, лівому підребер’ї, оперізуючого характеру, нудоту, загальну слабкість, підвищення температури до 38 </w:t>
      </w:r>
      <w:r w:rsidRPr="00C62D22">
        <w:rPr>
          <w:rFonts w:ascii="Times New Roman" w:eastAsia="Times New Roman" w:hAnsi="Times New Roman" w:cs="Times New Roman"/>
          <w:sz w:val="28"/>
          <w:szCs w:val="28"/>
          <w:vertAlign w:val="superscript"/>
          <w:lang w:val="uk-UA"/>
        </w:rPr>
        <w:t>0</w:t>
      </w:r>
      <w:r w:rsidRPr="00C62D22">
        <w:rPr>
          <w:rFonts w:ascii="Times New Roman" w:eastAsia="Times New Roman" w:hAnsi="Times New Roman" w:cs="Times New Roman"/>
          <w:sz w:val="28"/>
          <w:szCs w:val="28"/>
          <w:lang w:val="uk-UA"/>
        </w:rPr>
        <w:t xml:space="preserve">С. Хворіє більш ніж 1,5 роки, останнє загострення виникло біля 1 тижня після вживання алкоголю. Обстежений. УЗД: ознаки хронічного панкреатиту, ПК ПЗ, яка містить гіперехогенну завись, ознаки дифузної патології паренхіми печінки. МСКТ: Ознаки хронічного панкреатиту. ПК розмірами до </w:t>
      </w:r>
      <w:smartTag w:uri="urn:schemas-microsoft-com:office:smarttags" w:element="metricconverter">
        <w:smartTagPr>
          <w:attr w:name="ProductID" w:val="8 см"/>
        </w:smartTagPr>
        <w:r w:rsidRPr="00C62D22">
          <w:rPr>
            <w:rFonts w:ascii="Times New Roman" w:eastAsia="Times New Roman" w:hAnsi="Times New Roman" w:cs="Times New Roman"/>
            <w:sz w:val="28"/>
            <w:szCs w:val="28"/>
            <w:lang w:val="uk-UA"/>
          </w:rPr>
          <w:t>8 см</w:t>
        </w:r>
      </w:smartTag>
      <w:r w:rsidRPr="00C62D22">
        <w:rPr>
          <w:rFonts w:ascii="Times New Roman" w:eastAsia="Times New Roman" w:hAnsi="Times New Roman" w:cs="Times New Roman"/>
          <w:sz w:val="28"/>
          <w:szCs w:val="28"/>
          <w:lang w:val="uk-UA"/>
        </w:rPr>
        <w:t xml:space="preserve"> у діаметрі, позаочеревної локалізації, з ознаками інфікування. Встановлено діагноз: Хронічний панкреатит. Інфікована ПК ПЗ позаочеревної локалізації. Хворому попередньо під контролем УЗД виконана пункція ПК з метою її декомпресії та санації. Отриману рідину (гній) направлено на бактеріальне та біохімічне дослідження. Після пункції пацієнту виконана верхньо-серединна лапаротомія, ДПК мобілізована за Кохером. Розкрита чепцева сумка. При ревізії: ПЗ фіброзно змінена, збільшена за рахунок ПК, розмірами до </w:t>
      </w:r>
      <w:smartTag w:uri="urn:schemas-microsoft-com:office:smarttags" w:element="metricconverter">
        <w:smartTagPr>
          <w:attr w:name="ProductID" w:val="8 см"/>
        </w:smartTagPr>
        <w:r w:rsidRPr="00C62D22">
          <w:rPr>
            <w:rFonts w:ascii="Times New Roman" w:eastAsia="Times New Roman" w:hAnsi="Times New Roman" w:cs="Times New Roman"/>
            <w:sz w:val="28"/>
            <w:szCs w:val="28"/>
            <w:lang w:val="uk-UA"/>
          </w:rPr>
          <w:t>8 см</w:t>
        </w:r>
      </w:smartTag>
      <w:r w:rsidRPr="00C62D22">
        <w:rPr>
          <w:rFonts w:ascii="Times New Roman" w:eastAsia="Times New Roman" w:hAnsi="Times New Roman" w:cs="Times New Roman"/>
          <w:sz w:val="28"/>
          <w:szCs w:val="28"/>
          <w:lang w:val="uk-UA"/>
        </w:rPr>
        <w:t xml:space="preserve"> у діаметрі. У хворого хронічний фіброзний панкреатит, інфікована ПК ПЗ позаочеревної локалізації. Виконано внутрішнє дренування ПК з формуванням цистопанкреатоєюноанастомозу за заявленою методикою. Після розкриття ПК та її санації, викроювали пасмо тонкої кишки відключеною за Ру та підводили до ПК на відстані 10-</w:t>
      </w:r>
      <w:smartTag w:uri="urn:schemas-microsoft-com:office:smarttags" w:element="metricconverter">
        <w:smartTagPr>
          <w:attr w:name="ProductID" w:val="15 см"/>
        </w:smartTagPr>
        <w:r w:rsidRPr="00C62D22">
          <w:rPr>
            <w:rFonts w:ascii="Times New Roman" w:eastAsia="Times New Roman" w:hAnsi="Times New Roman" w:cs="Times New Roman"/>
            <w:sz w:val="28"/>
            <w:szCs w:val="28"/>
            <w:lang w:val="uk-UA"/>
          </w:rPr>
          <w:t>15 см</w:t>
        </w:r>
      </w:smartTag>
      <w:r w:rsidRPr="00C62D22">
        <w:rPr>
          <w:rFonts w:ascii="Times New Roman" w:eastAsia="Times New Roman" w:hAnsi="Times New Roman" w:cs="Times New Roman"/>
          <w:sz w:val="28"/>
          <w:szCs w:val="28"/>
          <w:lang w:val="uk-UA"/>
        </w:rPr>
        <w:t xml:space="preserve"> від дуоденоєюнального переходу. Окремо викроювали пасмо великого чепця на «судинній ніжці» та підводили до задньої «губи» майбутнього цистопанкреатоентероанастомозу. Починали окремими однорядковими швами між стінкою ПК, пасмом великого чепця, ближче до його центра від країв, та стінкою тонкої кишки, формувати задню «губу» анастомозу, вшиваючи пасмо чепця до цистопанкреатоентероанастомозу. Після формування задньої «губи» анастомозу, починали формувати передню «губу». «Перекидали» пасмо великого чепця в </w:t>
      </w:r>
      <w:r w:rsidRPr="00C62D22">
        <w:rPr>
          <w:rFonts w:ascii="Times New Roman" w:eastAsia="Times New Roman" w:hAnsi="Times New Roman" w:cs="Times New Roman"/>
          <w:sz w:val="28"/>
          <w:szCs w:val="28"/>
          <w:lang w:val="uk-UA"/>
        </w:rPr>
        <w:lastRenderedPageBreak/>
        <w:t xml:space="preserve">ділянку передньої «губи» анастомозу, та окремими однорядковими швами між стінкою ПК, пасмом великого чепця, ближче до його середини, та стінкою тонкої кишки, формувати передню «губу» анастомозу, ушиваючи пасмо чепця до цистопанкреатоентероанастомозу. Вільні краї пасма великого чепця окремими швами підшивали до капсули ПК та серозної оболонки тонкої кишки, з метою герметизації анастомозу. Іншої патології у хворого не виявлено. Черевна порожнина санована, дренована трубками та рукавицями. Пошарово шви на рану. Асептичні пов’язки. Хворий виписаний на 9 добу. Оглянутий через 6, 12 місяців. Стан хворого задовільний, дотримується рекомендацій щодо замісної терапії та дієти.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Дистальну резекцію ПЗ із спленектомією виконано 1-ій хворій з ХП, посттравматичною інфікованою ПК хвоста ПЗ, посттравматичною кістою селезінки. В 1-єї хворої після зовнішнього дренування панкреатичної ПК на 14 добу виникло рідинне скупчення в позаочеревному просторі, скупчення пунктовано під контролем УЗД. 1 хворий мав у анамнезі ендоскопічну ЦГС, 1 – зовнішнє дренування ПК під контролем УЗД. У ранній післяопераційний період у 1-го хворого на 3 добу після ЦЄС виник лівобічний ексудативний плеврит, який ліквідовано за допомогою пункції лівої плевральної порожнини.</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При ПК ПЗ, ускладнених компресією шлунка та/або ДПК (62), 7-ми пацієнтам виконані лапаротомії, зовнішнє дренування ПК ПЗ (у тому числі в 1-го хворого із цистогастральною норицею, операцію доповнено ушиванням отвору шлунка). В 1-го хворого в післяопераційний період на 9 добу виникла арозивна кровотеча в порожнину ПК, кровотеча зупинена за допомогою РЕО нижньої панкреатодуоденальної артерії. 1 хворий в анамнезі мав 4 пункції під контролем УЗД. При ПК ПЗ, ускладнених компресією шлунка та/або ДПК, 52 пацієнтам виконані лапаротомії, ЦЕС (у тому числі 1-му хворому з ПК голівки-тіла ПЗ, частковою дуоденальною непрохідністю ЦЕС була доповнена гастроентеростомією; 2-ом – виконані ЦЕС на зовнішньому дренажі; 1 – із зовнішнім дренуванням ГПП). 1 хворий з постнекротичною ПК ПЗ, зовнішньою панкреатичною норицею, МЖ, деформацією бульби ДПК в анамнезі мав 3 пункції під контролем УЗД, 1 хвора – РЕО селезінкової артерії двічі, 1 – оперований з приводу гострого панкреонекрозу.</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Операція Бегера із зовнішнім дренуванням холедоху виконана 1-му хворому з хронічним фіброзно-дегенеративним панкреатитом, ПК голівки ПЗ, субкомпенсованим стенозом ДПК за рахунок компресії збільшеною голівкою ПЗ, в анамнезі хворий мав 2 місяці поспіль ЦЄС. У післяопераційний період виникла недостатність панкреатоєюноанастомозу. Бернська модифікація операції Бегера виконана 1 пацієнту з ПК голівки ПЗ, субкомпенсованим стенозом ДПК. Дистальна резекція ПЗ, драбинчаста резекція шлунка виконана 1-му хворому з гігантською (65х35 см) посттравматичною ПК хвоста ПЗ, компресією шлунка та ДПК.</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При ПК ПЗ, ускладнених МЖ (28), 13-ти хворим виконані ЦЄС. 1 пацієнт в анамнезі мав рік поспіль кровотечу в порожнину ПК, яка була зупинена за допомогою РЕО ГДА. У післяопераційний період  після ЦЄС на 2 добу виникла кровотеча в порожнину ПК, виконана релапаротомія, знято ЦЄС, виконано гемостаз, зовнішнє дренування порожнини ПК, рецистоєюностомію. 2-ом хворим виконана ППЄС, гепатикоєюностомія (ГЄС), 1-му – ЦЄС, холедоходуоденоанастомоз (ХДА), ХЕ, 3-ом – ЦЄС, холецистоєюностомія. В 1-го хворого з ПК голівки ПЗ, МЖ, виконана ГЄС, та у якості ІІ етапу, пункція й зовнішнє дренування ПК під контролем УЗД. У ранній післяопераційний період у хворого виникла зовнішня панкреатична нориця. Холецистостома з метою декомпресії жовчовивідних протоків виконана 1-му пацієнту з ПК ПЗ, гострою МЖ та супутньою патологією серця, після невдалих спроб ЕРХПГ. 1-му хворому з постнекротичною ПК хвоста ПЗ, гострою МЖ, біліарною гіпертензією, хронічним калькульозним холециститом, станом після ЕПСТ, літоекстракції, виконана лапаротомія, санація та зовнішнє дренування ПК ПЗ, ХЕ, холедохолітотомія, зовнішнє дренування холедоху.</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Резекція ПЗ за Фреєм виконана 4-ом пацієнтам: 1-му – з хронічним фіброзно-дегенеративним панкреатитом, ПК ПЗ з компресією інтрапанкреатичної частини холедоху, МЖ (операція Фрея доповнена ППЄС, дуктопанкреатоцистостомією); 1-му – з ПК голівки-тіла ПЗ, ускладненою МЖ, холестатичним гепатитом (операція Фрея доповнена холецистоентеростомією); 1-му – з ПК голівки ПЗ, ускладненою гострою МЖ, хронічним холециститом (операція Фрея доповнена ХЕ, ГЄС).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 xml:space="preserve">В 1-го хворого з ПК голівки ПЗ, ХП, тубулярним стенозом холедоху, гострою МЖ, проведено лікування за методикою клініки (Пат. України № 77100 від 25.01.2013 р. «Спосіб лікування хронічного панкреатиту, ускладненого непрохідністю термінальної частини холедоха»). </w:t>
      </w:r>
    </w:p>
    <w:p w:rsidR="00C62D22" w:rsidRPr="00C62D22" w:rsidRDefault="00C62D22" w:rsidP="00C62D22">
      <w:pPr>
        <w:tabs>
          <w:tab w:val="left" w:pos="4395"/>
        </w:tabs>
        <w:spacing w:after="0" w:line="360" w:lineRule="auto"/>
        <w:ind w:firstLine="567"/>
        <w:jc w:val="both"/>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Спосіб виконували таким чином.</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Хірургічне лікування хронічного фіброзно-дегенеративного панкреатиту, ускладненого ПК голівки ПЗ, непрохідністю термінальної частини холедоху включає наступні етапи. Перший етап – мобілізація панкреатодуоденального комплексу зі збереженням кровопостачання ДПК. Відокремлення верхньої брижової вени нижче її перешийка для профілактики її ушкодження. Другий етап включає в себе резекцію голівки ПЗ за Фреєм. Третій етап передбачав формування панкреатоентероанастомозу між ПЗ та ізольованою за Ру петлею порожньої кишки за типом «бік у бік». Додаткове формування на тій же петлі холецистоентероанастомоза між дном жовчного міхура й петлею тонкої кишки на відстані не менше </w:t>
      </w:r>
      <w:smartTag w:uri="urn:schemas-microsoft-com:office:smarttags" w:element="metricconverter">
        <w:smartTagPr>
          <w:attr w:name="ProductID" w:val="15 см"/>
        </w:smartTagPr>
        <w:r w:rsidRPr="00C62D22">
          <w:rPr>
            <w:rFonts w:ascii="Times New Roman" w:eastAsia="Times New Roman" w:hAnsi="Times New Roman" w:cs="Times New Roman"/>
            <w:sz w:val="28"/>
            <w:szCs w:val="28"/>
            <w:lang w:val="uk-UA"/>
          </w:rPr>
          <w:t>15 см</w:t>
        </w:r>
      </w:smartTag>
      <w:r w:rsidRPr="00C62D22">
        <w:rPr>
          <w:rFonts w:ascii="Times New Roman" w:eastAsia="Times New Roman" w:hAnsi="Times New Roman" w:cs="Times New Roman"/>
          <w:sz w:val="28"/>
          <w:szCs w:val="28"/>
          <w:lang w:val="uk-UA"/>
        </w:rPr>
        <w:t xml:space="preserve"> від дистальної частини панкреатоентероанастомозу. Крім того, між загальною печінковою протокою і карманом Гартмана жовчного міхура додатково формували холецистогепатикоанастомоз.</w:t>
      </w:r>
    </w:p>
    <w:p w:rsidR="00C62D22" w:rsidRPr="00C62D22" w:rsidRDefault="00C62D22" w:rsidP="00C62D22">
      <w:pPr>
        <w:shd w:val="clear" w:color="auto" w:fill="FFFFFF"/>
        <w:autoSpaceDE w:val="0"/>
        <w:autoSpaceDN w:val="0"/>
        <w:adjustRightInd w:val="0"/>
        <w:spacing w:after="0" w:line="360" w:lineRule="auto"/>
        <w:ind w:firstLine="567"/>
        <w:jc w:val="both"/>
        <w:rPr>
          <w:rFonts w:ascii="Times New Roman" w:eastAsia="Times New Roman" w:hAnsi="Times New Roman" w:cs="Times New Roman"/>
          <w:i/>
          <w:sz w:val="28"/>
          <w:szCs w:val="28"/>
        </w:rPr>
      </w:pPr>
      <w:r w:rsidRPr="00C62D22">
        <w:rPr>
          <w:rFonts w:ascii="Times New Roman" w:eastAsia="Times New Roman" w:hAnsi="Times New Roman" w:cs="Times New Roman"/>
          <w:i/>
          <w:color w:val="000000"/>
          <w:sz w:val="28"/>
          <w:szCs w:val="28"/>
        </w:rPr>
        <w:t>Ефективність способу ілюструє такий приклад.</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Хворий К., 38 років, госпіталізований до хірургічного стаціонару зі скаргами на пожовтіння шкіри, помірний біль в епігастрії, лівому підребер’ї, оперізуючого характеру, з іррадіацією в спину та лопатку. Хворіє більше 1 року, погіршення стану, пожовтіння шкіри, склер – близько 1 тижня. Обстежений. Пальпаторно визначається в епігастрії пухлиноподібне утворення діаметром до </w:t>
      </w:r>
      <w:smartTag w:uri="urn:schemas-microsoft-com:office:smarttags" w:element="metricconverter">
        <w:smartTagPr>
          <w:attr w:name="ProductID" w:val="13 см"/>
        </w:smartTagPr>
        <w:r w:rsidRPr="00C62D22">
          <w:rPr>
            <w:rFonts w:ascii="Times New Roman" w:eastAsia="Times New Roman" w:hAnsi="Times New Roman" w:cs="Times New Roman"/>
            <w:sz w:val="28"/>
            <w:szCs w:val="28"/>
            <w:lang w:val="uk-UA"/>
          </w:rPr>
          <w:t>13 см</w:t>
        </w:r>
      </w:smartTag>
      <w:r w:rsidRPr="00C62D22">
        <w:rPr>
          <w:rFonts w:ascii="Times New Roman" w:eastAsia="Times New Roman" w:hAnsi="Times New Roman" w:cs="Times New Roman"/>
          <w:sz w:val="28"/>
          <w:szCs w:val="28"/>
          <w:lang w:val="uk-UA"/>
        </w:rPr>
        <w:t>. При УЗД – ознаки гепатоспленомегалії, хронічної дифузної патології паренхіми печінки, ознаки портальної гіпертензії, гіпертензія жовчовивідних шляхів, ХП, ПК голівки ПЗ. При виконанні МСКТ у хворого визначені ознаки вираженого хронічного фіброзно-дегенеративного панкреатиту, ПЗ збільшена у розмірах за рахунок голівки ПЗ, у якій візуалізується ПК розмірами до 13-</w:t>
      </w:r>
      <w:smartTag w:uri="urn:schemas-microsoft-com:office:smarttags" w:element="metricconverter">
        <w:smartTagPr>
          <w:attr w:name="ProductID" w:val="15 см"/>
        </w:smartTagPr>
        <w:r w:rsidRPr="00C62D22">
          <w:rPr>
            <w:rFonts w:ascii="Times New Roman" w:eastAsia="Times New Roman" w:hAnsi="Times New Roman" w:cs="Times New Roman"/>
            <w:sz w:val="28"/>
            <w:szCs w:val="28"/>
            <w:lang w:val="uk-UA"/>
          </w:rPr>
          <w:t>15 см</w:t>
        </w:r>
      </w:smartTag>
      <w:r w:rsidRPr="00C62D22">
        <w:rPr>
          <w:rFonts w:ascii="Times New Roman" w:eastAsia="Times New Roman" w:hAnsi="Times New Roman" w:cs="Times New Roman"/>
          <w:sz w:val="28"/>
          <w:szCs w:val="28"/>
          <w:lang w:val="uk-UA"/>
        </w:rPr>
        <w:t xml:space="preserve"> у діаметрі, ГПП не змінена, сполучається з порожниною ПК. Внутрішньопечінкові та позапечінкові протоки розширені: часточкові до 8-</w:t>
      </w:r>
      <w:smartTag w:uri="urn:schemas-microsoft-com:office:smarttags" w:element="metricconverter">
        <w:smartTagPr>
          <w:attr w:name="ProductID" w:val="9 мм"/>
        </w:smartTagPr>
        <w:r w:rsidRPr="00C62D22">
          <w:rPr>
            <w:rFonts w:ascii="Times New Roman" w:eastAsia="Times New Roman" w:hAnsi="Times New Roman" w:cs="Times New Roman"/>
            <w:sz w:val="28"/>
            <w:szCs w:val="28"/>
            <w:lang w:val="uk-UA"/>
          </w:rPr>
          <w:t>9 мм</w:t>
        </w:r>
      </w:smartTag>
      <w:r w:rsidRPr="00C62D22">
        <w:rPr>
          <w:rFonts w:ascii="Times New Roman" w:eastAsia="Times New Roman" w:hAnsi="Times New Roman" w:cs="Times New Roman"/>
          <w:sz w:val="28"/>
          <w:szCs w:val="28"/>
          <w:lang w:val="uk-UA"/>
        </w:rPr>
        <w:t xml:space="preserve">, холедох у середній третині до </w:t>
      </w:r>
      <w:smartTag w:uri="urn:schemas-microsoft-com:office:smarttags" w:element="metricconverter">
        <w:smartTagPr>
          <w:attr w:name="ProductID" w:val="15 мм"/>
        </w:smartTagPr>
        <w:r w:rsidRPr="00C62D22">
          <w:rPr>
            <w:rFonts w:ascii="Times New Roman" w:eastAsia="Times New Roman" w:hAnsi="Times New Roman" w:cs="Times New Roman"/>
            <w:sz w:val="28"/>
            <w:szCs w:val="28"/>
            <w:lang w:val="uk-UA"/>
          </w:rPr>
          <w:t>15 мм</w:t>
        </w:r>
      </w:smartTag>
      <w:r w:rsidRPr="00C62D22">
        <w:rPr>
          <w:rFonts w:ascii="Times New Roman" w:eastAsia="Times New Roman" w:hAnsi="Times New Roman" w:cs="Times New Roman"/>
          <w:sz w:val="28"/>
          <w:szCs w:val="28"/>
          <w:lang w:val="uk-UA"/>
        </w:rPr>
        <w:t xml:space="preserve">, термінальний відділ </w:t>
      </w:r>
      <w:r w:rsidRPr="00C62D22">
        <w:rPr>
          <w:rFonts w:ascii="Times New Roman" w:eastAsia="Times New Roman" w:hAnsi="Times New Roman" w:cs="Times New Roman"/>
          <w:sz w:val="28"/>
          <w:szCs w:val="28"/>
          <w:lang w:val="uk-UA"/>
        </w:rPr>
        <w:lastRenderedPageBreak/>
        <w:t xml:space="preserve">холедоху звужений. Встановлено діагноз: Хронічний фіброзно-дегенеративний панкреатит, ПК голівки ПЗ ІІ типу, гостра МЖ, тубулярний стеноз холедоху, вторинна портальна гіпертензія (ВПГ). Виконано верхньо-серединну лапаротомію. У черевній порожнині при ревізії – ознаки ВПГ (гепатоспленомегалія, розширення вен великого чепця). Шлунок збільшений у розмірах. Конкрементів у жовчному міхурі немає. Холедох розширений до </w:t>
      </w:r>
      <w:smartTag w:uri="urn:schemas-microsoft-com:office:smarttags" w:element="metricconverter">
        <w:smartTagPr>
          <w:attr w:name="ProductID" w:val="20 мм"/>
        </w:smartTagPr>
        <w:r w:rsidRPr="00C62D22">
          <w:rPr>
            <w:rFonts w:ascii="Times New Roman" w:eastAsia="Times New Roman" w:hAnsi="Times New Roman" w:cs="Times New Roman"/>
            <w:sz w:val="28"/>
            <w:szCs w:val="28"/>
            <w:lang w:val="uk-UA"/>
          </w:rPr>
          <w:t>20 мм</w:t>
        </w:r>
      </w:smartTag>
      <w:r w:rsidRPr="00C62D22">
        <w:rPr>
          <w:rFonts w:ascii="Times New Roman" w:eastAsia="Times New Roman" w:hAnsi="Times New Roman" w:cs="Times New Roman"/>
          <w:sz w:val="28"/>
          <w:szCs w:val="28"/>
          <w:lang w:val="uk-UA"/>
        </w:rPr>
        <w:t>. ДПК мобілізована за Кохером, розкрита чепцева сумка. ПЗ на всьому протязі збільшена, переважно в ділянці голівки, де візуалізується пухлиноподібне утворення – ПК із сформованими стінками (рис. 8.15).</w:t>
      </w:r>
    </w:p>
    <w:p w:rsidR="00C62D22" w:rsidRPr="00C62D22" w:rsidRDefault="00C62D22" w:rsidP="00C62D22">
      <w:pPr>
        <w:spacing w:after="0" w:line="24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86" type="#_x0000_t202" style="position:absolute;left:0;text-align:left;margin-left:18pt;margin-top:189.9pt;width:477pt;height:27pt;z-index:251881472" stroked="f">
            <v:textbox style="mso-next-textbox:#_x0000_s1286">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8.15. Голівка ПЗ збільшена за рахунок ПК</w:t>
                  </w:r>
                </w:p>
              </w:txbxContent>
            </v:textbox>
          </v:shape>
        </w:pict>
      </w:r>
      <w:r w:rsidRPr="00C62D22">
        <w:rPr>
          <w:rFonts w:ascii="Times New Roman" w:eastAsia="Times New Roman" w:hAnsi="Times New Roman" w:cs="Times New Roman"/>
          <w:noProof/>
          <w:sz w:val="28"/>
          <w:szCs w:val="28"/>
        </w:rPr>
        <w:pict>
          <v:shape id="_x0000_s1287" type="#_x0000_t13" style="position:absolute;left:0;text-align:left;margin-left:189pt;margin-top:136.85pt;width:99pt;height:18pt;z-index:251882496"/>
        </w:pic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33850" cy="2533650"/>
            <wp:effectExtent l="19050" t="0" r="0"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11" cstate="print"/>
                    <a:srcRect/>
                    <a:stretch>
                      <a:fillRect/>
                    </a:stretch>
                  </pic:blipFill>
                  <pic:spPr bwMode="auto">
                    <a:xfrm>
                      <a:off x="0" y="0"/>
                      <a:ext cx="4133850" cy="2533650"/>
                    </a:xfrm>
                    <a:prstGeom prst="rect">
                      <a:avLst/>
                    </a:prstGeom>
                    <a:noFill/>
                    <a:ln w="9525">
                      <a:noFill/>
                      <a:miter lim="800000"/>
                      <a:headEnd/>
                      <a:tailEnd/>
                    </a:ln>
                  </pic:spPr>
                </pic:pic>
              </a:graphicData>
            </a:graphic>
          </wp:inline>
        </w:drawing>
      </w:r>
    </w:p>
    <w:p w:rsidR="00C62D22" w:rsidRPr="00C62D22" w:rsidRDefault="00C62D22" w:rsidP="00C62D22">
      <w:pPr>
        <w:spacing w:after="0" w:line="24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Виконана резекція вентральної частини голівки ПЗ за Фреєм (рис. 8.16).</w:t>
      </w:r>
    </w:p>
    <w:p w:rsidR="00C62D22" w:rsidRPr="00C62D22" w:rsidRDefault="00C62D22" w:rsidP="00C62D22">
      <w:pPr>
        <w:spacing w:after="0" w:line="24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88" type="#_x0000_t202" style="position:absolute;left:0;text-align:left;margin-left:9pt;margin-top:206pt;width:495pt;height:36pt;z-index:251883520" stroked="f">
            <v:textbox style="mso-next-textbox:#_x0000_s1288">
              <w:txbxContent>
                <w:p w:rsidR="00C62D22" w:rsidRPr="00C62D22" w:rsidRDefault="00C62D22" w:rsidP="00C62D22">
                  <w:pPr>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8.16. Резекція вентральної частини голівки ПЗ за Фреєм</w:t>
                  </w:r>
                </w:p>
              </w:txbxContent>
            </v:textbox>
          </v:shape>
        </w:pic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14800" cy="2514600"/>
            <wp:effectExtent l="1905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112" cstate="print"/>
                    <a:srcRect/>
                    <a:stretch>
                      <a:fillRect/>
                    </a:stretch>
                  </pic:blipFill>
                  <pic:spPr bwMode="auto">
                    <a:xfrm>
                      <a:off x="0" y="0"/>
                      <a:ext cx="4114800" cy="251460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 xml:space="preserve">Накладено панкреатоєюноанастомоз на петлі тонкої кишки за Ру. На цій ж петлі на відстані </w:t>
      </w:r>
      <w:smartTag w:uri="urn:schemas-microsoft-com:office:smarttags" w:element="metricconverter">
        <w:smartTagPr>
          <w:attr w:name="ProductID" w:val="15 см"/>
        </w:smartTagPr>
        <w:r w:rsidRPr="00C62D22">
          <w:rPr>
            <w:rFonts w:ascii="Times New Roman" w:eastAsia="Times New Roman" w:hAnsi="Times New Roman" w:cs="Times New Roman"/>
            <w:sz w:val="28"/>
            <w:szCs w:val="28"/>
            <w:lang w:val="uk-UA"/>
          </w:rPr>
          <w:t>15 см</w:t>
        </w:r>
      </w:smartTag>
      <w:r w:rsidRPr="00C62D22">
        <w:rPr>
          <w:rFonts w:ascii="Times New Roman" w:eastAsia="Times New Roman" w:hAnsi="Times New Roman" w:cs="Times New Roman"/>
          <w:sz w:val="28"/>
          <w:szCs w:val="28"/>
          <w:lang w:val="uk-UA"/>
        </w:rPr>
        <w:t xml:space="preserve"> від панкреатоєюноанастомозу накладено холецистоєюноанастомоз; також виконано холецистогепатикоанастомоз (рис. 8.17).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79" type="#_x0000_t202" style="position:absolute;left:0;text-align:left;margin-left:0;margin-top:333.45pt;width:7in;height:72.85pt;z-index:251874304" stroked="f">
            <v:textbox style="mso-next-textbox:#_x0000_s1279">
              <w:txbxContent>
                <w:p w:rsidR="00C62D22" w:rsidRPr="00C62D22" w:rsidRDefault="00C62D22" w:rsidP="00C62D22">
                  <w:pPr>
                    <w:tabs>
                      <w:tab w:val="left" w:pos="0"/>
                    </w:tabs>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 8.17. Схема способу лікування хронічного панкреатиту, ускладненого непрохідністю термінальної частини холедоха (Пат. України № 77100 від 25.01.2013 р). </w:t>
                  </w:r>
                </w:p>
                <w:p w:rsidR="00C62D22" w:rsidRPr="00264005" w:rsidRDefault="00C62D22" w:rsidP="00C62D22">
                  <w:pPr>
                    <w:rPr>
                      <w:lang w:val="uk-UA"/>
                    </w:rPr>
                  </w:pPr>
                </w:p>
              </w:txbxContent>
            </v:textbox>
          </v:shape>
        </w:pict>
      </w:r>
      <w:r w:rsidRPr="00C62D22">
        <w:rPr>
          <w:rFonts w:ascii="Times New Roman" w:eastAsia="Times New Roman" w:hAnsi="Times New Roman" w:cs="Times New Roman"/>
          <w:noProof/>
          <w:sz w:val="28"/>
          <w:szCs w:val="28"/>
        </w:rPr>
        <w:drawing>
          <wp:inline distT="0" distB="0" distL="0" distR="0">
            <wp:extent cx="5943600" cy="4248150"/>
            <wp:effectExtent l="19050" t="0" r="0" b="0"/>
            <wp:docPr id="52"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113"/>
                    <a:srcRect/>
                    <a:stretch>
                      <a:fillRect/>
                    </a:stretch>
                  </pic:blipFill>
                  <pic:spPr bwMode="auto">
                    <a:xfrm>
                      <a:off x="0" y="0"/>
                      <a:ext cx="5943600" cy="424815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en-US"/>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Черевна порожнина санована та дренована двома рукавицями та трубками. Пошарові шви на рану. Асептична пов’язка. Перебіг післяопераційного періоду – без особливостей. Проведено консервативну терапію, яка включала протизапальні засоби, спазмолітики, противиразкову терапію, низькомолекулярний гепарин, антисекреторну терапію, інфузіійну терапію. Виписаний з клініки на 12 добу. Оглянутий за 3 тижні, 1, 3, 6 місяців після операції. Проведено оцінювання якості життя хворого за допомогою адаптованого опитувача SF – 36 через 2 роки після </w:t>
      </w:r>
      <w:r w:rsidRPr="00C62D22">
        <w:rPr>
          <w:rFonts w:ascii="Times New Roman" w:eastAsia="Times New Roman" w:hAnsi="Times New Roman" w:cs="Times New Roman"/>
          <w:sz w:val="28"/>
          <w:szCs w:val="28"/>
          <w:lang w:val="uk-UA"/>
        </w:rPr>
        <w:lastRenderedPageBreak/>
        <w:t xml:space="preserve">операції. Стан хворого задовільний, скарг немає. Збільшилася вага на </w:t>
      </w:r>
      <w:smartTag w:uri="urn:schemas-microsoft-com:office:smarttags" w:element="metricconverter">
        <w:smartTagPr>
          <w:attr w:name="ProductID" w:val="3 кг"/>
        </w:smartTagPr>
        <w:r w:rsidRPr="00C62D22">
          <w:rPr>
            <w:rFonts w:ascii="Times New Roman" w:eastAsia="Times New Roman" w:hAnsi="Times New Roman" w:cs="Times New Roman"/>
            <w:sz w:val="28"/>
            <w:szCs w:val="28"/>
            <w:lang w:val="uk-UA"/>
          </w:rPr>
          <w:t>3 кг</w:t>
        </w:r>
      </w:smartTag>
      <w:r w:rsidRPr="00C62D22">
        <w:rPr>
          <w:rFonts w:ascii="Times New Roman" w:eastAsia="Times New Roman" w:hAnsi="Times New Roman" w:cs="Times New Roman"/>
          <w:sz w:val="28"/>
          <w:szCs w:val="28"/>
          <w:lang w:val="uk-UA"/>
        </w:rPr>
        <w:t xml:space="preserve"> порівняно з попередньою. Хворий отримує замісну терапію та дотримується дієти.</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 1-го хворого після операції Фрея на 1 добу після операції виникла внутрішньочеревна кровотеча (за дренажами до 100 мл геморагічного ексудату), в ургентному порядку виконана релапаротомія, зупинка внутрішньочеревної кровотечі, санація та дренування черевної порожнини.</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Дистальна резекція ПЗ з спленектомією виконана 1-му хворому з хронічним фіброзно-дегенеративним панкреатитом, ПК тіла-хвоста ПЗ, МЖ, станом після ЕСГ пункції ПЗ (1 місяць тому) (рис.8.18).</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43375" cy="2686050"/>
            <wp:effectExtent l="19050" t="0" r="9525" b="0"/>
            <wp:docPr id="51"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14" cstate="print"/>
                    <a:srcRect/>
                    <a:stretch>
                      <a:fillRect/>
                    </a:stretch>
                  </pic:blipFill>
                  <pic:spPr bwMode="auto">
                    <a:xfrm>
                      <a:off x="0" y="0"/>
                      <a:ext cx="4143375" cy="268605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74" type="#_x0000_t202" style="position:absolute;left:0;text-align:left;margin-left:9pt;margin-top:10.3pt;width:496pt;height:36pt;z-index:251869184" stroked="f">
            <v:textbox style="mso-next-textbox:#_x0000_s1274">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8.18. Резектований хвіст ПЗ разом із селезінкою (макропрепарат)</w:t>
                  </w: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en-US"/>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Бернська модифікація операції Бегера виконана 1-му пацієнту з хронічним фіброзно-дегенеративним панкреатитом, ПК голівки ПЗ, МЖ, біліарною гіпертензією.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При ПК ПЗ, ускладнених розривом (3), 1-му хворому виконана ЦЄС, 1-му – зовнішнє дренування ПК. Дистальна резекція ПЗ з спленектомією, ушиванням дефекту товстої кишки виконана 1-му пацієнту з хронічним фіброзно-дегенеративним панкреатитом, інфікованою ПК ПЗ, ускладненою перфорацією в товсту кишку.</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При ПК ПЗ, ускладненою нагноєнням та розривом, розповсюдженим перитонітом, 1-му пацієнту виконано лапаротомію, санацію та дренування черевної порожнини; 1 хворому з ПК ПЗ, що ускладнена проривом у грижовий мішок, виконано герніолапаротомію, зовнішнє дренування ПК ПЗ. 1 хворий в анамнезі оперований із приводу гострого панкреонекрозу.</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ПК ПЗ, ускладнених кровотечею в її порожнину (15), 9-ти пацієнтам виконані лапаротомії, гемостаз, зовнішнє дренування ПК ПЗ (у тому числі 1-му хворому з ПК ПЗ, ускладненою кровотечею в її порожнину та МЖ, гнійним холангітом, зовнішнє дренування ПК доповнено ГЄС, ХЕ, в 1-го – операція закінчена ОБС). В 1-го хворого післяопераційний період ускладнився гіпостатичною двобічною пневмонією, анемією, лівобічним гідротораксом, проведено консервативну, замісну гемостатичну терапію, дренування лівої плевральної порожнини за Бюлау.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Лапаротомії, ЦЄС виконані в 3 хворих. З них 2 пацієнта мали в анамнезі втручання на ПЗ (1– пункцію під контролем УЗД, 1 – рік поспіль лікувався з приводу закритої травми живота, травматичного розриву ПЗ, у післяопераційний період виникла панкреатична нориця).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Дистальну резекцію ПЗ зі спленектомією виконано 2-ом хворим з ПК хвоста ПЗ, ускладненою кровотечею в її порожнину (у 1-го – ПК ПЗ ускладнена аневризмою селезінкової артерії, у 1-го – ПК ПЗ ускладнена арозією стінки селезінкової артерії та вени, інфарктом селезінки, та в анамнезі РЕО селезінкової артерії 1 місяць тому).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Панкреатодуоденальна резекція (ПДР) виконана 1-му пацієнту з ПК ПЗ, ускладненою кровотечею в її порожнину, аневризмою ГДА до </w:t>
      </w:r>
      <w:smartTag w:uri="urn:schemas-microsoft-com:office:smarttags" w:element="metricconverter">
        <w:smartTagPr>
          <w:attr w:name="ProductID" w:val="10 см"/>
        </w:smartTagPr>
        <w:r w:rsidRPr="00C62D22">
          <w:rPr>
            <w:rFonts w:ascii="Times New Roman" w:eastAsia="Times New Roman" w:hAnsi="Times New Roman" w:cs="Times New Roman"/>
            <w:sz w:val="28"/>
            <w:szCs w:val="28"/>
            <w:lang w:val="uk-UA"/>
          </w:rPr>
          <w:t>10 см</w:t>
        </w:r>
      </w:smartTag>
      <w:r w:rsidRPr="00C62D22">
        <w:rPr>
          <w:rFonts w:ascii="Times New Roman" w:eastAsia="Times New Roman" w:hAnsi="Times New Roman" w:cs="Times New Roman"/>
          <w:sz w:val="28"/>
          <w:szCs w:val="28"/>
          <w:lang w:val="uk-UA"/>
        </w:rPr>
        <w:t xml:space="preserve">, МЖ, холангітом (емболізувати аневризму було неможливо з-за гігантських розмірів аневризми) (рис. 8.19).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lastRenderedPageBreak/>
        <w:drawing>
          <wp:inline distT="0" distB="0" distL="0" distR="0">
            <wp:extent cx="4114800" cy="2671445"/>
            <wp:effectExtent l="19050" t="0" r="0" b="0"/>
            <wp:docPr id="23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5"/>
                    <a:srcRect/>
                    <a:stretch>
                      <a:fillRect/>
                    </a:stretch>
                  </pic:blipFill>
                  <pic:spPr bwMode="auto">
                    <a:xfrm>
                      <a:off x="0" y="0"/>
                      <a:ext cx="4114800" cy="267144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75" type="#_x0000_t202" style="position:absolute;left:0;text-align:left;margin-left:0;margin-top:1pt;width:7in;height:26.65pt;z-index:251870208" stroked="f">
            <v:textbox style="mso-next-textbox:#_x0000_s1275">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 8.19. Резектований панкреатодуоденальний комплекс </w:t>
                  </w: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Хворий помер. Причиною смерті була повторна арозивна кровотеча з ГДА.</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 якості ІІ етапу 22-ом хворим на ускладнені ПК ПЗ були виконані лапаротомії, з наступною ліквідацією самої ПК (табл. 8.4).</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8.4</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Характер лапаротомних втручань, виконаних у хворих з ускладненими ПК ПЗ, у якості ІІ етапу</w:t>
      </w:r>
    </w:p>
    <w:tbl>
      <w:tblPr>
        <w:tblW w:w="9826"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860"/>
        <w:gridCol w:w="1676"/>
        <w:gridCol w:w="1800"/>
        <w:gridCol w:w="1490"/>
      </w:tblGrid>
      <w:tr w:rsidR="00C62D22" w:rsidRPr="00C62D22" w:rsidTr="00E83BB7">
        <w:tc>
          <w:tcPr>
            <w:tcW w:w="486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Втручання</w:t>
            </w:r>
          </w:p>
        </w:tc>
        <w:tc>
          <w:tcPr>
            <w:tcW w:w="1676"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Кількість</w:t>
            </w:r>
          </w:p>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 хворих</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Мали </w:t>
            </w:r>
          </w:p>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ускладнення</w:t>
            </w:r>
          </w:p>
        </w:tc>
        <w:tc>
          <w:tcPr>
            <w:tcW w:w="149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Померло </w:t>
            </w:r>
          </w:p>
        </w:tc>
      </w:tr>
      <w:tr w:rsidR="00C62D22" w:rsidRPr="00C62D22" w:rsidTr="00E83BB7">
        <w:tc>
          <w:tcPr>
            <w:tcW w:w="486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Зовнішнє дренування ПК ПЗ</w:t>
            </w:r>
          </w:p>
        </w:tc>
        <w:tc>
          <w:tcPr>
            <w:tcW w:w="1676"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49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86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Цистопанкреатоентеростомія</w:t>
            </w:r>
          </w:p>
        </w:tc>
        <w:tc>
          <w:tcPr>
            <w:tcW w:w="1676"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49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86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Операція Фрея</w:t>
            </w:r>
          </w:p>
        </w:tc>
        <w:tc>
          <w:tcPr>
            <w:tcW w:w="1676"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49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p>
        </w:tc>
      </w:tr>
      <w:tr w:rsidR="00C62D22" w:rsidRPr="00C62D22" w:rsidTr="00E83BB7">
        <w:tc>
          <w:tcPr>
            <w:tcW w:w="486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Дистальна резекція ПЗ</w:t>
            </w:r>
          </w:p>
        </w:tc>
        <w:tc>
          <w:tcPr>
            <w:tcW w:w="1676"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49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p>
        </w:tc>
      </w:tr>
      <w:tr w:rsidR="00C62D22" w:rsidRPr="00C62D22" w:rsidTr="00E83BB7">
        <w:tc>
          <w:tcPr>
            <w:tcW w:w="486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Бернська модифікація операції Бегера</w:t>
            </w:r>
          </w:p>
        </w:tc>
        <w:tc>
          <w:tcPr>
            <w:tcW w:w="1676"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49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86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Лапаротомія, санація та дренування черевної порожнини </w:t>
            </w:r>
          </w:p>
        </w:tc>
        <w:tc>
          <w:tcPr>
            <w:tcW w:w="1676"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49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860" w:type="dxa"/>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Усього </w:t>
            </w:r>
          </w:p>
        </w:tc>
        <w:tc>
          <w:tcPr>
            <w:tcW w:w="1676"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22</w:t>
            </w:r>
          </w:p>
        </w:tc>
        <w:tc>
          <w:tcPr>
            <w:tcW w:w="180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1490" w:type="dxa"/>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лікуванні інфікованих ПК ПЗ ІІ типу, у якості ІІ етапу, після пункцій під контролем УЗД та дренування під контролем УЗД 4-ом хворим виконані </w:t>
      </w:r>
      <w:r w:rsidRPr="00C62D22">
        <w:rPr>
          <w:rFonts w:ascii="Times New Roman" w:eastAsia="Times New Roman" w:hAnsi="Times New Roman" w:cs="Times New Roman"/>
          <w:sz w:val="28"/>
          <w:szCs w:val="28"/>
          <w:lang w:val="uk-UA"/>
        </w:rPr>
        <w:lastRenderedPageBreak/>
        <w:t xml:space="preserve">лапаротомії, зовнішні дренування ПК, 1 пацієнту – лапаротомію, ЦЄС. В 1-го хворого після зовнішнього дренування ПК, на 11 добу виникло рідинне скупчення черевної порожнини, яке було ліквідоване пункцією під контролем УЗД.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Операцію Фрея з ППЄС, після пункції та зовнішнього дренування ПК, виконано 1-му пацієнту з хронічним фіброзно-дегенеративним панкреатитом, інфікованою ПК ПЗ, субкомпенсованою жовчною гіпертензією. </w:t>
      </w:r>
    </w:p>
    <w:p w:rsidR="00C62D22" w:rsidRPr="00C62D22" w:rsidRDefault="00C62D22" w:rsidP="00C62D22">
      <w:pPr>
        <w:spacing w:after="0" w:line="360" w:lineRule="auto"/>
        <w:ind w:firstLine="567"/>
        <w:jc w:val="both"/>
        <w:rPr>
          <w:rFonts w:ascii="Times New Roman" w:eastAsia="Times New Roman" w:hAnsi="Times New Roman" w:cs="Times New Roman"/>
          <w:b/>
          <w:sz w:val="28"/>
          <w:szCs w:val="28"/>
          <w:lang w:val="uk-UA"/>
        </w:rPr>
      </w:pPr>
      <w:r w:rsidRPr="00C62D22">
        <w:rPr>
          <w:rFonts w:ascii="Times New Roman" w:eastAsia="Times New Roman" w:hAnsi="Times New Roman" w:cs="Times New Roman"/>
          <w:sz w:val="28"/>
          <w:szCs w:val="28"/>
          <w:lang w:val="uk-UA"/>
        </w:rPr>
        <w:t>Дистальну резекцію ПЗ зі спленектомією виконано 1-му хворому з ХП, багатокамерною постнекротичною ПК ПЗ з інфікуванням, станом після лапаротомії, ЦЄС 2 місяці тому. Післяопераційний період ускладнився ексудативним лівобічним плевритом, ліквідовано пункцією лівої плевральної порожнини під контролем УЗД.</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лікуванні ПК ПЗ, ускладнених компресією шлунка та/або ДПК, у якості ІІ етапу, після пункції під контролем УЗД, 2-ом хворим виконані лапаротомії, ЦЄС (у 1-го хворого в анамнезі виконувалося ендобіліарне стентування холедоху (рис. 8.20), 1-го – лапаротомія, зовнішнє дренування ПК; після ЕСГ пункцій, у якості ІІ етапу, виконані – лапаротомію, зовнішнє дренування ПК 1-му пацієнту, та 1-му – резекцію голівки ПЗ за Бернською модифікацією операції Бегера [127, 144].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drawing>
          <wp:inline distT="0" distB="0" distL="0" distR="0">
            <wp:extent cx="4114800" cy="2667000"/>
            <wp:effectExtent l="19050" t="0" r="0" b="0"/>
            <wp:docPr id="22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6"/>
                    <a:srcRect/>
                    <a:stretch>
                      <a:fillRect/>
                    </a:stretch>
                  </pic:blipFill>
                  <pic:spPr bwMode="auto">
                    <a:xfrm>
                      <a:off x="0" y="0"/>
                      <a:ext cx="4114800" cy="266700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280" type="#_x0000_t202" style="position:absolute;left:0;text-align:left;margin-left:9pt;margin-top:.6pt;width:495pt;height:33.95pt;z-index:251875328" stroked="f">
            <v:textbox style="mso-next-textbox:#_x0000_s1280">
              <w:txbxContent>
                <w:p w:rsidR="00C62D22" w:rsidRPr="00C62D22" w:rsidRDefault="00C62D22" w:rsidP="00C62D22">
                  <w:pPr>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8.20. Ендобіліарне стентування холедоху</w:t>
                  </w: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В 1-го хворого з інфікованою ПК ПЗ, ускладненою МЖ та деформацією шлунка, після дренування ПК під контролем УЗД, у якості ІІ етапу, виконано лапаротомію, </w:t>
      </w:r>
      <w:r w:rsidRPr="00C62D22">
        <w:rPr>
          <w:rFonts w:ascii="Times New Roman" w:eastAsia="Times New Roman" w:hAnsi="Times New Roman" w:cs="Times New Roman"/>
          <w:sz w:val="28"/>
          <w:szCs w:val="28"/>
          <w:lang w:val="uk-UA"/>
        </w:rPr>
        <w:lastRenderedPageBreak/>
        <w:t>зовнішнє дренування ПК ПЗ. 1-му хворому з хронічним панкреатитом, ПК ПЗ, ускладненою МЖ, гнійним холангітом, холедохолітіазом, стенозуючим папілітом, попередньо виконано ЕПСТ з літоекстракцією, з наступною лапаротомією, ЦЄС, ХЕ, зовнішнім дренуванням холедоха [128].</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 1-го хворого на хронічний панкреатит, ПК тіла та хвоста ПЗ, псевдоаневризмою селезінкової артерії, після зупинки кровотечі за допомогою РЕО селезінкової артерії, після стабілізації стану пацієнта, виконано лапаротомію, ЦЄС за Ру.</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 4-х хворих з ПК ПЗ, що ускладнені кровотечею в їх порожнину, після попередніх пункцій під контролем УЗД з метою декомпресії, виконано лапаротомію, санацію та зовнішнє дренування ПК, в 1-го хворого на 15 добу виник рецидив ПК – ліквідований пункцією ПК під контролем УЗД. У 2-х хворих після УЗД пункцій ПК, виконані ЦЄС. В 1-го пацієнта з ПК голівки ПЗ із розривом та кровотечею в її порожнину, після пункції під контролем УЗД виконано лапаротомію, санацію та дренування черевної порожнини, на 5 добу післяопераційний період ускладнився внутрішньочеревною кровотечею, виконана пункція ПК під контролем УЗД, консервативна гемостатична терапія, через 10 діб – рецидив кровотечі, релапаротомія, гемостаз, санація та дренування черевної порожнини. У післяопераційний період у хворого виникла двобічна нижньочасточкова гіпостатична пневмонія, проведено консервативну терапію, виписаний на 39 добу [49, 119, 272].</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Таким чином, у хворих з ускладненими ПК ПЗ ІІ типу у 81,5 % випадків мінінвазивні методики були заключним етапом в їх лікуванні. У 18,5 % випадків ці методики використовувалися з метою «вичікувальної» тактики, </w:t>
      </w:r>
      <w:r w:rsidRPr="00C62D22">
        <w:rPr>
          <w:rFonts w:ascii="Times New Roman" w:eastAsia="Times New Roman" w:hAnsi="Times New Roman" w:cs="Times New Roman"/>
          <w:sz w:val="28"/>
          <w:szCs w:val="28"/>
        </w:rPr>
        <w:t xml:space="preserve">для </w:t>
      </w:r>
      <w:r w:rsidRPr="00C62D22">
        <w:rPr>
          <w:rFonts w:ascii="Times New Roman" w:eastAsia="Times New Roman" w:hAnsi="Times New Roman" w:cs="Times New Roman"/>
          <w:sz w:val="28"/>
          <w:szCs w:val="28"/>
          <w:lang w:val="uk-UA"/>
        </w:rPr>
        <w:t xml:space="preserve">полегшення загального стану хворого, з подальшим виконанням лапаротомного втручання. Виконання радикальних оперативних втручань залежало від важкості стану пацієнтів, розповсюдженості ХП, локалізації ПК, стану протокової системи, а також наявністю ускладнень з боку суміжних органів. Використання запропонованого алгоритму дозволило досягти летальності в 0,4 % (помер 1 хворий). При лікуванні ускладнених ПК ПЗ мініінвазивні та «відкриті» втручання необхідно застосовувати </w:t>
      </w:r>
      <w:r w:rsidRPr="00C62D22">
        <w:rPr>
          <w:rFonts w:ascii="Times New Roman" w:eastAsia="Times New Roman" w:hAnsi="Times New Roman" w:cs="Times New Roman"/>
          <w:sz w:val="28"/>
          <w:szCs w:val="28"/>
          <w:lang w:val="uk-UA"/>
        </w:rPr>
        <w:lastRenderedPageBreak/>
        <w:t>як взаємодоповнюючі, з великим діапазоном діагностичних та лікувальних можливостей.</w:t>
      </w:r>
    </w:p>
    <w:p w:rsidR="00C62D22" w:rsidRPr="00C62D22" w:rsidRDefault="00C62D22" w:rsidP="00C62D22">
      <w:pPr>
        <w:spacing w:line="360" w:lineRule="auto"/>
        <w:ind w:firstLine="567"/>
        <w:jc w:val="center"/>
        <w:rPr>
          <w:rFonts w:ascii="Times New Roman" w:eastAsia="Times New Roman" w:hAnsi="Times New Roman" w:cs="Times New Roman"/>
          <w:b/>
          <w:sz w:val="28"/>
          <w:szCs w:val="28"/>
          <w:lang w:val="uk-UA"/>
        </w:rPr>
      </w:pPr>
      <w:r w:rsidRPr="00C62D22">
        <w:rPr>
          <w:rFonts w:ascii="Times New Roman" w:hAnsi="Times New Roman" w:cs="Times New Roman"/>
          <w:sz w:val="28"/>
          <w:szCs w:val="28"/>
          <w:lang w:val="uk-UA"/>
        </w:rPr>
        <w:br w:type="page"/>
      </w:r>
      <w:r w:rsidRPr="00C62D22">
        <w:rPr>
          <w:rFonts w:ascii="Times New Roman" w:eastAsia="Times New Roman" w:hAnsi="Times New Roman" w:cs="Times New Roman"/>
          <w:b/>
          <w:sz w:val="28"/>
          <w:szCs w:val="28"/>
          <w:lang w:val="uk-UA"/>
        </w:rPr>
        <w:lastRenderedPageBreak/>
        <w:t>РОЗДІЛ 9</w:t>
      </w:r>
    </w:p>
    <w:p w:rsidR="00C62D22" w:rsidRPr="00C62D22" w:rsidRDefault="00C62D22" w:rsidP="00C62D22">
      <w:pPr>
        <w:spacing w:after="0" w:line="360" w:lineRule="auto"/>
        <w:ind w:firstLine="567"/>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ХІРУРГІЧНЕ ЛІКУВАННЯ УСКЛАДНЕНИХ ПСЕВДОКІСТ ПІДШЛУНКОВОЇ ЗАЛОЗИ ТРЕТЬОГО ТИПУ</w:t>
      </w:r>
    </w:p>
    <w:p w:rsidR="00C62D22" w:rsidRPr="00C62D22" w:rsidRDefault="00C62D22" w:rsidP="00C62D22">
      <w:pPr>
        <w:spacing w:after="0" w:line="360" w:lineRule="auto"/>
        <w:ind w:firstLine="567"/>
        <w:jc w:val="both"/>
        <w:rPr>
          <w:rFonts w:ascii="Times New Roman" w:eastAsia="Times New Roman" w:hAnsi="Times New Roman" w:cs="Times New Roman"/>
          <w:b/>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b/>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Для лікування хворих з ускладненими ПК ПЗ ІІІ типу (n=177) було застосовано тактику «step-up approach» [47, 50, 129, 144].</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9.1. Застосування мініінвазивних методів лікування ускладнених псевдокіст підшлункової залози третього типу</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ab/>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У якості першого етапу лікування ускладнених ПК ПЗ ІІІ типу у 36 хворих застосовані мініінвазивні втручання [41, 42, 50, 116], характер яких наведений у табл. 9.1 </w:t>
      </w:r>
    </w:p>
    <w:p w:rsidR="00C62D22" w:rsidRPr="00C62D22" w:rsidRDefault="00C62D22" w:rsidP="00C62D22">
      <w:pPr>
        <w:spacing w:after="0" w:line="360" w:lineRule="auto"/>
        <w:ind w:firstLine="708"/>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9.1</w:t>
      </w:r>
    </w:p>
    <w:p w:rsidR="00C62D22" w:rsidRPr="00C62D22" w:rsidRDefault="00C62D22" w:rsidP="00C62D22">
      <w:pPr>
        <w:tabs>
          <w:tab w:val="left" w:pos="620"/>
        </w:tabs>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Характер мінінвазивних втручань, виконаних у хворих з ускладненими ПК ПЗ третього типу (n=36)</w:t>
      </w:r>
    </w:p>
    <w:tbl>
      <w:tblPr>
        <w:tblW w:w="99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80"/>
        <w:gridCol w:w="1800"/>
        <w:gridCol w:w="1800"/>
        <w:gridCol w:w="1620"/>
      </w:tblGrid>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Втручання</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Кількість</w:t>
            </w:r>
          </w:p>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хворих</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Мали </w:t>
            </w:r>
          </w:p>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ускладнення</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Померло </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Пункції ПК ПЗ під контролем УЗД</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ЕСГ пункції ПК ПЗ</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Крізьшкірні дренування ПК ПЗ за типом «pig tail»</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6</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Ендоскопічна ЦГС</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РЕО</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9</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Встановлення стент-графту</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ККХС під контролем УЗД</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Усього</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36</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9</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bl>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 xml:space="preserve">При лікуванні інфікованих ПК ІІІ типу (5) 2-ом хворим виконані пункції ПК ПЗ під контролем УЗД, 2-ом – крізьшкірні дренування під контролем УЗД за типом «pig tail», 1-му – ЕСГ пункцію [126, 130].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мікробіологічному дослідженні пунктату інфікованих ПК ПЗ виявлено </w:t>
      </w:r>
      <w:r w:rsidRPr="00C62D22">
        <w:rPr>
          <w:rFonts w:ascii="Times New Roman" w:eastAsia="Times New Roman" w:hAnsi="Times New Roman" w:cs="Times New Roman"/>
          <w:color w:val="171512"/>
          <w:sz w:val="28"/>
          <w:szCs w:val="28"/>
          <w:lang w:val="uk-UA"/>
        </w:rPr>
        <w:t>Staphylococcus aureus у 3-х хворих, Enterococcus faecalis – 1-го, Pseudomonas spp. – 1-го.</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У післяопераційний період повторно пунктовані 5 пацієнтів, у 1-го хворого на 7 добу після пункції під контролем УЗД виникла кровотеча в порожнину ПК, зупинена консервативно. Характер мініінвазивних втручань, виконаних у хворих у якості ІІ етапу, наведений у табл. 9.2. </w:t>
      </w:r>
    </w:p>
    <w:p w:rsidR="00C62D22" w:rsidRPr="00C62D22" w:rsidRDefault="00C62D22" w:rsidP="00C62D22">
      <w:pPr>
        <w:spacing w:after="0" w:line="360" w:lineRule="auto"/>
        <w:ind w:firstLine="709"/>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708"/>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9.2</w:t>
      </w:r>
    </w:p>
    <w:p w:rsidR="00C62D22" w:rsidRPr="00C62D22" w:rsidRDefault="00C62D22" w:rsidP="00C62D22">
      <w:pPr>
        <w:spacing w:after="0" w:line="360" w:lineRule="auto"/>
        <w:ind w:firstLine="708"/>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 xml:space="preserve">Характер мініінвазивних втручань, виконаних у хворих з ПК ІІІ типу, у якості ІІ етапу </w:t>
      </w:r>
    </w:p>
    <w:tbl>
      <w:tblPr>
        <w:tblW w:w="99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0"/>
        <w:gridCol w:w="1800"/>
        <w:gridCol w:w="1980"/>
        <w:gridCol w:w="1620"/>
      </w:tblGrid>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Втручання</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Кількість хворих</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Мали </w:t>
            </w:r>
          </w:p>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ускладнення</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Померло</w:t>
            </w:r>
          </w:p>
        </w:tc>
      </w:tr>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ЕСГ пункції</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Пункції ПК ПЗ під контролем УЗД</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РЕО</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Усього </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Після ЕСГ пункції хворому через 6 діб виконували повторно пункцію під контролем УЗД. В 1-го хворого з крізьшкірним дренуванням ПК ПЗ на 9 добу перебіг ХП загострився утворенням гострого рідинного скупчення у верхньому сегменті селезінки, яке було ліквідоване пункціями під контролем УЗД. 2 хворих мали в анамнезі пункції ПК ПЗ.</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лікуванні ПК ПЗ, ускладнених компресією шлунка та/або ДПК (11), 3-ом хворим виконані пункції ПК ПЗ під контролем УЗД, 3-ом – крізьшкірні дренування під контролем УЗД за типом «pig tail», 2-ом – ЕСГ пункції. Ендоскопічні ЦГС виконані 3-ом пацієнтам [51, 127, 144].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В 1-го хворого після пункції ПК під контролем УЗД на 2 добу виникла кровотеча в її порожнину, зупинена за допомогою РЕО ГДА. 2 хворих мали в анамнезі пункції ПК ПЗ.</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При лікуванні ПК ПЗ ІІІ типу, ускладнених МЖ, 2-ом пацієнтам виконані ЕСГ пункції ПК ПЗ, 2-ом – ККХС під контролем УЗД [44, 128].</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В 1-го хворого з хронічним фіброзно-дегенеративним панкреатитом, ПК голівки ПЗ, ускладненою розривом, виконана пункція ПК ПЗ під контролем УЗД, з метою «вичікувальної» тактики. В 1-го хворого з хронічним фіброзно-дегенеративним панкреатитом, ПК голівки та хвоста ПЗ із перфорацією, панкреатогенним асцитом, виконано зовнішнє дренування ПК під контролем УЗД.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лікуванні ПК ПЗ, ускладнених кровотечею в її порожнину (14), 9-ти хворим виконані РЕО судин, які спричинили кровотечу. 1-му пацієнту з кровотечею в порожнину ПК із правої печінкової артерії як альтернативу РЕО, було встановлено стент-графт у праву печінкову артерію. 1-му хворому з ПК ПЗ, ускладненою кровотечею у її порожнину, деформацією ДПК, МЖ, була виконана пункція ПК під контролем УЗД. 1-му пацієнту з ПК ПЗ, ускладненою кровотечею в її порожнину, тромбозом ворітної вени, ВПГ, асцитом, у якості І етапу з метою декомпресії ПК виконана пункція ПК під контролем УЗД (отримано до </w:t>
      </w:r>
      <w:smartTag w:uri="urn:schemas-microsoft-com:office:smarttags" w:element="metricconverter">
        <w:smartTagPr>
          <w:attr w:name="ProductID" w:val="1 л"/>
        </w:smartTagPr>
        <w:r w:rsidRPr="00C62D22">
          <w:rPr>
            <w:rFonts w:ascii="Times New Roman" w:eastAsia="Times New Roman" w:hAnsi="Times New Roman" w:cs="Times New Roman"/>
            <w:sz w:val="28"/>
            <w:szCs w:val="28"/>
            <w:lang w:val="uk-UA"/>
          </w:rPr>
          <w:t>1 л</w:t>
        </w:r>
      </w:smartTag>
      <w:r w:rsidRPr="00C62D22">
        <w:rPr>
          <w:rFonts w:ascii="Times New Roman" w:eastAsia="Times New Roman" w:hAnsi="Times New Roman" w:cs="Times New Roman"/>
          <w:sz w:val="28"/>
          <w:szCs w:val="28"/>
          <w:lang w:val="uk-UA"/>
        </w:rPr>
        <w:t xml:space="preserve"> темної коричневої рідини). 1-му хворому з хронічним фіброзно-дегенеративним панкреатитом, ПК ПЗ, ускладненою кровотечею в порожнину, деформацією бульби ДПК, виконана ЕСГ пункція ПК, у післяопераційний період на 5 добу виник рецидив кровотечі, проведено пункцію ПК під контролем УЗД, через 5 діб виконано повторну ЕСГ пункцію, через 3 доби – ЕСГ пункцію. В 1-го хворого на 2 добу виник рецидив кровотечі, виконана лапаротомія. ЕСГ пункцію ПК голівки ПЗ виконано 1-му хворому [49, 119, 272].</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1-му хворому з хронічним фіброзно-дегенеративним панкреатитом, ПК голівки ПЗ, ускладненою кровотечею в її порожнину, МЖ, стенозом портальної вени, ВПГ, субкомпенсованим стенозом ДПК, після застосування РЕО на 4 та 7 добу виникли епізоди ГШКК, що зупинені консервативно [50].</w:t>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709"/>
        <w:jc w:val="both"/>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lastRenderedPageBreak/>
        <w:t>9.2. «Відкриті» втручання у хворих на ускладнені псевдокісти підшлункової залози третього типу</w:t>
      </w:r>
    </w:p>
    <w:p w:rsidR="00C62D22" w:rsidRPr="00C62D22" w:rsidRDefault="00C62D22" w:rsidP="00C62D22">
      <w:pPr>
        <w:spacing w:after="0" w:line="360" w:lineRule="auto"/>
        <w:ind w:firstLine="709"/>
        <w:jc w:val="both"/>
        <w:rPr>
          <w:rFonts w:ascii="Times New Roman" w:eastAsia="Times New Roman" w:hAnsi="Times New Roman" w:cs="Times New Roman"/>
          <w:b/>
          <w:sz w:val="28"/>
          <w:szCs w:val="28"/>
          <w:lang w:val="uk-UA"/>
        </w:rPr>
      </w:pP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«Відкриті» втручання виконані, у якості І етапу, у 141 (79,7%) хворого з ускладненими ПК ПЗ ІІІ типу [129]. Характер втручань наведений у табл. 9.3.</w:t>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708"/>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9.3</w:t>
      </w:r>
    </w:p>
    <w:p w:rsidR="00C62D22" w:rsidRPr="00C62D22" w:rsidRDefault="00C62D22" w:rsidP="00C62D22">
      <w:pPr>
        <w:spacing w:after="0" w:line="360" w:lineRule="auto"/>
        <w:jc w:val="center"/>
        <w:rPr>
          <w:rFonts w:ascii="Times New Roman" w:eastAsia="Times New Roman" w:hAnsi="Times New Roman" w:cs="Times New Roman"/>
          <w:b/>
          <w:i/>
          <w:sz w:val="28"/>
          <w:szCs w:val="28"/>
          <w:lang w:val="uk-UA"/>
        </w:rPr>
      </w:pPr>
    </w:p>
    <w:p w:rsidR="00C62D22" w:rsidRPr="00C62D22" w:rsidRDefault="00C62D22" w:rsidP="00C62D22">
      <w:pPr>
        <w:spacing w:after="0" w:line="360" w:lineRule="auto"/>
        <w:ind w:firstLine="708"/>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Характер «відкритих» оперативних втручань, виконаних у хворих з ускладненими ПК ПЗ ІІІ типу, у якості І етапу (n=141)</w:t>
      </w:r>
    </w:p>
    <w:tbl>
      <w:tblPr>
        <w:tblW w:w="9720"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80"/>
        <w:gridCol w:w="1659"/>
        <w:gridCol w:w="1793"/>
        <w:gridCol w:w="1588"/>
      </w:tblGrid>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Втручання</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Кількість хворих</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Мали ускладнення</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Померло</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ППЕА</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46</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ЦЄС</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37</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ЦДС</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Зовнішнє дренування ПК</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Панкреатофістулоентероанастомоз</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Операція Фрея</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 w:val="center" w:pos="799"/>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32</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Бернська модифікація операції Бегера</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ПДР заWhipple</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No-touch ПДР</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ПДР за Traverso–Longmire.</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ПДР за Nakao</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Дистальна резекція ПК</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6</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highlight w:val="yellow"/>
                <w:lang w:val="uk-UA"/>
              </w:rPr>
            </w:pPr>
            <w:r w:rsidRPr="00C62D22">
              <w:rPr>
                <w:rFonts w:ascii="Times New Roman" w:eastAsia="Times New Roman" w:hAnsi="Times New Roman" w:cs="Times New Roman"/>
                <w:sz w:val="28"/>
                <w:szCs w:val="28"/>
                <w:lang w:val="uk-UA"/>
              </w:rPr>
              <w:t>ГЄС</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6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 xml:space="preserve">Усього </w:t>
            </w:r>
          </w:p>
        </w:tc>
        <w:tc>
          <w:tcPr>
            <w:tcW w:w="1659"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141</w:t>
            </w:r>
          </w:p>
        </w:tc>
        <w:tc>
          <w:tcPr>
            <w:tcW w:w="1793"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9</w:t>
            </w:r>
          </w:p>
        </w:tc>
        <w:tc>
          <w:tcPr>
            <w:tcW w:w="1588"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ПК ПЗ, ускладнених компресією шлунка та/або ДПК (55), 14-ти хворим виконані ППЄС (у тому числі 2-ом – з ЦЄС, 1-му – з ЦДС; 1-му хворому з ПК ПЗ, </w:t>
      </w:r>
      <w:r w:rsidRPr="00C62D22">
        <w:rPr>
          <w:rFonts w:ascii="Times New Roman" w:eastAsia="Times New Roman" w:hAnsi="Times New Roman" w:cs="Times New Roman"/>
          <w:sz w:val="28"/>
          <w:szCs w:val="28"/>
          <w:lang w:val="uk-UA"/>
        </w:rPr>
        <w:lastRenderedPageBreak/>
        <w:t>субкомпенсованим стенозом ДПК, тубулярним стенозом холедоху, панкреатоєюностомія доповнена ГЄС, ХЕ). У післяопераційний період на 4 добу в 1-го хворого виникла ГШКК,що зупинена консервативно [127, 144].</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ЦЄС виконані 20-ти (у тому числі 2-ом – із зовнішнім дренуванням ПК). 2 хворих мали в анамнезі операції на ПЗ. В 1-го хворого на 7 добу після лапаротомії, ЦЄС виникла профузна кровотеча, виконана РЕО судини-джерела кровотечі, на 2 добу – рецидив кровотечі, проведена релапаротомія, цистотомія, гемостаз, зовнішнє дренування ПК ПЗ. Хворий помер, причиною смерті була гостра серцева недостатність.</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Операцію Фрея виконано 13-ти пацієнтам з ПК ПЗ, ускладненою компресією шлунка та/або ДПК (у тому числі 1-му – з гастроцистостомією, 1-му – з ГЄС). В анамнезі 1 хворий мав ЦДС, спленектомію. В 1-го хворого на 5 добу після операції Фрея виникла товсто-кишкова нориця (дебіт 250 мл/добу). В 1-го хворого через 8 місяців після операції Фрея виник рецидив ПК ПЗ, тубулярний стеноз холедоху, біліарна гіпертензія, вірсунгорагія, виконана ГЄС, ХЕ. Дистальна резекція ПЗ із спленектомією виконана 2-ом хворим з ПК хвоста ПЗ, деформацією шлунка та/або ДПК.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Бернська модифікація операції Бегера виконана 1-му хворому з ПК ПЗ, ускладненою вірсунголітіазом, компресією шлунка.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ПДР резекцію за Whipple виконано 1-му хворому з хронічним фіброзно-дегенеративним панкреатитом, ПК голівки ПЗ, тубулярним стенозом холедоху, ВПГ, дуоденальним стенозом, вірсунгоектазією. Пацієнту застосовано, у якості «відбудовного» етапу, модифікований спосіб формування панкреатоентероанастомозу (Пат. України № 92451 від 11.08.2014 р. «Спосіб формування панкреатоентероанастомозу»).</w:t>
      </w:r>
    </w:p>
    <w:p w:rsidR="00C62D22" w:rsidRPr="00C62D22" w:rsidRDefault="00C62D22" w:rsidP="00C62D22">
      <w:pPr>
        <w:spacing w:after="0" w:line="360" w:lineRule="auto"/>
        <w:ind w:firstLine="567"/>
        <w:jc w:val="both"/>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Спосіб виконували таким чином.</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Після першого етапу ПДР, що включав резекцію шлунка, ПЗ та ДПК, приступали до другого етапу – «відбудовного». Відключали із травлення петлю тонкої кишки. Проводили кишку через вікно брижі попереково-ободової кишки. Підводили петлю до кукси ПЗ. У просвіт анастомозу встановлювали силіконовий </w:t>
      </w:r>
      <w:r w:rsidRPr="00C62D22">
        <w:rPr>
          <w:rFonts w:ascii="Times New Roman" w:eastAsia="Times New Roman" w:hAnsi="Times New Roman" w:cs="Times New Roman"/>
          <w:sz w:val="28"/>
          <w:szCs w:val="28"/>
          <w:lang w:val="uk-UA"/>
        </w:rPr>
        <w:lastRenderedPageBreak/>
        <w:t>дренаж, який проводили наполовину в кишку та приблизно наполовину в ГПП ПЗ перед зав’язуванням передніх швів, які зближали край зрізу ГПП із краєм отвору в кишці. Використовували катетер діаметром, що відповідав діаметру ГПП. Тонку кишку фіксували до кукси ПЗ за допомогою лігатур, проведених через слизову оболонку ГПП на задню й передню поверхні ПЗ (рис. 9.1).</w:t>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right="175"/>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drawing>
          <wp:inline distT="0" distB="0" distL="0" distR="0">
            <wp:extent cx="5838825" cy="3724275"/>
            <wp:effectExtent l="19050" t="0" r="9525" b="0"/>
            <wp:docPr id="363" name="Рисунок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3"/>
                    <pic:cNvPicPr>
                      <a:picLocks noChangeAspect="1" noChangeArrowheads="1"/>
                    </pic:cNvPicPr>
                  </pic:nvPicPr>
                  <pic:blipFill>
                    <a:blip r:embed="rId117"/>
                    <a:srcRect/>
                    <a:stretch>
                      <a:fillRect/>
                    </a:stretch>
                  </pic:blipFill>
                  <pic:spPr bwMode="auto">
                    <a:xfrm>
                      <a:off x="0" y="0"/>
                      <a:ext cx="5838825" cy="372427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pict>
          <v:shape id="_x0000_s1384" type="#_x0000_t202" style="position:absolute;left:0;text-align:left;margin-left:0;margin-top:10.25pt;width:7in;height:54pt;z-index:251928576" stroked="f">
            <v:textbox style="mso-next-textbox:#_x0000_s1384">
              <w:txbxContent>
                <w:p w:rsidR="00C62D22" w:rsidRPr="00C62D22" w:rsidRDefault="00C62D22" w:rsidP="00C62D22">
                  <w:pPr>
                    <w:spacing w:line="360" w:lineRule="auto"/>
                    <w:ind w:firstLine="540"/>
                    <w:jc w:val="right"/>
                    <w:rPr>
                      <w:rFonts w:ascii="Times New Roman" w:hAnsi="Times New Roman" w:cs="Times New Roman"/>
                      <w:sz w:val="28"/>
                      <w:szCs w:val="28"/>
                      <w:lang w:val="uk-UA"/>
                    </w:rPr>
                  </w:pPr>
                  <w:r w:rsidRPr="00C62D22">
                    <w:rPr>
                      <w:rFonts w:ascii="Times New Roman" w:hAnsi="Times New Roman" w:cs="Times New Roman"/>
                      <w:sz w:val="28"/>
                      <w:szCs w:val="28"/>
                    </w:rPr>
                    <w:t>Рис. 9.1. Схема «</w:t>
                  </w:r>
                  <w:r w:rsidRPr="00C62D22">
                    <w:rPr>
                      <w:rFonts w:ascii="Times New Roman" w:hAnsi="Times New Roman" w:cs="Times New Roman"/>
                      <w:sz w:val="28"/>
                      <w:szCs w:val="28"/>
                      <w:lang w:val="uk-UA"/>
                    </w:rPr>
                    <w:t>відновлюваного» етапу при панкреатодуоденальній резекції (Пат. України № 92451 від 11.08.2014 р.)</w:t>
                  </w:r>
                </w:p>
              </w:txbxContent>
            </v:textbox>
          </v:shape>
        </w:pict>
      </w:r>
    </w:p>
    <w:p w:rsidR="00C62D22" w:rsidRPr="00C62D22" w:rsidRDefault="00C62D22" w:rsidP="00C62D22">
      <w:pPr>
        <w:shd w:val="clear" w:color="auto" w:fill="FFFFFF"/>
        <w:autoSpaceDE w:val="0"/>
        <w:autoSpaceDN w:val="0"/>
        <w:adjustRightInd w:val="0"/>
        <w:spacing w:after="0" w:line="360" w:lineRule="auto"/>
        <w:jc w:val="both"/>
        <w:rPr>
          <w:rFonts w:ascii="Times New Roman" w:eastAsia="Times New Roman" w:hAnsi="Times New Roman" w:cs="Times New Roman"/>
          <w:i/>
          <w:color w:val="000000"/>
          <w:sz w:val="28"/>
          <w:szCs w:val="28"/>
          <w:lang w:val="uk-UA"/>
        </w:rPr>
      </w:pPr>
    </w:p>
    <w:p w:rsidR="00C62D22" w:rsidRPr="00C62D22" w:rsidRDefault="00C62D22" w:rsidP="00C62D22">
      <w:pPr>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rPr>
      </w:pPr>
    </w:p>
    <w:p w:rsidR="00C62D22" w:rsidRPr="00C62D22" w:rsidRDefault="00C62D22" w:rsidP="00C62D22">
      <w:pPr>
        <w:shd w:val="clear" w:color="auto" w:fill="FFFFFF"/>
        <w:autoSpaceDE w:val="0"/>
        <w:autoSpaceDN w:val="0"/>
        <w:adjustRightInd w:val="0"/>
        <w:spacing w:after="0" w:line="360" w:lineRule="auto"/>
        <w:ind w:firstLine="709"/>
        <w:jc w:val="both"/>
        <w:rPr>
          <w:rFonts w:ascii="Times New Roman" w:eastAsia="Times New Roman" w:hAnsi="Times New Roman" w:cs="Times New Roman"/>
          <w:i/>
          <w:color w:val="000000"/>
          <w:sz w:val="28"/>
          <w:szCs w:val="28"/>
          <w:lang w:val="uk-UA"/>
        </w:rPr>
      </w:pPr>
    </w:p>
    <w:p w:rsidR="00C62D22" w:rsidRPr="00C62D22" w:rsidRDefault="00C62D22" w:rsidP="00C62D22">
      <w:pPr>
        <w:shd w:val="clear" w:color="auto" w:fill="FFFFFF"/>
        <w:autoSpaceDE w:val="0"/>
        <w:autoSpaceDN w:val="0"/>
        <w:adjustRightInd w:val="0"/>
        <w:spacing w:after="0" w:line="360" w:lineRule="auto"/>
        <w:ind w:firstLine="567"/>
        <w:jc w:val="both"/>
        <w:rPr>
          <w:rFonts w:ascii="Times New Roman" w:eastAsia="Times New Roman" w:hAnsi="Times New Roman" w:cs="Times New Roman"/>
          <w:i/>
          <w:sz w:val="28"/>
          <w:szCs w:val="28"/>
          <w:lang w:val="uk-UA"/>
        </w:rPr>
      </w:pPr>
      <w:r w:rsidRPr="00C62D22">
        <w:rPr>
          <w:rFonts w:ascii="Times New Roman" w:eastAsia="Times New Roman" w:hAnsi="Times New Roman" w:cs="Times New Roman"/>
          <w:i/>
          <w:color w:val="000000"/>
          <w:sz w:val="28"/>
          <w:szCs w:val="28"/>
          <w:lang w:val="uk-UA"/>
        </w:rPr>
        <w:t>Ефективність способу ілюструє такий приклад.</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Хворий К., 53 роки, госпіталізований у клініку через 1 тиждень після погіршення стану, зі скаргами на біль у верхніх відділах живота, який іррадіював у ліву половину спини, лопатку, нудоту, блювоту, втрату ваги до </w:t>
      </w:r>
      <w:smartTag w:uri="urn:schemas-microsoft-com:office:smarttags" w:element="metricconverter">
        <w:smartTagPr>
          <w:attr w:name="ProductID" w:val="28 кг"/>
        </w:smartTagPr>
        <w:r w:rsidRPr="00C62D22">
          <w:rPr>
            <w:rFonts w:ascii="Times New Roman" w:eastAsia="Times New Roman" w:hAnsi="Times New Roman" w:cs="Times New Roman"/>
            <w:sz w:val="28"/>
            <w:szCs w:val="28"/>
            <w:lang w:val="uk-UA"/>
          </w:rPr>
          <w:t>28 кг</w:t>
        </w:r>
      </w:smartTag>
      <w:r w:rsidRPr="00C62D22">
        <w:rPr>
          <w:rFonts w:ascii="Times New Roman" w:eastAsia="Times New Roman" w:hAnsi="Times New Roman" w:cs="Times New Roman"/>
          <w:sz w:val="28"/>
          <w:szCs w:val="28"/>
          <w:lang w:val="uk-UA"/>
        </w:rPr>
        <w:t xml:space="preserve"> за останній рік, загальну слабкість, пожовтіння шкіри, склер. З анамнезу – хворіє більше 1,5 роки. При огляді – кахексія, шкіра жовта; пальпаторно – в епігастрії виявлено пухлиноподібне утворення, діаметром до 18-</w:t>
      </w:r>
      <w:smartTag w:uri="urn:schemas-microsoft-com:office:smarttags" w:element="metricconverter">
        <w:smartTagPr>
          <w:attr w:name="ProductID" w:val="20 см"/>
        </w:smartTagPr>
        <w:r w:rsidRPr="00C62D22">
          <w:rPr>
            <w:rFonts w:ascii="Times New Roman" w:eastAsia="Times New Roman" w:hAnsi="Times New Roman" w:cs="Times New Roman"/>
            <w:sz w:val="28"/>
            <w:szCs w:val="28"/>
            <w:lang w:val="uk-UA"/>
          </w:rPr>
          <w:t>20 см</w:t>
        </w:r>
      </w:smartTag>
      <w:r w:rsidRPr="00C62D22">
        <w:rPr>
          <w:rFonts w:ascii="Times New Roman" w:eastAsia="Times New Roman" w:hAnsi="Times New Roman" w:cs="Times New Roman"/>
          <w:sz w:val="28"/>
          <w:szCs w:val="28"/>
          <w:lang w:val="uk-UA"/>
        </w:rPr>
        <w:t>, щільне, помірно болісне при пальпації. При УЗД – печінка збільшена до +</w:t>
      </w:r>
      <w:smartTag w:uri="urn:schemas-microsoft-com:office:smarttags" w:element="metricconverter">
        <w:smartTagPr>
          <w:attr w:name="ProductID" w:val="3 см"/>
        </w:smartTagPr>
        <w:r w:rsidRPr="00C62D22">
          <w:rPr>
            <w:rFonts w:ascii="Times New Roman" w:eastAsia="Times New Roman" w:hAnsi="Times New Roman" w:cs="Times New Roman"/>
            <w:sz w:val="28"/>
            <w:szCs w:val="28"/>
            <w:lang w:val="uk-UA"/>
          </w:rPr>
          <w:t>3 см</w:t>
        </w:r>
      </w:smartTag>
      <w:r w:rsidRPr="00C62D22">
        <w:rPr>
          <w:rFonts w:ascii="Times New Roman" w:eastAsia="Times New Roman" w:hAnsi="Times New Roman" w:cs="Times New Roman"/>
          <w:sz w:val="28"/>
          <w:szCs w:val="28"/>
          <w:lang w:val="uk-UA"/>
        </w:rPr>
        <w:t xml:space="preserve">, внутрішньопечінкові протоки та </w:t>
      </w:r>
      <w:r w:rsidRPr="00C62D22">
        <w:rPr>
          <w:rFonts w:ascii="Times New Roman" w:eastAsia="Times New Roman" w:hAnsi="Times New Roman" w:cs="Times New Roman"/>
          <w:sz w:val="28"/>
          <w:szCs w:val="28"/>
          <w:lang w:val="uk-UA"/>
        </w:rPr>
        <w:lastRenderedPageBreak/>
        <w:t xml:space="preserve">вени розширені, тубулярний стеноз холедоху, ознаки ВПГ. ПЗ збільшена в розмірах, переважно за рахунок голівки, де візуалізується рідинне утворення зі сформованими стінками (ПК), яке сполучено зі зміненою ГПП (стриктура). При ФЕГДС – декомпенсований дуоденальний стеноз за рахунок здавлювання ззовні. При МСКТ – гепатоспленомегалія, ВПГ, тубулярний стеноз холедоху, хронічний фіброзно-дегенеративний панкреатит, ПК голівки ПЗ, гостра МЖ, вірсугоектазія. Встановлено діагноз: хронічний фіброзно-дегенеративний панкреатит, ПК голівки ПЗ ІІІ типу, тубулярний стеноз холедоху, ВПГ, вірсунгоектазія, гостра МЖ, декомпенсований дуоденальний стеноз. Хворий був оперований. Під час операції виконаний перший етап ПДР, що включав резекцію шлунка, ПЗ та ДПК. На «відбудовному» етапі відключали із травлення петлю тонкої кишки. Проводили кишку через вікно брижі попереково-ободової кишки. Підводили петлю до кукси ПЗ. У просвіт анастомозу встановлювали силіконовий дренаж, який проводили наполовину в кишку та приблизно наполовину в ГПП ПЗ перед зав’язуванням передніх швів, що зближували край зрізу ГПП  із краєм отвору в кишці. Використовували катетер діаметром, що відповідав діаметру ГПП. Тонку кишку фіксували до кукси ПЗ за допомогою лігатур, проведених через слизову оболонку ГПП на задню й передню поверхні ПЗ. Також були виконані ГЄС, гастроентеро- та ентероентероанастомози за загально прийнятими методиками. Черевна порожнина санована та дренована з трьох точок рукавицями та трубками. Шви на рани. Асептичні пов’язки. Післяопераційний період перебігав без ускладнень. Проводилося консервативне лікування, яке включало в себе антибіотики, антисекреторні, противиразкові, знеболюючі засоби, антикоагулянти, інфузійну терапію. Виписаний на 16 добу в задовільному стані під нагляд хірурга за місцем проживання. Контрольний огляд через 2 тижні, 1, 2, 6 місяці, 1 рік. Також проведено анкетування за адаптованим опитувачем SF-36. Стан хворого задовільний. Зазначає збільшення ваги на </w:t>
      </w:r>
      <w:smartTag w:uri="urn:schemas-microsoft-com:office:smarttags" w:element="metricconverter">
        <w:smartTagPr>
          <w:attr w:name="ProductID" w:val="4 кг"/>
        </w:smartTagPr>
        <w:r w:rsidRPr="00C62D22">
          <w:rPr>
            <w:rFonts w:ascii="Times New Roman" w:eastAsia="Times New Roman" w:hAnsi="Times New Roman" w:cs="Times New Roman"/>
            <w:sz w:val="28"/>
            <w:szCs w:val="28"/>
            <w:lang w:val="uk-UA"/>
          </w:rPr>
          <w:t>4 кг</w:t>
        </w:r>
      </w:smartTag>
      <w:r w:rsidRPr="00C62D22">
        <w:rPr>
          <w:rFonts w:ascii="Times New Roman" w:eastAsia="Times New Roman" w:hAnsi="Times New Roman" w:cs="Times New Roman"/>
          <w:sz w:val="28"/>
          <w:szCs w:val="28"/>
          <w:lang w:val="uk-UA"/>
        </w:rPr>
        <w:t xml:space="preserve">. Дотримується призначеної антисекреторної терапії та дієти.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Пілорусзберігаюча ПДР за Traverso–Longmire виконана 1-му пацієнту з хронічним фіброзно-дегенеративним панкреатитом, ПК голівки ПЗ, ускладненою частковою дуоденальною непрохідністю, станом після зовнішнього дренування ПК </w:t>
      </w:r>
      <w:r w:rsidRPr="00C62D22">
        <w:rPr>
          <w:rFonts w:ascii="Times New Roman" w:eastAsia="Times New Roman" w:hAnsi="Times New Roman" w:cs="Times New Roman"/>
          <w:sz w:val="28"/>
          <w:szCs w:val="28"/>
          <w:lang w:val="uk-UA"/>
        </w:rPr>
        <w:lastRenderedPageBreak/>
        <w:t>ПЗ. No-touch ПДР виконана 1-му хворому з хронічним фіброзно-дегенеративним панкреатитом, ПК голівки ПЗ, вірсунгоектазією, гастроптозом, деформацією бульби ДПК. ПДР резекцію за Nakao виконано 1-му хворому з ПК ПЗ, вірсунгоектазією, субкомпенсованим стенозом ДПК, станом після зовнішнього дренування ПК ПЗ.</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При ПК ПЗ, ускладнених МЖ (54), 28-ми хворим виконані повздовжні ПЄС (у тому числі 9-ти – з ГЄС, 6-ти – з холецистоєюностомією, 1-му – із ХДА, 1-му – із зовнішнім дренуванням холедоху, 1-му – із зовнішнім дренуванням ПК) [128]. В 1-го хворого на 2 добу після лапаротомії, ППЄС, холецистоентеростомії виникла внутрішньочеревна кровотеча, виконана релапаротомія, у черевній порожнині до 300 мл крові в малому тазу, прошито судину в брижі тонкої кишки, гемостаз, санація та дренування черевної порожнини. На 8 добу в пацієнта виник рецидив кровотечі (проявилася гострою шлунково-кишковою кровотечею), проведено релапаротомію, ентеротомію, перев’язку ГДА (стійкого гемостазу не досягнуто), на наступну добу виконано релапаротомію, дуоденотомію, прошивання та виведення виразки ДПК за контур, пілоропластику. У післяопераційний період у хворого виникло нагноєння рани, евентерація; після очищення рани накладено вторинні шви. Хворого виписано на 35 добу в задовільному стані. ЦЄС накладено 12-ти хворим з ПК ПЗ, ускладненими МЖ, (2-ом – з ХДА, 3-ом – з холецистоєюностомією, 2-ом – із зовнішнім дренуванням холедоху); 1-му – ЦДС. Операція Фрея була виконана 12-ти пацієнтам з ПК голівки ПЗ, ускладнених МЖ (у тому числі 2-ом – з ГЄС, 2-ом – з холецистоєюностомією, ГЄС, 1-му – з ХДА, 1-му – із зовнішнім дренуванням холедоху за Холстедом-Піковським). Лапаротомії, зовнішнє дренування ПК ПЗ, виконані 2-ом пацієнтам з ПК ПЗ, вірсунгоектазією, гострою МЖ.</w:t>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При інфікованих ПК ПЗ, ускладнених кровотечею в її порожнину, МЖ 1-му пацієнту виконана ППЄС. При інфікованих ПК ПЗ, 3-ом хворим накладено ППЄС із зовнішнім дренуванням ПК, 2-ом – виконано зовнішнє дренування ПК ПЗ (у тому числі 1-му пацієнту операцію завершено ОБС) [130]. Операція Фрея була виконана 5-ти пацієнтам (у тому числі 3-ом – із зовнішнім дренуванням ПК ПЗ). Дистальна резекція ПЗ зі спленектомією виконана 1-му хворого з хронічним фіброзно-</w:t>
      </w:r>
      <w:r w:rsidRPr="00C62D22">
        <w:rPr>
          <w:rFonts w:ascii="Times New Roman" w:eastAsia="Times New Roman" w:hAnsi="Times New Roman" w:cs="Times New Roman"/>
          <w:sz w:val="28"/>
          <w:szCs w:val="28"/>
          <w:lang w:val="uk-UA"/>
        </w:rPr>
        <w:lastRenderedPageBreak/>
        <w:t xml:space="preserve">дегенеративним панкреатитом, інфікованою ПК хвоста ПЗ, тромбозом селезінкової вени. У післяопераційний період на 30 добу у хворого виникло гостре рідинне скупчення в лівій піддіафрагмальній ділянці, проведена пункція рідинного скупчення під контролем УЗД. При інфікованих ПК ПЗ, ускладнених МЖ, 1-єї хворій наклали ГЄС, із зовнішнім дренуванням ПК ПЗ (рис. 9.2), 1-му – ЦЄС. </w:t>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pict>
          <v:shape id="_x0000_s1380" type="#_x0000_t202" style="position:absolute;left:0;text-align:left;margin-left:9pt;margin-top:213.3pt;width:497pt;height:36pt;z-index:251924480" stroked="f">
            <v:textbox style="mso-next-textbox:#_x0000_s1380">
              <w:txbxContent>
                <w:p w:rsidR="00C62D22" w:rsidRPr="00C62D22" w:rsidRDefault="00C62D22" w:rsidP="00C62D22">
                  <w:pPr>
                    <w:spacing w:line="360" w:lineRule="auto"/>
                    <w:ind w:firstLine="540"/>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Рис.9.2. Фістулографія хворої І.: гепатикоєюноанастомоз </w:t>
                  </w:r>
                </w:p>
              </w:txbxContent>
            </v:textbox>
          </v:shape>
        </w:pict>
      </w:r>
      <w:r w:rsidRPr="00C62D22">
        <w:rPr>
          <w:rFonts w:ascii="Times New Roman" w:eastAsia="Times New Roman" w:hAnsi="Times New Roman" w:cs="Times New Roman"/>
          <w:noProof/>
          <w:sz w:val="28"/>
          <w:szCs w:val="28"/>
          <w:lang w:val="uk-UA"/>
        </w:rPr>
        <w:pict>
          <v:shape id="_x0000_s1379" type="#_x0000_t13" style="position:absolute;left:0;text-align:left;margin-left:3in;margin-top:83.3pt;width:99pt;height:18pt;z-index:251923456"/>
        </w:pic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24325" cy="2667000"/>
            <wp:effectExtent l="19050" t="0" r="9525" b="0"/>
            <wp:docPr id="364" name="Рисунок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4"/>
                    <pic:cNvPicPr>
                      <a:picLocks noChangeAspect="1" noChangeArrowheads="1"/>
                    </pic:cNvPicPr>
                  </pic:nvPicPr>
                  <pic:blipFill>
                    <a:blip r:embed="rId118" cstate="print"/>
                    <a:srcRect/>
                    <a:stretch>
                      <a:fillRect/>
                    </a:stretch>
                  </pic:blipFill>
                  <pic:spPr bwMode="auto">
                    <a:xfrm>
                      <a:off x="0" y="0"/>
                      <a:ext cx="4124325" cy="266700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Мікробіологічне дослідження рідини інфікованих ПК ПЗ виявило наявність у 5-ти хворих Staphylococcus aureus, у 3-ох – Pseudomonas spp., у 2-ох – Bacteroides fragilis, у 1-ох – Escherichia coli, у 1-го – Streptococcus spp.</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ПК ПЗ, ускладненою кровотечею, 2-ом хворим виконано лапаротомію, зовнішнє дренування ПК ПЗ, 1 – ЦЄС. Пілорусзберігаюча ПДР за Traverso–Longmire виконана 2-ом хворим з хронічним фіброзно-дегенеративним панкреатитом, ПК голівки ПЗ, ускладненою вірсунгоектазією, кровотечею в порожнину ПК. 1-му пацієнту з ХП, ПК тіла-хвоста ПЗ, аневризмою селезінкової артерії, аневризмо-панкреатичною норицею, вірсунгорагією виконано лапаротомію, видалення аневризми селезінкової артерії, субтотальну дистальну резекцію ПЗ. На 7 добу після операції виконано релапаротомію, гемостаз, санацію та дренування черевної порожнини. На 6 добу у хворого виник рецидив кровотечі, виконано релапаротомію, прошивання кукси а. lienalis. Виписаний на 51 добу, у післяопераційний період </w:t>
      </w:r>
      <w:r w:rsidRPr="00C62D22">
        <w:rPr>
          <w:rFonts w:ascii="Times New Roman" w:eastAsia="Times New Roman" w:hAnsi="Times New Roman" w:cs="Times New Roman"/>
          <w:sz w:val="28"/>
          <w:szCs w:val="28"/>
          <w:lang w:val="uk-UA"/>
        </w:rPr>
        <w:lastRenderedPageBreak/>
        <w:t>розвився сепсис, ДВЗ-синдром, коагулопатія І ст. Операцію Фрея виконано 1-му пацієнту з ПК ПЗ, кровотечею в її порожнину, ВПГ, компресією шлунка [119].</w:t>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ПК ПЗ, ускладнених зовнішніми панкреатичними норицями (рис. 9.3) (в анамнезі лапаротомія, НСЕ, ОБС), 2-ом хворим накладено панкреатофістулоентероанастомози, 1-му – ЦПЄА [129]. </w:t>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pict>
          <v:shape id="_x0000_s1385" type="#_x0000_t202" style="position:absolute;left:0;text-align:left;margin-left:-.7pt;margin-top:215pt;width:504.7pt;height:56.15pt;z-index:251929600" stroked="f">
            <v:textbox style="mso-next-textbox:#_x0000_s1385">
              <w:txbxContent>
                <w:p w:rsidR="00C62D22" w:rsidRPr="00C62D22" w:rsidRDefault="00C62D22" w:rsidP="00C62D22">
                  <w:pPr>
                    <w:spacing w:line="360" w:lineRule="auto"/>
                    <w:ind w:right="-40"/>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9.3. Фістулографія хворої С., 42 р.: зовнішня панкреатична нориця (1), ПК ПЗ (2)</w:t>
                  </w:r>
                </w:p>
              </w:txbxContent>
            </v:textbox>
          </v:shape>
        </w:pict>
      </w:r>
      <w:r w:rsidRPr="00C62D22">
        <w:rPr>
          <w:rFonts w:ascii="Times New Roman" w:eastAsia="Times New Roman" w:hAnsi="Times New Roman" w:cs="Times New Roman"/>
          <w:noProof/>
          <w:sz w:val="28"/>
          <w:szCs w:val="28"/>
          <w:lang w:val="uk-UA"/>
        </w:rPr>
        <w:pict>
          <v:shape id="_x0000_s1389" type="#_x0000_t202" style="position:absolute;left:0;text-align:left;margin-left:189pt;margin-top:98pt;width:18pt;height:36pt;z-index:251933696" filled="f" stroked="f">
            <v:textbox style="mso-next-textbox:#_x0000_s1389">
              <w:txbxContent>
                <w:p w:rsidR="00C62D22" w:rsidRPr="00CB15C3" w:rsidRDefault="00C62D22" w:rsidP="00C62D22">
                  <w:pPr>
                    <w:rPr>
                      <w:b/>
                      <w:color w:val="FFFFFF"/>
                      <w:sz w:val="28"/>
                      <w:szCs w:val="28"/>
                      <w:lang w:val="uk-UA"/>
                    </w:rPr>
                  </w:pPr>
                  <w:r w:rsidRPr="00CB15C3">
                    <w:rPr>
                      <w:b/>
                      <w:color w:val="FFFFFF"/>
                      <w:sz w:val="28"/>
                      <w:szCs w:val="28"/>
                      <w:lang w:val="uk-UA"/>
                    </w:rPr>
                    <w:t>2</w:t>
                  </w:r>
                </w:p>
              </w:txbxContent>
            </v:textbox>
          </v:shape>
        </w:pict>
      </w:r>
      <w:r w:rsidRPr="00C62D22">
        <w:rPr>
          <w:rFonts w:ascii="Times New Roman" w:eastAsia="Times New Roman" w:hAnsi="Times New Roman" w:cs="Times New Roman"/>
          <w:noProof/>
          <w:sz w:val="28"/>
          <w:szCs w:val="28"/>
          <w:lang w:val="uk-UA"/>
        </w:rPr>
        <w:pict>
          <v:shape id="_x0000_s1387" type="#_x0000_t67" style="position:absolute;left:0;text-align:left;margin-left:207pt;margin-top:98pt;width:18pt;height:63pt;z-index:251931648">
            <v:textbox style="layout-flow:vertical-ideographic"/>
          </v:shape>
        </w:pict>
      </w:r>
      <w:r w:rsidRPr="00C62D22">
        <w:rPr>
          <w:rFonts w:ascii="Times New Roman" w:eastAsia="Times New Roman" w:hAnsi="Times New Roman" w:cs="Times New Roman"/>
          <w:noProof/>
          <w:sz w:val="28"/>
          <w:szCs w:val="28"/>
          <w:lang w:val="uk-UA"/>
        </w:rPr>
        <w:pict>
          <v:shape id="_x0000_s1388" type="#_x0000_t202" style="position:absolute;left:0;text-align:left;margin-left:261pt;margin-top:8pt;width:36pt;height:37.4pt;z-index:251932672" filled="f" stroked="f">
            <v:textbox style="mso-next-textbox:#_x0000_s1388">
              <w:txbxContent>
                <w:p w:rsidR="00C62D22" w:rsidRPr="00CB15C3" w:rsidRDefault="00C62D22" w:rsidP="00C62D22">
                  <w:pPr>
                    <w:rPr>
                      <w:b/>
                      <w:color w:val="FFFFFF"/>
                      <w:sz w:val="28"/>
                      <w:szCs w:val="28"/>
                      <w:lang w:val="uk-UA"/>
                    </w:rPr>
                  </w:pPr>
                  <w:r w:rsidRPr="00CB15C3">
                    <w:rPr>
                      <w:b/>
                      <w:color w:val="FFFFFF"/>
                      <w:sz w:val="28"/>
                      <w:szCs w:val="28"/>
                      <w:lang w:val="uk-UA"/>
                    </w:rPr>
                    <w:t>1</w:t>
                  </w:r>
                </w:p>
              </w:txbxContent>
            </v:textbox>
          </v:shape>
        </w:pict>
      </w:r>
      <w:r w:rsidRPr="00C62D22">
        <w:rPr>
          <w:rFonts w:ascii="Times New Roman" w:eastAsia="Times New Roman" w:hAnsi="Times New Roman" w:cs="Times New Roman"/>
          <w:noProof/>
          <w:sz w:val="28"/>
          <w:szCs w:val="28"/>
          <w:lang w:val="uk-UA"/>
        </w:rPr>
        <w:pict>
          <v:shape id="_x0000_s1386" type="#_x0000_t67" style="position:absolute;left:0;text-align:left;margin-left:252pt;margin-top:8pt;width:18pt;height:54pt;z-index:251930624">
            <v:textbox style="layout-flow:vertical-ideographic"/>
          </v:shape>
        </w:pict>
      </w:r>
      <w:r w:rsidRPr="00C62D22">
        <w:rPr>
          <w:rFonts w:ascii="Times New Roman" w:eastAsia="Times New Roman" w:hAnsi="Times New Roman" w:cs="Times New Roman"/>
          <w:noProof/>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14800" cy="2667000"/>
            <wp:effectExtent l="19050" t="0" r="0" b="0"/>
            <wp:docPr id="36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19"/>
                    <a:srcRect/>
                    <a:stretch>
                      <a:fillRect/>
                    </a:stretch>
                  </pic:blipFill>
                  <pic:spPr bwMode="auto">
                    <a:xfrm>
                      <a:off x="0" y="0"/>
                      <a:ext cx="4114800" cy="266700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1-му хворому з хронічним фіброзно-дегенеративним панкреатитом, ПК тіла-хвоста ПЗ, панкреато-плевральною норицею (стан після трансплеврального дренування ПК під контролем УЗД), накладено ЦЄА. 1-му хворому з хронічним фіброзно-дегенеративним панкреатитом, ПК голівки ПЗ, вірсунгоектазією, вірсунголітіазом, цистопанкреато-торакальною норицею виконано лапаротомію, резекцію ПЗ за Фреєм. 1-му хворому з хронічним фіброзно-дегенеративним панкреатитом, ПК голівки ПЗ, ускладненою цисто-аортальною норицею, кровотечею у порожнину ПК, дуоденальним стенозом виконана ПДР за Whipple. Дистальна резекція ПЗ із сегментарною резекцією задньої стінки тіла шлунка, спленектомією, ППЄС виконана 1-му хворому з ПК ПЗ, панкреато-гастральною норицею та кровотечею в її порожнину.</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При розриві ПК ПЗ, ферментативному перитоніті 1-му хворому виконана ППЄС. При прориві ПК ПЗ у позаочеревний простір 1-му хворому накладено ППЄС, проведено дренування позаочеревного простору. 1-му пацієнту з ПК ПЗ, ускладненою розривом та кровотечею, виконана лапаротомія, зовнішнє дренування ПК ПЗ та позаочеревної гематоми. У післяопераційний період на 12 добу виникла кровотеча, яка була зупинена РЕО ГДА. 1-му хворому з хронічним фіброзно-дегенеративним панкреатитом, ПК голівки-тіла ПЗ, кровотечею в порожнину ПК, з її розривом у вільну черевну порожнину, гемоперитонеумом виконана дистальна резекція ПЗ із панкреатогастроанастомозом за методикою клініки (Пат. України № 100246 від 10.07.15. «Спосіб формування панкреатогастроанастомозу») (рис.9.4 – 9.5).</w:t>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pict>
          <v:shape id="_x0000_s1381" type="#_x0000_t202" style="position:absolute;left:0;text-align:left;margin-left:9pt;margin-top:313.15pt;width:486pt;height:27pt;z-index:251925504" stroked="f">
            <v:textbox style="mso-next-textbox:#_x0000_s1381">
              <w:txbxContent>
                <w:p w:rsidR="00C62D22" w:rsidRPr="00C62D22" w:rsidRDefault="00C62D22" w:rsidP="00C62D22">
                  <w:pPr>
                    <w:spacing w:line="360" w:lineRule="auto"/>
                    <w:ind w:firstLine="540"/>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 9.4. Схема резекції шлунка та ПЗ </w:t>
                  </w:r>
                </w:p>
              </w:txbxContent>
            </v:textbox>
          </v:shape>
        </w:pict>
      </w:r>
      <w:r w:rsidRPr="00C62D22">
        <w:rPr>
          <w:rFonts w:ascii="Times New Roman" w:eastAsia="Times New Roman" w:hAnsi="Times New Roman" w:cs="Times New Roman"/>
          <w:noProof/>
          <w:sz w:val="28"/>
          <w:szCs w:val="28"/>
        </w:rPr>
        <w:drawing>
          <wp:inline distT="0" distB="0" distL="0" distR="0">
            <wp:extent cx="5505450" cy="4210050"/>
            <wp:effectExtent l="19050" t="0" r="0" b="0"/>
            <wp:docPr id="366" name="Рисунок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6"/>
                    <pic:cNvPicPr>
                      <a:picLocks noChangeAspect="1" noChangeArrowheads="1"/>
                    </pic:cNvPicPr>
                  </pic:nvPicPr>
                  <pic:blipFill>
                    <a:blip r:embed="rId120"/>
                    <a:srcRect/>
                    <a:stretch>
                      <a:fillRect/>
                    </a:stretch>
                  </pic:blipFill>
                  <pic:spPr bwMode="auto">
                    <a:xfrm>
                      <a:off x="0" y="0"/>
                      <a:ext cx="5505450" cy="421005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lastRenderedPageBreak/>
        <w:pict>
          <v:shape id="_x0000_s1382" type="#_x0000_t202" style="position:absolute;left:0;text-align:left;margin-left:9pt;margin-top:333.35pt;width:495pt;height:62.2pt;z-index:251926528" stroked="f">
            <v:textbox style="mso-next-textbox:#_x0000_s1382">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 9.5. Схема формування панкреатогастроанастомозу (Пат. України </w:t>
                  </w:r>
                </w:p>
                <w:p w:rsidR="00C62D22" w:rsidRPr="00C62D22" w:rsidRDefault="00C62D22" w:rsidP="00C62D22">
                  <w:pPr>
                    <w:spacing w:line="360" w:lineRule="auto"/>
                    <w:ind w:firstLine="540"/>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100246 від 10.07.15.)</w:t>
                  </w:r>
                </w:p>
                <w:p w:rsidR="00C62D22" w:rsidRPr="00FE3A01" w:rsidRDefault="00C62D22" w:rsidP="00C62D22">
                  <w:pPr>
                    <w:ind w:firstLine="540"/>
                    <w:rPr>
                      <w:sz w:val="28"/>
                      <w:szCs w:val="28"/>
                      <w:lang w:val="uk-UA"/>
                    </w:rPr>
                  </w:pPr>
                </w:p>
              </w:txbxContent>
            </v:textbox>
          </v:shape>
        </w:pict>
      </w:r>
      <w:r w:rsidRPr="00C62D22">
        <w:rPr>
          <w:rFonts w:ascii="Times New Roman" w:eastAsia="Times New Roman" w:hAnsi="Times New Roman" w:cs="Times New Roman"/>
          <w:noProof/>
          <w:sz w:val="28"/>
          <w:szCs w:val="28"/>
        </w:rPr>
        <w:drawing>
          <wp:inline distT="0" distB="0" distL="0" distR="0">
            <wp:extent cx="5857875" cy="4352925"/>
            <wp:effectExtent l="19050" t="0" r="9525" b="0"/>
            <wp:docPr id="367" name="Рисунок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7"/>
                    <pic:cNvPicPr>
                      <a:picLocks noChangeAspect="1" noChangeArrowheads="1"/>
                    </pic:cNvPicPr>
                  </pic:nvPicPr>
                  <pic:blipFill>
                    <a:blip r:embed="rId121"/>
                    <a:srcRect/>
                    <a:stretch>
                      <a:fillRect/>
                    </a:stretch>
                  </pic:blipFill>
                  <pic:spPr bwMode="auto">
                    <a:xfrm>
                      <a:off x="0" y="0"/>
                      <a:ext cx="5857875" cy="435292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center"/>
        <w:rPr>
          <w:rFonts w:ascii="Times New Roman" w:eastAsia="Times New Roman" w:hAnsi="Times New Roman" w:cs="Times New Roman"/>
          <w:i/>
          <w:sz w:val="28"/>
          <w:szCs w:val="28"/>
          <w:lang w:val="uk-UA"/>
        </w:rPr>
      </w:pPr>
    </w:p>
    <w:p w:rsidR="00C62D22" w:rsidRPr="00C62D22" w:rsidRDefault="00C62D22" w:rsidP="00C62D22">
      <w:pPr>
        <w:tabs>
          <w:tab w:val="left" w:pos="4395"/>
        </w:tabs>
        <w:spacing w:after="0" w:line="360" w:lineRule="auto"/>
        <w:jc w:val="both"/>
        <w:rPr>
          <w:rFonts w:ascii="Times New Roman" w:eastAsia="Times New Roman" w:hAnsi="Times New Roman" w:cs="Times New Roman"/>
          <w:i/>
          <w:sz w:val="28"/>
          <w:szCs w:val="28"/>
          <w:lang w:val="uk-UA"/>
        </w:rPr>
      </w:pPr>
    </w:p>
    <w:p w:rsidR="00C62D22" w:rsidRPr="00C62D22" w:rsidRDefault="00C62D22" w:rsidP="00C62D22">
      <w:pPr>
        <w:tabs>
          <w:tab w:val="left" w:pos="4395"/>
        </w:tabs>
        <w:spacing w:after="0" w:line="360" w:lineRule="auto"/>
        <w:ind w:firstLine="540"/>
        <w:jc w:val="both"/>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 xml:space="preserve">Спосіб виконували таким чином. </w:t>
      </w:r>
    </w:p>
    <w:p w:rsidR="00C62D22" w:rsidRPr="00C62D22" w:rsidRDefault="00C62D22" w:rsidP="00C62D22">
      <w:pPr>
        <w:shd w:val="clear" w:color="auto" w:fill="FFFFFF"/>
        <w:autoSpaceDE w:val="0"/>
        <w:autoSpaceDN w:val="0"/>
        <w:adjustRightInd w:val="0"/>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Методика виконувалась у хворих з ПК ПЗ, які розташовані в голівці та у хвості ПЗ і при непрохідності ГПП, а також при наявності ВПГ. Виконували верхньо-серединну лапаротомію. Після ревізії органів черевної порожнини мобілізували ДПК за Кохером. Розкривали чепцеву сумку. Порожнину ПК розсікали, проводили її санацію та експрес-біопсію ділянки ПК. При наявності ПК ПЗ виконували дистальну резекцію з або без спленектомії. При подальшому виявленні ПК у голівці ПЗ та відсутності прохідності Вірсунгової протоки накладали гастропанкреатоцистоанастомоз. Шлунок з боку великої кривизни прошивали двома степлерами на відстані </w:t>
      </w:r>
      <w:smartTag w:uri="urn:schemas-microsoft-com:office:smarttags" w:element="metricconverter">
        <w:smartTagPr>
          <w:attr w:name="ProductID" w:val="5 см"/>
        </w:smartTagPr>
        <w:r w:rsidRPr="00C62D22">
          <w:rPr>
            <w:rFonts w:ascii="Times New Roman" w:eastAsia="Times New Roman" w:hAnsi="Times New Roman" w:cs="Times New Roman"/>
            <w:sz w:val="28"/>
            <w:szCs w:val="28"/>
            <w:lang w:val="uk-UA"/>
          </w:rPr>
          <w:t>5 см</w:t>
        </w:r>
      </w:smartTag>
      <w:r w:rsidRPr="00C62D22">
        <w:rPr>
          <w:rFonts w:ascii="Times New Roman" w:eastAsia="Times New Roman" w:hAnsi="Times New Roman" w:cs="Times New Roman"/>
          <w:sz w:val="28"/>
          <w:szCs w:val="28"/>
          <w:lang w:val="uk-UA"/>
        </w:rPr>
        <w:t xml:space="preserve"> двічі механічним швом під кутом 90 </w:t>
      </w:r>
      <w:r w:rsidRPr="00C62D22">
        <w:rPr>
          <w:rFonts w:ascii="Times New Roman" w:eastAsia="Times New Roman" w:hAnsi="Times New Roman" w:cs="Times New Roman"/>
          <w:sz w:val="28"/>
          <w:szCs w:val="28"/>
          <w:vertAlign w:val="superscript"/>
          <w:lang w:val="uk-UA"/>
        </w:rPr>
        <w:t>0</w:t>
      </w:r>
      <w:r w:rsidRPr="00C62D22">
        <w:rPr>
          <w:rFonts w:ascii="Times New Roman" w:eastAsia="Times New Roman" w:hAnsi="Times New Roman" w:cs="Times New Roman"/>
          <w:sz w:val="28"/>
          <w:szCs w:val="28"/>
          <w:lang w:val="uk-UA"/>
        </w:rPr>
        <w:t xml:space="preserve"> та на відстані </w:t>
      </w:r>
      <w:smartTag w:uri="urn:schemas-microsoft-com:office:smarttags" w:element="metricconverter">
        <w:smartTagPr>
          <w:attr w:name="ProductID" w:val="5 см"/>
        </w:smartTagPr>
        <w:r w:rsidRPr="00C62D22">
          <w:rPr>
            <w:rFonts w:ascii="Times New Roman" w:eastAsia="Times New Roman" w:hAnsi="Times New Roman" w:cs="Times New Roman"/>
            <w:sz w:val="28"/>
            <w:szCs w:val="28"/>
            <w:lang w:val="uk-UA"/>
          </w:rPr>
          <w:t>5 см</w:t>
        </w:r>
      </w:smartTag>
      <w:r w:rsidRPr="00C62D22">
        <w:rPr>
          <w:rFonts w:ascii="Times New Roman" w:eastAsia="Times New Roman" w:hAnsi="Times New Roman" w:cs="Times New Roman"/>
          <w:sz w:val="28"/>
          <w:szCs w:val="28"/>
          <w:lang w:val="uk-UA"/>
        </w:rPr>
        <w:t xml:space="preserve"> від раніше виконаної проксимальної резекції ПЗ, формували анастомоз дворядковим швом із прошитою ділянкою шлунка, яка розташовується ближче до воротаря. Трансназально до головної панкреатичної протоки проводили зонд для декомпресії.</w:t>
      </w:r>
    </w:p>
    <w:p w:rsidR="00C62D22" w:rsidRPr="00C62D22" w:rsidRDefault="00C62D22" w:rsidP="00C62D22">
      <w:pPr>
        <w:shd w:val="clear" w:color="auto" w:fill="FFFFFF"/>
        <w:autoSpaceDE w:val="0"/>
        <w:autoSpaceDN w:val="0"/>
        <w:adjustRightInd w:val="0"/>
        <w:spacing w:after="0" w:line="360" w:lineRule="auto"/>
        <w:ind w:firstLine="567"/>
        <w:jc w:val="both"/>
        <w:rPr>
          <w:rFonts w:ascii="Times New Roman" w:eastAsia="Times New Roman" w:hAnsi="Times New Roman" w:cs="Times New Roman"/>
          <w:i/>
          <w:sz w:val="28"/>
          <w:szCs w:val="28"/>
          <w:lang w:val="uk-UA"/>
        </w:rPr>
      </w:pPr>
      <w:r w:rsidRPr="00C62D22">
        <w:rPr>
          <w:rFonts w:ascii="Times New Roman" w:eastAsia="Times New Roman" w:hAnsi="Times New Roman" w:cs="Times New Roman"/>
          <w:i/>
          <w:color w:val="000000"/>
          <w:sz w:val="28"/>
          <w:szCs w:val="28"/>
          <w:lang w:val="uk-UA"/>
        </w:rPr>
        <w:lastRenderedPageBreak/>
        <w:t>Ефективність способу ілюструє такий приклад.</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Хворий К., 32 роки, госпіталізований до стаціонару у важкому стані зі скаргами на загальну слабкість, біль в епігастрії, лівому підребер'ї, нудоту, зниження ваги до </w:t>
      </w:r>
      <w:smartTag w:uri="urn:schemas-microsoft-com:office:smarttags" w:element="metricconverter">
        <w:smartTagPr>
          <w:attr w:name="ProductID" w:val="12 кг"/>
        </w:smartTagPr>
        <w:r w:rsidRPr="00C62D22">
          <w:rPr>
            <w:rFonts w:ascii="Times New Roman" w:eastAsia="Times New Roman" w:hAnsi="Times New Roman" w:cs="Times New Roman"/>
            <w:sz w:val="28"/>
            <w:szCs w:val="28"/>
            <w:lang w:val="uk-UA"/>
          </w:rPr>
          <w:t>12 кг</w:t>
        </w:r>
      </w:smartTag>
      <w:r w:rsidRPr="00C62D22">
        <w:rPr>
          <w:rFonts w:ascii="Times New Roman" w:eastAsia="Times New Roman" w:hAnsi="Times New Roman" w:cs="Times New Roman"/>
          <w:sz w:val="28"/>
          <w:szCs w:val="28"/>
          <w:lang w:val="uk-UA"/>
        </w:rPr>
        <w:t xml:space="preserve"> за 6 місяців. В анамнезі – неодноразово лікувався з приводу ХП. При пальпації – у епігастральній ділянці визначається пухлиноподібне утворення, розмірами </w:t>
      </w:r>
      <w:smartTag w:uri="urn:schemas-microsoft-com:office:smarttags" w:element="metricconverter">
        <w:smartTagPr>
          <w:attr w:name="ProductID" w:val="10 см"/>
        </w:smartTagPr>
        <w:r w:rsidRPr="00C62D22">
          <w:rPr>
            <w:rFonts w:ascii="Times New Roman" w:eastAsia="Times New Roman" w:hAnsi="Times New Roman" w:cs="Times New Roman"/>
            <w:sz w:val="28"/>
            <w:szCs w:val="28"/>
            <w:lang w:val="uk-UA"/>
          </w:rPr>
          <w:t>10 см</w:t>
        </w:r>
      </w:smartTag>
      <w:r w:rsidRPr="00C62D22">
        <w:rPr>
          <w:rFonts w:ascii="Times New Roman" w:eastAsia="Times New Roman" w:hAnsi="Times New Roman" w:cs="Times New Roman"/>
          <w:sz w:val="28"/>
          <w:szCs w:val="28"/>
          <w:lang w:val="uk-UA"/>
        </w:rPr>
        <w:t xml:space="preserve"> у діаметрі, яке поширюється під ліве підребер'я. При УЗД та МСКТ – ознаки ХП, ПК голівки-тіла ПЗ. При клінічному аналізу крові – лейкоцитоз (12,0 х10</w:t>
      </w:r>
      <w:r w:rsidRPr="00C62D22">
        <w:rPr>
          <w:rFonts w:ascii="Times New Roman" w:eastAsia="Times New Roman" w:hAnsi="Times New Roman" w:cs="Times New Roman"/>
          <w:sz w:val="28"/>
          <w:szCs w:val="28"/>
          <w:vertAlign w:val="superscript"/>
          <w:lang w:val="uk-UA"/>
        </w:rPr>
        <w:t>9</w:t>
      </w:r>
      <w:r w:rsidRPr="00C62D22">
        <w:rPr>
          <w:rFonts w:ascii="Times New Roman" w:eastAsia="Times New Roman" w:hAnsi="Times New Roman" w:cs="Times New Roman"/>
          <w:sz w:val="28"/>
          <w:szCs w:val="28"/>
          <w:lang w:val="uk-UA"/>
        </w:rPr>
        <w:t xml:space="preserve">/л) зі зсувом лейкоцитарної формули вліво, прискорення ШОЕ до 42 мм/год. У біохімічних аналізах крові – амілаза – </w:t>
      </w:r>
      <w:smartTag w:uri="urn:schemas-microsoft-com:office:smarttags" w:element="metricconverter">
        <w:smartTagPr>
          <w:attr w:name="ProductID" w:val="582,3 г"/>
        </w:smartTagPr>
        <w:r w:rsidRPr="00C62D22">
          <w:rPr>
            <w:rFonts w:ascii="Times New Roman" w:eastAsia="Times New Roman" w:hAnsi="Times New Roman" w:cs="Times New Roman"/>
            <w:sz w:val="28"/>
            <w:szCs w:val="28"/>
            <w:lang w:val="uk-UA"/>
          </w:rPr>
          <w:t>582,3 г</w:t>
        </w:r>
      </w:smartTag>
      <w:r w:rsidRPr="00C62D22">
        <w:rPr>
          <w:rFonts w:ascii="Times New Roman" w:eastAsia="Times New Roman" w:hAnsi="Times New Roman" w:cs="Times New Roman"/>
          <w:sz w:val="28"/>
          <w:szCs w:val="28"/>
          <w:lang w:val="uk-UA"/>
        </w:rPr>
        <w:t xml:space="preserve">.г/л. Виконано верхньо-серединну лапаротомію. При ревізії в лівому піддіафрагмальному просторі, лівому фланку та поміж петель кишки до 300 мл старої крові та багато свіжих згустків. При подальшій ревізії – у ділянці тіла-хвоста по задній поверхні ПЗ, у воротах селезінки визначається ПК розмірами 10 х10 х8 см, заповнена згустками. Виконано дистальну резекцію ПЗ, спленектомію. Виявлено також ПК у голівці ПЗ розмірами 4− х 3− х 2−х см, заповнену густим сірим умістом. Прохідності Вірсунгової протоки в ДПК немає. Вирішено накласти гастропанкреатоцистоанастомоз за заявленою методикою. Шлунок з боку великої кривизни прошили двома степлерами на відстані </w:t>
      </w:r>
      <w:smartTag w:uri="urn:schemas-microsoft-com:office:smarttags" w:element="metricconverter">
        <w:smartTagPr>
          <w:attr w:name="ProductID" w:val="5 см"/>
        </w:smartTagPr>
        <w:r w:rsidRPr="00C62D22">
          <w:rPr>
            <w:rFonts w:ascii="Times New Roman" w:eastAsia="Times New Roman" w:hAnsi="Times New Roman" w:cs="Times New Roman"/>
            <w:sz w:val="28"/>
            <w:szCs w:val="28"/>
            <w:lang w:val="uk-UA"/>
          </w:rPr>
          <w:t>5 см</w:t>
        </w:r>
      </w:smartTag>
      <w:r w:rsidRPr="00C62D22">
        <w:rPr>
          <w:rFonts w:ascii="Times New Roman" w:eastAsia="Times New Roman" w:hAnsi="Times New Roman" w:cs="Times New Roman"/>
          <w:sz w:val="28"/>
          <w:szCs w:val="28"/>
          <w:lang w:val="uk-UA"/>
        </w:rPr>
        <w:t xml:space="preserve"> двічі механічним швом під кутом 90 </w:t>
      </w:r>
      <w:r w:rsidRPr="00C62D22">
        <w:rPr>
          <w:rFonts w:ascii="Times New Roman" w:eastAsia="Times New Roman" w:hAnsi="Times New Roman" w:cs="Times New Roman"/>
          <w:sz w:val="28"/>
          <w:szCs w:val="28"/>
          <w:vertAlign w:val="superscript"/>
          <w:lang w:val="uk-UA"/>
        </w:rPr>
        <w:t>0</w:t>
      </w:r>
      <w:r w:rsidRPr="00C62D22">
        <w:rPr>
          <w:rFonts w:ascii="Times New Roman" w:eastAsia="Times New Roman" w:hAnsi="Times New Roman" w:cs="Times New Roman"/>
          <w:sz w:val="28"/>
          <w:szCs w:val="28"/>
          <w:lang w:val="uk-UA"/>
        </w:rPr>
        <w:t xml:space="preserve"> та на відстані </w:t>
      </w:r>
      <w:smartTag w:uri="urn:schemas-microsoft-com:office:smarttags" w:element="metricconverter">
        <w:smartTagPr>
          <w:attr w:name="ProductID" w:val="5 см"/>
        </w:smartTagPr>
        <w:r w:rsidRPr="00C62D22">
          <w:rPr>
            <w:rFonts w:ascii="Times New Roman" w:eastAsia="Times New Roman" w:hAnsi="Times New Roman" w:cs="Times New Roman"/>
            <w:sz w:val="28"/>
            <w:szCs w:val="28"/>
            <w:lang w:val="uk-UA"/>
          </w:rPr>
          <w:t>5 см</w:t>
        </w:r>
      </w:smartTag>
      <w:r w:rsidRPr="00C62D22">
        <w:rPr>
          <w:rFonts w:ascii="Times New Roman" w:eastAsia="Times New Roman" w:hAnsi="Times New Roman" w:cs="Times New Roman"/>
          <w:sz w:val="28"/>
          <w:szCs w:val="28"/>
          <w:lang w:val="uk-UA"/>
        </w:rPr>
        <w:t xml:space="preserve"> від раніше виконаної проксимальної резекції ПЗ, сформували анастомоз дворядковим швом із прошитою ділянкою шлунка, яка розташовувалася ближче до воротаря. Трансназально до ГПП провели зонд для декомпресії.</w:t>
      </w:r>
      <w:r w:rsidRPr="00C62D22">
        <w:rPr>
          <w:rFonts w:ascii="Times New Roman" w:eastAsia="Times New Roman" w:hAnsi="Times New Roman" w:cs="Times New Roman"/>
          <w:b/>
          <w:sz w:val="28"/>
          <w:szCs w:val="28"/>
          <w:lang w:val="uk-UA"/>
        </w:rPr>
        <w:t xml:space="preserve"> </w:t>
      </w:r>
      <w:r w:rsidRPr="00C62D22">
        <w:rPr>
          <w:rFonts w:ascii="Times New Roman" w:eastAsia="Times New Roman" w:hAnsi="Times New Roman" w:cs="Times New Roman"/>
          <w:sz w:val="28"/>
          <w:szCs w:val="28"/>
          <w:lang w:val="uk-UA"/>
        </w:rPr>
        <w:t>Гемостаз за ходом операції. Черевну порожнину дреновано з 3 х контрапертур рукавицями та трубками. Ложе селезінки тампоновано 2 тампонами. Шви на рану. Асептичні пов’язки. Хворого виписали зі стаціонару на 16 добу. При контрольній перевірці через 6 міс, 1 та 1,5 роки скарг не було, хворий дотримується дієти та замісної терапії. При контрольному УЗД та МСКТ ПК та нориць у ділянці ПЗ не виявлено.</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Лапаротомні втручання виконані, у якості ІІ етапу, після мініінвазивних методик, у 9 хворих. Характер лапаротомних втручань наведено в табл. 9.4 [129].</w:t>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br w:type="page"/>
      </w:r>
    </w:p>
    <w:p w:rsidR="00C62D22" w:rsidRPr="00C62D22" w:rsidRDefault="00C62D22" w:rsidP="00C62D22">
      <w:pPr>
        <w:spacing w:after="0" w:line="360" w:lineRule="auto"/>
        <w:ind w:firstLine="708"/>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lastRenderedPageBreak/>
        <w:t>Таблиця 9.4</w:t>
      </w:r>
    </w:p>
    <w:p w:rsidR="00C62D22" w:rsidRPr="00C62D22" w:rsidRDefault="00C62D22" w:rsidP="00C62D22">
      <w:pPr>
        <w:spacing w:after="0" w:line="360" w:lineRule="auto"/>
        <w:ind w:firstLine="708"/>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Характер лапаротомних втручань у хворих з ускладненими ПК ПЗ третього типу, виконаних у якості ІІ етапу</w:t>
      </w:r>
    </w:p>
    <w:tbl>
      <w:tblPr>
        <w:tblW w:w="990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00"/>
        <w:gridCol w:w="1980"/>
        <w:gridCol w:w="1800"/>
        <w:gridCol w:w="1620"/>
      </w:tblGrid>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Втручання</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Кількість хворих</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Мали ускладнення</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Померло</w:t>
            </w:r>
          </w:p>
        </w:tc>
      </w:tr>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ЦЄС</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Повздовжня ЦЄС</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Зовнішнє дренування ПК ПЗ</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Зовнішнє дренування холедоху</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ПДР за Traverso–Longmire</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Операція Фрея</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c>
          <w:tcPr>
            <w:tcW w:w="45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Усього </w:t>
            </w:r>
          </w:p>
        </w:tc>
        <w:tc>
          <w:tcPr>
            <w:tcW w:w="198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9</w:t>
            </w:r>
          </w:p>
        </w:tc>
        <w:tc>
          <w:tcPr>
            <w:tcW w:w="180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620" w:type="dxa"/>
            <w:tcBorders>
              <w:top w:val="single" w:sz="4" w:space="0" w:color="auto"/>
              <w:left w:val="single" w:sz="4" w:space="0" w:color="auto"/>
              <w:bottom w:val="single" w:sz="4" w:space="0" w:color="auto"/>
              <w:right w:val="single" w:sz="4" w:space="0" w:color="auto"/>
            </w:tcBorders>
          </w:tcPr>
          <w:p w:rsidR="00C62D22" w:rsidRPr="00C62D22" w:rsidRDefault="00C62D22" w:rsidP="00C62D22">
            <w:pPr>
              <w:tabs>
                <w:tab w:val="left" w:pos="620"/>
              </w:tabs>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bl>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1-му хворому з ПК ПЗ, деформацією бульби ДПК, за рахунок компресії ПК, після пункцій під контролем УЗД, у якості ІІ етапу виконано лапаротомію, ППЄС. В анамнезі хворий три роки поспіль був оперований із приводу панкреонекрозу, ПК ПЗ. 1-му пацієнту з ПК голівки ПЗ, вірсунгоектазією, компресією ДПК, МЖ після проведення ЧЧХС під контролем УЗД, у якості ІІ етапу, виконано лапаротомію, ХЕ, ХДА, ППЄС, 1-му – ПДР резекцію за Traverso–Longmire.</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1-му пацієнту з ПК ПЗ, ускладненою кровотечею в її порожнину, тромбозом ворітної вени, ВПГ, асцитом,  після пункції ПК під контролем УЗД (отримано до </w:t>
      </w:r>
      <w:smartTag w:uri="urn:schemas-microsoft-com:office:smarttags" w:element="metricconverter">
        <w:smartTagPr>
          <w:attr w:name="ProductID" w:val="1 л"/>
        </w:smartTagPr>
        <w:r w:rsidRPr="00C62D22">
          <w:rPr>
            <w:rFonts w:ascii="Times New Roman" w:eastAsia="Times New Roman" w:hAnsi="Times New Roman" w:cs="Times New Roman"/>
            <w:sz w:val="28"/>
            <w:szCs w:val="28"/>
            <w:lang w:val="uk-UA"/>
          </w:rPr>
          <w:t>1 л</w:t>
        </w:r>
      </w:smartTag>
      <w:r w:rsidRPr="00C62D22">
        <w:rPr>
          <w:rFonts w:ascii="Times New Roman" w:eastAsia="Times New Roman" w:hAnsi="Times New Roman" w:cs="Times New Roman"/>
          <w:sz w:val="28"/>
          <w:szCs w:val="28"/>
          <w:lang w:val="uk-UA"/>
        </w:rPr>
        <w:t xml:space="preserve"> темної коричневої рідини), у якості ІІ етапу, виконана лапаротомія, ЦЄС [50]. У післяопераційний період на 6 та 12 добу виконані пункції ПК під контролем УЗД. 1-му хворому з хронічним фіброзно-дегенеративним панкреатитом, ПК голівки ПЗ, ускладненою кровотечею в її порожнину, МЖ, стенозом портальної вени, ВПГ, субкомпенсованим стенозом ДПК, після застосування РЕО для зупинки кровотечі, на 7 добу, у якості ІІ етапу, виконана лапаротомія, зовнішнє дренування ПК ПЗ. 1-му пацієнту з хронічним калькульозним панкреатитом, ПК ПЗ, ускладненою кровотечею в її порожнину, дуоденостазом, біліарною гіпертензією, асцитом, після РЕО ГДА, на 3 добу виконано лапаротомію, ХЕ, тромбектомія із загальної </w:t>
      </w:r>
      <w:r w:rsidRPr="00C62D22">
        <w:rPr>
          <w:rFonts w:ascii="Times New Roman" w:eastAsia="Times New Roman" w:hAnsi="Times New Roman" w:cs="Times New Roman"/>
          <w:sz w:val="28"/>
          <w:szCs w:val="28"/>
          <w:lang w:val="uk-UA"/>
        </w:rPr>
        <w:lastRenderedPageBreak/>
        <w:t xml:space="preserve">печінкової артерії, зовнішнє дренування холедоху. В 1-го хворого з ПК ПЗ, ускладненою кровотечею в її порожнину, арозією панкреатодуоденальної артерії, МЖ на 2 добу після РЕО ГДА, виник рецидив кровотечі, виконано лапаротомію, гемостаз, ХЕ, зовнішнє дренування ПК.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 1-го хворого з ПК ПЗ, вірсунгоектазією, вірсунголітіазом, кровотечею в її порожнину після ЕСГ пункції, на 12 добу виконана пілорусзберігаюча ПДР за Traverso–Longmire, на 9 добу перебіг післяопераційного періоду ускладнився кровотечею, виконана релапаротомія, зупинка кровотечі, зовнішнє дренування ПК ПЗ. У післяопераційний період виникли несталість ГЄС та панкреатоєюноанастомоз.</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В 1-го хворого з ПК ПЗ, ускладненою псевдоаневризмою гілки а. mesenterica superior, кровотеча зупинена за допомогою РЕО (рис. 9.6). </w:t>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pict>
          <v:shape id="_x0000_s1383" type="#_x0000_t13" style="position:absolute;left:0;text-align:left;margin-left:2in;margin-top:79.15pt;width:81pt;height:18pt;z-index:251927552"/>
        </w:pic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rPr>
        <w:drawing>
          <wp:inline distT="0" distB="0" distL="0" distR="0">
            <wp:extent cx="4181475" cy="2667000"/>
            <wp:effectExtent l="19050" t="0" r="9525" b="0"/>
            <wp:docPr id="368" name="Рисунок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8"/>
                    <pic:cNvPicPr>
                      <a:picLocks noChangeAspect="1" noChangeArrowheads="1"/>
                    </pic:cNvPicPr>
                  </pic:nvPicPr>
                  <pic:blipFill>
                    <a:blip r:embed="rId122" cstate="print"/>
                    <a:srcRect/>
                    <a:stretch>
                      <a:fillRect/>
                    </a:stretch>
                  </pic:blipFill>
                  <pic:spPr bwMode="auto">
                    <a:xfrm>
                      <a:off x="0" y="0"/>
                      <a:ext cx="4181475" cy="266700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pict>
          <v:shape id="_x0000_s1378" type="#_x0000_t202" style="position:absolute;left:0;text-align:left;margin-left:18pt;margin-top:5.4pt;width:486pt;height:63pt;z-index:251922432" stroked="f">
            <v:textbox style="mso-next-textbox:#_x0000_s1378">
              <w:txbxContent>
                <w:p w:rsidR="00C62D22" w:rsidRPr="00C62D22" w:rsidRDefault="00C62D22" w:rsidP="00C62D22">
                  <w:pPr>
                    <w:spacing w:line="360" w:lineRule="auto"/>
                    <w:ind w:firstLine="540"/>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9.6. Аневризма сегментарної гілки верхньої брижової артерії, з кровотечею в черевну порожнину (указана стрілкою)</w:t>
                  </w:r>
                </w:p>
              </w:txbxContent>
            </v:textbox>
          </v:shape>
        </w:pict>
      </w:r>
    </w:p>
    <w:p w:rsidR="00C62D22" w:rsidRPr="00C62D22" w:rsidRDefault="00C62D22" w:rsidP="00C62D22">
      <w:pPr>
        <w:spacing w:after="0" w:line="360" w:lineRule="auto"/>
        <w:ind w:firstLine="708"/>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На 13 добу після стабілізації стану хворому виконано лапаротомію, резекцію ПЗ за Фреєм.</w:t>
      </w:r>
    </w:p>
    <w:p w:rsidR="00C62D22" w:rsidRPr="00C62D22" w:rsidRDefault="00C62D22" w:rsidP="00C62D22">
      <w:pPr>
        <w:spacing w:after="0" w:line="360" w:lineRule="auto"/>
        <w:ind w:right="-1"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лікуванні ускладнених ПК ПЗ ІІІ типу ускладнення виникли в 10,2%, летальність становила – 0,56 %. У 75 % випадків мініінвазивні методики були заключним етапом у лікуванні хворих, у 25 % випадків ці методики </w:t>
      </w:r>
      <w:r w:rsidRPr="00C62D22">
        <w:rPr>
          <w:rFonts w:ascii="Times New Roman" w:eastAsia="Times New Roman" w:hAnsi="Times New Roman" w:cs="Times New Roman"/>
          <w:sz w:val="28"/>
          <w:szCs w:val="28"/>
          <w:lang w:val="uk-UA"/>
        </w:rPr>
        <w:lastRenderedPageBreak/>
        <w:t xml:space="preserve">використовувалися з метою «вичікувальної» тактики, для полегшення загального стану хворого, з подальшим виконанням лапаротомного втручання. </w:t>
      </w:r>
    </w:p>
    <w:p w:rsidR="00C62D22" w:rsidRPr="00C62D22" w:rsidRDefault="00C62D22" w:rsidP="00C62D22">
      <w:pPr>
        <w:spacing w:after="0" w:line="360" w:lineRule="auto"/>
        <w:ind w:firstLine="540"/>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b/>
          <w:sz w:val="28"/>
          <w:szCs w:val="28"/>
          <w:lang w:val="uk-UA"/>
        </w:rPr>
        <w:t>Резюме.</w:t>
      </w:r>
      <w:r w:rsidRPr="00C62D22">
        <w:rPr>
          <w:rFonts w:ascii="Times New Roman" w:eastAsia="Times New Roman" w:hAnsi="Times New Roman" w:cs="Times New Roman"/>
          <w:sz w:val="28"/>
          <w:szCs w:val="28"/>
          <w:lang w:val="uk-UA"/>
        </w:rPr>
        <w:t xml:space="preserve"> Аналізуючи дані, наведені в розділах 7, 8, 9, можна зазначити, що застосування розробленого алгоритму з використанням методики «step-up approach» дозволило покращити результати хірургічного лікування хворих з ускладненими ПК ПЗ [47, 51, 116, 127, 129, 262, 272]. Поліпшення результатів, перш за все, досягнуто за рахунок розподілу ПК ПЗ на три типи за етіопатогенетичною класифікацією та за рахунок зменшення частки лапаротомій, у тому числі невиправданих, а також етапних операцій. </w:t>
      </w:r>
      <w:r w:rsidRPr="00C62D22">
        <w:rPr>
          <w:rFonts w:ascii="Times New Roman" w:eastAsia="Times New Roman" w:hAnsi="Times New Roman" w:cs="Times New Roman"/>
          <w:color w:val="000000"/>
          <w:sz w:val="28"/>
          <w:szCs w:val="28"/>
          <w:lang w:val="uk-UA"/>
        </w:rPr>
        <w:t xml:space="preserve">У хворих з дисфункцією органа </w:t>
      </w:r>
      <w:r w:rsidRPr="00C62D22">
        <w:rPr>
          <w:rFonts w:ascii="Times New Roman" w:eastAsia="Times New Roman" w:hAnsi="Times New Roman" w:cs="Times New Roman"/>
          <w:sz w:val="28"/>
          <w:szCs w:val="28"/>
          <w:lang w:val="uk-UA"/>
        </w:rPr>
        <w:t xml:space="preserve">(SOFA </w:t>
      </w:r>
      <w:r w:rsidRPr="00C62D22">
        <w:rPr>
          <w:rFonts w:ascii="Times New Roman" w:eastAsia="Times New Roman" w:hAnsi="Times New Roman" w:cs="Times New Roman"/>
          <w:sz w:val="28"/>
          <w:szCs w:val="28"/>
          <w:lang w:val="uk-UA"/>
        </w:rPr>
        <w:sym w:font="Symbol" w:char="003E"/>
      </w:r>
      <w:r w:rsidRPr="00C62D22">
        <w:rPr>
          <w:rFonts w:ascii="Times New Roman" w:eastAsia="Times New Roman" w:hAnsi="Times New Roman" w:cs="Times New Roman"/>
          <w:sz w:val="28"/>
          <w:szCs w:val="28"/>
          <w:lang w:val="uk-UA"/>
        </w:rPr>
        <w:t xml:space="preserve"> 8) з метою «вичікувальної» тактики виконували крізьшкірне або ендоскопічне дренування ПК ПЗ. Цей підхід був розроблений з метою «управління» сепсисом або покращення загального стану пацієнта, необхідного для подальшого використання «відкритих» втручань на ПЗ. Хворим з ПК ПЗ без поліорганної недостатності або з помірною дисфункцією органа (SOFA від 3 до 8), а також пацієнтам з мінімальним хірургічним ризиком виконували лапаротомію з хірургічною обробкою порожнини ПК, а в подальшому, при сформуванні стінок ПК – формування ЦЕА. Хворим з ПК ПЗ із тонкими стінками виконували зовнішнє дренування їх порожнини з додатковою тампонадою великим чепцем [114]. Так, для лікування хворих з різними ускладненнями ПК І типу, у якості І етапу, переважно застосовувалися мініінвазивні методики 49 (60,5%) пацієнтів, з метою декомпресії ПК, та «вичікувальної» тактики для стабілізації стану хворого [42, 43]. Перевагу віддавали крізьшкірним пункціям під контролем УЗД, які в загальній структурі мініінвазивних методик становили 77,08%. При застосуванні цих втручань у 19 (38,8%) хворих виникли ускладнення (рецидиви ПК ПЗ, реактивні плеврити, кровотеча у порожнину ПК), які у 7 (36,8%) пацієнтів були ліквідовані повторними мініінвазивними втручаннями. У хворих з ПК ПЗ І типу у якості основного методу лікування було виконано 32 (39,5%) лапаротомні втручання. У структурі «відкритих» втручань в цієї групі пацієнтів переважали зовнішні дренування ПК ПЗ, які були застосовані у 14 (43,8%) хворих та некрсеквестректомії – у 12 (37,5%) [121]. Ускладнення при застосуванні «відкритих» втручань у якості основного етапу виникли у 9 (28,1%) хворих, </w:t>
      </w:r>
      <w:r w:rsidRPr="00C62D22">
        <w:rPr>
          <w:rFonts w:ascii="Times New Roman" w:eastAsia="Times New Roman" w:hAnsi="Times New Roman" w:cs="Times New Roman"/>
          <w:sz w:val="28"/>
          <w:szCs w:val="28"/>
          <w:lang w:val="uk-UA"/>
        </w:rPr>
        <w:lastRenderedPageBreak/>
        <w:t xml:space="preserve">летальність склала 1 (3,1 %) пацієнт. У 9 (18,4%) хворих, у якості другого етапу, були виконані лапаротомні втручання. </w:t>
      </w:r>
    </w:p>
    <w:p w:rsidR="00C62D22" w:rsidRPr="00C62D22" w:rsidRDefault="00C62D22" w:rsidP="00C62D22">
      <w:pPr>
        <w:spacing w:after="0" w:line="360" w:lineRule="auto"/>
        <w:ind w:firstLine="540"/>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При лікуванні ускладнених ПК ПЗ ІІ типу (n=247), мініінвазивні методики виконані у 119 (48,2%) пацієнтів, з них у структурі втручань переважали крізьшкірні пункції ПК ПЗ під контролем УЗД у 55 (46,2%). Також в цієї групі хворих були виконані наступні втручання: крізьшкірні дренування ПК ПЗ за типом «pig tail» – у 17 (14,3%), ЕСГ пункції ПК ПЗ – у 16 (13,4%), ендоскопічні анастомози – у 5 (4,2%), лапароскопічні втручання – у 8 (6,7%), крізьшкірне пункційне дренування черевної порожнини під контролем УЗД – у 2 (1,7%), РЕО судин – 15 (12,6%), встановлення стент-графту – 1 (0,9%). Ускладнення виникли у 29 (24,4%) пацієнтів цієї групи, які у 22 (75,9%) випадках були ліквідовані повторними мінінінвазивними втручаннями [267]. Лапаротомні втручання виконані у 128 (51,8%) хворих з ускладненими ПК ПЗ ІІ типу. При ускладнених ПК ПЗ ІІ типу із товстими сформованими стінками у 83 (64,8%) були сформовані цистоентероанастомози. При ускладнених ПК ПЗ ІІ типу з тонкими стінками у 29 (22,7 %) пацієнтів були виконані зовнішні дренування ПК. Виконання радикальних оперативних втручань залежало від важкості стану пацієнтів, розповсюдженості ХП, локалізації ПК, стану протокової системи, а також наявністю ускладнень з боку суміжних органів. Післяопераційні ускладнення виникли у 7 (5,5%), летальність склала 0,78 % (1 хворий) [267].</w:t>
      </w:r>
    </w:p>
    <w:p w:rsidR="00C62D22" w:rsidRPr="00C62D22" w:rsidRDefault="00C62D22" w:rsidP="00C62D22">
      <w:pPr>
        <w:spacing w:after="0" w:line="360" w:lineRule="auto"/>
        <w:ind w:firstLine="540"/>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лікуванні ускладнених ПК ПЗ ІІІ типу (n=177), мініінвазивні втручання виконані у 36 (20,3%). Хворим переважно застосовувались пункції під контролем УЗД – у 8 (22,2%), ЕСГ пункції ПК – у 7 (19,4%) та крізьшкірні дренування ПК ПЗ за типом «pig tail» – у 6 (16,7%). Ендоскопічні ЦГС застосовані у 3 (8,3%) пацієнтів. При ПК ПЗ ІІІ типу, ускладнених кровотечею у їх порожнину у 9 хворих виконані РЕО судин та у 1 – встановлено стент-графт. При ПК ПЗ, ускладнених МЖ, з метою ліквідації жовтяниці 2-м пацієнтам проведені ККХС під контролем УЗД. При застосуванні цих методик ускладнення виникли у 9 (25%) хворих, у 4 з яких вони були ліквідовані повторними мініінвазивними втручаннями [129]. </w:t>
      </w:r>
    </w:p>
    <w:p w:rsidR="00C62D22" w:rsidRPr="00C62D22" w:rsidRDefault="00C62D22" w:rsidP="00C62D22">
      <w:pPr>
        <w:shd w:val="clear" w:color="auto" w:fill="FFFFFF"/>
        <w:autoSpaceDE w:val="0"/>
        <w:autoSpaceDN w:val="0"/>
        <w:adjustRightInd w:val="0"/>
        <w:spacing w:after="0" w:line="360" w:lineRule="auto"/>
        <w:ind w:firstLine="540"/>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Лапаротомні оперативні втручання при ускладнених ПК ПЗ ІІІ типу виконані у якості І етапу у 141 (79,7%) хворих. У зв’язку з особливістю анатомії ГПП при ПК </w:t>
      </w:r>
      <w:r w:rsidRPr="00C62D22">
        <w:rPr>
          <w:rFonts w:ascii="Times New Roman" w:eastAsia="Times New Roman" w:hAnsi="Times New Roman" w:cs="Times New Roman"/>
          <w:sz w:val="28"/>
          <w:szCs w:val="28"/>
          <w:lang w:val="uk-UA"/>
        </w:rPr>
        <w:lastRenderedPageBreak/>
        <w:t>ПЗ ІІІ типу, переважну більшість у структурі втручань складали ППЕА – 46 (32,6%). Також у 41 (29,1%) пацієнтів виконувались накладання цистодигестивних анастомозів. Зовнішнє дренування ПК ПЗ ІІІ типу було застосовано у 8 (5,7%) хворих. Операція Фрея виконана у 32 (22,7%), ПДР у модифікаціях різних авторів – у 7 (4,9%), дистальна резекція ПЗ – у 6 (4,3%) та Бернська модифікація операції Бегера – у 1 (0,7%). Ускладнення при «відкритих» оперативних втручаннях спостерігалися у 9 (6,4%), летальність склала 0,7%. Лапаротомні втручання у хворих з ПК ПЗ ІІІ типу, які виконувалися після мініінвазивних втручань, спостерігалися у 9 (25%) хворих, з яких у 3-х були накладені цистодигестивні анастомози, у 3-х – зовнішні дренування, у 2-х – ПДР, у 1-го – операція Фрея. Післяопераційні ускладнення виникли у 2-х пацієнтів [129].</w:t>
      </w:r>
    </w:p>
    <w:p w:rsidR="00C62D22" w:rsidRPr="00C62D22" w:rsidRDefault="00C62D22" w:rsidP="00C62D22">
      <w:pPr>
        <w:spacing w:after="0" w:line="360" w:lineRule="auto"/>
        <w:ind w:firstLine="540"/>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Використання мініінвазивних методів, в комплексі хірургічного лікування пацієнтів на ускладнені ПК ПЗ, дозволило знизити загальний розвиток післяопераційних ускладнень до 17,4%, летальність до 0,79%: при I типі – до 34,6% і до 2,5% відповідно; при II типі – до 16,2 і до 0,4% відповідно; при III типі – до 11,3% і до 0,56% відповідно (</w:t>
      </w:r>
      <w:r w:rsidRPr="00C62D22">
        <w:rPr>
          <w:rFonts w:ascii="Times New Roman" w:eastAsia="Times New Roman" w:hAnsi="Times New Roman" w:cs="Times New Roman"/>
          <w:sz w:val="28"/>
          <w:szCs w:val="28"/>
          <w:lang w:val="uk-UA"/>
        </w:rPr>
        <w:sym w:font="Symbol" w:char="F063"/>
      </w:r>
      <w:r w:rsidRPr="00C62D22">
        <w:rPr>
          <w:rFonts w:ascii="Times New Roman" w:eastAsia="Times New Roman" w:hAnsi="Times New Roman" w:cs="Times New Roman"/>
          <w:sz w:val="28"/>
          <w:szCs w:val="28"/>
          <w:lang w:val="uk-UA"/>
        </w:rPr>
        <w:t>2</w:t>
      </w:r>
      <w:r w:rsidRPr="00C62D22">
        <w:rPr>
          <w:rFonts w:ascii="Times New Roman" w:eastAsia="Times New Roman" w:hAnsi="Times New Roman" w:cs="Times New Roman"/>
          <w:sz w:val="28"/>
          <w:szCs w:val="28"/>
          <w:lang w:val="uk-UA"/>
        </w:rPr>
        <w:sym w:font="Symbol" w:char="F03D"/>
      </w:r>
      <w:r w:rsidRPr="00C62D22">
        <w:rPr>
          <w:rFonts w:ascii="Times New Roman" w:eastAsia="Times New Roman" w:hAnsi="Times New Roman" w:cs="Times New Roman"/>
          <w:sz w:val="28"/>
          <w:szCs w:val="28"/>
          <w:lang w:val="uk-UA"/>
        </w:rPr>
        <w:t>16,319, р</w:t>
      </w:r>
      <w:r w:rsidRPr="00C62D22">
        <w:rPr>
          <w:rFonts w:ascii="Times New Roman" w:eastAsia="Times New Roman" w:hAnsi="Times New Roman" w:cs="Times New Roman"/>
          <w:sz w:val="28"/>
          <w:szCs w:val="28"/>
          <w:lang w:val="uk-UA"/>
        </w:rPr>
        <w:sym w:font="Symbol" w:char="F03D"/>
      </w:r>
      <w:r w:rsidRPr="00C62D22">
        <w:rPr>
          <w:rFonts w:ascii="Times New Roman" w:eastAsia="Times New Roman" w:hAnsi="Times New Roman" w:cs="Times New Roman"/>
          <w:sz w:val="28"/>
          <w:szCs w:val="28"/>
          <w:lang w:val="uk-UA"/>
        </w:rPr>
        <w:t>0,003).</w:t>
      </w:r>
    </w:p>
    <w:p w:rsidR="00C62D22" w:rsidRPr="00C62D22" w:rsidRDefault="00C62D22" w:rsidP="00C62D22">
      <w:pPr>
        <w:tabs>
          <w:tab w:val="left" w:pos="4395"/>
        </w:tabs>
        <w:spacing w:after="0" w:line="360" w:lineRule="auto"/>
        <w:ind w:firstLine="709"/>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Таким чином, поліпшення результатів лікування ускладнених ПК ПЗ було досягнуто завдяки сучасній та точній діагностики типів та ускладнень хвороби, включаючи моніторинг ефективності лікування, більш широкого застосування різноманітних мініінвазивних хірургічних втручань (під контролем УЗД, ЕСГ, ендоскопічних, РЕО, лапароскопічних), та їх комбінацій як в якості самостійних втручань, так і в якості першого етапу лікування; а також впровадження в практику запропонованих нових та модифікованих способів втручань. </w:t>
      </w:r>
    </w:p>
    <w:p w:rsidR="00C62D22" w:rsidRPr="00C62D22" w:rsidRDefault="00C62D22">
      <w:pPr>
        <w:rPr>
          <w:rFonts w:ascii="Times New Roman" w:hAnsi="Times New Roman" w:cs="Times New Roman"/>
          <w:sz w:val="28"/>
          <w:szCs w:val="28"/>
          <w:lang w:val="uk-UA"/>
        </w:rPr>
      </w:pPr>
      <w:r w:rsidRPr="00C62D22">
        <w:rPr>
          <w:rFonts w:ascii="Times New Roman" w:hAnsi="Times New Roman" w:cs="Times New Roman"/>
          <w:sz w:val="28"/>
          <w:szCs w:val="28"/>
          <w:lang w:val="uk-UA"/>
        </w:rPr>
        <w:br w:type="page"/>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lastRenderedPageBreak/>
        <w:t>РОЗДІЛ 10</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ВИЗНАЧЕННЯ РАННІХ ТА ПІЗНІХ ПІСЛЯОПЕРАЦІЙНИХ УСКЛАДНЕНЬ У ХВОРИХ, ОПЕРОВАНИХ ІЗ ПРИВОДУ УСКЛАДНЕНИХ ПСЕВДОКІСТ ПІДШЛУНКОВОЇ ЗАЛОЗИ</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10.1. Прогнозування ранніх післяопераційних ускладнень у хворих, оперованих із приводу псевдокіст підшлункової залози</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Проаналізовані найближчі результати хірургічних втручань 157 хворих, оперованих із приводу ускладнених ПК ПЗ [48, 124], які знаходилися на лікуванні  Комунальному закладі охорони здоров’я «Обласна клінічна лікарня – Центр екстреної медицини та медицини катастроф» м. Харкова за період з 2012 по 2015 рр. та у відділі хірургії підшлункової залози й реконструктивної хірургії жовчовивідних протоків ДУ Національної академії медичних наук України «Національний інститут хірургії та трансплантології ім. О. О. Шалімова» за період з 2014-2015 рр. Усі хворі розподілені на 3 групи за етіопатогенетичною класифікацією D'Egidio A. та Schein M. (1991 р.) [339]. Розподіл хворих, що досліджуються, за типами ПК ПЗ і за видами оперативних втручань наведений у табл. 10.1.</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10.1</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Розподіл хворих за типами ПК ПЗ та видами втручань (n=157)</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420"/>
        <w:gridCol w:w="1620"/>
        <w:gridCol w:w="1620"/>
        <w:gridCol w:w="1620"/>
        <w:gridCol w:w="1620"/>
      </w:tblGrid>
      <w:tr w:rsidR="00C62D22" w:rsidRPr="00C62D22" w:rsidTr="00E83BB7">
        <w:tc>
          <w:tcPr>
            <w:tcW w:w="3420" w:type="dxa"/>
          </w:tcPr>
          <w:p w:rsidR="00C62D22" w:rsidRPr="00C62D22" w:rsidRDefault="00C62D22" w:rsidP="00C62D22">
            <w:pPr>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Вид втручання</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ПК І типу</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ПК ІІ типу</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ПК ІІІ типу</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Всього </w:t>
            </w:r>
          </w:p>
        </w:tc>
      </w:tr>
      <w:tr w:rsidR="00C62D22" w:rsidRPr="00C62D22" w:rsidTr="00E83BB7">
        <w:tc>
          <w:tcPr>
            <w:tcW w:w="3420" w:type="dxa"/>
          </w:tcPr>
          <w:p w:rsidR="00C62D22" w:rsidRPr="00C62D22" w:rsidRDefault="00C62D22" w:rsidP="00C62D22">
            <w:pPr>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Лапаротомія</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26</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29</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30</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85</w:t>
            </w:r>
          </w:p>
        </w:tc>
      </w:tr>
      <w:tr w:rsidR="00C62D22" w:rsidRPr="00C62D22" w:rsidTr="00E83BB7">
        <w:tc>
          <w:tcPr>
            <w:tcW w:w="3420" w:type="dxa"/>
          </w:tcPr>
          <w:p w:rsidR="00C62D22" w:rsidRPr="00C62D22" w:rsidRDefault="00C62D22" w:rsidP="00C62D22">
            <w:pPr>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Мініінвазивні втручання</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30</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20</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22</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72</w:t>
            </w:r>
          </w:p>
        </w:tc>
      </w:tr>
      <w:tr w:rsidR="00C62D22" w:rsidRPr="00C62D22" w:rsidTr="00E83BB7">
        <w:tc>
          <w:tcPr>
            <w:tcW w:w="3420" w:type="dxa"/>
          </w:tcPr>
          <w:p w:rsidR="00C62D22" w:rsidRPr="00C62D22" w:rsidRDefault="00C62D22" w:rsidP="00C62D22">
            <w:pPr>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Всього</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56</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49</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52</w:t>
            </w:r>
          </w:p>
        </w:tc>
        <w:tc>
          <w:tcPr>
            <w:tcW w:w="162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157</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Очевидно, що про ефективність (доцільність) операції на найближчий період лікування можна судити за двома показниками: тривалість лікування (кількість </w:t>
      </w:r>
      <w:r w:rsidRPr="00C62D22">
        <w:rPr>
          <w:rFonts w:ascii="Times New Roman" w:eastAsia="Times New Roman" w:hAnsi="Times New Roman" w:cs="Times New Roman"/>
          <w:sz w:val="28"/>
          <w:szCs w:val="28"/>
          <w:lang w:val="uk-UA"/>
        </w:rPr>
        <w:lastRenderedPageBreak/>
        <w:t>ліжко-днів) і наявність / відсутність післяопераційних ускладнень [17, 73, 199, 223, 283, 285]. Однак, на практиці не спостерігається виражена кореляція між двома цими показниками. Для вирішення цієї проблеми була сформована агломеративна змінна «наслідок лікування» (НЛ), що має 8 градацій і включає в себе обидва показники. Її вигляд показаний у табл. 10.2.</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10.2</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Агломеративна змінна «наслідок лікування»</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94"/>
        <w:gridCol w:w="1054"/>
        <w:gridCol w:w="850"/>
        <w:gridCol w:w="992"/>
        <w:gridCol w:w="793"/>
        <w:gridCol w:w="912"/>
        <w:gridCol w:w="909"/>
        <w:gridCol w:w="912"/>
        <w:gridCol w:w="900"/>
      </w:tblGrid>
      <w:tr w:rsidR="00C62D22" w:rsidRPr="00C62D22" w:rsidTr="00E83BB7">
        <w:tc>
          <w:tcPr>
            <w:tcW w:w="2594" w:type="dxa"/>
            <w:vMerge w:val="restart"/>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Показники</w:t>
            </w:r>
          </w:p>
        </w:tc>
        <w:tc>
          <w:tcPr>
            <w:tcW w:w="7318" w:type="dxa"/>
            <w:gridSpan w:val="8"/>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Кількість ліжко-днів (N)</w:t>
            </w:r>
          </w:p>
        </w:tc>
      </w:tr>
      <w:tr w:rsidR="00C62D22" w:rsidRPr="00C62D22" w:rsidTr="00E83BB7">
        <w:tc>
          <w:tcPr>
            <w:tcW w:w="2594" w:type="dxa"/>
            <w:vMerge/>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tc>
        <w:tc>
          <w:tcPr>
            <w:tcW w:w="1904" w:type="dxa"/>
            <w:gridSpan w:val="2"/>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N </w:t>
            </w:r>
            <w:r w:rsidRPr="00C62D22">
              <w:rPr>
                <w:rFonts w:ascii="Times New Roman" w:eastAsia="Times New Roman" w:hAnsi="Times New Roman" w:cs="Times New Roman"/>
                <w:sz w:val="28"/>
                <w:szCs w:val="28"/>
                <w:lang w:val="uk-UA"/>
              </w:rPr>
              <w:sym w:font="Symbol" w:char="F0A3"/>
            </w:r>
            <w:r w:rsidRPr="00C62D22">
              <w:rPr>
                <w:rFonts w:ascii="Times New Roman" w:eastAsia="Times New Roman" w:hAnsi="Times New Roman" w:cs="Times New Roman"/>
                <w:sz w:val="28"/>
                <w:szCs w:val="28"/>
                <w:lang w:val="uk-UA"/>
              </w:rPr>
              <w:t xml:space="preserve"> 14</w:t>
            </w:r>
          </w:p>
        </w:tc>
        <w:tc>
          <w:tcPr>
            <w:tcW w:w="1785" w:type="dxa"/>
            <w:gridSpan w:val="2"/>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14 &lt; N </w:t>
            </w:r>
            <w:r w:rsidRPr="00C62D22">
              <w:rPr>
                <w:rFonts w:ascii="Times New Roman" w:eastAsia="Times New Roman" w:hAnsi="Times New Roman" w:cs="Times New Roman"/>
                <w:sz w:val="28"/>
                <w:szCs w:val="28"/>
                <w:lang w:val="uk-UA"/>
              </w:rPr>
              <w:sym w:font="Symbol" w:char="F0A3"/>
            </w:r>
            <w:r w:rsidRPr="00C62D22">
              <w:rPr>
                <w:rFonts w:ascii="Times New Roman" w:eastAsia="Times New Roman" w:hAnsi="Times New Roman" w:cs="Times New Roman"/>
                <w:sz w:val="28"/>
                <w:szCs w:val="28"/>
                <w:lang w:val="uk-UA"/>
              </w:rPr>
              <w:t xml:space="preserve"> 21</w:t>
            </w:r>
          </w:p>
        </w:tc>
        <w:tc>
          <w:tcPr>
            <w:tcW w:w="1817" w:type="dxa"/>
            <w:gridSpan w:val="2"/>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21 &lt; N </w:t>
            </w:r>
            <w:r w:rsidRPr="00C62D22">
              <w:rPr>
                <w:rFonts w:ascii="Times New Roman" w:eastAsia="Times New Roman" w:hAnsi="Times New Roman" w:cs="Times New Roman"/>
                <w:sz w:val="28"/>
                <w:szCs w:val="28"/>
                <w:lang w:val="uk-UA"/>
              </w:rPr>
              <w:sym w:font="Symbol" w:char="F0A3"/>
            </w:r>
            <w:r w:rsidRPr="00C62D22">
              <w:rPr>
                <w:rFonts w:ascii="Times New Roman" w:eastAsia="Times New Roman" w:hAnsi="Times New Roman" w:cs="Times New Roman"/>
                <w:sz w:val="28"/>
                <w:szCs w:val="28"/>
                <w:lang w:val="uk-UA"/>
              </w:rPr>
              <w:t xml:space="preserve"> 30</w:t>
            </w:r>
          </w:p>
        </w:tc>
        <w:tc>
          <w:tcPr>
            <w:tcW w:w="1812" w:type="dxa"/>
            <w:gridSpan w:val="2"/>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N &gt; 30</w:t>
            </w:r>
          </w:p>
        </w:tc>
      </w:tr>
      <w:tr w:rsidR="00C62D22" w:rsidRPr="00C62D22" w:rsidTr="00E83BB7">
        <w:tc>
          <w:tcPr>
            <w:tcW w:w="2594"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Ускладнення</w:t>
            </w:r>
          </w:p>
        </w:tc>
        <w:tc>
          <w:tcPr>
            <w:tcW w:w="105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немає</w:t>
            </w:r>
          </w:p>
        </w:tc>
        <w:tc>
          <w:tcPr>
            <w:tcW w:w="85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є</w:t>
            </w:r>
          </w:p>
        </w:tc>
        <w:tc>
          <w:tcPr>
            <w:tcW w:w="99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немає</w:t>
            </w:r>
          </w:p>
        </w:tc>
        <w:tc>
          <w:tcPr>
            <w:tcW w:w="793"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є</w:t>
            </w:r>
          </w:p>
        </w:tc>
        <w:tc>
          <w:tcPr>
            <w:tcW w:w="908"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немає</w:t>
            </w:r>
          </w:p>
        </w:tc>
        <w:tc>
          <w:tcPr>
            <w:tcW w:w="90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є</w:t>
            </w:r>
          </w:p>
        </w:tc>
        <w:tc>
          <w:tcPr>
            <w:tcW w:w="91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немає</w:t>
            </w:r>
          </w:p>
        </w:tc>
        <w:tc>
          <w:tcPr>
            <w:tcW w:w="90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є</w:t>
            </w:r>
          </w:p>
        </w:tc>
      </w:tr>
      <w:tr w:rsidR="00C62D22" w:rsidRPr="00C62D22" w:rsidTr="00E83BB7">
        <w:tc>
          <w:tcPr>
            <w:tcW w:w="2594"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Наслідок лікування</w:t>
            </w:r>
          </w:p>
        </w:tc>
        <w:tc>
          <w:tcPr>
            <w:tcW w:w="105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85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99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793"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908"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w:t>
            </w:r>
          </w:p>
        </w:tc>
        <w:tc>
          <w:tcPr>
            <w:tcW w:w="90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6</w:t>
            </w:r>
          </w:p>
        </w:tc>
        <w:tc>
          <w:tcPr>
            <w:tcW w:w="91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c>
          <w:tcPr>
            <w:tcW w:w="90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Варто відзначити, що змінна НЛ є номінальною змінною, а не порядковою. Тобто не можна сказати, що результат лікування 2 краще за 3.</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Крім того, результат лікування залежить і від стану хворого до операції, який описується 6 клінічними (дихотомічні: є / немає) і 6 лабораторними (числовими) показниками.</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Таким чином, ми маємо одну вихідну змінну НЛ (номінальну на 8 рівнях) і 13 вхідних показників, серед яких 7 дихотомічних (вид операції та 6 клінічних показників) і 6 безперервних показників (лабораторні аналізи). Для вирішення подібних завдань (завдань класифікації) найбільш часто застосовуються такі методи статистичного аналізу: логістична регресія, узагальнений дискримінантний аналіз, нейронні мережі та ін. Однак, можлива побудова функцій класифікації і на основі інших підходів. У цій роботі в якості вихідної інформації для побудови класифікаційних функцій використані уявлення взаємозв'язків між вхідним і вихідним показником, отримані за допомогою методу кореспондентського аналізу (аналізу відповідностей) [299, 355]. Багатовимірний аналіз відповідностей являє собою метод аналізу багатовимірних таблиць сполучуваності, що передбачає використання в аналізу лише номінальних змінних. Тому для використання цього </w:t>
      </w:r>
      <w:r w:rsidRPr="00C62D22">
        <w:rPr>
          <w:rFonts w:ascii="Times New Roman" w:eastAsia="Times New Roman" w:hAnsi="Times New Roman" w:cs="Times New Roman"/>
          <w:sz w:val="28"/>
          <w:szCs w:val="28"/>
          <w:lang w:val="uk-UA"/>
        </w:rPr>
        <w:lastRenderedPageBreak/>
        <w:t>методу необхідно перетворити 6 безперервних показників (лабораторні аналізи) у порядкові (або в номінальні). При цьому необхідно розуміти, що збільшення розмірності досліджуваних таблиць сполучуваності істотно ускладнює їх аналіз. У роботі пропонується об'єднати 6 клінічних і 6 лабораторних в один показник, який описує приналежність хворого до певної групи з однорідними показниками. Це реалізовано за допомогою кластерного аналізу, тому й сформовані групи ми називали кластерами. Прогнозування приналежності конкретного хворого до деякого кластеру проводилося за допомогою узагальненого дискримінантного аналізу.</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Таким чином, алгоритм вирішення задачі прогнозування виду операції зводиться до схеми,що показана на рис. 10.1.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439" type="#_x0000_t202" style="position:absolute;left:0;text-align:left;margin-left:1.2pt;margin-top:247.35pt;width:502.8pt;height:36pt;z-index:251944960" stroked="f">
            <v:textbox style="mso-next-textbox:#_x0000_s1439">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Рис.10.1. Схема алгоритму вибору операції</w:t>
                  </w:r>
                </w:p>
                <w:p w:rsidR="00C62D22" w:rsidRPr="007B4BAD" w:rsidRDefault="00C62D22" w:rsidP="00C62D22">
                  <w:pPr>
                    <w:rPr>
                      <w:lang w:val="uk-UA"/>
                    </w:rPr>
                  </w:pPr>
                </w:p>
              </w:txbxContent>
            </v:textbox>
          </v:shape>
        </w:pict>
      </w:r>
      <w:r w:rsidRPr="00C62D22">
        <w:rPr>
          <w:rFonts w:ascii="Times New Roman" w:eastAsia="Times New Roman" w:hAnsi="Times New Roman" w:cs="Times New Roman"/>
          <w:sz w:val="28"/>
          <w:szCs w:val="28"/>
          <w:lang w:val="uk-UA"/>
        </w:rPr>
        <w:t xml:space="preserve"> </w:t>
      </w:r>
      <w:r w:rsidRPr="00C62D22">
        <w:rPr>
          <w:rFonts w:ascii="Times New Roman" w:eastAsia="Times New Roman" w:hAnsi="Times New Roman" w:cs="Times New Roman"/>
          <w:noProof/>
          <w:sz w:val="28"/>
          <w:szCs w:val="28"/>
          <w:lang w:val="uk-UA"/>
        </w:rPr>
      </w:r>
      <w:r w:rsidRPr="00C62D22">
        <w:rPr>
          <w:rFonts w:ascii="Times New Roman" w:eastAsia="Times New Roman" w:hAnsi="Times New Roman" w:cs="Times New Roman"/>
          <w:sz w:val="28"/>
          <w:szCs w:val="28"/>
          <w:lang w:val="uk-UA"/>
        </w:rPr>
        <w:pict>
          <v:group id="_x0000_s1417" editas="canvas" style="width:495pt;height:248.2pt;mso-position-horizontal-relative:char;mso-position-vertical-relative:line" coordorigin="1701,1314" coordsize="9900,4964">
            <o:lock v:ext="edit" aspectratio="t"/>
            <v:shape id="_x0000_s1418" type="#_x0000_t75" style="position:absolute;left:1701;top:1314;width:9900;height:4964" o:preferrelative="f">
              <v:fill o:detectmouseclick="t"/>
              <v:path o:extrusionok="t" o:connecttype="none"/>
              <o:lock v:ext="edit" text="t"/>
            </v:shape>
            <v:shape id="_x0000_s1419" type="#_x0000_t202" style="position:absolute;left:2241;top:1494;width:1440;height:540">
              <v:textbox style="mso-next-textbox:#_x0000_s1419">
                <w:txbxContent>
                  <w:p w:rsidR="00C62D22" w:rsidRPr="00C62D22" w:rsidRDefault="00C62D22" w:rsidP="00C62D22">
                    <w:pPr>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Хворий </w:t>
                    </w:r>
                  </w:p>
                </w:txbxContent>
              </v:textbox>
            </v:shape>
            <v:shape id="_x0000_s1420" type="#_x0000_t202" style="position:absolute;left:1881;top:2573;width:2520;height:1261">
              <v:textbox style="mso-next-textbox:#_x0000_s1420">
                <w:txbxContent>
                  <w:p w:rsidR="00C62D22" w:rsidRPr="00C62D22" w:rsidRDefault="00C62D22" w:rsidP="00C62D22">
                    <w:pPr>
                      <w:jc w:val="center"/>
                      <w:rPr>
                        <w:rFonts w:ascii="Times New Roman" w:hAnsi="Times New Roman" w:cs="Times New Roman"/>
                        <w:sz w:val="28"/>
                        <w:szCs w:val="28"/>
                        <w:lang w:val="uk-UA"/>
                      </w:rPr>
                    </w:pPr>
                    <w:r w:rsidRPr="00C62D22">
                      <w:rPr>
                        <w:rFonts w:ascii="Times New Roman" w:hAnsi="Times New Roman" w:cs="Times New Roman"/>
                        <w:sz w:val="28"/>
                        <w:szCs w:val="28"/>
                        <w:lang w:val="uk-UA"/>
                      </w:rPr>
                      <w:t>Узагальнений дискримінантний аналіз</w:t>
                    </w:r>
                  </w:p>
                </w:txbxContent>
              </v:textbox>
            </v:shape>
            <v:shape id="_x0000_s1421" type="#_x0000_t202" style="position:absolute;left:1881;top:4374;width:2520;height:900">
              <v:textbox style="mso-next-textbox:#_x0000_s1421">
                <w:txbxContent>
                  <w:p w:rsidR="00C62D22" w:rsidRPr="00C62D22" w:rsidRDefault="00C62D22" w:rsidP="00C62D22">
                    <w:pPr>
                      <w:jc w:val="center"/>
                      <w:rPr>
                        <w:rFonts w:ascii="Times New Roman" w:hAnsi="Times New Roman" w:cs="Times New Roman"/>
                        <w:sz w:val="28"/>
                        <w:szCs w:val="28"/>
                      </w:rPr>
                    </w:pPr>
                    <w:r w:rsidRPr="00C62D22">
                      <w:rPr>
                        <w:rFonts w:ascii="Times New Roman" w:hAnsi="Times New Roman" w:cs="Times New Roman"/>
                        <w:sz w:val="28"/>
                        <w:szCs w:val="28"/>
                      </w:rPr>
                      <w:t>Належність до кластеру</w:t>
                    </w:r>
                  </w:p>
                </w:txbxContent>
              </v:textbox>
            </v:shape>
            <v:shape id="_x0000_s1422" type="#_x0000_t202" style="position:absolute;left:8541;top:4374;width:1800;height:900">
              <v:textbox style="mso-next-textbox:#_x0000_s1422">
                <w:txbxContent>
                  <w:p w:rsidR="00C62D22" w:rsidRPr="00C62D22" w:rsidRDefault="00C62D22" w:rsidP="00C62D22">
                    <w:pPr>
                      <w:jc w:val="center"/>
                      <w:rPr>
                        <w:rFonts w:ascii="Times New Roman" w:hAnsi="Times New Roman" w:cs="Times New Roman"/>
                        <w:sz w:val="28"/>
                        <w:szCs w:val="28"/>
                      </w:rPr>
                    </w:pPr>
                    <w:r w:rsidRPr="00C62D22">
                      <w:rPr>
                        <w:rFonts w:ascii="Times New Roman" w:hAnsi="Times New Roman" w:cs="Times New Roman"/>
                        <w:sz w:val="28"/>
                        <w:szCs w:val="28"/>
                      </w:rPr>
                      <w:t>Вибір виду операції</w:t>
                    </w:r>
                  </w:p>
                </w:txbxContent>
              </v:textbox>
            </v:shape>
            <v:line id="_x0000_s1423" style="position:absolute" from="2961,2034" to="2962,2574">
              <v:stroke endarrow="block"/>
            </v:line>
            <v:shape id="_x0000_s1424" type="#_x0000_t202" style="position:absolute;left:5121;top:4374;width:2700;height:1395">
              <v:textbox style="mso-next-textbox:#_x0000_s1424">
                <w:txbxContent>
                  <w:p w:rsidR="00C62D22" w:rsidRPr="00C62D22" w:rsidRDefault="00C62D22" w:rsidP="00C62D22">
                    <w:pPr>
                      <w:jc w:val="center"/>
                      <w:rPr>
                        <w:rFonts w:ascii="Times New Roman" w:hAnsi="Times New Roman" w:cs="Times New Roman"/>
                        <w:sz w:val="28"/>
                        <w:szCs w:val="28"/>
                        <w:lang w:val="uk-UA"/>
                      </w:rPr>
                    </w:pPr>
                    <w:r w:rsidRPr="00C62D22">
                      <w:rPr>
                        <w:rFonts w:ascii="Times New Roman" w:hAnsi="Times New Roman" w:cs="Times New Roman"/>
                        <w:sz w:val="28"/>
                        <w:szCs w:val="28"/>
                      </w:rPr>
                      <w:t>Багатовимірний аналіз відповідностей</w:t>
                    </w:r>
                  </w:p>
                </w:txbxContent>
              </v:textbox>
            </v:shape>
            <v:shape id="_x0000_s1425" type="#_x0000_t202" style="position:absolute;left:5121;top:1635;width:3240;height:2199">
              <v:textbox style="mso-next-textbox:#_x0000_s1425">
                <w:txbxContent>
                  <w:p w:rsidR="00C62D22" w:rsidRPr="00C62D22" w:rsidRDefault="00C62D22" w:rsidP="00C62D22">
                    <w:pPr>
                      <w:rPr>
                        <w:rFonts w:ascii="Times New Roman" w:hAnsi="Times New Roman" w:cs="Times New Roman"/>
                        <w:sz w:val="28"/>
                        <w:szCs w:val="28"/>
                      </w:rPr>
                    </w:pPr>
                    <w:r w:rsidRPr="00C62D22">
                      <w:rPr>
                        <w:rFonts w:ascii="Times New Roman" w:hAnsi="Times New Roman" w:cs="Times New Roman"/>
                        <w:sz w:val="28"/>
                        <w:szCs w:val="28"/>
                      </w:rPr>
                      <w:t>Змінні для аналізу</w:t>
                    </w:r>
                  </w:p>
                  <w:p w:rsidR="00C62D22" w:rsidRPr="00C62D22" w:rsidRDefault="00C62D22" w:rsidP="00C62D22">
                    <w:pPr>
                      <w:rPr>
                        <w:rFonts w:ascii="Times New Roman" w:hAnsi="Times New Roman" w:cs="Times New Roman"/>
                        <w:sz w:val="28"/>
                        <w:szCs w:val="28"/>
                      </w:rPr>
                    </w:pPr>
                    <w:r w:rsidRPr="00C62D22">
                      <w:rPr>
                        <w:rFonts w:ascii="Times New Roman" w:hAnsi="Times New Roman" w:cs="Times New Roman"/>
                        <w:sz w:val="28"/>
                        <w:szCs w:val="28"/>
                      </w:rPr>
                      <w:t>• результат лікування,</w:t>
                    </w:r>
                  </w:p>
                  <w:p w:rsidR="00C62D22" w:rsidRPr="00C62D22" w:rsidRDefault="00C62D22" w:rsidP="00C62D22">
                    <w:pPr>
                      <w:rPr>
                        <w:rFonts w:ascii="Times New Roman" w:hAnsi="Times New Roman" w:cs="Times New Roman"/>
                        <w:sz w:val="28"/>
                        <w:szCs w:val="28"/>
                      </w:rPr>
                    </w:pPr>
                    <w:r w:rsidRPr="00C62D22">
                      <w:rPr>
                        <w:rFonts w:ascii="Times New Roman" w:hAnsi="Times New Roman" w:cs="Times New Roman"/>
                        <w:sz w:val="28"/>
                        <w:szCs w:val="28"/>
                      </w:rPr>
                      <w:t>•</w:t>
                    </w:r>
                    <w:r w:rsidRPr="00C62D22">
                      <w:rPr>
                        <w:rFonts w:ascii="Times New Roman" w:hAnsi="Times New Roman" w:cs="Times New Roman"/>
                        <w:sz w:val="28"/>
                        <w:szCs w:val="28"/>
                        <w:lang w:val="uk-UA"/>
                      </w:rPr>
                      <w:t xml:space="preserve"> </w:t>
                    </w:r>
                    <w:r w:rsidRPr="00C62D22">
                      <w:rPr>
                        <w:rFonts w:ascii="Times New Roman" w:hAnsi="Times New Roman" w:cs="Times New Roman"/>
                        <w:sz w:val="28"/>
                        <w:szCs w:val="28"/>
                      </w:rPr>
                      <w:t>вид операції,</w:t>
                    </w:r>
                  </w:p>
                  <w:p w:rsidR="00C62D22" w:rsidRPr="00C62D22" w:rsidRDefault="00C62D22" w:rsidP="00C62D22">
                    <w:pPr>
                      <w:rPr>
                        <w:rFonts w:ascii="Times New Roman" w:hAnsi="Times New Roman" w:cs="Times New Roman"/>
                        <w:sz w:val="28"/>
                        <w:szCs w:val="28"/>
                      </w:rPr>
                    </w:pPr>
                    <w:r w:rsidRPr="00C62D22">
                      <w:rPr>
                        <w:rFonts w:ascii="Times New Roman" w:hAnsi="Times New Roman" w:cs="Times New Roman"/>
                        <w:sz w:val="28"/>
                        <w:szCs w:val="28"/>
                      </w:rPr>
                      <w:t>• кластер</w:t>
                    </w:r>
                  </w:p>
                </w:txbxContent>
              </v:textbox>
            </v:shape>
            <v:line id="_x0000_s1426" style="position:absolute" from="2961,3834" to="2961,4374">
              <v:stroke endarrow="block"/>
            </v:line>
            <v:line id="_x0000_s1427" style="position:absolute" from="4401,4914" to="5121,4914">
              <v:stroke endarrow="block"/>
            </v:line>
            <v:line id="_x0000_s1428" style="position:absolute" from="7821,4914" to="8541,4914">
              <v:stroke endarrow="block"/>
            </v:line>
            <v:line id="_x0000_s1429" style="position:absolute" from="6381,3834" to="6381,4374">
              <v:stroke endarrow="block"/>
            </v:line>
            <w10:wrap type="none"/>
            <w10:anchorlock/>
          </v:group>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Тобто на підставі передопераційних показників за допомогою узагальненого дискримінантного аналізу визначається кластер хворого, після чого, методом багатовимірного аналізу відповідностей для трьох показників: результат лікування (8 категорій), вид операції (2 категорії) і кластер (n кластерів), визначається найбільш адекватний тип операції.</w:t>
      </w:r>
    </w:p>
    <w:p w:rsidR="00C62D22" w:rsidRPr="00C62D22" w:rsidRDefault="00C62D22" w:rsidP="00C62D22">
      <w:pPr>
        <w:spacing w:after="0" w:line="360" w:lineRule="auto"/>
        <w:jc w:val="both"/>
        <w:rPr>
          <w:rFonts w:ascii="Times New Roman" w:eastAsia="Times New Roman" w:hAnsi="Times New Roman" w:cs="Times New Roman"/>
          <w:b/>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10.1.1. Прогнозування ранніх післяопераційних ускладнень у хворих, оперованих із приводу псевдокіст підшлункової залози першого типу</w:t>
      </w:r>
    </w:p>
    <w:p w:rsidR="00C62D22" w:rsidRPr="00C62D22" w:rsidRDefault="00C62D22" w:rsidP="00C62D22">
      <w:pPr>
        <w:spacing w:after="0" w:line="24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Для виявлення однорідних груп з ПК І типу використовувалися методи кластерного аналізу [256]. При цьому розглядалися 12 доопераційних показників: 6 клінічних (вік, наявність жовтяниці, слабкість, лихоманка, втрата маси тіла, диспепсія) і 6 лабораторних (рівні лейкоцитів, гемоглобіну, білірубіну, білка, амілази, розмір ПК). Після стандартизації цих показників для визначення числа однорідних груп хворих використовувалися ієрархічні агломеративні процедури. Отримана дендрограма (рис.10.2) свідчить про наявність двох однорідних груп хворих (кластерів) [43].</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drawing>
          <wp:inline distT="0" distB="0" distL="0" distR="0">
            <wp:extent cx="5295900" cy="4543425"/>
            <wp:effectExtent l="19050" t="0" r="0" b="0"/>
            <wp:docPr id="525" name="Рисунок 5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5"/>
                    <pic:cNvPicPr>
                      <a:picLocks noChangeAspect="1" noChangeArrowheads="1"/>
                    </pic:cNvPicPr>
                  </pic:nvPicPr>
                  <pic:blipFill>
                    <a:blip r:embed="rId123"/>
                    <a:srcRect/>
                    <a:stretch>
                      <a:fillRect/>
                    </a:stretch>
                  </pic:blipFill>
                  <pic:spPr bwMode="auto">
                    <a:xfrm>
                      <a:off x="0" y="0"/>
                      <a:ext cx="5295900" cy="454342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440" type="#_x0000_t202" style="position:absolute;left:0;text-align:left;margin-left:18pt;margin-top:3.4pt;width:491.3pt;height:45pt;z-index:251945984" stroked="f">
            <v:textbox style="mso-next-textbox:#_x0000_s1440">
              <w:txbxContent>
                <w:p w:rsidR="00C62D22" w:rsidRPr="00C62D22" w:rsidRDefault="00C62D22" w:rsidP="00C62D22">
                  <w:pPr>
                    <w:jc w:val="right"/>
                    <w:rPr>
                      <w:rFonts w:ascii="Times New Roman" w:hAnsi="Times New Roman" w:cs="Times New Roman"/>
                    </w:rPr>
                  </w:pPr>
                  <w:r w:rsidRPr="00C62D22">
                    <w:rPr>
                      <w:rFonts w:ascii="Times New Roman" w:hAnsi="Times New Roman" w:cs="Times New Roman"/>
                      <w:sz w:val="28"/>
                      <w:szCs w:val="28"/>
                      <w:lang w:val="uk-UA"/>
                    </w:rPr>
                    <w:t>Рис. 10.2. Дендрограма для 56 хворих з ПК І типу</w:t>
                  </w: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Проведений після цього кластерний аналіз методом k-середніх дозволив визначити якісний (персональний) склад кожної групи (кластера). Порівняння середніх для деяких показників за допомогою діаграм розмаху (рис. 10.3) дозволило визначити причину такого розподілу.</w:t>
      </w:r>
    </w:p>
    <w:p w:rsidR="00C62D22" w:rsidRPr="00C62D22" w:rsidRDefault="00C62D22" w:rsidP="00C62D22">
      <w:pPr>
        <w:spacing w:after="0" w:line="24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441" type="#_x0000_t202" style="position:absolute;left:0;text-align:left;margin-left:0;margin-top:544.3pt;width:7in;height:81.45pt;z-index:251947008" stroked="f">
            <v:textbox style="mso-next-textbox:#_x0000_s1441">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rPr>
                    <w:t>Рис. 10.</w:t>
                  </w:r>
                  <w:r w:rsidRPr="00C62D22">
                    <w:rPr>
                      <w:rFonts w:ascii="Times New Roman" w:hAnsi="Times New Roman" w:cs="Times New Roman"/>
                      <w:sz w:val="28"/>
                      <w:szCs w:val="28"/>
                      <w:lang w:val="uk-UA"/>
                    </w:rPr>
                    <w:t>3.</w:t>
                  </w:r>
                  <w:r w:rsidRPr="00C62D22">
                    <w:rPr>
                      <w:rFonts w:ascii="Times New Roman" w:hAnsi="Times New Roman" w:cs="Times New Roman"/>
                      <w:sz w:val="28"/>
                      <w:szCs w:val="28"/>
                    </w:rPr>
                    <w:t xml:space="preserve"> Д</w:t>
                  </w:r>
                  <w:r w:rsidRPr="00C62D22">
                    <w:rPr>
                      <w:rFonts w:ascii="Times New Roman" w:hAnsi="Times New Roman" w:cs="Times New Roman"/>
                      <w:sz w:val="28"/>
                      <w:szCs w:val="28"/>
                      <w:lang w:val="uk-UA"/>
                    </w:rPr>
                    <w:t>іаграми розмаху (загальна слабкість, лейкоцити, розмір псевдокісти, гемоглобін, загальний білірубін, загальний білок) у двох кластерах хворих з ускладненими ПК ПЗ І типу</w:t>
                  </w:r>
                </w:p>
              </w:txbxContent>
            </v:textbox>
          </v:shape>
        </w:pict>
      </w:r>
      <w:r w:rsidRPr="00C62D22">
        <w:rPr>
          <w:rFonts w:ascii="Times New Roman" w:eastAsia="Times New Roman" w:hAnsi="Times New Roman" w:cs="Times New Roman"/>
          <w:noProof/>
          <w:sz w:val="28"/>
          <w:szCs w:val="28"/>
        </w:rPr>
        <w:drawing>
          <wp:inline distT="0" distB="0" distL="0" distR="0">
            <wp:extent cx="6267450" cy="6915150"/>
            <wp:effectExtent l="19050" t="0" r="0" b="0"/>
            <wp:docPr id="526" name="Рисунок 5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6"/>
                    <pic:cNvPicPr>
                      <a:picLocks noChangeAspect="1" noChangeArrowheads="1"/>
                    </pic:cNvPicPr>
                  </pic:nvPicPr>
                  <pic:blipFill>
                    <a:blip r:embed="rId124"/>
                    <a:srcRect/>
                    <a:stretch>
                      <a:fillRect/>
                    </a:stretch>
                  </pic:blipFill>
                  <pic:spPr bwMode="auto">
                    <a:xfrm>
                      <a:off x="0" y="0"/>
                      <a:ext cx="6267450" cy="691515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Після визначення персонального складу кожного кластера постає питання про прогнозування приналежності нового хворого до одного із цих кластерів. Для цього використовувався багатовимірний дискримінантний аналіз, який передбачає визначення дискримінантних змінних (тобто найбільш інформативних для класифікації об'єктів-хворих), побудови класифікаційних функцій і їх аналіз.</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Вибір дискримінантних змінних з 12 вхідних доопераційних показників проводився покроково шляхом включення або виключення змінних з урахуванням їх рівнів толерантності, які є мірою надмірності предикторів для класифікації. Належність хворого до одного з двох кластерів здійснювалася після обчислення значень кожної класифікаційної функції (КФ) для цього хворого.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Хворий відносився до того кластеру, чия КФ була максимальна. Самі КФ обчислювалися за формулами 10.1 -10.2.</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tabs>
          <w:tab w:val="center" w:pos="5102"/>
          <w:tab w:val="right" w:pos="10205"/>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ab/>
        <w:t>Y</w:t>
      </w:r>
      <w:r w:rsidRPr="00C62D22">
        <w:rPr>
          <w:rFonts w:ascii="Times New Roman" w:eastAsia="Times New Roman" w:hAnsi="Times New Roman" w:cs="Times New Roman"/>
          <w:sz w:val="28"/>
          <w:szCs w:val="28"/>
          <w:vertAlign w:val="subscript"/>
          <w:lang w:val="uk-UA"/>
        </w:rPr>
        <w:t xml:space="preserve">1 кл </w:t>
      </w:r>
      <w:r w:rsidRPr="00C62D22">
        <w:rPr>
          <w:rFonts w:ascii="Times New Roman" w:eastAsia="Times New Roman" w:hAnsi="Times New Roman" w:cs="Times New Roman"/>
          <w:sz w:val="28"/>
          <w:szCs w:val="28"/>
          <w:lang w:val="uk-UA"/>
        </w:rPr>
        <w:t>= – 71,8+2,02 х «білок» – 0,303 х «лейкоцити»;</w:t>
      </w:r>
      <w:r w:rsidRPr="00C62D22">
        <w:rPr>
          <w:rFonts w:ascii="Times New Roman" w:eastAsia="Times New Roman" w:hAnsi="Times New Roman" w:cs="Times New Roman"/>
          <w:sz w:val="28"/>
          <w:szCs w:val="28"/>
          <w:lang w:val="uk-UA"/>
        </w:rPr>
        <w:tab/>
        <w:t>(10.1)</w:t>
      </w:r>
    </w:p>
    <w:p w:rsidR="00C62D22" w:rsidRPr="00C62D22" w:rsidRDefault="00C62D22" w:rsidP="00C62D22">
      <w:pPr>
        <w:spacing w:after="0" w:line="360" w:lineRule="auto"/>
        <w:jc w:val="right"/>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де Y</w:t>
      </w:r>
      <w:r w:rsidRPr="00C62D22">
        <w:rPr>
          <w:rFonts w:ascii="Times New Roman" w:eastAsia="Times New Roman" w:hAnsi="Times New Roman" w:cs="Times New Roman"/>
          <w:sz w:val="28"/>
          <w:szCs w:val="28"/>
          <w:vertAlign w:val="subscript"/>
          <w:lang w:val="uk-UA"/>
        </w:rPr>
        <w:t xml:space="preserve">1 кл  </w:t>
      </w:r>
      <w:r w:rsidRPr="00C62D22">
        <w:rPr>
          <w:rFonts w:ascii="Times New Roman" w:eastAsia="Times New Roman" w:hAnsi="Times New Roman" w:cs="Times New Roman"/>
          <w:sz w:val="28"/>
          <w:szCs w:val="28"/>
          <w:lang w:val="uk-UA"/>
        </w:rPr>
        <w:t xml:space="preserve"> – кваліфікаційна функція 1.</w:t>
      </w: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p>
    <w:p w:rsidR="00C62D22" w:rsidRPr="00C62D22" w:rsidRDefault="00C62D22" w:rsidP="00C62D22">
      <w:pPr>
        <w:tabs>
          <w:tab w:val="center" w:pos="5386"/>
          <w:tab w:val="right" w:pos="10205"/>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ab/>
        <w:t>Y</w:t>
      </w:r>
      <w:r w:rsidRPr="00C62D22">
        <w:rPr>
          <w:rFonts w:ascii="Times New Roman" w:eastAsia="Times New Roman" w:hAnsi="Times New Roman" w:cs="Times New Roman"/>
          <w:sz w:val="28"/>
          <w:szCs w:val="28"/>
          <w:vertAlign w:val="subscript"/>
          <w:lang w:val="uk-UA"/>
        </w:rPr>
        <w:t xml:space="preserve">2 кл </w:t>
      </w:r>
      <w:r w:rsidRPr="00C62D22">
        <w:rPr>
          <w:rFonts w:ascii="Times New Roman" w:eastAsia="Times New Roman" w:hAnsi="Times New Roman" w:cs="Times New Roman"/>
          <w:sz w:val="28"/>
          <w:szCs w:val="28"/>
          <w:lang w:val="uk-UA"/>
        </w:rPr>
        <w:t>= – 59+1,76 х «білок»  + 0,29 х «лейкоцити»;</w:t>
      </w:r>
      <w:r w:rsidRPr="00C62D22">
        <w:rPr>
          <w:rFonts w:ascii="Times New Roman" w:eastAsia="Times New Roman" w:hAnsi="Times New Roman" w:cs="Times New Roman"/>
          <w:sz w:val="28"/>
          <w:szCs w:val="28"/>
          <w:lang w:val="uk-UA"/>
        </w:rPr>
        <w:tab/>
        <w:t>(10.2)</w:t>
      </w:r>
    </w:p>
    <w:p w:rsidR="00C62D22" w:rsidRPr="00C62D22" w:rsidRDefault="00C62D22" w:rsidP="00C62D22">
      <w:pPr>
        <w:spacing w:after="0" w:line="360" w:lineRule="auto"/>
        <w:jc w:val="right"/>
        <w:rPr>
          <w:rFonts w:ascii="Times New Roman" w:eastAsia="Times New Roman" w:hAnsi="Times New Roman" w:cs="Times New Roman"/>
          <w:sz w:val="28"/>
          <w:szCs w:val="28"/>
          <w:lang w:val="uk-UA"/>
        </w:rPr>
      </w:pPr>
    </w:p>
    <w:p w:rsidR="00C62D22" w:rsidRPr="00C62D22" w:rsidRDefault="00C62D22" w:rsidP="00C62D22">
      <w:pPr>
        <w:tabs>
          <w:tab w:val="left" w:pos="6075"/>
        </w:tabs>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де Y</w:t>
      </w:r>
      <w:r w:rsidRPr="00C62D22">
        <w:rPr>
          <w:rFonts w:ascii="Times New Roman" w:eastAsia="Times New Roman" w:hAnsi="Times New Roman" w:cs="Times New Roman"/>
          <w:sz w:val="28"/>
          <w:szCs w:val="28"/>
          <w:vertAlign w:val="subscript"/>
          <w:lang w:val="uk-UA"/>
        </w:rPr>
        <w:t xml:space="preserve">2 кл  </w:t>
      </w:r>
      <w:r w:rsidRPr="00C62D22">
        <w:rPr>
          <w:rFonts w:ascii="Times New Roman" w:eastAsia="Times New Roman" w:hAnsi="Times New Roman" w:cs="Times New Roman"/>
          <w:sz w:val="28"/>
          <w:szCs w:val="28"/>
          <w:lang w:val="uk-UA"/>
        </w:rPr>
        <w:t xml:space="preserve"> – кваліфікаційна функція 2.</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Якість класифікації за допомогою КФ оцінювалася за результатами апостеріорної класифікації. Тобто в припущенні, що приналежність до кластеру невідома, ми прогнозуємо її на основі отриманих КФ.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Аналіз по всій виборці (56 хворих з ПК І типу) дає дуже високу середню точність класифікації 89,3% (табл. 10.3).</w:t>
      </w:r>
    </w:p>
    <w:p w:rsidR="00C62D22" w:rsidRPr="00C62D22" w:rsidRDefault="00C62D22" w:rsidP="00C62D22">
      <w:pPr>
        <w:spacing w:after="0" w:line="360" w:lineRule="auto"/>
        <w:jc w:val="right"/>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br w:type="page"/>
      </w:r>
      <w:r w:rsidRPr="00C62D22">
        <w:rPr>
          <w:rFonts w:ascii="Times New Roman" w:eastAsia="Times New Roman" w:hAnsi="Times New Roman" w:cs="Times New Roman"/>
          <w:i/>
          <w:sz w:val="28"/>
          <w:szCs w:val="28"/>
          <w:lang w:val="uk-UA"/>
        </w:rPr>
        <w:lastRenderedPageBreak/>
        <w:t>Таблиця 10.3</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Матриця класифікації за 2 кластерами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90"/>
        <w:gridCol w:w="2819"/>
        <w:gridCol w:w="2533"/>
        <w:gridCol w:w="2586"/>
      </w:tblGrid>
      <w:tr w:rsidR="00C62D22" w:rsidRPr="00C62D22" w:rsidTr="00E83BB7">
        <w:trPr>
          <w:jc w:val="center"/>
        </w:trPr>
        <w:tc>
          <w:tcPr>
            <w:tcW w:w="1790" w:type="dxa"/>
            <w:vMerge w:val="restart"/>
            <w:vAlign w:val="bottom"/>
          </w:tcPr>
          <w:p w:rsidR="00C62D22" w:rsidRPr="00C62D22" w:rsidRDefault="00C62D22" w:rsidP="00C62D22">
            <w:pPr>
              <w:spacing w:after="0" w:line="360" w:lineRule="auto"/>
              <w:jc w:val="both"/>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Група</w:t>
            </w:r>
          </w:p>
        </w:tc>
        <w:tc>
          <w:tcPr>
            <w:tcW w:w="7938" w:type="dxa"/>
            <w:gridSpan w:val="3"/>
          </w:tcPr>
          <w:p w:rsidR="00C62D22" w:rsidRPr="00C62D22" w:rsidRDefault="00C62D22" w:rsidP="00C62D22">
            <w:pPr>
              <w:spacing w:after="0" w:line="360" w:lineRule="auto"/>
              <w:jc w:val="both"/>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Матриця класифікації</w:t>
            </w:r>
          </w:p>
          <w:p w:rsidR="00C62D22" w:rsidRPr="00C62D22" w:rsidRDefault="00C62D22" w:rsidP="00C62D22">
            <w:pPr>
              <w:spacing w:after="0" w:line="360" w:lineRule="auto"/>
              <w:jc w:val="both"/>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Ряди: спостерігаються кластери</w:t>
            </w:r>
          </w:p>
          <w:p w:rsidR="00C62D22" w:rsidRPr="00C62D22" w:rsidRDefault="00C62D22" w:rsidP="00C62D22">
            <w:pPr>
              <w:spacing w:after="0" w:line="360" w:lineRule="auto"/>
              <w:jc w:val="both"/>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Стовпці: прогнозовані кластери</w:t>
            </w:r>
          </w:p>
        </w:tc>
      </w:tr>
      <w:tr w:rsidR="00C62D22" w:rsidRPr="00C62D22" w:rsidTr="00E83BB7">
        <w:trPr>
          <w:jc w:val="center"/>
        </w:trPr>
        <w:tc>
          <w:tcPr>
            <w:tcW w:w="1790" w:type="dxa"/>
            <w:vMerge/>
          </w:tcPr>
          <w:p w:rsidR="00C62D22" w:rsidRPr="00C62D22" w:rsidRDefault="00C62D22" w:rsidP="00C62D22">
            <w:pPr>
              <w:spacing w:after="0" w:line="360" w:lineRule="auto"/>
              <w:jc w:val="both"/>
              <w:rPr>
                <w:rFonts w:ascii="Times New Roman" w:eastAsia="Times New Roman" w:hAnsi="Times New Roman" w:cs="Times New Roman"/>
                <w:spacing w:val="6"/>
                <w:sz w:val="28"/>
                <w:szCs w:val="28"/>
                <w:lang w:val="uk-UA"/>
              </w:rPr>
            </w:pPr>
          </w:p>
        </w:tc>
        <w:tc>
          <w:tcPr>
            <w:tcW w:w="2819"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Відсоток вірних, %</w:t>
            </w:r>
          </w:p>
        </w:tc>
        <w:tc>
          <w:tcPr>
            <w:tcW w:w="2533"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Кластер 1</w:t>
            </w:r>
          </w:p>
        </w:tc>
        <w:tc>
          <w:tcPr>
            <w:tcW w:w="2586"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Кластер 2</w:t>
            </w:r>
          </w:p>
        </w:tc>
      </w:tr>
      <w:tr w:rsidR="00C62D22" w:rsidRPr="00C62D22" w:rsidTr="00E83BB7">
        <w:trPr>
          <w:trHeight w:val="275"/>
          <w:jc w:val="center"/>
        </w:trPr>
        <w:tc>
          <w:tcPr>
            <w:tcW w:w="1790" w:type="dxa"/>
          </w:tcPr>
          <w:p w:rsidR="00C62D22" w:rsidRPr="00C62D22" w:rsidRDefault="00C62D22" w:rsidP="00C62D22">
            <w:pPr>
              <w:spacing w:after="0" w:line="360" w:lineRule="auto"/>
              <w:jc w:val="both"/>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Кластер 1</w:t>
            </w:r>
          </w:p>
        </w:tc>
        <w:tc>
          <w:tcPr>
            <w:tcW w:w="2819"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90,0</w:t>
            </w:r>
          </w:p>
        </w:tc>
        <w:tc>
          <w:tcPr>
            <w:tcW w:w="2533"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27</w:t>
            </w:r>
          </w:p>
        </w:tc>
        <w:tc>
          <w:tcPr>
            <w:tcW w:w="2586"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3</w:t>
            </w:r>
          </w:p>
        </w:tc>
      </w:tr>
      <w:tr w:rsidR="00C62D22" w:rsidRPr="00C62D22" w:rsidTr="00E83BB7">
        <w:trPr>
          <w:jc w:val="center"/>
        </w:trPr>
        <w:tc>
          <w:tcPr>
            <w:tcW w:w="1790" w:type="dxa"/>
          </w:tcPr>
          <w:p w:rsidR="00C62D22" w:rsidRPr="00C62D22" w:rsidRDefault="00C62D22" w:rsidP="00C62D22">
            <w:pPr>
              <w:spacing w:after="0" w:line="360" w:lineRule="auto"/>
              <w:jc w:val="both"/>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Кластер 2</w:t>
            </w:r>
          </w:p>
        </w:tc>
        <w:tc>
          <w:tcPr>
            <w:tcW w:w="2819"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88,7</w:t>
            </w:r>
          </w:p>
        </w:tc>
        <w:tc>
          <w:tcPr>
            <w:tcW w:w="2533"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3</w:t>
            </w:r>
          </w:p>
        </w:tc>
        <w:tc>
          <w:tcPr>
            <w:tcW w:w="2586"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23</w:t>
            </w:r>
          </w:p>
        </w:tc>
      </w:tr>
      <w:tr w:rsidR="00C62D22" w:rsidRPr="00C62D22" w:rsidTr="00E83BB7">
        <w:trPr>
          <w:jc w:val="center"/>
        </w:trPr>
        <w:tc>
          <w:tcPr>
            <w:tcW w:w="1790" w:type="dxa"/>
          </w:tcPr>
          <w:p w:rsidR="00C62D22" w:rsidRPr="00C62D22" w:rsidRDefault="00C62D22" w:rsidP="00C62D22">
            <w:pPr>
              <w:spacing w:after="0" w:line="360" w:lineRule="auto"/>
              <w:jc w:val="both"/>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Усього</w:t>
            </w:r>
          </w:p>
        </w:tc>
        <w:tc>
          <w:tcPr>
            <w:tcW w:w="2819"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89,3</w:t>
            </w:r>
          </w:p>
        </w:tc>
        <w:tc>
          <w:tcPr>
            <w:tcW w:w="2533"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30</w:t>
            </w:r>
          </w:p>
        </w:tc>
        <w:tc>
          <w:tcPr>
            <w:tcW w:w="2586" w:type="dxa"/>
          </w:tcPr>
          <w:p w:rsidR="00C62D22" w:rsidRPr="00C62D22" w:rsidRDefault="00C62D22" w:rsidP="00C62D22">
            <w:pPr>
              <w:spacing w:after="0" w:line="360" w:lineRule="auto"/>
              <w:jc w:val="center"/>
              <w:rPr>
                <w:rFonts w:ascii="Times New Roman" w:eastAsia="Times New Roman" w:hAnsi="Times New Roman" w:cs="Times New Roman"/>
                <w:spacing w:val="6"/>
                <w:sz w:val="28"/>
                <w:szCs w:val="28"/>
                <w:lang w:val="uk-UA"/>
              </w:rPr>
            </w:pPr>
            <w:r w:rsidRPr="00C62D22">
              <w:rPr>
                <w:rFonts w:ascii="Times New Roman" w:eastAsia="Times New Roman" w:hAnsi="Times New Roman" w:cs="Times New Roman"/>
                <w:spacing w:val="6"/>
                <w:sz w:val="28"/>
                <w:szCs w:val="28"/>
                <w:lang w:val="uk-UA"/>
              </w:rPr>
              <w:t>26</w:t>
            </w:r>
          </w:p>
        </w:tc>
      </w:tr>
    </w:tbl>
    <w:p w:rsidR="00C62D22" w:rsidRPr="00C62D22" w:rsidRDefault="00C62D22" w:rsidP="00C62D22">
      <w:pPr>
        <w:spacing w:after="0" w:line="360" w:lineRule="auto"/>
        <w:jc w:val="both"/>
        <w:rPr>
          <w:rFonts w:ascii="Times New Roman" w:eastAsia="Times New Roman" w:hAnsi="Times New Roman" w:cs="Times New Roman"/>
          <w:spacing w:val="6"/>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Після визначення приналежності хворого до одного з двох кластерів можна сформувати узагальнені вихідні дані для аналізу відповідностей (табл. 10.4).</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10.4</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Кількість хворих з ПК І типу для кожного виду операцій, кластера і наслідку лікування</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48"/>
        <w:gridCol w:w="624"/>
        <w:gridCol w:w="624"/>
        <w:gridCol w:w="624"/>
        <w:gridCol w:w="624"/>
        <w:gridCol w:w="624"/>
        <w:gridCol w:w="624"/>
        <w:gridCol w:w="624"/>
        <w:gridCol w:w="624"/>
        <w:gridCol w:w="1260"/>
      </w:tblGrid>
      <w:tr w:rsidR="00C62D22" w:rsidRPr="00C62D22" w:rsidTr="00E83BB7">
        <w:tc>
          <w:tcPr>
            <w:tcW w:w="3648"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Наслідок лікування</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6</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c>
          <w:tcPr>
            <w:tcW w:w="126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Всього</w:t>
            </w:r>
          </w:p>
        </w:tc>
      </w:tr>
      <w:tr w:rsidR="00C62D22" w:rsidRPr="00C62D22" w:rsidTr="00E83BB7">
        <w:tc>
          <w:tcPr>
            <w:tcW w:w="3648"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Лапаротомія </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6</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26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26</w:t>
            </w:r>
          </w:p>
        </w:tc>
      </w:tr>
      <w:tr w:rsidR="00C62D22" w:rsidRPr="00C62D22" w:rsidTr="00E83BB7">
        <w:tc>
          <w:tcPr>
            <w:tcW w:w="3648"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Мініінвазивні втручання</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26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30</w:t>
            </w:r>
          </w:p>
        </w:tc>
      </w:tr>
      <w:tr w:rsidR="00C62D22" w:rsidRPr="00C62D22" w:rsidTr="00E83BB7">
        <w:tc>
          <w:tcPr>
            <w:tcW w:w="3648"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Кластер 1 </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26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30</w:t>
            </w:r>
          </w:p>
        </w:tc>
      </w:tr>
      <w:tr w:rsidR="00C62D22" w:rsidRPr="00C62D22" w:rsidTr="00E83BB7">
        <w:tc>
          <w:tcPr>
            <w:tcW w:w="3648"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Кластер 2</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6</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w:t>
            </w:r>
          </w:p>
        </w:tc>
        <w:tc>
          <w:tcPr>
            <w:tcW w:w="624"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26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26</w:t>
            </w:r>
          </w:p>
        </w:tc>
      </w:tr>
    </w:tbl>
    <w:p w:rsidR="00C62D22" w:rsidRPr="00C62D22" w:rsidRDefault="00C62D22" w:rsidP="00C62D22">
      <w:pPr>
        <w:spacing w:after="0" w:line="24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Варто зазначити, що за співвідношенням кількості хворих у цій узагальненій таблиці сполучуваності не можна зробити ніяких висновків про переваги будь - якої операції. Наприклад, для НЛ 1 співвідношення хворих при різних видах операцій (6/8) з точки зору біноміального критерію [217] значимо не відрізняється. Так і те, що використання лапаротомії достовірно призведе до результату 1 або 3 (до 21 ліжко-дня без ускладнень), а не 5 або 7 (більше 30 ліжко-днів без ускладнень). Крім того, усі ці дані не персоніфіковані, а значить не показують варіанти цих показників для кожного хворого.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 xml:space="preserve">Використання багатовимірного аналізу відповідностей передбачає подання вмісту таблиці відносних частот (матриці Берта) у вигляді крапок, які представляють окремі рядки / стовпці таблиці (категорії досліджуваних показників), можливо, у просторі  низької розмірності. У цьому випадку при кумулятивному внеску в інерцію не менше 95% повинні розглядатися 8 вимірювань (при початковій 12-мірності простору).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Координати 12 крапок у 8 вимірному просторі наведені в табл. 10.5. та на рис. 10.4 зображено карту-проекцію цих взаємозв’язків.</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10.5</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Координати стовпців у 8 вимірному просторі</w:t>
      </w:r>
    </w:p>
    <w:tbl>
      <w:tblPr>
        <w:tblW w:w="1008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60"/>
        <w:gridCol w:w="990"/>
        <w:gridCol w:w="990"/>
        <w:gridCol w:w="990"/>
        <w:gridCol w:w="990"/>
        <w:gridCol w:w="990"/>
        <w:gridCol w:w="990"/>
        <w:gridCol w:w="990"/>
        <w:gridCol w:w="990"/>
      </w:tblGrid>
      <w:tr w:rsidR="00C62D22" w:rsidRPr="00C62D22" w:rsidTr="00E83BB7">
        <w:trPr>
          <w:trHeight w:val="255"/>
        </w:trPr>
        <w:tc>
          <w:tcPr>
            <w:tcW w:w="2160" w:type="dxa"/>
            <w:shd w:val="clear" w:color="auto" w:fill="auto"/>
            <w:noWrap/>
            <w:vAlign w:val="bottom"/>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Виміри</w:t>
            </w:r>
          </w:p>
        </w:tc>
        <w:tc>
          <w:tcPr>
            <w:tcW w:w="990"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w:t>
            </w:r>
          </w:p>
        </w:tc>
        <w:tc>
          <w:tcPr>
            <w:tcW w:w="990"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w:t>
            </w:r>
          </w:p>
        </w:tc>
        <w:tc>
          <w:tcPr>
            <w:tcW w:w="990"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w:t>
            </w:r>
          </w:p>
        </w:tc>
        <w:tc>
          <w:tcPr>
            <w:tcW w:w="990"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4</w:t>
            </w:r>
          </w:p>
        </w:tc>
        <w:tc>
          <w:tcPr>
            <w:tcW w:w="990"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w:t>
            </w:r>
          </w:p>
        </w:tc>
        <w:tc>
          <w:tcPr>
            <w:tcW w:w="990"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6</w:t>
            </w:r>
          </w:p>
        </w:tc>
        <w:tc>
          <w:tcPr>
            <w:tcW w:w="990"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7</w:t>
            </w:r>
          </w:p>
        </w:tc>
        <w:tc>
          <w:tcPr>
            <w:tcW w:w="990"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8</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 xml:space="preserve">Лапаротомія </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-0,962</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0,123</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0,038</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 xml:space="preserve">Мініінвазивні </w:t>
            </w:r>
          </w:p>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втручання</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0,834</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-0,106</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-0,033</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1</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0,079</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-0,186</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-0,799</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-0,863</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-1,230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0,213</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-0,019</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-0,105</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2</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1,372</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0,187</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0,481</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0,497</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-0,087</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-1,543</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1,292</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0,426</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3</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-0,546</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-0,347</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1,195</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0,447</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-0,315</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-0,547</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-1,216</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-0,349</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4</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1,176</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-1,276</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1,425</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-0,969</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1,270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2,098</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0,475</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-0,580</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5</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-1,409</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1,079</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0,446</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-0,154</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0,367</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0,446</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1,252</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0,398</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6</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0,949</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1,357</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-0,727</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1,535</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0,240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1,350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-1,175</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1,102</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7</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-0,854</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-1,983</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-1,879</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2,373</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0,744</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0,139</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1,005</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-1,492</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8</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-0,079</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0,186</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-1,302</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-1,502</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2,460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-1,326</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-1,083</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0,105</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Кластер 1</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-0,181</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-0,747</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0,004</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0,004</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0,522</w:t>
            </w:r>
          </w:p>
        </w:tc>
      </w:tr>
      <w:tr w:rsidR="00C62D22" w:rsidRPr="00C62D22" w:rsidTr="00E83BB7">
        <w:trPr>
          <w:trHeight w:val="255"/>
        </w:trPr>
        <w:tc>
          <w:tcPr>
            <w:tcW w:w="216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Кластер 2</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0,209</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0,862</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0,004</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0,004</w:t>
            </w:r>
          </w:p>
        </w:tc>
        <w:tc>
          <w:tcPr>
            <w:tcW w:w="99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-0,603</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lastRenderedPageBreak/>
        <w:drawing>
          <wp:inline distT="0" distB="0" distL="0" distR="0">
            <wp:extent cx="5400675" cy="4924425"/>
            <wp:effectExtent l="19050" t="0" r="9525" b="0"/>
            <wp:docPr id="527" name="Рисунок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7"/>
                    <pic:cNvPicPr>
                      <a:picLocks noChangeAspect="1" noChangeArrowheads="1"/>
                    </pic:cNvPicPr>
                  </pic:nvPicPr>
                  <pic:blipFill>
                    <a:blip r:embed="rId125"/>
                    <a:srcRect/>
                    <a:stretch>
                      <a:fillRect/>
                    </a:stretch>
                  </pic:blipFill>
                  <pic:spPr bwMode="auto">
                    <a:xfrm>
                      <a:off x="0" y="0"/>
                      <a:ext cx="5400675" cy="492442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442" type="#_x0000_t202" style="position:absolute;left:0;text-align:left;margin-left:18pt;margin-top:17.85pt;width:486.9pt;height:54pt;z-index:251948032" stroked="f">
            <v:textbox style="mso-next-textbox:#_x0000_s1442">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10.4. Карта-проекція взаємозв'язків між наслідками лікування, видом операцій і кластерами для ПК І типу</w:t>
                  </w:r>
                </w:p>
                <w:p w:rsidR="00C62D22" w:rsidRPr="00BF5469" w:rsidRDefault="00C62D22" w:rsidP="00C62D22">
                  <w:pPr>
                    <w:rPr>
                      <w:lang w:val="uk-UA"/>
                    </w:rPr>
                  </w:pP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Варто відзначити, що відстані між 12 крапками, які представлені на рис. 10.1.1.3, лише частково відповідають реальним значенням. Тому відстані між крапками обчислювалися за допомогою координат з табл. 10.1.1.3 за допомогою Евклідової метрики.</w:t>
      </w:r>
    </w:p>
    <w:p w:rsidR="00C62D22" w:rsidRPr="00C62D22" w:rsidRDefault="00C62D22" w:rsidP="00C62D22">
      <w:pPr>
        <w:spacing w:after="0" w:line="360" w:lineRule="auto"/>
        <w:jc w:val="both"/>
        <w:rPr>
          <w:rFonts w:ascii="Times New Roman" w:eastAsia="Times New Roman" w:hAnsi="Times New Roman" w:cs="Times New Roman"/>
          <w:sz w:val="28"/>
          <w:szCs w:val="28"/>
          <w:lang w:val="en-US"/>
        </w:rPr>
      </w:pPr>
      <w:r w:rsidRPr="00C62D22">
        <w:rPr>
          <w:rFonts w:ascii="Times New Roman" w:eastAsia="Times New Roman" w:hAnsi="Times New Roman" w:cs="Times New Roman"/>
          <w:sz w:val="28"/>
          <w:szCs w:val="28"/>
          <w:lang w:val="uk-UA"/>
        </w:rPr>
        <w:t>У роботі [169] було запропоновано використовувати ці відстані в якості міри близькості (зв'язку) між ними. Тобто, чим ближче крапки одна до одної, тим імовірнішою є спільна поява подій, які вони представляють. Тому ваги в КФ будуть обернено пропорційні цим відстаням (табл. 10.6).</w:t>
      </w:r>
    </w:p>
    <w:p w:rsidR="00C62D22" w:rsidRPr="00C62D22" w:rsidRDefault="00C62D22" w:rsidP="00C62D22">
      <w:pPr>
        <w:spacing w:after="0" w:line="360" w:lineRule="auto"/>
        <w:jc w:val="both"/>
        <w:rPr>
          <w:rFonts w:ascii="Times New Roman" w:eastAsia="Times New Roman" w:hAnsi="Times New Roman" w:cs="Times New Roman"/>
          <w:sz w:val="28"/>
          <w:szCs w:val="28"/>
          <w:lang w:val="en-US"/>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lastRenderedPageBreak/>
        <w:t>Таблиця 10.6</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Зворотні відстані (ваги) між 12 крапками для ПК ПЗ І типу</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980"/>
        <w:gridCol w:w="1980"/>
        <w:gridCol w:w="1980"/>
        <w:gridCol w:w="1980"/>
        <w:gridCol w:w="1980"/>
      </w:tblGrid>
      <w:tr w:rsidR="00C62D22" w:rsidRPr="00C62D22" w:rsidTr="00E83BB7">
        <w:tc>
          <w:tcPr>
            <w:tcW w:w="19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Наслідки</w:t>
            </w:r>
          </w:p>
        </w:tc>
        <w:tc>
          <w:tcPr>
            <w:tcW w:w="19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Лапаротомія</w:t>
            </w:r>
          </w:p>
        </w:tc>
        <w:tc>
          <w:tcPr>
            <w:tcW w:w="19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color w:val="000000"/>
                <w:sz w:val="28"/>
                <w:szCs w:val="28"/>
                <w:lang w:val="uk-UA"/>
              </w:rPr>
              <w:t>Мініінвазивні втручання</w:t>
            </w:r>
          </w:p>
        </w:tc>
        <w:tc>
          <w:tcPr>
            <w:tcW w:w="19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Кластер 1</w:t>
            </w:r>
          </w:p>
        </w:tc>
        <w:tc>
          <w:tcPr>
            <w:tcW w:w="19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Кластер 2</w:t>
            </w:r>
          </w:p>
        </w:tc>
      </w:tr>
      <w:tr w:rsidR="00C62D22" w:rsidRPr="00C62D22" w:rsidTr="00E83BB7">
        <w:tc>
          <w:tcPr>
            <w:tcW w:w="1980" w:type="dxa"/>
            <w:vAlign w:val="bottom"/>
          </w:tcPr>
          <w:p w:rsidR="00C62D22" w:rsidRPr="00C62D22" w:rsidRDefault="00C62D22" w:rsidP="00C62D22">
            <w:pPr>
              <w:spacing w:after="0" w:line="360" w:lineRule="auto"/>
              <w:ind w:right="-164"/>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1</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0,491</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0,533</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0,518</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0,482</w:t>
            </w:r>
          </w:p>
        </w:tc>
      </w:tr>
      <w:tr w:rsidR="00C62D22" w:rsidRPr="00C62D22" w:rsidTr="00E83BB7">
        <w:tc>
          <w:tcPr>
            <w:tcW w:w="1980" w:type="dxa"/>
            <w:vAlign w:val="bottom"/>
          </w:tcPr>
          <w:p w:rsidR="00C62D22" w:rsidRPr="00C62D22" w:rsidRDefault="00C62D22" w:rsidP="00C62D22">
            <w:pPr>
              <w:spacing w:after="0" w:line="360" w:lineRule="auto"/>
              <w:ind w:right="-164"/>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2</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0,314</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0,442</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0,358</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0,368</w:t>
            </w:r>
          </w:p>
        </w:tc>
      </w:tr>
      <w:tr w:rsidR="00C62D22" w:rsidRPr="00C62D22" w:rsidTr="00E83BB7">
        <w:tc>
          <w:tcPr>
            <w:tcW w:w="1980" w:type="dxa"/>
            <w:vAlign w:val="bottom"/>
          </w:tcPr>
          <w:p w:rsidR="00C62D22" w:rsidRPr="00C62D22" w:rsidRDefault="00C62D22" w:rsidP="00C62D22">
            <w:pPr>
              <w:spacing w:after="0" w:line="360" w:lineRule="auto"/>
              <w:ind w:right="-164"/>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3</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0,770</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0,240</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0,468</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0,010</w:t>
            </w:r>
          </w:p>
        </w:tc>
      </w:tr>
      <w:tr w:rsidR="00C62D22" w:rsidRPr="00C62D22" w:rsidTr="00E83BB7">
        <w:tc>
          <w:tcPr>
            <w:tcW w:w="1980" w:type="dxa"/>
            <w:vAlign w:val="bottom"/>
          </w:tcPr>
          <w:p w:rsidR="00C62D22" w:rsidRPr="00C62D22" w:rsidRDefault="00C62D22" w:rsidP="00C62D22">
            <w:pPr>
              <w:spacing w:after="0" w:line="360" w:lineRule="auto"/>
              <w:ind w:right="-164"/>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4</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0,249</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0,302</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0,282</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0,010</w:t>
            </w:r>
          </w:p>
        </w:tc>
      </w:tr>
      <w:tr w:rsidR="00C62D22" w:rsidRPr="00C62D22" w:rsidTr="00E83BB7">
        <w:tc>
          <w:tcPr>
            <w:tcW w:w="1980" w:type="dxa"/>
            <w:vAlign w:val="bottom"/>
          </w:tcPr>
          <w:p w:rsidR="00C62D22" w:rsidRPr="00C62D22" w:rsidRDefault="00C62D22" w:rsidP="00C62D22">
            <w:pPr>
              <w:spacing w:after="0" w:line="360" w:lineRule="auto"/>
              <w:ind w:right="-164"/>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5</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0,030</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0,338</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0,379</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0,880</w:t>
            </w:r>
          </w:p>
        </w:tc>
      </w:tr>
      <w:tr w:rsidR="00C62D22" w:rsidRPr="00C62D22" w:rsidTr="00E83BB7">
        <w:tc>
          <w:tcPr>
            <w:tcW w:w="1980" w:type="dxa"/>
            <w:vAlign w:val="bottom"/>
          </w:tcPr>
          <w:p w:rsidR="00C62D22" w:rsidRPr="00C62D22" w:rsidRDefault="00C62D22" w:rsidP="00C62D22">
            <w:pPr>
              <w:spacing w:after="0" w:line="360" w:lineRule="auto"/>
              <w:ind w:right="-164"/>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6</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0,283</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0,323</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0,286</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0,318</w:t>
            </w:r>
          </w:p>
        </w:tc>
      </w:tr>
      <w:tr w:rsidR="00C62D22" w:rsidRPr="00C62D22" w:rsidTr="00E83BB7">
        <w:tc>
          <w:tcPr>
            <w:tcW w:w="1980" w:type="dxa"/>
            <w:vAlign w:val="bottom"/>
          </w:tcPr>
          <w:p w:rsidR="00C62D22" w:rsidRPr="00C62D22" w:rsidRDefault="00C62D22" w:rsidP="00C62D22">
            <w:pPr>
              <w:spacing w:after="0" w:line="360" w:lineRule="auto"/>
              <w:ind w:right="-164"/>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7</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0,239</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0,228</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0,244</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0,219</w:t>
            </w:r>
          </w:p>
        </w:tc>
      </w:tr>
      <w:tr w:rsidR="00C62D22" w:rsidRPr="00C62D22" w:rsidTr="00E83BB7">
        <w:tc>
          <w:tcPr>
            <w:tcW w:w="1980" w:type="dxa"/>
            <w:vAlign w:val="bottom"/>
          </w:tcPr>
          <w:p w:rsidR="00C62D22" w:rsidRPr="00C62D22" w:rsidRDefault="00C62D22" w:rsidP="00C62D22">
            <w:pPr>
              <w:spacing w:after="0" w:line="360" w:lineRule="auto"/>
              <w:ind w:right="-164"/>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8</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0,270</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0,268</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0,267</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0,267</w:t>
            </w:r>
          </w:p>
        </w:tc>
      </w:tr>
    </w:tbl>
    <w:p w:rsidR="00C62D22" w:rsidRPr="00C62D22" w:rsidRDefault="00C62D22" w:rsidP="00C62D22">
      <w:pPr>
        <w:spacing w:after="0" w:line="360" w:lineRule="auto"/>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Прогноз результату лікування для кожного виду операції визначається максимальним значенням КФ у стовпці, які визначаються підсумовуванням відповідних ваг для типу операції і кластера (табл. 10.7). </w:t>
      </w: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10.7</w:t>
      </w:r>
    </w:p>
    <w:p w:rsidR="00C62D22" w:rsidRPr="00C62D22" w:rsidRDefault="00C62D22" w:rsidP="00C62D22">
      <w:pPr>
        <w:spacing w:after="0" w:line="48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Кваліфікаційні функції для хворих з ПК ПЗ І типу</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0"/>
        <w:gridCol w:w="1980"/>
        <w:gridCol w:w="1980"/>
        <w:gridCol w:w="1980"/>
        <w:gridCol w:w="1980"/>
      </w:tblGrid>
      <w:tr w:rsidR="00C62D22" w:rsidRPr="00C62D22" w:rsidTr="00E83BB7">
        <w:tc>
          <w:tcPr>
            <w:tcW w:w="1800" w:type="dxa"/>
            <w:vMerge w:val="restart"/>
          </w:tcPr>
          <w:p w:rsidR="00C62D22" w:rsidRPr="00C62D22" w:rsidRDefault="00C62D22" w:rsidP="00C62D22">
            <w:pPr>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Наслідки лікування</w:t>
            </w:r>
          </w:p>
        </w:tc>
        <w:tc>
          <w:tcPr>
            <w:tcW w:w="3960" w:type="dxa"/>
            <w:gridSpan w:val="2"/>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Кластер 1</w:t>
            </w:r>
          </w:p>
        </w:tc>
        <w:tc>
          <w:tcPr>
            <w:tcW w:w="3960" w:type="dxa"/>
            <w:gridSpan w:val="2"/>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Кластер 2</w:t>
            </w:r>
          </w:p>
        </w:tc>
      </w:tr>
      <w:tr w:rsidR="00C62D22" w:rsidRPr="00C62D22" w:rsidTr="00E83BB7">
        <w:tc>
          <w:tcPr>
            <w:tcW w:w="1800" w:type="dxa"/>
            <w:vMerge/>
          </w:tcPr>
          <w:p w:rsidR="00C62D22" w:rsidRPr="00C62D22" w:rsidRDefault="00C62D22" w:rsidP="00C62D22">
            <w:pPr>
              <w:spacing w:after="0" w:line="360" w:lineRule="auto"/>
              <w:rPr>
                <w:rFonts w:ascii="Times New Roman" w:eastAsia="Times New Roman" w:hAnsi="Times New Roman" w:cs="Times New Roman"/>
                <w:sz w:val="28"/>
                <w:szCs w:val="28"/>
                <w:lang w:val="uk-UA"/>
              </w:rPr>
            </w:pPr>
          </w:p>
        </w:tc>
        <w:tc>
          <w:tcPr>
            <w:tcW w:w="19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Лапаротомія</w:t>
            </w:r>
          </w:p>
        </w:tc>
        <w:tc>
          <w:tcPr>
            <w:tcW w:w="19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Мініінвазивні втручання</w:t>
            </w:r>
          </w:p>
        </w:tc>
        <w:tc>
          <w:tcPr>
            <w:tcW w:w="19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Лапаротомія</w:t>
            </w:r>
          </w:p>
        </w:tc>
        <w:tc>
          <w:tcPr>
            <w:tcW w:w="19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Мініінвазивні втручання</w:t>
            </w:r>
          </w:p>
        </w:tc>
      </w:tr>
      <w:tr w:rsidR="00C62D22" w:rsidRPr="00C62D22" w:rsidTr="00E83BB7">
        <w:tc>
          <w:tcPr>
            <w:tcW w:w="1800" w:type="dxa"/>
            <w:vAlign w:val="bottom"/>
          </w:tcPr>
          <w:p w:rsidR="00C62D22" w:rsidRPr="00C62D22" w:rsidRDefault="00C62D22" w:rsidP="00C62D22">
            <w:pPr>
              <w:spacing w:after="0" w:line="360" w:lineRule="auto"/>
              <w:ind w:right="-96"/>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1</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u w:val="single"/>
                <w:lang w:val="uk-UA"/>
              </w:rPr>
            </w:pPr>
            <w:r w:rsidRPr="00C62D22">
              <w:rPr>
                <w:rFonts w:ascii="Times New Roman" w:eastAsia="Times New Roman" w:hAnsi="Times New Roman" w:cs="Times New Roman"/>
                <w:color w:val="000000"/>
                <w:sz w:val="28"/>
                <w:szCs w:val="28"/>
                <w:u w:val="single"/>
                <w:lang w:val="uk-UA"/>
              </w:rPr>
              <w:t>1,010</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u w:val="single"/>
                <w:lang w:val="uk-UA"/>
              </w:rPr>
            </w:pPr>
            <w:r w:rsidRPr="00C62D22">
              <w:rPr>
                <w:rFonts w:ascii="Times New Roman" w:eastAsia="Times New Roman" w:hAnsi="Times New Roman" w:cs="Times New Roman"/>
                <w:color w:val="000000"/>
                <w:sz w:val="28"/>
                <w:szCs w:val="28"/>
                <w:u w:val="single"/>
                <w:lang w:val="uk-UA"/>
              </w:rPr>
              <w:t>1,051</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u w:val="single"/>
                <w:lang w:val="uk-UA"/>
              </w:rPr>
            </w:pPr>
            <w:r w:rsidRPr="00C62D22">
              <w:rPr>
                <w:rFonts w:ascii="Times New Roman" w:eastAsia="Times New Roman" w:hAnsi="Times New Roman" w:cs="Times New Roman"/>
                <w:color w:val="000000"/>
                <w:sz w:val="28"/>
                <w:szCs w:val="28"/>
                <w:u w:val="single"/>
                <w:lang w:val="uk-UA"/>
              </w:rPr>
              <w:t>0,973</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u w:val="single"/>
                <w:lang w:val="uk-UA"/>
              </w:rPr>
            </w:pPr>
            <w:r w:rsidRPr="00C62D22">
              <w:rPr>
                <w:rFonts w:ascii="Times New Roman" w:eastAsia="Times New Roman" w:hAnsi="Times New Roman" w:cs="Times New Roman"/>
                <w:color w:val="000000"/>
                <w:sz w:val="28"/>
                <w:szCs w:val="28"/>
                <w:u w:val="single"/>
                <w:lang w:val="uk-UA"/>
              </w:rPr>
              <w:t>1,014</w:t>
            </w:r>
          </w:p>
        </w:tc>
      </w:tr>
      <w:tr w:rsidR="00C62D22" w:rsidRPr="00C62D22" w:rsidTr="00E83BB7">
        <w:tc>
          <w:tcPr>
            <w:tcW w:w="1800" w:type="dxa"/>
            <w:vAlign w:val="bottom"/>
          </w:tcPr>
          <w:p w:rsidR="00C62D22" w:rsidRPr="00C62D22" w:rsidRDefault="00C62D22" w:rsidP="00C62D22">
            <w:pPr>
              <w:spacing w:after="0" w:line="360" w:lineRule="auto"/>
              <w:ind w:right="-96"/>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2</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0,672</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0,800</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0,682</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0,810</w:t>
            </w:r>
          </w:p>
        </w:tc>
      </w:tr>
      <w:tr w:rsidR="00C62D22" w:rsidRPr="00C62D22" w:rsidTr="00E83BB7">
        <w:tc>
          <w:tcPr>
            <w:tcW w:w="1800" w:type="dxa"/>
            <w:vAlign w:val="bottom"/>
          </w:tcPr>
          <w:p w:rsidR="00C62D22" w:rsidRPr="00C62D22" w:rsidRDefault="00C62D22" w:rsidP="00C62D22">
            <w:pPr>
              <w:spacing w:after="0" w:line="360" w:lineRule="auto"/>
              <w:ind w:right="-96"/>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3</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u w:val="single"/>
                <w:lang w:val="uk-UA"/>
              </w:rPr>
            </w:pPr>
            <w:r w:rsidRPr="00C62D22">
              <w:rPr>
                <w:rFonts w:ascii="Times New Roman" w:eastAsia="Times New Roman" w:hAnsi="Times New Roman" w:cs="Times New Roman"/>
                <w:color w:val="000000"/>
                <w:sz w:val="28"/>
                <w:szCs w:val="28"/>
                <w:u w:val="single"/>
                <w:lang w:val="uk-UA"/>
              </w:rPr>
              <w:t>1,238</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0,708</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0,780</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0,250</w:t>
            </w:r>
          </w:p>
        </w:tc>
      </w:tr>
      <w:tr w:rsidR="00C62D22" w:rsidRPr="00C62D22" w:rsidTr="00E83BB7">
        <w:tc>
          <w:tcPr>
            <w:tcW w:w="1800" w:type="dxa"/>
            <w:vAlign w:val="bottom"/>
          </w:tcPr>
          <w:p w:rsidR="00C62D22" w:rsidRPr="00C62D22" w:rsidRDefault="00C62D22" w:rsidP="00C62D22">
            <w:pPr>
              <w:spacing w:after="0" w:line="360" w:lineRule="auto"/>
              <w:ind w:right="-96"/>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4</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0,532</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0,584</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0,259</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0,312</w:t>
            </w:r>
          </w:p>
        </w:tc>
      </w:tr>
      <w:tr w:rsidR="00C62D22" w:rsidRPr="00C62D22" w:rsidTr="00E83BB7">
        <w:tc>
          <w:tcPr>
            <w:tcW w:w="1800" w:type="dxa"/>
            <w:vAlign w:val="bottom"/>
          </w:tcPr>
          <w:p w:rsidR="00C62D22" w:rsidRPr="00C62D22" w:rsidRDefault="00C62D22" w:rsidP="00C62D22">
            <w:pPr>
              <w:spacing w:after="0" w:line="360" w:lineRule="auto"/>
              <w:ind w:right="-96"/>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5</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0,409</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0,717</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u w:val="single"/>
                <w:lang w:val="uk-UA"/>
              </w:rPr>
            </w:pPr>
            <w:r w:rsidRPr="00C62D22">
              <w:rPr>
                <w:rFonts w:ascii="Times New Roman" w:eastAsia="Times New Roman" w:hAnsi="Times New Roman" w:cs="Times New Roman"/>
                <w:color w:val="000000"/>
                <w:sz w:val="28"/>
                <w:szCs w:val="28"/>
                <w:u w:val="single"/>
                <w:lang w:val="uk-UA"/>
              </w:rPr>
              <w:t>0,910</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u w:val="single"/>
                <w:lang w:val="uk-UA"/>
              </w:rPr>
            </w:pPr>
            <w:r w:rsidRPr="00C62D22">
              <w:rPr>
                <w:rFonts w:ascii="Times New Roman" w:eastAsia="Times New Roman" w:hAnsi="Times New Roman" w:cs="Times New Roman"/>
                <w:color w:val="000000"/>
                <w:sz w:val="28"/>
                <w:szCs w:val="28"/>
                <w:u w:val="single"/>
                <w:lang w:val="uk-UA"/>
              </w:rPr>
              <w:t>1,218</w:t>
            </w:r>
          </w:p>
        </w:tc>
      </w:tr>
      <w:tr w:rsidR="00C62D22" w:rsidRPr="00C62D22" w:rsidTr="00E83BB7">
        <w:tc>
          <w:tcPr>
            <w:tcW w:w="1800" w:type="dxa"/>
            <w:vAlign w:val="bottom"/>
          </w:tcPr>
          <w:p w:rsidR="00C62D22" w:rsidRPr="00C62D22" w:rsidRDefault="00C62D22" w:rsidP="00C62D22">
            <w:pPr>
              <w:spacing w:after="0" w:line="360" w:lineRule="auto"/>
              <w:ind w:right="-96"/>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6</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0,570</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0,609</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0,602</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0,641</w:t>
            </w:r>
          </w:p>
        </w:tc>
      </w:tr>
      <w:tr w:rsidR="00C62D22" w:rsidRPr="00C62D22" w:rsidTr="00E83BB7">
        <w:tc>
          <w:tcPr>
            <w:tcW w:w="1800" w:type="dxa"/>
            <w:vAlign w:val="bottom"/>
          </w:tcPr>
          <w:p w:rsidR="00C62D22" w:rsidRPr="00C62D22" w:rsidRDefault="00C62D22" w:rsidP="00C62D22">
            <w:pPr>
              <w:spacing w:after="0" w:line="360" w:lineRule="auto"/>
              <w:ind w:right="-96"/>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7</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0,483</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0,472</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0,458</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0,447</w:t>
            </w:r>
          </w:p>
        </w:tc>
      </w:tr>
      <w:tr w:rsidR="00C62D22" w:rsidRPr="00C62D22" w:rsidTr="00E83BB7">
        <w:tc>
          <w:tcPr>
            <w:tcW w:w="1800" w:type="dxa"/>
            <w:vAlign w:val="bottom"/>
          </w:tcPr>
          <w:p w:rsidR="00C62D22" w:rsidRPr="00C62D22" w:rsidRDefault="00C62D22" w:rsidP="00C62D22">
            <w:pPr>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НЛ 8</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0,537</w:t>
            </w:r>
          </w:p>
        </w:tc>
        <w:tc>
          <w:tcPr>
            <w:tcW w:w="1980" w:type="dxa"/>
            <w:vAlign w:val="bottom"/>
          </w:tcPr>
          <w:p w:rsidR="00C62D22" w:rsidRPr="00C62D22" w:rsidRDefault="00C62D22" w:rsidP="00C62D22">
            <w:pPr>
              <w:tabs>
                <w:tab w:val="left" w:pos="0"/>
              </w:tabs>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0,536</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0,537</w:t>
            </w:r>
          </w:p>
        </w:tc>
        <w:tc>
          <w:tcPr>
            <w:tcW w:w="1980" w:type="dxa"/>
            <w:vAlign w:val="bottom"/>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0,536</w:t>
            </w:r>
          </w:p>
        </w:tc>
      </w:tr>
    </w:tbl>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Чим більше значення КФ, тим більша ймовірність події. Так наприклад, проведення лапаротомії для ПК І типу в кластері 1 з максимальною ймовірністю закінчиться результатом 3 (до 21 ліжко-дня без післяопераційних ускладнень) або результатом 1 (до 14 ліжко-дня без післяопераційних ускладнень) з меншою ймовірністю. При проведенні мініінвазивних операцій характерний результат 1.</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Для хворих, віднесених до кластеру 2, при лапаротомії найбільш імовірний результат лікування 1 (менш вірогідний результат 5), при мініінвазивних операціях спостерігається зворотна картина: найімовірніше результат 5 (менш вірогідний результат 1) [48].</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10.1.2. Прогнозування ранніх післяопераційних ускладнень у хворих, оперованих із приводу псевдокіст підшлункової залози другого типу</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Виконання прогнозування виду операцій для ПК ІІ типу виконувалося за тим же алгоритмом, що й для ПК першого типу [48]. Однак, чисельні розрахунки показали, що відмінності для результату лікування виявилися значимо незалежними від належності хворого до кластеру. Тому в подальшому будемо розглядати тільки дві змінні: НЛ і вид операції. Узагальнені вихідні дані для ПК ІІ типу наведені в табл. 10.8.</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10.8</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Кількість хворих для кожного виду операцій і результат лікування</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648"/>
        <w:gridCol w:w="601"/>
        <w:gridCol w:w="602"/>
        <w:gridCol w:w="601"/>
        <w:gridCol w:w="602"/>
        <w:gridCol w:w="601"/>
        <w:gridCol w:w="602"/>
        <w:gridCol w:w="601"/>
        <w:gridCol w:w="602"/>
        <w:gridCol w:w="1440"/>
      </w:tblGrid>
      <w:tr w:rsidR="00C62D22" w:rsidRPr="00C62D22" w:rsidTr="00E83BB7">
        <w:tc>
          <w:tcPr>
            <w:tcW w:w="3648"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Наслідок лікування </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6</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c>
          <w:tcPr>
            <w:tcW w:w="144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Усього</w:t>
            </w:r>
          </w:p>
        </w:tc>
      </w:tr>
      <w:tr w:rsidR="00C62D22" w:rsidRPr="00C62D22" w:rsidTr="00E83BB7">
        <w:tc>
          <w:tcPr>
            <w:tcW w:w="3648"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Лапаротомія</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10</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w:t>
            </w:r>
          </w:p>
        </w:tc>
        <w:tc>
          <w:tcPr>
            <w:tcW w:w="144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29</w:t>
            </w:r>
          </w:p>
        </w:tc>
      </w:tr>
      <w:tr w:rsidR="00C62D22" w:rsidRPr="00C62D22" w:rsidTr="00E83BB7">
        <w:tc>
          <w:tcPr>
            <w:tcW w:w="3648"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Мініінвазивні втручання</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601"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w:t>
            </w:r>
          </w:p>
        </w:tc>
        <w:tc>
          <w:tcPr>
            <w:tcW w:w="60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144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20</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використанні аналізу відповідностей були отримані координати 10 точок у 7 вимірному просторі (таблиця через її громіздкість не приведена) і двовимірна проекція розглянутих 10-ти крапок в координатах 1-2 вимірювань (рис. 10.5).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lastRenderedPageBreak/>
        <w:pict>
          <v:shape id="_x0000_s1437" type="#_x0000_t202" style="position:absolute;left:0;text-align:left;margin-left:9pt;margin-top:285.3pt;width:500.3pt;height:54pt;z-index:251942912" strokecolor="white">
            <v:textbox style="mso-next-textbox:#_x0000_s1437">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10.5.</w:t>
                  </w:r>
                  <w:r w:rsidRPr="00C62D22">
                    <w:rPr>
                      <w:rFonts w:ascii="Times New Roman" w:hAnsi="Times New Roman" w:cs="Times New Roman"/>
                      <w:lang w:val="uk-UA"/>
                    </w:rPr>
                    <w:t xml:space="preserve"> </w:t>
                  </w:r>
                  <w:r w:rsidRPr="00C62D22">
                    <w:rPr>
                      <w:rFonts w:ascii="Times New Roman" w:hAnsi="Times New Roman" w:cs="Times New Roman"/>
                      <w:sz w:val="28"/>
                      <w:szCs w:val="28"/>
                      <w:lang w:val="uk-UA"/>
                    </w:rPr>
                    <w:t>Карта-проекція взаємозв'язків між наслідками лікування та видом операцій для ПК ІІ типу</w:t>
                  </w:r>
                </w:p>
                <w:p w:rsidR="00C62D22" w:rsidRPr="009B5548" w:rsidRDefault="00C62D22" w:rsidP="00C62D22">
                  <w:pPr>
                    <w:jc w:val="right"/>
                    <w:rPr>
                      <w:lang w:val="uk-UA"/>
                    </w:rPr>
                  </w:pPr>
                </w:p>
              </w:txbxContent>
            </v:textbox>
          </v:shape>
        </w:pict>
      </w:r>
      <w:r w:rsidRPr="00C62D22">
        <w:rPr>
          <w:rFonts w:ascii="Times New Roman" w:eastAsia="Times New Roman" w:hAnsi="Times New Roman" w:cs="Times New Roman"/>
          <w:noProof/>
          <w:sz w:val="28"/>
          <w:szCs w:val="28"/>
        </w:rPr>
        <w:drawing>
          <wp:inline distT="0" distB="0" distL="0" distR="0">
            <wp:extent cx="5676900" cy="3629025"/>
            <wp:effectExtent l="19050" t="0" r="0" b="0"/>
            <wp:docPr id="528" name="Рисунок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8"/>
                    <pic:cNvPicPr>
                      <a:picLocks noChangeAspect="1" noChangeArrowheads="1"/>
                    </pic:cNvPicPr>
                  </pic:nvPicPr>
                  <pic:blipFill>
                    <a:blip r:embed="rId126"/>
                    <a:srcRect/>
                    <a:stretch>
                      <a:fillRect/>
                    </a:stretch>
                  </pic:blipFill>
                  <pic:spPr bwMode="auto">
                    <a:xfrm>
                      <a:off x="0" y="0"/>
                      <a:ext cx="5676900" cy="362902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Отримані з координат стовпців відстані між 10 крапками наведені в табл. 10.9.</w:t>
      </w:r>
    </w:p>
    <w:p w:rsidR="00C62D22" w:rsidRPr="00C62D22" w:rsidRDefault="00C62D22" w:rsidP="00C62D22">
      <w:pPr>
        <w:spacing w:after="0" w:line="360" w:lineRule="auto"/>
        <w:rPr>
          <w:rFonts w:ascii="Times New Roman" w:eastAsia="Times New Roman" w:hAnsi="Times New Roman" w:cs="Times New Roman"/>
          <w:i/>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10.9</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Відстані між 9 крапками (лапаротомія, мініінвазивні, наслідки лікування 1-6, 8) у 7-вимірному просторі</w:t>
      </w:r>
    </w:p>
    <w:tbl>
      <w:tblPr>
        <w:tblW w:w="954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47"/>
        <w:gridCol w:w="3105"/>
        <w:gridCol w:w="3397"/>
      </w:tblGrid>
      <w:tr w:rsidR="00C62D22" w:rsidRPr="00C62D22" w:rsidTr="00E83BB7">
        <w:trPr>
          <w:trHeight w:val="255"/>
          <w:jc w:val="center"/>
        </w:trPr>
        <w:tc>
          <w:tcPr>
            <w:tcW w:w="3047" w:type="dxa"/>
            <w:shd w:val="clear" w:color="auto" w:fill="auto"/>
            <w:noWrap/>
            <w:vAlign w:val="bottom"/>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Наслідки лікування</w:t>
            </w:r>
          </w:p>
        </w:tc>
        <w:tc>
          <w:tcPr>
            <w:tcW w:w="310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Лапаротомія</w:t>
            </w:r>
          </w:p>
        </w:tc>
        <w:tc>
          <w:tcPr>
            <w:tcW w:w="3397"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Мініінвазивні втручання</w:t>
            </w:r>
          </w:p>
        </w:tc>
      </w:tr>
      <w:tr w:rsidR="00C62D22" w:rsidRPr="00C62D22" w:rsidTr="00E83BB7">
        <w:trPr>
          <w:trHeight w:val="255"/>
          <w:jc w:val="center"/>
        </w:trPr>
        <w:tc>
          <w:tcPr>
            <w:tcW w:w="3047"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1</w:t>
            </w:r>
          </w:p>
        </w:tc>
        <w:tc>
          <w:tcPr>
            <w:tcW w:w="310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1,775</w:t>
            </w:r>
          </w:p>
        </w:tc>
        <w:tc>
          <w:tcPr>
            <w:tcW w:w="3397"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1,883</w:t>
            </w:r>
          </w:p>
        </w:tc>
      </w:tr>
      <w:tr w:rsidR="00C62D22" w:rsidRPr="00C62D22" w:rsidTr="00E83BB7">
        <w:trPr>
          <w:trHeight w:val="255"/>
          <w:jc w:val="center"/>
        </w:trPr>
        <w:tc>
          <w:tcPr>
            <w:tcW w:w="3047"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2</w:t>
            </w:r>
          </w:p>
        </w:tc>
        <w:tc>
          <w:tcPr>
            <w:tcW w:w="310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2,451</w:t>
            </w:r>
          </w:p>
        </w:tc>
        <w:tc>
          <w:tcPr>
            <w:tcW w:w="3397"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1,960</w:t>
            </w:r>
          </w:p>
        </w:tc>
      </w:tr>
      <w:tr w:rsidR="00C62D22" w:rsidRPr="00C62D22" w:rsidTr="00E83BB7">
        <w:trPr>
          <w:trHeight w:val="255"/>
          <w:jc w:val="center"/>
        </w:trPr>
        <w:tc>
          <w:tcPr>
            <w:tcW w:w="3047"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3</w:t>
            </w:r>
          </w:p>
        </w:tc>
        <w:tc>
          <w:tcPr>
            <w:tcW w:w="310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1,555</w:t>
            </w:r>
          </w:p>
        </w:tc>
        <w:tc>
          <w:tcPr>
            <w:tcW w:w="3397"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2,540</w:t>
            </w:r>
          </w:p>
        </w:tc>
      </w:tr>
      <w:tr w:rsidR="00C62D22" w:rsidRPr="00C62D22" w:rsidTr="00E83BB7">
        <w:trPr>
          <w:trHeight w:val="255"/>
          <w:jc w:val="center"/>
        </w:trPr>
        <w:tc>
          <w:tcPr>
            <w:tcW w:w="3047"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4</w:t>
            </w:r>
          </w:p>
        </w:tc>
        <w:tc>
          <w:tcPr>
            <w:tcW w:w="310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5,095</w:t>
            </w:r>
          </w:p>
        </w:tc>
        <w:tc>
          <w:tcPr>
            <w:tcW w:w="3397"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4,495</w:t>
            </w:r>
          </w:p>
        </w:tc>
      </w:tr>
      <w:tr w:rsidR="00C62D22" w:rsidRPr="00C62D22" w:rsidTr="00E83BB7">
        <w:trPr>
          <w:trHeight w:val="255"/>
          <w:jc w:val="center"/>
        </w:trPr>
        <w:tc>
          <w:tcPr>
            <w:tcW w:w="3047"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5</w:t>
            </w:r>
          </w:p>
        </w:tc>
        <w:tc>
          <w:tcPr>
            <w:tcW w:w="310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1,877</w:t>
            </w:r>
          </w:p>
        </w:tc>
        <w:tc>
          <w:tcPr>
            <w:tcW w:w="3397"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2,709</w:t>
            </w:r>
          </w:p>
        </w:tc>
      </w:tr>
      <w:tr w:rsidR="00C62D22" w:rsidRPr="00C62D22" w:rsidTr="00E83BB7">
        <w:trPr>
          <w:trHeight w:val="255"/>
          <w:jc w:val="center"/>
        </w:trPr>
        <w:tc>
          <w:tcPr>
            <w:tcW w:w="3047"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6</w:t>
            </w:r>
          </w:p>
        </w:tc>
        <w:tc>
          <w:tcPr>
            <w:tcW w:w="310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5,095</w:t>
            </w:r>
          </w:p>
        </w:tc>
        <w:tc>
          <w:tcPr>
            <w:tcW w:w="3397"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4,495</w:t>
            </w:r>
          </w:p>
        </w:tc>
      </w:tr>
      <w:tr w:rsidR="00C62D22" w:rsidRPr="00C62D22" w:rsidTr="00E83BB7">
        <w:trPr>
          <w:trHeight w:val="255"/>
          <w:jc w:val="center"/>
        </w:trPr>
        <w:tc>
          <w:tcPr>
            <w:tcW w:w="3047"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8</w:t>
            </w:r>
          </w:p>
        </w:tc>
        <w:tc>
          <w:tcPr>
            <w:tcW w:w="310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5,095</w:t>
            </w:r>
          </w:p>
        </w:tc>
        <w:tc>
          <w:tcPr>
            <w:tcW w:w="3397"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4,495</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Ваги в КФ, які обернено пропорційні відстаням. наведені в табл.10.11.</w:t>
      </w:r>
    </w:p>
    <w:p w:rsidR="00C62D22" w:rsidRPr="00C62D22" w:rsidRDefault="00C62D22" w:rsidP="00C62D22">
      <w:pPr>
        <w:spacing w:after="0" w:line="360" w:lineRule="auto"/>
        <w:jc w:val="both"/>
        <w:rPr>
          <w:rFonts w:ascii="Times New Roman" w:eastAsia="Times New Roman" w:hAnsi="Times New Roman" w:cs="Times New Roman"/>
          <w:i/>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lastRenderedPageBreak/>
        <w:t>Таблиця 10.11</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Зворотні відстані (ваги) між 10 крапками для ПК ІІ типу</w:t>
      </w:r>
    </w:p>
    <w:tbl>
      <w:tblPr>
        <w:tblW w:w="9418" w:type="dxa"/>
        <w:jc w:val="center"/>
        <w:tblInd w:w="-1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027"/>
        <w:gridCol w:w="3060"/>
        <w:gridCol w:w="3331"/>
      </w:tblGrid>
      <w:tr w:rsidR="00C62D22" w:rsidRPr="00C62D22" w:rsidTr="00E83BB7">
        <w:trPr>
          <w:trHeight w:val="255"/>
          <w:jc w:val="center"/>
        </w:trPr>
        <w:tc>
          <w:tcPr>
            <w:tcW w:w="3027"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Наслідок лікування</w:t>
            </w:r>
          </w:p>
        </w:tc>
        <w:tc>
          <w:tcPr>
            <w:tcW w:w="306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Лапаротомія</w:t>
            </w:r>
          </w:p>
        </w:tc>
        <w:tc>
          <w:tcPr>
            <w:tcW w:w="3331"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Мініінвазивні втручання</w:t>
            </w:r>
          </w:p>
        </w:tc>
      </w:tr>
      <w:tr w:rsidR="00C62D22" w:rsidRPr="00C62D22" w:rsidTr="00E83BB7">
        <w:trPr>
          <w:trHeight w:val="255"/>
          <w:jc w:val="center"/>
        </w:trPr>
        <w:tc>
          <w:tcPr>
            <w:tcW w:w="3027" w:type="dxa"/>
            <w:shd w:val="clear" w:color="auto" w:fill="auto"/>
            <w:noWrap/>
            <w:vAlign w:val="center"/>
          </w:tcPr>
          <w:p w:rsidR="00C62D22" w:rsidRPr="00C62D22" w:rsidRDefault="00C62D22" w:rsidP="00C62D22">
            <w:pPr>
              <w:tabs>
                <w:tab w:val="left" w:pos="105"/>
              </w:tabs>
              <w:spacing w:after="0" w:line="360" w:lineRule="auto"/>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1</w:t>
            </w:r>
          </w:p>
        </w:tc>
        <w:tc>
          <w:tcPr>
            <w:tcW w:w="3060"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0,5635</w:t>
            </w:r>
          </w:p>
        </w:tc>
        <w:tc>
          <w:tcPr>
            <w:tcW w:w="3331"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0,5310</w:t>
            </w:r>
          </w:p>
        </w:tc>
      </w:tr>
      <w:tr w:rsidR="00C62D22" w:rsidRPr="00C62D22" w:rsidTr="00E83BB7">
        <w:trPr>
          <w:trHeight w:val="255"/>
          <w:jc w:val="center"/>
        </w:trPr>
        <w:tc>
          <w:tcPr>
            <w:tcW w:w="3027" w:type="dxa"/>
            <w:shd w:val="clear" w:color="auto" w:fill="auto"/>
            <w:noWrap/>
            <w:vAlign w:val="center"/>
          </w:tcPr>
          <w:p w:rsidR="00C62D22" w:rsidRPr="00C62D22" w:rsidRDefault="00C62D22" w:rsidP="00C62D22">
            <w:pPr>
              <w:tabs>
                <w:tab w:val="left" w:pos="105"/>
              </w:tabs>
              <w:spacing w:after="0" w:line="360" w:lineRule="auto"/>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2</w:t>
            </w:r>
          </w:p>
        </w:tc>
        <w:tc>
          <w:tcPr>
            <w:tcW w:w="3060"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0,4080</w:t>
            </w:r>
          </w:p>
        </w:tc>
        <w:tc>
          <w:tcPr>
            <w:tcW w:w="3331"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0,5103</w:t>
            </w:r>
          </w:p>
        </w:tc>
      </w:tr>
      <w:tr w:rsidR="00C62D22" w:rsidRPr="00C62D22" w:rsidTr="00E83BB7">
        <w:trPr>
          <w:trHeight w:val="255"/>
          <w:jc w:val="center"/>
        </w:trPr>
        <w:tc>
          <w:tcPr>
            <w:tcW w:w="3027" w:type="dxa"/>
            <w:shd w:val="clear" w:color="auto" w:fill="auto"/>
            <w:noWrap/>
            <w:vAlign w:val="center"/>
          </w:tcPr>
          <w:p w:rsidR="00C62D22" w:rsidRPr="00C62D22" w:rsidRDefault="00C62D22" w:rsidP="00C62D22">
            <w:pPr>
              <w:tabs>
                <w:tab w:val="left" w:pos="105"/>
              </w:tabs>
              <w:spacing w:after="0" w:line="360" w:lineRule="auto"/>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3</w:t>
            </w:r>
          </w:p>
        </w:tc>
        <w:tc>
          <w:tcPr>
            <w:tcW w:w="3060"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0,6430</w:t>
            </w:r>
          </w:p>
        </w:tc>
        <w:tc>
          <w:tcPr>
            <w:tcW w:w="3331"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0,3936</w:t>
            </w:r>
          </w:p>
        </w:tc>
      </w:tr>
      <w:tr w:rsidR="00C62D22" w:rsidRPr="00C62D22" w:rsidTr="00E83BB7">
        <w:trPr>
          <w:trHeight w:val="255"/>
          <w:jc w:val="center"/>
        </w:trPr>
        <w:tc>
          <w:tcPr>
            <w:tcW w:w="3027" w:type="dxa"/>
            <w:shd w:val="clear" w:color="auto" w:fill="auto"/>
            <w:noWrap/>
            <w:vAlign w:val="center"/>
          </w:tcPr>
          <w:p w:rsidR="00C62D22" w:rsidRPr="00C62D22" w:rsidRDefault="00C62D22" w:rsidP="00C62D22">
            <w:pPr>
              <w:tabs>
                <w:tab w:val="left" w:pos="105"/>
              </w:tabs>
              <w:spacing w:after="0" w:line="360" w:lineRule="auto"/>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4</w:t>
            </w:r>
          </w:p>
        </w:tc>
        <w:tc>
          <w:tcPr>
            <w:tcW w:w="3060"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0,1963</w:t>
            </w:r>
          </w:p>
        </w:tc>
        <w:tc>
          <w:tcPr>
            <w:tcW w:w="3331"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0,2225</w:t>
            </w:r>
          </w:p>
        </w:tc>
      </w:tr>
      <w:tr w:rsidR="00C62D22" w:rsidRPr="00C62D22" w:rsidTr="00E83BB7">
        <w:trPr>
          <w:trHeight w:val="255"/>
          <w:jc w:val="center"/>
        </w:trPr>
        <w:tc>
          <w:tcPr>
            <w:tcW w:w="3027" w:type="dxa"/>
            <w:shd w:val="clear" w:color="auto" w:fill="auto"/>
            <w:noWrap/>
            <w:vAlign w:val="center"/>
          </w:tcPr>
          <w:p w:rsidR="00C62D22" w:rsidRPr="00C62D22" w:rsidRDefault="00C62D22" w:rsidP="00C62D22">
            <w:pPr>
              <w:tabs>
                <w:tab w:val="left" w:pos="105"/>
              </w:tabs>
              <w:spacing w:after="0" w:line="360" w:lineRule="auto"/>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5</w:t>
            </w:r>
          </w:p>
        </w:tc>
        <w:tc>
          <w:tcPr>
            <w:tcW w:w="3060"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0,5328</w:t>
            </w:r>
          </w:p>
        </w:tc>
        <w:tc>
          <w:tcPr>
            <w:tcW w:w="3331"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0,3691</w:t>
            </w:r>
          </w:p>
        </w:tc>
      </w:tr>
      <w:tr w:rsidR="00C62D22" w:rsidRPr="00C62D22" w:rsidTr="00E83BB7">
        <w:trPr>
          <w:trHeight w:val="255"/>
          <w:jc w:val="center"/>
        </w:trPr>
        <w:tc>
          <w:tcPr>
            <w:tcW w:w="3027" w:type="dxa"/>
            <w:shd w:val="clear" w:color="auto" w:fill="auto"/>
            <w:noWrap/>
            <w:vAlign w:val="center"/>
          </w:tcPr>
          <w:p w:rsidR="00C62D22" w:rsidRPr="00C62D22" w:rsidRDefault="00C62D22" w:rsidP="00C62D22">
            <w:pPr>
              <w:tabs>
                <w:tab w:val="left" w:pos="105"/>
              </w:tabs>
              <w:spacing w:after="0" w:line="360" w:lineRule="auto"/>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6</w:t>
            </w:r>
          </w:p>
        </w:tc>
        <w:tc>
          <w:tcPr>
            <w:tcW w:w="3060"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0,1963</w:t>
            </w:r>
          </w:p>
        </w:tc>
        <w:tc>
          <w:tcPr>
            <w:tcW w:w="3331"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0,2225</w:t>
            </w:r>
          </w:p>
        </w:tc>
      </w:tr>
      <w:tr w:rsidR="00C62D22" w:rsidRPr="00C62D22" w:rsidTr="00E83BB7">
        <w:trPr>
          <w:trHeight w:val="255"/>
          <w:jc w:val="center"/>
        </w:trPr>
        <w:tc>
          <w:tcPr>
            <w:tcW w:w="3027" w:type="dxa"/>
            <w:shd w:val="clear" w:color="auto" w:fill="auto"/>
            <w:noWrap/>
            <w:vAlign w:val="center"/>
          </w:tcPr>
          <w:p w:rsidR="00C62D22" w:rsidRPr="00C62D22" w:rsidRDefault="00C62D22" w:rsidP="00C62D22">
            <w:pPr>
              <w:tabs>
                <w:tab w:val="left" w:pos="105"/>
              </w:tabs>
              <w:spacing w:after="0" w:line="360" w:lineRule="auto"/>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 xml:space="preserve">НЛ </w:t>
            </w:r>
            <w:r w:rsidRPr="00C62D22">
              <w:rPr>
                <w:rFonts w:ascii="Times New Roman" w:eastAsia="Times New Roman" w:hAnsi="Times New Roman" w:cs="Times New Roman"/>
                <w:color w:val="000000"/>
                <w:sz w:val="28"/>
                <w:szCs w:val="28"/>
                <w:lang w:val="uk-UA"/>
              </w:rPr>
              <w:t>8</w:t>
            </w:r>
          </w:p>
        </w:tc>
        <w:tc>
          <w:tcPr>
            <w:tcW w:w="3060"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0,1963</w:t>
            </w:r>
          </w:p>
        </w:tc>
        <w:tc>
          <w:tcPr>
            <w:tcW w:w="3331"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0,2225</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Аналіз вагових коефіцієнтів КФ (табл. 10.11) для ПК ІІ типу показує, що для хворих при використанні мініінвазивних операцій найбільш імовірний результат 1 (до 14 ліжко-днів без післяопераційних ускладнень), але вельми можливий і результат 2 (до 14 ліжко-днів з післяопераційними ускладненнями). </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При використанні лапаротомії найбільш імовірний результат 3 (до 21 ліжко-дня без післяопераційних ускладнень), також вельми ймовірний результат 1 (до 14 ліжко-днів без післяопераційних ускладнень) або результат 5 (до 30 ліжко-днів без післяопераційних ускладнень).</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10.1.3. Прогнозування ранніх післяопераційних ускладнень у хворих, оперованих із приводу псевдокіст підшлункової залози третього типу</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Прогнозування виду операцій для ПК ІІІ типу показало незалежність результатів від приналежності хворого до кластеру [48, 124]. Тому продовжимо розглядати тільки дві змінні: НЛ і вид операції. Узагальнені вихідні дані для ПК ІІІ типу наведені в табл. 10.12.</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10.12</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lastRenderedPageBreak/>
        <w:t>Кількість хворих для кожного виду операцій і результат лікування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9"/>
        <w:gridCol w:w="628"/>
        <w:gridCol w:w="629"/>
        <w:gridCol w:w="629"/>
        <w:gridCol w:w="629"/>
        <w:gridCol w:w="629"/>
        <w:gridCol w:w="629"/>
        <w:gridCol w:w="629"/>
        <w:gridCol w:w="629"/>
        <w:gridCol w:w="1080"/>
      </w:tblGrid>
      <w:tr w:rsidR="00C62D22" w:rsidRPr="00C62D22" w:rsidTr="00E83BB7">
        <w:tc>
          <w:tcPr>
            <w:tcW w:w="3969" w:type="dxa"/>
          </w:tcPr>
          <w:p w:rsidR="00C62D22" w:rsidRPr="00C62D22" w:rsidRDefault="00C62D22" w:rsidP="00C62D22">
            <w:pPr>
              <w:spacing w:after="0" w:line="360" w:lineRule="auto"/>
              <w:ind w:right="-89"/>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Наслідок лікування</w:t>
            </w:r>
          </w:p>
        </w:tc>
        <w:tc>
          <w:tcPr>
            <w:tcW w:w="628"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6</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c>
          <w:tcPr>
            <w:tcW w:w="10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Усього</w:t>
            </w:r>
          </w:p>
        </w:tc>
      </w:tr>
      <w:tr w:rsidR="00C62D22" w:rsidRPr="00C62D22" w:rsidTr="00E83BB7">
        <w:tc>
          <w:tcPr>
            <w:tcW w:w="3969"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Лапаротомія</w:t>
            </w:r>
          </w:p>
        </w:tc>
        <w:tc>
          <w:tcPr>
            <w:tcW w:w="628"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16</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0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30</w:t>
            </w:r>
          </w:p>
        </w:tc>
      </w:tr>
      <w:tr w:rsidR="00C62D22" w:rsidRPr="00C62D22" w:rsidTr="00E83BB7">
        <w:tc>
          <w:tcPr>
            <w:tcW w:w="3969" w:type="dxa"/>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Мініінвазивні втручання</w:t>
            </w:r>
          </w:p>
        </w:tc>
        <w:tc>
          <w:tcPr>
            <w:tcW w:w="628"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11</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w:t>
            </w:r>
          </w:p>
        </w:tc>
        <w:tc>
          <w:tcPr>
            <w:tcW w:w="629"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w:t>
            </w:r>
          </w:p>
        </w:tc>
        <w:tc>
          <w:tcPr>
            <w:tcW w:w="1080"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22</w:t>
            </w:r>
          </w:p>
        </w:tc>
      </w:tr>
    </w:tbl>
    <w:p w:rsidR="00C62D22" w:rsidRPr="00C62D22" w:rsidRDefault="00C62D22" w:rsidP="00C62D22">
      <w:pPr>
        <w:spacing w:after="0" w:line="24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24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24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Координати в 7 вимірному просторі наведені в табл. 10.13.</w:t>
      </w:r>
    </w:p>
    <w:p w:rsidR="00C62D22" w:rsidRPr="00C62D22" w:rsidRDefault="00C62D22" w:rsidP="00C62D22">
      <w:pPr>
        <w:spacing w:after="0" w:line="24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240" w:lineRule="auto"/>
        <w:jc w:val="right"/>
        <w:rPr>
          <w:rFonts w:ascii="Times New Roman" w:eastAsia="Times New Roman" w:hAnsi="Times New Roman" w:cs="Times New Roman"/>
          <w:i/>
          <w:sz w:val="28"/>
          <w:szCs w:val="28"/>
          <w:lang w:val="uk-UA"/>
        </w:rPr>
      </w:pPr>
    </w:p>
    <w:p w:rsidR="00C62D22" w:rsidRPr="00C62D22" w:rsidRDefault="00C62D22" w:rsidP="00C62D22">
      <w:pPr>
        <w:spacing w:after="0" w:line="24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10.13</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Координати стовпців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94"/>
        <w:gridCol w:w="1055"/>
        <w:gridCol w:w="1055"/>
        <w:gridCol w:w="1055"/>
        <w:gridCol w:w="1055"/>
        <w:gridCol w:w="1055"/>
        <w:gridCol w:w="1055"/>
        <w:gridCol w:w="1056"/>
      </w:tblGrid>
      <w:tr w:rsidR="00C62D22" w:rsidRPr="00C62D22" w:rsidTr="00E83BB7">
        <w:trPr>
          <w:trHeight w:val="255"/>
        </w:trPr>
        <w:tc>
          <w:tcPr>
            <w:tcW w:w="2694" w:type="dxa"/>
            <w:shd w:val="clear" w:color="auto" w:fill="auto"/>
            <w:noWrap/>
            <w:vAlign w:val="bottom"/>
          </w:tcPr>
          <w:p w:rsidR="00C62D22" w:rsidRPr="00C62D22" w:rsidRDefault="00C62D22" w:rsidP="00C62D22">
            <w:pPr>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Виміри</w:t>
            </w:r>
          </w:p>
        </w:tc>
        <w:tc>
          <w:tcPr>
            <w:tcW w:w="1055"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w:t>
            </w:r>
          </w:p>
        </w:tc>
        <w:tc>
          <w:tcPr>
            <w:tcW w:w="1055"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w:t>
            </w:r>
          </w:p>
        </w:tc>
        <w:tc>
          <w:tcPr>
            <w:tcW w:w="1055"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w:t>
            </w:r>
          </w:p>
        </w:tc>
        <w:tc>
          <w:tcPr>
            <w:tcW w:w="1055"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4</w:t>
            </w:r>
          </w:p>
        </w:tc>
        <w:tc>
          <w:tcPr>
            <w:tcW w:w="1055"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w:t>
            </w:r>
          </w:p>
        </w:tc>
        <w:tc>
          <w:tcPr>
            <w:tcW w:w="1055"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6</w:t>
            </w:r>
          </w:p>
        </w:tc>
        <w:tc>
          <w:tcPr>
            <w:tcW w:w="1056"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7</w:t>
            </w:r>
          </w:p>
        </w:tc>
      </w:tr>
      <w:tr w:rsidR="00C62D22" w:rsidRPr="00C62D22" w:rsidTr="00E83BB7">
        <w:trPr>
          <w:trHeight w:val="255"/>
        </w:trPr>
        <w:tc>
          <w:tcPr>
            <w:tcW w:w="2694" w:type="dxa"/>
            <w:shd w:val="clear" w:color="auto" w:fill="auto"/>
            <w:noWrap/>
            <w:vAlign w:val="center"/>
          </w:tcPr>
          <w:p w:rsidR="00C62D22" w:rsidRPr="00C62D22" w:rsidRDefault="00C62D22" w:rsidP="00C62D22">
            <w:pPr>
              <w:spacing w:after="0" w:line="360" w:lineRule="auto"/>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Лапаротомія</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-0,742</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1056"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r>
      <w:tr w:rsidR="00C62D22" w:rsidRPr="00C62D22" w:rsidTr="00E83BB7">
        <w:trPr>
          <w:trHeight w:val="255"/>
        </w:trPr>
        <w:tc>
          <w:tcPr>
            <w:tcW w:w="2694" w:type="dxa"/>
            <w:shd w:val="clear" w:color="auto" w:fill="auto"/>
            <w:noWrap/>
            <w:vAlign w:val="center"/>
          </w:tcPr>
          <w:p w:rsidR="00C62D22" w:rsidRPr="00C62D22" w:rsidRDefault="00C62D22" w:rsidP="00C62D22">
            <w:pPr>
              <w:spacing w:after="0" w:line="360" w:lineRule="auto"/>
              <w:ind w:right="-68"/>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Мініінвазивні втручання</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1,012</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c>
          <w:tcPr>
            <w:tcW w:w="1056"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0,000</w:t>
            </w:r>
          </w:p>
        </w:tc>
      </w:tr>
      <w:tr w:rsidR="00C62D22" w:rsidRPr="00C62D22" w:rsidTr="00E83BB7">
        <w:trPr>
          <w:trHeight w:val="255"/>
        </w:trPr>
        <w:tc>
          <w:tcPr>
            <w:tcW w:w="2694" w:type="dxa"/>
            <w:shd w:val="clear" w:color="auto" w:fill="auto"/>
            <w:noWrap/>
            <w:vAlign w:val="center"/>
          </w:tcPr>
          <w:p w:rsidR="00C62D22" w:rsidRPr="00C62D22" w:rsidRDefault="00C62D22" w:rsidP="00C62D22">
            <w:pPr>
              <w:spacing w:after="0" w:line="360" w:lineRule="auto"/>
              <w:ind w:right="-68"/>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1</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0,545</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0,865</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0,037</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0,022</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-0,255</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0,105</w:t>
            </w:r>
          </w:p>
        </w:tc>
        <w:tc>
          <w:tcPr>
            <w:tcW w:w="1056"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0,718</w:t>
            </w:r>
          </w:p>
        </w:tc>
      </w:tr>
      <w:tr w:rsidR="00C62D22" w:rsidRPr="00C62D22" w:rsidTr="00E83BB7">
        <w:trPr>
          <w:trHeight w:val="255"/>
        </w:trPr>
        <w:tc>
          <w:tcPr>
            <w:tcW w:w="2694" w:type="dxa"/>
            <w:shd w:val="clear" w:color="auto" w:fill="auto"/>
            <w:noWrap/>
            <w:vAlign w:val="center"/>
          </w:tcPr>
          <w:p w:rsidR="00C62D22" w:rsidRPr="00C62D22" w:rsidRDefault="00C62D22" w:rsidP="00C62D22">
            <w:pPr>
              <w:spacing w:after="0" w:line="360" w:lineRule="auto"/>
              <w:ind w:right="-68"/>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2</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1,142</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-1,253</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-2,134</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-1,143</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1,655</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0,032</w:t>
            </w:r>
          </w:p>
        </w:tc>
        <w:tc>
          <w:tcPr>
            <w:tcW w:w="1056"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-0,308</w:t>
            </w:r>
          </w:p>
        </w:tc>
      </w:tr>
      <w:tr w:rsidR="00C62D22" w:rsidRPr="00C62D22" w:rsidTr="00E83BB7">
        <w:trPr>
          <w:trHeight w:val="255"/>
        </w:trPr>
        <w:tc>
          <w:tcPr>
            <w:tcW w:w="2694" w:type="dxa"/>
            <w:shd w:val="clear" w:color="auto" w:fill="auto"/>
            <w:noWrap/>
            <w:vAlign w:val="center"/>
          </w:tcPr>
          <w:p w:rsidR="00C62D22" w:rsidRPr="00C62D22" w:rsidRDefault="00C62D22" w:rsidP="00C62D22">
            <w:pPr>
              <w:spacing w:after="0" w:line="360" w:lineRule="auto"/>
              <w:ind w:right="-68"/>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3</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-1,090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-0,196</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0,036</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-0,384</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0,040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-0,343</w:t>
            </w:r>
          </w:p>
        </w:tc>
        <w:tc>
          <w:tcPr>
            <w:tcW w:w="1056"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0,019</w:t>
            </w:r>
          </w:p>
        </w:tc>
      </w:tr>
      <w:tr w:rsidR="00C62D22" w:rsidRPr="00C62D22" w:rsidTr="00E83BB7">
        <w:trPr>
          <w:trHeight w:val="255"/>
        </w:trPr>
        <w:tc>
          <w:tcPr>
            <w:tcW w:w="2694" w:type="dxa"/>
            <w:shd w:val="clear" w:color="auto" w:fill="auto"/>
            <w:noWrap/>
            <w:vAlign w:val="center"/>
          </w:tcPr>
          <w:p w:rsidR="00C62D22" w:rsidRPr="00C62D22" w:rsidRDefault="00C62D22" w:rsidP="00C62D22">
            <w:pPr>
              <w:spacing w:after="0" w:line="360" w:lineRule="auto"/>
              <w:ind w:right="-68"/>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4</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0,269</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-0,420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3,089</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0,973</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3,382</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1,628</w:t>
            </w:r>
          </w:p>
        </w:tc>
        <w:tc>
          <w:tcPr>
            <w:tcW w:w="1056"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-0,386</w:t>
            </w:r>
          </w:p>
        </w:tc>
      </w:tr>
      <w:tr w:rsidR="00C62D22" w:rsidRPr="00C62D22" w:rsidTr="00E83BB7">
        <w:trPr>
          <w:trHeight w:val="255"/>
        </w:trPr>
        <w:tc>
          <w:tcPr>
            <w:tcW w:w="2694" w:type="dxa"/>
            <w:shd w:val="clear" w:color="auto" w:fill="auto"/>
            <w:noWrap/>
            <w:vAlign w:val="center"/>
          </w:tcPr>
          <w:p w:rsidR="00C62D22" w:rsidRPr="00C62D22" w:rsidRDefault="00C62D22" w:rsidP="00C62D22">
            <w:pPr>
              <w:spacing w:after="0" w:line="360" w:lineRule="auto"/>
              <w:ind w:right="-68"/>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5</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-0,314</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-0,202</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-0,868</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0,806</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-1,421</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3,098</w:t>
            </w:r>
          </w:p>
        </w:tc>
        <w:tc>
          <w:tcPr>
            <w:tcW w:w="1056"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-1,772</w:t>
            </w:r>
          </w:p>
        </w:tc>
      </w:tr>
      <w:tr w:rsidR="00C62D22" w:rsidRPr="00C62D22" w:rsidTr="00E83BB7">
        <w:trPr>
          <w:trHeight w:val="255"/>
        </w:trPr>
        <w:tc>
          <w:tcPr>
            <w:tcW w:w="2694" w:type="dxa"/>
            <w:shd w:val="clear" w:color="auto" w:fill="auto"/>
            <w:noWrap/>
            <w:vAlign w:val="center"/>
          </w:tcPr>
          <w:p w:rsidR="00C62D22" w:rsidRPr="00C62D22" w:rsidRDefault="00C62D22" w:rsidP="00C62D22">
            <w:pPr>
              <w:spacing w:after="0" w:line="360" w:lineRule="auto"/>
              <w:ind w:right="-68"/>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6</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2,016</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-3,889</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3,347</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-3,035</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-3,170</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0,001</w:t>
            </w:r>
          </w:p>
        </w:tc>
        <w:tc>
          <w:tcPr>
            <w:tcW w:w="1056"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0,056</w:t>
            </w:r>
          </w:p>
        </w:tc>
      </w:tr>
      <w:tr w:rsidR="00C62D22" w:rsidRPr="00C62D22" w:rsidTr="00E83BB7">
        <w:trPr>
          <w:trHeight w:val="255"/>
        </w:trPr>
        <w:tc>
          <w:tcPr>
            <w:tcW w:w="2694" w:type="dxa"/>
            <w:shd w:val="clear" w:color="auto" w:fill="auto"/>
            <w:noWrap/>
            <w:vAlign w:val="center"/>
          </w:tcPr>
          <w:p w:rsidR="00C62D22" w:rsidRPr="00C62D22" w:rsidRDefault="00C62D22" w:rsidP="00C62D22">
            <w:pPr>
              <w:spacing w:after="0" w:line="360" w:lineRule="auto"/>
              <w:ind w:right="-68"/>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7</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0,851</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0,848</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0,448</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0,678</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-0,235</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-2,083</w:t>
            </w:r>
          </w:p>
        </w:tc>
        <w:tc>
          <w:tcPr>
            <w:tcW w:w="1056"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-3,098</w:t>
            </w:r>
          </w:p>
        </w:tc>
      </w:tr>
      <w:tr w:rsidR="00C62D22" w:rsidRPr="00C62D22" w:rsidTr="00E83BB7">
        <w:trPr>
          <w:trHeight w:val="255"/>
        </w:trPr>
        <w:tc>
          <w:tcPr>
            <w:tcW w:w="2694" w:type="dxa"/>
            <w:shd w:val="clear" w:color="auto" w:fill="auto"/>
            <w:noWrap/>
            <w:vAlign w:val="center"/>
          </w:tcPr>
          <w:p w:rsidR="00C62D22" w:rsidRPr="00C62D22" w:rsidRDefault="00C62D22" w:rsidP="00C62D22">
            <w:pPr>
              <w:spacing w:after="0" w:line="360" w:lineRule="auto"/>
              <w:ind w:right="-68"/>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8</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0,269</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-2,554</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-0,543</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3,852</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-0,563</w:t>
            </w:r>
          </w:p>
        </w:tc>
        <w:tc>
          <w:tcPr>
            <w:tcW w:w="105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-1,129</w:t>
            </w:r>
          </w:p>
        </w:tc>
        <w:tc>
          <w:tcPr>
            <w:tcW w:w="1056"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1,288</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ab/>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На рис. 10.6. показана двовимірна проекція розглянутих 10-ти крапок, що задаються зазначеними в табл. 10.13. координатами.</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lastRenderedPageBreak/>
        <w:drawing>
          <wp:inline distT="0" distB="0" distL="0" distR="0">
            <wp:extent cx="5715000" cy="3581400"/>
            <wp:effectExtent l="19050" t="0" r="0" b="0"/>
            <wp:docPr id="529" name="Рисунок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9"/>
                    <pic:cNvPicPr>
                      <a:picLocks noChangeAspect="1" noChangeArrowheads="1"/>
                    </pic:cNvPicPr>
                  </pic:nvPicPr>
                  <pic:blipFill>
                    <a:blip r:embed="rId127"/>
                    <a:srcRect/>
                    <a:stretch>
                      <a:fillRect/>
                    </a:stretch>
                  </pic:blipFill>
                  <pic:spPr bwMode="auto">
                    <a:xfrm>
                      <a:off x="0" y="0"/>
                      <a:ext cx="5715000" cy="358140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443" type="#_x0000_t202" style="position:absolute;left:0;text-align:left;margin-left:-7.8pt;margin-top:11.8pt;width:502.8pt;height:57.75pt;z-index:251949056" stroked="f">
            <v:textbox style="mso-next-textbox:#_x0000_s1443">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10.6. Карта-проекція взаємозв'язків між наслідками лікування й видом операцій для ПК ІІІ типу</w:t>
                  </w:r>
                </w:p>
                <w:p w:rsidR="00C62D22" w:rsidRPr="005340FE" w:rsidRDefault="00C62D22" w:rsidP="00C62D22">
                  <w:pPr>
                    <w:jc w:val="right"/>
                    <w:rPr>
                      <w:lang w:val="uk-UA"/>
                    </w:rPr>
                  </w:pP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Відстані в Евклідовій метриці показані в табл. 10.14.</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10.14</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Відстані між 10 крапками (лапаротомія, мініінвазивні втручання, результат лікування 1-8) у 7-вимірному просторі</w:t>
      </w:r>
    </w:p>
    <w:tbl>
      <w:tblPr>
        <w:tblW w:w="9507" w:type="dxa"/>
        <w:jc w:val="center"/>
        <w:tblInd w:w="-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466"/>
        <w:gridCol w:w="2485"/>
        <w:gridCol w:w="3556"/>
      </w:tblGrid>
      <w:tr w:rsidR="00C62D22" w:rsidRPr="00C62D22" w:rsidTr="00E83BB7">
        <w:trPr>
          <w:trHeight w:val="255"/>
          <w:jc w:val="center"/>
        </w:trPr>
        <w:tc>
          <w:tcPr>
            <w:tcW w:w="3466" w:type="dxa"/>
            <w:shd w:val="clear" w:color="auto" w:fill="auto"/>
            <w:noWrap/>
            <w:vAlign w:val="bottom"/>
          </w:tcPr>
          <w:p w:rsidR="00C62D22" w:rsidRPr="00C62D22" w:rsidRDefault="00C62D22" w:rsidP="00C62D22">
            <w:pPr>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Наслідки лікування</w:t>
            </w:r>
          </w:p>
        </w:tc>
        <w:tc>
          <w:tcPr>
            <w:tcW w:w="2485"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Лапаротомія</w:t>
            </w:r>
          </w:p>
        </w:tc>
        <w:tc>
          <w:tcPr>
            <w:tcW w:w="3556"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Мініінвазивні втручання</w:t>
            </w:r>
          </w:p>
        </w:tc>
      </w:tr>
      <w:tr w:rsidR="00C62D22" w:rsidRPr="00C62D22" w:rsidTr="00E83BB7">
        <w:trPr>
          <w:trHeight w:val="255"/>
          <w:jc w:val="center"/>
        </w:trPr>
        <w:tc>
          <w:tcPr>
            <w:tcW w:w="3466"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1</w:t>
            </w:r>
          </w:p>
        </w:tc>
        <w:tc>
          <w:tcPr>
            <w:tcW w:w="248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1,731</w:t>
            </w:r>
          </w:p>
        </w:tc>
        <w:tc>
          <w:tcPr>
            <w:tcW w:w="3556"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1,249</w:t>
            </w:r>
          </w:p>
        </w:tc>
      </w:tr>
      <w:tr w:rsidR="00C62D22" w:rsidRPr="00C62D22" w:rsidTr="00E83BB7">
        <w:trPr>
          <w:trHeight w:val="255"/>
          <w:jc w:val="center"/>
        </w:trPr>
        <w:tc>
          <w:tcPr>
            <w:tcW w:w="3466"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2</w:t>
            </w:r>
          </w:p>
        </w:tc>
        <w:tc>
          <w:tcPr>
            <w:tcW w:w="248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3,717</w:t>
            </w:r>
          </w:p>
        </w:tc>
        <w:tc>
          <w:tcPr>
            <w:tcW w:w="3556"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3,206</w:t>
            </w:r>
          </w:p>
        </w:tc>
      </w:tr>
      <w:tr w:rsidR="00C62D22" w:rsidRPr="00C62D22" w:rsidTr="00E83BB7">
        <w:trPr>
          <w:trHeight w:val="255"/>
          <w:jc w:val="center"/>
        </w:trPr>
        <w:tc>
          <w:tcPr>
            <w:tcW w:w="3466"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3</w:t>
            </w:r>
          </w:p>
        </w:tc>
        <w:tc>
          <w:tcPr>
            <w:tcW w:w="248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0,654</w:t>
            </w:r>
          </w:p>
        </w:tc>
        <w:tc>
          <w:tcPr>
            <w:tcW w:w="3556"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2,174</w:t>
            </w:r>
          </w:p>
        </w:tc>
      </w:tr>
      <w:tr w:rsidR="00C62D22" w:rsidRPr="00C62D22" w:rsidTr="00E83BB7">
        <w:trPr>
          <w:trHeight w:val="255"/>
          <w:jc w:val="center"/>
        </w:trPr>
        <w:tc>
          <w:tcPr>
            <w:tcW w:w="3466"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4</w:t>
            </w:r>
          </w:p>
        </w:tc>
        <w:tc>
          <w:tcPr>
            <w:tcW w:w="248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5,092</w:t>
            </w:r>
          </w:p>
        </w:tc>
        <w:tc>
          <w:tcPr>
            <w:tcW w:w="3556"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5,045</w:t>
            </w:r>
          </w:p>
        </w:tc>
      </w:tr>
      <w:tr w:rsidR="00C62D22" w:rsidRPr="00C62D22" w:rsidTr="00E83BB7">
        <w:trPr>
          <w:trHeight w:val="255"/>
          <w:jc w:val="center"/>
        </w:trPr>
        <w:tc>
          <w:tcPr>
            <w:tcW w:w="3466"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5</w:t>
            </w:r>
          </w:p>
        </w:tc>
        <w:tc>
          <w:tcPr>
            <w:tcW w:w="248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4,048</w:t>
            </w:r>
          </w:p>
        </w:tc>
        <w:tc>
          <w:tcPr>
            <w:tcW w:w="3556"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4,238</w:t>
            </w:r>
          </w:p>
        </w:tc>
      </w:tr>
      <w:tr w:rsidR="00C62D22" w:rsidRPr="00C62D22" w:rsidTr="00E83BB7">
        <w:trPr>
          <w:trHeight w:val="255"/>
          <w:jc w:val="center"/>
        </w:trPr>
        <w:tc>
          <w:tcPr>
            <w:tcW w:w="3466"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6</w:t>
            </w:r>
          </w:p>
        </w:tc>
        <w:tc>
          <w:tcPr>
            <w:tcW w:w="248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7,294</w:t>
            </w:r>
          </w:p>
        </w:tc>
        <w:tc>
          <w:tcPr>
            <w:tcW w:w="3556"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6,826</w:t>
            </w:r>
          </w:p>
        </w:tc>
      </w:tr>
      <w:tr w:rsidR="00C62D22" w:rsidRPr="00C62D22" w:rsidTr="00E83BB7">
        <w:trPr>
          <w:trHeight w:val="255"/>
          <w:jc w:val="center"/>
        </w:trPr>
        <w:tc>
          <w:tcPr>
            <w:tcW w:w="3466"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7</w:t>
            </w:r>
          </w:p>
        </w:tc>
        <w:tc>
          <w:tcPr>
            <w:tcW w:w="248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4,232</w:t>
            </w:r>
          </w:p>
        </w:tc>
        <w:tc>
          <w:tcPr>
            <w:tcW w:w="3556"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3,924</w:t>
            </w:r>
          </w:p>
        </w:tc>
      </w:tr>
      <w:tr w:rsidR="00C62D22" w:rsidRPr="00C62D22" w:rsidTr="00E83BB7">
        <w:trPr>
          <w:trHeight w:val="255"/>
          <w:jc w:val="center"/>
        </w:trPr>
        <w:tc>
          <w:tcPr>
            <w:tcW w:w="3466"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8</w:t>
            </w:r>
          </w:p>
        </w:tc>
        <w:tc>
          <w:tcPr>
            <w:tcW w:w="2485"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5,092</w:t>
            </w:r>
          </w:p>
        </w:tc>
        <w:tc>
          <w:tcPr>
            <w:tcW w:w="3556"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5,045</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i/>
          <w:sz w:val="28"/>
          <w:szCs w:val="28"/>
          <w:lang w:val="uk-UA"/>
        </w:rPr>
      </w:pPr>
      <w:r w:rsidRPr="00C62D22">
        <w:rPr>
          <w:rFonts w:ascii="Times New Roman" w:eastAsia="Times New Roman" w:hAnsi="Times New Roman" w:cs="Times New Roman"/>
          <w:sz w:val="28"/>
          <w:szCs w:val="28"/>
          <w:lang w:val="uk-UA"/>
        </w:rPr>
        <w:lastRenderedPageBreak/>
        <w:t>Зворотні відстані, які відповідають вагам КФ, наведені в табл. 10.15.</w:t>
      </w: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10.15</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Зворотні відстані (ваги) між 10 крапками</w:t>
      </w:r>
    </w:p>
    <w:tbl>
      <w:tblPr>
        <w:tblW w:w="9400" w:type="dxa"/>
        <w:jc w:val="center"/>
        <w:tblInd w:w="-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280"/>
        <w:gridCol w:w="2522"/>
        <w:gridCol w:w="3598"/>
      </w:tblGrid>
      <w:tr w:rsidR="00C62D22" w:rsidRPr="00C62D22" w:rsidTr="00E83BB7">
        <w:trPr>
          <w:trHeight w:val="255"/>
          <w:jc w:val="center"/>
        </w:trPr>
        <w:tc>
          <w:tcPr>
            <w:tcW w:w="3280" w:type="dxa"/>
            <w:shd w:val="clear" w:color="auto" w:fill="auto"/>
            <w:noWrap/>
            <w:vAlign w:val="center"/>
          </w:tcPr>
          <w:p w:rsidR="00C62D22" w:rsidRPr="00C62D22" w:rsidRDefault="00C62D22" w:rsidP="00C62D22">
            <w:pPr>
              <w:spacing w:after="0" w:line="360" w:lineRule="auto"/>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Наслідок лікування</w:t>
            </w:r>
          </w:p>
        </w:tc>
        <w:tc>
          <w:tcPr>
            <w:tcW w:w="2522"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Лапаротомія</w:t>
            </w:r>
          </w:p>
        </w:tc>
        <w:tc>
          <w:tcPr>
            <w:tcW w:w="3598"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Мініінвазивні втручання</w:t>
            </w:r>
          </w:p>
        </w:tc>
      </w:tr>
      <w:tr w:rsidR="00C62D22" w:rsidRPr="00C62D22" w:rsidTr="00E83BB7">
        <w:trPr>
          <w:trHeight w:val="255"/>
          <w:jc w:val="center"/>
        </w:trPr>
        <w:tc>
          <w:tcPr>
            <w:tcW w:w="328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1</w:t>
            </w:r>
          </w:p>
        </w:tc>
        <w:tc>
          <w:tcPr>
            <w:tcW w:w="2522"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0,5776</w:t>
            </w:r>
          </w:p>
        </w:tc>
        <w:tc>
          <w:tcPr>
            <w:tcW w:w="3598"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0,8005</w:t>
            </w:r>
          </w:p>
        </w:tc>
      </w:tr>
      <w:tr w:rsidR="00C62D22" w:rsidRPr="00C62D22" w:rsidTr="00E83BB7">
        <w:trPr>
          <w:trHeight w:val="255"/>
          <w:jc w:val="center"/>
        </w:trPr>
        <w:tc>
          <w:tcPr>
            <w:tcW w:w="328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2</w:t>
            </w:r>
          </w:p>
        </w:tc>
        <w:tc>
          <w:tcPr>
            <w:tcW w:w="2522"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0,2691</w:t>
            </w:r>
          </w:p>
        </w:tc>
        <w:tc>
          <w:tcPr>
            <w:tcW w:w="3598"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0,3119</w:t>
            </w:r>
          </w:p>
        </w:tc>
      </w:tr>
      <w:tr w:rsidR="00C62D22" w:rsidRPr="00C62D22" w:rsidTr="00E83BB7">
        <w:trPr>
          <w:trHeight w:val="255"/>
          <w:jc w:val="center"/>
        </w:trPr>
        <w:tc>
          <w:tcPr>
            <w:tcW w:w="328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3</w:t>
            </w:r>
          </w:p>
        </w:tc>
        <w:tc>
          <w:tcPr>
            <w:tcW w:w="2522"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1,5283</w:t>
            </w:r>
          </w:p>
        </w:tc>
        <w:tc>
          <w:tcPr>
            <w:tcW w:w="3598"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0,4600</w:t>
            </w:r>
          </w:p>
        </w:tc>
      </w:tr>
      <w:tr w:rsidR="00C62D22" w:rsidRPr="00C62D22" w:rsidTr="00E83BB7">
        <w:trPr>
          <w:trHeight w:val="255"/>
          <w:jc w:val="center"/>
        </w:trPr>
        <w:tc>
          <w:tcPr>
            <w:tcW w:w="328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4</w:t>
            </w:r>
          </w:p>
        </w:tc>
        <w:tc>
          <w:tcPr>
            <w:tcW w:w="2522"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0,1964</w:t>
            </w:r>
          </w:p>
        </w:tc>
        <w:tc>
          <w:tcPr>
            <w:tcW w:w="3598"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0,1982</w:t>
            </w:r>
          </w:p>
        </w:tc>
      </w:tr>
      <w:tr w:rsidR="00C62D22" w:rsidRPr="00C62D22" w:rsidTr="00E83BB7">
        <w:trPr>
          <w:trHeight w:val="255"/>
          <w:jc w:val="center"/>
        </w:trPr>
        <w:tc>
          <w:tcPr>
            <w:tcW w:w="328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5</w:t>
            </w:r>
          </w:p>
        </w:tc>
        <w:tc>
          <w:tcPr>
            <w:tcW w:w="2522"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0,2470</w:t>
            </w:r>
          </w:p>
        </w:tc>
        <w:tc>
          <w:tcPr>
            <w:tcW w:w="3598"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0,2360</w:t>
            </w:r>
          </w:p>
        </w:tc>
      </w:tr>
      <w:tr w:rsidR="00C62D22" w:rsidRPr="00C62D22" w:rsidTr="00E83BB7">
        <w:trPr>
          <w:trHeight w:val="255"/>
          <w:jc w:val="center"/>
        </w:trPr>
        <w:tc>
          <w:tcPr>
            <w:tcW w:w="328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6</w:t>
            </w:r>
          </w:p>
        </w:tc>
        <w:tc>
          <w:tcPr>
            <w:tcW w:w="2522"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0,1371</w:t>
            </w:r>
          </w:p>
        </w:tc>
        <w:tc>
          <w:tcPr>
            <w:tcW w:w="3598"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0,1465</w:t>
            </w:r>
          </w:p>
        </w:tc>
      </w:tr>
      <w:tr w:rsidR="00C62D22" w:rsidRPr="00C62D22" w:rsidTr="00E83BB7">
        <w:trPr>
          <w:trHeight w:val="255"/>
          <w:jc w:val="center"/>
        </w:trPr>
        <w:tc>
          <w:tcPr>
            <w:tcW w:w="328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7</w:t>
            </w:r>
          </w:p>
        </w:tc>
        <w:tc>
          <w:tcPr>
            <w:tcW w:w="2522"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0,2363</w:t>
            </w:r>
          </w:p>
        </w:tc>
        <w:tc>
          <w:tcPr>
            <w:tcW w:w="3598"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0,2549</w:t>
            </w:r>
          </w:p>
        </w:tc>
      </w:tr>
      <w:tr w:rsidR="00C62D22" w:rsidRPr="00C62D22" w:rsidTr="00E83BB7">
        <w:trPr>
          <w:trHeight w:val="255"/>
          <w:jc w:val="center"/>
        </w:trPr>
        <w:tc>
          <w:tcPr>
            <w:tcW w:w="3280" w:type="dxa"/>
            <w:shd w:val="clear" w:color="auto" w:fill="auto"/>
            <w:noWrap/>
            <w:vAlign w:val="center"/>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НЛ 8</w:t>
            </w:r>
          </w:p>
        </w:tc>
        <w:tc>
          <w:tcPr>
            <w:tcW w:w="2522"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0,1964</w:t>
            </w:r>
          </w:p>
        </w:tc>
        <w:tc>
          <w:tcPr>
            <w:tcW w:w="3598" w:type="dxa"/>
            <w:shd w:val="clear" w:color="auto" w:fill="auto"/>
            <w:noWrap/>
            <w:vAlign w:val="bottom"/>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0,1982</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Вибір виду операції залежно від НЛ, як і раніше, визначається максимальним значенням КФ у стовпці. Проведення лапаротомії для ПК ІІІ типу з максимальною ймовірністю закінчиться результатом 3 (до 21 ліжко-дня без післяопераційних ускладнень) або результатом 1 (до 14 ліжко-дня без післяопераційних ускладнень) із втричі меншою ймовірністю. При проведенні мініінвазивних операцій характерний результат 1 (до 14 ліжко-дня без післяопераційних ускладнень) або 3 ( у два рази меншою ймовірністю) [124].</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З метою прогнозування післяопераційних ускладнень при операціях із приводу панкреатиту та його ускладнень, запропонований «Спосіб прогнозування ускладненого перебігу післяопераційного панкреатиту» (Пат. України № 100586 від 27.07.2015), який включає оцінку параметрів крові: рівнів Іl-10, Іl-18, ГПО-1 та МДА, розрахування коефіцієнта токсемії (КТ) за формулою 10.3.</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tabs>
          <w:tab w:val="center" w:pos="5102"/>
          <w:tab w:val="right" w:pos="10205"/>
        </w:tabs>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ab/>
        <w:t>КТ= (δ Іl-18/ δ Іl-10 х δ Іl-18) / (δ ГПО-1 х δ МДА);</w:t>
      </w:r>
      <w:r w:rsidRPr="00C62D22">
        <w:rPr>
          <w:rFonts w:ascii="Times New Roman" w:eastAsia="Times New Roman" w:hAnsi="Times New Roman" w:cs="Times New Roman"/>
          <w:sz w:val="28"/>
          <w:szCs w:val="28"/>
          <w:lang w:val="uk-UA"/>
        </w:rPr>
        <w:tab/>
        <w:t>(10.3)</w:t>
      </w:r>
    </w:p>
    <w:p w:rsidR="00C62D22" w:rsidRPr="00C62D22" w:rsidRDefault="00C62D22" w:rsidP="00C62D22">
      <w:pPr>
        <w:spacing w:after="0" w:line="360" w:lineRule="auto"/>
        <w:jc w:val="right"/>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де КТ – коефіцієнт токсемії, Іl-18 – інтерлейкін – 18, Іl-10 – інтерлейкін – 10, ГПО-1 – глутатіонпероксидаза-1, МДА – малоновий діальдегід;</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та при збільшенні КТ на 30% від попередніх даних, прогнозували тяжкий перебіг панкреатиту та розвиток післяопераційних ускладнень.</w:t>
      </w:r>
    </w:p>
    <w:p w:rsidR="00C62D22" w:rsidRPr="00C62D22" w:rsidRDefault="00C62D22" w:rsidP="00C62D22">
      <w:pPr>
        <w:spacing w:after="0" w:line="360" w:lineRule="auto"/>
        <w:ind w:firstLine="567"/>
        <w:jc w:val="both"/>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Спосіб виконували таким чином.</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При надходженні хворого з ускладненим панкреатитом до хірургічного стаціонару визначають клінічні прояви захворювання, параметри гемодинаміки та лабораторні показники (Іl-18, Іl-10, ГПО-1, МДА, трансферази, глюкозу, кількість лейкоцитів, лейкоцитарну формулу, сечовину, креатинін та ін.), знаходять значущі коефіцієнти кореляції між досліджуваними показниками. Дослідження повторюють через 48-72 години на тлі інтенсивної терапії панкреатиту, визначають коефіцієнт токсемії та знов знаходять значущі коефіцієнти кореляції між досліджуваними показниками. При підвищенні коефіцієнта токсемії на 30% від попередніх даних, прогнозують тяжкий перебіг панкреатиту та розвиток післяопераційних ускладнень.</w:t>
      </w:r>
    </w:p>
    <w:p w:rsidR="00C62D22" w:rsidRPr="00C62D22" w:rsidRDefault="00C62D22" w:rsidP="00C62D22">
      <w:pPr>
        <w:spacing w:after="0" w:line="360" w:lineRule="auto"/>
        <w:ind w:firstLine="567"/>
        <w:jc w:val="both"/>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 xml:space="preserve">Спосіб ілюструють такі клінічні приклади.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Хворий К, 32 роки, госпіталізований до хірургічного відділення через 6 діб від початку захворювання з діагнозом: хронічний фіброзно-дегенеративний панкреатит, ПК голівки-тіла ПЗ із кровотечею в порожнину кісти та розривом у вільну черевну порожнину, гемоперитонеум. При надходженні стан хворого тяжкий. Іl-18 = 297,2 пг/мл, Іl-10 = 91,7 пг/мл, ГПО = 12,6 пг/мл, МДА = 4,82 мкмоль/л. Коефіцієнт токсемії КТ = (δ Іl-18/ δ Іl-10 х δ Іl-18) / (δ ГПО х δ МДА) = (297,2/91,7 х 297,2) / (12,6 х 4,82) = 15,86. Хворому виконано дистальну резекцію підшлункової залози з гастропанкреатоцистоанастомозом. При проведенні консервативної терапії коефіцієнт токсемії збільшився на 10% від попередніх даних. Стан хворого покращився, хворий у задовільному стані виписаний із стаціонару в задовільному стані.</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Хворий В, 64 роки, госпіталізований до хірургічного відділення через 4 доби від початку захворювання з діагнозом: гострий інфікований панкреонекроз, гостра постнекротична ПК ПЗ із нагноєнням. При надходженні стан хворого тяжкий. Іl-18 </w:t>
      </w:r>
      <w:r w:rsidRPr="00C62D22">
        <w:rPr>
          <w:rFonts w:ascii="Times New Roman" w:eastAsia="Times New Roman" w:hAnsi="Times New Roman" w:cs="Times New Roman"/>
          <w:sz w:val="28"/>
          <w:szCs w:val="28"/>
          <w:lang w:val="uk-UA"/>
        </w:rPr>
        <w:lastRenderedPageBreak/>
        <w:t>= 398,6 пг/мл, Іl-10 = 73,5 пг/мл, ГПО = 11,3 пг/мл, МДА = 5,07 мкмоль/л. Коефіцієнт токсемії КТ = (δ Іl-18/ δ Іl-10 х δ Іl-18) / (δ ГПО х δ МДА) = (398,6/73,5 х 398,6) / (11,3 х 5,07) = 37,73. Хворому виконано розкриття та зовнішнє дренування ПК. При проведенні консервативної терапії коефіцієнт токсемії збільшився на 32 % від попередніх даних. Прогнозуючи погіршення перебігу захворювання та розвиток післяопераційних ускладнень через 3 доби, виконано релапаратомію, НСЕ, ОБС. У подальшому стан хворого на тлі інтенсивної терапії поступово покращився, хворий у задовільному стані виписаний із стаціонару  через 31 добу.</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Таким чином, запропонований спосіб прогнозування ускладненого перебігу післяопераційного панкреатиту дозволив знизити кількість ускладнень та летальність до 0,8%.</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10.2. Визначення якості життя хворих, оперованих із приводу ускладнених псевдокіст підшлункової залози</w:t>
      </w:r>
    </w:p>
    <w:p w:rsidR="00C62D22" w:rsidRPr="00C62D22" w:rsidRDefault="00C62D22" w:rsidP="00C62D22">
      <w:pPr>
        <w:spacing w:after="0" w:line="360" w:lineRule="auto"/>
        <w:jc w:val="both"/>
        <w:rPr>
          <w:rFonts w:ascii="Times New Roman" w:eastAsia="Times New Roman" w:hAnsi="Times New Roman" w:cs="Times New Roman"/>
          <w:b/>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При статистичному аналізу анкетування 120 хворих, які перенесли операції з приводу ускладнених ПК ПЗ, за допомогою опитувача SF-36 вирішувалися два завдання. Перше й найпростіше завдання – це оцінка значущості відмінностей бальних оцінок 8 показників залежно від типу ПК і виду проведеної операції. Залежно від виду розподілу показників і обсягів вибірок у кожній групі таке завдання може вирішуватися різними способами. </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У цій роботі значимість відмінностей між середніми в разі множинних порівнянь визначалася за допомогою двофакторного дисперсійного аналізу [253, 256]. Такий вибір був зумовлений низкою причин. По-перше, навіть на невеликих вибірках такий аналіз дає більш значущі результати, ніж простий t-критерій. При цьому порушення припущень про нормальність розподілів і рівність дисперсій не є критичними, оскільки дисперсійний аналіз є робастим по відношенню до них. І, по-друге, двофакторний дисперсійний аналіз дозволяє оцінити не тільки вплив кожного фактора на мінливість показника, але й врахувати ефект взаємодії факторів. Як </w:t>
      </w:r>
      <w:r w:rsidRPr="00C62D22">
        <w:rPr>
          <w:rFonts w:ascii="Times New Roman" w:eastAsia="Times New Roman" w:hAnsi="Times New Roman" w:cs="Times New Roman"/>
          <w:sz w:val="28"/>
          <w:szCs w:val="28"/>
          <w:lang w:val="uk-UA"/>
        </w:rPr>
        <w:lastRenderedPageBreak/>
        <w:t>завжди, нульова гіпотеза при порівнянні груп приймалася при рівні значущості р &lt;0,05.</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Порівняння середніх 8 показників опитувача SF-36 наведені в табл. 10.16.</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10.16</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Середні та помилки середніх у групах ПК і типів операцій</w:t>
      </w:r>
    </w:p>
    <w:tbl>
      <w:tblPr>
        <w:tblW w:w="10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268"/>
        <w:gridCol w:w="1320"/>
        <w:gridCol w:w="1320"/>
        <w:gridCol w:w="1320"/>
        <w:gridCol w:w="1320"/>
        <w:gridCol w:w="1320"/>
        <w:gridCol w:w="1320"/>
      </w:tblGrid>
      <w:tr w:rsidR="00C62D22" w:rsidRPr="00C62D22" w:rsidTr="00E83BB7">
        <w:trPr>
          <w:trHeight w:val="282"/>
        </w:trPr>
        <w:tc>
          <w:tcPr>
            <w:tcW w:w="2268"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Тип ПК</w:t>
            </w:r>
          </w:p>
        </w:tc>
        <w:tc>
          <w:tcPr>
            <w:tcW w:w="2640" w:type="dxa"/>
            <w:gridSpan w:val="2"/>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І</w:t>
            </w:r>
          </w:p>
        </w:tc>
        <w:tc>
          <w:tcPr>
            <w:tcW w:w="2640" w:type="dxa"/>
            <w:gridSpan w:val="2"/>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ІІ</w:t>
            </w:r>
          </w:p>
        </w:tc>
        <w:tc>
          <w:tcPr>
            <w:tcW w:w="2640" w:type="dxa"/>
            <w:gridSpan w:val="2"/>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ІІІ</w:t>
            </w:r>
          </w:p>
        </w:tc>
      </w:tr>
      <w:tr w:rsidR="00C62D22" w:rsidRPr="00C62D22" w:rsidTr="00E83BB7">
        <w:trPr>
          <w:trHeight w:val="255"/>
        </w:trPr>
        <w:tc>
          <w:tcPr>
            <w:tcW w:w="226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Тип операції</w:t>
            </w:r>
          </w:p>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(лапаротомія-1, мініінвазивні-2)</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 (n=14)</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 (n=13)</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 (n=24)</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 (n=20)</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 (n=36)</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 (n=11)</w:t>
            </w:r>
          </w:p>
        </w:tc>
      </w:tr>
      <w:tr w:rsidR="00C62D22" w:rsidRPr="00C62D22" w:rsidTr="00E83BB7">
        <w:trPr>
          <w:trHeight w:val="661"/>
        </w:trPr>
        <w:tc>
          <w:tcPr>
            <w:tcW w:w="226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Фізичне функціонування</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55,4±3,3</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77,2±5*</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51,7±2,9</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77,8±2,8*</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72,8±2,9</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66,8±3,6</w:t>
            </w:r>
          </w:p>
        </w:tc>
      </w:tr>
      <w:tr w:rsidR="00C62D22" w:rsidRPr="00C62D22" w:rsidTr="00E83BB7">
        <w:trPr>
          <w:trHeight w:val="720"/>
        </w:trPr>
        <w:tc>
          <w:tcPr>
            <w:tcW w:w="226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Рольове функціонування</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10,7±3,4</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25±9,8</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5,2±2,6</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20±8,2</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16,7±4,7</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4,6±3,1</w:t>
            </w:r>
          </w:p>
        </w:tc>
      </w:tr>
      <w:tr w:rsidR="00C62D22" w:rsidRPr="00C62D22" w:rsidTr="00E83BB7">
        <w:trPr>
          <w:trHeight w:val="335"/>
        </w:trPr>
        <w:tc>
          <w:tcPr>
            <w:tcW w:w="226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Біль</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31,8±3,6</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20,4±3,5</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34,8±3,8</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30,5±3,5</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30,3±4,4</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32,7±5,1</w:t>
            </w:r>
          </w:p>
        </w:tc>
      </w:tr>
      <w:tr w:rsidR="00C62D22" w:rsidRPr="00C62D22" w:rsidTr="00E83BB7">
        <w:trPr>
          <w:trHeight w:val="720"/>
        </w:trPr>
        <w:tc>
          <w:tcPr>
            <w:tcW w:w="226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Загальне здоров’я</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42,9±1,6</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47,7±1,8</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46±1,6</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56±2,6*</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52,4±2,5*</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44,1±2,8</w:t>
            </w:r>
          </w:p>
        </w:tc>
      </w:tr>
      <w:tr w:rsidR="00C62D22" w:rsidRPr="00C62D22" w:rsidTr="00E83BB7">
        <w:trPr>
          <w:trHeight w:val="510"/>
        </w:trPr>
        <w:tc>
          <w:tcPr>
            <w:tcW w:w="226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Життєздатність</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53,6±1,5</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64,2±3</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45,8±2,9</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54±3</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59,7±3</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50,9±3,5</w:t>
            </w:r>
          </w:p>
        </w:tc>
      </w:tr>
      <w:tr w:rsidR="00C62D22" w:rsidRPr="00C62D22" w:rsidTr="00E83BB7">
        <w:trPr>
          <w:trHeight w:val="720"/>
        </w:trPr>
        <w:tc>
          <w:tcPr>
            <w:tcW w:w="226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Соціальне функціонування</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50,0±3,2</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60,6±2,8*</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51,6±1,9</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60,6±2,6*</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51,7±2</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60,2±2,8*</w:t>
            </w:r>
          </w:p>
        </w:tc>
      </w:tr>
      <w:tr w:rsidR="00C62D22" w:rsidRPr="00C62D22" w:rsidTr="00E83BB7">
        <w:trPr>
          <w:trHeight w:val="720"/>
        </w:trPr>
        <w:tc>
          <w:tcPr>
            <w:tcW w:w="226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Емоційне функціонування</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14,3±7,6</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30,7±12</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13,9±6</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35±10,1*</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25±6,2</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54,5±14*</w:t>
            </w:r>
          </w:p>
        </w:tc>
      </w:tr>
      <w:tr w:rsidR="00C62D22" w:rsidRPr="00C62D22" w:rsidTr="00E83BB7">
        <w:trPr>
          <w:trHeight w:val="720"/>
        </w:trPr>
        <w:tc>
          <w:tcPr>
            <w:tcW w:w="226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Психологічне здоров’я</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55,1±1,8</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72,7±1,8*</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50,2±1,1</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61,2±2,1*</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61,8±2</w:t>
            </w:r>
          </w:p>
        </w:tc>
        <w:tc>
          <w:tcPr>
            <w:tcW w:w="1320"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52±1,7</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Для простоти значимість відмінностей між середніми (*) розглядалася окремо для кожного виду ПК залежно від типу операції. При цьому використовувався критерій Фішера найменших значущих рангів.</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lastRenderedPageBreak/>
        <w:t>Беручи до уваги суб'єктивність оцінок хворих свого стану після проведених операцій через деякий час (більше 7 місяців), можна зробити висновок, що при мініінвазивних операціях хворі значимо (p &lt;0,05) вище оцінювали своє:</w:t>
      </w:r>
    </w:p>
    <w:p w:rsidR="00C62D22" w:rsidRPr="00C62D22" w:rsidRDefault="00C62D22" w:rsidP="00C62D22">
      <w:pPr>
        <w:numPr>
          <w:ilvl w:val="0"/>
          <w:numId w:val="27"/>
        </w:numPr>
        <w:spacing w:after="0" w:line="360" w:lineRule="auto"/>
        <w:ind w:firstLine="567"/>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ф</w:t>
      </w:r>
      <w:r w:rsidRPr="00C62D22">
        <w:rPr>
          <w:rFonts w:ascii="Times New Roman" w:eastAsia="Times New Roman" w:hAnsi="Times New Roman" w:cs="Times New Roman"/>
          <w:color w:val="000000"/>
          <w:sz w:val="28"/>
          <w:szCs w:val="28"/>
          <w:lang w:val="uk-UA"/>
        </w:rPr>
        <w:t>ізичне функціонування – при ПК І та ІІ типів,</w:t>
      </w:r>
    </w:p>
    <w:p w:rsidR="00C62D22" w:rsidRPr="00C62D22" w:rsidRDefault="00C62D22" w:rsidP="00C62D22">
      <w:pPr>
        <w:numPr>
          <w:ilvl w:val="0"/>
          <w:numId w:val="27"/>
        </w:num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з</w:t>
      </w:r>
      <w:r w:rsidRPr="00C62D22">
        <w:rPr>
          <w:rFonts w:ascii="Times New Roman" w:eastAsia="Times New Roman" w:hAnsi="Times New Roman" w:cs="Times New Roman"/>
          <w:color w:val="000000"/>
          <w:sz w:val="28"/>
          <w:szCs w:val="28"/>
          <w:lang w:val="uk-UA"/>
        </w:rPr>
        <w:t>агальне здоров’я – при ПК ІІ типу,</w:t>
      </w:r>
    </w:p>
    <w:p w:rsidR="00C62D22" w:rsidRPr="00C62D22" w:rsidRDefault="00C62D22" w:rsidP="00C62D22">
      <w:pPr>
        <w:numPr>
          <w:ilvl w:val="0"/>
          <w:numId w:val="27"/>
        </w:numPr>
        <w:spacing w:after="0" w:line="360" w:lineRule="auto"/>
        <w:ind w:firstLine="567"/>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с</w:t>
      </w:r>
      <w:r w:rsidRPr="00C62D22">
        <w:rPr>
          <w:rFonts w:ascii="Times New Roman" w:eastAsia="Times New Roman" w:hAnsi="Times New Roman" w:cs="Times New Roman"/>
          <w:color w:val="000000"/>
          <w:sz w:val="28"/>
          <w:szCs w:val="28"/>
          <w:lang w:val="uk-UA"/>
        </w:rPr>
        <w:t>оціальне функціонування – при всіх типах ПК,</w:t>
      </w:r>
    </w:p>
    <w:p w:rsidR="00C62D22" w:rsidRPr="00C62D22" w:rsidRDefault="00C62D22" w:rsidP="00C62D22">
      <w:pPr>
        <w:numPr>
          <w:ilvl w:val="0"/>
          <w:numId w:val="27"/>
        </w:num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color w:val="000000"/>
          <w:sz w:val="28"/>
          <w:szCs w:val="28"/>
          <w:lang w:val="uk-UA"/>
        </w:rPr>
        <w:t>емоційне функціонування – при ПК ІІ та ІІІ типів,</w:t>
      </w:r>
    </w:p>
    <w:p w:rsidR="00C62D22" w:rsidRPr="00C62D22" w:rsidRDefault="00C62D22" w:rsidP="00C62D22">
      <w:pPr>
        <w:numPr>
          <w:ilvl w:val="0"/>
          <w:numId w:val="27"/>
        </w:numPr>
        <w:spacing w:after="0" w:line="360" w:lineRule="auto"/>
        <w:ind w:firstLine="567"/>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психологічне здоров’я – при ПК І та ІІ типів.</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Графічна ілюстрація відмінностей між середніми 8 показниками опитувача SF-36 показана на графіках розмаху (рис. 10.7– 10.14).</w: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tabs>
          <w:tab w:val="left" w:pos="180"/>
        </w:tabs>
        <w:spacing w:after="0" w:line="24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drawing>
          <wp:inline distT="0" distB="0" distL="0" distR="0">
            <wp:extent cx="5762625" cy="3790950"/>
            <wp:effectExtent l="19050" t="0" r="9525" b="0"/>
            <wp:docPr id="530" name="Рисунок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0"/>
                    <pic:cNvPicPr>
                      <a:picLocks noChangeAspect="1" noChangeArrowheads="1"/>
                    </pic:cNvPicPr>
                  </pic:nvPicPr>
                  <pic:blipFill>
                    <a:blip r:embed="rId128"/>
                    <a:srcRect/>
                    <a:stretch>
                      <a:fillRect/>
                    </a:stretch>
                  </pic:blipFill>
                  <pic:spPr bwMode="auto">
                    <a:xfrm>
                      <a:off x="0" y="0"/>
                      <a:ext cx="5762625" cy="379095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p>
    <w:p w:rsidR="00C62D22" w:rsidRPr="00C62D22" w:rsidRDefault="00C62D22" w:rsidP="00C62D22">
      <w:pPr>
        <w:spacing w:after="0" w:line="36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pict>
          <v:shape id="_x0000_s1438" type="#_x0000_t202" style="position:absolute;margin-left:9pt;margin-top:2.4pt;width:486pt;height:62.8pt;z-index:251943936;mso-width-relative:margin;mso-height-relative:margin" strokecolor="white">
            <v:textbox style="mso-next-textbox:#_x0000_s1438">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 10.7. Показники фізичного функціонування  залежно від типів ПК та видів операції </w:t>
                  </w:r>
                </w:p>
                <w:p w:rsidR="00C62D22" w:rsidRPr="004753AD" w:rsidRDefault="00C62D22" w:rsidP="00C62D22">
                  <w:pPr>
                    <w:rPr>
                      <w:lang w:val="uk-UA"/>
                    </w:rPr>
                  </w:pPr>
                </w:p>
              </w:txbxContent>
            </v:textbox>
          </v:shape>
        </w:pict>
      </w:r>
    </w:p>
    <w:p w:rsidR="00C62D22" w:rsidRPr="00C62D22" w:rsidRDefault="00C62D22" w:rsidP="00C62D22">
      <w:pPr>
        <w:spacing w:after="0" w:line="360" w:lineRule="auto"/>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lastRenderedPageBreak/>
        <w:drawing>
          <wp:inline distT="0" distB="0" distL="0" distR="0">
            <wp:extent cx="5753100" cy="2924175"/>
            <wp:effectExtent l="19050" t="0" r="0" b="0"/>
            <wp:docPr id="531" name="Рисунок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1"/>
                    <pic:cNvPicPr>
                      <a:picLocks noChangeAspect="1" noChangeArrowheads="1"/>
                    </pic:cNvPicPr>
                  </pic:nvPicPr>
                  <pic:blipFill>
                    <a:blip r:embed="rId129"/>
                    <a:srcRect/>
                    <a:stretch>
                      <a:fillRect/>
                    </a:stretch>
                  </pic:blipFill>
                  <pic:spPr bwMode="auto">
                    <a:xfrm>
                      <a:off x="0" y="0"/>
                      <a:ext cx="5753100" cy="2924175"/>
                    </a:xfrm>
                    <a:prstGeom prst="rect">
                      <a:avLst/>
                    </a:prstGeom>
                    <a:noFill/>
                    <a:ln w="9525">
                      <a:noFill/>
                      <a:miter lim="800000"/>
                      <a:headEnd/>
                      <a:tailEnd/>
                    </a:ln>
                  </pic:spPr>
                </pic:pic>
              </a:graphicData>
            </a:graphic>
          </wp:inline>
        </w:drawing>
      </w: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eastAsia="en-US"/>
        </w:rPr>
        <w:pict>
          <v:shape id="_x0000_s1430" type="#_x0000_t202" style="position:absolute;margin-left:9pt;margin-top:2.35pt;width:486pt;height:54pt;z-index:251935744;mso-width-relative:margin;mso-height-relative:margin" strokecolor="white">
            <v:textbox style="mso-next-textbox:#_x0000_s1430">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Рис.10.8. Показники рольового функціонування  залежно від типів ПК та видів операції </w:t>
                  </w:r>
                </w:p>
                <w:p w:rsidR="00C62D22" w:rsidRPr="004753AD" w:rsidRDefault="00C62D22" w:rsidP="00C62D22">
                  <w:pPr>
                    <w:rPr>
                      <w:lang w:val="uk-UA"/>
                    </w:rPr>
                  </w:pPr>
                </w:p>
              </w:txbxContent>
            </v:textbox>
          </v:shape>
        </w:pict>
      </w: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tabs>
          <w:tab w:val="left" w:pos="3465"/>
        </w:tabs>
        <w:spacing w:after="0" w:line="240" w:lineRule="auto"/>
        <w:jc w:val="center"/>
        <w:rPr>
          <w:rFonts w:ascii="Times New Roman" w:eastAsia="Times New Roman" w:hAnsi="Times New Roman" w:cs="Times New Roman"/>
          <w:sz w:val="28"/>
          <w:szCs w:val="28"/>
          <w:lang w:val="uk-UA"/>
        </w:rPr>
      </w:pPr>
    </w:p>
    <w:p w:rsidR="00C62D22" w:rsidRPr="00C62D22" w:rsidRDefault="00C62D22" w:rsidP="00C62D22">
      <w:pPr>
        <w:tabs>
          <w:tab w:val="left" w:pos="3465"/>
        </w:tabs>
        <w:spacing w:after="0" w:line="240" w:lineRule="auto"/>
        <w:jc w:val="center"/>
        <w:rPr>
          <w:rFonts w:ascii="Times New Roman" w:eastAsia="Times New Roman" w:hAnsi="Times New Roman" w:cs="Times New Roman"/>
          <w:sz w:val="28"/>
          <w:szCs w:val="28"/>
          <w:lang w:val="uk-UA"/>
        </w:rPr>
      </w:pPr>
    </w:p>
    <w:p w:rsidR="00C62D22" w:rsidRPr="00C62D22" w:rsidRDefault="00C62D22" w:rsidP="00C62D22">
      <w:pPr>
        <w:tabs>
          <w:tab w:val="left" w:pos="3465"/>
        </w:tabs>
        <w:spacing w:after="0" w:line="24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drawing>
          <wp:inline distT="0" distB="0" distL="0" distR="0">
            <wp:extent cx="5753100" cy="3438525"/>
            <wp:effectExtent l="19050" t="0" r="0" b="0"/>
            <wp:docPr id="532" name="Рисунок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2"/>
                    <pic:cNvPicPr>
                      <a:picLocks noChangeAspect="1" noChangeArrowheads="1"/>
                    </pic:cNvPicPr>
                  </pic:nvPicPr>
                  <pic:blipFill>
                    <a:blip r:embed="rId130"/>
                    <a:srcRect/>
                    <a:stretch>
                      <a:fillRect/>
                    </a:stretch>
                  </pic:blipFill>
                  <pic:spPr bwMode="auto">
                    <a:xfrm>
                      <a:off x="0" y="0"/>
                      <a:ext cx="5753100" cy="3438525"/>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eastAsia="en-US"/>
        </w:rPr>
        <w:pict>
          <v:shape id="_x0000_s1431" type="#_x0000_t202" style="position:absolute;left:0;text-align:left;margin-left:0;margin-top:17.45pt;width:7in;height:52.95pt;z-index:251936768;mso-width-relative:margin;mso-height-relative:margin" strokecolor="white">
            <v:textbox style="mso-next-textbox:#_x0000_s1431">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 10.9. Показники болю залежно від типів ПК та видів операції </w:t>
                  </w:r>
                </w:p>
                <w:p w:rsidR="00C62D22" w:rsidRPr="004753AD" w:rsidRDefault="00C62D22" w:rsidP="00C62D22">
                  <w:pPr>
                    <w:rPr>
                      <w:lang w:val="uk-UA"/>
                    </w:rPr>
                  </w:pPr>
                </w:p>
              </w:txbxContent>
            </v:textbox>
          </v:shape>
        </w:pict>
      </w: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p>
    <w:p w:rsidR="00C62D22" w:rsidRPr="00C62D22" w:rsidRDefault="00C62D22" w:rsidP="00C62D22">
      <w:pPr>
        <w:spacing w:after="0" w:line="360" w:lineRule="auto"/>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У той же час оцінка загально здоров'я при ПК третього типу була вищою при лапаротомії (рис. 10.10).</w:t>
      </w:r>
    </w:p>
    <w:p w:rsidR="00C62D22" w:rsidRPr="00C62D22" w:rsidRDefault="00C62D22" w:rsidP="00C62D22">
      <w:pPr>
        <w:spacing w:after="0" w:line="360" w:lineRule="auto"/>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drawing>
          <wp:inline distT="0" distB="0" distL="0" distR="0">
            <wp:extent cx="5753100" cy="3200400"/>
            <wp:effectExtent l="19050" t="0" r="0" b="0"/>
            <wp:docPr id="533" name="Рисунок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3"/>
                    <pic:cNvPicPr>
                      <a:picLocks noChangeAspect="1" noChangeArrowheads="1"/>
                    </pic:cNvPicPr>
                  </pic:nvPicPr>
                  <pic:blipFill>
                    <a:blip r:embed="rId131"/>
                    <a:srcRect/>
                    <a:stretch>
                      <a:fillRect/>
                    </a:stretch>
                  </pic:blipFill>
                  <pic:spPr bwMode="auto">
                    <a:xfrm>
                      <a:off x="0" y="0"/>
                      <a:ext cx="5753100" cy="3200400"/>
                    </a:xfrm>
                    <a:prstGeom prst="rect">
                      <a:avLst/>
                    </a:prstGeom>
                    <a:noFill/>
                    <a:ln w="9525">
                      <a:noFill/>
                      <a:miter lim="800000"/>
                      <a:headEnd/>
                      <a:tailEnd/>
                    </a:ln>
                  </pic:spPr>
                </pic:pic>
              </a:graphicData>
            </a:graphic>
          </wp:inline>
        </w:drawing>
      </w: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pict>
          <v:shape id="_x0000_s1432" type="#_x0000_t202" style="position:absolute;margin-left:9pt;margin-top:.55pt;width:495pt;height:54pt;z-index:251937792;mso-width-relative:margin;mso-height-relative:margin" strokecolor="white">
            <v:textbox style="mso-next-textbox:#_x0000_s1432">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 10.10. Показники загального здоров’я  залежно від типів ПК ПЗ та видів операції </w:t>
                  </w:r>
                </w:p>
                <w:p w:rsidR="00C62D22" w:rsidRPr="004753AD" w:rsidRDefault="00C62D22" w:rsidP="00C62D22">
                  <w:pPr>
                    <w:spacing w:line="360" w:lineRule="auto"/>
                    <w:jc w:val="both"/>
                    <w:rPr>
                      <w:sz w:val="28"/>
                      <w:szCs w:val="28"/>
                      <w:lang w:val="uk-UA"/>
                    </w:rPr>
                  </w:pPr>
                </w:p>
                <w:p w:rsidR="00C62D22" w:rsidRPr="004753AD" w:rsidRDefault="00C62D22" w:rsidP="00C62D22">
                  <w:pPr>
                    <w:rPr>
                      <w:lang w:val="uk-UA"/>
                    </w:rPr>
                  </w:pPr>
                </w:p>
              </w:txbxContent>
            </v:textbox>
          </v:shape>
        </w:pict>
      </w:r>
    </w:p>
    <w:p w:rsidR="00C62D22" w:rsidRPr="00C62D22" w:rsidRDefault="00C62D22" w:rsidP="00C62D22">
      <w:pPr>
        <w:tabs>
          <w:tab w:val="left" w:pos="2715"/>
        </w:tabs>
        <w:spacing w:after="0" w:line="240" w:lineRule="auto"/>
        <w:rPr>
          <w:rFonts w:ascii="Times New Roman" w:eastAsia="Times New Roman" w:hAnsi="Times New Roman" w:cs="Times New Roman"/>
          <w:sz w:val="28"/>
          <w:szCs w:val="28"/>
          <w:lang w:val="uk-UA"/>
        </w:rPr>
      </w:pPr>
    </w:p>
    <w:p w:rsidR="00C62D22" w:rsidRPr="00C62D22" w:rsidRDefault="00C62D22" w:rsidP="00C62D22">
      <w:pPr>
        <w:tabs>
          <w:tab w:val="left" w:pos="2715"/>
        </w:tabs>
        <w:spacing w:after="0" w:line="240" w:lineRule="auto"/>
        <w:rPr>
          <w:rFonts w:ascii="Times New Roman" w:eastAsia="Times New Roman" w:hAnsi="Times New Roman" w:cs="Times New Roman"/>
          <w:sz w:val="28"/>
          <w:szCs w:val="28"/>
          <w:lang w:val="uk-UA"/>
        </w:rPr>
      </w:pPr>
    </w:p>
    <w:p w:rsidR="00C62D22" w:rsidRPr="00C62D22" w:rsidRDefault="00C62D22" w:rsidP="00C62D22">
      <w:pPr>
        <w:tabs>
          <w:tab w:val="left" w:pos="2715"/>
        </w:tabs>
        <w:spacing w:after="0" w:line="24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ab/>
      </w:r>
    </w:p>
    <w:p w:rsidR="00C62D22" w:rsidRPr="00C62D22" w:rsidRDefault="00C62D22" w:rsidP="00C62D22">
      <w:pPr>
        <w:tabs>
          <w:tab w:val="left" w:pos="2715"/>
        </w:tabs>
        <w:spacing w:after="0" w:line="240" w:lineRule="auto"/>
        <w:rPr>
          <w:rFonts w:ascii="Times New Roman" w:eastAsia="Times New Roman" w:hAnsi="Times New Roman" w:cs="Times New Roman"/>
          <w:sz w:val="28"/>
          <w:szCs w:val="28"/>
          <w:lang w:val="uk-UA"/>
        </w:rPr>
      </w:pPr>
    </w:p>
    <w:p w:rsidR="00C62D22" w:rsidRPr="00C62D22" w:rsidRDefault="00C62D22" w:rsidP="00C62D22">
      <w:pPr>
        <w:tabs>
          <w:tab w:val="left" w:pos="0"/>
        </w:tabs>
        <w:spacing w:after="0" w:line="24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drawing>
          <wp:inline distT="0" distB="0" distL="0" distR="0">
            <wp:extent cx="5753100" cy="3695700"/>
            <wp:effectExtent l="19050" t="0" r="0" b="0"/>
            <wp:docPr id="534" name="Рисунок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4"/>
                    <pic:cNvPicPr>
                      <a:picLocks noChangeAspect="1" noChangeArrowheads="1"/>
                    </pic:cNvPicPr>
                  </pic:nvPicPr>
                  <pic:blipFill>
                    <a:blip r:embed="rId132"/>
                    <a:srcRect/>
                    <a:stretch>
                      <a:fillRect/>
                    </a:stretch>
                  </pic:blipFill>
                  <pic:spPr bwMode="auto">
                    <a:xfrm>
                      <a:off x="0" y="0"/>
                      <a:ext cx="5753100" cy="3695700"/>
                    </a:xfrm>
                    <a:prstGeom prst="rect">
                      <a:avLst/>
                    </a:prstGeom>
                    <a:noFill/>
                    <a:ln w="9525">
                      <a:noFill/>
                      <a:miter lim="800000"/>
                      <a:headEnd/>
                      <a:tailEnd/>
                    </a:ln>
                  </pic:spPr>
                </pic:pic>
              </a:graphicData>
            </a:graphic>
          </wp:inline>
        </w:drawing>
      </w:r>
    </w:p>
    <w:p w:rsidR="00C62D22" w:rsidRPr="00C62D22" w:rsidRDefault="00C62D22" w:rsidP="00C62D22">
      <w:pPr>
        <w:spacing w:after="0" w:line="24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pict>
          <v:shape id="_x0000_s1433" type="#_x0000_t202" style="position:absolute;margin-left:9pt;margin-top:3.55pt;width:495pt;height:63pt;z-index:251938816;mso-width-relative:margin;mso-height-relative:margin" strokecolor="white">
            <v:textbox style="mso-next-textbox:#_x0000_s1433">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Рис. 10.11. Показники життєздатності залежності від типів ПК та видів операції</w:t>
                  </w:r>
                </w:p>
              </w:txbxContent>
            </v:textbox>
          </v:shape>
        </w:pict>
      </w:r>
    </w:p>
    <w:p w:rsidR="00C62D22" w:rsidRPr="00C62D22" w:rsidRDefault="00C62D22" w:rsidP="00C62D22">
      <w:pPr>
        <w:tabs>
          <w:tab w:val="left" w:pos="2325"/>
        </w:tabs>
        <w:spacing w:after="0" w:line="240" w:lineRule="auto"/>
        <w:rPr>
          <w:rFonts w:ascii="Times New Roman" w:eastAsia="Times New Roman" w:hAnsi="Times New Roman" w:cs="Times New Roman"/>
          <w:sz w:val="28"/>
          <w:szCs w:val="28"/>
          <w:lang w:val="uk-UA"/>
        </w:rPr>
      </w:pPr>
    </w:p>
    <w:p w:rsidR="00C62D22" w:rsidRPr="00C62D22" w:rsidRDefault="00C62D22" w:rsidP="00C62D22">
      <w:pPr>
        <w:tabs>
          <w:tab w:val="left" w:pos="2325"/>
        </w:tabs>
        <w:spacing w:after="0" w:line="240" w:lineRule="auto"/>
        <w:rPr>
          <w:rFonts w:ascii="Times New Roman" w:eastAsia="Times New Roman" w:hAnsi="Times New Roman" w:cs="Times New Roman"/>
          <w:sz w:val="28"/>
          <w:szCs w:val="28"/>
          <w:lang w:val="uk-UA"/>
        </w:rPr>
      </w:pPr>
    </w:p>
    <w:p w:rsidR="00C62D22" w:rsidRPr="00C62D22" w:rsidRDefault="00C62D22" w:rsidP="00C62D22">
      <w:pPr>
        <w:tabs>
          <w:tab w:val="left" w:pos="2325"/>
        </w:tabs>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drawing>
          <wp:inline distT="0" distB="0" distL="0" distR="0">
            <wp:extent cx="6086475" cy="3600450"/>
            <wp:effectExtent l="19050" t="0" r="9525" b="0"/>
            <wp:docPr id="535" name="Рисунок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5"/>
                    <pic:cNvPicPr>
                      <a:picLocks noChangeAspect="1" noChangeArrowheads="1"/>
                    </pic:cNvPicPr>
                  </pic:nvPicPr>
                  <pic:blipFill>
                    <a:blip r:embed="rId133"/>
                    <a:srcRect/>
                    <a:stretch>
                      <a:fillRect/>
                    </a:stretch>
                  </pic:blipFill>
                  <pic:spPr bwMode="auto">
                    <a:xfrm>
                      <a:off x="0" y="0"/>
                      <a:ext cx="6086475" cy="3600450"/>
                    </a:xfrm>
                    <a:prstGeom prst="rect">
                      <a:avLst/>
                    </a:prstGeom>
                    <a:noFill/>
                    <a:ln w="9525">
                      <a:noFill/>
                      <a:miter lim="800000"/>
                      <a:headEnd/>
                      <a:tailEnd/>
                    </a:ln>
                  </pic:spPr>
                </pic:pic>
              </a:graphicData>
            </a:graphic>
          </wp:inline>
        </w:drawing>
      </w:r>
    </w:p>
    <w:p w:rsidR="00C62D22" w:rsidRPr="00C62D22" w:rsidRDefault="00C62D22" w:rsidP="00C62D22">
      <w:pPr>
        <w:tabs>
          <w:tab w:val="left" w:pos="2295"/>
        </w:tabs>
        <w:spacing w:after="0" w:line="24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pict>
          <v:shape id="_x0000_s1434" type="#_x0000_t202" style="position:absolute;margin-left:17.55pt;margin-top:1.55pt;width:490.75pt;height:53.5pt;z-index:251939840;mso-width-relative:margin;mso-height-relative:margin" strokecolor="white">
            <v:textbox style="mso-next-textbox:#_x0000_s1434">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 10.12. Показники соціального функціонування  залежно від типів ПК та видів операції </w:t>
                  </w:r>
                </w:p>
                <w:p w:rsidR="00C62D22" w:rsidRPr="004753AD" w:rsidRDefault="00C62D22" w:rsidP="00C62D22">
                  <w:pPr>
                    <w:rPr>
                      <w:lang w:val="uk-UA"/>
                    </w:rPr>
                  </w:pPr>
                </w:p>
              </w:txbxContent>
            </v:textbox>
          </v:shape>
        </w:pict>
      </w:r>
      <w:r w:rsidRPr="00C62D22">
        <w:rPr>
          <w:rFonts w:ascii="Times New Roman" w:eastAsia="Times New Roman" w:hAnsi="Times New Roman" w:cs="Times New Roman"/>
          <w:sz w:val="28"/>
          <w:szCs w:val="28"/>
          <w:lang w:val="uk-UA"/>
        </w:rPr>
        <w:tab/>
      </w: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240" w:lineRule="auto"/>
        <w:rPr>
          <w:rFonts w:ascii="Times New Roman" w:eastAsia="Times New Roman" w:hAnsi="Times New Roman" w:cs="Times New Roman"/>
          <w:sz w:val="28"/>
          <w:szCs w:val="28"/>
          <w:lang w:val="uk-UA"/>
        </w:rPr>
      </w:pPr>
    </w:p>
    <w:p w:rsidR="00C62D22" w:rsidRPr="00C62D22" w:rsidRDefault="00C62D22" w:rsidP="00C62D22">
      <w:pPr>
        <w:tabs>
          <w:tab w:val="left" w:pos="2145"/>
        </w:tabs>
        <w:spacing w:after="0" w:line="24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drawing>
          <wp:inline distT="0" distB="0" distL="0" distR="0">
            <wp:extent cx="5762625" cy="3286125"/>
            <wp:effectExtent l="19050" t="0" r="9525" b="0"/>
            <wp:docPr id="536" name="Рисунок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6"/>
                    <pic:cNvPicPr>
                      <a:picLocks noChangeAspect="1" noChangeArrowheads="1"/>
                    </pic:cNvPicPr>
                  </pic:nvPicPr>
                  <pic:blipFill>
                    <a:blip r:embed="rId134"/>
                    <a:srcRect/>
                    <a:stretch>
                      <a:fillRect/>
                    </a:stretch>
                  </pic:blipFill>
                  <pic:spPr bwMode="auto">
                    <a:xfrm>
                      <a:off x="0" y="0"/>
                      <a:ext cx="5762625" cy="3286125"/>
                    </a:xfrm>
                    <a:prstGeom prst="rect">
                      <a:avLst/>
                    </a:prstGeom>
                    <a:noFill/>
                    <a:ln w="9525">
                      <a:noFill/>
                      <a:miter lim="800000"/>
                      <a:headEnd/>
                      <a:tailEnd/>
                    </a:ln>
                  </pic:spPr>
                </pic:pic>
              </a:graphicData>
            </a:graphic>
          </wp:inline>
        </w:drawing>
      </w:r>
    </w:p>
    <w:p w:rsidR="00C62D22" w:rsidRPr="00C62D22" w:rsidRDefault="00C62D22" w:rsidP="00C62D22">
      <w:pPr>
        <w:spacing w:after="0" w:line="24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pict>
          <v:shape id="_x0000_s1435" type="#_x0000_t202" style="position:absolute;margin-left:0;margin-top:2.45pt;width:508.3pt;height:53pt;z-index:251940864;mso-width-relative:margin;mso-height-relative:margin" strokecolor="white">
            <v:textbox style="mso-next-textbox:#_x0000_s1435">
              <w:txbxContent>
                <w:p w:rsidR="00C62D22" w:rsidRPr="00C62D22" w:rsidRDefault="00C62D22" w:rsidP="00C62D22">
                  <w:pPr>
                    <w:spacing w:line="360" w:lineRule="auto"/>
                    <w:ind w:right="40"/>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 10.13. Показники емоційного функціонування  залежно від типів ПК та видів операції </w:t>
                  </w:r>
                </w:p>
                <w:p w:rsidR="00C62D22" w:rsidRPr="004753AD" w:rsidRDefault="00C62D22" w:rsidP="00C62D22">
                  <w:pPr>
                    <w:ind w:right="40"/>
                    <w:rPr>
                      <w:lang w:val="uk-UA"/>
                    </w:rPr>
                  </w:pPr>
                </w:p>
              </w:txbxContent>
            </v:textbox>
          </v:shape>
        </w:pict>
      </w:r>
    </w:p>
    <w:p w:rsidR="00C62D22" w:rsidRPr="00C62D22" w:rsidRDefault="00C62D22" w:rsidP="00C62D22">
      <w:pPr>
        <w:tabs>
          <w:tab w:val="left" w:pos="1080"/>
        </w:tabs>
        <w:spacing w:after="0" w:line="240" w:lineRule="auto"/>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ab/>
      </w:r>
    </w:p>
    <w:p w:rsidR="00C62D22" w:rsidRPr="00C62D22" w:rsidRDefault="00C62D22" w:rsidP="00C62D22">
      <w:pPr>
        <w:tabs>
          <w:tab w:val="left" w:pos="1080"/>
        </w:tabs>
        <w:spacing w:after="0" w:line="240" w:lineRule="auto"/>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p>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rPr>
        <w:lastRenderedPageBreak/>
        <w:drawing>
          <wp:inline distT="0" distB="0" distL="0" distR="0">
            <wp:extent cx="5753100" cy="3600450"/>
            <wp:effectExtent l="19050" t="0" r="0" b="0"/>
            <wp:docPr id="537" name="Рисунок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7"/>
                    <pic:cNvPicPr>
                      <a:picLocks noChangeAspect="1" noChangeArrowheads="1"/>
                    </pic:cNvPicPr>
                  </pic:nvPicPr>
                  <pic:blipFill>
                    <a:blip r:embed="rId135"/>
                    <a:srcRect/>
                    <a:stretch>
                      <a:fillRect/>
                    </a:stretch>
                  </pic:blipFill>
                  <pic:spPr bwMode="auto">
                    <a:xfrm>
                      <a:off x="0" y="0"/>
                      <a:ext cx="5753100" cy="3600450"/>
                    </a:xfrm>
                    <a:prstGeom prst="rect">
                      <a:avLst/>
                    </a:prstGeom>
                    <a:noFill/>
                    <a:ln w="9525">
                      <a:noFill/>
                      <a:miter lim="800000"/>
                      <a:headEnd/>
                      <a:tailEnd/>
                    </a:ln>
                  </pic:spPr>
                </pic:pic>
              </a:graphicData>
            </a:graphic>
          </wp:inline>
        </w:drawing>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noProof/>
          <w:sz w:val="28"/>
          <w:szCs w:val="28"/>
          <w:lang w:val="uk-UA"/>
        </w:rPr>
        <w:pict>
          <v:shape id="_x0000_s1436" type="#_x0000_t202" style="position:absolute;left:0;text-align:left;margin-left:2.3pt;margin-top:5.45pt;width:507.7pt;height:58.3pt;z-index:251941888;mso-width-relative:margin;mso-height-relative:margin" strokecolor="white">
            <v:textbox style="mso-next-textbox:#_x0000_s1436">
              <w:txbxContent>
                <w:p w:rsidR="00C62D22" w:rsidRPr="00C62D22" w:rsidRDefault="00C62D22" w:rsidP="00C62D22">
                  <w:pPr>
                    <w:spacing w:line="360" w:lineRule="auto"/>
                    <w:jc w:val="right"/>
                    <w:rPr>
                      <w:rFonts w:ascii="Times New Roman" w:hAnsi="Times New Roman" w:cs="Times New Roman"/>
                      <w:sz w:val="28"/>
                      <w:szCs w:val="28"/>
                      <w:lang w:val="uk-UA"/>
                    </w:rPr>
                  </w:pPr>
                  <w:r w:rsidRPr="00C62D22">
                    <w:rPr>
                      <w:rFonts w:ascii="Times New Roman" w:hAnsi="Times New Roman" w:cs="Times New Roman"/>
                      <w:sz w:val="28"/>
                      <w:szCs w:val="28"/>
                      <w:lang w:val="uk-UA"/>
                    </w:rPr>
                    <w:t xml:space="preserve">Рис. 10.14. Показники психологічного здоров'я залежно від типів ПК та видів операції </w:t>
                  </w:r>
                </w:p>
                <w:p w:rsidR="00C62D22" w:rsidRPr="004753AD" w:rsidRDefault="00C62D22" w:rsidP="00C62D22">
                  <w:pPr>
                    <w:rPr>
                      <w:lang w:val="uk-UA"/>
                    </w:rPr>
                  </w:pPr>
                </w:p>
              </w:txbxContent>
            </v:textbox>
          </v:shape>
        </w:pict>
      </w: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Варто відзначити, що згідно з інструкцією для опитувача SF-36 перші 4 показники формували фізичне, 4 наступних – душевне благополуччя пацієнта. Як видно з порівнянь, мініінвазивні операції практично завжди краще позначалися саме на душевному благополуччі.</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Друге завдання цього дослідження полягало у визначенні ступеня внеску в оцінку свого самопочуття кожного хворого типу ПК і виду проведеної операції. Дисперсійний аналіз перевіряє значущості відмінності між середніми за допомогою порівняння дисперсій. Дисперсію вимірюваного показника розкладають на незалежні складові, що характеризують вплив того чи іншого чинника або їх взаємодії. Порівняння таких доданків дозволяє оцінити вплив кожного розглянутого фактора (тип ПК і вид операції), а також їх взаємодію.</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Оцінка впливу розглянутих факторів на 8 показників опитувача оцінювалася за допомогою емпіричного коефіцієнта детермінації (</w:t>
      </w:r>
      <w:r w:rsidRPr="00C62D22">
        <w:rPr>
          <w:rFonts w:ascii="Times New Roman" w:eastAsia="Times New Roman" w:hAnsi="Times New Roman" w:cs="Times New Roman"/>
          <w:sz w:val="28"/>
          <w:szCs w:val="28"/>
          <w:lang w:val="uk-UA"/>
        </w:rPr>
        <w:sym w:font="Symbol" w:char="F068"/>
      </w:r>
      <w:r w:rsidRPr="00C62D22">
        <w:rPr>
          <w:rFonts w:ascii="Times New Roman" w:eastAsia="Times New Roman" w:hAnsi="Times New Roman" w:cs="Times New Roman"/>
          <w:sz w:val="28"/>
          <w:szCs w:val="28"/>
          <w:vertAlign w:val="superscript"/>
          <w:lang w:val="uk-UA"/>
        </w:rPr>
        <w:t>2</w:t>
      </w:r>
      <w:r w:rsidRPr="00C62D22">
        <w:rPr>
          <w:rFonts w:ascii="Times New Roman" w:eastAsia="Times New Roman" w:hAnsi="Times New Roman" w:cs="Times New Roman"/>
          <w:sz w:val="28"/>
          <w:szCs w:val="28"/>
          <w:lang w:val="uk-UA"/>
        </w:rPr>
        <w:t xml:space="preserve">) [74]. Цей коефіцієнт показує, яка частина (можна в %) мінливості показника обумовлена тим чи іншим фактором (або їх взаємодією). Розрахунок емпіричного коефіцієнта детермінації проводився </w:t>
      </w:r>
      <w:r w:rsidRPr="00C62D22">
        <w:rPr>
          <w:rFonts w:ascii="Times New Roman" w:eastAsia="Times New Roman" w:hAnsi="Times New Roman" w:cs="Times New Roman"/>
          <w:sz w:val="28"/>
          <w:szCs w:val="28"/>
          <w:lang w:val="uk-UA"/>
        </w:rPr>
        <w:lastRenderedPageBreak/>
        <w:t xml:space="preserve">на основі обчислених сум відповідних квадратів відхилень показників, які бралися з результатів двофакторного дисперсійного аналізу. Значимість </w:t>
      </w:r>
      <w:r w:rsidRPr="00C62D22">
        <w:rPr>
          <w:rFonts w:ascii="Times New Roman" w:eastAsia="Times New Roman" w:hAnsi="Times New Roman" w:cs="Times New Roman"/>
          <w:sz w:val="28"/>
          <w:szCs w:val="28"/>
          <w:lang w:val="uk-UA"/>
        </w:rPr>
        <w:sym w:font="Symbol" w:char="F068"/>
      </w:r>
      <w:r w:rsidRPr="00C62D22">
        <w:rPr>
          <w:rFonts w:ascii="Times New Roman" w:eastAsia="Times New Roman" w:hAnsi="Times New Roman" w:cs="Times New Roman"/>
          <w:sz w:val="28"/>
          <w:szCs w:val="28"/>
          <w:vertAlign w:val="superscript"/>
          <w:lang w:val="uk-UA"/>
        </w:rPr>
        <w:t xml:space="preserve">2 </w:t>
      </w:r>
      <w:r w:rsidRPr="00C62D22">
        <w:rPr>
          <w:rFonts w:ascii="Times New Roman" w:eastAsia="Times New Roman" w:hAnsi="Times New Roman" w:cs="Times New Roman"/>
          <w:sz w:val="28"/>
          <w:szCs w:val="28"/>
          <w:lang w:val="uk-UA"/>
        </w:rPr>
        <w:t xml:space="preserve">розраховувалася за критерієм Фішера-Снедекора [101, 253]. Значні значення </w:t>
      </w:r>
      <w:r w:rsidRPr="00C62D22">
        <w:rPr>
          <w:rFonts w:ascii="Times New Roman" w:eastAsia="Times New Roman" w:hAnsi="Times New Roman" w:cs="Times New Roman"/>
          <w:sz w:val="28"/>
          <w:szCs w:val="28"/>
          <w:lang w:val="uk-UA"/>
        </w:rPr>
        <w:sym w:font="Symbol" w:char="F068"/>
      </w:r>
      <w:r w:rsidRPr="00C62D22">
        <w:rPr>
          <w:rFonts w:ascii="Times New Roman" w:eastAsia="Times New Roman" w:hAnsi="Times New Roman" w:cs="Times New Roman"/>
          <w:sz w:val="28"/>
          <w:szCs w:val="28"/>
          <w:vertAlign w:val="superscript"/>
          <w:lang w:val="uk-UA"/>
        </w:rPr>
        <w:t xml:space="preserve">2 </w:t>
      </w:r>
      <w:r w:rsidRPr="00C62D22">
        <w:rPr>
          <w:rFonts w:ascii="Times New Roman" w:eastAsia="Times New Roman" w:hAnsi="Times New Roman" w:cs="Times New Roman"/>
          <w:sz w:val="28"/>
          <w:szCs w:val="28"/>
          <w:lang w:val="uk-UA"/>
        </w:rPr>
        <w:t>наведені в табл. 10.17.</w:t>
      </w:r>
    </w:p>
    <w:p w:rsidR="00C62D22" w:rsidRPr="00C62D22" w:rsidRDefault="00C62D22" w:rsidP="00C62D22">
      <w:pPr>
        <w:spacing w:after="0" w:line="360" w:lineRule="auto"/>
        <w:jc w:val="right"/>
        <w:rPr>
          <w:rFonts w:ascii="Times New Roman" w:eastAsia="Times New Roman" w:hAnsi="Times New Roman" w:cs="Times New Roman"/>
          <w:sz w:val="28"/>
          <w:szCs w:val="28"/>
          <w:lang w:val="uk-UA"/>
        </w:rPr>
      </w:pPr>
    </w:p>
    <w:p w:rsidR="00C62D22" w:rsidRPr="00C62D22" w:rsidRDefault="00C62D22" w:rsidP="00C62D22">
      <w:pPr>
        <w:spacing w:after="0" w:line="360" w:lineRule="auto"/>
        <w:jc w:val="right"/>
        <w:rPr>
          <w:rFonts w:ascii="Times New Roman" w:eastAsia="Times New Roman" w:hAnsi="Times New Roman" w:cs="Times New Roman"/>
          <w:i/>
          <w:sz w:val="28"/>
          <w:szCs w:val="28"/>
          <w:lang w:val="uk-UA"/>
        </w:rPr>
      </w:pPr>
      <w:r w:rsidRPr="00C62D22">
        <w:rPr>
          <w:rFonts w:ascii="Times New Roman" w:eastAsia="Times New Roman" w:hAnsi="Times New Roman" w:cs="Times New Roman"/>
          <w:i/>
          <w:sz w:val="28"/>
          <w:szCs w:val="28"/>
          <w:lang w:val="uk-UA"/>
        </w:rPr>
        <w:t>Таблиця 10.17</w:t>
      </w:r>
    </w:p>
    <w:p w:rsidR="00C62D22" w:rsidRPr="00C62D22" w:rsidRDefault="00C62D22" w:rsidP="00C62D22">
      <w:pPr>
        <w:spacing w:after="0" w:line="360" w:lineRule="auto"/>
        <w:jc w:val="center"/>
        <w:rPr>
          <w:rFonts w:ascii="Times New Roman" w:eastAsia="Times New Roman" w:hAnsi="Times New Roman" w:cs="Times New Roman"/>
          <w:b/>
          <w:sz w:val="28"/>
          <w:szCs w:val="28"/>
          <w:lang w:val="uk-UA"/>
        </w:rPr>
      </w:pPr>
      <w:r w:rsidRPr="00C62D22">
        <w:rPr>
          <w:rFonts w:ascii="Times New Roman" w:eastAsia="Times New Roman" w:hAnsi="Times New Roman" w:cs="Times New Roman"/>
          <w:b/>
          <w:sz w:val="28"/>
          <w:szCs w:val="28"/>
          <w:lang w:val="uk-UA"/>
        </w:rPr>
        <w:t>Значні значення коефіцієнта детермінації</w:t>
      </w:r>
    </w:p>
    <w:tbl>
      <w:tblPr>
        <w:tblW w:w="9734"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528"/>
        <w:gridCol w:w="1292"/>
        <w:gridCol w:w="1887"/>
        <w:gridCol w:w="3027"/>
      </w:tblGrid>
      <w:tr w:rsidR="00C62D22" w:rsidRPr="00C62D22" w:rsidTr="00E83BB7">
        <w:trPr>
          <w:trHeight w:val="255"/>
        </w:trPr>
        <w:tc>
          <w:tcPr>
            <w:tcW w:w="3528" w:type="dxa"/>
            <w:shd w:val="clear" w:color="auto" w:fill="auto"/>
            <w:noWrap/>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Тип операції</w:t>
            </w:r>
          </w:p>
        </w:tc>
        <w:tc>
          <w:tcPr>
            <w:tcW w:w="1292" w:type="dxa"/>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Тип ПК</w:t>
            </w:r>
          </w:p>
        </w:tc>
        <w:tc>
          <w:tcPr>
            <w:tcW w:w="1887" w:type="dxa"/>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Тип операції</w:t>
            </w:r>
          </w:p>
        </w:tc>
        <w:tc>
          <w:tcPr>
            <w:tcW w:w="3027"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Тип ПК* Тип операції</w:t>
            </w:r>
          </w:p>
        </w:tc>
      </w:tr>
      <w:tr w:rsidR="00C62D22" w:rsidRPr="00C62D22" w:rsidTr="00E83BB7">
        <w:trPr>
          <w:trHeight w:val="255"/>
        </w:trPr>
        <w:tc>
          <w:tcPr>
            <w:tcW w:w="352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Фізичне функціонування</w:t>
            </w:r>
          </w:p>
        </w:tc>
        <w:tc>
          <w:tcPr>
            <w:tcW w:w="1292" w:type="dxa"/>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w:t>
            </w:r>
          </w:p>
        </w:tc>
        <w:tc>
          <w:tcPr>
            <w:tcW w:w="1887" w:type="dxa"/>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12,8%</w:t>
            </w:r>
          </w:p>
        </w:tc>
        <w:tc>
          <w:tcPr>
            <w:tcW w:w="3027"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14%</w:t>
            </w:r>
          </w:p>
        </w:tc>
      </w:tr>
      <w:tr w:rsidR="00C62D22" w:rsidRPr="00C62D22" w:rsidTr="00E83BB7">
        <w:trPr>
          <w:trHeight w:val="255"/>
        </w:trPr>
        <w:tc>
          <w:tcPr>
            <w:tcW w:w="352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Рольове функціонування</w:t>
            </w:r>
          </w:p>
        </w:tc>
        <w:tc>
          <w:tcPr>
            <w:tcW w:w="1292" w:type="dxa"/>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w:t>
            </w:r>
          </w:p>
        </w:tc>
        <w:tc>
          <w:tcPr>
            <w:tcW w:w="1887" w:type="dxa"/>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w:t>
            </w:r>
          </w:p>
        </w:tc>
        <w:tc>
          <w:tcPr>
            <w:tcW w:w="3027"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rPr>
          <w:trHeight w:val="255"/>
        </w:trPr>
        <w:tc>
          <w:tcPr>
            <w:tcW w:w="352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Біль</w:t>
            </w:r>
          </w:p>
        </w:tc>
        <w:tc>
          <w:tcPr>
            <w:tcW w:w="1292" w:type="dxa"/>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w:t>
            </w:r>
          </w:p>
        </w:tc>
        <w:tc>
          <w:tcPr>
            <w:tcW w:w="1887" w:type="dxa"/>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w:t>
            </w:r>
          </w:p>
        </w:tc>
        <w:tc>
          <w:tcPr>
            <w:tcW w:w="3027"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rPr>
          <w:trHeight w:val="255"/>
        </w:trPr>
        <w:tc>
          <w:tcPr>
            <w:tcW w:w="352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Загальне здоров’я</w:t>
            </w:r>
          </w:p>
        </w:tc>
        <w:tc>
          <w:tcPr>
            <w:tcW w:w="1292" w:type="dxa"/>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w:t>
            </w:r>
          </w:p>
        </w:tc>
        <w:tc>
          <w:tcPr>
            <w:tcW w:w="1887" w:type="dxa"/>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sz w:val="28"/>
                <w:szCs w:val="28"/>
                <w:lang w:val="uk-UA"/>
              </w:rPr>
              <w:t>–</w:t>
            </w:r>
          </w:p>
        </w:tc>
        <w:tc>
          <w:tcPr>
            <w:tcW w:w="3027"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color w:val="000000"/>
                <w:sz w:val="28"/>
                <w:szCs w:val="28"/>
                <w:lang w:val="uk-UA"/>
              </w:rPr>
            </w:pPr>
            <w:r w:rsidRPr="00C62D22">
              <w:rPr>
                <w:rFonts w:ascii="Times New Roman" w:eastAsia="Times New Roman" w:hAnsi="Times New Roman" w:cs="Times New Roman"/>
                <w:color w:val="000000"/>
                <w:sz w:val="28"/>
                <w:szCs w:val="28"/>
                <w:lang w:val="uk-UA"/>
              </w:rPr>
              <w:t>10,3%</w:t>
            </w:r>
          </w:p>
        </w:tc>
      </w:tr>
      <w:tr w:rsidR="00C62D22" w:rsidRPr="00C62D22" w:rsidTr="00E83BB7">
        <w:trPr>
          <w:trHeight w:val="255"/>
        </w:trPr>
        <w:tc>
          <w:tcPr>
            <w:tcW w:w="352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Життєздатність</w:t>
            </w:r>
          </w:p>
        </w:tc>
        <w:tc>
          <w:tcPr>
            <w:tcW w:w="129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5,38%</w:t>
            </w:r>
          </w:p>
        </w:tc>
        <w:tc>
          <w:tcPr>
            <w:tcW w:w="1887"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3027"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r>
      <w:tr w:rsidR="00C62D22" w:rsidRPr="00C62D22" w:rsidTr="00E83BB7">
        <w:trPr>
          <w:trHeight w:val="255"/>
        </w:trPr>
        <w:tc>
          <w:tcPr>
            <w:tcW w:w="352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Соціальне функціонування</w:t>
            </w:r>
          </w:p>
        </w:tc>
        <w:tc>
          <w:tcPr>
            <w:tcW w:w="129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887"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12,8%</w:t>
            </w:r>
          </w:p>
        </w:tc>
        <w:tc>
          <w:tcPr>
            <w:tcW w:w="3027"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rPr>
          <w:trHeight w:val="255"/>
        </w:trPr>
        <w:tc>
          <w:tcPr>
            <w:tcW w:w="352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Емоційне функціонування</w:t>
            </w:r>
          </w:p>
        </w:tc>
        <w:tc>
          <w:tcPr>
            <w:tcW w:w="129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c>
          <w:tcPr>
            <w:tcW w:w="1887"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7,2%</w:t>
            </w:r>
          </w:p>
        </w:tc>
        <w:tc>
          <w:tcPr>
            <w:tcW w:w="3027"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w:t>
            </w:r>
          </w:p>
        </w:tc>
      </w:tr>
      <w:tr w:rsidR="00C62D22" w:rsidRPr="00C62D22" w:rsidTr="00E83BB7">
        <w:trPr>
          <w:trHeight w:val="255"/>
        </w:trPr>
        <w:tc>
          <w:tcPr>
            <w:tcW w:w="3528" w:type="dxa"/>
            <w:shd w:val="clear" w:color="auto" w:fill="auto"/>
            <w:noWrap/>
          </w:tcPr>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Психологічне здоров’я</w:t>
            </w:r>
          </w:p>
        </w:tc>
        <w:tc>
          <w:tcPr>
            <w:tcW w:w="1292"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8,64%</w:t>
            </w:r>
          </w:p>
        </w:tc>
        <w:tc>
          <w:tcPr>
            <w:tcW w:w="1887" w:type="dxa"/>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7%</w:t>
            </w:r>
          </w:p>
        </w:tc>
        <w:tc>
          <w:tcPr>
            <w:tcW w:w="3027" w:type="dxa"/>
            <w:shd w:val="clear" w:color="auto" w:fill="auto"/>
            <w:noWrap/>
            <w:vAlign w:val="center"/>
          </w:tcPr>
          <w:p w:rsidR="00C62D22" w:rsidRPr="00C62D22" w:rsidRDefault="00C62D22" w:rsidP="00C62D22">
            <w:pPr>
              <w:spacing w:after="0" w:line="360" w:lineRule="auto"/>
              <w:jc w:val="center"/>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23,2%</w:t>
            </w:r>
          </w:p>
        </w:tc>
      </w:tr>
    </w:tbl>
    <w:p w:rsidR="00C62D22" w:rsidRPr="00C62D22" w:rsidRDefault="00C62D22" w:rsidP="00C62D22">
      <w:pPr>
        <w:spacing w:after="0" w:line="360" w:lineRule="auto"/>
        <w:jc w:val="both"/>
        <w:rPr>
          <w:rFonts w:ascii="Times New Roman" w:eastAsia="Times New Roman" w:hAnsi="Times New Roman" w:cs="Times New Roman"/>
          <w:sz w:val="28"/>
          <w:szCs w:val="28"/>
          <w:lang w:val="uk-UA"/>
        </w:rPr>
      </w:pP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Варто сказати про деякі особливості отриманих результатів. Хоча, як уже зазначалося вище, дисперсійний аналіз був робастим щодо низки обмежень, проте для нього важливим було припущення про лінійність моделі й незалежність впливу факторів на досліджувані показники. Так, як тільки при цьому можна було розділити вплив кожного фактора. У нашому випадку це не так (принаймні щодо незалежності факторів – зрозуміло, що вибір операції часто визначався видом ПК). Тому отримані оцінки коефіцієнта детермінації можуть значно відрізнятися від реальних значень, що однак не скасовувало сам факт наявності впливу фактора.</w:t>
      </w:r>
    </w:p>
    <w:p w:rsidR="00C62D22" w:rsidRPr="00C62D22" w:rsidRDefault="00C62D22" w:rsidP="00C62D22">
      <w:pPr>
        <w:spacing w:after="0" w:line="360" w:lineRule="auto"/>
        <w:ind w:firstLine="567"/>
        <w:jc w:val="both"/>
        <w:rPr>
          <w:rFonts w:ascii="Times New Roman" w:eastAsia="Times New Roman" w:hAnsi="Times New Roman" w:cs="Times New Roman"/>
          <w:sz w:val="28"/>
          <w:szCs w:val="28"/>
          <w:lang w:val="uk-UA"/>
        </w:rPr>
      </w:pPr>
      <w:r w:rsidRPr="00C62D22">
        <w:rPr>
          <w:rFonts w:ascii="Times New Roman" w:eastAsia="Times New Roman" w:hAnsi="Times New Roman" w:cs="Times New Roman"/>
          <w:sz w:val="28"/>
          <w:szCs w:val="28"/>
          <w:lang w:val="uk-UA"/>
        </w:rPr>
        <w:t xml:space="preserve">Уцілому, аналіз значень коефіцієнтів детермінації показував, що тип ПК позначався тільки на душевному благополуччі (життєздатність і психологічне здоров'я) та погіршувався для ПК ІІ та ІІІ типів. Більше впливав на оцінку благополуччя пацієнтів вид операції (фізичне функціонування, соціальне функціонування, емоційне функціонування та психологічне здоров'я). Тобто для мініінвазивних операцій були характерні не тільки більш високі оцінки душевного </w:t>
      </w:r>
      <w:r w:rsidRPr="00C62D22">
        <w:rPr>
          <w:rFonts w:ascii="Times New Roman" w:eastAsia="Times New Roman" w:hAnsi="Times New Roman" w:cs="Times New Roman"/>
          <w:sz w:val="28"/>
          <w:szCs w:val="28"/>
          <w:lang w:val="uk-UA"/>
        </w:rPr>
        <w:lastRenderedPageBreak/>
        <w:t>стану, а й частково фізичного. Нарешті, найбільшу залежність на мінливість показників надавали спільний вплив типу ПК і виду операції, що було обумовлено їх взаємозв'язком.</w:t>
      </w:r>
    </w:p>
    <w:p w:rsidR="00C62D22" w:rsidRPr="00C62D22" w:rsidRDefault="00C62D22">
      <w:pPr>
        <w:rPr>
          <w:rFonts w:ascii="Times New Roman" w:hAnsi="Times New Roman" w:cs="Times New Roman"/>
          <w:sz w:val="28"/>
          <w:szCs w:val="28"/>
          <w:lang w:val="uk-UA"/>
        </w:rPr>
      </w:pPr>
      <w:r w:rsidRPr="00C62D22">
        <w:rPr>
          <w:rFonts w:ascii="Times New Roman" w:hAnsi="Times New Roman" w:cs="Times New Roman"/>
          <w:sz w:val="28"/>
          <w:szCs w:val="28"/>
          <w:lang w:val="uk-UA"/>
        </w:rPr>
        <w:br w:type="page"/>
      </w:r>
    </w:p>
    <w:p w:rsidR="00C62D22" w:rsidRPr="00C62D22" w:rsidRDefault="00C62D22" w:rsidP="00C62D22">
      <w:pPr>
        <w:widowControl w:val="0"/>
        <w:shd w:val="clear" w:color="auto" w:fill="FFFFFF"/>
        <w:tabs>
          <w:tab w:val="left" w:pos="490"/>
        </w:tabs>
        <w:autoSpaceDE w:val="0"/>
        <w:autoSpaceDN w:val="0"/>
        <w:adjustRightInd w:val="0"/>
        <w:spacing w:after="0" w:line="360" w:lineRule="auto"/>
        <w:ind w:firstLine="540"/>
        <w:jc w:val="center"/>
        <w:rPr>
          <w:rFonts w:ascii="Times New Roman" w:hAnsi="Times New Roman" w:cs="Times New Roman"/>
          <w:b/>
          <w:sz w:val="28"/>
          <w:szCs w:val="28"/>
          <w:lang w:val="uk-UA"/>
        </w:rPr>
      </w:pPr>
      <w:r w:rsidRPr="00C62D22">
        <w:rPr>
          <w:rFonts w:ascii="Times New Roman" w:hAnsi="Times New Roman" w:cs="Times New Roman"/>
          <w:b/>
          <w:sz w:val="28"/>
          <w:szCs w:val="28"/>
          <w:lang w:val="uk-UA"/>
        </w:rPr>
        <w:lastRenderedPageBreak/>
        <w:t>АНАЛІЗ ТА ОБГОВОРЕННЯ РЕЗУЛЬТАТІВ ДОСЛІДЖЕННЯ</w:t>
      </w:r>
    </w:p>
    <w:p w:rsidR="00C62D22" w:rsidRPr="00C62D22" w:rsidRDefault="00C62D22" w:rsidP="00C62D22">
      <w:pPr>
        <w:widowControl w:val="0"/>
        <w:shd w:val="clear" w:color="auto" w:fill="FFFFFF"/>
        <w:tabs>
          <w:tab w:val="left" w:pos="490"/>
        </w:tabs>
        <w:autoSpaceDE w:val="0"/>
        <w:autoSpaceDN w:val="0"/>
        <w:adjustRightInd w:val="0"/>
        <w:spacing w:after="0" w:line="360" w:lineRule="auto"/>
        <w:ind w:firstLine="540"/>
        <w:rPr>
          <w:rFonts w:ascii="Times New Roman" w:hAnsi="Times New Roman" w:cs="Times New Roman"/>
          <w:b/>
          <w:sz w:val="28"/>
          <w:szCs w:val="28"/>
          <w:lang w:val="uk-UA"/>
        </w:rPr>
      </w:pPr>
    </w:p>
    <w:p w:rsidR="00C62D22" w:rsidRPr="00C62D22" w:rsidRDefault="00C62D22" w:rsidP="00C62D22">
      <w:pPr>
        <w:widowControl w:val="0"/>
        <w:shd w:val="clear" w:color="auto" w:fill="FFFFFF"/>
        <w:tabs>
          <w:tab w:val="left" w:pos="490"/>
        </w:tabs>
        <w:autoSpaceDE w:val="0"/>
        <w:autoSpaceDN w:val="0"/>
        <w:adjustRightInd w:val="0"/>
        <w:spacing w:after="0" w:line="360" w:lineRule="auto"/>
        <w:ind w:firstLine="540"/>
        <w:rPr>
          <w:rFonts w:ascii="Times New Roman" w:hAnsi="Times New Roman" w:cs="Times New Roman"/>
          <w:sz w:val="28"/>
          <w:szCs w:val="28"/>
          <w:lang w:val="uk-UA"/>
        </w:rPr>
      </w:pPr>
    </w:p>
    <w:p w:rsidR="00C62D22" w:rsidRPr="00C62D22" w:rsidRDefault="00C62D22" w:rsidP="00C62D22">
      <w:pPr>
        <w:widowControl w:val="0"/>
        <w:shd w:val="clear" w:color="auto" w:fill="FFFFFF"/>
        <w:tabs>
          <w:tab w:val="left" w:pos="490"/>
        </w:tabs>
        <w:autoSpaceDE w:val="0"/>
        <w:autoSpaceDN w:val="0"/>
        <w:adjustRightInd w:val="0"/>
        <w:spacing w:after="0" w:line="360" w:lineRule="auto"/>
        <w:ind w:firstLine="540"/>
        <w:rPr>
          <w:rFonts w:ascii="Times New Roman" w:hAnsi="Times New Roman" w:cs="Times New Roman"/>
          <w:sz w:val="28"/>
          <w:szCs w:val="28"/>
          <w:lang w:val="uk-UA"/>
        </w:rPr>
      </w:pPr>
    </w:p>
    <w:p w:rsidR="00C62D22" w:rsidRPr="00C62D22" w:rsidRDefault="00C62D22" w:rsidP="00C62D22">
      <w:pPr>
        <w:pStyle w:val="a5"/>
        <w:spacing w:before="0" w:beforeAutospacing="0" w:after="0" w:afterAutospacing="0" w:line="360" w:lineRule="auto"/>
        <w:ind w:firstLine="540"/>
        <w:jc w:val="both"/>
        <w:rPr>
          <w:sz w:val="28"/>
          <w:szCs w:val="28"/>
          <w:lang w:val="uk-UA"/>
        </w:rPr>
      </w:pPr>
      <w:r w:rsidRPr="00C62D22">
        <w:rPr>
          <w:sz w:val="28"/>
          <w:szCs w:val="28"/>
          <w:lang w:val="uk-UA"/>
        </w:rPr>
        <w:t xml:space="preserve">Діагностика та лікування ускладнених ПК ПЗ продовжують залишатися однією з складних і невирішених проблем абдомінальної хірургії. Їх значущість зростає у зв’язку з появою нових сучасних методик, у тому числі й мініінвазивних, та збільшенням кількості хворих на ГП чи ХП. </w:t>
      </w:r>
    </w:p>
    <w:p w:rsidR="00C62D22" w:rsidRPr="00C62D22" w:rsidRDefault="00C62D22" w:rsidP="00C62D22">
      <w:pPr>
        <w:spacing w:after="0" w:line="360" w:lineRule="auto"/>
        <w:ind w:firstLine="540"/>
        <w:jc w:val="both"/>
        <w:rPr>
          <w:rFonts w:ascii="Times New Roman" w:hAnsi="Times New Roman" w:cs="Times New Roman"/>
          <w:sz w:val="28"/>
          <w:szCs w:val="28"/>
          <w:lang w:val="uk-UA"/>
        </w:rPr>
      </w:pPr>
      <w:r w:rsidRPr="00C62D22">
        <w:rPr>
          <w:rStyle w:val="hps"/>
          <w:rFonts w:ascii="Times New Roman" w:hAnsi="Times New Roman" w:cs="Times New Roman"/>
          <w:sz w:val="28"/>
          <w:szCs w:val="28"/>
          <w:lang w:val="uk-UA"/>
        </w:rPr>
        <w:t xml:space="preserve">Існує необхідність дослідження механізмів втрати функціонуючої тканини ПЗ та її заміщення сполучною тканиною. У зв’язку з цим виникає потреба у вивченні розвитку фіброзних змін ПЗ при ХП, порушення балансу між процесами синтезу та розпаду протеїнів ЕЦМ з його накопиченням та деградацією, змін показників ММП та їх тканинних інгібіторів, </w:t>
      </w:r>
      <w:r w:rsidRPr="00C62D22">
        <w:rPr>
          <w:rFonts w:ascii="Times New Roman" w:hAnsi="Times New Roman" w:cs="Times New Roman"/>
          <w:sz w:val="28"/>
          <w:szCs w:val="28"/>
          <w:lang w:val="uk-UA"/>
        </w:rPr>
        <w:t xml:space="preserve">які здійснюють регулюючу та моделюючу функцію в ангіогенезі; та  ендотеліальної дисфункції. </w:t>
      </w:r>
    </w:p>
    <w:p w:rsidR="00C62D22" w:rsidRPr="00C62D22" w:rsidRDefault="00C62D22" w:rsidP="00C62D22">
      <w:pPr>
        <w:pStyle w:val="a5"/>
        <w:spacing w:before="0" w:beforeAutospacing="0" w:after="0" w:afterAutospacing="0" w:line="360" w:lineRule="auto"/>
        <w:ind w:firstLine="540"/>
        <w:jc w:val="both"/>
        <w:rPr>
          <w:sz w:val="28"/>
          <w:szCs w:val="28"/>
          <w:lang w:val="uk-UA"/>
        </w:rPr>
      </w:pPr>
      <w:r w:rsidRPr="00C62D22">
        <w:rPr>
          <w:sz w:val="28"/>
          <w:szCs w:val="28"/>
          <w:lang w:val="uk-UA"/>
        </w:rPr>
        <w:t>Відсутність єдиного алгоритму доопераційного та інтраопераційного обстеження пацієнтів з цією патологією, наявність великої кількості оперативних втручань, в тому числі й мініінвазивних, створює дилему щодо діагностики та лікування ускладнених ПК ПЗ. У зв’язку з цим вирішення цієї проблеми має такі аспекти: 1) своєчасна діагностика ПК ПЗ та її ускладнення, 2) вибір патогенетично обґрунтованої методики оперативного втручання, 3) розробка показань та протипоказань до застосування мініінвазивних методик, 4) розробка показань та протипоказань до застосування відкритих оперативних втручань, 5) розробка нових та вдосконалення існуючих методик хірургічних втручань у хворих на ускладнені ПК ПЗ.</w:t>
      </w:r>
    </w:p>
    <w:p w:rsidR="00C62D22" w:rsidRPr="00C62D22" w:rsidRDefault="00C62D22" w:rsidP="00C62D22">
      <w:pPr>
        <w:pStyle w:val="a5"/>
        <w:spacing w:before="0" w:beforeAutospacing="0" w:after="0" w:afterAutospacing="0" w:line="360" w:lineRule="auto"/>
        <w:ind w:firstLine="540"/>
        <w:jc w:val="both"/>
        <w:rPr>
          <w:sz w:val="28"/>
          <w:szCs w:val="28"/>
          <w:lang w:val="uk-UA"/>
        </w:rPr>
      </w:pPr>
      <w:r w:rsidRPr="00C62D22">
        <w:rPr>
          <w:sz w:val="28"/>
          <w:szCs w:val="28"/>
          <w:lang w:val="uk-UA"/>
        </w:rPr>
        <w:t xml:space="preserve">Таким чином, дослідженню діагностики та хірургічного лікування ускладнених ПК ПЗ на сьогодні присвячено багато робіт, але, не зважаючи на накопичений досвід, знання в цій галузі залишаються неповними. </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Дотепер немає єдиної точки зору на патогенетичні зміни у паренхімі ПЗ та у стінках ПК, стан печінкового та спланхнічного кровотоку при різних типах ПК ПЗ. Питання прогнозування розвитку післяопераційних ускладнень та їх профілактики, </w:t>
      </w:r>
      <w:r w:rsidRPr="00C62D22">
        <w:rPr>
          <w:rFonts w:ascii="Times New Roman" w:hAnsi="Times New Roman" w:cs="Times New Roman"/>
          <w:sz w:val="28"/>
          <w:szCs w:val="28"/>
        </w:rPr>
        <w:lastRenderedPageBreak/>
        <w:t>вибору хірургічної тактики при ускладнених ПК ПЗ містять низку невирішених завдань, які є перспективою подальшого дослідження.</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Метою дослідження було поліпшення результатів хірургічного лікування хворих з ускладненими ПК ПЗ, з урахуванням прогнозування й індивідуалізації хірургічної тактики, шляхом підвищення точності діагностики при використанні сучасних методів обстеження хворого, розробки та впровадження в клінічну практику диференційованого підходу до вибору методів оперативного лікування при різних видах ускладнень та стадії формування ПК ПЗ.</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Для реалізації зазначеної мети були поставлені наступні завдання: </w:t>
      </w:r>
    </w:p>
    <w:p w:rsidR="00C62D22" w:rsidRPr="00C62D22" w:rsidRDefault="00C62D22" w:rsidP="00C62D22">
      <w:pPr>
        <w:numPr>
          <w:ilvl w:val="0"/>
          <w:numId w:val="2"/>
        </w:numPr>
        <w:tabs>
          <w:tab w:val="clear" w:pos="735"/>
          <w:tab w:val="num" w:pos="180"/>
          <w:tab w:val="left" w:pos="540"/>
          <w:tab w:val="left" w:pos="1080"/>
        </w:tabs>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На тлі ретро- й проспективного аналізу вивчити комплекс клініко-лабораторних показників та інструментальних даних для визначення їх діагн</w:t>
      </w:r>
      <w:r w:rsidRPr="00C62D22">
        <w:rPr>
          <w:rFonts w:ascii="Times New Roman" w:hAnsi="Times New Roman" w:cs="Times New Roman"/>
          <w:sz w:val="28"/>
          <w:szCs w:val="28"/>
        </w:rPr>
        <w:t>о</w:t>
      </w:r>
      <w:r w:rsidRPr="00C62D22">
        <w:rPr>
          <w:rFonts w:ascii="Times New Roman" w:hAnsi="Times New Roman" w:cs="Times New Roman"/>
          <w:sz w:val="28"/>
          <w:szCs w:val="28"/>
        </w:rPr>
        <w:t>стичної значущості, а також особливостей клінічного перебігу ускладнених ПК ПЗ з урахува</w:t>
      </w:r>
      <w:r w:rsidRPr="00C62D22">
        <w:rPr>
          <w:rFonts w:ascii="Times New Roman" w:hAnsi="Times New Roman" w:cs="Times New Roman"/>
          <w:sz w:val="28"/>
          <w:szCs w:val="28"/>
        </w:rPr>
        <w:t>н</w:t>
      </w:r>
      <w:r w:rsidRPr="00C62D22">
        <w:rPr>
          <w:rFonts w:ascii="Times New Roman" w:hAnsi="Times New Roman" w:cs="Times New Roman"/>
          <w:sz w:val="28"/>
          <w:szCs w:val="28"/>
        </w:rPr>
        <w:t>ням їх типів.</w:t>
      </w:r>
    </w:p>
    <w:p w:rsidR="00C62D22" w:rsidRPr="00C62D22" w:rsidRDefault="00C62D22" w:rsidP="00C62D22">
      <w:pPr>
        <w:numPr>
          <w:ilvl w:val="0"/>
          <w:numId w:val="2"/>
        </w:numPr>
        <w:tabs>
          <w:tab w:val="clear" w:pos="735"/>
          <w:tab w:val="num" w:pos="180"/>
          <w:tab w:val="left" w:pos="540"/>
          <w:tab w:val="left" w:pos="1080"/>
        </w:tabs>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Вивчити зміни деяких </w:t>
      </w:r>
      <w:r w:rsidRPr="00C62D22">
        <w:rPr>
          <w:rStyle w:val="hps"/>
          <w:rFonts w:ascii="Times New Roman" w:hAnsi="Times New Roman" w:cs="Times New Roman"/>
          <w:sz w:val="28"/>
          <w:szCs w:val="28"/>
        </w:rPr>
        <w:t xml:space="preserve">профіброгенних медіаторів, маркерів ендотеліальної дисфункції та гомеостазу у хворих з різними типами ускладнених ПК ПЗ </w:t>
      </w:r>
      <w:r w:rsidRPr="00C62D22">
        <w:rPr>
          <w:rFonts w:ascii="Times New Roman" w:hAnsi="Times New Roman" w:cs="Times New Roman"/>
          <w:sz w:val="28"/>
          <w:szCs w:val="28"/>
        </w:rPr>
        <w:t>у сироватці крові.</w:t>
      </w:r>
    </w:p>
    <w:p w:rsidR="00C62D22" w:rsidRPr="00C62D22" w:rsidRDefault="00C62D22" w:rsidP="00C62D22">
      <w:pPr>
        <w:numPr>
          <w:ilvl w:val="0"/>
          <w:numId w:val="2"/>
        </w:numPr>
        <w:tabs>
          <w:tab w:val="clear" w:pos="735"/>
          <w:tab w:val="num" w:pos="180"/>
          <w:tab w:val="left" w:pos="540"/>
          <w:tab w:val="left" w:pos="1080"/>
        </w:tabs>
        <w:spacing w:after="0" w:line="360" w:lineRule="auto"/>
        <w:ind w:left="0" w:firstLine="540"/>
        <w:jc w:val="both"/>
        <w:rPr>
          <w:rStyle w:val="hps"/>
          <w:rFonts w:ascii="Times New Roman" w:hAnsi="Times New Roman" w:cs="Times New Roman"/>
          <w:sz w:val="28"/>
          <w:szCs w:val="28"/>
        </w:rPr>
      </w:pPr>
      <w:r w:rsidRPr="00C62D22">
        <w:rPr>
          <w:rStyle w:val="hps"/>
          <w:rFonts w:ascii="Times New Roman" w:hAnsi="Times New Roman" w:cs="Times New Roman"/>
          <w:sz w:val="28"/>
          <w:szCs w:val="28"/>
        </w:rPr>
        <w:t>Визначити патоморфологічні та імуногістохімічні зміни в стінці різних типів ПК та в паренхімі ПЗ</w:t>
      </w:r>
      <w:r w:rsidRPr="00C62D22">
        <w:rPr>
          <w:rFonts w:ascii="Times New Roman" w:hAnsi="Times New Roman" w:cs="Times New Roman"/>
          <w:sz w:val="28"/>
          <w:szCs w:val="28"/>
        </w:rPr>
        <w:t xml:space="preserve"> з метою прогнозування перебігу патологічного процесу</w:t>
      </w:r>
      <w:r w:rsidRPr="00C62D22">
        <w:rPr>
          <w:rStyle w:val="hps"/>
          <w:rFonts w:ascii="Times New Roman" w:hAnsi="Times New Roman" w:cs="Times New Roman"/>
          <w:sz w:val="28"/>
          <w:szCs w:val="28"/>
        </w:rPr>
        <w:t>.</w:t>
      </w:r>
    </w:p>
    <w:p w:rsidR="00C62D22" w:rsidRPr="00C62D22" w:rsidRDefault="00C62D22" w:rsidP="00C62D22">
      <w:pPr>
        <w:numPr>
          <w:ilvl w:val="0"/>
          <w:numId w:val="2"/>
        </w:numPr>
        <w:tabs>
          <w:tab w:val="clear" w:pos="735"/>
          <w:tab w:val="num" w:pos="180"/>
          <w:tab w:val="left" w:pos="540"/>
          <w:tab w:val="left" w:pos="1080"/>
        </w:tabs>
        <w:spacing w:after="0" w:line="360" w:lineRule="auto"/>
        <w:ind w:left="0" w:firstLine="540"/>
        <w:jc w:val="both"/>
        <w:rPr>
          <w:rFonts w:ascii="Times New Roman" w:hAnsi="Times New Roman" w:cs="Times New Roman"/>
          <w:sz w:val="28"/>
          <w:szCs w:val="28"/>
        </w:rPr>
      </w:pPr>
      <w:r w:rsidRPr="00C62D22">
        <w:rPr>
          <w:rStyle w:val="ab"/>
          <w:rFonts w:ascii="Times New Roman" w:hAnsi="Times New Roman" w:cs="Times New Roman"/>
          <w:b w:val="0"/>
          <w:sz w:val="28"/>
          <w:szCs w:val="28"/>
        </w:rPr>
        <w:t xml:space="preserve">Вивчити стан печінкового й спланхнічного кровотока у хворих з різними типами ускладнених ПК ПЗ. </w:t>
      </w:r>
    </w:p>
    <w:p w:rsidR="00C62D22" w:rsidRPr="00C62D22" w:rsidRDefault="00C62D22" w:rsidP="00C62D22">
      <w:pPr>
        <w:numPr>
          <w:ilvl w:val="0"/>
          <w:numId w:val="2"/>
        </w:numPr>
        <w:tabs>
          <w:tab w:val="clear" w:pos="735"/>
          <w:tab w:val="num" w:pos="180"/>
          <w:tab w:val="left" w:pos="540"/>
          <w:tab w:val="left" w:pos="1080"/>
        </w:tabs>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Розробити діагностично-лікувальний алгоритм  залежно від типу ПК ПЗ, виду ускладнення та важкості патологічного процесу в ПЗ та стану хворого.</w:t>
      </w:r>
    </w:p>
    <w:p w:rsidR="00C62D22" w:rsidRPr="00C62D22" w:rsidRDefault="00C62D22" w:rsidP="00C62D22">
      <w:pPr>
        <w:numPr>
          <w:ilvl w:val="0"/>
          <w:numId w:val="2"/>
        </w:numPr>
        <w:tabs>
          <w:tab w:val="clear" w:pos="735"/>
          <w:tab w:val="num" w:pos="180"/>
          <w:tab w:val="left" w:pos="540"/>
          <w:tab w:val="left" w:pos="1080"/>
        </w:tabs>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Вивчити можливості застосування мінінвазивних оперативних втручань як інвазивного методу диференційної діагностики та лікувальної маніпуляції при різних типах ускладнених ПК ПЗ.</w:t>
      </w:r>
    </w:p>
    <w:p w:rsidR="00C62D22" w:rsidRPr="00C62D22" w:rsidRDefault="00C62D22" w:rsidP="00C62D22">
      <w:pPr>
        <w:numPr>
          <w:ilvl w:val="0"/>
          <w:numId w:val="2"/>
        </w:numPr>
        <w:tabs>
          <w:tab w:val="clear" w:pos="735"/>
          <w:tab w:val="num" w:pos="180"/>
          <w:tab w:val="left" w:pos="540"/>
          <w:tab w:val="left" w:pos="1080"/>
        </w:tabs>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Визначити місце лапаротомних втручань при різних типах ускладнених ПК ПЗ. </w:t>
      </w:r>
    </w:p>
    <w:p w:rsidR="00C62D22" w:rsidRPr="00C62D22" w:rsidRDefault="00C62D22" w:rsidP="00C62D22">
      <w:pPr>
        <w:numPr>
          <w:ilvl w:val="0"/>
          <w:numId w:val="2"/>
        </w:numPr>
        <w:tabs>
          <w:tab w:val="clear" w:pos="735"/>
          <w:tab w:val="num" w:pos="180"/>
          <w:tab w:val="left" w:pos="540"/>
          <w:tab w:val="left" w:pos="1080"/>
        </w:tabs>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Визначити місце рентгенендоваскулярних оклюзій судин при кровотечах у порожнину ПК ПЗ.</w:t>
      </w:r>
    </w:p>
    <w:p w:rsidR="00C62D22" w:rsidRPr="00C62D22" w:rsidRDefault="00C62D22" w:rsidP="00C62D22">
      <w:pPr>
        <w:numPr>
          <w:ilvl w:val="0"/>
          <w:numId w:val="2"/>
        </w:numPr>
        <w:tabs>
          <w:tab w:val="clear" w:pos="735"/>
          <w:tab w:val="num" w:pos="180"/>
          <w:tab w:val="left" w:pos="720"/>
          <w:tab w:val="left" w:pos="1080"/>
        </w:tabs>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Удосконалити та розробити методики оперативних втручань у хворих з ускладненими ПК ПЗ з урахуванням особливостей їх клінічного перебігу та прогнозуванням розвитку ускладнень.</w:t>
      </w:r>
    </w:p>
    <w:p w:rsidR="00C62D22" w:rsidRPr="00C62D22" w:rsidRDefault="00C62D22" w:rsidP="00C62D22">
      <w:pPr>
        <w:numPr>
          <w:ilvl w:val="0"/>
          <w:numId w:val="2"/>
        </w:numPr>
        <w:tabs>
          <w:tab w:val="clear" w:pos="735"/>
          <w:tab w:val="num" w:pos="180"/>
          <w:tab w:val="left" w:pos="720"/>
          <w:tab w:val="left" w:pos="1080"/>
        </w:tabs>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 Провести оцінювання безпосередніх та віддалених результатів хірургічного лікування хворих з ускладненими ПК ПЗ залежно від виду ускладнення та тактики лікування.</w:t>
      </w:r>
    </w:p>
    <w:p w:rsidR="00C62D22" w:rsidRPr="00C62D22" w:rsidRDefault="00C62D22" w:rsidP="00C62D22">
      <w:pPr>
        <w:tabs>
          <w:tab w:val="left" w:pos="108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ab/>
        <w:t>Об' єктом дослідження були ускладнені ПК ПЗ.</w:t>
      </w:r>
    </w:p>
    <w:p w:rsidR="00C62D22" w:rsidRPr="00C62D22" w:rsidRDefault="00C62D22" w:rsidP="00C62D22">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Для вирішення поставлених задач нами було обстежено і проаналізовано результати лікування 505 хворих на ускладнені ПК ПЗ, з яких до І групи входили 81 (16,04%) хворий, до ІІ групи – 247 (48,91%) пацієнтів, до ІІІ групи –177 (35,05%) хворих. Розподіл хворих на групи здійснювався згідно класифікації D'Egidio A. та</w:t>
      </w:r>
      <w:r w:rsidRPr="00C62D22">
        <w:rPr>
          <w:rFonts w:ascii="Times New Roman" w:hAnsi="Times New Roman" w:cs="Times New Roman"/>
          <w:smallCaps/>
          <w:sz w:val="28"/>
          <w:szCs w:val="28"/>
        </w:rPr>
        <w:t xml:space="preserve"> </w:t>
      </w:r>
      <w:r w:rsidRPr="00C62D22">
        <w:rPr>
          <w:rFonts w:ascii="Times New Roman" w:hAnsi="Times New Roman" w:cs="Times New Roman"/>
          <w:sz w:val="28"/>
          <w:szCs w:val="28"/>
        </w:rPr>
        <w:t>Schein M. (1991 р). Хворих (81) було оперовано в хірургічній клініці Комунального закладу охорони здоров’я «Харківська обласна клінічна лікарня – Центр екстреної медичної допомоги та медицини катастроф», ретроспективно проананалізізовано 346 історій хвороб пацієнтів з ускладненими ПК ПЗ, оперованих за період з 2000 по 2013 рр. включно, та безпосередньо взято участь у лікуванні 78 паці</w:t>
      </w:r>
      <w:r w:rsidRPr="00C62D22">
        <w:rPr>
          <w:rFonts w:ascii="Times New Roman" w:hAnsi="Times New Roman" w:cs="Times New Roman"/>
          <w:sz w:val="28"/>
          <w:szCs w:val="28"/>
        </w:rPr>
        <w:t>є</w:t>
      </w:r>
      <w:r w:rsidRPr="00C62D22">
        <w:rPr>
          <w:rFonts w:ascii="Times New Roman" w:hAnsi="Times New Roman" w:cs="Times New Roman"/>
          <w:sz w:val="28"/>
          <w:szCs w:val="28"/>
        </w:rPr>
        <w:t>нтів, оперованих у відділі хірургії підшлункової залози та реконструктивної хірургії жовчовивідних протоків ДУ Національної академії медичних наук України «Національний інститут хірургії та трансплантології ім. О.О. Шалімова» за період з 2014-2015 рр.</w:t>
      </w:r>
      <w:r w:rsidRPr="00C62D22">
        <w:rPr>
          <w:rFonts w:ascii="Times New Roman" w:hAnsi="Times New Roman" w:cs="Times New Roman"/>
          <w:kern w:val="28"/>
          <w:sz w:val="28"/>
          <w:szCs w:val="28"/>
        </w:rPr>
        <w:t xml:space="preserve"> </w:t>
      </w:r>
      <w:r w:rsidRPr="00C62D22">
        <w:rPr>
          <w:rFonts w:ascii="Times New Roman" w:hAnsi="Times New Roman" w:cs="Times New Roman"/>
          <w:sz w:val="28"/>
          <w:szCs w:val="28"/>
        </w:rPr>
        <w:t>Головною причиною виникнення ПК ПЗ у хворих, що досліджувались, було зловживання алкоголем у (79,8%), ЖКХ (13,2 %) та травма ПЗ (7%) випадків.</w:t>
      </w:r>
    </w:p>
    <w:p w:rsidR="00C62D22" w:rsidRPr="00C62D22" w:rsidRDefault="00C62D22" w:rsidP="00C62D22">
      <w:pPr>
        <w:widowControl w:val="0"/>
        <w:spacing w:after="0" w:line="360" w:lineRule="auto"/>
        <w:ind w:firstLine="540"/>
        <w:jc w:val="both"/>
        <w:rPr>
          <w:rFonts w:ascii="Times New Roman" w:hAnsi="Times New Roman" w:cs="Times New Roman"/>
          <w:sz w:val="28"/>
          <w:szCs w:val="28"/>
        </w:rPr>
      </w:pPr>
      <w:r w:rsidRPr="00C62D22">
        <w:rPr>
          <w:rFonts w:ascii="Times New Roman" w:eastAsia="TimesNewRoman" w:hAnsi="Times New Roman" w:cs="Times New Roman"/>
          <w:sz w:val="28"/>
          <w:szCs w:val="28"/>
        </w:rPr>
        <w:t xml:space="preserve">У хворих з ускладненими ПК ПЗ визначали наявність або відсутність поліорганної недостатності та </w:t>
      </w:r>
      <w:r w:rsidRPr="00C62D22">
        <w:rPr>
          <w:rFonts w:ascii="Times New Roman" w:hAnsi="Times New Roman" w:cs="Times New Roman"/>
          <w:sz w:val="28"/>
          <w:szCs w:val="28"/>
        </w:rPr>
        <w:t>ступінь дисфункції органів SOFA. Так, при показнику SOFA до 3 дисфункції органа не відзначалося, при SOFA від 3 до 8 (прогнозована летальність 22,5%), дисфункцію органа вважали помірною тоді як, при показниках SOFA 8 або більше, ди</w:t>
      </w:r>
      <w:r w:rsidRPr="00C62D22">
        <w:rPr>
          <w:rFonts w:ascii="Times New Roman" w:hAnsi="Times New Roman" w:cs="Times New Roman"/>
          <w:sz w:val="28"/>
          <w:szCs w:val="28"/>
        </w:rPr>
        <w:t>с</w:t>
      </w:r>
      <w:r w:rsidRPr="00C62D22">
        <w:rPr>
          <w:rFonts w:ascii="Times New Roman" w:hAnsi="Times New Roman" w:cs="Times New Roman"/>
          <w:sz w:val="28"/>
          <w:szCs w:val="28"/>
        </w:rPr>
        <w:t>функцію органа вважали важкою. Розрахунок показників здійснювали за допомогою автоматичного розрахунку на сайті ClinCalc.com.</w:t>
      </w:r>
    </w:p>
    <w:p w:rsidR="00C62D22" w:rsidRPr="00C62D22" w:rsidRDefault="00C62D22" w:rsidP="00C62D22">
      <w:pPr>
        <w:widowControl w:val="0"/>
        <w:spacing w:after="0" w:line="360" w:lineRule="auto"/>
        <w:ind w:firstLine="540"/>
        <w:jc w:val="both"/>
        <w:rPr>
          <w:rFonts w:ascii="Times New Roman" w:hAnsi="Times New Roman" w:cs="Times New Roman"/>
          <w:sz w:val="28"/>
          <w:szCs w:val="28"/>
          <w:lang w:bidi="ar-OM"/>
        </w:rPr>
      </w:pPr>
      <w:r w:rsidRPr="00C62D22">
        <w:rPr>
          <w:rFonts w:ascii="Times New Roman" w:hAnsi="Times New Roman" w:cs="Times New Roman"/>
          <w:sz w:val="28"/>
          <w:szCs w:val="28"/>
          <w:lang w:bidi="ar-OM"/>
        </w:rPr>
        <w:t>З усіх досліджуваних хворих, біль у верхніх відділах живота, лівому підребер’ї, спостегірався в 476 (94,3%) випадків. Іншими на</w:t>
      </w:r>
      <w:r w:rsidRPr="00C62D22">
        <w:rPr>
          <w:rFonts w:ascii="Times New Roman" w:hAnsi="Times New Roman" w:cs="Times New Roman"/>
          <w:sz w:val="28"/>
          <w:szCs w:val="28"/>
          <w:lang w:bidi="ar-OM"/>
        </w:rPr>
        <w:t>й</w:t>
      </w:r>
      <w:r w:rsidRPr="00C62D22">
        <w:rPr>
          <w:rFonts w:ascii="Times New Roman" w:hAnsi="Times New Roman" w:cs="Times New Roman"/>
          <w:sz w:val="28"/>
          <w:szCs w:val="28"/>
          <w:lang w:bidi="ar-OM"/>
        </w:rPr>
        <w:t xml:space="preserve">більш частими проявами </w:t>
      </w:r>
      <w:r w:rsidRPr="00C62D22">
        <w:rPr>
          <w:rFonts w:ascii="Times New Roman" w:hAnsi="Times New Roman" w:cs="Times New Roman"/>
          <w:sz w:val="28"/>
          <w:szCs w:val="28"/>
          <w:lang w:bidi="ar-OM"/>
        </w:rPr>
        <w:lastRenderedPageBreak/>
        <w:t>захворювання були слабкість у 377 (74,9%) хворих та прояви диспепсичного синдрому в 390 (77,2%) пацієнтів. При пальпації у 87,9 % хворих у верхніх відділах живота визначали пухл</w:t>
      </w:r>
      <w:r w:rsidRPr="00C62D22">
        <w:rPr>
          <w:rFonts w:ascii="Times New Roman" w:hAnsi="Times New Roman" w:cs="Times New Roman"/>
          <w:sz w:val="28"/>
          <w:szCs w:val="28"/>
          <w:lang w:bidi="ar-OM"/>
        </w:rPr>
        <w:t>и</w:t>
      </w:r>
      <w:r w:rsidRPr="00C62D22">
        <w:rPr>
          <w:rFonts w:ascii="Times New Roman" w:hAnsi="Times New Roman" w:cs="Times New Roman"/>
          <w:sz w:val="28"/>
          <w:szCs w:val="28"/>
          <w:lang w:bidi="ar-OM"/>
        </w:rPr>
        <w:t>ноподібне утворення. При визначенні рівня амілази крові в 388 (76,8%) хворих спостерігалася гіпераміл</w:t>
      </w:r>
      <w:r w:rsidRPr="00C62D22">
        <w:rPr>
          <w:rFonts w:ascii="Times New Roman" w:hAnsi="Times New Roman" w:cs="Times New Roman"/>
          <w:sz w:val="28"/>
          <w:szCs w:val="28"/>
          <w:lang w:bidi="ar-OM"/>
        </w:rPr>
        <w:t>а</w:t>
      </w:r>
      <w:r w:rsidRPr="00C62D22">
        <w:rPr>
          <w:rFonts w:ascii="Times New Roman" w:hAnsi="Times New Roman" w:cs="Times New Roman"/>
          <w:sz w:val="28"/>
          <w:szCs w:val="28"/>
          <w:lang w:bidi="ar-OM"/>
        </w:rPr>
        <w:t>земія.</w:t>
      </w:r>
    </w:p>
    <w:p w:rsidR="00C62D22" w:rsidRPr="00C62D22" w:rsidRDefault="00C62D22" w:rsidP="00C62D22">
      <w:pPr>
        <w:widowControl w:val="0"/>
        <w:tabs>
          <w:tab w:val="left" w:pos="180"/>
        </w:tabs>
        <w:spacing w:after="0" w:line="360" w:lineRule="auto"/>
        <w:ind w:firstLine="540"/>
        <w:jc w:val="both"/>
        <w:rPr>
          <w:rFonts w:ascii="Times New Roman" w:eastAsia="GaramondC-Light" w:hAnsi="Times New Roman" w:cs="Times New Roman"/>
          <w:sz w:val="28"/>
          <w:szCs w:val="28"/>
        </w:rPr>
      </w:pPr>
      <w:r w:rsidRPr="00C62D22">
        <w:rPr>
          <w:rFonts w:ascii="Times New Roman" w:eastAsia="GaramondC-Light" w:hAnsi="Times New Roman" w:cs="Times New Roman"/>
          <w:sz w:val="28"/>
          <w:szCs w:val="28"/>
        </w:rPr>
        <w:t>У якості ускладнень у хворих виявлялися компресія шлу</w:t>
      </w:r>
      <w:r w:rsidRPr="00C62D22">
        <w:rPr>
          <w:rFonts w:ascii="Times New Roman" w:eastAsia="GaramondC-Light" w:hAnsi="Times New Roman" w:cs="Times New Roman"/>
          <w:sz w:val="28"/>
          <w:szCs w:val="28"/>
        </w:rPr>
        <w:t>н</w:t>
      </w:r>
      <w:r w:rsidRPr="00C62D22">
        <w:rPr>
          <w:rFonts w:ascii="Times New Roman" w:eastAsia="GaramondC-Light" w:hAnsi="Times New Roman" w:cs="Times New Roman"/>
          <w:sz w:val="28"/>
          <w:szCs w:val="28"/>
        </w:rPr>
        <w:t xml:space="preserve">ка та/або ДПК у 172 (34,06%), нагноєння – у 113 (22,4%), механічна жовтяниця – у 97 (19,2%), кровотеча в порожнину ПК – у 90 (17,8%), розрив ПК – 24 (4,76%), нориці – 9 (1,78%) хворих. </w:t>
      </w:r>
      <w:r w:rsidRPr="00C62D22">
        <w:rPr>
          <w:rFonts w:ascii="Times New Roman" w:hAnsi="Times New Roman" w:cs="Times New Roman"/>
          <w:sz w:val="28"/>
          <w:szCs w:val="28"/>
        </w:rPr>
        <w:t>У 46 (9,1%) пацієнтів до госпіталізації були виконані різні хірургічні втручання, з них: операції на ПЗ виконані 13 (2,6%) хворим, з приводу ПК ПЗ раніш прооперовано 33 (6,5%) пацієнтів.</w:t>
      </w:r>
    </w:p>
    <w:p w:rsidR="00C62D22" w:rsidRPr="00C62D22" w:rsidRDefault="00C62D22" w:rsidP="00C62D22">
      <w:pPr>
        <w:shd w:val="clear" w:color="auto" w:fill="FFFFFF"/>
        <w:tabs>
          <w:tab w:val="left" w:pos="180"/>
          <w:tab w:val="left" w:pos="540"/>
          <w:tab w:val="left" w:pos="720"/>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Усі хворі під час надходження до клініки були комплексно обстежені. Загальноклінічне обстеження передбачало оцінку загального стану, показників гемодинаміки. Виконувалися клінічні аналізи крові, сечі, біохім</w:t>
      </w:r>
      <w:r w:rsidRPr="00C62D22">
        <w:rPr>
          <w:rFonts w:ascii="Times New Roman" w:hAnsi="Times New Roman" w:cs="Times New Roman"/>
          <w:sz w:val="28"/>
          <w:szCs w:val="28"/>
        </w:rPr>
        <w:t>і</w:t>
      </w:r>
      <w:r w:rsidRPr="00C62D22">
        <w:rPr>
          <w:rFonts w:ascii="Times New Roman" w:hAnsi="Times New Roman" w:cs="Times New Roman"/>
          <w:sz w:val="28"/>
          <w:szCs w:val="28"/>
        </w:rPr>
        <w:t xml:space="preserve">чні дослідження крові, визначення показників згортання крові, групи крові та резус-фактора, концентрацію α-амілази сироватки крові та вмісту ПК ПЗ, рівень глюкози у сироватці крові. </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eastAsia="MyriadPro-Bold" w:hAnsi="Times New Roman" w:cs="Times New Roman"/>
          <w:bCs/>
          <w:sz w:val="28"/>
          <w:szCs w:val="28"/>
        </w:rPr>
        <w:t xml:space="preserve">Визначали </w:t>
      </w:r>
      <w:r w:rsidRPr="00C62D22">
        <w:rPr>
          <w:rFonts w:ascii="Times New Roman" w:eastAsia="GaramondC-Light" w:hAnsi="Times New Roman" w:cs="Times New Roman"/>
          <w:sz w:val="28"/>
          <w:szCs w:val="28"/>
        </w:rPr>
        <w:t xml:space="preserve">фактор росту ендотелію судин </w:t>
      </w:r>
      <w:r w:rsidRPr="00C62D22">
        <w:rPr>
          <w:rFonts w:ascii="Times New Roman" w:eastAsia="MyriadPro-Bold" w:hAnsi="Times New Roman" w:cs="Times New Roman"/>
          <w:bCs/>
          <w:sz w:val="28"/>
          <w:szCs w:val="28"/>
        </w:rPr>
        <w:t xml:space="preserve">VEGF, рівень </w:t>
      </w:r>
      <w:r w:rsidRPr="00C62D22">
        <w:rPr>
          <w:rFonts w:ascii="Times New Roman" w:hAnsi="Times New Roman" w:cs="Times New Roman"/>
          <w:sz w:val="28"/>
          <w:szCs w:val="28"/>
        </w:rPr>
        <w:t>ММП-9, її інгібітор ТІМП-2 та комплекс з інгібітором ММП–9/ТІМП–2 у сироватці крові імуноферментним м</w:t>
      </w:r>
      <w:r w:rsidRPr="00C62D22">
        <w:rPr>
          <w:rFonts w:ascii="Times New Roman" w:hAnsi="Times New Roman" w:cs="Times New Roman"/>
          <w:sz w:val="28"/>
          <w:szCs w:val="28"/>
        </w:rPr>
        <w:t>е</w:t>
      </w:r>
      <w:r w:rsidRPr="00C62D22">
        <w:rPr>
          <w:rFonts w:ascii="Times New Roman" w:hAnsi="Times New Roman" w:cs="Times New Roman"/>
          <w:sz w:val="28"/>
          <w:szCs w:val="28"/>
        </w:rPr>
        <w:t>тодом за допомогою діагностичних наборів фірми R&amp;D Diagnostics Inc. (США). Визначення плазматичних рівнів ІL–6 та ІL–10 проводилося імуноферментним методом за допомогою набору реагентів виробництва ЗАТ «Ве</w:t>
      </w:r>
      <w:r w:rsidRPr="00C62D22">
        <w:rPr>
          <w:rFonts w:ascii="Times New Roman" w:hAnsi="Times New Roman" w:cs="Times New Roman"/>
          <w:sz w:val="28"/>
          <w:szCs w:val="28"/>
        </w:rPr>
        <w:t>к</w:t>
      </w:r>
      <w:r w:rsidRPr="00C62D22">
        <w:rPr>
          <w:rFonts w:ascii="Times New Roman" w:hAnsi="Times New Roman" w:cs="Times New Roman"/>
          <w:sz w:val="28"/>
          <w:szCs w:val="28"/>
        </w:rPr>
        <w:t>тор–Бест» (Росія). Дослідження рівнів IL–8 проводилося імуноферментним методом за допомогою тест-систем виробництва «</w:t>
      </w:r>
      <w:r w:rsidRPr="00C62D22">
        <w:rPr>
          <w:rFonts w:ascii="Times New Roman" w:eastAsia="MyriadPro-Regular" w:hAnsi="Times New Roman" w:cs="Times New Roman"/>
          <w:sz w:val="28"/>
          <w:szCs w:val="28"/>
        </w:rPr>
        <w:t>BIOSOURCE IL</w:t>
      </w:r>
      <w:r w:rsidRPr="00C62D22">
        <w:rPr>
          <w:rFonts w:ascii="Times New Roman" w:hAnsi="Times New Roman" w:cs="Times New Roman"/>
          <w:sz w:val="28"/>
          <w:szCs w:val="28"/>
        </w:rPr>
        <w:t>–8 EASIA kit» (Бельгія). Визначення рівня IL–18 проводилося імуноферментним методом за допомогою тест-систем Human IL–18, виро</w:t>
      </w:r>
      <w:r w:rsidRPr="00C62D22">
        <w:rPr>
          <w:rFonts w:ascii="Times New Roman" w:hAnsi="Times New Roman" w:cs="Times New Roman"/>
          <w:sz w:val="28"/>
          <w:szCs w:val="28"/>
        </w:rPr>
        <w:t>б</w:t>
      </w:r>
      <w:r w:rsidRPr="00C62D22">
        <w:rPr>
          <w:rFonts w:ascii="Times New Roman" w:hAnsi="Times New Roman" w:cs="Times New Roman"/>
          <w:sz w:val="28"/>
          <w:szCs w:val="28"/>
        </w:rPr>
        <w:t>ництва «Bender MedSystems» (Австрія) Активність ГПО-1 у крові визначали за допомогою набору реагентів фірми «AdipoGen» (Швейцарія). Уміст МДА у сироватці крові визначали спек</w:t>
      </w:r>
      <w:r w:rsidRPr="00C62D22">
        <w:rPr>
          <w:rFonts w:ascii="Times New Roman" w:hAnsi="Times New Roman" w:cs="Times New Roman"/>
          <w:sz w:val="28"/>
          <w:szCs w:val="28"/>
        </w:rPr>
        <w:t>т</w:t>
      </w:r>
      <w:r w:rsidRPr="00C62D22">
        <w:rPr>
          <w:rFonts w:ascii="Times New Roman" w:hAnsi="Times New Roman" w:cs="Times New Roman"/>
          <w:sz w:val="28"/>
          <w:szCs w:val="28"/>
        </w:rPr>
        <w:t>рофотометричним методом за Л. І. Андреєвою та співавт. (1988 р.) Трансформуючий фактор росту β-1 (TGF – β1) вивчали за допом</w:t>
      </w:r>
      <w:r w:rsidRPr="00C62D22">
        <w:rPr>
          <w:rFonts w:ascii="Times New Roman" w:hAnsi="Times New Roman" w:cs="Times New Roman"/>
          <w:sz w:val="28"/>
          <w:szCs w:val="28"/>
        </w:rPr>
        <w:t>о</w:t>
      </w:r>
      <w:r w:rsidRPr="00C62D22">
        <w:rPr>
          <w:rFonts w:ascii="Times New Roman" w:hAnsi="Times New Roman" w:cs="Times New Roman"/>
          <w:sz w:val="28"/>
          <w:szCs w:val="28"/>
        </w:rPr>
        <w:t>гою набору фірми DRG Intern</w:t>
      </w:r>
      <w:r w:rsidRPr="00C62D22">
        <w:rPr>
          <w:rFonts w:ascii="Times New Roman" w:hAnsi="Times New Roman" w:cs="Times New Roman"/>
          <w:sz w:val="28"/>
          <w:szCs w:val="28"/>
        </w:rPr>
        <w:t>a</w:t>
      </w:r>
      <w:r w:rsidRPr="00C62D22">
        <w:rPr>
          <w:rFonts w:ascii="Times New Roman" w:hAnsi="Times New Roman" w:cs="Times New Roman"/>
          <w:sz w:val="28"/>
          <w:szCs w:val="28"/>
        </w:rPr>
        <w:t>tional, Inc. (США).</w:t>
      </w:r>
    </w:p>
    <w:p w:rsidR="00C62D22" w:rsidRPr="00C62D22" w:rsidRDefault="00C62D22" w:rsidP="00C62D22">
      <w:pPr>
        <w:pStyle w:val="2"/>
        <w:spacing w:after="0" w:line="360" w:lineRule="auto"/>
        <w:ind w:right="-58" w:firstLine="540"/>
        <w:jc w:val="both"/>
        <w:rPr>
          <w:szCs w:val="28"/>
        </w:rPr>
      </w:pPr>
      <w:r w:rsidRPr="00C62D22">
        <w:rPr>
          <w:szCs w:val="28"/>
        </w:rPr>
        <w:lastRenderedPageBreak/>
        <w:t>Матеріалом для морфологічних досліджень були інтраопераційно резектовані ділянки ПЗ та стінки ПК ПЗ. Гістологічне досл</w:t>
      </w:r>
      <w:r w:rsidRPr="00C62D22">
        <w:rPr>
          <w:szCs w:val="28"/>
        </w:rPr>
        <w:t>і</w:t>
      </w:r>
      <w:r w:rsidRPr="00C62D22">
        <w:rPr>
          <w:szCs w:val="28"/>
        </w:rPr>
        <w:t>дження проводилося шляхом мікроскопії зі збільшенням х 100–х 400 із попер</w:t>
      </w:r>
      <w:r w:rsidRPr="00C62D22">
        <w:rPr>
          <w:szCs w:val="28"/>
        </w:rPr>
        <w:t>е</w:t>
      </w:r>
      <w:r w:rsidRPr="00C62D22">
        <w:rPr>
          <w:szCs w:val="28"/>
        </w:rPr>
        <w:t>днім забарвленням гістологічних препаратів гематоксиліном та еозином для загальної оцінки стану тканин, що досліджувалися. Забарвлення препаратів фукселіном на еластичні волокна за Вейгертом з дозабарвленням пікрофуксином за методом Ван Гізона, а також забарвлення за Маллорі вик</w:t>
      </w:r>
      <w:r w:rsidRPr="00C62D22">
        <w:rPr>
          <w:szCs w:val="28"/>
        </w:rPr>
        <w:t>о</w:t>
      </w:r>
      <w:r w:rsidRPr="00C62D22">
        <w:rPr>
          <w:szCs w:val="28"/>
        </w:rPr>
        <w:t>ристовувалися для виявлення та диференціювання сполучнотканинних стру</w:t>
      </w:r>
      <w:r w:rsidRPr="00C62D22">
        <w:rPr>
          <w:szCs w:val="28"/>
        </w:rPr>
        <w:t>к</w:t>
      </w:r>
      <w:r w:rsidRPr="00C62D22">
        <w:rPr>
          <w:szCs w:val="28"/>
        </w:rPr>
        <w:t>тур. Для оцінки функціональної активності тканин використовували комплекс гістохімічних методик. ДНП виявляли за допом</w:t>
      </w:r>
      <w:r w:rsidRPr="00C62D22">
        <w:rPr>
          <w:szCs w:val="28"/>
        </w:rPr>
        <w:t>о</w:t>
      </w:r>
      <w:r w:rsidRPr="00C62D22">
        <w:rPr>
          <w:szCs w:val="28"/>
        </w:rPr>
        <w:t>гою реакції Фельгена–Россенбека (контроль – гідроліз з HCl). РНП виявляли забарвленням за методом Браше (контроль кристалічною рибонуклеазою). За допомогою ШИК–реакції за Мак Манусом Хочкисом (контроль з амілазою) виявляли ней</w:t>
      </w:r>
      <w:r w:rsidRPr="00C62D22">
        <w:rPr>
          <w:szCs w:val="28"/>
        </w:rPr>
        <w:t>т</w:t>
      </w:r>
      <w:r w:rsidRPr="00C62D22">
        <w:rPr>
          <w:szCs w:val="28"/>
        </w:rPr>
        <w:t>ральні глікозаміноглікани (ГАГ), а Хейл–реакцією з толуїдиновим синім – кислі ГАГ (контроль за В. В. Виноградовим та Б. Б. Фіксом). Імуногістохімічне дослідження проводили на парафінових зрізах, товщ</w:t>
      </w:r>
      <w:r w:rsidRPr="00C62D22">
        <w:rPr>
          <w:szCs w:val="28"/>
        </w:rPr>
        <w:t>и</w:t>
      </w:r>
      <w:r w:rsidRPr="00C62D22">
        <w:rPr>
          <w:szCs w:val="28"/>
        </w:rPr>
        <w:t>ною 5–6 мкм непрямим методом Кунса за методикою Brosman (1979 р.). Інтерлейкін-продуценти диференціювали за допомогою моноклональних антитіл (МКА) до інтерлейкіну 2 (IL–2) IL–6 фірми Serotec. Колагени тип</w:t>
      </w:r>
      <w:r w:rsidRPr="00C62D22">
        <w:rPr>
          <w:szCs w:val="28"/>
        </w:rPr>
        <w:t>у</w:t>
      </w:r>
      <w:r w:rsidRPr="00C62D22">
        <w:rPr>
          <w:szCs w:val="28"/>
        </w:rPr>
        <w:t xml:space="preserve">вали МКА до колагенів I, IV типів, (Novocastra Laboratories Ltd.) Колаген III типу визначали МКА до колагену III типу (IMTEK, Ltd, Росія). У якості люмінесцентної мітки використовували F (ab) –2 – фрагменти антитіл кроля проти імуноглобулінів миші, мічених ФІТЦ. Препарати вивчали в люмінесцентному мікроскопі ЛЮМАМ-ІЛ2 з використанням світофільтрів: ФС–1–2, СЗС–24, БС–8–2, УФС–6–3. Оптичну щільність імунофлюоресценції колагенів визначали за методом В.Д. Марковського та співавторів («Спосіб кількісного визначення вмісту антигену в біологічних тканинах», патент на корисну модель №46489 від 25. 12. 2009 р.). За допомогою сітки Г.Г. Автанділова (при збільшенні 400) на мікроскопі ЛЮМАМ–ІЛ2 та програмного забезпечення Biostat визначалася кількість клітин-продуцентів IL–2 та IL–6 на препаратах ПЗ. </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Проводився комплекс інструментальних заходів: УЗД органів черевної порожнини, УЗДФ кровотока за ВВ, ЗПА, ВБА, МСКТ, МРТ, спіральну комп’ютерну томографію, ангіографічне дослідження, ФЕГДС, ЕРХПГ, рентгенконтрасне дослідження ТК, фістулографію, електрокардіографію, рентгенографію органів грудної кл</w:t>
      </w:r>
      <w:r w:rsidRPr="00C62D22">
        <w:rPr>
          <w:rFonts w:ascii="Times New Roman" w:hAnsi="Times New Roman" w:cs="Times New Roman"/>
          <w:sz w:val="28"/>
          <w:szCs w:val="28"/>
        </w:rPr>
        <w:t>і</w:t>
      </w:r>
      <w:r w:rsidRPr="00C62D22">
        <w:rPr>
          <w:rFonts w:ascii="Times New Roman" w:hAnsi="Times New Roman" w:cs="Times New Roman"/>
          <w:sz w:val="28"/>
          <w:szCs w:val="28"/>
        </w:rPr>
        <w:t>тки тощо.</w:t>
      </w:r>
    </w:p>
    <w:p w:rsidR="00C62D22" w:rsidRPr="00C62D22" w:rsidRDefault="00C62D22" w:rsidP="00C62D22">
      <w:pPr>
        <w:widowControl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Крізьшкірну пункцію виконували з використанням голок фірми Rusch розм</w:t>
      </w:r>
      <w:r w:rsidRPr="00C62D22">
        <w:rPr>
          <w:rFonts w:ascii="Times New Roman" w:hAnsi="Times New Roman" w:cs="Times New Roman"/>
          <w:sz w:val="28"/>
          <w:szCs w:val="28"/>
        </w:rPr>
        <w:t>і</w:t>
      </w:r>
      <w:r w:rsidRPr="00C62D22">
        <w:rPr>
          <w:rFonts w:ascii="Times New Roman" w:hAnsi="Times New Roman" w:cs="Times New Roman"/>
          <w:sz w:val="28"/>
          <w:szCs w:val="28"/>
        </w:rPr>
        <w:t xml:space="preserve">ром </w:t>
      </w:r>
      <w:smartTag w:uri="urn:schemas-microsoft-com:office:smarttags" w:element="metricconverter">
        <w:smartTagPr>
          <w:attr w:name="ProductID" w:val="17,5 G"/>
        </w:smartTagPr>
        <w:r w:rsidRPr="00C62D22">
          <w:rPr>
            <w:rFonts w:ascii="Times New Roman" w:hAnsi="Times New Roman" w:cs="Times New Roman"/>
            <w:sz w:val="28"/>
            <w:szCs w:val="28"/>
          </w:rPr>
          <w:t>17,5 G</w:t>
        </w:r>
      </w:smartTag>
      <w:r w:rsidRPr="00C62D22">
        <w:rPr>
          <w:rFonts w:ascii="Times New Roman" w:hAnsi="Times New Roman" w:cs="Times New Roman"/>
          <w:sz w:val="28"/>
          <w:szCs w:val="28"/>
        </w:rPr>
        <w:t>, а дренування – за допомогою комплектів для трансдермального дренування фірми Balton розміром 6-</w:t>
      </w:r>
      <w:smartTag w:uri="urn:schemas-microsoft-com:office:smarttags" w:element="metricconverter">
        <w:smartTagPr>
          <w:attr w:name="ProductID" w:val="12 F"/>
        </w:smartTagPr>
        <w:r w:rsidRPr="00C62D22">
          <w:rPr>
            <w:rFonts w:ascii="Times New Roman" w:hAnsi="Times New Roman" w:cs="Times New Roman"/>
            <w:sz w:val="28"/>
            <w:szCs w:val="28"/>
          </w:rPr>
          <w:t>12 F</w:t>
        </w:r>
      </w:smartTag>
      <w:r w:rsidRPr="00C62D22">
        <w:rPr>
          <w:rFonts w:ascii="Times New Roman" w:hAnsi="Times New Roman" w:cs="Times New Roman"/>
          <w:sz w:val="28"/>
          <w:szCs w:val="28"/>
        </w:rPr>
        <w:t>.</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Для статистичної обробки отриманих даних усі показники вносились в спеціально розроблену базу даних, з попередньою перевіркою на наявність викидів, з використанням пакету програм StatSoft Statistica 6.0. У роботі вирішувалися наступні завдання: 1) вибір оптимального типу оп</w:t>
      </w:r>
      <w:r w:rsidRPr="00C62D22">
        <w:rPr>
          <w:rFonts w:ascii="Times New Roman" w:hAnsi="Times New Roman" w:cs="Times New Roman"/>
          <w:sz w:val="28"/>
          <w:szCs w:val="28"/>
        </w:rPr>
        <w:t>е</w:t>
      </w:r>
      <w:r w:rsidRPr="00C62D22">
        <w:rPr>
          <w:rFonts w:ascii="Times New Roman" w:hAnsi="Times New Roman" w:cs="Times New Roman"/>
          <w:sz w:val="28"/>
          <w:szCs w:val="28"/>
        </w:rPr>
        <w:t>рації (лапаротомія або мініінвазивні операції) виходячи зі стану хворого до операції і типу ПК,                           2) порівняльна оцінка ефективності лікування в довгостроковій перспективі за допомогою опитувача SF-36. Відповідність нормал</w:t>
      </w:r>
      <w:r w:rsidRPr="00C62D22">
        <w:rPr>
          <w:rFonts w:ascii="Times New Roman" w:hAnsi="Times New Roman" w:cs="Times New Roman"/>
          <w:sz w:val="28"/>
          <w:szCs w:val="28"/>
        </w:rPr>
        <w:t>ь</w:t>
      </w:r>
      <w:r w:rsidRPr="00C62D22">
        <w:rPr>
          <w:rFonts w:ascii="Times New Roman" w:hAnsi="Times New Roman" w:cs="Times New Roman"/>
          <w:sz w:val="28"/>
          <w:szCs w:val="28"/>
        </w:rPr>
        <w:t>ному закону розподілу числових показників перевірялася за допомогою крит</w:t>
      </w:r>
      <w:r w:rsidRPr="00C62D22">
        <w:rPr>
          <w:rFonts w:ascii="Times New Roman" w:hAnsi="Times New Roman" w:cs="Times New Roman"/>
          <w:sz w:val="28"/>
          <w:szCs w:val="28"/>
        </w:rPr>
        <w:t>е</w:t>
      </w:r>
      <w:r w:rsidRPr="00C62D22">
        <w:rPr>
          <w:rFonts w:ascii="Times New Roman" w:hAnsi="Times New Roman" w:cs="Times New Roman"/>
          <w:sz w:val="28"/>
          <w:szCs w:val="28"/>
        </w:rPr>
        <w:t>рію Шапіро-Уілка. Парне порівняння середніх для числових показників проводилося за доп</w:t>
      </w:r>
      <w:r w:rsidRPr="00C62D22">
        <w:rPr>
          <w:rFonts w:ascii="Times New Roman" w:hAnsi="Times New Roman" w:cs="Times New Roman"/>
          <w:sz w:val="28"/>
          <w:szCs w:val="28"/>
        </w:rPr>
        <w:t>о</w:t>
      </w:r>
      <w:r w:rsidRPr="00C62D22">
        <w:rPr>
          <w:rFonts w:ascii="Times New Roman" w:hAnsi="Times New Roman" w:cs="Times New Roman"/>
          <w:sz w:val="28"/>
          <w:szCs w:val="28"/>
        </w:rPr>
        <w:t>могою критерію Манна-Уїтні, а в більш, ніж у двох групах – критерій Краскела-Уолліса. Кореляційні зв'язки між змінними оцін</w:t>
      </w:r>
      <w:r w:rsidRPr="00C62D22">
        <w:rPr>
          <w:rFonts w:ascii="Times New Roman" w:hAnsi="Times New Roman" w:cs="Times New Roman"/>
          <w:sz w:val="28"/>
          <w:szCs w:val="28"/>
        </w:rPr>
        <w:t>ю</w:t>
      </w:r>
      <w:r w:rsidRPr="00C62D22">
        <w:rPr>
          <w:rFonts w:ascii="Times New Roman" w:hAnsi="Times New Roman" w:cs="Times New Roman"/>
          <w:sz w:val="28"/>
          <w:szCs w:val="28"/>
        </w:rPr>
        <w:t xml:space="preserve">валися коефіцієнтами кореляції Спірмена для числових показників або </w:t>
      </w:r>
      <w:r w:rsidRPr="00C62D22">
        <w:rPr>
          <w:rFonts w:ascii="Times New Roman" w:hAnsi="Times New Roman" w:cs="Times New Roman"/>
          <w:sz w:val="28"/>
          <w:szCs w:val="28"/>
        </w:rPr>
        <w:sym w:font="Symbol" w:char="F074"/>
      </w:r>
      <w:r w:rsidRPr="00C62D22">
        <w:rPr>
          <w:rFonts w:ascii="Times New Roman" w:hAnsi="Times New Roman" w:cs="Times New Roman"/>
          <w:sz w:val="28"/>
          <w:szCs w:val="28"/>
        </w:rPr>
        <w:t xml:space="preserve"> Кендалла зі змішан</w:t>
      </w:r>
      <w:r w:rsidRPr="00C62D22">
        <w:rPr>
          <w:rFonts w:ascii="Times New Roman" w:hAnsi="Times New Roman" w:cs="Times New Roman"/>
          <w:sz w:val="28"/>
          <w:szCs w:val="28"/>
        </w:rPr>
        <w:t>и</w:t>
      </w:r>
      <w:r w:rsidRPr="00C62D22">
        <w:rPr>
          <w:rFonts w:ascii="Times New Roman" w:hAnsi="Times New Roman" w:cs="Times New Roman"/>
          <w:sz w:val="28"/>
          <w:szCs w:val="28"/>
        </w:rPr>
        <w:t>ми. Для виявлення значущості зв'язків номінальних показників використов</w:t>
      </w:r>
      <w:r w:rsidRPr="00C62D22">
        <w:rPr>
          <w:rFonts w:ascii="Times New Roman" w:hAnsi="Times New Roman" w:cs="Times New Roman"/>
          <w:sz w:val="28"/>
          <w:szCs w:val="28"/>
        </w:rPr>
        <w:t>у</w:t>
      </w:r>
      <w:r w:rsidRPr="00C62D22">
        <w:rPr>
          <w:rFonts w:ascii="Times New Roman" w:hAnsi="Times New Roman" w:cs="Times New Roman"/>
          <w:sz w:val="28"/>
          <w:szCs w:val="28"/>
        </w:rPr>
        <w:t>валися одно-двовходові таблиці сполучуваності. Для оцінки значущості відмі</w:t>
      </w:r>
      <w:r w:rsidRPr="00C62D22">
        <w:rPr>
          <w:rFonts w:ascii="Times New Roman" w:hAnsi="Times New Roman" w:cs="Times New Roman"/>
          <w:sz w:val="28"/>
          <w:szCs w:val="28"/>
        </w:rPr>
        <w:t>н</w:t>
      </w:r>
      <w:r w:rsidRPr="00C62D22">
        <w:rPr>
          <w:rFonts w:ascii="Times New Roman" w:hAnsi="Times New Roman" w:cs="Times New Roman"/>
          <w:sz w:val="28"/>
          <w:szCs w:val="28"/>
        </w:rPr>
        <w:t xml:space="preserve">ностей застосовувався біноміальний критерій або критерій </w:t>
      </w:r>
      <w:r w:rsidRPr="00C62D22">
        <w:rPr>
          <w:rFonts w:ascii="Times New Roman" w:hAnsi="Times New Roman" w:cs="Times New Roman"/>
          <w:sz w:val="28"/>
          <w:szCs w:val="28"/>
        </w:rPr>
        <w:sym w:font="Symbol" w:char="F063"/>
      </w:r>
      <w:r w:rsidRPr="00C62D22">
        <w:rPr>
          <w:rFonts w:ascii="Times New Roman" w:hAnsi="Times New Roman" w:cs="Times New Roman"/>
          <w:sz w:val="28"/>
          <w:szCs w:val="28"/>
          <w:vertAlign w:val="superscript"/>
        </w:rPr>
        <w:t xml:space="preserve">2 </w:t>
      </w:r>
      <w:r w:rsidRPr="00C62D22">
        <w:rPr>
          <w:rFonts w:ascii="Times New Roman" w:hAnsi="Times New Roman" w:cs="Times New Roman"/>
          <w:sz w:val="28"/>
          <w:szCs w:val="28"/>
        </w:rPr>
        <w:t>при рівні зн</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чущості р &lt;0,05. Для аналізу таблиць сполучуваності більшої розмірності використовувався кореспондентський аналіз (аналіз відповідностей). </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Для вирішення завдання оцінювання довгострокових результатів лікування ПК за допомогою опитувача SF-36 використовувався двофакторний диспе</w:t>
      </w:r>
      <w:r w:rsidRPr="00C62D22">
        <w:rPr>
          <w:rFonts w:ascii="Times New Roman" w:hAnsi="Times New Roman" w:cs="Times New Roman"/>
          <w:sz w:val="28"/>
          <w:szCs w:val="28"/>
        </w:rPr>
        <w:t>р</w:t>
      </w:r>
      <w:r w:rsidRPr="00C62D22">
        <w:rPr>
          <w:rFonts w:ascii="Times New Roman" w:hAnsi="Times New Roman" w:cs="Times New Roman"/>
          <w:sz w:val="28"/>
          <w:szCs w:val="28"/>
        </w:rPr>
        <w:t xml:space="preserve">сійний аналіз. </w:t>
      </w:r>
    </w:p>
    <w:p w:rsidR="00C62D22" w:rsidRPr="00C62D22" w:rsidRDefault="00C62D22" w:rsidP="00C62D22">
      <w:pPr>
        <w:pStyle w:val="21"/>
        <w:spacing w:after="0" w:line="360" w:lineRule="auto"/>
        <w:ind w:left="0" w:firstLine="540"/>
        <w:jc w:val="both"/>
        <w:rPr>
          <w:rFonts w:ascii="Times New Roman" w:hAnsi="Times New Roman"/>
          <w:sz w:val="28"/>
          <w:szCs w:val="28"/>
        </w:rPr>
      </w:pPr>
      <w:r w:rsidRPr="00C62D22">
        <w:rPr>
          <w:rFonts w:ascii="Times New Roman" w:hAnsi="Times New Roman"/>
          <w:sz w:val="28"/>
          <w:szCs w:val="28"/>
        </w:rPr>
        <w:t xml:space="preserve">З усіх досліджуваних хворих, у 476 (94,3%) пацієнтів з ускладненими ПК ПЗ клінічна картина характеризувалася наявністю болю у верхніх відділах живота, </w:t>
      </w:r>
      <w:r w:rsidRPr="00C62D22">
        <w:rPr>
          <w:rFonts w:ascii="Times New Roman" w:hAnsi="Times New Roman"/>
          <w:sz w:val="28"/>
          <w:szCs w:val="28"/>
        </w:rPr>
        <w:lastRenderedPageBreak/>
        <w:t>лівому підребер’ї; у 390 (77,2%) – диспепсичних явищ (нудота, блювота); у 377 (74,7%) – загальною слабкістю. Також у хворих спостерігалися явища зовнішньосекреторної недостатності ПЗ: зменшення маси тіла – 145 (28,7%), порушення випорожнення з наявністю стеатореї, креатореї – у 182 (36%); та прояви внутрішньосекреторної недостатності: цукровий діабет та підвищення рівня глюкози сироватки крові – 156 (30,9%), гіпоглікемічний синдром – 72 (14,3%), наявність симптомів ураження ЦНС – 42 (8,3%).</w:t>
      </w:r>
    </w:p>
    <w:p w:rsidR="00C62D22" w:rsidRPr="00C62D22" w:rsidRDefault="00C62D22" w:rsidP="00C62D22">
      <w:pPr>
        <w:tabs>
          <w:tab w:val="left" w:pos="14570"/>
          <w:tab w:val="left" w:pos="14601"/>
        </w:tabs>
        <w:spacing w:after="0" w:line="360" w:lineRule="auto"/>
        <w:ind w:right="-81" w:firstLine="540"/>
        <w:jc w:val="both"/>
        <w:rPr>
          <w:rFonts w:ascii="Times New Roman" w:hAnsi="Times New Roman" w:cs="Times New Roman"/>
          <w:sz w:val="28"/>
          <w:szCs w:val="28"/>
        </w:rPr>
      </w:pPr>
      <w:r w:rsidRPr="00C62D22">
        <w:rPr>
          <w:rFonts w:ascii="Times New Roman" w:hAnsi="Times New Roman" w:cs="Times New Roman"/>
          <w:sz w:val="28"/>
          <w:szCs w:val="28"/>
          <w:lang w:val="uk-UA"/>
        </w:rPr>
        <w:t xml:space="preserve">У якості ускладнень ПК у хворих визначалися: у 172 (34,06%) пацієнтів – деформація шлунку та/або ДПК, у тому числі, 13 (2,57%) – з ПК ПЗ І типу, 93 (18,42%) – з ПК ПЗ ІІ типу та 66 (13,07%) з ПК ПЗ ІІІ типу. Нагноєння вмісту ПК ПЗ спостерігалося в 113 (22,4% ) хворих з ПК ПЗ, з них у 40 (7,92%) хворих з ПК ПЗ І типу, у 54 (10,7%) – з ПК ПЗ ІІ типу, у 19 (3,8%) – з ПК ПЗ ІІІ типу. </w:t>
      </w:r>
      <w:r w:rsidRPr="00C62D22">
        <w:rPr>
          <w:rFonts w:ascii="Times New Roman" w:hAnsi="Times New Roman" w:cs="Times New Roman"/>
          <w:sz w:val="28"/>
          <w:szCs w:val="28"/>
        </w:rPr>
        <w:t>Кровотеча в порожнину ПК визначалася у 90 (17,8%) хворих, з них у 13 (2,57%) – з ПК ПЗ І типу, 55 (10,89%) – з ПК ПЗ ІІ типу та 22 (4,36%) – з ПК ПЗ ІІІ типу. Розрив ПК спостерігався у 24 (4,76%) хворих з ПК ПЗ, з них у 9 (1,78%) пацієнтів з ПК ПЗ І типу, у 10 (1,98%) пацієнтів з ПК ПЗ ІІ типу та у 5 (1%) – з ПК ПЗ ІІІ типу. Механічна жовтяниця супроводжувала перебіг ПК ПЗ у 97 (19,2%) хворих, з них у 4 (0,8%) – з ПК ПЗ І типу, 35 (6,93%) – з ПК ПЗ ІІ типу та 58 (11,48%) – з ПК ПЗ ІІІ типу. Нориці ускладнювали перебіг ПК ПЗ у 9 (1,78%) хворих, з них у 2 (0,4%) – з ПК ПЗ І типу та у 7 (1,38%) – з ПК ПЗ ІІІ типу.</w:t>
      </w:r>
    </w:p>
    <w:p w:rsidR="00C62D22" w:rsidRPr="00C62D22" w:rsidRDefault="00C62D22" w:rsidP="00C62D22">
      <w:pPr>
        <w:tabs>
          <w:tab w:val="left" w:pos="360"/>
          <w:tab w:val="left" w:leader="dot" w:pos="9105"/>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Аналіз лабораторних даних встановив, що розвиток ПК І типу характеризувався наявністю лейкоцитозу (вище </w:t>
      </w:r>
      <w:r w:rsidRPr="00C62D22">
        <w:rPr>
          <w:rFonts w:ascii="Times New Roman" w:hAnsi="Times New Roman" w:cs="Times New Roman"/>
          <w:bCs/>
          <w:iCs/>
          <w:sz w:val="28"/>
          <w:szCs w:val="28"/>
        </w:rPr>
        <w:t xml:space="preserve">12,1 х </w:t>
      </w:r>
      <w:r w:rsidRPr="00C62D22">
        <w:rPr>
          <w:rFonts w:ascii="Times New Roman" w:hAnsi="Times New Roman" w:cs="Times New Roman"/>
          <w:sz w:val="28"/>
          <w:szCs w:val="28"/>
        </w:rPr>
        <w:t>10</w:t>
      </w:r>
      <w:r w:rsidRPr="00C62D22">
        <w:rPr>
          <w:rFonts w:ascii="Times New Roman" w:hAnsi="Times New Roman" w:cs="Times New Roman"/>
          <w:sz w:val="28"/>
          <w:szCs w:val="28"/>
          <w:vertAlign w:val="superscript"/>
        </w:rPr>
        <w:t>9</w:t>
      </w:r>
      <w:r w:rsidRPr="00C62D22">
        <w:rPr>
          <w:rFonts w:ascii="Times New Roman" w:hAnsi="Times New Roman" w:cs="Times New Roman"/>
          <w:sz w:val="28"/>
          <w:szCs w:val="28"/>
        </w:rPr>
        <w:t xml:space="preserve">/л, зсувом лейкоцитарної формули вліво, гіперамілаземією (вище </w:t>
      </w:r>
      <w:smartTag w:uri="urn:schemas-microsoft-com:office:smarttags" w:element="metricconverter">
        <w:smartTagPr>
          <w:attr w:name="ProductID" w:val="60,2 г"/>
        </w:smartTagPr>
        <w:r w:rsidRPr="00C62D22">
          <w:rPr>
            <w:rFonts w:ascii="Times New Roman" w:hAnsi="Times New Roman" w:cs="Times New Roman"/>
            <w:sz w:val="28"/>
            <w:szCs w:val="28"/>
          </w:rPr>
          <w:t>60,2 г</w:t>
        </w:r>
      </w:smartTag>
      <w:r w:rsidRPr="00C62D22">
        <w:rPr>
          <w:rFonts w:ascii="Times New Roman" w:hAnsi="Times New Roman" w:cs="Times New Roman"/>
          <w:sz w:val="28"/>
          <w:szCs w:val="28"/>
        </w:rPr>
        <w:t xml:space="preserve"> х г/л). При ПК ІІ типу рівень лейкоцитів підвищувався (до 11,9 х 10</w:t>
      </w:r>
      <w:r w:rsidRPr="00C62D22">
        <w:rPr>
          <w:rFonts w:ascii="Times New Roman" w:hAnsi="Times New Roman" w:cs="Times New Roman"/>
          <w:sz w:val="28"/>
          <w:szCs w:val="28"/>
          <w:vertAlign w:val="superscript"/>
        </w:rPr>
        <w:t>9</w:t>
      </w:r>
      <w:r w:rsidRPr="00C62D22">
        <w:rPr>
          <w:rFonts w:ascii="Times New Roman" w:hAnsi="Times New Roman" w:cs="Times New Roman"/>
          <w:sz w:val="28"/>
          <w:szCs w:val="28"/>
        </w:rPr>
        <w:t xml:space="preserve">/л), рівень амілази сироватки крові підвищувався до </w:t>
      </w:r>
      <w:smartTag w:uri="urn:schemas-microsoft-com:office:smarttags" w:element="metricconverter">
        <w:smartTagPr>
          <w:attr w:name="ProductID" w:val="62,1 г"/>
        </w:smartTagPr>
        <w:r w:rsidRPr="00C62D22">
          <w:rPr>
            <w:rFonts w:ascii="Times New Roman" w:hAnsi="Times New Roman" w:cs="Times New Roman"/>
            <w:sz w:val="28"/>
            <w:szCs w:val="28"/>
          </w:rPr>
          <w:t>62,1 г</w:t>
        </w:r>
      </w:smartTag>
      <w:r w:rsidRPr="00C62D22">
        <w:rPr>
          <w:rFonts w:ascii="Times New Roman" w:hAnsi="Times New Roman" w:cs="Times New Roman"/>
          <w:sz w:val="28"/>
          <w:szCs w:val="28"/>
        </w:rPr>
        <w:t xml:space="preserve"> х г/л. Розвиток ПК ІІІ типу характеризувався підвищенням лейкоцитів до 10,8</w:t>
      </w:r>
      <w:r w:rsidRPr="00C62D22">
        <w:rPr>
          <w:rFonts w:ascii="Times New Roman" w:hAnsi="Times New Roman" w:cs="Times New Roman"/>
          <w:bCs/>
          <w:iCs/>
          <w:sz w:val="28"/>
          <w:szCs w:val="28"/>
        </w:rPr>
        <w:t xml:space="preserve"> х </w:t>
      </w:r>
      <w:r w:rsidRPr="00C62D22">
        <w:rPr>
          <w:rFonts w:ascii="Times New Roman" w:hAnsi="Times New Roman" w:cs="Times New Roman"/>
          <w:sz w:val="28"/>
          <w:szCs w:val="28"/>
        </w:rPr>
        <w:t>10</w:t>
      </w:r>
      <w:r w:rsidRPr="00C62D22">
        <w:rPr>
          <w:rFonts w:ascii="Times New Roman" w:hAnsi="Times New Roman" w:cs="Times New Roman"/>
          <w:sz w:val="28"/>
          <w:szCs w:val="28"/>
          <w:vertAlign w:val="superscript"/>
        </w:rPr>
        <w:t>9</w:t>
      </w:r>
      <w:r w:rsidRPr="00C62D22">
        <w:rPr>
          <w:rFonts w:ascii="Times New Roman" w:hAnsi="Times New Roman" w:cs="Times New Roman"/>
          <w:sz w:val="28"/>
          <w:szCs w:val="28"/>
        </w:rPr>
        <w:t xml:space="preserve">/л, незначною гіперамілаземією (до </w:t>
      </w:r>
      <w:smartTag w:uri="urn:schemas-microsoft-com:office:smarttags" w:element="metricconverter">
        <w:smartTagPr>
          <w:attr w:name="ProductID" w:val="28,9 г"/>
        </w:smartTagPr>
        <w:r w:rsidRPr="00C62D22">
          <w:rPr>
            <w:rFonts w:ascii="Times New Roman" w:hAnsi="Times New Roman" w:cs="Times New Roman"/>
            <w:sz w:val="28"/>
            <w:szCs w:val="28"/>
          </w:rPr>
          <w:t>28,9 г</w:t>
        </w:r>
      </w:smartTag>
      <w:r w:rsidRPr="00C62D22">
        <w:rPr>
          <w:rFonts w:ascii="Times New Roman" w:hAnsi="Times New Roman" w:cs="Times New Roman"/>
          <w:sz w:val="28"/>
          <w:szCs w:val="28"/>
        </w:rPr>
        <w:t xml:space="preserve"> х г/л). Проаналізувавши дані біохімічних досліджень встановлено, що їх характерною рисою було значне підвищення активності індикаторних ферментів (АлАТ і АсАТ) на фоні порушень білковосинтетичної функції печінки. Рівень глюкози крові при ПК І типу підвищувався максимально до 12,4 ммоль/л, при ПК ІІ типу – до 14,3 ммоль/л, при </w:t>
      </w:r>
      <w:r w:rsidRPr="00C62D22">
        <w:rPr>
          <w:rFonts w:ascii="Times New Roman" w:hAnsi="Times New Roman" w:cs="Times New Roman"/>
          <w:sz w:val="28"/>
          <w:szCs w:val="28"/>
        </w:rPr>
        <w:lastRenderedPageBreak/>
        <w:t xml:space="preserve">ПК ІІІ типу – до 12,3 ммоль/л. При ускладненнях ПК клініко-лабораторні показники дещо змінювалися. Так, при нагноєнні вмісту ПК ПЗ спостерігався лейкоцитоз (вище </w:t>
      </w:r>
      <w:r w:rsidRPr="00C62D22">
        <w:rPr>
          <w:rFonts w:ascii="Times New Roman" w:hAnsi="Times New Roman" w:cs="Times New Roman"/>
          <w:bCs/>
          <w:iCs/>
          <w:sz w:val="28"/>
          <w:szCs w:val="28"/>
        </w:rPr>
        <w:t xml:space="preserve">12,1 х </w:t>
      </w:r>
      <w:r w:rsidRPr="00C62D22">
        <w:rPr>
          <w:rFonts w:ascii="Times New Roman" w:hAnsi="Times New Roman" w:cs="Times New Roman"/>
          <w:sz w:val="28"/>
          <w:szCs w:val="28"/>
        </w:rPr>
        <w:t xml:space="preserve">10 </w:t>
      </w:r>
      <w:r w:rsidRPr="00C62D22">
        <w:rPr>
          <w:rFonts w:ascii="Times New Roman" w:hAnsi="Times New Roman" w:cs="Times New Roman"/>
          <w:sz w:val="28"/>
          <w:szCs w:val="28"/>
          <w:vertAlign w:val="superscript"/>
        </w:rPr>
        <w:t>9</w:t>
      </w:r>
      <w:r w:rsidRPr="00C62D22">
        <w:rPr>
          <w:rFonts w:ascii="Times New Roman" w:hAnsi="Times New Roman" w:cs="Times New Roman"/>
          <w:sz w:val="28"/>
          <w:szCs w:val="28"/>
        </w:rPr>
        <w:t>/л), із зсувом лейкоцитарної формули вліво, підвищення ШОЕ. Кровотеча в порожнину ПК супроводжувалася зниженням гемоглобіну (нижче 80 г/л), та протеїнемієй (нижче 60 г/л). При ПК ПЗ, ускладнених МЖ, відбувалося підвищення рівнів загального білірубіну (вище 20,2 мкмоль/л) та його фракцій.</w:t>
      </w:r>
    </w:p>
    <w:p w:rsidR="00C62D22" w:rsidRPr="00C62D22" w:rsidRDefault="00C62D22" w:rsidP="00C62D22">
      <w:pPr>
        <w:tabs>
          <w:tab w:val="left" w:pos="360"/>
          <w:tab w:val="left" w:leader="dot" w:pos="9105"/>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У якості скрині-методу усім хворим застосовано УЗД органів черевної порожнини, яке дозволяло не тільки встановити діагноз ПК ПЗ, та в деяких випадках, визначити наявність тих чи інших ускладнень. На основі провених досліджень </w:t>
      </w:r>
      <w:r w:rsidRPr="00C62D22">
        <w:rPr>
          <w:rFonts w:ascii="Times New Roman" w:hAnsi="Times New Roman" w:cs="Times New Roman"/>
          <w:spacing w:val="-2"/>
          <w:sz w:val="28"/>
          <w:szCs w:val="28"/>
        </w:rPr>
        <w:t xml:space="preserve">встановлено, що ультрасонографічними ознаками ПК ПЗ були інтраорганна локалізація, «правильна» сферична або овальна форма, рівний край   (86,2%), дистальне акустичне посилення (90,7%), а також крайове затінення внаслідок критичного кута відображення (52,1%). </w:t>
      </w:r>
      <w:r w:rsidRPr="00C62D22">
        <w:rPr>
          <w:rFonts w:ascii="Times New Roman" w:hAnsi="Times New Roman" w:cs="Times New Roman"/>
          <w:sz w:val="28"/>
          <w:szCs w:val="28"/>
        </w:rPr>
        <w:t xml:space="preserve">Так, діагноз ПК ПЗ І типу встановлювали при наявності рідинного скупчення в паренхімі ПЗ, оточеного добре відмежованою стінкою, яка пов’язана з панкреатичним паренхіматозним некрозом, що існує не менш ніж 4 тижні від провокуючого епізоду ГП. Середній розмір ПК ПЗ І типу був у межах </w:t>
      </w:r>
      <w:smartTag w:uri="urn:schemas-microsoft-com:office:smarttags" w:element="metricconverter">
        <w:smartTagPr>
          <w:attr w:name="ProductID" w:val="10,28 см"/>
        </w:smartTagPr>
        <w:r w:rsidRPr="00C62D22">
          <w:rPr>
            <w:rFonts w:ascii="Times New Roman" w:hAnsi="Times New Roman" w:cs="Times New Roman"/>
            <w:sz w:val="28"/>
            <w:szCs w:val="28"/>
          </w:rPr>
          <w:t>10,28 см</w:t>
        </w:r>
      </w:smartTag>
      <w:r w:rsidRPr="00C62D22">
        <w:rPr>
          <w:rFonts w:ascii="Times New Roman" w:hAnsi="Times New Roman" w:cs="Times New Roman"/>
          <w:sz w:val="28"/>
          <w:szCs w:val="28"/>
        </w:rPr>
        <w:t xml:space="preserve"> (від 6 до </w:t>
      </w:r>
      <w:smartTag w:uri="urn:schemas-microsoft-com:office:smarttags" w:element="metricconverter">
        <w:smartTagPr>
          <w:attr w:name="ProductID" w:val="18 см"/>
        </w:smartTagPr>
        <w:r w:rsidRPr="00C62D22">
          <w:rPr>
            <w:rFonts w:ascii="Times New Roman" w:hAnsi="Times New Roman" w:cs="Times New Roman"/>
            <w:sz w:val="28"/>
            <w:szCs w:val="28"/>
          </w:rPr>
          <w:t>18 см</w:t>
        </w:r>
      </w:smartTag>
      <w:r w:rsidRPr="00C62D22">
        <w:rPr>
          <w:rFonts w:ascii="Times New Roman" w:hAnsi="Times New Roman" w:cs="Times New Roman"/>
          <w:sz w:val="28"/>
          <w:szCs w:val="28"/>
        </w:rPr>
        <w:t xml:space="preserve">), також їх характеризувала інтраорганна локалізація, сферична або овальна форма, рівні, чіткі краї (у 92 %), дистальне акустичне посилення в 92 %, а також у більшості відсотків крайове затінення внаслідок критичного кута відображення. При УЗД ПК ІІ типу представляли собою кругле утворення з гладенькою чіткою стінкою та дистальним акустичним посиленням, з наявністю ехогенних секвестрів у порожнині при постнекротичних псевдокістах. Потовщення стінки ПК свідчило про хронізацію процесу та розвиток ПК ІІ типу. При діагностиці ПК ІІІ типу значну увагу приділяли візуалізації ГПП, визначенню його розмірів, наявності обструкції, розширення, вірсунголітіазу тощо. Ехоструктура ПК ПЗ ставала більш комплексною при нагноєнні вмісту ПК, а також при кровотечі в її порожнину. За даними УЗД при інфікуванні вмісту ПК спостерігалися чергування ділянок високої та низької щільності, та наявність гіперехогенних включень. Кровотеча в, порожнину ПК визначалася, за даними УЗД, наявністю дрібнодисперсного вмісту з турбулентним рухом у просвіті ПК, </w:t>
      </w:r>
      <w:r w:rsidRPr="00C62D22">
        <w:rPr>
          <w:rFonts w:ascii="Times New Roman" w:hAnsi="Times New Roman" w:cs="Times New Roman"/>
          <w:sz w:val="28"/>
          <w:szCs w:val="28"/>
        </w:rPr>
        <w:lastRenderedPageBreak/>
        <w:t xml:space="preserve">підтвердженим даними допплерографії. Це у свою чергу потребувало виконання ангіографії, за допомогою якої можна було встановити джерело кровотечі, зв'язок ПК з ГПП, вихід контрастної речовини в просвіт ДПК. Аналіз УЗД при ПК ПЗ, ускладнених МЖ (n=97), встановив, що у 56 (57,7%) хворих при сонографічному дослідженні спостерігалося збільшення печінки в середньому до +2,5 – </w:t>
      </w:r>
      <w:smartTag w:uri="urn:schemas-microsoft-com:office:smarttags" w:element="metricconverter">
        <w:smartTagPr>
          <w:attr w:name="ProductID" w:val="3 см"/>
        </w:smartTagPr>
        <w:r w:rsidRPr="00C62D22">
          <w:rPr>
            <w:rFonts w:ascii="Times New Roman" w:hAnsi="Times New Roman" w:cs="Times New Roman"/>
            <w:sz w:val="28"/>
            <w:szCs w:val="28"/>
          </w:rPr>
          <w:t>3 см</w:t>
        </w:r>
      </w:smartTag>
      <w:r w:rsidRPr="00C62D22">
        <w:rPr>
          <w:rFonts w:ascii="Times New Roman" w:hAnsi="Times New Roman" w:cs="Times New Roman"/>
          <w:sz w:val="28"/>
          <w:szCs w:val="28"/>
        </w:rPr>
        <w:t>, більше за рахунок лівої частки; виявлені ознаки біліарної гіпертензії у вигляді дилатації внутрішньопечінкових та зовнішньопечінкових протоків до 8-</w:t>
      </w:r>
      <w:smartTag w:uri="urn:schemas-microsoft-com:office:smarttags" w:element="metricconverter">
        <w:smartTagPr>
          <w:attr w:name="ProductID" w:val="16 мм"/>
        </w:smartTagPr>
        <w:r w:rsidRPr="00C62D22">
          <w:rPr>
            <w:rFonts w:ascii="Times New Roman" w:hAnsi="Times New Roman" w:cs="Times New Roman"/>
            <w:sz w:val="28"/>
            <w:szCs w:val="28"/>
          </w:rPr>
          <w:t>16 мм</w:t>
        </w:r>
      </w:smartTag>
      <w:r w:rsidRPr="00C62D22">
        <w:rPr>
          <w:rFonts w:ascii="Times New Roman" w:hAnsi="Times New Roman" w:cs="Times New Roman"/>
          <w:sz w:val="28"/>
          <w:szCs w:val="28"/>
        </w:rPr>
        <w:t>, у середньому 11, 4±</w:t>
      </w:r>
      <w:smartTag w:uri="urn:schemas-microsoft-com:office:smarttags" w:element="metricconverter">
        <w:smartTagPr>
          <w:attr w:name="ProductID" w:val="1,3 мм"/>
        </w:smartTagPr>
        <w:r w:rsidRPr="00C62D22">
          <w:rPr>
            <w:rFonts w:ascii="Times New Roman" w:hAnsi="Times New Roman" w:cs="Times New Roman"/>
            <w:sz w:val="28"/>
            <w:szCs w:val="28"/>
          </w:rPr>
          <w:t>1,3 мм</w:t>
        </w:r>
      </w:smartTag>
      <w:r w:rsidRPr="00C62D22">
        <w:rPr>
          <w:rFonts w:ascii="Times New Roman" w:hAnsi="Times New Roman" w:cs="Times New Roman"/>
          <w:sz w:val="28"/>
          <w:szCs w:val="28"/>
        </w:rPr>
        <w:t>, що було наслідком компресії гепатикохоледоху. Ехоскопічними ознаками компресії ПК органів ТК були наявність рідинного скупчення у ПЗ овальної чи круглої форми, як правило, великих розмірів, з капсулою, яке щільно притулялося до задньої стінки шлунка чи до ДПК.</w:t>
      </w:r>
      <w:r w:rsidRPr="00C62D22">
        <w:rPr>
          <w:rFonts w:ascii="Times New Roman" w:hAnsi="Times New Roman" w:cs="Times New Roman"/>
          <w:spacing w:val="-2"/>
          <w:sz w:val="28"/>
          <w:szCs w:val="28"/>
        </w:rPr>
        <w:t xml:space="preserve"> Загальна чутливість методу в діагностиці ускладнених ПК ПЗ становила 67,3%, специфічність – 98,7%.</w:t>
      </w:r>
    </w:p>
    <w:p w:rsidR="00C62D22" w:rsidRPr="00C62D22" w:rsidRDefault="00C62D22" w:rsidP="00C62D22">
      <w:pPr>
        <w:tabs>
          <w:tab w:val="left" w:pos="14570"/>
          <w:tab w:val="left" w:pos="14601"/>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pacing w:val="-2"/>
          <w:sz w:val="28"/>
          <w:szCs w:val="28"/>
        </w:rPr>
        <w:t>Низька частота візуалізації стінки ПК (32,4%) та ознак інфікування, кровотечі в порожнину ПК потребувала додаткового використання МСКТ, чутливість якої при дослідженні таких ускладнень як інфікування вмісту ПК, МЖ, компресія суміжних органів, перфорація та розрив були 98,8% і специфічність сягала 100%. Чутливість МСКТ у діагностиці кровотеч була дещо нижчою, сягаючи 70,9%, а специфічність 86,3%.</w:t>
      </w:r>
      <w:r w:rsidRPr="00C62D22">
        <w:rPr>
          <w:rFonts w:ascii="Times New Roman" w:hAnsi="Times New Roman" w:cs="Times New Roman"/>
          <w:noProof/>
          <w:sz w:val="28"/>
          <w:szCs w:val="28"/>
        </w:rPr>
        <w:pict>
          <v:line id="_x0000_s1444" style="position:absolute;left:0;text-align:left;z-index:251951104;mso-position-horizontal-relative:text;mso-position-vertical-relative:text" from="184pt,27.1pt" to="265pt,27.1pt" strokecolor="white">
            <v:stroke endarrow="block"/>
          </v:line>
        </w:pict>
      </w:r>
      <w:r w:rsidRPr="00C62D22">
        <w:rPr>
          <w:rFonts w:ascii="Times New Roman" w:hAnsi="Times New Roman" w:cs="Times New Roman"/>
          <w:spacing w:val="-2"/>
          <w:sz w:val="28"/>
          <w:szCs w:val="28"/>
        </w:rPr>
        <w:t xml:space="preserve"> </w:t>
      </w:r>
      <w:r w:rsidRPr="00C62D22">
        <w:rPr>
          <w:rFonts w:ascii="Times New Roman" w:hAnsi="Times New Roman" w:cs="Times New Roman"/>
          <w:sz w:val="28"/>
          <w:szCs w:val="28"/>
        </w:rPr>
        <w:t xml:space="preserve">Аналіз результатів досліджень МСКТ, встановив, що ПК являла собою гіподенсивне кругле рідинне скупчення з добре вираженою щільною стінкою, яке притуляється до ПЗ або розташовується в паренхімі ПЗ. Візуалізація капсули ПК спостерігалася у 87,8% хворих. Також МСКТ надавала більш детальну інформацію про анатомічне співвідношення кістозного утворення з оточуючими органами та судинами, а також про супутні патологічні зміни: розширення та кальцифікації загальної панкреатичної протоки, наявність артеріальних псевдоаневризм, які притулялися до стінок ПК. При нагноєнні ПК спостерігалося збільшення щільності умісту ПК (більше ніж 10-15 од. Н.), наявність в порожнині гіперденсивних включень, у 53,6 % у вмісті були виявлені бульбашки повітря (53,6%) та у 16,7 % – нерівномірне потовщення стінок. При МСКТ було встановлено, що ПК великих розмірів мали різну товщину стінки, яка найкраще була розвинена в ділянці проекції ПЗ та стоншена в найбільш віддалених від органа ділянках. Збільшення розмірів </w:t>
      </w:r>
      <w:r w:rsidRPr="00C62D22">
        <w:rPr>
          <w:rFonts w:ascii="Times New Roman" w:hAnsi="Times New Roman" w:cs="Times New Roman"/>
          <w:sz w:val="28"/>
          <w:szCs w:val="28"/>
        </w:rPr>
        <w:lastRenderedPageBreak/>
        <w:t xml:space="preserve">новоутворення з прогресуючим стоншенням капсули розглядали як фактор прогнозу розриву ПК. </w:t>
      </w:r>
    </w:p>
    <w:p w:rsidR="00C62D22" w:rsidRPr="00C62D22" w:rsidRDefault="00C62D22" w:rsidP="00C62D22">
      <w:pPr>
        <w:tabs>
          <w:tab w:val="left" w:pos="360"/>
          <w:tab w:val="left" w:leader="dot" w:pos="9105"/>
        </w:tabs>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Застосування ЕРХПГ при ПК ІІ та ІІІ типу, ускладнених МЖ, використовувалось для верифікації характеру біліарної гіпертензії (холедохолітіаз, стеноз ВСДК, тубулярний стеноз холедоху), дослідження порушення прохідності ГПП, зв'язку з нею ПК ПЗ. </w:t>
      </w:r>
    </w:p>
    <w:p w:rsidR="00C62D22" w:rsidRPr="00C62D22" w:rsidRDefault="00C62D22" w:rsidP="00C62D22">
      <w:pPr>
        <w:tabs>
          <w:tab w:val="left" w:pos="14570"/>
          <w:tab w:val="left" w:pos="14601"/>
        </w:tabs>
        <w:spacing w:after="0" w:line="360" w:lineRule="auto"/>
        <w:ind w:right="-79" w:firstLine="540"/>
        <w:jc w:val="both"/>
        <w:rPr>
          <w:rFonts w:ascii="Times New Roman" w:hAnsi="Times New Roman" w:cs="Times New Roman"/>
          <w:sz w:val="28"/>
          <w:szCs w:val="28"/>
        </w:rPr>
      </w:pPr>
      <w:r w:rsidRPr="00C62D22">
        <w:rPr>
          <w:rFonts w:ascii="Times New Roman" w:hAnsi="Times New Roman" w:cs="Times New Roman"/>
          <w:sz w:val="28"/>
          <w:szCs w:val="28"/>
        </w:rPr>
        <w:t>МРТ була більш ефективна в діагностиці ПК ПЗ та їх ускладнень, порівняно з МСКТ, дозволяла вміст порожнини ПК, її перетинки, а також протокову систему ПЗ та жовчовивідні протоки.</w:t>
      </w:r>
      <w:r w:rsidRPr="00C62D22">
        <w:rPr>
          <w:rFonts w:ascii="Times New Roman" w:hAnsi="Times New Roman" w:cs="Times New Roman"/>
          <w:spacing w:val="-2"/>
          <w:sz w:val="28"/>
          <w:szCs w:val="28"/>
        </w:rPr>
        <w:t xml:space="preserve"> Чутливість МРТ для діагностики ускладнених ПК ПЗ становила 99,4%, специфічність – 100%.</w:t>
      </w:r>
    </w:p>
    <w:p w:rsidR="00C62D22" w:rsidRPr="00C62D22" w:rsidRDefault="00C62D22" w:rsidP="00C62D22">
      <w:pPr>
        <w:tabs>
          <w:tab w:val="left" w:pos="14570"/>
          <w:tab w:val="left" w:pos="14601"/>
        </w:tabs>
        <w:spacing w:after="0" w:line="360" w:lineRule="auto"/>
        <w:ind w:right="-79"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Використання ангіографії при кровотечах у порожнину ПК дозволяло встановити джерело кровотечі та виконати його ренгенемболізацію. </w:t>
      </w:r>
    </w:p>
    <w:p w:rsidR="00C62D22" w:rsidRPr="00C62D22" w:rsidRDefault="00C62D22" w:rsidP="00C62D22">
      <w:pPr>
        <w:tabs>
          <w:tab w:val="left" w:pos="14570"/>
          <w:tab w:val="left" w:pos="14601"/>
        </w:tabs>
        <w:spacing w:after="0" w:line="360" w:lineRule="auto"/>
        <w:ind w:right="-79"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Виконання ЕУС дозволяло достатньо чітко візуалізувати стінки, порожнину кістозних новоутворень ПЗ, їх перетинки, пристінкові вузлоподібні розростання; та виконувати у всіх випадках тонкоголкову пункційну біопсію ПК з аспірацією їх вмісту; </w:t>
      </w:r>
      <w:r w:rsidRPr="00C62D22">
        <w:rPr>
          <w:rFonts w:ascii="Times New Roman" w:hAnsi="Times New Roman" w:cs="Times New Roman"/>
          <w:spacing w:val="-2"/>
          <w:sz w:val="28"/>
          <w:szCs w:val="28"/>
        </w:rPr>
        <w:t xml:space="preserve">компенсувало деякі недоліки УЗД, його використання було остаточним методом верифікації діагнозу, з метою подальшого ендоскопічного лікування хворих. </w:t>
      </w:r>
    </w:p>
    <w:p w:rsidR="00C62D22" w:rsidRPr="00C62D22" w:rsidRDefault="00C62D22" w:rsidP="00C62D22">
      <w:pPr>
        <w:shd w:val="clear" w:color="auto" w:fill="FFFFFF"/>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На основі проведеного аналізу діагностичної значущості лабораторних та інструментальних даних, був розроблений алгоритм діагностики ускладнених ПК ПЗ. </w:t>
      </w:r>
    </w:p>
    <w:p w:rsidR="00C62D22" w:rsidRPr="00C62D22" w:rsidRDefault="00C62D22" w:rsidP="00C62D22">
      <w:pPr>
        <w:shd w:val="clear" w:color="auto" w:fill="FFFFFF"/>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Основою для проведення нами дослідження механізмів втрати функціонуючої тканини ПЗ стала сформульована власна гіпотеза, що в умовах гіпоксії та ішемії ПЗ унаслідок її ушкодження, під дією ангіогенних факторів відбувається активація та проліферація ендотелі</w:t>
      </w:r>
      <w:r w:rsidRPr="00C62D22">
        <w:rPr>
          <w:rFonts w:ascii="Times New Roman" w:hAnsi="Times New Roman" w:cs="Times New Roman"/>
          <w:sz w:val="28"/>
          <w:szCs w:val="28"/>
        </w:rPr>
        <w:t>о</w:t>
      </w:r>
      <w:r w:rsidRPr="00C62D22">
        <w:rPr>
          <w:rFonts w:ascii="Times New Roman" w:hAnsi="Times New Roman" w:cs="Times New Roman"/>
          <w:sz w:val="28"/>
          <w:szCs w:val="28"/>
        </w:rPr>
        <w:t>цитів, яка завершується процесами неоваскуляризації, а недостатня деград</w:t>
      </w:r>
      <w:r w:rsidRPr="00C62D22">
        <w:rPr>
          <w:rFonts w:ascii="Times New Roman" w:hAnsi="Times New Roman" w:cs="Times New Roman"/>
          <w:sz w:val="28"/>
          <w:szCs w:val="28"/>
        </w:rPr>
        <w:t>а</w:t>
      </w:r>
      <w:r w:rsidRPr="00C62D22">
        <w:rPr>
          <w:rFonts w:ascii="Times New Roman" w:hAnsi="Times New Roman" w:cs="Times New Roman"/>
          <w:sz w:val="28"/>
          <w:szCs w:val="28"/>
        </w:rPr>
        <w:t xml:space="preserve">ція позаклітинного матриксу, який накопичується, є основною причиною прогресування фіброзу та ремоделювання ПЗ із розвитком ускладнень, у тому числі внаслідок повторної дії факторів екзогенної та ендогенної природи. При цьому ми вважали, що ремоделювання ПЗ − гетерогенний процес, який призводить до змін сполучної тканини та порушення структури та функції органа внаслідок динамічного процесу диференціювання, міграції, розвитку та дозрівання </w:t>
      </w:r>
      <w:r w:rsidRPr="00C62D22">
        <w:rPr>
          <w:rFonts w:ascii="Times New Roman" w:hAnsi="Times New Roman" w:cs="Times New Roman"/>
          <w:sz w:val="28"/>
          <w:szCs w:val="28"/>
        </w:rPr>
        <w:lastRenderedPageBreak/>
        <w:t xml:space="preserve">структурних клітин. Для підтвердження цієї гіпотези були вивчені деякі показники </w:t>
      </w:r>
      <w:r w:rsidRPr="00C62D22">
        <w:rPr>
          <w:rFonts w:ascii="Times New Roman" w:eastAsia="MyriadPro-Bold" w:hAnsi="Times New Roman" w:cs="Times New Roman"/>
          <w:bCs/>
          <w:sz w:val="28"/>
          <w:szCs w:val="28"/>
        </w:rPr>
        <w:t>системи пероксидації крові у хворих на різні типи ПК ПЗ. Так дисертантом було встановлено, що</w:t>
      </w:r>
      <w:r w:rsidRPr="00C62D22">
        <w:rPr>
          <w:rFonts w:ascii="Times New Roman" w:hAnsi="Times New Roman" w:cs="Times New Roman"/>
          <w:bCs/>
          <w:iCs/>
          <w:color w:val="000000"/>
          <w:sz w:val="28"/>
          <w:szCs w:val="28"/>
        </w:rPr>
        <w:t xml:space="preserve"> в процесі переб</w:t>
      </w:r>
      <w:r w:rsidRPr="00C62D22">
        <w:rPr>
          <w:rFonts w:ascii="Times New Roman" w:hAnsi="Times New Roman" w:cs="Times New Roman"/>
          <w:bCs/>
          <w:iCs/>
          <w:color w:val="000000"/>
          <w:sz w:val="28"/>
          <w:szCs w:val="28"/>
        </w:rPr>
        <w:t>і</w:t>
      </w:r>
      <w:r w:rsidRPr="00C62D22">
        <w:rPr>
          <w:rFonts w:ascii="Times New Roman" w:hAnsi="Times New Roman" w:cs="Times New Roman"/>
          <w:bCs/>
          <w:iCs/>
          <w:color w:val="000000"/>
          <w:sz w:val="28"/>
          <w:szCs w:val="28"/>
        </w:rPr>
        <w:t>гу захворювання при різних типах ПК рівень МДА підвищувався  порі</w:t>
      </w:r>
      <w:r w:rsidRPr="00C62D22">
        <w:rPr>
          <w:rFonts w:ascii="Times New Roman" w:hAnsi="Times New Roman" w:cs="Times New Roman"/>
          <w:bCs/>
          <w:iCs/>
          <w:color w:val="000000"/>
          <w:sz w:val="28"/>
          <w:szCs w:val="28"/>
        </w:rPr>
        <w:t>в</w:t>
      </w:r>
      <w:r w:rsidRPr="00C62D22">
        <w:rPr>
          <w:rFonts w:ascii="Times New Roman" w:hAnsi="Times New Roman" w:cs="Times New Roman"/>
          <w:bCs/>
          <w:iCs/>
          <w:color w:val="000000"/>
          <w:sz w:val="28"/>
          <w:szCs w:val="28"/>
        </w:rPr>
        <w:t>няно з контролем у середньому відповідно на 136,2%, 100,5% та 32,9% (р</w:t>
      </w:r>
      <w:r w:rsidRPr="00C62D22">
        <w:rPr>
          <w:rFonts w:ascii="Times New Roman" w:hAnsi="Times New Roman" w:cs="Times New Roman"/>
          <w:bCs/>
          <w:iCs/>
          <w:color w:val="000000"/>
          <w:sz w:val="28"/>
          <w:szCs w:val="28"/>
        </w:rPr>
        <w:sym w:font="Symbol" w:char="F03C"/>
      </w:r>
      <w:r w:rsidRPr="00C62D22">
        <w:rPr>
          <w:rFonts w:ascii="Times New Roman" w:hAnsi="Times New Roman" w:cs="Times New Roman"/>
          <w:bCs/>
          <w:iCs/>
          <w:color w:val="000000"/>
          <w:sz w:val="28"/>
          <w:szCs w:val="28"/>
        </w:rPr>
        <w:t>0,05). При цьому, проведений однофакторний дисперсний аналіз свідчив про наявність вірогідних відмінностей поміж цих хворих (</w:t>
      </w:r>
      <w:r w:rsidRPr="00C62D22">
        <w:rPr>
          <w:rFonts w:ascii="Times New Roman" w:hAnsi="Times New Roman" w:cs="Times New Roman"/>
          <w:color w:val="000000"/>
          <w:sz w:val="28"/>
          <w:szCs w:val="28"/>
        </w:rPr>
        <w:t>F</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157, 781, p</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0,000). Рівень ГПО-1 був найбільш підвищеним у хворих І групи в с</w:t>
      </w:r>
      <w:r w:rsidRPr="00C62D22">
        <w:rPr>
          <w:rFonts w:ascii="Times New Roman" w:hAnsi="Times New Roman" w:cs="Times New Roman"/>
          <w:color w:val="000000"/>
          <w:sz w:val="28"/>
          <w:szCs w:val="28"/>
        </w:rPr>
        <w:t>е</w:t>
      </w:r>
      <w:r w:rsidRPr="00C62D22">
        <w:rPr>
          <w:rFonts w:ascii="Times New Roman" w:hAnsi="Times New Roman" w:cs="Times New Roman"/>
          <w:color w:val="000000"/>
          <w:sz w:val="28"/>
          <w:szCs w:val="28"/>
        </w:rPr>
        <w:t xml:space="preserve">редньому на 128,2%, у хворих ІІ групи цей показник був у середньому на 82,8% вище показників контрольної групи, але нижче на 19,9% ніж у хворих на I тип ПК ПЗ. У хворих ІІІ групи показник, що вивчався, був на 63,2% вище показників контрольної групи, але відповідно на 28,5% та на 10,7% був нижчим ніж показники, що отримані в І та ІІ групах хворих. Проведений </w:t>
      </w:r>
      <w:r w:rsidRPr="00C62D22">
        <w:rPr>
          <w:rFonts w:ascii="Times New Roman" w:hAnsi="Times New Roman" w:cs="Times New Roman"/>
          <w:bCs/>
          <w:iCs/>
          <w:color w:val="000000"/>
          <w:sz w:val="28"/>
          <w:szCs w:val="28"/>
        </w:rPr>
        <w:t>однофакторний дисперсний аналіз свідчив про наявність вірогідних відмінностей поміж усіх 3 груп хворих (</w:t>
      </w:r>
      <w:r w:rsidRPr="00C62D22">
        <w:rPr>
          <w:rFonts w:ascii="Times New Roman" w:hAnsi="Times New Roman" w:cs="Times New Roman"/>
          <w:color w:val="000000"/>
          <w:sz w:val="28"/>
          <w:szCs w:val="28"/>
        </w:rPr>
        <w:t>F</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42,674, p</w:t>
      </w:r>
      <w:r w:rsidRPr="00C62D22">
        <w:rPr>
          <w:rFonts w:ascii="Times New Roman" w:hAnsi="Times New Roman" w:cs="Times New Roman"/>
          <w:color w:val="000000"/>
          <w:sz w:val="28"/>
          <w:szCs w:val="28"/>
        </w:rPr>
        <w:sym w:font="Symbol" w:char="F03D"/>
      </w:r>
      <w:r w:rsidRPr="00C62D22">
        <w:rPr>
          <w:rFonts w:ascii="Times New Roman" w:hAnsi="Times New Roman" w:cs="Times New Roman"/>
          <w:color w:val="000000"/>
          <w:sz w:val="28"/>
          <w:szCs w:val="28"/>
        </w:rPr>
        <w:t>0,000).</w:t>
      </w:r>
      <w:r w:rsidRPr="00C62D22">
        <w:rPr>
          <w:rFonts w:ascii="Times New Roman" w:hAnsi="Times New Roman" w:cs="Times New Roman"/>
          <w:sz w:val="28"/>
          <w:szCs w:val="28"/>
        </w:rPr>
        <w:t xml:space="preserve"> Як свідчили проведені дослідження, між станом хворих та рівнями МДА та ГПО-1 у сироватці крові були позитивні зв’язки, причому для обох показників, які досліджувались, рівні коефіцієнта кореляції Спірм</w:t>
      </w:r>
      <w:r w:rsidRPr="00C62D22">
        <w:rPr>
          <w:rFonts w:ascii="Times New Roman" w:hAnsi="Times New Roman" w:cs="Times New Roman"/>
          <w:sz w:val="28"/>
          <w:szCs w:val="28"/>
        </w:rPr>
        <w:t>е</w:t>
      </w:r>
      <w:r w:rsidRPr="00C62D22">
        <w:rPr>
          <w:rFonts w:ascii="Times New Roman" w:hAnsi="Times New Roman" w:cs="Times New Roman"/>
          <w:sz w:val="28"/>
          <w:szCs w:val="28"/>
        </w:rPr>
        <w:t>на були відповідно 0,78 та 0,82 (р</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0,05).</w:t>
      </w:r>
      <w:r w:rsidRPr="00C62D22">
        <w:rPr>
          <w:rStyle w:val="hps"/>
          <w:rFonts w:ascii="Times New Roman" w:hAnsi="Times New Roman" w:cs="Times New Roman"/>
          <w:sz w:val="28"/>
          <w:szCs w:val="28"/>
        </w:rPr>
        <w:t xml:space="preserve"> Виражене</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зростання активності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ГПО-1, яке нами було отримано у всіх хворих, що досліджувались,</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може бути пов'язаним</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з можливістю</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активації</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ферменту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при</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накопиченні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середовищі</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його</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субстратів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першу чергу,</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гідроперекисів</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жирних</w:t>
      </w:r>
      <w:r w:rsidRPr="00C62D22">
        <w:rPr>
          <w:rFonts w:ascii="Times New Roman" w:hAnsi="Times New Roman" w:cs="Times New Roman"/>
          <w:sz w:val="28"/>
          <w:szCs w:val="28"/>
        </w:rPr>
        <w:t xml:space="preserve"> </w:t>
      </w:r>
      <w:r w:rsidRPr="00C62D22">
        <w:rPr>
          <w:rStyle w:val="hps"/>
          <w:rFonts w:ascii="Times New Roman" w:hAnsi="Times New Roman" w:cs="Times New Roman"/>
          <w:sz w:val="28"/>
          <w:szCs w:val="28"/>
        </w:rPr>
        <w:t>кислот.</w:t>
      </w:r>
    </w:p>
    <w:p w:rsidR="00C62D22" w:rsidRPr="00C62D22" w:rsidRDefault="00C62D22" w:rsidP="00C62D22">
      <w:pPr>
        <w:autoSpaceDE w:val="0"/>
        <w:autoSpaceDN w:val="0"/>
        <w:adjustRightInd w:val="0"/>
        <w:spacing w:after="0" w:line="360" w:lineRule="auto"/>
        <w:ind w:firstLine="540"/>
        <w:jc w:val="both"/>
        <w:rPr>
          <w:rStyle w:val="20"/>
          <w:rFonts w:eastAsiaTheme="minorEastAsia"/>
          <w:szCs w:val="28"/>
        </w:rPr>
      </w:pPr>
      <w:r w:rsidRPr="00C62D22">
        <w:rPr>
          <w:rFonts w:ascii="Times New Roman" w:eastAsia="MyriadPro-Bold" w:hAnsi="Times New Roman" w:cs="Times New Roman"/>
          <w:bCs/>
          <w:sz w:val="28"/>
          <w:szCs w:val="28"/>
        </w:rPr>
        <w:t>Вивчення динаміки змін рівня деяких цитокінів крові у хворих на різні т</w:t>
      </w:r>
      <w:r w:rsidRPr="00C62D22">
        <w:rPr>
          <w:rFonts w:ascii="Times New Roman" w:eastAsia="MyriadPro-Bold" w:hAnsi="Times New Roman" w:cs="Times New Roman"/>
          <w:bCs/>
          <w:sz w:val="28"/>
          <w:szCs w:val="28"/>
        </w:rPr>
        <w:t>и</w:t>
      </w:r>
      <w:r w:rsidRPr="00C62D22">
        <w:rPr>
          <w:rFonts w:ascii="Times New Roman" w:eastAsia="MyriadPro-Bold" w:hAnsi="Times New Roman" w:cs="Times New Roman"/>
          <w:bCs/>
          <w:sz w:val="28"/>
          <w:szCs w:val="28"/>
        </w:rPr>
        <w:t xml:space="preserve">пи ПК ПЗ </w:t>
      </w:r>
      <w:r w:rsidRPr="00C62D22">
        <w:rPr>
          <w:rFonts w:ascii="Times New Roman" w:hAnsi="Times New Roman" w:cs="Times New Roman"/>
          <w:sz w:val="28"/>
          <w:szCs w:val="28"/>
        </w:rPr>
        <w:t>свідчили, що TGF-β1 був значимо підвищений у всіх групах хворих на ПК ПЗ у середньому відповідно на 584,4%, 476,5% та на 363,5% порівняно з контрольною групою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 xml:space="preserve">0,05). </w:t>
      </w:r>
      <w:r w:rsidRPr="00C62D22">
        <w:rPr>
          <w:rFonts w:ascii="Times New Roman" w:hAnsi="Times New Roman" w:cs="Times New Roman"/>
          <w:bCs/>
          <w:iCs/>
          <w:sz w:val="28"/>
          <w:szCs w:val="28"/>
        </w:rPr>
        <w:t>При цьому, проведений однофакторний дисперсійний аналіз свідчив про наявність вірогі</w:t>
      </w:r>
      <w:r w:rsidRPr="00C62D22">
        <w:rPr>
          <w:rFonts w:ascii="Times New Roman" w:hAnsi="Times New Roman" w:cs="Times New Roman"/>
          <w:bCs/>
          <w:iCs/>
          <w:sz w:val="28"/>
          <w:szCs w:val="28"/>
        </w:rPr>
        <w:t>д</w:t>
      </w:r>
      <w:r w:rsidRPr="00C62D22">
        <w:rPr>
          <w:rFonts w:ascii="Times New Roman" w:hAnsi="Times New Roman" w:cs="Times New Roman"/>
          <w:bCs/>
          <w:iCs/>
          <w:sz w:val="28"/>
          <w:szCs w:val="28"/>
        </w:rPr>
        <w:t>них відмінностей поміж груп хворих, що аналізуються (</w:t>
      </w:r>
      <w:r w:rsidRPr="00C62D22">
        <w:rPr>
          <w:rFonts w:ascii="Times New Roman" w:hAnsi="Times New Roman" w:cs="Times New Roman"/>
          <w:sz w:val="28"/>
          <w:szCs w:val="28"/>
        </w:rPr>
        <w:t>F</w:t>
      </w:r>
      <w:r w:rsidRPr="00C62D22">
        <w:rPr>
          <w:rFonts w:ascii="Times New Roman" w:hAnsi="Times New Roman" w:cs="Times New Roman"/>
          <w:sz w:val="28"/>
          <w:szCs w:val="28"/>
        </w:rPr>
        <w:sym w:font="Symbol" w:char="F03D"/>
      </w:r>
      <w:r w:rsidRPr="00C62D22">
        <w:rPr>
          <w:rFonts w:ascii="Times New Roman" w:hAnsi="Times New Roman" w:cs="Times New Roman"/>
          <w:sz w:val="28"/>
          <w:szCs w:val="28"/>
        </w:rPr>
        <w:t>226,824, p</w:t>
      </w:r>
      <w:r w:rsidRPr="00C62D22">
        <w:rPr>
          <w:rFonts w:ascii="Times New Roman" w:hAnsi="Times New Roman" w:cs="Times New Roman"/>
          <w:sz w:val="28"/>
          <w:szCs w:val="28"/>
        </w:rPr>
        <w:sym w:font="Symbol" w:char="F03D"/>
      </w:r>
      <w:r w:rsidRPr="00C62D22">
        <w:rPr>
          <w:rFonts w:ascii="Times New Roman" w:hAnsi="Times New Roman" w:cs="Times New Roman"/>
          <w:sz w:val="28"/>
          <w:szCs w:val="28"/>
        </w:rPr>
        <w:t>0,000). Рівень IL-18 був вищим у І групі хворих у середньому на 86%, в ІІ – на 24,1% і в ІІІ – на 27,2% порівняно з контролем (р</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0,05). Подібна тенденція відзначена й для IL-6 та IL-8 на тлі підвищення IL-10 ві</w:t>
      </w:r>
      <w:r w:rsidRPr="00C62D22">
        <w:rPr>
          <w:rFonts w:ascii="Times New Roman" w:hAnsi="Times New Roman" w:cs="Times New Roman"/>
          <w:sz w:val="28"/>
          <w:szCs w:val="28"/>
        </w:rPr>
        <w:t>д</w:t>
      </w:r>
      <w:r w:rsidRPr="00C62D22">
        <w:rPr>
          <w:rFonts w:ascii="Times New Roman" w:hAnsi="Times New Roman" w:cs="Times New Roman"/>
          <w:sz w:val="28"/>
          <w:szCs w:val="28"/>
        </w:rPr>
        <w:t>повідно в середньому в 30,2 рази (I тип ПК ПЗ), у 30,9 рази (II тип ПК ПЗ) та в 23,6 рази при III типу ПК ПЗ (р</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 xml:space="preserve">0,05). Можливе збільшення рівня IL-10 було компенсаторною спробою організму </w:t>
      </w:r>
      <w:r w:rsidRPr="00C62D22">
        <w:rPr>
          <w:rFonts w:ascii="Times New Roman" w:hAnsi="Times New Roman" w:cs="Times New Roman"/>
          <w:sz w:val="28"/>
          <w:szCs w:val="28"/>
        </w:rPr>
        <w:lastRenderedPageBreak/>
        <w:t>хворих зме</w:t>
      </w:r>
      <w:r w:rsidRPr="00C62D22">
        <w:rPr>
          <w:rFonts w:ascii="Times New Roman" w:hAnsi="Times New Roman" w:cs="Times New Roman"/>
          <w:sz w:val="28"/>
          <w:szCs w:val="28"/>
        </w:rPr>
        <w:t>н</w:t>
      </w:r>
      <w:r w:rsidRPr="00C62D22">
        <w:rPr>
          <w:rFonts w:ascii="Times New Roman" w:hAnsi="Times New Roman" w:cs="Times New Roman"/>
          <w:sz w:val="28"/>
          <w:szCs w:val="28"/>
        </w:rPr>
        <w:t>шити продукцію прозапальних цитокінів, що продовжує тривати. Разом з тим, рівень цього протизапального цитокіну у хворих на III тип ПК ПЗ у середньому на 21,5% був нижчим, ніж у хворих на I тип ПК та на 27,1% ніж у хворих на II тип ПК ПЗ. Проведений кореляційний аналіз показав, що між станом хворих та рівнями TGF-</w:t>
      </w:r>
      <w:r w:rsidRPr="00C62D22">
        <w:rPr>
          <w:rFonts w:ascii="Times New Roman" w:hAnsi="Times New Roman" w:cs="Times New Roman"/>
          <w:sz w:val="28"/>
          <w:szCs w:val="28"/>
        </w:rPr>
        <w:sym w:font="Symbol" w:char="F062"/>
      </w:r>
      <w:r w:rsidRPr="00C62D22">
        <w:rPr>
          <w:rFonts w:ascii="Times New Roman" w:hAnsi="Times New Roman" w:cs="Times New Roman"/>
          <w:sz w:val="28"/>
          <w:szCs w:val="28"/>
        </w:rPr>
        <w:t>1, IL-6, 8, 10 і 18 у сироватці крові були позитивні зв’язки, причому для всіх показників рівні коефіцієнта кореляції Спірмена були відповідно 0,69, 0,68, 0,57, 0,73 та 0,82 (р</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0,001). З метою оцінки аутоімунної активації ми розрахували показник спі</w:t>
      </w:r>
      <w:r w:rsidRPr="00C62D22">
        <w:rPr>
          <w:rFonts w:ascii="Times New Roman" w:hAnsi="Times New Roman" w:cs="Times New Roman"/>
          <w:sz w:val="28"/>
          <w:szCs w:val="28"/>
        </w:rPr>
        <w:t>в</w:t>
      </w:r>
      <w:r w:rsidRPr="00C62D22">
        <w:rPr>
          <w:rFonts w:ascii="Times New Roman" w:hAnsi="Times New Roman" w:cs="Times New Roman"/>
          <w:sz w:val="28"/>
          <w:szCs w:val="28"/>
        </w:rPr>
        <w:t>відношення рівня IL-18/IL-10.</w:t>
      </w:r>
      <w:r w:rsidRPr="00C62D22">
        <w:rPr>
          <w:rFonts w:ascii="Times New Roman" w:hAnsi="Times New Roman" w:cs="Times New Roman"/>
          <w:color w:val="FF0000"/>
          <w:sz w:val="28"/>
          <w:szCs w:val="28"/>
        </w:rPr>
        <w:t xml:space="preserve"> </w:t>
      </w:r>
      <w:r w:rsidRPr="00C62D22">
        <w:rPr>
          <w:rStyle w:val="hps"/>
          <w:rFonts w:ascii="Times New Roman" w:hAnsi="Times New Roman" w:cs="Times New Roman"/>
          <w:color w:val="222222"/>
          <w:sz w:val="28"/>
          <w:szCs w:val="28"/>
        </w:rPr>
        <w:t>При</w:t>
      </w:r>
      <w:r w:rsidRPr="00C62D22">
        <w:rPr>
          <w:rFonts w:ascii="Times New Roman" w:hAnsi="Times New Roman" w:cs="Times New Roman"/>
          <w:color w:val="222222"/>
          <w:sz w:val="28"/>
          <w:szCs w:val="28"/>
        </w:rPr>
        <w:t xml:space="preserve"> </w:t>
      </w:r>
      <w:r w:rsidRPr="00C62D22">
        <w:rPr>
          <w:rStyle w:val="hps"/>
          <w:rFonts w:ascii="Times New Roman" w:hAnsi="Times New Roman" w:cs="Times New Roman"/>
          <w:color w:val="222222"/>
          <w:sz w:val="28"/>
          <w:szCs w:val="28"/>
        </w:rPr>
        <w:t>вивченні взаємозв'язків</w:t>
      </w:r>
      <w:r w:rsidRPr="00C62D22">
        <w:rPr>
          <w:rFonts w:ascii="Times New Roman" w:hAnsi="Times New Roman" w:cs="Times New Roman"/>
          <w:color w:val="222222"/>
          <w:sz w:val="28"/>
          <w:szCs w:val="28"/>
        </w:rPr>
        <w:t xml:space="preserve"> </w:t>
      </w:r>
      <w:r w:rsidRPr="00C62D22">
        <w:rPr>
          <w:rStyle w:val="hps"/>
          <w:rFonts w:ascii="Times New Roman" w:hAnsi="Times New Roman" w:cs="Times New Roman"/>
          <w:color w:val="222222"/>
          <w:sz w:val="28"/>
          <w:szCs w:val="28"/>
        </w:rPr>
        <w:t>між показниками</w:t>
      </w:r>
      <w:r w:rsidRPr="00C62D22">
        <w:rPr>
          <w:rFonts w:ascii="Times New Roman" w:hAnsi="Times New Roman" w:cs="Times New Roman"/>
          <w:color w:val="222222"/>
          <w:sz w:val="28"/>
          <w:szCs w:val="28"/>
        </w:rPr>
        <w:t xml:space="preserve"> </w:t>
      </w:r>
      <w:r w:rsidRPr="00C62D22">
        <w:rPr>
          <w:rStyle w:val="hps"/>
          <w:rFonts w:ascii="Times New Roman" w:hAnsi="Times New Roman" w:cs="Times New Roman"/>
          <w:color w:val="222222"/>
          <w:sz w:val="28"/>
          <w:szCs w:val="28"/>
        </w:rPr>
        <w:t>встановлена наявність</w:t>
      </w:r>
      <w:r w:rsidRPr="00C62D22">
        <w:rPr>
          <w:rFonts w:ascii="Times New Roman" w:hAnsi="Times New Roman" w:cs="Times New Roman"/>
          <w:color w:val="222222"/>
          <w:sz w:val="28"/>
          <w:szCs w:val="28"/>
        </w:rPr>
        <w:t xml:space="preserve"> </w:t>
      </w:r>
      <w:r w:rsidRPr="00C62D22">
        <w:rPr>
          <w:rStyle w:val="hps"/>
          <w:rFonts w:ascii="Times New Roman" w:hAnsi="Times New Roman" w:cs="Times New Roman"/>
          <w:color w:val="222222"/>
          <w:sz w:val="28"/>
          <w:szCs w:val="28"/>
        </w:rPr>
        <w:t>достовірних</w:t>
      </w:r>
      <w:r w:rsidRPr="00C62D22">
        <w:rPr>
          <w:rFonts w:ascii="Times New Roman" w:hAnsi="Times New Roman" w:cs="Times New Roman"/>
          <w:color w:val="222222"/>
          <w:sz w:val="28"/>
          <w:szCs w:val="28"/>
        </w:rPr>
        <w:t xml:space="preserve"> </w:t>
      </w:r>
      <w:r w:rsidRPr="00C62D22">
        <w:rPr>
          <w:rStyle w:val="hps"/>
          <w:rFonts w:ascii="Times New Roman" w:hAnsi="Times New Roman" w:cs="Times New Roman"/>
          <w:color w:val="222222"/>
          <w:sz w:val="28"/>
          <w:szCs w:val="28"/>
        </w:rPr>
        <w:t>кореляційних</w:t>
      </w:r>
      <w:r w:rsidRPr="00C62D22">
        <w:rPr>
          <w:rFonts w:ascii="Times New Roman" w:hAnsi="Times New Roman" w:cs="Times New Roman"/>
          <w:color w:val="222222"/>
          <w:sz w:val="28"/>
          <w:szCs w:val="28"/>
        </w:rPr>
        <w:t xml:space="preserve"> </w:t>
      </w:r>
      <w:r w:rsidRPr="00C62D22">
        <w:rPr>
          <w:rStyle w:val="hps"/>
          <w:rFonts w:ascii="Times New Roman" w:hAnsi="Times New Roman" w:cs="Times New Roman"/>
          <w:color w:val="222222"/>
          <w:sz w:val="28"/>
          <w:szCs w:val="28"/>
        </w:rPr>
        <w:t>взаємозв'язків</w:t>
      </w:r>
      <w:r w:rsidRPr="00C62D22">
        <w:rPr>
          <w:rFonts w:ascii="Times New Roman" w:hAnsi="Times New Roman" w:cs="Times New Roman"/>
          <w:color w:val="222222"/>
          <w:sz w:val="28"/>
          <w:szCs w:val="28"/>
        </w:rPr>
        <w:t xml:space="preserve"> </w:t>
      </w:r>
      <w:r w:rsidRPr="00C62D22">
        <w:rPr>
          <w:rStyle w:val="hps"/>
          <w:rFonts w:ascii="Times New Roman" w:hAnsi="Times New Roman" w:cs="Times New Roman"/>
          <w:color w:val="222222"/>
          <w:sz w:val="28"/>
          <w:szCs w:val="28"/>
        </w:rPr>
        <w:t>між вмістом</w:t>
      </w:r>
      <w:r w:rsidRPr="00C62D22">
        <w:rPr>
          <w:rFonts w:ascii="Times New Roman" w:hAnsi="Times New Roman" w:cs="Times New Roman"/>
          <w:color w:val="222222"/>
          <w:sz w:val="28"/>
          <w:szCs w:val="28"/>
        </w:rPr>
        <w:t xml:space="preserve"> </w:t>
      </w:r>
      <w:r w:rsidRPr="00C62D22">
        <w:rPr>
          <w:rFonts w:ascii="Times New Roman" w:hAnsi="Times New Roman" w:cs="Times New Roman"/>
          <w:sz w:val="28"/>
          <w:szCs w:val="28"/>
        </w:rPr>
        <w:t xml:space="preserve">IL-18 </w:t>
      </w:r>
      <w:r w:rsidRPr="00C62D22">
        <w:rPr>
          <w:rFonts w:ascii="Times New Roman" w:hAnsi="Times New Roman" w:cs="Times New Roman"/>
          <w:color w:val="222222"/>
          <w:sz w:val="28"/>
          <w:szCs w:val="28"/>
        </w:rPr>
        <w:t xml:space="preserve">і </w:t>
      </w:r>
      <w:r w:rsidRPr="00C62D22">
        <w:rPr>
          <w:rFonts w:ascii="Times New Roman" w:hAnsi="Times New Roman" w:cs="Times New Roman"/>
          <w:sz w:val="28"/>
          <w:szCs w:val="28"/>
        </w:rPr>
        <w:t>IL-10. Зростання цього інтегрального показника, на наш погляд, свідчило про переважання прозапальної активності, а зменшення, відповідно, відображає переважно протизапальну активацію. Аналіз цього показника співвідношення IL-18/IL-10 (контроль – 81,3; І тип ПК ПЗ – 5,0; ІІ тип ПК ПЗ – 3,26; ІІІ тип ПК ПЗ – 4,4) виявив його суттєве зменшення (у сере</w:t>
      </w:r>
      <w:r w:rsidRPr="00C62D22">
        <w:rPr>
          <w:rFonts w:ascii="Times New Roman" w:hAnsi="Times New Roman" w:cs="Times New Roman"/>
          <w:sz w:val="28"/>
          <w:szCs w:val="28"/>
        </w:rPr>
        <w:t>д</w:t>
      </w:r>
      <w:r w:rsidRPr="00C62D22">
        <w:rPr>
          <w:rFonts w:ascii="Times New Roman" w:hAnsi="Times New Roman" w:cs="Times New Roman"/>
          <w:sz w:val="28"/>
          <w:szCs w:val="28"/>
        </w:rPr>
        <w:t>ньому на 93,8%, 96% та на 94,6%,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0,05) у всіх хворих, незв</w:t>
      </w:r>
      <w:r w:rsidRPr="00C62D22">
        <w:rPr>
          <w:rFonts w:ascii="Times New Roman" w:hAnsi="Times New Roman" w:cs="Times New Roman"/>
          <w:sz w:val="28"/>
          <w:szCs w:val="28"/>
        </w:rPr>
        <w:t>а</w:t>
      </w:r>
      <w:r w:rsidRPr="00C62D22">
        <w:rPr>
          <w:rFonts w:ascii="Times New Roman" w:hAnsi="Times New Roman" w:cs="Times New Roman"/>
          <w:sz w:val="28"/>
          <w:szCs w:val="28"/>
        </w:rPr>
        <w:t>жаючи на те, що середній рівень прозапальних цитокінів у них був значно вище за відповідні показники контрольної групи. Таким чином, отримані нами дані підтверджували гіпотезу про те, що активація прозапального цитокіну IL-18 і протизапального цитокіну IL-10 може формувати зв'язок між факторами ризику розвитку ускладнень у хв</w:t>
      </w:r>
      <w:r w:rsidRPr="00C62D22">
        <w:rPr>
          <w:rFonts w:ascii="Times New Roman" w:hAnsi="Times New Roman" w:cs="Times New Roman"/>
          <w:sz w:val="28"/>
          <w:szCs w:val="28"/>
        </w:rPr>
        <w:t>о</w:t>
      </w:r>
      <w:r w:rsidRPr="00C62D22">
        <w:rPr>
          <w:rFonts w:ascii="Times New Roman" w:hAnsi="Times New Roman" w:cs="Times New Roman"/>
          <w:sz w:val="28"/>
          <w:szCs w:val="28"/>
        </w:rPr>
        <w:t>рих на різні типи ПК ПЗ.</w:t>
      </w:r>
      <w:r w:rsidRPr="00C62D22">
        <w:rPr>
          <w:rStyle w:val="20"/>
          <w:rFonts w:eastAsiaTheme="minorEastAsia"/>
          <w:szCs w:val="28"/>
        </w:rPr>
        <w:t xml:space="preserve"> </w:t>
      </w:r>
    </w:p>
    <w:p w:rsidR="00C62D22" w:rsidRPr="00C62D22" w:rsidRDefault="00C62D22" w:rsidP="00C62D22">
      <w:pPr>
        <w:autoSpaceDE w:val="0"/>
        <w:autoSpaceDN w:val="0"/>
        <w:adjustRightInd w:val="0"/>
        <w:spacing w:after="0" w:line="360" w:lineRule="auto"/>
        <w:ind w:firstLine="540"/>
        <w:jc w:val="both"/>
        <w:rPr>
          <w:rFonts w:ascii="Times New Roman" w:hAnsi="Times New Roman" w:cs="Times New Roman"/>
          <w:color w:val="000000"/>
          <w:sz w:val="28"/>
          <w:szCs w:val="28"/>
        </w:rPr>
      </w:pPr>
      <w:r w:rsidRPr="00C62D22">
        <w:rPr>
          <w:rFonts w:ascii="Times New Roman" w:hAnsi="Times New Roman" w:cs="Times New Roman"/>
          <w:sz w:val="28"/>
          <w:szCs w:val="28"/>
        </w:rPr>
        <w:t xml:space="preserve">При вивченні динаміки змін рівня ММП-9, їх інгібіторів ТІМП-2 та функціонального стану ендотелію визначено, що </w:t>
      </w:r>
      <w:r w:rsidRPr="00C62D22">
        <w:rPr>
          <w:rStyle w:val="hps"/>
          <w:rFonts w:ascii="Times New Roman" w:hAnsi="Times New Roman" w:cs="Times New Roman"/>
          <w:sz w:val="28"/>
          <w:szCs w:val="28"/>
        </w:rPr>
        <w:t xml:space="preserve">при всіх типах ПК ПЗ відбувалося значне підвищення рівня ММП-9 за відношенням до групи контролю. </w:t>
      </w:r>
      <w:r w:rsidRPr="00C62D22">
        <w:rPr>
          <w:rFonts w:ascii="Times New Roman" w:hAnsi="Times New Roman" w:cs="Times New Roman"/>
          <w:sz w:val="28"/>
          <w:szCs w:val="28"/>
        </w:rPr>
        <w:t>У хворих з I типом ПК ПЗ рівень ММП–9 був підвищеним у середньому на 284,5%, при II типу – на 176,9% і при III типу – на 91,7% відповідно до контрольної групи (p &lt;0,05).</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Концентрація ТІМП–2 була в середньому на 40,4% вище у хворих з I типом ПК ПЗ, ніж у контрольній групі (p &lt;0,001); у хворих з II типом відмінності були недостовірними; у хворих на III тип рівень ТІМП–2 був у середньому на 12% нижче, ніж показник у групі контролю (p &lt;0,05).</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 xml:space="preserve">Коефіцієнт MMП–9/TІMП–2 був вищим у хворих з I і II типами ПК ПЗ, і становив відповідно 0,67 (у контрольній – 0,25) (р &lt; 0,001). У хворих з III типом ПК коефіцієнт інгібування за ММП–9 був нижчим, ніж у перших двох групах, але на 112% перевищував показники контрольної групи (p &lt;0,001). </w:t>
      </w:r>
      <w:r w:rsidRPr="00C62D22">
        <w:rPr>
          <w:rStyle w:val="hps"/>
          <w:rFonts w:ascii="Times New Roman" w:hAnsi="Times New Roman" w:cs="Times New Roman"/>
          <w:sz w:val="28"/>
          <w:szCs w:val="28"/>
        </w:rPr>
        <w:t>Як видно з наведених вище даних, при довірчій імовірності 0,95% (р &lt;0,05) показник ММП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9 значимо відрізнявся у всіх чотирьох групах. Середні відносини ММП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9/ТІМП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2 були значимо різні тільки для контрольної групи та ІІІ групи між собою й у порівнянні з І та ІІ групами. Висока активність ММП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9 і ТІМП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2 у хворих з I і II типами ПК ПЗ, можливо, була обумовлена компенсаторною реакцією, спрямованою на пригнічення деструкції колагенової мережі (в основному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колагену IV) і на попередження подальшої перебудови сполучної тканини ПЗ. </w:t>
      </w:r>
      <w:r w:rsidRPr="00C62D22">
        <w:rPr>
          <w:rFonts w:ascii="Times New Roman" w:hAnsi="Times New Roman" w:cs="Times New Roman"/>
          <w:sz w:val="28"/>
          <w:szCs w:val="28"/>
        </w:rPr>
        <w:t>При прогресуванні фіброзу ПЗ (ІІІ група хворих) ММП–9 і ТІМП–2 знижувалися  порівняно з І та ІІ групами хворих.</w:t>
      </w:r>
    </w:p>
    <w:p w:rsidR="00C62D22" w:rsidRPr="00C62D22" w:rsidRDefault="00C62D22" w:rsidP="00C62D22">
      <w:pPr>
        <w:shd w:val="clear" w:color="auto" w:fill="FFFFFF"/>
        <w:spacing w:after="0" w:line="360" w:lineRule="auto"/>
        <w:ind w:firstLine="540"/>
        <w:jc w:val="both"/>
        <w:textAlignment w:val="top"/>
        <w:rPr>
          <w:rStyle w:val="20"/>
          <w:rFonts w:eastAsiaTheme="minorEastAsia"/>
          <w:szCs w:val="28"/>
        </w:rPr>
      </w:pPr>
      <w:r w:rsidRPr="00C62D22">
        <w:rPr>
          <w:rFonts w:ascii="Times New Roman" w:hAnsi="Times New Roman" w:cs="Times New Roman"/>
          <w:sz w:val="28"/>
          <w:szCs w:val="28"/>
        </w:rPr>
        <w:t>Як свідчать проведені дослідження, середній рівень VEGF був найбільш підвищеним у хворих на перший тип ПК ПЗ та на 685% перевищував показники контролю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0,001). У хворих на ІІ та ІІІ типи ПК ПЗ цей показник був на 14,3% та на 36,4% нижчим показника, що був зареєстрований у хворих на І тип ПК ПЗ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0,05), але відповідно на 572,4% і на 399,8% був вищим показників контрольної групи (p</w:t>
      </w:r>
      <w:r w:rsidRPr="00C62D22">
        <w:rPr>
          <w:rFonts w:ascii="Times New Roman" w:hAnsi="Times New Roman" w:cs="Times New Roman"/>
          <w:sz w:val="28"/>
          <w:szCs w:val="28"/>
        </w:rPr>
        <w:sym w:font="Symbol" w:char="F03C"/>
      </w:r>
      <w:r w:rsidRPr="00C62D22">
        <w:rPr>
          <w:rFonts w:ascii="Times New Roman" w:hAnsi="Times New Roman" w:cs="Times New Roman"/>
          <w:sz w:val="28"/>
          <w:szCs w:val="28"/>
        </w:rPr>
        <w:t>0,001). Підвищення в крові хворих рівня VEGF, можливо, свідчило про підвищення проліферативної активності ендотелію судин у відповідь на його ушкодження.</w:t>
      </w:r>
      <w:r w:rsidRPr="00C62D22">
        <w:rPr>
          <w:rStyle w:val="20"/>
          <w:rFonts w:eastAsiaTheme="minorEastAsia"/>
          <w:szCs w:val="28"/>
        </w:rPr>
        <w:t xml:space="preserve"> </w:t>
      </w:r>
      <w:r w:rsidRPr="00C62D22">
        <w:rPr>
          <w:rStyle w:val="hps"/>
          <w:rFonts w:ascii="Times New Roman" w:hAnsi="Times New Roman" w:cs="Times New Roman"/>
          <w:sz w:val="28"/>
          <w:szCs w:val="28"/>
        </w:rPr>
        <w:t>При вивченні кореляційних зв'язків між показниками, які досліджувались, та тяжкістю стану хворих, було виявлено наявність позитивних значень, що найбільш виражено було для VEGF, а коефіцієнт кореляції становив відповідно 0,71 (p</w:t>
      </w:r>
      <w:r w:rsidRPr="00C62D22">
        <w:rPr>
          <w:rStyle w:val="hps"/>
          <w:rFonts w:ascii="Times New Roman" w:hAnsi="Times New Roman" w:cs="Times New Roman"/>
          <w:sz w:val="28"/>
          <w:szCs w:val="28"/>
        </w:rPr>
        <w:sym w:font="Symbol" w:char="F03C"/>
      </w:r>
      <w:r w:rsidRPr="00C62D22">
        <w:rPr>
          <w:rStyle w:val="hps"/>
          <w:rFonts w:ascii="Times New Roman" w:hAnsi="Times New Roman" w:cs="Times New Roman"/>
          <w:sz w:val="28"/>
          <w:szCs w:val="28"/>
        </w:rPr>
        <w:t>0,05).</w:t>
      </w:r>
      <w:r w:rsidRPr="00C62D22">
        <w:rPr>
          <w:rStyle w:val="20"/>
          <w:rFonts w:eastAsiaTheme="minorEastAsia"/>
          <w:szCs w:val="28"/>
        </w:rPr>
        <w:t xml:space="preserve"> </w:t>
      </w:r>
    </w:p>
    <w:p w:rsidR="00C62D22" w:rsidRPr="00C62D22" w:rsidRDefault="00C62D22" w:rsidP="00C62D22">
      <w:pPr>
        <w:shd w:val="clear" w:color="auto" w:fill="FFFFFF"/>
        <w:spacing w:after="0" w:line="360" w:lineRule="auto"/>
        <w:ind w:firstLine="540"/>
        <w:jc w:val="both"/>
        <w:textAlignment w:val="top"/>
        <w:rPr>
          <w:rFonts w:ascii="Times New Roman" w:hAnsi="Times New Roman" w:cs="Times New Roman"/>
          <w:sz w:val="28"/>
          <w:szCs w:val="28"/>
        </w:rPr>
      </w:pPr>
      <w:r w:rsidRPr="00C62D22">
        <w:rPr>
          <w:rStyle w:val="hps"/>
          <w:rFonts w:ascii="Times New Roman" w:hAnsi="Times New Roman" w:cs="Times New Roman"/>
          <w:sz w:val="28"/>
          <w:szCs w:val="28"/>
        </w:rPr>
        <w:t>Проведені дослідження показали, що  при всіх типах ПК ПЗ присутній позитивний зв'язок тільки між рівнем ММП</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9 і VEGF: при I типу він становив 0,57 (p &lt;0,05); при II типу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0,76 (p &lt;0,05); при III типу </w:t>
      </w:r>
      <w:r w:rsidRPr="00C62D22">
        <w:rPr>
          <w:rFonts w:ascii="Times New Roman" w:hAnsi="Times New Roman" w:cs="Times New Roman"/>
          <w:sz w:val="28"/>
          <w:szCs w:val="28"/>
        </w:rPr>
        <w:t>–</w:t>
      </w:r>
      <w:r w:rsidRPr="00C62D22">
        <w:rPr>
          <w:rStyle w:val="hps"/>
          <w:rFonts w:ascii="Times New Roman" w:hAnsi="Times New Roman" w:cs="Times New Roman"/>
          <w:sz w:val="28"/>
          <w:szCs w:val="28"/>
        </w:rPr>
        <w:t xml:space="preserve"> 0,68 (p &lt;0,01). </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При дослідженні кровотока в системі ВВ, мікроциркуляції в спланхнічній ділянці було встановлено, що у хворих з ПК ПЗ І типу через 4-6 тижнів тяжкого ГП спостерігались високі градації пульсуючого кровотока в системі ВВ. У всіх хворих відзначений гіпердинамічний тип кровообігу зі збільшенням СІ та підвищенням </w:t>
      </w:r>
      <w:r w:rsidRPr="00C62D22">
        <w:rPr>
          <w:rFonts w:ascii="Times New Roman" w:hAnsi="Times New Roman" w:cs="Times New Roman"/>
          <w:sz w:val="28"/>
          <w:szCs w:val="28"/>
        </w:rPr>
        <w:lastRenderedPageBreak/>
        <w:t>ЗПОС. Наявність цієї ознаки асоціювалася з портальною гіпертензією (тиск у системі ВВ вище 10-</w:t>
      </w:r>
      <w:smartTag w:uri="urn:schemas-microsoft-com:office:smarttags" w:element="metricconverter">
        <w:smartTagPr>
          <w:attr w:name="ProductID" w:val="15 мм"/>
        </w:smartTagPr>
        <w:r w:rsidRPr="00C62D22">
          <w:rPr>
            <w:rFonts w:ascii="Times New Roman" w:hAnsi="Times New Roman" w:cs="Times New Roman"/>
            <w:sz w:val="28"/>
            <w:szCs w:val="28"/>
          </w:rPr>
          <w:t>15 мм</w:t>
        </w:r>
      </w:smartTag>
      <w:r w:rsidRPr="00C62D22">
        <w:rPr>
          <w:rFonts w:ascii="Times New Roman" w:hAnsi="Times New Roman" w:cs="Times New Roman"/>
          <w:sz w:val="28"/>
          <w:szCs w:val="28"/>
        </w:rPr>
        <w:t xml:space="preserve"> р. ст.). У 5 з 33 хворих, за даними УЗДФ, виявляли реверсію кровотока в системі ВВ нижче ізолінії. Д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 був збільшений у хворих усіх груп відповідно на 15,1%, 35,5% і 52,4% (р&lt;0,05). ППП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 на 45,9%, 55,7% і 60,7% (р&lt;0,05), ОШК </w:t>
      </w:r>
      <w:r w:rsidRPr="00C62D22">
        <w:rPr>
          <w:rFonts w:ascii="Times New Roman" w:hAnsi="Times New Roman" w:cs="Times New Roman"/>
          <w:sz w:val="28"/>
          <w:szCs w:val="28"/>
          <w:vertAlign w:val="subscript"/>
        </w:rPr>
        <w:t xml:space="preserve">ВВ </w:t>
      </w:r>
      <w:r w:rsidRPr="00C62D22">
        <w:rPr>
          <w:rFonts w:ascii="Times New Roman" w:hAnsi="Times New Roman" w:cs="Times New Roman"/>
          <w:sz w:val="28"/>
          <w:szCs w:val="28"/>
        </w:rPr>
        <w:t xml:space="preserve"> за легкого перебігу захворювання в середньому на 6,6% перевищувала таку в контрольній групі (р&lt;0,05). Це може бути пов’язане з двома механізмами, зокрема паралітичним розширенням резистивних вен у відповідь на гіпоксію та розвитком внутрішньопечінкових портокавальних шунтів (r = 0,92, р = 0,002). У хворих ІІ групи відзначали зменшення ОШК </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xml:space="preserve"> у середньому на 7,7% (р&lt;0,05), ІІІ групи – на 8,6% (р&lt;0,05). При цьому венозний приплив (за даними ІОК </w:t>
      </w:r>
      <w:r w:rsidRPr="00C62D22">
        <w:rPr>
          <w:rFonts w:ascii="Times New Roman" w:hAnsi="Times New Roman" w:cs="Times New Roman"/>
          <w:sz w:val="28"/>
          <w:szCs w:val="28"/>
          <w:vertAlign w:val="subscript"/>
        </w:rPr>
        <w:t>ВВ</w:t>
      </w:r>
      <w:r w:rsidRPr="00C62D22">
        <w:rPr>
          <w:rFonts w:ascii="Times New Roman" w:hAnsi="Times New Roman" w:cs="Times New Roman"/>
          <w:sz w:val="28"/>
          <w:szCs w:val="28"/>
        </w:rPr>
        <w:t xml:space="preserve">) у хворих І групи недостовірно підвищений, ІІ групи – у середньому на 10,5% менше показників у контрольній та на 10,6% – у І групі (р&lt;0,05). </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За даними нашого дослідження, Д</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у хворих І групи достовірно не відрізнявся від такого в контролі, у ІІ і ІІІ групах – був відповідно на 6,8% і 10,7% менше, ніж у контрольній групі (р&lt;0,05). При цьому ППП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була менше тільки у хворих ІІ та ІІІ груп – відповідно на 13,3% і 26,7% (р&lt;0,05). Середня швидкість кровотока за ЗПА у хворих І групи не змінювалася, у ІІ групі компенсаторно збільшувалася на 7,2% – порівняно з такою в контролі й на 26,8% зменшувалася у хворих ІІІ групи. ОШК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збільшена у хворих І та ІІ груп у середньому на 24,5% та 5,8% (р&lt;0,05), ІІІ групи – зменшена в середньому на 22,2% (р&lt;0,05). При цьому ППП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була менше тільки у хворих ІІ та ІІІ групи, відповідно на 13,3% та 26,7% (р&lt;0,05) Середня швидкість кровотока за ЗПА у хворих І групи не змінювалася, ІІ групи – компенсаторно збільшувалася на 7,2% порівняно з такою в контролі й на 26,8% зменшувалася у хворих ІІІ групи. ОШК </w:t>
      </w:r>
      <w:r w:rsidRPr="00C62D22">
        <w:rPr>
          <w:rFonts w:ascii="Times New Roman" w:hAnsi="Times New Roman" w:cs="Times New Roman"/>
          <w:sz w:val="28"/>
          <w:szCs w:val="28"/>
          <w:vertAlign w:val="subscript"/>
        </w:rPr>
        <w:t xml:space="preserve">ВБА </w:t>
      </w:r>
      <w:r w:rsidRPr="00C62D22">
        <w:rPr>
          <w:rFonts w:ascii="Times New Roman" w:hAnsi="Times New Roman" w:cs="Times New Roman"/>
          <w:sz w:val="28"/>
          <w:szCs w:val="28"/>
        </w:rPr>
        <w:t xml:space="preserve">зменшувалася у хворих всіх груп, у тому числі І групи – недостовірно, ІІ групи –у середньому на 8,6%, ІІІ групи – на 17,5%. Таким чином, результати УЗДФ свідчили про збільшення кровотока в ЗПА тільки в пацієнтів за легкого перебігу захворювання і, навпаки, збіднення артеріального живлення печінки в цілому за тяжкого перебігу патологічного процесу. Така реакція гемодинаміки, можливо, спрямована на компенсацію гіпоксії, що виникає внаслідок зменшення притоку крові за ВВ. Коливання РІ </w:t>
      </w:r>
      <w:r w:rsidRPr="00C62D22">
        <w:rPr>
          <w:rFonts w:ascii="Times New Roman" w:hAnsi="Times New Roman" w:cs="Times New Roman"/>
          <w:sz w:val="28"/>
          <w:szCs w:val="28"/>
          <w:vertAlign w:val="subscript"/>
        </w:rPr>
        <w:t>ЗПА</w:t>
      </w:r>
      <w:r w:rsidRPr="00C62D22">
        <w:rPr>
          <w:rFonts w:ascii="Times New Roman" w:hAnsi="Times New Roman" w:cs="Times New Roman"/>
          <w:sz w:val="28"/>
          <w:szCs w:val="28"/>
        </w:rPr>
        <w:t xml:space="preserve"> були достовірними тільки у </w:t>
      </w:r>
      <w:r w:rsidRPr="00C62D22">
        <w:rPr>
          <w:rFonts w:ascii="Times New Roman" w:hAnsi="Times New Roman" w:cs="Times New Roman"/>
          <w:sz w:val="28"/>
          <w:szCs w:val="28"/>
        </w:rPr>
        <w:lastRenderedPageBreak/>
        <w:t xml:space="preserve">хворих ІІ та ІІІ груп порівняно з показниками в контрольній групі (р&lt;0,05). При цьому у хворих ІІ групи РІ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був у середньому на 11,6% меншим, ніж у контрольній групі, ІІІ групи </w:t>
      </w:r>
      <w:r w:rsidRPr="00C62D22">
        <w:rPr>
          <w:rFonts w:ascii="Times New Roman" w:hAnsi="Times New Roman" w:cs="Times New Roman"/>
          <w:b/>
          <w:sz w:val="28"/>
          <w:szCs w:val="28"/>
        </w:rPr>
        <w:t xml:space="preserve">– </w:t>
      </w:r>
      <w:r w:rsidRPr="00C62D22">
        <w:rPr>
          <w:rFonts w:ascii="Times New Roman" w:hAnsi="Times New Roman" w:cs="Times New Roman"/>
          <w:sz w:val="28"/>
          <w:szCs w:val="28"/>
        </w:rPr>
        <w:t xml:space="preserve">на 26,1% більшим (р&lt;0,05), що може свідчити про інформативність цього показника в диференційній діагностиці порушення кровообігу печінки. RІ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був знижений у хворих усіх груп: І групи – у середньому на 2%, ІІ групи – на 8,7%, ІІІ групи – на 17,4% (р&lt;0,05). RІ </w:t>
      </w:r>
      <w:r w:rsidRPr="00C62D22">
        <w:rPr>
          <w:rFonts w:ascii="Times New Roman" w:hAnsi="Times New Roman" w:cs="Times New Roman"/>
          <w:sz w:val="28"/>
          <w:szCs w:val="28"/>
          <w:vertAlign w:val="subscript"/>
        </w:rPr>
        <w:t>ВБА</w:t>
      </w:r>
      <w:r w:rsidRPr="00C62D22">
        <w:rPr>
          <w:rFonts w:ascii="Times New Roman" w:hAnsi="Times New Roman" w:cs="Times New Roman"/>
          <w:sz w:val="28"/>
          <w:szCs w:val="28"/>
        </w:rPr>
        <w:t xml:space="preserve"> у хворих ІІ та ІІІ груп відповідно на 10,0% і 18,6% перевищував показники в контрольній групі (р&lt;0,05). На нашу думку значне збільшення RІ відображало підвищення ЗПОС у спланхнічному регіоні. При цьому нами був встановлений негативний взаємозв’язок між RІ </w:t>
      </w:r>
      <w:r w:rsidRPr="00C62D22">
        <w:rPr>
          <w:rFonts w:ascii="Times New Roman" w:hAnsi="Times New Roman" w:cs="Times New Roman"/>
          <w:sz w:val="28"/>
          <w:szCs w:val="28"/>
          <w:vertAlign w:val="subscript"/>
        </w:rPr>
        <w:t>ЗПА</w:t>
      </w:r>
      <w:r w:rsidRPr="00C62D22">
        <w:rPr>
          <w:rFonts w:ascii="Times New Roman" w:hAnsi="Times New Roman" w:cs="Times New Roman"/>
          <w:sz w:val="28"/>
          <w:szCs w:val="28"/>
        </w:rPr>
        <w:t xml:space="preserve">, RІ </w:t>
      </w:r>
      <w:r w:rsidRPr="00C62D22">
        <w:rPr>
          <w:rFonts w:ascii="Times New Roman" w:hAnsi="Times New Roman" w:cs="Times New Roman"/>
          <w:sz w:val="28"/>
          <w:szCs w:val="28"/>
          <w:vertAlign w:val="subscript"/>
        </w:rPr>
        <w:t>ВБА</w:t>
      </w:r>
      <w:r w:rsidRPr="00C62D22">
        <w:rPr>
          <w:rFonts w:ascii="Times New Roman" w:hAnsi="Times New Roman" w:cs="Times New Roman"/>
          <w:sz w:val="28"/>
          <w:szCs w:val="28"/>
        </w:rPr>
        <w:t xml:space="preserve"> і співвідношенням об’ємного кровотоку у ЗПА і ХОК (Vо</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/ХОК) залежно від тяжкості стану хворих (r = 0,86, р&lt;0,05), а також позитивний взаємозв’язок між швидкістю кровотоку в спланхнічній зоні та RІ (r = – 0,83. р = 0,013). Отже, за ускладнених ПК ПЗ компенсаторно-пристосувальні реакції на рівні печінково-спланхнічного кровотока були спрямовані на обмеження притоку крові в системі ВВ. Це супроводжувалося підвищенням ЗПОС у басейні ВБА, залежало від тяжкості стану хворих, зумовлювало зменшення об’ємного кровотока у відповідному судинному колекторі. Кисневу заборгованість печінки компенсувало збільшення об’ємного кровотока за ЗПА, при цьому ЗПОС у її басейні знижувався тільки за середньої тяжкості перебігу захворювання, за вкрай тяжкого стану хворих ЗПОС у цьому басейні достовірно підвищувався, виникав негативний взаємозв’язок між RІ </w:t>
      </w:r>
      <w:r w:rsidRPr="00C62D22">
        <w:rPr>
          <w:rFonts w:ascii="Times New Roman" w:hAnsi="Times New Roman" w:cs="Times New Roman"/>
          <w:sz w:val="28"/>
          <w:szCs w:val="28"/>
          <w:vertAlign w:val="subscript"/>
        </w:rPr>
        <w:t xml:space="preserve">ЗПА </w:t>
      </w:r>
      <w:r w:rsidRPr="00C62D22">
        <w:rPr>
          <w:rFonts w:ascii="Times New Roman" w:hAnsi="Times New Roman" w:cs="Times New Roman"/>
          <w:sz w:val="28"/>
          <w:szCs w:val="28"/>
        </w:rPr>
        <w:t xml:space="preserve">, RІ </w:t>
      </w:r>
      <w:r w:rsidRPr="00C62D22">
        <w:rPr>
          <w:rFonts w:ascii="Times New Roman" w:hAnsi="Times New Roman" w:cs="Times New Roman"/>
          <w:sz w:val="28"/>
          <w:szCs w:val="28"/>
          <w:vertAlign w:val="subscript"/>
        </w:rPr>
        <w:t>ВБА</w:t>
      </w:r>
      <w:r w:rsidRPr="00C62D22">
        <w:rPr>
          <w:rFonts w:ascii="Times New Roman" w:hAnsi="Times New Roman" w:cs="Times New Roman"/>
          <w:sz w:val="28"/>
          <w:szCs w:val="28"/>
        </w:rPr>
        <w:t xml:space="preserve"> і співвідношенням ІОК </w:t>
      </w:r>
      <w:r w:rsidRPr="00C62D22">
        <w:rPr>
          <w:rFonts w:ascii="Times New Roman" w:hAnsi="Times New Roman" w:cs="Times New Roman"/>
          <w:sz w:val="28"/>
          <w:szCs w:val="28"/>
          <w:vertAlign w:val="subscript"/>
        </w:rPr>
        <w:t>ЗПА</w:t>
      </w:r>
      <w:r w:rsidRPr="00C62D22">
        <w:rPr>
          <w:rFonts w:ascii="Times New Roman" w:hAnsi="Times New Roman" w:cs="Times New Roman"/>
          <w:sz w:val="28"/>
          <w:szCs w:val="28"/>
        </w:rPr>
        <w:t xml:space="preserve">/ХОК. Отже, зменшення кровотока в системі ВВ із захисної реакції трансформувалося в патологічну, для якої характерні прогресуючі ішемія та гіпоксія, порушення функціональної активності клітин ретикулоендотеліальної системи печінки. У таких хворих не відбувалася компенсація зменшеного кровотока в системі ВВ шляхом збільшення припливу крові за ЗПА, що зумовлювало сумарне зменшення печінкового кровотока. Порушення в системі ВБА, а також підвищення ЗПОС свідчили про захисну спрямованість, що обмежувало потрапляння мікроорганізмів і токсинів з кишечнику в печінку. Проте цей же механізм може зумовити ішемію й гіпоксію кишечнику, </w:t>
      </w:r>
      <w:r w:rsidRPr="00C62D22">
        <w:rPr>
          <w:rFonts w:ascii="Times New Roman" w:hAnsi="Times New Roman" w:cs="Times New Roman"/>
          <w:sz w:val="28"/>
          <w:szCs w:val="28"/>
        </w:rPr>
        <w:lastRenderedPageBreak/>
        <w:t xml:space="preserve">порушення його бар’єрної функції, формування його недостатності як лімфоїдного органа. </w:t>
      </w:r>
    </w:p>
    <w:p w:rsidR="00C62D22" w:rsidRPr="00C62D22" w:rsidRDefault="00C62D22" w:rsidP="00C62D22">
      <w:pPr>
        <w:spacing w:after="0" w:line="360" w:lineRule="auto"/>
        <w:ind w:firstLine="540"/>
        <w:jc w:val="both"/>
        <w:rPr>
          <w:rFonts w:ascii="Times New Roman" w:hAnsi="Times New Roman" w:cs="Times New Roman"/>
          <w:bCs/>
          <w:sz w:val="28"/>
          <w:szCs w:val="28"/>
        </w:rPr>
      </w:pPr>
      <w:r w:rsidRPr="00C62D22">
        <w:rPr>
          <w:rFonts w:ascii="Times New Roman" w:hAnsi="Times New Roman" w:cs="Times New Roman"/>
          <w:sz w:val="28"/>
          <w:szCs w:val="28"/>
        </w:rPr>
        <w:t xml:space="preserve">Розроблена нами власна гіпотеза також отримала підтвердження при гістологічних, гістохімічних та імуногістохімічних дослідженнях, які </w:t>
      </w:r>
      <w:r w:rsidRPr="00C62D22">
        <w:rPr>
          <w:rFonts w:ascii="Times New Roman" w:hAnsi="Times New Roman" w:cs="Times New Roman"/>
          <w:bCs/>
          <w:sz w:val="28"/>
          <w:szCs w:val="28"/>
        </w:rPr>
        <w:t>дозволили виявити окремі ланки в морфогенезі кістоутворення, а також визначити ступінь зр</w:t>
      </w:r>
      <w:r w:rsidRPr="00C62D22">
        <w:rPr>
          <w:rFonts w:ascii="Times New Roman" w:hAnsi="Times New Roman" w:cs="Times New Roman"/>
          <w:bCs/>
          <w:sz w:val="28"/>
          <w:szCs w:val="28"/>
        </w:rPr>
        <w:t>і</w:t>
      </w:r>
      <w:r w:rsidRPr="00C62D22">
        <w:rPr>
          <w:rFonts w:ascii="Times New Roman" w:hAnsi="Times New Roman" w:cs="Times New Roman"/>
          <w:bCs/>
          <w:sz w:val="28"/>
          <w:szCs w:val="28"/>
        </w:rPr>
        <w:t xml:space="preserve">лості сполучнотканинного компоненту в стінках ПК І, ІІ, та ІІІ типів, оцінити ступінь виразу склеротичних змін у інтерстиціальному компоненті ПЗ. </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bCs/>
          <w:sz w:val="28"/>
          <w:szCs w:val="28"/>
        </w:rPr>
        <w:t xml:space="preserve">Як показали проведені дослідження, </w:t>
      </w:r>
      <w:r w:rsidRPr="00C62D22">
        <w:rPr>
          <w:rFonts w:ascii="Times New Roman" w:hAnsi="Times New Roman" w:cs="Times New Roman"/>
          <w:sz w:val="28"/>
          <w:szCs w:val="28"/>
        </w:rPr>
        <w:t>формування гострої ПК ПЗ І типу відбувалося при наявності морфологічної картини гострого деструктивного панкреатиту, характеризувалося важкими дисциркуляторними порушеннями, деструктивними змінами всіх структурних компонентів залози з подальшим розвитком реактивної запальної відповіді на ушкодження у вигляді дифузної або дифузно-вогнищевої лімфолейкоцитарної інфільтрації строми та паренхіми ПЗ й ознаками початкового репаративного процесу з формуванням вогнищ грануляційної тканини. При імуногістохімічному дослідженні з МКА до колагенів І та ІІІ типів у структурі колагенових волокон виявлено світіння нерівномірної інтенсивності обох типів колагенів, з перевагою колагену ІІІ типу (0,419±0,055 ум. од. опт. щільн.), тоді як зрілий колаген І типу був пре</w:t>
      </w:r>
      <w:r w:rsidRPr="00C62D22">
        <w:rPr>
          <w:rFonts w:ascii="Times New Roman" w:hAnsi="Times New Roman" w:cs="Times New Roman"/>
          <w:sz w:val="28"/>
          <w:szCs w:val="28"/>
        </w:rPr>
        <w:t>д</w:t>
      </w:r>
      <w:r w:rsidRPr="00C62D22">
        <w:rPr>
          <w:rFonts w:ascii="Times New Roman" w:hAnsi="Times New Roman" w:cs="Times New Roman"/>
          <w:sz w:val="28"/>
          <w:szCs w:val="28"/>
        </w:rPr>
        <w:t xml:space="preserve">ставлений у меншому об’ємі (0,024±0,044 ум. од. опт. щільн.). В складі клітинних інфільтратів виявлялися всі основні клони імунних клітин – CD3 (9±0,54%), CD20 (11±1,4%), CD18 (58±5,0%), CD16 (22±2,0%), з переважанням CD18. Імуногістохімічне дослідження інтерстиціального компоненту ПЗ виявило переважання CD18 (44±4,0%); CD3 (15±2,0%), CD20 (20±3,0%) та CD16 (21±3,0%) були представлені слабше. Перевага CD18 нейтрофільних гранулоцитів у складі запальних інфільтратів як у стінці ПК, так і в прилеглій тканині свідчили про гостру запальну реакцію. У судинному компоненті – спостерігався дефіцит колагену ІV типу (0,099±0,027 ум. од. опт. щільн.) в складі базальних мембран та слабку здатність ендотеліоцитів експресувати рецептори до ендотеліну-1 (0,056±0,012 ум. од. опт. щільн.) При дослідженні з МКА до </w:t>
      </w:r>
      <w:r w:rsidRPr="00C62D22">
        <w:rPr>
          <w:rFonts w:ascii="Times New Roman" w:hAnsi="Times New Roman" w:cs="Times New Roman"/>
          <w:bCs/>
          <w:sz w:val="28"/>
          <w:szCs w:val="28"/>
        </w:rPr>
        <w:t>HLА-DR-антигену виявлялися клітини, які знаходилися переважно в інтерстиціальному компоненті ПЗ у кількості 14,0±0,7 екз. у полі зору.</w:t>
      </w:r>
    </w:p>
    <w:p w:rsidR="00C62D22" w:rsidRPr="00C62D22" w:rsidRDefault="00C62D22" w:rsidP="00C62D22">
      <w:pPr>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lastRenderedPageBreak/>
        <w:t>За мірою дозрівання сп</w:t>
      </w:r>
      <w:r w:rsidRPr="00C62D22">
        <w:rPr>
          <w:rFonts w:ascii="Times New Roman" w:hAnsi="Times New Roman" w:cs="Times New Roman"/>
          <w:sz w:val="28"/>
          <w:szCs w:val="28"/>
        </w:rPr>
        <w:t>о</w:t>
      </w:r>
      <w:r w:rsidRPr="00C62D22">
        <w:rPr>
          <w:rFonts w:ascii="Times New Roman" w:hAnsi="Times New Roman" w:cs="Times New Roman"/>
          <w:sz w:val="28"/>
          <w:szCs w:val="28"/>
        </w:rPr>
        <w:t>лучної тканини в стінки кісти формувалася ПК ІІ типу. ЇЇ стінка була представлена грануляційною тканиною та фіброзним шаром. У прилеглих тканинах ПЗ виявлялася морфологічна картина ХП з фіброзними змінами міжчасточкової, перидуктальної та внутрішньочасточкової строми й хронічною запальною інфільтрацією, атрофією й перебудовою паренхіматозних структур з формуванням помилкових ацинарних часточок, метаплазією їх клітин і ацинодуктулярною перебудовою ацинусів, ектазією й осередковою гіперплазією протокового епітелію, дистрофічними змінами нервових гангліїв. У стінці хронічної ПК відзначалося переважа</w:t>
      </w:r>
      <w:r w:rsidRPr="00C62D22">
        <w:rPr>
          <w:rFonts w:ascii="Times New Roman" w:hAnsi="Times New Roman" w:cs="Times New Roman"/>
          <w:sz w:val="28"/>
          <w:szCs w:val="28"/>
        </w:rPr>
        <w:t>н</w:t>
      </w:r>
      <w:r w:rsidRPr="00C62D22">
        <w:rPr>
          <w:rFonts w:ascii="Times New Roman" w:hAnsi="Times New Roman" w:cs="Times New Roman"/>
          <w:sz w:val="28"/>
          <w:szCs w:val="28"/>
        </w:rPr>
        <w:t>ня колагену ІІІ типу (0,503±0,0076 ум. од. опт. щільн.). Однак, звертало на себе увагу достовірне збільшення вмісту зрілого інтерстиціальн</w:t>
      </w:r>
      <w:r w:rsidRPr="00C62D22">
        <w:rPr>
          <w:rFonts w:ascii="Times New Roman" w:hAnsi="Times New Roman" w:cs="Times New Roman"/>
          <w:sz w:val="28"/>
          <w:szCs w:val="28"/>
        </w:rPr>
        <w:t>о</w:t>
      </w:r>
      <w:r w:rsidRPr="00C62D22">
        <w:rPr>
          <w:rFonts w:ascii="Times New Roman" w:hAnsi="Times New Roman" w:cs="Times New Roman"/>
          <w:sz w:val="28"/>
          <w:szCs w:val="28"/>
        </w:rPr>
        <w:t>го колагену І типу (0,267±0,066 ум. од. опт. щільн.) у порівнянні з ПК ПЗ І типу, що свідчило більшу зрілість сполучнотканинного компоненту ПК ПЗ ІІ типу. У той же час переважання колагену ІІІ типу вказувало на більш активний синтез фібробластами та фіброцитами саме колагену ІІІ типу, тоді як ці кл</w:t>
      </w:r>
      <w:r w:rsidRPr="00C62D22">
        <w:rPr>
          <w:rFonts w:ascii="Times New Roman" w:hAnsi="Times New Roman" w:cs="Times New Roman"/>
          <w:sz w:val="28"/>
          <w:szCs w:val="28"/>
        </w:rPr>
        <w:t>і</w:t>
      </w:r>
      <w:r w:rsidRPr="00C62D22">
        <w:rPr>
          <w:rFonts w:ascii="Times New Roman" w:hAnsi="Times New Roman" w:cs="Times New Roman"/>
          <w:sz w:val="28"/>
          <w:szCs w:val="28"/>
        </w:rPr>
        <w:t>тини менш активно синтезували колаген І типу. Можливо, що поява колагену І типу в складі сполучнотканинного компоненту стінки ПК була пов’язана з дозріванням молодого колагену ІІІ типу в більш зрілий І типу. У базальних мембранах судин відмічався колаген ІV типу (0,124±0,026 ум. од. опт. щільн.). Ендотеліоцити були здатні експресувати рецептори до ендотеліну-1 (0,084±0,018 ум. од. опт. щільн.). Серед клітинних елементів у стінці ПК ІІ типу відзначалися імунні клітини, а саме: CD3 (29±2,8%), CD20 (37±2,9%), CD18 (14±1,9%) та CD16 (20±2,3%). Серед імунних клітин у стромальному компоненті ПЗ переважали CD3 (38±3,6%) лімфоцити над CD20 (33±2,5%) лімфоцитами. Нейтрофільні гранулоцити CD18 (11±1,4%) і макрофаги CD16 (18±1,4%) були представлені в меншій кількості. Ступінь експресії рецепторів до HLA-DR-антигену був невисоким (</w:t>
      </w:r>
      <w:r w:rsidRPr="00C62D22">
        <w:rPr>
          <w:rFonts w:ascii="Times New Roman" w:hAnsi="Times New Roman" w:cs="Times New Roman"/>
          <w:bCs/>
          <w:sz w:val="28"/>
          <w:szCs w:val="28"/>
        </w:rPr>
        <w:t>16,0±0,9</w:t>
      </w:r>
      <w:r w:rsidRPr="00C62D22">
        <w:rPr>
          <w:rFonts w:ascii="Times New Roman" w:hAnsi="Times New Roman" w:cs="Times New Roman"/>
          <w:sz w:val="28"/>
          <w:szCs w:val="28"/>
        </w:rPr>
        <w:t xml:space="preserve"> екз. у полі зору, х 400).</w:t>
      </w:r>
    </w:p>
    <w:p w:rsidR="00C62D22" w:rsidRPr="00C62D22" w:rsidRDefault="00C62D22" w:rsidP="00C62D22">
      <w:pPr>
        <w:shd w:val="clear" w:color="auto" w:fill="FFFFFF"/>
        <w:spacing w:after="0" w:line="360" w:lineRule="auto"/>
        <w:ind w:firstLine="540"/>
        <w:contextualSpacing/>
        <w:jc w:val="both"/>
        <w:rPr>
          <w:rFonts w:ascii="Times New Roman" w:hAnsi="Times New Roman" w:cs="Times New Roman"/>
          <w:sz w:val="28"/>
          <w:szCs w:val="28"/>
        </w:rPr>
      </w:pPr>
      <w:r w:rsidRPr="00C62D22">
        <w:rPr>
          <w:rFonts w:ascii="Times New Roman" w:hAnsi="Times New Roman" w:cs="Times New Roman"/>
          <w:sz w:val="28"/>
          <w:szCs w:val="28"/>
        </w:rPr>
        <w:t xml:space="preserve">При проведеному дослідженні стінок ПК ІІІ типу та прилеглої паренхіми  спостерігався виражений фіброз строми з атрофією паренхіми й перебудовою всіх структурних компонентів ПЗ. Особливістю ПК ІІІ типу у порівнянні з ПК І та ІІ типу, була наявність більш зрілої сполучної тканини в їх стінках, про що свідчила </w:t>
      </w:r>
      <w:r w:rsidRPr="00C62D22">
        <w:rPr>
          <w:rFonts w:ascii="Times New Roman" w:hAnsi="Times New Roman" w:cs="Times New Roman"/>
          <w:sz w:val="28"/>
          <w:szCs w:val="28"/>
        </w:rPr>
        <w:lastRenderedPageBreak/>
        <w:t>перевага колагену І типу (0,456±0,022 ум.од. опт. щільн.) над колагеном ІІІ типу (0,281±0,044 ум. од. опт. щільн.). Клітинний склад стінки ПК був представлений як фіброцитами й фібробластами, так й імунними клітинами, при цьому не зважаючи на те, що переважали CD3 (28±2,4%) і CD20 (30±2,0%), кількість нейтрофільних гранулоцитів CD18 (19±1,3%) була більшою порівняно з такою при ПК ІІ типу. Базальні мембрани мікросудин стінки ПК ІІІ типу були потовщені внаслідок надлишкового накопичення колагену ІV типу, однак порівняно з такими при ПК ІІ типу, ця здатність клітин була знижена, про що свідчив показник оптичної щільності інтенсивності світіння ендотеліоцитів у препаратах, оброблених МКА до ендотеліну-1 (0,137±0,033 ум. од. опт. щільн.). Це дозволяло припустити, що в морфогенезі ПК ІІІ типу має місце аутоімунна ланка, на що вказував високий ступінь експресії клітинами HLА-DR-антигену (</w:t>
      </w:r>
      <w:r w:rsidRPr="00C62D22">
        <w:rPr>
          <w:rFonts w:ascii="Times New Roman" w:hAnsi="Times New Roman" w:cs="Times New Roman"/>
          <w:bCs/>
          <w:sz w:val="28"/>
          <w:szCs w:val="28"/>
        </w:rPr>
        <w:t>25±2,8 екз. у полі зору)</w:t>
      </w:r>
      <w:r w:rsidRPr="00C62D22">
        <w:rPr>
          <w:rFonts w:ascii="Times New Roman" w:hAnsi="Times New Roman" w:cs="Times New Roman"/>
          <w:sz w:val="28"/>
          <w:szCs w:val="28"/>
        </w:rPr>
        <w:t>.</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При хірургічному лікування хворих з ускладненими ПК ПЗ була застосована тактика </w:t>
      </w:r>
      <w:r w:rsidRPr="00C62D22">
        <w:rPr>
          <w:rFonts w:ascii="Times New Roman" w:hAnsi="Times New Roman" w:cs="Times New Roman"/>
          <w:color w:val="000000"/>
          <w:sz w:val="28"/>
          <w:szCs w:val="28"/>
        </w:rPr>
        <w:t xml:space="preserve">«step-up approach», яка передбачала на першому етапі застосування міінінвазивних методик для декомпресії ПК, та на другому етапі – «відкритих» оперативних втручань за показами. Так, для лікування пацієнтів з ПК І типу з дисфункцією органа </w:t>
      </w:r>
      <w:r w:rsidRPr="00C62D22">
        <w:rPr>
          <w:rFonts w:ascii="Times New Roman" w:hAnsi="Times New Roman" w:cs="Times New Roman"/>
          <w:sz w:val="28"/>
          <w:szCs w:val="28"/>
        </w:rPr>
        <w:t xml:space="preserve">(SOFA </w:t>
      </w:r>
      <w:r w:rsidRPr="00C62D22">
        <w:rPr>
          <w:rFonts w:ascii="Times New Roman" w:hAnsi="Times New Roman" w:cs="Times New Roman"/>
          <w:sz w:val="28"/>
          <w:szCs w:val="28"/>
        </w:rPr>
        <w:sym w:font="Symbol" w:char="003E"/>
      </w:r>
      <w:r w:rsidRPr="00C62D22">
        <w:rPr>
          <w:rFonts w:ascii="Times New Roman" w:hAnsi="Times New Roman" w:cs="Times New Roman"/>
          <w:sz w:val="28"/>
          <w:szCs w:val="28"/>
        </w:rPr>
        <w:t xml:space="preserve"> 8) з метою «вичікувальної» тактики виконували крізьшкірні або ендоскопічні дренування ПК ПЗ з метою «управління» сепсисом або покращення загального стану пацієнта, необхідного для подальшого використання «відкритих» втручань на ПЗ. Лапаротомію з хірургічною обробкою порожнини ПК, а в подальшому, при сформуванні стінок ПК – формування ЦЕА, виконували хворим ПК ПЗ без поліорганної недостатності або з помірною дисфункцією органа (SOFA від 3 до 8), а також пацієнтам, з мінімальним хірургічним ризиком. Хворим з ПК ПЗ з тонкими стінками виконували зовнішнє дренування їх порожнини з додатковою тампонадою великим чепцем.</w:t>
      </w:r>
    </w:p>
    <w:p w:rsidR="00C62D22" w:rsidRPr="00C62D22" w:rsidRDefault="00C62D22" w:rsidP="00C62D22">
      <w:pPr>
        <w:pStyle w:val="a5"/>
        <w:tabs>
          <w:tab w:val="left" w:pos="4395"/>
        </w:tabs>
        <w:spacing w:before="0" w:beforeAutospacing="0" w:after="0" w:afterAutospacing="0" w:line="360" w:lineRule="auto"/>
        <w:ind w:firstLine="540"/>
        <w:jc w:val="both"/>
        <w:rPr>
          <w:sz w:val="28"/>
          <w:szCs w:val="28"/>
          <w:lang w:val="uk-UA"/>
        </w:rPr>
      </w:pPr>
      <w:r w:rsidRPr="00C62D22">
        <w:rPr>
          <w:sz w:val="28"/>
          <w:szCs w:val="28"/>
          <w:lang w:val="uk-UA"/>
        </w:rPr>
        <w:t xml:space="preserve">При лікуванні ПК ПЗ І типу </w:t>
      </w:r>
      <w:r w:rsidRPr="00C62D22">
        <w:rPr>
          <w:color w:val="000000"/>
          <w:sz w:val="28"/>
          <w:szCs w:val="28"/>
          <w:lang w:val="uk-UA"/>
        </w:rPr>
        <w:t xml:space="preserve">(n=81) </w:t>
      </w:r>
      <w:r w:rsidRPr="00C62D22">
        <w:rPr>
          <w:sz w:val="28"/>
          <w:szCs w:val="28"/>
          <w:lang w:val="uk-UA"/>
        </w:rPr>
        <w:t xml:space="preserve">мініінвазивні втручання були виконані у 49 (60,5%) хворих, з них: крізьшкірні пункції під контролем УЗД – у 37 (75,5%), зовнішні дренування ПК ПЗ за типом «pig tail» – у 9 (18,4%), лапароскопічні дренування ПК ПЗ – 2 (4,1%), ЕСГ пункції – 1 (2%). При застосуванні цих втручань у 19 (38,8%) хворих виникли ускладнення (рецидиви ПК ПЗ, реактивні плеврити, </w:t>
      </w:r>
      <w:r w:rsidRPr="00C62D22">
        <w:rPr>
          <w:sz w:val="28"/>
          <w:szCs w:val="28"/>
          <w:lang w:val="uk-UA"/>
        </w:rPr>
        <w:lastRenderedPageBreak/>
        <w:t>кровотеча у порожнину ПК), які у 7 (36,8%) пацієнтів були ліквідовані повторними мініінвазивними втручаннями. У хворих з ПК ПЗ І типу у якості основного методу лікування було виконано 32 (39,5%) лапаротомні втручання. У структурі «відкритих» втручань в цієї групі пацієнтів переважали зовнішні дренування ПК ПЗ, які були застосовані у 14 (43,8%) хворих та некрсеквестректомії – у 12 (37,5%). У 2 (6,3%) хворих з розривами ПК ПЗ виконані санації черевної порожнини з їх подальшим дренуванням, та у 2 (6,3%) – накладено цистопанкреатоентероанастомози. Ускладнення при застосуванні «відкритих» втручань у якості основного етапу виникли у 9 (28,1%) хворих, летальність склала 1 (3,1 %) пацієнт. У 9 (18,4%) хворих, у якості другого етапу, були виконані лапаротомні втручання, з них: 4 – накладені цистоентероанастомози (після сформування стінок ПК), 3 – некресеквестректомії, 2 – санація та дренування черевної порожнини. Ускладнення виникли у 2-х пацієнтів.</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lang w:val="uk-UA"/>
        </w:rPr>
        <w:t xml:space="preserve">Для лікування інфікованих ПК ПЗ І типу нами був розроблений «Спосіб хірургічного лікування псевдокіст підшлункової залози, ускладнених нагноєнням» (Патент України на корисну модель № 95264), який виконували наступним чином: при наявності у хворого ПК ПЗ з підозрою на її нагноєння попередньо виконували пункцію </w:t>
      </w:r>
      <w:r w:rsidRPr="00C62D22">
        <w:rPr>
          <w:rFonts w:ascii="Times New Roman" w:hAnsi="Times New Roman" w:cs="Times New Roman"/>
          <w:sz w:val="28"/>
          <w:szCs w:val="28"/>
        </w:rPr>
        <w:t>ПК під наглядом УЗД. При цьому визначали характер рідини, рівень амілази рідини та вид збудника. Спостерігали за станом хворого, і після його стабілізації виконували верхньо-серединну лапаротомію. Після ревізії органів черевної порожнини, мобілізували ДПК за Кохером. Розкривали чепцеву сумку. Порожнину ПК пунктували, розсікали впродовж голки, проводили її санацію та експрес-біопсію ділянки ПК.</w:t>
      </w:r>
      <w:r w:rsidRPr="00C62D22">
        <w:rPr>
          <w:rFonts w:ascii="Times New Roman" w:hAnsi="Times New Roman" w:cs="Times New Roman"/>
          <w:sz w:val="28"/>
          <w:szCs w:val="28"/>
        </w:rPr>
        <w:pict>
          <v:shape id="_x0000_s1445" type="#_x0000_t202" style="position:absolute;left:0;text-align:left;margin-left:414pt;margin-top:18pt;width:18pt;height:45pt;z-index:251952128;mso-position-horizontal-relative:text;mso-position-vertical-relative:text" filled="f" stroked="f">
            <v:textbox style="mso-next-textbox:#_x0000_s1445">
              <w:txbxContent>
                <w:p w:rsidR="00C62D22" w:rsidRPr="00884BB7" w:rsidRDefault="00C62D22" w:rsidP="00C62D22">
                  <w:pPr>
                    <w:rPr>
                      <w:rFonts w:ascii="Times New Roman" w:hAnsi="Times New Roman"/>
                      <w:b/>
                      <w:i/>
                      <w:color w:val="FFFFFF"/>
                      <w:sz w:val="28"/>
                      <w:szCs w:val="28"/>
                    </w:rPr>
                  </w:pPr>
                  <w:r w:rsidRPr="00884BB7">
                    <w:rPr>
                      <w:rFonts w:ascii="Times New Roman" w:hAnsi="Times New Roman"/>
                      <w:b/>
                      <w:i/>
                      <w:color w:val="FFFFFF"/>
                      <w:sz w:val="28"/>
                      <w:szCs w:val="28"/>
                    </w:rPr>
                    <w:t>Б</w:t>
                  </w:r>
                </w:p>
              </w:txbxContent>
            </v:textbox>
          </v:shape>
        </w:pict>
      </w:r>
      <w:r w:rsidRPr="00C62D22">
        <w:rPr>
          <w:rFonts w:ascii="Times New Roman" w:hAnsi="Times New Roman" w:cs="Times New Roman"/>
          <w:sz w:val="28"/>
          <w:szCs w:val="28"/>
        </w:rPr>
        <w:t xml:space="preserve"> При відсутності ознак злоякісного новоутворення, попередньо «викроєне» пасмо великого чепця заводили в порожнину ПК з її тампонуванням</w:t>
      </w:r>
      <w:r w:rsidRPr="00C62D22">
        <w:rPr>
          <w:rFonts w:ascii="Times New Roman" w:hAnsi="Times New Roman" w:cs="Times New Roman"/>
          <w:i/>
          <w:color w:val="000000"/>
          <w:sz w:val="28"/>
          <w:szCs w:val="28"/>
        </w:rPr>
        <w:t>.</w:t>
      </w:r>
      <w:r w:rsidRPr="00C62D22">
        <w:rPr>
          <w:rFonts w:ascii="Times New Roman" w:hAnsi="Times New Roman" w:cs="Times New Roman"/>
          <w:sz w:val="28"/>
          <w:szCs w:val="28"/>
        </w:rPr>
        <w:t xml:space="preserve"> Додатково до порожнини підводили дренаж у вигляді U-подiбноï дренажноï трубки, над ним – гумову рукавицю, а розсічені стінки ПК підшивали до парiєтальноï очеревини. Трубку та рукавицю виводили через окрему контрапертуру й фіксували до шкіри, черевну порожнину зашивали наглухо. Рукавицю знімали на 4 добу, а трубку – до припинення за нею виділень. При цьому підвищення ефективності хірургічного лікування гострих ПК ПЗ відбувалося за рахунок </w:t>
      </w:r>
      <w:r w:rsidRPr="00C62D22">
        <w:rPr>
          <w:rFonts w:ascii="Times New Roman" w:hAnsi="Times New Roman" w:cs="Times New Roman"/>
          <w:sz w:val="28"/>
          <w:szCs w:val="28"/>
        </w:rPr>
        <w:lastRenderedPageBreak/>
        <w:t>біологічної облітерації порожнини пасмом великого чепця, зменшенням вірогідності виникнення арозивної кровотечі, абсцедування чи панкреатичної нориці.</w:t>
      </w:r>
    </w:p>
    <w:p w:rsidR="00C62D22" w:rsidRPr="00C62D22" w:rsidRDefault="00C62D22" w:rsidP="00C62D22">
      <w:pPr>
        <w:shd w:val="clear" w:color="auto" w:fill="FFFFFF"/>
        <w:autoSpaceDE w:val="0"/>
        <w:autoSpaceDN w:val="0"/>
        <w:adjustRightInd w:val="0"/>
        <w:spacing w:after="0" w:line="360" w:lineRule="auto"/>
        <w:ind w:firstLine="540"/>
        <w:jc w:val="both"/>
        <w:rPr>
          <w:rFonts w:ascii="Times New Roman" w:hAnsi="Times New Roman" w:cs="Times New Roman"/>
          <w:i/>
          <w:color w:val="000000"/>
          <w:sz w:val="28"/>
          <w:szCs w:val="28"/>
        </w:rPr>
      </w:pPr>
      <w:r w:rsidRPr="00C62D22">
        <w:rPr>
          <w:rFonts w:ascii="Times New Roman" w:hAnsi="Times New Roman" w:cs="Times New Roman"/>
          <w:sz w:val="28"/>
          <w:szCs w:val="28"/>
        </w:rPr>
        <w:t>Для лікування ПК ПЗ І типу з кровотечею у їх порожнину нами був запропонований «Cпосiб хiрургiчного лiкування гострих псевдокiст пiдшлунковоï залози ускладнених арозивною кровотечею у порожнину псевдокісти» (Патент України на корисну модель № 95265). Спосіб виконували наступним чином: при наявності у хворого ПЗ при підозрі на кровотечу в її порожнину, попередньо виконували її пункцію під наглядом УЗД. При цьому визначали рівень амілази рідини та характер рідини. Спостерігали за станом хворого, і після його стабілізації виконували верхньо-серединну лапаротомію. Після ревізії органів черевної порожнини мобілізували ДПК за Кохером. Розкривали чепцеву сумку. Порожнину ПК пунктували, розсікали впродовж голки, проводили її санацію, гемостаз арозивних судин та експрес-біопсію ділянки ПК. При відсутності ознак злоякісного новоутворення, попередньо «викроєне» пасмо великого чепця заводили в порожнину ПК з її тампонуванням.</w:t>
      </w:r>
      <w:r w:rsidRPr="00C62D22">
        <w:rPr>
          <w:rFonts w:ascii="Times New Roman" w:hAnsi="Times New Roman" w:cs="Times New Roman"/>
          <w:i/>
          <w:color w:val="000000"/>
          <w:sz w:val="28"/>
          <w:szCs w:val="28"/>
        </w:rPr>
        <w:t xml:space="preserve"> </w:t>
      </w:r>
      <w:r w:rsidRPr="00C62D22">
        <w:rPr>
          <w:rFonts w:ascii="Times New Roman" w:hAnsi="Times New Roman" w:cs="Times New Roman"/>
          <w:sz w:val="28"/>
          <w:szCs w:val="28"/>
        </w:rPr>
        <w:t>Додатково до порожнини підводили дренаж у вигляді U-подiбноï дренажної трубки з марлевим тампоном, та над ним – гумову рукавицю з марлевим тампоном, а стінки ПК підшивали до парiєтальноï очеревини. Трубку, рукавицю та тампони виводили через окрему контрапертуру й фіксували до шкіри, черевну порожнину зашивали наглухо. Рукавицю знімали на 4 добу, а трубку – до припинення за нею виділень. При цьому підвищення ефективності хірургічного лікування гострих ПК ПЗ відбувалося за рахунок біологічної облітерації порожнини пасмом великого чепця, зменшенням вірогідності виникнення арозивної кровотечі, абсцедування чи панкреатичної нориці.</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При лікуванні ускладнених ПК ПЗ ІІ типу (n=247), мініінвазивні методики виконані у 119 (48,2%) пацієнтів, з них у структурі втручань переважали крізьшкірні пункції ПК ПЗ під контролем УЗД у 55 (46,2%). Також в цієї групі хворих були виконані наступні втручання: крізьшкірні дренування ПК ПЗ за типом «pig tail» – у 17 (14,3%), ЕСГ пункції ПК ПЗ – у 16 (13,4%), ендоскопічні анастомози – у 5 (4,2%), лапароскопічні втручання – у 8 (6,7%), крізьшкірне пункційне дренування черевної порожнини під контролем УЗД – у 2 (1,7%), РЕО судин – 15 (12,6%), встановлення </w:t>
      </w:r>
      <w:r w:rsidRPr="00C62D22">
        <w:rPr>
          <w:rFonts w:ascii="Times New Roman" w:hAnsi="Times New Roman" w:cs="Times New Roman"/>
          <w:sz w:val="28"/>
          <w:szCs w:val="28"/>
        </w:rPr>
        <w:lastRenderedPageBreak/>
        <w:t>стент-графту – 1 (0,9%). Ускладнення виникли у 29 (24,4%) пацієнтів цієї групи, які у 22 (75,9%) випадках були ліквідовані повторними мінінінвазивними втручаннями.</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Лапаротомні втручання виконані у 128 (51,8%) хворих з ускладненими ПК ПЗ ІІ типу. При ускладнених ПК ПЗ ІІ типу із товстими сформованими стінками у 83 (64,8%) були сформовані цистоентероанастомози. При ускладнених ПК ПЗ ІІ типу з тонкими стінками у 29 (22,7 %) пацієнтів були виконані зовнішні дренування ПК. Виконання радикальних оперативних втручань залежало від важкості стану пацієнтів, розповсюдженості ХП, локалізації ПК, стану протокової системи, а також наявністю ускладнень з боку суміжних органів. Так, дистальна резекція застосована у 6 (4,7%), операція Фрея – у 4 (3,1%), операція Бегера та її модифікації – 3 (2,3%), ПДР – 1 (0,8%) (за показаннями). При розривах ПК ПЗ ІІ типу з розвитком перитоніту 1-му (0,8%) пацієнту виконо санацію та дренування черевної порожнини, та 1 -му (0,8%) – з ПК ПЗ, ускладненою МЖ, та важкою супутньою патологією, – накладено холецистостому. Післяопераційні ускладнення виникли у 7 (5,5%), летальність склала 0,78 % (1 хворий).</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Запропоновано новий спосіб лікування інфікованих ПК ПЗ ІІ типу «Спосіб лікування інфікованих псевдокіст підшлункової залози позаочеревної локалізації на фоні хронічного панкреатиту» (заявка на винахід № а201610033 від 3.10.16.). Спосіб виконували так: після попередньої пункції ПК ПЗ, виконували її санацію антисептиками під контролем УЗД, виконували верхньо-серединну лапаротомію, та мобілізацію ДПК за Кохером. Розкривали чепцеву сумку. Після пункції ПК та її санації, викроювали пасмо тонкої кишки відключеної за Ру та підводили до ПК на відстані 10-</w:t>
      </w:r>
      <w:smartTag w:uri="urn:schemas-microsoft-com:office:smarttags" w:element="metricconverter">
        <w:smartTagPr>
          <w:attr w:name="ProductID" w:val="15 см"/>
        </w:smartTagPr>
        <w:r w:rsidRPr="00C62D22">
          <w:rPr>
            <w:rFonts w:ascii="Times New Roman" w:hAnsi="Times New Roman" w:cs="Times New Roman"/>
            <w:sz w:val="28"/>
            <w:szCs w:val="28"/>
          </w:rPr>
          <w:t>15 см</w:t>
        </w:r>
      </w:smartTag>
      <w:r w:rsidRPr="00C62D22">
        <w:rPr>
          <w:rFonts w:ascii="Times New Roman" w:hAnsi="Times New Roman" w:cs="Times New Roman"/>
          <w:sz w:val="28"/>
          <w:szCs w:val="28"/>
        </w:rPr>
        <w:t xml:space="preserve"> від дуоденоєюнального переходу. Окремо викроювали пасмо великого чепця на «судинній ножці» та підводили до задньої «губи» майбутнього цистопанкреатоентероанастомозу. Анастомоз формували «бік у бік». Починали окремими однорядковими швами між стінкою ПК, пасмом великого чепця, ближче до його центру від країв, та стінкою тонкої кишки, формувати задню «губу» анастомозу, ушиваючи пасмо чепця до цистопанкреатоентероанастомозу. Після формування задньої «губи» анастомозу, починали формувати передню «губу». «Перекидали» пасмо великого чепця в ділянку передньої «губи» анастомозу та </w:t>
      </w:r>
      <w:r w:rsidRPr="00C62D22">
        <w:rPr>
          <w:rFonts w:ascii="Times New Roman" w:hAnsi="Times New Roman" w:cs="Times New Roman"/>
          <w:sz w:val="28"/>
          <w:szCs w:val="28"/>
        </w:rPr>
        <w:lastRenderedPageBreak/>
        <w:t xml:space="preserve">окремими однорядковими швами між стінкою ПК, пасмом великого чепця, ближче до його центру, та стінкою тонкої кишки, формували передню «губу» анастомозу, ушиваючи пасмо чепця до цистопанкреатоентероанастомозу. Вільні краї пасма великого чепця окремими швами  підшивали до капсули ПК та серозної оболонки тонкої кишки, з метою герметизації анастомозу </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Хірургічне лікування хронічного фіброзно-дегенеративного панкреатиту, ускладненого ПК голівки ПЗ, непрохідністю термінальної частини холедоху (Патент України № 77100) включало наступні етапи: перший етап – мобілізація панкреатодуоденального комплексу зі збереженням кровопостачання ДПК, відокремлення верхньої брижової вени нижче її перешийка для профілактики її ушкодження; другий етап – резекція голівки ПЗ за Фреєм;. третій етап передбачав формування панкреатоентероанастомозу між ПЗ та ізольованою за Ру петлею порожньої кишки за типом «бік у бік». Додатково формували на тій же петлі холецистоентероанастомоз між дном жовчного міхура й петлею тонкої кишки на відстані не менше </w:t>
      </w:r>
      <w:smartTag w:uri="urn:schemas-microsoft-com:office:smarttags" w:element="metricconverter">
        <w:smartTagPr>
          <w:attr w:name="ProductID" w:val="15 см"/>
        </w:smartTagPr>
        <w:r w:rsidRPr="00C62D22">
          <w:rPr>
            <w:rFonts w:ascii="Times New Roman" w:hAnsi="Times New Roman" w:cs="Times New Roman"/>
            <w:sz w:val="28"/>
            <w:szCs w:val="28"/>
          </w:rPr>
          <w:t>15 см</w:t>
        </w:r>
      </w:smartTag>
      <w:r w:rsidRPr="00C62D22">
        <w:rPr>
          <w:rFonts w:ascii="Times New Roman" w:hAnsi="Times New Roman" w:cs="Times New Roman"/>
          <w:sz w:val="28"/>
          <w:szCs w:val="28"/>
        </w:rPr>
        <w:t xml:space="preserve"> від дистальної частини панкреатоентероанастомозу. Крім того, між загальною печінковою протокою і карманом Гартмана жовчного міхура додатково формували холецистогепатикоанастомоз.</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У якості ІІ етапу, після застосування мініінвазивних методик, «відкриті» втручання виконані у 22 (18,5%) хворих з наступною ліквідацією самої ПК. Так 11 (50%) пацієнтам застосовані зовнішні дренування ПК ПЗ, 7 (31,1%) – цистоентеростомії, дистальна резекція ПЗ – 1 (4,5%), операція Фрея – 1 (4,5%), Бернська модифікація операції Бегера – 1 (4,5%), лапаротомія, санація та дренування черевної порожнини – 1 (4,5%). Ускладнення при «відкритих» втручаннях, застосованих у якості ІІ етапу, спостерігалися у 4-х (18,1%) хворих.</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При лікуванні ускладнених ПК ПЗ ІІІ типу (n=177), мініінвазивні втручання виконані у 36 (20,3%). Хворим переважно застосовувались пункції під контролем УЗД – у 8 (22,2%), ЕСГ пункції ПК – у 7 (19,4%) та крізьшкірні дренування ПК ПЗ за типом «pig tail» – у 6 (16,7%). Ендоскопічні ЦГС застосовані у 3 (8,3%) пацієнтів. При ПК ПЗ ІІІ типу, ускладнених кровотечею у їх порожнину у 9 хворих виконані РЕО судин та у 1 – встановлено стент-графт. При ПК ПЗ, ускладнених МЖ, з метою </w:t>
      </w:r>
      <w:r w:rsidRPr="00C62D22">
        <w:rPr>
          <w:rFonts w:ascii="Times New Roman" w:hAnsi="Times New Roman" w:cs="Times New Roman"/>
          <w:sz w:val="28"/>
          <w:szCs w:val="28"/>
        </w:rPr>
        <w:lastRenderedPageBreak/>
        <w:t xml:space="preserve">ліквідації жовтяниці 2-м пацієнтам проведені ККХС під контролем УЗД. При застосуванні цих методик ускладнення виникли у 9 (25%) хворих, у 4 з яких вони були ліквідовані повторними мініінвазивними втручаннями. </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Лапаротомні оперативні втручання при ускладнених ПК ПЗ ІІІ виконані у якості І етапу у 141 (79,7%) хворих. У зв’язку з особливістю анатомії ГПП при ПК ПЗ ІІІ типу, переважну більшість у структурі втручань складали ППЕА – 46 (32,6%). Також у 41 (29,1%) пацієнтів виконувались накладання цистодигестивних анастомозів. Зовнішнє дренування ПК ПЗ ІІІ типу було застосовано у 8 (5,7%) хворих. Операція Фрея виконана у 32 (22,7%), ПДР у модифікаціях різних авторів – у 7 (4,9%), дистальна резекція ПЗ – у 6 (4,3%) та Бернська модифікація операції Бегера – у 1 (0,7%). Ускладнення при «відкритих» оперативних втручаннях спостерігалися у 9 (6,4%), летальність склала 0,7%. </w:t>
      </w:r>
    </w:p>
    <w:p w:rsidR="00C62D22" w:rsidRPr="00C62D22" w:rsidRDefault="00C62D22" w:rsidP="00C62D22">
      <w:pPr>
        <w:spacing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При виконанні ПДР, у якості «відбудовного» етапу, нами запропонований  модифікований спосіб формування панкреатоентероанастомозу (Пат. України № 92451), який виконували наступним чином: після першого етапу ПДР, що включав резекцію шлунка, ПЗ та ДПК, приступали до другого етапу – «відбудовного». Відключали із травлення петлю тонкої кишки. Проводили кишку через вікно брижі попереково-ободової кишки. Підводили петлю до кукси ПЗ. У просвіт анастомозу встановлювали силіконовий дренаж, який проводили наполовину в кишку та приблизно наполовину в ГПП ПЗ перед зав’язуванням передніх швів, які зближали край зрізу ГПП із краєм отвору в кишці. Використовували катетер діаметром, що відповідав діаметру ГПП. Тонку кишку фіксували до кукси ПЗ за допомогою лігатур, проведених через слизову оболонку ГПП на задню й передню поверхні ПЗ.</w:t>
      </w:r>
    </w:p>
    <w:p w:rsidR="00C62D22" w:rsidRPr="00C62D22" w:rsidRDefault="00C62D22" w:rsidP="00C62D22">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Нами був також розроблений спосіб дистальної резекції ПЗ із панкреатогастроанастомозом за методикою клініки (Патент України № 100246). Методика виконувалась у хворих з ПК ПЗ, які розташовані в голівці та у хвості ПЗ і при непрохідності ГПП, а також при наявності ВПГ. Виконували верхньо-серединну лапаротомію. Після ревізії органів черевної порожнини мобілізували ДПК за Кохером. Розкривали чепцеву сумку. Порожнину ПК розсікали, проводили її санацію та експрес-біопсію ділянки ПК. При наявності ПК ПЗ виконували </w:t>
      </w:r>
      <w:r w:rsidRPr="00C62D22">
        <w:rPr>
          <w:rFonts w:ascii="Times New Roman" w:hAnsi="Times New Roman" w:cs="Times New Roman"/>
          <w:sz w:val="28"/>
          <w:szCs w:val="28"/>
        </w:rPr>
        <w:lastRenderedPageBreak/>
        <w:t xml:space="preserve">дистальну резекцію з або без спленектомії. При подальшому виявленні ПК у голівці ПЗ та відсутності прохідності Вірсунгової протоки накладали гастропанкреатоцистоанастомоз. Шлунок з боку великої кривизни прошивали двома степлерами на відстані </w:t>
      </w:r>
      <w:smartTag w:uri="urn:schemas-microsoft-com:office:smarttags" w:element="metricconverter">
        <w:smartTagPr>
          <w:attr w:name="ProductID" w:val="5 см"/>
        </w:smartTagPr>
        <w:r w:rsidRPr="00C62D22">
          <w:rPr>
            <w:rFonts w:ascii="Times New Roman" w:hAnsi="Times New Roman" w:cs="Times New Roman"/>
            <w:sz w:val="28"/>
            <w:szCs w:val="28"/>
          </w:rPr>
          <w:t>5 см</w:t>
        </w:r>
      </w:smartTag>
      <w:r w:rsidRPr="00C62D22">
        <w:rPr>
          <w:rFonts w:ascii="Times New Roman" w:hAnsi="Times New Roman" w:cs="Times New Roman"/>
          <w:sz w:val="28"/>
          <w:szCs w:val="28"/>
        </w:rPr>
        <w:t xml:space="preserve"> двічі механічним швом під кутом 90 </w:t>
      </w:r>
      <w:r w:rsidRPr="00C62D22">
        <w:rPr>
          <w:rFonts w:ascii="Times New Roman" w:hAnsi="Times New Roman" w:cs="Times New Roman"/>
          <w:sz w:val="28"/>
          <w:szCs w:val="28"/>
          <w:vertAlign w:val="superscript"/>
        </w:rPr>
        <w:t>0</w:t>
      </w:r>
      <w:r w:rsidRPr="00C62D22">
        <w:rPr>
          <w:rFonts w:ascii="Times New Roman" w:hAnsi="Times New Roman" w:cs="Times New Roman"/>
          <w:sz w:val="28"/>
          <w:szCs w:val="28"/>
        </w:rPr>
        <w:t xml:space="preserve"> та на відстані </w:t>
      </w:r>
      <w:smartTag w:uri="urn:schemas-microsoft-com:office:smarttags" w:element="metricconverter">
        <w:smartTagPr>
          <w:attr w:name="ProductID" w:val="5 см"/>
        </w:smartTagPr>
        <w:r w:rsidRPr="00C62D22">
          <w:rPr>
            <w:rFonts w:ascii="Times New Roman" w:hAnsi="Times New Roman" w:cs="Times New Roman"/>
            <w:sz w:val="28"/>
            <w:szCs w:val="28"/>
          </w:rPr>
          <w:t>5 см</w:t>
        </w:r>
      </w:smartTag>
      <w:r w:rsidRPr="00C62D22">
        <w:rPr>
          <w:rFonts w:ascii="Times New Roman" w:hAnsi="Times New Roman" w:cs="Times New Roman"/>
          <w:sz w:val="28"/>
          <w:szCs w:val="28"/>
        </w:rPr>
        <w:t xml:space="preserve"> від раніше виконаної проксимальної резекції ПЗ, формували анастомоз дворядковим швом із прошитою ділянкою шлунка, яка розташовується ближче до воротаря. Трансназально до головної панкреатичної протоки проводили зонд для декомпресії.</w:t>
      </w:r>
    </w:p>
    <w:p w:rsidR="00C62D22" w:rsidRPr="00C62D22" w:rsidRDefault="00C62D22" w:rsidP="00C62D22">
      <w:pPr>
        <w:shd w:val="clear" w:color="auto" w:fill="FFFFFF"/>
        <w:autoSpaceDE w:val="0"/>
        <w:autoSpaceDN w:val="0"/>
        <w:adjustRightInd w:val="0"/>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Лапаротомні втручання у хворих з ПК ПЗ ІІІ типу, які виконувалися після мініінвазивних втручань, спостерігалися у 9 (25%) хворих, з яких у 3-х були накладені цистодигестивні анастомози, у 3-х – зовнішні дренування, у 2-х – ПДР, у 1-го – операція Фрея. Післяопераційні ускладнення виникли у 2-х пацієнтів.</w:t>
      </w:r>
    </w:p>
    <w:p w:rsidR="00C62D22" w:rsidRPr="00C62D22" w:rsidRDefault="00C62D22" w:rsidP="00C62D22">
      <w:pPr>
        <w:pStyle w:val="a8"/>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Використання мініінвазивних методів, в комплексі хірургічного лікування пацієнтів на ускладнені ПК ПЗ, дозволило знизити загальний розвиток послеопераційних ускладнень до 17,4%, летальність до 0,79%: при I типі –до 34,6% і до 2,5% відповідно; при II типі – до 16,2 і до 0,4% відповідно; при III типі – до 11,3% і до 0,56% відповідно (</w:t>
      </w:r>
      <w:r w:rsidRPr="00C62D22">
        <w:rPr>
          <w:rFonts w:ascii="Times New Roman" w:hAnsi="Times New Roman" w:cs="Times New Roman"/>
          <w:sz w:val="28"/>
          <w:szCs w:val="28"/>
        </w:rPr>
        <w:sym w:font="Symbol" w:char="F063"/>
      </w:r>
      <w:r w:rsidRPr="00C62D22">
        <w:rPr>
          <w:rFonts w:ascii="Times New Roman" w:hAnsi="Times New Roman" w:cs="Times New Roman"/>
          <w:sz w:val="28"/>
          <w:szCs w:val="28"/>
        </w:rPr>
        <w:t>2</w:t>
      </w:r>
      <w:r w:rsidRPr="00C62D22">
        <w:rPr>
          <w:rFonts w:ascii="Times New Roman" w:hAnsi="Times New Roman" w:cs="Times New Roman"/>
          <w:sz w:val="28"/>
          <w:szCs w:val="28"/>
        </w:rPr>
        <w:sym w:font="Symbol" w:char="F03D"/>
      </w:r>
      <w:r w:rsidRPr="00C62D22">
        <w:rPr>
          <w:rFonts w:ascii="Times New Roman" w:hAnsi="Times New Roman" w:cs="Times New Roman"/>
          <w:sz w:val="28"/>
          <w:szCs w:val="28"/>
        </w:rPr>
        <w:t>16,319, р</w:t>
      </w:r>
      <w:r w:rsidRPr="00C62D22">
        <w:rPr>
          <w:rFonts w:ascii="Times New Roman" w:hAnsi="Times New Roman" w:cs="Times New Roman"/>
          <w:sz w:val="28"/>
          <w:szCs w:val="28"/>
        </w:rPr>
        <w:sym w:font="Symbol" w:char="F03D"/>
      </w:r>
      <w:r w:rsidRPr="00C62D22">
        <w:rPr>
          <w:rFonts w:ascii="Times New Roman" w:hAnsi="Times New Roman" w:cs="Times New Roman"/>
          <w:sz w:val="28"/>
          <w:szCs w:val="28"/>
        </w:rPr>
        <w:t>0,003).</w:t>
      </w:r>
    </w:p>
    <w:p w:rsidR="00C62D22" w:rsidRPr="00C62D22" w:rsidRDefault="00C62D22" w:rsidP="00C62D22">
      <w:pPr>
        <w:pStyle w:val="a8"/>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 xml:space="preserve">З метою прогнозування ранніх післяопераційних ускладнень у хворих (n= 157) на основі методів дискримінантного аналізу нами була розроблена математична модель: прогноз результату лікування для кожного виду операції визначався максимальним значенням КФ у стовпці, і чим більше її значення, тим більша ймовірність події. В ході дослідження результатів лікування хворих на ускладнені ПК ПЗ І типу (n=56) було встановлено, що проведення лапаротомії в кластері 1 з максимальною ймовірністю закінчиться результатом 3 (до 21 ліжко-дня без післяопераційних ускладнень) або результатом 1 (до 14 ліжко-дня без післяопераційних ускладнень) з меншою ймовірністю. При проведенні мініінвазивних операцій характерний результат 1 (до 14 ліжко-дня без післяопераційних ускладнень). Для хворих, віднесених до кластеру 2, при лапаротомії був найбільш імовірним результат лікування 1 (менш вірогідний результат 5 (від 21 до 30 ліжко-днів без післяопераційних ускладнень), при мініінвазивних операціях спостерігалася зворотна картина: найімовірніше результат </w:t>
      </w:r>
      <w:r w:rsidRPr="00C62D22">
        <w:rPr>
          <w:rFonts w:ascii="Times New Roman" w:hAnsi="Times New Roman" w:cs="Times New Roman"/>
          <w:sz w:val="28"/>
          <w:szCs w:val="28"/>
        </w:rPr>
        <w:lastRenderedPageBreak/>
        <w:t>5 (менш вірогідний результат 1). Аналіз по всій виборці надавав дуже високу середню точність класифікації 89,3%.</w:t>
      </w:r>
    </w:p>
    <w:p w:rsidR="00C62D22" w:rsidRPr="00C62D22" w:rsidRDefault="00C62D22" w:rsidP="00C62D22">
      <w:pPr>
        <w:spacing w:after="0" w:line="360" w:lineRule="auto"/>
        <w:ind w:firstLine="540"/>
        <w:jc w:val="both"/>
        <w:rPr>
          <w:rFonts w:ascii="Times New Roman" w:hAnsi="Times New Roman" w:cs="Times New Roman"/>
          <w:sz w:val="28"/>
          <w:szCs w:val="28"/>
          <w:lang w:val="uk-UA"/>
        </w:rPr>
      </w:pPr>
      <w:r w:rsidRPr="00C62D22">
        <w:rPr>
          <w:rFonts w:ascii="Times New Roman" w:hAnsi="Times New Roman" w:cs="Times New Roman"/>
          <w:sz w:val="28"/>
          <w:szCs w:val="28"/>
          <w:lang w:val="uk-UA"/>
        </w:rPr>
        <w:t>При аналізі вагових коефіцієнтів КФ для ПК ІІ типу було встановлено, що для хворих при використанні мініінвазивних операцій найбільш імовірний результат 1 (до 14 ліжко-днів без післяопераційних ускладнень), але вельми можливий і результат 2 (до 14 ліжко-днів з післяопераційними ускладненнями). При використанні лапаротомії найбільш імовірний результат 3 (до 21 ліжко-дня без післяопераційних ускладнень), також вельми ймовірні й результат 1 (до 14 ліжко-днів без післяопераційних ускладнень) або результат 5 (до 30 ліжко-днів без післяопераційних ускладнень).</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lang w:val="uk-UA"/>
        </w:rPr>
        <w:t xml:space="preserve">Нами було встановлено, що проведення лапаротомії для ПК ІІІ типу з максимальною ймовірністю закінчиться результатом 3 (до 21 ліжко-дня без післяопераційних ускладнень) або результатом 1 (до 14 ліжко-дня без післяопераційних ускладнень) з втричі меншою ймовірністю. </w:t>
      </w:r>
      <w:r w:rsidRPr="00C62D22">
        <w:rPr>
          <w:rFonts w:ascii="Times New Roman" w:hAnsi="Times New Roman" w:cs="Times New Roman"/>
          <w:sz w:val="28"/>
          <w:szCs w:val="28"/>
        </w:rPr>
        <w:t>При проведенні мініінвазивних операцій характерний результат 1 (до 14 ліжко-дня без післяопераційних ускладнень) або 3 ( у два рази меншою ймовірністю).</w:t>
      </w:r>
    </w:p>
    <w:p w:rsidR="00C62D22" w:rsidRPr="00C62D22" w:rsidRDefault="00C62D22" w:rsidP="00C62D22">
      <w:pPr>
        <w:spacing w:after="0" w:line="360" w:lineRule="auto"/>
        <w:ind w:firstLine="540"/>
        <w:jc w:val="both"/>
        <w:rPr>
          <w:rFonts w:ascii="Times New Roman" w:hAnsi="Times New Roman" w:cs="Times New Roman"/>
          <w:sz w:val="28"/>
          <w:szCs w:val="28"/>
        </w:rPr>
      </w:pPr>
      <w:r w:rsidRPr="00C62D22">
        <w:rPr>
          <w:rFonts w:ascii="Times New Roman" w:hAnsi="Times New Roman" w:cs="Times New Roman"/>
          <w:sz w:val="28"/>
          <w:szCs w:val="28"/>
        </w:rPr>
        <w:t>Для попередження розвитку післяопераційного панкреатиту у оперованих хворих нами був розроблений «Спосіб прогнозування ускладненого перебігу післяопераційного панкреатиту» (Пат. України № 100586), який виконували наступним чином: при надходженні хворого з ускладненим панкреатитом до хірургічного стаціонару визначали клінічні прояви захворювання, параметри гемодинаміки й лабораторні показники (Іl – 18, Іl – 10, ГПО-1, МДА, трансферази, глюкозу, кількість лейкоцитів, лейкоцитарну формулу, сечовину, креатинін та ін.), знаходять значущі коефіцієнти кореляції між досліджуваними показниками. Дослідження повторювали через 48-72 години на тлі інтенсивної терапії панкреатиту, визначають коефіцієнт токсемії та знов знаходять значущі коефіцієнти кореляції між досліджуваними показниками. При підвищенні коефіцієнту токсемії на 30% від попередніх даних, прогнозували тяжкий перебіг панкреатиту та розвиток післяопераційних ускладнень.</w:t>
      </w:r>
    </w:p>
    <w:p w:rsidR="00C62D22" w:rsidRPr="00C62D22" w:rsidRDefault="00C62D22" w:rsidP="00C62D22">
      <w:pPr>
        <w:pStyle w:val="a8"/>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lastRenderedPageBreak/>
        <w:t>Нами була досліджена якість життя хворих, оперованих з приводу ускладнених ПК ПЗ за допомогою опитувача SF-36. При аналізі значень коефіцієнтів детермінації було встановлено, що тип ПК позначався тільки на таких показниках, як життєздатність та психологічне здоров'я, відбувалося їх погіршення для ПК ІІ та ІІІ типів. Встановлено, що вид операції впливав на фізичне функціонування, соціальне функціонування, емоційне функціонування та психологічне здоров'я. Для мініінвазивних операцій були характерні не тільки більш високі оцінки душевного стану, а й частково фізичного. Найбільший вплив на мінливість показників надавав спільний вплив типу ПК і виду операції, що була обумовлена їх взаємозв'язком.</w:t>
      </w:r>
    </w:p>
    <w:p w:rsidR="00C62D22" w:rsidRPr="00C62D22" w:rsidRDefault="00C62D22" w:rsidP="00C62D22">
      <w:pPr>
        <w:pStyle w:val="a8"/>
        <w:spacing w:after="0" w:line="360" w:lineRule="auto"/>
        <w:ind w:left="0" w:firstLine="540"/>
        <w:jc w:val="both"/>
        <w:rPr>
          <w:rFonts w:ascii="Times New Roman" w:hAnsi="Times New Roman" w:cs="Times New Roman"/>
          <w:sz w:val="28"/>
          <w:szCs w:val="28"/>
        </w:rPr>
      </w:pPr>
      <w:r w:rsidRPr="00C62D22">
        <w:rPr>
          <w:rFonts w:ascii="Times New Roman" w:hAnsi="Times New Roman" w:cs="Times New Roman"/>
          <w:sz w:val="28"/>
          <w:szCs w:val="28"/>
        </w:rPr>
        <w:t>Таким чином, використання запропонованого алгоритму діагностики та лікування ускладнених ПК ПЗ, із застосуванням мініінвазивних методик, з урахуванням патогенетичних та морфологічних змін у ПЗ, а також стану спланхнічного кровотоку, прогнозування післяопераційних ускладнень призвели до підвищення якості життя хворих, що в свою чергу дозволило отримати економічний та соціальний ефект.</w:t>
      </w:r>
    </w:p>
    <w:p w:rsidR="00C62D22" w:rsidRPr="00C62D22" w:rsidRDefault="00C62D22">
      <w:pPr>
        <w:rPr>
          <w:rFonts w:ascii="Times New Roman" w:hAnsi="Times New Roman" w:cs="Times New Roman"/>
          <w:sz w:val="28"/>
          <w:szCs w:val="28"/>
          <w:lang w:val="uk-UA"/>
        </w:rPr>
      </w:pPr>
      <w:r w:rsidRPr="00C62D22">
        <w:rPr>
          <w:rFonts w:ascii="Times New Roman" w:hAnsi="Times New Roman" w:cs="Times New Roman"/>
          <w:sz w:val="28"/>
          <w:szCs w:val="28"/>
          <w:lang w:val="uk-UA"/>
        </w:rPr>
        <w:br w:type="page"/>
      </w:r>
    </w:p>
    <w:p w:rsidR="00C62D22" w:rsidRPr="00C62D22" w:rsidRDefault="00C62D22" w:rsidP="00C62D22">
      <w:pPr>
        <w:jc w:val="center"/>
        <w:rPr>
          <w:rFonts w:ascii="Times New Roman" w:hAnsi="Times New Roman" w:cs="Times New Roman"/>
          <w:b/>
          <w:sz w:val="28"/>
          <w:lang w:val="uk-UA"/>
        </w:rPr>
      </w:pPr>
      <w:r w:rsidRPr="00C62D22">
        <w:rPr>
          <w:rFonts w:ascii="Times New Roman" w:hAnsi="Times New Roman" w:cs="Times New Roman"/>
          <w:b/>
          <w:sz w:val="28"/>
        </w:rPr>
        <w:lastRenderedPageBreak/>
        <w:t>ВИСНОВКИ</w:t>
      </w:r>
    </w:p>
    <w:p w:rsidR="00C62D22" w:rsidRPr="00C62D22" w:rsidRDefault="00C62D22" w:rsidP="00C62D22">
      <w:pPr>
        <w:jc w:val="center"/>
        <w:rPr>
          <w:rFonts w:ascii="Times New Roman" w:hAnsi="Times New Roman" w:cs="Times New Roman"/>
          <w:b/>
          <w:sz w:val="28"/>
          <w:lang w:val="uk-UA"/>
        </w:rPr>
      </w:pPr>
    </w:p>
    <w:p w:rsidR="00C62D22" w:rsidRPr="00C62D22" w:rsidRDefault="00C62D22" w:rsidP="00C62D22">
      <w:pPr>
        <w:jc w:val="center"/>
        <w:rPr>
          <w:rFonts w:ascii="Times New Roman" w:hAnsi="Times New Roman" w:cs="Times New Roman"/>
          <w:b/>
          <w:sz w:val="28"/>
          <w:lang w:val="uk-UA"/>
        </w:rPr>
      </w:pPr>
    </w:p>
    <w:p w:rsidR="00C62D22" w:rsidRPr="00C62D22" w:rsidRDefault="00C62D22" w:rsidP="00C62D22">
      <w:pPr>
        <w:jc w:val="center"/>
        <w:rPr>
          <w:rFonts w:ascii="Times New Roman" w:hAnsi="Times New Roman" w:cs="Times New Roman"/>
          <w:b/>
          <w:sz w:val="28"/>
          <w:lang w:val="uk-UA"/>
        </w:rPr>
      </w:pPr>
    </w:p>
    <w:p w:rsidR="00C62D22" w:rsidRPr="00C62D22" w:rsidRDefault="00C62D22" w:rsidP="00C62D22">
      <w:pPr>
        <w:rPr>
          <w:rFonts w:ascii="Times New Roman" w:hAnsi="Times New Roman" w:cs="Times New Roman"/>
          <w:b/>
          <w:sz w:val="28"/>
          <w:lang w:val="uk-UA"/>
        </w:rPr>
      </w:pPr>
    </w:p>
    <w:p w:rsidR="00C62D22" w:rsidRPr="00C62D22" w:rsidRDefault="00C62D22" w:rsidP="00C62D22">
      <w:pPr>
        <w:numPr>
          <w:ilvl w:val="0"/>
          <w:numId w:val="30"/>
        </w:numPr>
        <w:tabs>
          <w:tab w:val="left" w:pos="993"/>
        </w:tabs>
        <w:spacing w:after="0" w:line="360" w:lineRule="auto"/>
        <w:ind w:left="142" w:firstLine="425"/>
        <w:jc w:val="both"/>
        <w:rPr>
          <w:rFonts w:ascii="Times New Roman" w:hAnsi="Times New Roman" w:cs="Times New Roman"/>
          <w:sz w:val="28"/>
          <w:lang w:val="uk-UA"/>
        </w:rPr>
      </w:pPr>
      <w:r w:rsidRPr="00C62D22">
        <w:rPr>
          <w:rFonts w:ascii="Times New Roman" w:hAnsi="Times New Roman" w:cs="Times New Roman"/>
          <w:sz w:val="28"/>
          <w:lang w:val="uk-UA"/>
        </w:rPr>
        <w:t xml:space="preserve">Питання діагностики та лікування хворих з ПК ПЗ є важким та досі невирішеним. Загальна летальність при ПК ПЗ становить 14%, післяопераційна – 11%, а при таких ускладненнях, як сепсис, кровотеча, перфорація у черевну порожнину, вона досягає 40 – 60%. Сучасний стан проблеми діагностики та лікування ускладнених ПК ПЗ визначає актуальність і доцільність поглибленого вивчення всього різноманіття ПК та їх ускладнень. </w:t>
      </w:r>
      <w:r w:rsidRPr="00C62D22">
        <w:rPr>
          <w:rFonts w:ascii="Times New Roman" w:hAnsi="Times New Roman" w:cs="Times New Roman"/>
          <w:color w:val="000000"/>
          <w:spacing w:val="-2"/>
          <w:sz w:val="28"/>
          <w:lang w:val="uk-UA"/>
        </w:rPr>
        <w:t xml:space="preserve">Встановлено, що для остаточної верифікації ускладнень та вибору лікувальної тактики у </w:t>
      </w:r>
      <w:r w:rsidRPr="00C62D22">
        <w:rPr>
          <w:rFonts w:ascii="Times New Roman" w:hAnsi="Times New Roman" w:cs="Times New Roman"/>
          <w:color w:val="000000"/>
          <w:sz w:val="28"/>
          <w:lang w:val="uk-UA"/>
        </w:rPr>
        <w:t xml:space="preserve">хворих на всі типи ПК ПЗ </w:t>
      </w:r>
      <w:r w:rsidRPr="00C62D22">
        <w:rPr>
          <w:rFonts w:ascii="Times New Roman" w:hAnsi="Times New Roman" w:cs="Times New Roman"/>
          <w:color w:val="000000"/>
          <w:spacing w:val="-2"/>
          <w:sz w:val="28"/>
          <w:lang w:val="uk-UA"/>
        </w:rPr>
        <w:t>є МСКТ, МРТ, ендоскопічне УЗ, відеолапароскопія і ангіографія. Трансабдомінальне УЗД дозволяє не тільки здійснювати скринінг хворих, але й визначати місця з відсутністю великих судинних структур для зовнішніх і внутрішніх пункційних і пункційно-дренуючих втручань.</w:t>
      </w:r>
    </w:p>
    <w:p w:rsidR="00C62D22" w:rsidRPr="00C62D22" w:rsidRDefault="00C62D22" w:rsidP="00C62D22">
      <w:pPr>
        <w:numPr>
          <w:ilvl w:val="0"/>
          <w:numId w:val="30"/>
        </w:numPr>
        <w:shd w:val="clear" w:color="auto" w:fill="FFFFFF"/>
        <w:tabs>
          <w:tab w:val="left" w:pos="993"/>
        </w:tabs>
        <w:spacing w:after="0" w:line="360" w:lineRule="auto"/>
        <w:ind w:left="0" w:firstLine="567"/>
        <w:jc w:val="both"/>
        <w:rPr>
          <w:rFonts w:ascii="Times New Roman" w:hAnsi="Times New Roman" w:cs="Times New Roman"/>
          <w:sz w:val="28"/>
          <w:lang w:val="uk-UA"/>
        </w:rPr>
      </w:pPr>
      <w:r w:rsidRPr="00C62D22">
        <w:rPr>
          <w:rFonts w:ascii="Times New Roman" w:hAnsi="Times New Roman" w:cs="Times New Roman"/>
          <w:sz w:val="28"/>
          <w:lang w:val="uk-UA"/>
        </w:rPr>
        <w:t xml:space="preserve">Порушення оксидантного гомеостазу призводить до виникнення окислювального стресу, ключовою подією якого є підвищення </w:t>
      </w:r>
      <w:r w:rsidRPr="00C62D22">
        <w:rPr>
          <w:rFonts w:ascii="Times New Roman" w:hAnsi="Times New Roman" w:cs="Times New Roman"/>
          <w:color w:val="000000"/>
          <w:sz w:val="28"/>
          <w:lang w:val="uk-UA"/>
        </w:rPr>
        <w:t>МДА відповідно на 136,2 %, 100,5 % та 32,9 % при всіх типах ПК ПЗ з відмінностями поміж хворими (</w:t>
      </w:r>
      <w:r w:rsidRPr="00C62D22">
        <w:rPr>
          <w:rFonts w:ascii="Times New Roman" w:hAnsi="Times New Roman" w:cs="Times New Roman"/>
          <w:color w:val="000000"/>
          <w:sz w:val="28"/>
          <w:lang w:val="en-US"/>
        </w:rPr>
        <w:t>F</w:t>
      </w:r>
      <w:r w:rsidRPr="00C62D22">
        <w:rPr>
          <w:rFonts w:ascii="Times New Roman" w:hAnsi="Times New Roman" w:cs="Times New Roman"/>
          <w:color w:val="000000"/>
          <w:sz w:val="28"/>
          <w:lang w:val="en-US"/>
        </w:rPr>
        <w:sym w:font="Symbol" w:char="F03D"/>
      </w:r>
      <w:r w:rsidRPr="00C62D22">
        <w:rPr>
          <w:rFonts w:ascii="Times New Roman" w:hAnsi="Times New Roman" w:cs="Times New Roman"/>
          <w:color w:val="000000"/>
          <w:sz w:val="28"/>
          <w:lang w:val="uk-UA"/>
        </w:rPr>
        <w:t xml:space="preserve">157, 781, </w:t>
      </w:r>
      <w:r w:rsidRPr="00C62D22">
        <w:rPr>
          <w:rFonts w:ascii="Times New Roman" w:hAnsi="Times New Roman" w:cs="Times New Roman"/>
          <w:color w:val="000000"/>
          <w:sz w:val="28"/>
          <w:lang w:val="en-US"/>
        </w:rPr>
        <w:t>p</w:t>
      </w:r>
      <w:r w:rsidRPr="00C62D22">
        <w:rPr>
          <w:rFonts w:ascii="Times New Roman" w:hAnsi="Times New Roman" w:cs="Times New Roman"/>
          <w:color w:val="000000"/>
          <w:sz w:val="28"/>
          <w:lang w:val="en-US"/>
        </w:rPr>
        <w:sym w:font="Symbol" w:char="F03D"/>
      </w:r>
      <w:r w:rsidRPr="00C62D22">
        <w:rPr>
          <w:rFonts w:ascii="Times New Roman" w:hAnsi="Times New Roman" w:cs="Times New Roman"/>
          <w:color w:val="000000"/>
          <w:sz w:val="28"/>
          <w:lang w:val="uk-UA"/>
        </w:rPr>
        <w:t>0,000) та ГПО-1 відповідно на 128,2 %, 82,8 % та 63,2 % відносно показників контрольної групи (р</w:t>
      </w:r>
      <w:r w:rsidRPr="00C62D22">
        <w:rPr>
          <w:rFonts w:ascii="Times New Roman" w:hAnsi="Times New Roman" w:cs="Times New Roman"/>
          <w:color w:val="000000"/>
          <w:sz w:val="28"/>
        </w:rPr>
        <w:sym w:font="Symbol" w:char="F03C"/>
      </w:r>
      <w:r w:rsidRPr="00C62D22">
        <w:rPr>
          <w:rFonts w:ascii="Times New Roman" w:hAnsi="Times New Roman" w:cs="Times New Roman"/>
          <w:color w:val="000000"/>
          <w:sz w:val="28"/>
          <w:lang w:val="uk-UA"/>
        </w:rPr>
        <w:t>0,05) з відмінностями поміж хворими (</w:t>
      </w:r>
      <w:r w:rsidRPr="00C62D22">
        <w:rPr>
          <w:rFonts w:ascii="Times New Roman" w:hAnsi="Times New Roman" w:cs="Times New Roman"/>
          <w:color w:val="000000"/>
          <w:sz w:val="28"/>
        </w:rPr>
        <w:t>F</w:t>
      </w:r>
      <w:r w:rsidRPr="00C62D22">
        <w:rPr>
          <w:rFonts w:ascii="Times New Roman" w:hAnsi="Times New Roman" w:cs="Times New Roman"/>
          <w:color w:val="000000"/>
          <w:sz w:val="28"/>
        </w:rPr>
        <w:sym w:font="Symbol" w:char="F03D"/>
      </w:r>
      <w:r w:rsidRPr="00C62D22">
        <w:rPr>
          <w:rFonts w:ascii="Times New Roman" w:hAnsi="Times New Roman" w:cs="Times New Roman"/>
          <w:color w:val="000000"/>
          <w:sz w:val="28"/>
          <w:lang w:val="uk-UA"/>
        </w:rPr>
        <w:t xml:space="preserve">42,674, </w:t>
      </w:r>
      <w:r w:rsidRPr="00C62D22">
        <w:rPr>
          <w:rFonts w:ascii="Times New Roman" w:hAnsi="Times New Roman" w:cs="Times New Roman"/>
          <w:color w:val="000000"/>
          <w:sz w:val="28"/>
        </w:rPr>
        <w:t>p</w:t>
      </w:r>
      <w:r w:rsidRPr="00C62D22">
        <w:rPr>
          <w:rFonts w:ascii="Times New Roman" w:hAnsi="Times New Roman" w:cs="Times New Roman"/>
          <w:color w:val="000000"/>
          <w:sz w:val="28"/>
        </w:rPr>
        <w:sym w:font="Symbol" w:char="F03D"/>
      </w:r>
      <w:r w:rsidRPr="00C62D22">
        <w:rPr>
          <w:rFonts w:ascii="Times New Roman" w:hAnsi="Times New Roman" w:cs="Times New Roman"/>
          <w:color w:val="000000"/>
          <w:sz w:val="28"/>
          <w:lang w:val="uk-UA"/>
        </w:rPr>
        <w:t>0,000), і наявності кореляції (</w:t>
      </w:r>
      <w:r w:rsidRPr="00C62D22">
        <w:rPr>
          <w:rFonts w:ascii="Times New Roman" w:hAnsi="Times New Roman" w:cs="Times New Roman"/>
          <w:color w:val="000000"/>
          <w:sz w:val="28"/>
          <w:lang w:val="en-US"/>
        </w:rPr>
        <w:t>r</w:t>
      </w:r>
      <w:r w:rsidRPr="00C62D22">
        <w:rPr>
          <w:rFonts w:ascii="Times New Roman" w:hAnsi="Times New Roman" w:cs="Times New Roman"/>
          <w:color w:val="000000"/>
          <w:sz w:val="28"/>
          <w:lang w:val="uk-UA"/>
        </w:rPr>
        <w:sym w:font="Symbol" w:char="F03D"/>
      </w:r>
      <w:r w:rsidRPr="00C62D22">
        <w:rPr>
          <w:rFonts w:ascii="Times New Roman" w:hAnsi="Times New Roman" w:cs="Times New Roman"/>
          <w:color w:val="000000"/>
          <w:sz w:val="28"/>
          <w:lang w:val="uk-UA"/>
        </w:rPr>
        <w:t xml:space="preserve">0,78 та </w:t>
      </w:r>
      <w:r w:rsidRPr="00C62D22">
        <w:rPr>
          <w:rFonts w:ascii="Times New Roman" w:hAnsi="Times New Roman" w:cs="Times New Roman"/>
          <w:color w:val="000000"/>
          <w:sz w:val="28"/>
          <w:lang w:val="en-US"/>
        </w:rPr>
        <w:t>r</w:t>
      </w:r>
      <w:r w:rsidRPr="00C62D22">
        <w:rPr>
          <w:rFonts w:ascii="Times New Roman" w:hAnsi="Times New Roman" w:cs="Times New Roman"/>
          <w:color w:val="000000"/>
          <w:sz w:val="28"/>
          <w:lang w:val="uk-UA"/>
        </w:rPr>
        <w:sym w:font="Symbol" w:char="F03D"/>
      </w:r>
      <w:r w:rsidRPr="00C62D22">
        <w:rPr>
          <w:rFonts w:ascii="Times New Roman" w:hAnsi="Times New Roman" w:cs="Times New Roman"/>
          <w:color w:val="000000"/>
          <w:sz w:val="28"/>
          <w:lang w:val="uk-UA"/>
        </w:rPr>
        <w:t xml:space="preserve">0,82) з тяжкістю стану за шкалою </w:t>
      </w:r>
      <w:r w:rsidRPr="00C62D22">
        <w:rPr>
          <w:rFonts w:ascii="Times New Roman" w:hAnsi="Times New Roman" w:cs="Times New Roman"/>
          <w:color w:val="000000"/>
          <w:sz w:val="28"/>
          <w:lang w:val="en-US"/>
        </w:rPr>
        <w:t>SOFA</w:t>
      </w:r>
      <w:r w:rsidRPr="00C62D22">
        <w:rPr>
          <w:rFonts w:ascii="Times New Roman" w:hAnsi="Times New Roman" w:cs="Times New Roman"/>
          <w:color w:val="000000"/>
          <w:sz w:val="28"/>
          <w:lang w:val="uk-UA"/>
        </w:rPr>
        <w:t xml:space="preserve"> </w:t>
      </w:r>
      <w:r w:rsidRPr="00C62D22">
        <w:rPr>
          <w:rFonts w:ascii="Times New Roman" w:hAnsi="Times New Roman" w:cs="Times New Roman"/>
          <w:sz w:val="28"/>
          <w:lang w:val="uk-UA"/>
        </w:rPr>
        <w:t>(р</w:t>
      </w:r>
      <w:r w:rsidRPr="00C62D22">
        <w:rPr>
          <w:rFonts w:ascii="Times New Roman" w:hAnsi="Times New Roman" w:cs="Times New Roman"/>
          <w:sz w:val="28"/>
        </w:rPr>
        <w:sym w:font="Symbol" w:char="F03C"/>
      </w:r>
      <w:r w:rsidRPr="00C62D22">
        <w:rPr>
          <w:rFonts w:ascii="Times New Roman" w:hAnsi="Times New Roman" w:cs="Times New Roman"/>
          <w:sz w:val="28"/>
          <w:lang w:val="uk-UA"/>
        </w:rPr>
        <w:t>0,05).</w:t>
      </w:r>
    </w:p>
    <w:p w:rsidR="00C62D22" w:rsidRPr="00C62D22" w:rsidRDefault="00C62D22" w:rsidP="00C62D22">
      <w:pPr>
        <w:numPr>
          <w:ilvl w:val="0"/>
          <w:numId w:val="30"/>
        </w:numPr>
        <w:tabs>
          <w:tab w:val="left" w:pos="180"/>
          <w:tab w:val="left" w:pos="540"/>
          <w:tab w:val="left" w:pos="720"/>
          <w:tab w:val="left" w:pos="993"/>
        </w:tabs>
        <w:spacing w:after="0" w:line="360" w:lineRule="auto"/>
        <w:ind w:left="0" w:firstLine="567"/>
        <w:jc w:val="both"/>
        <w:rPr>
          <w:rFonts w:ascii="Times New Roman" w:hAnsi="Times New Roman" w:cs="Times New Roman"/>
          <w:sz w:val="28"/>
          <w:lang w:val="uk-UA"/>
        </w:rPr>
      </w:pPr>
      <w:r w:rsidRPr="00C62D22">
        <w:rPr>
          <w:rFonts w:ascii="Times New Roman" w:hAnsi="Times New Roman" w:cs="Times New Roman"/>
          <w:sz w:val="28"/>
          <w:lang w:val="en-US"/>
        </w:rPr>
        <w:t>C</w:t>
      </w:r>
      <w:r w:rsidRPr="00C62D22">
        <w:rPr>
          <w:rFonts w:ascii="Times New Roman" w:hAnsi="Times New Roman" w:cs="Times New Roman"/>
          <w:sz w:val="28"/>
          <w:lang w:val="uk-UA"/>
        </w:rPr>
        <w:t xml:space="preserve">укупність профібротичних цитокінів забезпечує зрушення гомеостазу в прозапальному напрямку та розвиток інтра- та перилобулярного фіброзу ПЗ, про що свідчить залежність між рівнями </w:t>
      </w:r>
      <w:r w:rsidRPr="00C62D22">
        <w:rPr>
          <w:rFonts w:ascii="Times New Roman" w:hAnsi="Times New Roman" w:cs="Times New Roman"/>
          <w:sz w:val="28"/>
          <w:lang w:val="en-US"/>
        </w:rPr>
        <w:t>TGF</w:t>
      </w:r>
      <w:r w:rsidRPr="00C62D22">
        <w:rPr>
          <w:rFonts w:ascii="Times New Roman" w:hAnsi="Times New Roman" w:cs="Times New Roman"/>
          <w:sz w:val="28"/>
          <w:lang w:val="uk-UA"/>
        </w:rPr>
        <w:t>-</w:t>
      </w:r>
      <w:r w:rsidRPr="00C62D22">
        <w:rPr>
          <w:rFonts w:ascii="Times New Roman" w:hAnsi="Times New Roman" w:cs="Times New Roman"/>
          <w:sz w:val="28"/>
        </w:rPr>
        <w:sym w:font="Symbol" w:char="F062"/>
      </w:r>
      <w:r w:rsidRPr="00C62D22">
        <w:rPr>
          <w:rFonts w:ascii="Times New Roman" w:hAnsi="Times New Roman" w:cs="Times New Roman"/>
          <w:sz w:val="28"/>
          <w:lang w:val="uk-UA"/>
        </w:rPr>
        <w:t>1 (</w:t>
      </w:r>
      <w:r w:rsidRPr="00C62D22">
        <w:rPr>
          <w:rFonts w:ascii="Times New Roman" w:hAnsi="Times New Roman" w:cs="Times New Roman"/>
          <w:sz w:val="28"/>
          <w:lang w:val="en-US"/>
        </w:rPr>
        <w:t>r</w:t>
      </w:r>
      <w:r w:rsidRPr="00C62D22">
        <w:rPr>
          <w:rFonts w:ascii="Times New Roman" w:hAnsi="Times New Roman" w:cs="Times New Roman"/>
          <w:sz w:val="28"/>
          <w:lang w:val="en-US"/>
        </w:rPr>
        <w:sym w:font="Symbol" w:char="F03D"/>
      </w:r>
      <w:r w:rsidRPr="00C62D22">
        <w:rPr>
          <w:rFonts w:ascii="Times New Roman" w:hAnsi="Times New Roman" w:cs="Times New Roman"/>
          <w:sz w:val="28"/>
          <w:lang w:val="uk-UA"/>
        </w:rPr>
        <w:t xml:space="preserve">0,69), </w:t>
      </w:r>
      <w:r w:rsidRPr="00C62D22">
        <w:rPr>
          <w:rFonts w:ascii="Times New Roman" w:hAnsi="Times New Roman" w:cs="Times New Roman"/>
          <w:sz w:val="28"/>
          <w:lang w:val="en-US"/>
        </w:rPr>
        <w:t>IL</w:t>
      </w:r>
      <w:r w:rsidRPr="00C62D22">
        <w:rPr>
          <w:rFonts w:ascii="Times New Roman" w:hAnsi="Times New Roman" w:cs="Times New Roman"/>
          <w:sz w:val="28"/>
          <w:lang w:val="uk-UA"/>
        </w:rPr>
        <w:t>-6 (</w:t>
      </w:r>
      <w:r w:rsidRPr="00C62D22">
        <w:rPr>
          <w:rFonts w:ascii="Times New Roman" w:hAnsi="Times New Roman" w:cs="Times New Roman"/>
          <w:sz w:val="28"/>
          <w:lang w:val="en-US"/>
        </w:rPr>
        <w:t>r</w:t>
      </w:r>
      <w:r w:rsidRPr="00C62D22">
        <w:rPr>
          <w:rFonts w:ascii="Times New Roman" w:hAnsi="Times New Roman" w:cs="Times New Roman"/>
          <w:sz w:val="28"/>
          <w:lang w:val="en-US"/>
        </w:rPr>
        <w:sym w:font="Symbol" w:char="F03D"/>
      </w:r>
      <w:r w:rsidRPr="00C62D22">
        <w:rPr>
          <w:rFonts w:ascii="Times New Roman" w:hAnsi="Times New Roman" w:cs="Times New Roman"/>
          <w:sz w:val="28"/>
          <w:lang w:val="uk-UA"/>
        </w:rPr>
        <w:t xml:space="preserve">0,68), </w:t>
      </w:r>
      <w:r w:rsidRPr="00C62D22">
        <w:rPr>
          <w:rFonts w:ascii="Times New Roman" w:hAnsi="Times New Roman" w:cs="Times New Roman"/>
          <w:sz w:val="28"/>
          <w:lang w:val="en-US"/>
        </w:rPr>
        <w:t>IL</w:t>
      </w:r>
      <w:r w:rsidRPr="00C62D22">
        <w:rPr>
          <w:rFonts w:ascii="Times New Roman" w:hAnsi="Times New Roman" w:cs="Times New Roman"/>
          <w:sz w:val="28"/>
          <w:lang w:val="uk-UA"/>
        </w:rPr>
        <w:t>-8 (</w:t>
      </w:r>
      <w:r w:rsidRPr="00C62D22">
        <w:rPr>
          <w:rFonts w:ascii="Times New Roman" w:hAnsi="Times New Roman" w:cs="Times New Roman"/>
          <w:sz w:val="28"/>
          <w:lang w:val="en-US"/>
        </w:rPr>
        <w:t>r</w:t>
      </w:r>
      <w:r w:rsidRPr="00C62D22">
        <w:rPr>
          <w:rFonts w:ascii="Times New Roman" w:hAnsi="Times New Roman" w:cs="Times New Roman"/>
          <w:sz w:val="28"/>
          <w:lang w:val="en-US"/>
        </w:rPr>
        <w:sym w:font="Symbol" w:char="F03D"/>
      </w:r>
      <w:r w:rsidRPr="00C62D22">
        <w:rPr>
          <w:rFonts w:ascii="Times New Roman" w:hAnsi="Times New Roman" w:cs="Times New Roman"/>
          <w:sz w:val="28"/>
          <w:lang w:val="uk-UA"/>
        </w:rPr>
        <w:t xml:space="preserve">0,57), </w:t>
      </w:r>
      <w:r w:rsidRPr="00C62D22">
        <w:rPr>
          <w:rFonts w:ascii="Times New Roman" w:hAnsi="Times New Roman" w:cs="Times New Roman"/>
          <w:sz w:val="28"/>
          <w:lang w:val="en-US"/>
        </w:rPr>
        <w:t>IL</w:t>
      </w:r>
      <w:r w:rsidRPr="00C62D22">
        <w:rPr>
          <w:rFonts w:ascii="Times New Roman" w:hAnsi="Times New Roman" w:cs="Times New Roman"/>
          <w:sz w:val="28"/>
          <w:lang w:val="uk-UA"/>
        </w:rPr>
        <w:t>-10 (</w:t>
      </w:r>
      <w:r w:rsidRPr="00C62D22">
        <w:rPr>
          <w:rFonts w:ascii="Times New Roman" w:hAnsi="Times New Roman" w:cs="Times New Roman"/>
          <w:sz w:val="28"/>
          <w:lang w:val="en-US"/>
        </w:rPr>
        <w:t>r</w:t>
      </w:r>
      <w:r w:rsidRPr="00C62D22">
        <w:rPr>
          <w:rFonts w:ascii="Times New Roman" w:hAnsi="Times New Roman" w:cs="Times New Roman"/>
          <w:sz w:val="28"/>
          <w:lang w:val="en-US"/>
        </w:rPr>
        <w:sym w:font="Symbol" w:char="F03D"/>
      </w:r>
      <w:r w:rsidRPr="00C62D22">
        <w:rPr>
          <w:rFonts w:ascii="Times New Roman" w:hAnsi="Times New Roman" w:cs="Times New Roman"/>
          <w:sz w:val="28"/>
          <w:lang w:val="uk-UA"/>
        </w:rPr>
        <w:t xml:space="preserve">0,73) і </w:t>
      </w:r>
      <w:r w:rsidRPr="00C62D22">
        <w:rPr>
          <w:rFonts w:ascii="Times New Roman" w:hAnsi="Times New Roman" w:cs="Times New Roman"/>
          <w:sz w:val="28"/>
          <w:lang w:val="en-US"/>
        </w:rPr>
        <w:t>IL</w:t>
      </w:r>
      <w:r w:rsidRPr="00C62D22">
        <w:rPr>
          <w:rFonts w:ascii="Times New Roman" w:hAnsi="Times New Roman" w:cs="Times New Roman"/>
          <w:sz w:val="28"/>
          <w:lang w:val="uk-UA"/>
        </w:rPr>
        <w:t>-18 (</w:t>
      </w:r>
      <w:r w:rsidRPr="00C62D22">
        <w:rPr>
          <w:rFonts w:ascii="Times New Roman" w:hAnsi="Times New Roman" w:cs="Times New Roman"/>
          <w:sz w:val="28"/>
          <w:lang w:val="en-US"/>
        </w:rPr>
        <w:t>r</w:t>
      </w:r>
      <w:r w:rsidRPr="00C62D22">
        <w:rPr>
          <w:rFonts w:ascii="Times New Roman" w:hAnsi="Times New Roman" w:cs="Times New Roman"/>
          <w:sz w:val="28"/>
          <w:lang w:val="en-US"/>
        </w:rPr>
        <w:sym w:font="Symbol" w:char="F03D"/>
      </w:r>
      <w:r w:rsidRPr="00C62D22">
        <w:rPr>
          <w:rFonts w:ascii="Times New Roman" w:hAnsi="Times New Roman" w:cs="Times New Roman"/>
          <w:sz w:val="28"/>
          <w:lang w:val="uk-UA"/>
        </w:rPr>
        <w:t>0,82) у сироватці крові і станом хворих (р</w:t>
      </w:r>
      <w:r w:rsidRPr="00C62D22">
        <w:rPr>
          <w:rFonts w:ascii="Times New Roman" w:hAnsi="Times New Roman" w:cs="Times New Roman"/>
          <w:sz w:val="28"/>
        </w:rPr>
        <w:sym w:font="Symbol" w:char="F03C"/>
      </w:r>
      <w:r w:rsidRPr="00C62D22">
        <w:rPr>
          <w:rFonts w:ascii="Times New Roman" w:hAnsi="Times New Roman" w:cs="Times New Roman"/>
          <w:sz w:val="28"/>
          <w:lang w:val="uk-UA"/>
        </w:rPr>
        <w:t xml:space="preserve">0,05), зниження співвідношення </w:t>
      </w:r>
      <w:r w:rsidRPr="00C62D22">
        <w:rPr>
          <w:rFonts w:ascii="Times New Roman" w:hAnsi="Times New Roman" w:cs="Times New Roman"/>
          <w:sz w:val="28"/>
          <w:lang w:val="en-US"/>
        </w:rPr>
        <w:t>IL</w:t>
      </w:r>
      <w:r w:rsidRPr="00C62D22">
        <w:rPr>
          <w:rFonts w:ascii="Times New Roman" w:hAnsi="Times New Roman" w:cs="Times New Roman"/>
          <w:sz w:val="28"/>
          <w:lang w:val="uk-UA"/>
        </w:rPr>
        <w:t>-18/</w:t>
      </w:r>
      <w:r w:rsidRPr="00C62D22">
        <w:rPr>
          <w:rFonts w:ascii="Times New Roman" w:hAnsi="Times New Roman" w:cs="Times New Roman"/>
          <w:sz w:val="28"/>
          <w:lang w:val="en-US"/>
        </w:rPr>
        <w:t>IL</w:t>
      </w:r>
      <w:r w:rsidRPr="00C62D22">
        <w:rPr>
          <w:rFonts w:ascii="Times New Roman" w:hAnsi="Times New Roman" w:cs="Times New Roman"/>
          <w:sz w:val="28"/>
          <w:lang w:val="uk-UA"/>
        </w:rPr>
        <w:t xml:space="preserve">-10 (контроль – 81,3; І тип – 5,0; ІІ тип – 3,26; ІІІ тип – 4,4) </w:t>
      </w:r>
      <w:r w:rsidRPr="00C62D22">
        <w:rPr>
          <w:rFonts w:ascii="Times New Roman" w:hAnsi="Times New Roman" w:cs="Times New Roman"/>
          <w:sz w:val="28"/>
          <w:lang w:val="uk-UA"/>
        </w:rPr>
        <w:lastRenderedPageBreak/>
        <w:t>(</w:t>
      </w:r>
      <w:r w:rsidRPr="00C62D22">
        <w:rPr>
          <w:rFonts w:ascii="Times New Roman" w:hAnsi="Times New Roman" w:cs="Times New Roman"/>
          <w:sz w:val="28"/>
          <w:lang w:val="en-US"/>
        </w:rPr>
        <w:t>p</w:t>
      </w:r>
      <w:r w:rsidRPr="00C62D22">
        <w:rPr>
          <w:rFonts w:ascii="Times New Roman" w:hAnsi="Times New Roman" w:cs="Times New Roman"/>
          <w:sz w:val="28"/>
        </w:rPr>
        <w:sym w:font="Symbol" w:char="F03C"/>
      </w:r>
      <w:r w:rsidRPr="00C62D22">
        <w:rPr>
          <w:rFonts w:ascii="Times New Roman" w:hAnsi="Times New Roman" w:cs="Times New Roman"/>
          <w:sz w:val="28"/>
          <w:lang w:val="uk-UA"/>
        </w:rPr>
        <w:t>0,05), рівень якого корелює із несприятливим прогнозом захворювання (</w:t>
      </w:r>
      <w:r w:rsidRPr="00C62D22">
        <w:rPr>
          <w:rFonts w:ascii="Times New Roman" w:hAnsi="Times New Roman" w:cs="Times New Roman"/>
          <w:sz w:val="28"/>
          <w:lang w:val="en-US"/>
        </w:rPr>
        <w:t>r</w:t>
      </w:r>
      <w:r w:rsidRPr="00C62D22">
        <w:rPr>
          <w:rFonts w:ascii="Times New Roman" w:hAnsi="Times New Roman" w:cs="Times New Roman"/>
          <w:sz w:val="28"/>
          <w:lang w:val="uk-UA"/>
        </w:rPr>
        <w:t xml:space="preserve"> = </w:t>
      </w:r>
      <w:r w:rsidRPr="00C62D22">
        <w:rPr>
          <w:rFonts w:ascii="Times New Roman" w:hAnsi="Times New Roman" w:cs="Times New Roman"/>
          <w:sz w:val="28"/>
        </w:rPr>
        <w:sym w:font="Symbol" w:char="F02D"/>
      </w:r>
      <w:r w:rsidRPr="00C62D22">
        <w:rPr>
          <w:rFonts w:ascii="Times New Roman" w:hAnsi="Times New Roman" w:cs="Times New Roman"/>
          <w:sz w:val="28"/>
          <w:lang w:val="uk-UA"/>
        </w:rPr>
        <w:t>0,87, р &lt;0,01).</w:t>
      </w:r>
    </w:p>
    <w:p w:rsidR="00C62D22" w:rsidRPr="00C62D22" w:rsidRDefault="00C62D22" w:rsidP="00C62D22">
      <w:pPr>
        <w:numPr>
          <w:ilvl w:val="0"/>
          <w:numId w:val="30"/>
        </w:numPr>
        <w:tabs>
          <w:tab w:val="left" w:pos="993"/>
        </w:tabs>
        <w:spacing w:after="0" w:line="360" w:lineRule="auto"/>
        <w:ind w:left="0" w:firstLine="567"/>
        <w:jc w:val="both"/>
        <w:rPr>
          <w:rFonts w:ascii="Times New Roman" w:hAnsi="Times New Roman" w:cs="Times New Roman"/>
          <w:sz w:val="28"/>
          <w:lang w:val="uk-UA"/>
        </w:rPr>
      </w:pPr>
      <w:r w:rsidRPr="00C62D22">
        <w:rPr>
          <w:rFonts w:ascii="Times New Roman" w:hAnsi="Times New Roman" w:cs="Times New Roman"/>
          <w:color w:val="000000"/>
          <w:sz w:val="28"/>
          <w:lang w:val="uk-UA"/>
        </w:rPr>
        <w:t xml:space="preserve">В результаті впливу факторів екзогенної та ендогенної природи створюються сприятливі умови для ремоделювання ПЗ, а повторне ушкодження клітин сприяє змінам геометрії органу з формуванням ускладнень захворювання, збільшується концентрація </w:t>
      </w:r>
      <w:r w:rsidRPr="00C62D22">
        <w:rPr>
          <w:rFonts w:ascii="Times New Roman" w:hAnsi="Times New Roman" w:cs="Times New Roman"/>
          <w:color w:val="000000"/>
          <w:sz w:val="28"/>
        </w:rPr>
        <w:t>T</w:t>
      </w:r>
      <w:r w:rsidRPr="00C62D22">
        <w:rPr>
          <w:rFonts w:ascii="Times New Roman" w:hAnsi="Times New Roman" w:cs="Times New Roman"/>
          <w:color w:val="000000"/>
          <w:sz w:val="28"/>
          <w:lang w:val="uk-UA"/>
        </w:rPr>
        <w:t>І</w:t>
      </w:r>
      <w:r w:rsidRPr="00C62D22">
        <w:rPr>
          <w:rFonts w:ascii="Times New Roman" w:hAnsi="Times New Roman" w:cs="Times New Roman"/>
          <w:color w:val="000000"/>
          <w:sz w:val="28"/>
        </w:rPr>
        <w:t>M</w:t>
      </w:r>
      <w:r w:rsidRPr="00C62D22">
        <w:rPr>
          <w:rFonts w:ascii="Times New Roman" w:hAnsi="Times New Roman" w:cs="Times New Roman"/>
          <w:color w:val="000000"/>
          <w:sz w:val="28"/>
          <w:lang w:val="uk-UA"/>
        </w:rPr>
        <w:t>П-2 (</w:t>
      </w:r>
      <w:r w:rsidRPr="00C62D22">
        <w:rPr>
          <w:rFonts w:ascii="Times New Roman" w:hAnsi="Times New Roman" w:cs="Times New Roman"/>
          <w:sz w:val="28"/>
        </w:rPr>
        <w:t>F</w:t>
      </w:r>
      <w:r w:rsidRPr="00C62D22">
        <w:rPr>
          <w:rFonts w:ascii="Times New Roman" w:hAnsi="Times New Roman" w:cs="Times New Roman"/>
          <w:sz w:val="28"/>
        </w:rPr>
        <w:sym w:font="Symbol" w:char="F03D"/>
      </w:r>
      <w:r w:rsidRPr="00C62D22">
        <w:rPr>
          <w:rFonts w:ascii="Times New Roman" w:hAnsi="Times New Roman" w:cs="Times New Roman"/>
          <w:sz w:val="28"/>
          <w:lang w:val="uk-UA"/>
        </w:rPr>
        <w:t xml:space="preserve">50,681, </w:t>
      </w:r>
      <w:r w:rsidRPr="00C62D22">
        <w:rPr>
          <w:rFonts w:ascii="Times New Roman" w:hAnsi="Times New Roman" w:cs="Times New Roman"/>
          <w:sz w:val="28"/>
        </w:rPr>
        <w:t>p</w:t>
      </w:r>
      <w:r w:rsidRPr="00C62D22">
        <w:rPr>
          <w:rFonts w:ascii="Times New Roman" w:hAnsi="Times New Roman" w:cs="Times New Roman"/>
          <w:sz w:val="28"/>
        </w:rPr>
        <w:sym w:font="Symbol" w:char="F03D"/>
      </w:r>
      <w:r w:rsidRPr="00C62D22">
        <w:rPr>
          <w:rFonts w:ascii="Times New Roman" w:hAnsi="Times New Roman" w:cs="Times New Roman"/>
          <w:sz w:val="28"/>
          <w:lang w:val="uk-UA"/>
        </w:rPr>
        <w:t>0,000)</w:t>
      </w:r>
      <w:r w:rsidRPr="00C62D22">
        <w:rPr>
          <w:rFonts w:ascii="Times New Roman" w:hAnsi="Times New Roman" w:cs="Times New Roman"/>
          <w:color w:val="000000"/>
          <w:sz w:val="28"/>
          <w:lang w:val="uk-UA"/>
        </w:rPr>
        <w:t xml:space="preserve"> і підвищується коефіцієнт інгібування ММП-9 (</w:t>
      </w:r>
      <w:r w:rsidRPr="00C62D22">
        <w:rPr>
          <w:rFonts w:ascii="Times New Roman" w:hAnsi="Times New Roman" w:cs="Times New Roman"/>
          <w:sz w:val="28"/>
        </w:rPr>
        <w:t>F</w:t>
      </w:r>
      <w:r w:rsidRPr="00C62D22">
        <w:rPr>
          <w:rFonts w:ascii="Times New Roman" w:hAnsi="Times New Roman" w:cs="Times New Roman"/>
          <w:sz w:val="28"/>
        </w:rPr>
        <w:sym w:font="Symbol" w:char="F03D"/>
      </w:r>
      <w:r w:rsidRPr="00C62D22">
        <w:rPr>
          <w:rFonts w:ascii="Times New Roman" w:hAnsi="Times New Roman" w:cs="Times New Roman"/>
          <w:sz w:val="28"/>
          <w:lang w:val="uk-UA"/>
        </w:rPr>
        <w:t xml:space="preserve">67,463, </w:t>
      </w:r>
      <w:r w:rsidRPr="00C62D22">
        <w:rPr>
          <w:rFonts w:ascii="Times New Roman" w:hAnsi="Times New Roman" w:cs="Times New Roman"/>
          <w:sz w:val="28"/>
        </w:rPr>
        <w:t>p</w:t>
      </w:r>
      <w:r w:rsidRPr="00C62D22">
        <w:rPr>
          <w:rFonts w:ascii="Times New Roman" w:hAnsi="Times New Roman" w:cs="Times New Roman"/>
          <w:sz w:val="28"/>
        </w:rPr>
        <w:sym w:font="Symbol" w:char="F03D"/>
      </w:r>
      <w:r w:rsidRPr="00C62D22">
        <w:rPr>
          <w:rFonts w:ascii="Times New Roman" w:hAnsi="Times New Roman" w:cs="Times New Roman"/>
          <w:sz w:val="28"/>
          <w:lang w:val="uk-UA"/>
        </w:rPr>
        <w:t>0,000)</w:t>
      </w:r>
      <w:r w:rsidRPr="00C62D22">
        <w:rPr>
          <w:rFonts w:ascii="Times New Roman" w:hAnsi="Times New Roman" w:cs="Times New Roman"/>
          <w:color w:val="000000"/>
          <w:sz w:val="28"/>
          <w:lang w:val="uk-UA"/>
        </w:rPr>
        <w:t xml:space="preserve">, який </w:t>
      </w:r>
      <w:r w:rsidRPr="00C62D22">
        <w:rPr>
          <w:rFonts w:ascii="Times New Roman" w:hAnsi="Times New Roman" w:cs="Times New Roman"/>
          <w:sz w:val="28"/>
          <w:lang w:val="uk-UA"/>
        </w:rPr>
        <w:t xml:space="preserve">був вищим у хворих з </w:t>
      </w:r>
      <w:r w:rsidRPr="00C62D22">
        <w:rPr>
          <w:rFonts w:ascii="Times New Roman" w:hAnsi="Times New Roman" w:cs="Times New Roman"/>
          <w:sz w:val="28"/>
        </w:rPr>
        <w:t>I</w:t>
      </w:r>
      <w:r w:rsidRPr="00C62D22">
        <w:rPr>
          <w:rFonts w:ascii="Times New Roman" w:hAnsi="Times New Roman" w:cs="Times New Roman"/>
          <w:sz w:val="28"/>
          <w:lang w:val="uk-UA"/>
        </w:rPr>
        <w:t xml:space="preserve"> і </w:t>
      </w:r>
      <w:r w:rsidRPr="00C62D22">
        <w:rPr>
          <w:rFonts w:ascii="Times New Roman" w:hAnsi="Times New Roman" w:cs="Times New Roman"/>
          <w:sz w:val="28"/>
        </w:rPr>
        <w:t>II</w:t>
      </w:r>
      <w:r w:rsidRPr="00C62D22">
        <w:rPr>
          <w:rFonts w:ascii="Times New Roman" w:hAnsi="Times New Roman" w:cs="Times New Roman"/>
          <w:sz w:val="28"/>
          <w:lang w:val="uk-UA"/>
        </w:rPr>
        <w:t xml:space="preserve"> типами ПК ПЗ, ніж при </w:t>
      </w:r>
      <w:r w:rsidRPr="00C62D22">
        <w:rPr>
          <w:rFonts w:ascii="Times New Roman" w:hAnsi="Times New Roman" w:cs="Times New Roman"/>
          <w:sz w:val="28"/>
        </w:rPr>
        <w:t>III</w:t>
      </w:r>
      <w:r w:rsidRPr="00C62D22">
        <w:rPr>
          <w:rFonts w:ascii="Times New Roman" w:hAnsi="Times New Roman" w:cs="Times New Roman"/>
          <w:sz w:val="28"/>
          <w:lang w:val="uk-UA"/>
        </w:rPr>
        <w:t xml:space="preserve"> типі, і склав відповідно 0,67 та 0,53 (у контролі – 0,25) (р &lt; 0,001). </w:t>
      </w:r>
      <w:r w:rsidRPr="00C62D22">
        <w:rPr>
          <w:rFonts w:ascii="Times New Roman" w:hAnsi="Times New Roman" w:cs="Times New Roman"/>
          <w:color w:val="000000"/>
          <w:sz w:val="28"/>
          <w:lang w:val="uk-UA"/>
        </w:rPr>
        <w:t xml:space="preserve">Неспроможність функціональних систем організму у хворих при всіх типах ПК ПЗ та </w:t>
      </w:r>
      <w:r w:rsidRPr="00C62D22">
        <w:rPr>
          <w:rFonts w:ascii="Times New Roman" w:hAnsi="Times New Roman" w:cs="Times New Roman"/>
          <w:sz w:val="28"/>
          <w:lang w:val="uk-UA"/>
        </w:rPr>
        <w:t xml:space="preserve">підвищення рівня </w:t>
      </w:r>
      <w:r w:rsidRPr="00C62D22">
        <w:rPr>
          <w:rFonts w:ascii="Times New Roman" w:hAnsi="Times New Roman" w:cs="Times New Roman"/>
          <w:sz w:val="28"/>
        </w:rPr>
        <w:t>VEGF</w:t>
      </w:r>
      <w:r w:rsidRPr="00C62D22">
        <w:rPr>
          <w:rFonts w:ascii="Times New Roman" w:hAnsi="Times New Roman" w:cs="Times New Roman"/>
          <w:sz w:val="28"/>
          <w:lang w:val="uk-UA"/>
        </w:rPr>
        <w:t xml:space="preserve"> свідчить про порушення проліферативної активності ендотелію судин у відповідь на його пошкодження, залежить від стану пацієнта (</w:t>
      </w:r>
      <w:r w:rsidRPr="00C62D22">
        <w:rPr>
          <w:rFonts w:ascii="Times New Roman" w:hAnsi="Times New Roman" w:cs="Times New Roman"/>
          <w:sz w:val="28"/>
          <w:lang w:val="en-US"/>
        </w:rPr>
        <w:t>r</w:t>
      </w:r>
      <w:r w:rsidRPr="00C62D22">
        <w:rPr>
          <w:rFonts w:ascii="Times New Roman" w:hAnsi="Times New Roman" w:cs="Times New Roman"/>
          <w:sz w:val="28"/>
          <w:lang w:val="en-US"/>
        </w:rPr>
        <w:sym w:font="Symbol" w:char="F03D"/>
      </w:r>
      <w:r w:rsidRPr="00C62D22">
        <w:rPr>
          <w:rFonts w:ascii="Times New Roman" w:hAnsi="Times New Roman" w:cs="Times New Roman"/>
          <w:sz w:val="28"/>
          <w:lang w:val="uk-UA"/>
        </w:rPr>
        <w:t xml:space="preserve">0,71, </w:t>
      </w:r>
      <w:r w:rsidRPr="00C62D22">
        <w:rPr>
          <w:rStyle w:val="hps"/>
          <w:rFonts w:ascii="Times New Roman" w:hAnsi="Times New Roman" w:cs="Times New Roman"/>
          <w:sz w:val="28"/>
        </w:rPr>
        <w:t>p</w:t>
      </w:r>
      <w:r w:rsidRPr="00C62D22">
        <w:rPr>
          <w:rStyle w:val="hps"/>
          <w:rFonts w:ascii="Times New Roman" w:hAnsi="Times New Roman" w:cs="Times New Roman"/>
          <w:sz w:val="28"/>
        </w:rPr>
        <w:sym w:font="Symbol" w:char="F03C"/>
      </w:r>
      <w:r w:rsidRPr="00C62D22">
        <w:rPr>
          <w:rStyle w:val="hps"/>
          <w:rFonts w:ascii="Times New Roman" w:hAnsi="Times New Roman" w:cs="Times New Roman"/>
          <w:sz w:val="28"/>
          <w:lang w:val="uk-UA"/>
        </w:rPr>
        <w:t>0,05), а між рівнем ММП</w:t>
      </w:r>
      <w:r w:rsidRPr="00C62D22">
        <w:rPr>
          <w:rFonts w:ascii="Times New Roman" w:hAnsi="Times New Roman" w:cs="Times New Roman"/>
          <w:sz w:val="28"/>
          <w:lang w:val="uk-UA"/>
        </w:rPr>
        <w:t>–</w:t>
      </w:r>
      <w:r w:rsidRPr="00C62D22">
        <w:rPr>
          <w:rStyle w:val="hps"/>
          <w:rFonts w:ascii="Times New Roman" w:hAnsi="Times New Roman" w:cs="Times New Roman"/>
          <w:sz w:val="28"/>
          <w:lang w:val="uk-UA"/>
        </w:rPr>
        <w:t xml:space="preserve">9 і </w:t>
      </w:r>
      <w:r w:rsidRPr="00C62D22">
        <w:rPr>
          <w:rStyle w:val="hps"/>
          <w:rFonts w:ascii="Times New Roman" w:hAnsi="Times New Roman" w:cs="Times New Roman"/>
          <w:sz w:val="28"/>
        </w:rPr>
        <w:t>VEGF</w:t>
      </w:r>
      <w:r w:rsidRPr="00C62D22">
        <w:rPr>
          <w:rStyle w:val="hps"/>
          <w:rFonts w:ascii="Times New Roman" w:hAnsi="Times New Roman" w:cs="Times New Roman"/>
          <w:sz w:val="28"/>
          <w:lang w:val="uk-UA"/>
        </w:rPr>
        <w:t xml:space="preserve"> існує позитивний зв'язок: при </w:t>
      </w:r>
      <w:r w:rsidRPr="00C62D22">
        <w:rPr>
          <w:rStyle w:val="hps"/>
          <w:rFonts w:ascii="Times New Roman" w:hAnsi="Times New Roman" w:cs="Times New Roman"/>
          <w:sz w:val="28"/>
        </w:rPr>
        <w:t>I</w:t>
      </w:r>
      <w:r w:rsidRPr="00C62D22">
        <w:rPr>
          <w:rStyle w:val="hps"/>
          <w:rFonts w:ascii="Times New Roman" w:hAnsi="Times New Roman" w:cs="Times New Roman"/>
          <w:sz w:val="28"/>
          <w:lang w:val="uk-UA"/>
        </w:rPr>
        <w:t xml:space="preserve"> типі ПК ПЗ </w:t>
      </w:r>
      <w:r w:rsidRPr="00C62D22">
        <w:rPr>
          <w:rFonts w:ascii="Times New Roman" w:hAnsi="Times New Roman" w:cs="Times New Roman"/>
          <w:sz w:val="28"/>
          <w:lang w:val="uk-UA"/>
        </w:rPr>
        <w:t>–</w:t>
      </w:r>
      <w:r w:rsidRPr="00C62D22">
        <w:rPr>
          <w:rStyle w:val="hps"/>
          <w:rFonts w:ascii="Times New Roman" w:hAnsi="Times New Roman" w:cs="Times New Roman"/>
          <w:sz w:val="28"/>
          <w:lang w:val="uk-UA"/>
        </w:rPr>
        <w:t xml:space="preserve"> 0,57 (</w:t>
      </w:r>
      <w:r w:rsidRPr="00C62D22">
        <w:rPr>
          <w:rStyle w:val="hps"/>
          <w:rFonts w:ascii="Times New Roman" w:hAnsi="Times New Roman" w:cs="Times New Roman"/>
          <w:sz w:val="28"/>
        </w:rPr>
        <w:t>p</w:t>
      </w:r>
      <w:r w:rsidRPr="00C62D22">
        <w:rPr>
          <w:rStyle w:val="hps"/>
          <w:rFonts w:ascii="Times New Roman" w:hAnsi="Times New Roman" w:cs="Times New Roman"/>
          <w:sz w:val="28"/>
          <w:lang w:val="uk-UA"/>
        </w:rPr>
        <w:t xml:space="preserve"> &lt;0,05); при </w:t>
      </w:r>
      <w:r w:rsidRPr="00C62D22">
        <w:rPr>
          <w:rStyle w:val="hps"/>
          <w:rFonts w:ascii="Times New Roman" w:hAnsi="Times New Roman" w:cs="Times New Roman"/>
          <w:sz w:val="28"/>
        </w:rPr>
        <w:t>II</w:t>
      </w:r>
      <w:r w:rsidRPr="00C62D22">
        <w:rPr>
          <w:rStyle w:val="hps"/>
          <w:rFonts w:ascii="Times New Roman" w:hAnsi="Times New Roman" w:cs="Times New Roman"/>
          <w:sz w:val="28"/>
          <w:lang w:val="uk-UA"/>
        </w:rPr>
        <w:t xml:space="preserve"> типі </w:t>
      </w:r>
      <w:r w:rsidRPr="00C62D22">
        <w:rPr>
          <w:rFonts w:ascii="Times New Roman" w:hAnsi="Times New Roman" w:cs="Times New Roman"/>
          <w:sz w:val="28"/>
          <w:lang w:val="uk-UA"/>
        </w:rPr>
        <w:t>–</w:t>
      </w:r>
      <w:r w:rsidRPr="00C62D22">
        <w:rPr>
          <w:rStyle w:val="hps"/>
          <w:rFonts w:ascii="Times New Roman" w:hAnsi="Times New Roman" w:cs="Times New Roman"/>
          <w:sz w:val="28"/>
          <w:lang w:val="uk-UA"/>
        </w:rPr>
        <w:t xml:space="preserve"> 0,76 (</w:t>
      </w:r>
      <w:r w:rsidRPr="00C62D22">
        <w:rPr>
          <w:rStyle w:val="hps"/>
          <w:rFonts w:ascii="Times New Roman" w:hAnsi="Times New Roman" w:cs="Times New Roman"/>
          <w:sz w:val="28"/>
        </w:rPr>
        <w:t>p</w:t>
      </w:r>
      <w:r w:rsidRPr="00C62D22">
        <w:rPr>
          <w:rStyle w:val="hps"/>
          <w:rFonts w:ascii="Times New Roman" w:hAnsi="Times New Roman" w:cs="Times New Roman"/>
          <w:sz w:val="28"/>
          <w:lang w:val="uk-UA"/>
        </w:rPr>
        <w:t xml:space="preserve"> &lt;0,05); при </w:t>
      </w:r>
      <w:r w:rsidRPr="00C62D22">
        <w:rPr>
          <w:rStyle w:val="hps"/>
          <w:rFonts w:ascii="Times New Roman" w:hAnsi="Times New Roman" w:cs="Times New Roman"/>
          <w:sz w:val="28"/>
        </w:rPr>
        <w:t>III</w:t>
      </w:r>
      <w:r w:rsidRPr="00C62D22">
        <w:rPr>
          <w:rStyle w:val="hps"/>
          <w:rFonts w:ascii="Times New Roman" w:hAnsi="Times New Roman" w:cs="Times New Roman"/>
          <w:sz w:val="28"/>
          <w:lang w:val="uk-UA"/>
        </w:rPr>
        <w:t xml:space="preserve"> типі </w:t>
      </w:r>
      <w:r w:rsidRPr="00C62D22">
        <w:rPr>
          <w:rFonts w:ascii="Times New Roman" w:hAnsi="Times New Roman" w:cs="Times New Roman"/>
          <w:sz w:val="28"/>
          <w:lang w:val="uk-UA"/>
        </w:rPr>
        <w:t>–</w:t>
      </w:r>
      <w:r w:rsidRPr="00C62D22">
        <w:rPr>
          <w:rStyle w:val="hps"/>
          <w:rFonts w:ascii="Times New Roman" w:hAnsi="Times New Roman" w:cs="Times New Roman"/>
          <w:sz w:val="28"/>
          <w:lang w:val="uk-UA"/>
        </w:rPr>
        <w:t xml:space="preserve"> 0,68 (</w:t>
      </w:r>
      <w:r w:rsidRPr="00C62D22">
        <w:rPr>
          <w:rStyle w:val="hps"/>
          <w:rFonts w:ascii="Times New Roman" w:hAnsi="Times New Roman" w:cs="Times New Roman"/>
          <w:sz w:val="28"/>
        </w:rPr>
        <w:t>p</w:t>
      </w:r>
      <w:r w:rsidRPr="00C62D22">
        <w:rPr>
          <w:rStyle w:val="hps"/>
          <w:rFonts w:ascii="Times New Roman" w:hAnsi="Times New Roman" w:cs="Times New Roman"/>
          <w:sz w:val="28"/>
          <w:lang w:val="uk-UA"/>
        </w:rPr>
        <w:t xml:space="preserve"> &lt;0,01). </w:t>
      </w:r>
    </w:p>
    <w:p w:rsidR="00C62D22" w:rsidRPr="00C62D22" w:rsidRDefault="00C62D22" w:rsidP="00C62D22">
      <w:pPr>
        <w:numPr>
          <w:ilvl w:val="0"/>
          <w:numId w:val="30"/>
        </w:numPr>
        <w:tabs>
          <w:tab w:val="left" w:pos="993"/>
        </w:tabs>
        <w:spacing w:after="0" w:line="360" w:lineRule="auto"/>
        <w:ind w:left="0" w:firstLine="567"/>
        <w:jc w:val="both"/>
        <w:rPr>
          <w:rFonts w:ascii="Times New Roman" w:hAnsi="Times New Roman" w:cs="Times New Roman"/>
          <w:sz w:val="28"/>
          <w:lang w:val="uk-UA"/>
        </w:rPr>
      </w:pPr>
      <w:r w:rsidRPr="00C62D22">
        <w:rPr>
          <w:rFonts w:ascii="Times New Roman" w:hAnsi="Times New Roman" w:cs="Times New Roman"/>
          <w:color w:val="000000"/>
          <w:spacing w:val="-6"/>
          <w:sz w:val="28"/>
          <w:lang w:val="uk-UA"/>
        </w:rPr>
        <w:t>Гемодинамічні реакції на рівні печінково-спланхнічного кровотоку</w:t>
      </w:r>
      <w:r w:rsidRPr="00C62D22">
        <w:rPr>
          <w:rFonts w:ascii="Times New Roman" w:hAnsi="Times New Roman" w:cs="Times New Roman"/>
          <w:color w:val="FF0000"/>
          <w:spacing w:val="-6"/>
          <w:sz w:val="28"/>
          <w:lang w:val="uk-UA"/>
        </w:rPr>
        <w:t xml:space="preserve"> </w:t>
      </w:r>
      <w:r w:rsidRPr="00C62D22">
        <w:rPr>
          <w:rFonts w:ascii="Times New Roman" w:hAnsi="Times New Roman" w:cs="Times New Roman"/>
          <w:sz w:val="28"/>
          <w:lang w:val="uk-UA"/>
        </w:rPr>
        <w:t>пов’язані з паралітичним розширенням резистивних венул у відповідь на гіпоксію та розвиток внутрішньопечінкових портокавальних шунтів (</w:t>
      </w:r>
      <w:r w:rsidRPr="00C62D22">
        <w:rPr>
          <w:rFonts w:ascii="Times New Roman" w:hAnsi="Times New Roman" w:cs="Times New Roman"/>
          <w:sz w:val="28"/>
        </w:rPr>
        <w:t>r</w:t>
      </w:r>
      <w:r w:rsidRPr="00C62D22">
        <w:rPr>
          <w:rFonts w:ascii="Times New Roman" w:hAnsi="Times New Roman" w:cs="Times New Roman"/>
          <w:sz w:val="28"/>
          <w:lang w:val="uk-UA"/>
        </w:rPr>
        <w:t>=0,92, р=0,002); зі збідненням артеріального живлення та зменшенням притоку крові за ВВ (р&lt;0,05); змінами периферичного опору в різних артеріальних басейнах спланхнічної ділянки з негативним взаємозв’язком між індексом Пурсело (</w:t>
      </w:r>
      <w:r w:rsidRPr="00C62D22">
        <w:rPr>
          <w:rFonts w:ascii="Times New Roman" w:hAnsi="Times New Roman" w:cs="Times New Roman"/>
          <w:sz w:val="28"/>
        </w:rPr>
        <w:t>R</w:t>
      </w:r>
      <w:r w:rsidRPr="00C62D22">
        <w:rPr>
          <w:rFonts w:ascii="Times New Roman" w:hAnsi="Times New Roman" w:cs="Times New Roman"/>
          <w:sz w:val="28"/>
          <w:lang w:val="uk-UA"/>
        </w:rPr>
        <w:t>І</w:t>
      </w:r>
      <w:r w:rsidRPr="00C62D22">
        <w:rPr>
          <w:rFonts w:ascii="Times New Roman" w:hAnsi="Times New Roman" w:cs="Times New Roman"/>
          <w:sz w:val="28"/>
          <w:vertAlign w:val="subscript"/>
          <w:lang w:val="uk-UA"/>
        </w:rPr>
        <w:t>ЗПА</w:t>
      </w:r>
      <w:r w:rsidRPr="00C62D22">
        <w:rPr>
          <w:rFonts w:ascii="Times New Roman" w:hAnsi="Times New Roman" w:cs="Times New Roman"/>
          <w:sz w:val="28"/>
          <w:lang w:val="uk-UA"/>
        </w:rPr>
        <w:t xml:space="preserve">, </w:t>
      </w:r>
      <w:r w:rsidRPr="00C62D22">
        <w:rPr>
          <w:rFonts w:ascii="Times New Roman" w:hAnsi="Times New Roman" w:cs="Times New Roman"/>
          <w:sz w:val="28"/>
        </w:rPr>
        <w:t>R</w:t>
      </w:r>
      <w:r w:rsidRPr="00C62D22">
        <w:rPr>
          <w:rFonts w:ascii="Times New Roman" w:hAnsi="Times New Roman" w:cs="Times New Roman"/>
          <w:sz w:val="28"/>
          <w:lang w:val="uk-UA"/>
        </w:rPr>
        <w:t>І</w:t>
      </w:r>
      <w:r w:rsidRPr="00C62D22">
        <w:rPr>
          <w:rFonts w:ascii="Times New Roman" w:hAnsi="Times New Roman" w:cs="Times New Roman"/>
          <w:sz w:val="28"/>
          <w:vertAlign w:val="subscript"/>
          <w:lang w:val="uk-UA"/>
        </w:rPr>
        <w:t>ВБА</w:t>
      </w:r>
      <w:r w:rsidRPr="00C62D22">
        <w:rPr>
          <w:rFonts w:ascii="Times New Roman" w:hAnsi="Times New Roman" w:cs="Times New Roman"/>
          <w:sz w:val="28"/>
          <w:lang w:val="uk-UA"/>
        </w:rPr>
        <w:t>) і співвідношенням об’ємного кровотоку у ЗПА і ХОК (</w:t>
      </w:r>
      <w:r w:rsidRPr="00C62D22">
        <w:rPr>
          <w:rFonts w:ascii="Times New Roman" w:hAnsi="Times New Roman" w:cs="Times New Roman"/>
          <w:sz w:val="28"/>
        </w:rPr>
        <w:t>V</w:t>
      </w:r>
      <w:r w:rsidRPr="00C62D22">
        <w:rPr>
          <w:rFonts w:ascii="Times New Roman" w:hAnsi="Times New Roman" w:cs="Times New Roman"/>
          <w:sz w:val="28"/>
          <w:lang w:val="uk-UA"/>
        </w:rPr>
        <w:t>о</w:t>
      </w:r>
      <w:r w:rsidRPr="00C62D22">
        <w:rPr>
          <w:rFonts w:ascii="Times New Roman" w:hAnsi="Times New Roman" w:cs="Times New Roman"/>
          <w:sz w:val="28"/>
          <w:vertAlign w:val="subscript"/>
          <w:lang w:val="uk-UA"/>
        </w:rPr>
        <w:t xml:space="preserve">ЗПА </w:t>
      </w:r>
      <w:r w:rsidRPr="00C62D22">
        <w:rPr>
          <w:rFonts w:ascii="Times New Roman" w:hAnsi="Times New Roman" w:cs="Times New Roman"/>
          <w:sz w:val="28"/>
          <w:lang w:val="uk-UA"/>
        </w:rPr>
        <w:t>/ХОК) залежно від тяжкості стану хворих (</w:t>
      </w:r>
      <w:r w:rsidRPr="00C62D22">
        <w:rPr>
          <w:rFonts w:ascii="Times New Roman" w:hAnsi="Times New Roman" w:cs="Times New Roman"/>
          <w:sz w:val="28"/>
        </w:rPr>
        <w:t>r</w:t>
      </w:r>
      <w:r w:rsidRPr="00C62D22">
        <w:rPr>
          <w:rFonts w:ascii="Times New Roman" w:hAnsi="Times New Roman" w:cs="Times New Roman"/>
          <w:sz w:val="28"/>
          <w:lang w:val="uk-UA"/>
        </w:rPr>
        <w:t xml:space="preserve"> = – 0,86, р&lt;0,05) та позитивним взаємозв’язком між швидкістю кровотоку та </w:t>
      </w:r>
      <w:r w:rsidRPr="00C62D22">
        <w:rPr>
          <w:rFonts w:ascii="Times New Roman" w:hAnsi="Times New Roman" w:cs="Times New Roman"/>
          <w:sz w:val="28"/>
        </w:rPr>
        <w:t>R</w:t>
      </w:r>
      <w:r w:rsidRPr="00C62D22">
        <w:rPr>
          <w:rFonts w:ascii="Times New Roman" w:hAnsi="Times New Roman" w:cs="Times New Roman"/>
          <w:sz w:val="28"/>
          <w:lang w:val="uk-UA"/>
        </w:rPr>
        <w:t>І (</w:t>
      </w:r>
      <w:r w:rsidRPr="00C62D22">
        <w:rPr>
          <w:rFonts w:ascii="Times New Roman" w:hAnsi="Times New Roman" w:cs="Times New Roman"/>
          <w:sz w:val="28"/>
        </w:rPr>
        <w:t>r</w:t>
      </w:r>
      <w:r w:rsidRPr="00C62D22">
        <w:rPr>
          <w:rFonts w:ascii="Times New Roman" w:hAnsi="Times New Roman" w:cs="Times New Roman"/>
          <w:sz w:val="28"/>
          <w:lang w:val="uk-UA"/>
        </w:rPr>
        <w:t xml:space="preserve">=0,83, р=0,013). </w:t>
      </w:r>
    </w:p>
    <w:p w:rsidR="00C62D22" w:rsidRPr="00C62D22" w:rsidRDefault="00C62D22" w:rsidP="00C62D22">
      <w:pPr>
        <w:numPr>
          <w:ilvl w:val="0"/>
          <w:numId w:val="30"/>
        </w:numPr>
        <w:tabs>
          <w:tab w:val="left" w:pos="993"/>
        </w:tabs>
        <w:spacing w:after="0" w:line="360" w:lineRule="auto"/>
        <w:ind w:left="0" w:firstLine="567"/>
        <w:jc w:val="both"/>
        <w:rPr>
          <w:rFonts w:ascii="Times New Roman" w:hAnsi="Times New Roman" w:cs="Times New Roman"/>
          <w:sz w:val="28"/>
          <w:lang w:val="uk-UA"/>
        </w:rPr>
      </w:pPr>
      <w:r w:rsidRPr="00C62D22">
        <w:rPr>
          <w:rFonts w:ascii="Times New Roman" w:hAnsi="Times New Roman" w:cs="Times New Roman"/>
          <w:sz w:val="28"/>
          <w:lang w:val="uk-UA"/>
        </w:rPr>
        <w:t xml:space="preserve">Морфологічні зміни стінок ПК та прилеглої паренхіми ПЗ визначили роль колагенів різних типів у формуванні та напрямку ремоделювання органу із різною здатністю ендотеліоцитів судин експресувати рецептори до ендотеліну-1 та високу ступінь експресії клітинами </w:t>
      </w:r>
      <w:r w:rsidRPr="00C62D22">
        <w:rPr>
          <w:rFonts w:ascii="Times New Roman" w:hAnsi="Times New Roman" w:cs="Times New Roman"/>
          <w:sz w:val="28"/>
        </w:rPr>
        <w:t>HL</w:t>
      </w:r>
      <w:r w:rsidRPr="00C62D22">
        <w:rPr>
          <w:rFonts w:ascii="Times New Roman" w:hAnsi="Times New Roman" w:cs="Times New Roman"/>
          <w:sz w:val="28"/>
          <w:lang w:val="uk-UA"/>
        </w:rPr>
        <w:t>А-</w:t>
      </w:r>
      <w:r w:rsidRPr="00C62D22">
        <w:rPr>
          <w:rFonts w:ascii="Times New Roman" w:hAnsi="Times New Roman" w:cs="Times New Roman"/>
          <w:sz w:val="28"/>
        </w:rPr>
        <w:t>DR</w:t>
      </w:r>
      <w:r w:rsidRPr="00C62D22">
        <w:rPr>
          <w:rFonts w:ascii="Times New Roman" w:hAnsi="Times New Roman" w:cs="Times New Roman"/>
          <w:sz w:val="28"/>
          <w:lang w:val="uk-UA"/>
        </w:rPr>
        <w:t xml:space="preserve">-антигену при </w:t>
      </w:r>
      <w:r w:rsidRPr="00C62D22">
        <w:rPr>
          <w:rFonts w:ascii="Times New Roman" w:hAnsi="Times New Roman" w:cs="Times New Roman"/>
          <w:sz w:val="28"/>
          <w:lang w:val="en-US"/>
        </w:rPr>
        <w:t>III</w:t>
      </w:r>
      <w:r w:rsidRPr="00C62D22">
        <w:rPr>
          <w:rFonts w:ascii="Times New Roman" w:hAnsi="Times New Roman" w:cs="Times New Roman"/>
          <w:sz w:val="28"/>
          <w:lang w:val="uk-UA"/>
        </w:rPr>
        <w:t xml:space="preserve"> типі ПК (на 153,4% та 131,3% щодо ПК </w:t>
      </w:r>
      <w:r w:rsidRPr="00C62D22">
        <w:rPr>
          <w:rFonts w:ascii="Times New Roman" w:hAnsi="Times New Roman" w:cs="Times New Roman"/>
          <w:sz w:val="28"/>
          <w:lang w:val="en-US"/>
        </w:rPr>
        <w:t>I</w:t>
      </w:r>
      <w:r w:rsidRPr="00C62D22">
        <w:rPr>
          <w:rFonts w:ascii="Times New Roman" w:hAnsi="Times New Roman" w:cs="Times New Roman"/>
          <w:sz w:val="28"/>
          <w:lang w:val="uk-UA"/>
        </w:rPr>
        <w:t xml:space="preserve"> і </w:t>
      </w:r>
      <w:r w:rsidRPr="00C62D22">
        <w:rPr>
          <w:rFonts w:ascii="Times New Roman" w:hAnsi="Times New Roman" w:cs="Times New Roman"/>
          <w:sz w:val="28"/>
          <w:lang w:val="en-US"/>
        </w:rPr>
        <w:t>II</w:t>
      </w:r>
      <w:r w:rsidRPr="00C62D22">
        <w:rPr>
          <w:rFonts w:ascii="Times New Roman" w:hAnsi="Times New Roman" w:cs="Times New Roman"/>
          <w:sz w:val="28"/>
          <w:lang w:val="uk-UA"/>
        </w:rPr>
        <w:t xml:space="preserve"> типів, </w:t>
      </w:r>
      <w:r w:rsidRPr="00C62D22">
        <w:rPr>
          <w:rFonts w:ascii="Times New Roman" w:hAnsi="Times New Roman" w:cs="Times New Roman"/>
          <w:sz w:val="28"/>
          <w:lang w:val="en-US"/>
        </w:rPr>
        <w:t>p</w:t>
      </w:r>
      <w:r w:rsidRPr="00C62D22">
        <w:rPr>
          <w:rFonts w:ascii="Times New Roman" w:hAnsi="Times New Roman" w:cs="Times New Roman"/>
          <w:sz w:val="28"/>
          <w:lang w:val="en-US"/>
        </w:rPr>
        <w:sym w:font="Symbol" w:char="F03C"/>
      </w:r>
      <w:r w:rsidRPr="00C62D22">
        <w:rPr>
          <w:rFonts w:ascii="Times New Roman" w:hAnsi="Times New Roman" w:cs="Times New Roman"/>
          <w:sz w:val="28"/>
          <w:lang w:val="uk-UA"/>
        </w:rPr>
        <w:t xml:space="preserve">0,05) із максимально вираженою макрофагальною реакцією. Основними складовими у морфогенезі ПК ПЗ </w:t>
      </w:r>
      <w:r w:rsidRPr="00C62D22">
        <w:rPr>
          <w:rFonts w:ascii="Times New Roman" w:hAnsi="Times New Roman" w:cs="Times New Roman"/>
          <w:sz w:val="28"/>
          <w:lang w:val="en-US"/>
        </w:rPr>
        <w:t>I</w:t>
      </w:r>
      <w:r w:rsidRPr="00C62D22">
        <w:rPr>
          <w:rFonts w:ascii="Times New Roman" w:hAnsi="Times New Roman" w:cs="Times New Roman"/>
          <w:sz w:val="28"/>
          <w:lang w:val="uk-UA"/>
        </w:rPr>
        <w:t xml:space="preserve"> типу було переважання альтеративних змін паренхіматозного компоненту, реакція відповіді у вигляді розвитку гострого запалення з нагноєнням і виявлення у складі клітинних </w:t>
      </w:r>
      <w:r w:rsidRPr="00C62D22">
        <w:rPr>
          <w:rFonts w:ascii="Times New Roman" w:hAnsi="Times New Roman" w:cs="Times New Roman"/>
          <w:sz w:val="28"/>
          <w:lang w:val="uk-UA"/>
        </w:rPr>
        <w:lastRenderedPageBreak/>
        <w:t>інфільтратів усіх основних клонів імунних клітин (</w:t>
      </w:r>
      <w:r w:rsidRPr="00C62D22">
        <w:rPr>
          <w:rFonts w:ascii="Times New Roman" w:hAnsi="Times New Roman" w:cs="Times New Roman"/>
          <w:sz w:val="28"/>
        </w:rPr>
        <w:t>CD</w:t>
      </w:r>
      <w:r w:rsidRPr="00C62D22">
        <w:rPr>
          <w:rFonts w:ascii="Times New Roman" w:hAnsi="Times New Roman" w:cs="Times New Roman"/>
          <w:sz w:val="28"/>
          <w:lang w:val="uk-UA"/>
        </w:rPr>
        <w:t xml:space="preserve">3, </w:t>
      </w:r>
      <w:r w:rsidRPr="00C62D22">
        <w:rPr>
          <w:rFonts w:ascii="Times New Roman" w:hAnsi="Times New Roman" w:cs="Times New Roman"/>
          <w:sz w:val="28"/>
        </w:rPr>
        <w:t>CD</w:t>
      </w:r>
      <w:r w:rsidRPr="00C62D22">
        <w:rPr>
          <w:rFonts w:ascii="Times New Roman" w:hAnsi="Times New Roman" w:cs="Times New Roman"/>
          <w:sz w:val="28"/>
          <w:lang w:val="uk-UA"/>
        </w:rPr>
        <w:t xml:space="preserve">20, </w:t>
      </w:r>
      <w:r w:rsidRPr="00C62D22">
        <w:rPr>
          <w:rFonts w:ascii="Times New Roman" w:hAnsi="Times New Roman" w:cs="Times New Roman"/>
          <w:sz w:val="28"/>
        </w:rPr>
        <w:t>CD</w:t>
      </w:r>
      <w:r w:rsidRPr="00C62D22">
        <w:rPr>
          <w:rFonts w:ascii="Times New Roman" w:hAnsi="Times New Roman" w:cs="Times New Roman"/>
          <w:sz w:val="28"/>
          <w:lang w:val="uk-UA"/>
        </w:rPr>
        <w:t xml:space="preserve">18, </w:t>
      </w:r>
      <w:r w:rsidRPr="00C62D22">
        <w:rPr>
          <w:rFonts w:ascii="Times New Roman" w:hAnsi="Times New Roman" w:cs="Times New Roman"/>
          <w:sz w:val="28"/>
        </w:rPr>
        <w:t>CD</w:t>
      </w:r>
      <w:r w:rsidRPr="00C62D22">
        <w:rPr>
          <w:rFonts w:ascii="Times New Roman" w:hAnsi="Times New Roman" w:cs="Times New Roman"/>
          <w:sz w:val="28"/>
          <w:lang w:val="uk-UA"/>
        </w:rPr>
        <w:t xml:space="preserve">16) з переважним збільшенням </w:t>
      </w:r>
      <w:r w:rsidRPr="00C62D22">
        <w:rPr>
          <w:rFonts w:ascii="Times New Roman" w:hAnsi="Times New Roman" w:cs="Times New Roman"/>
          <w:sz w:val="28"/>
        </w:rPr>
        <w:t>CD</w:t>
      </w:r>
      <w:r w:rsidRPr="00C62D22">
        <w:rPr>
          <w:rFonts w:ascii="Times New Roman" w:hAnsi="Times New Roman" w:cs="Times New Roman"/>
          <w:sz w:val="28"/>
          <w:lang w:val="uk-UA"/>
        </w:rPr>
        <w:t xml:space="preserve">18 (58±5,0%), а також репаративного процесу – утворення стінки ПК, яка була представлена незрілою сполучною тканиною з переважанням колагену ІІІ типу. В морфогенезі ПК ПЗ </w:t>
      </w:r>
      <w:r w:rsidRPr="00C62D22">
        <w:rPr>
          <w:rFonts w:ascii="Times New Roman" w:hAnsi="Times New Roman" w:cs="Times New Roman"/>
          <w:sz w:val="28"/>
          <w:lang w:val="en-US"/>
        </w:rPr>
        <w:t>II</w:t>
      </w:r>
      <w:r w:rsidRPr="00C62D22">
        <w:rPr>
          <w:rFonts w:ascii="Times New Roman" w:hAnsi="Times New Roman" w:cs="Times New Roman"/>
          <w:sz w:val="28"/>
          <w:lang w:val="uk-UA"/>
        </w:rPr>
        <w:t xml:space="preserve"> типу основною ланкою був розвиток запалення з переважним збільшенням лімфоцитів у стінці ПК, у першу чергу – </w:t>
      </w:r>
      <w:r w:rsidRPr="00C62D22">
        <w:rPr>
          <w:rFonts w:ascii="Times New Roman" w:hAnsi="Times New Roman" w:cs="Times New Roman"/>
          <w:sz w:val="28"/>
        </w:rPr>
        <w:t>CD</w:t>
      </w:r>
      <w:r w:rsidRPr="00C62D22">
        <w:rPr>
          <w:rFonts w:ascii="Times New Roman" w:hAnsi="Times New Roman" w:cs="Times New Roman"/>
          <w:sz w:val="28"/>
          <w:lang w:val="uk-UA"/>
        </w:rPr>
        <w:t xml:space="preserve">20 (37±2,9%), а також </w:t>
      </w:r>
      <w:r w:rsidRPr="00C62D22">
        <w:rPr>
          <w:rFonts w:ascii="Times New Roman" w:hAnsi="Times New Roman" w:cs="Times New Roman"/>
          <w:sz w:val="28"/>
        </w:rPr>
        <w:t>CD</w:t>
      </w:r>
      <w:r w:rsidRPr="00C62D22">
        <w:rPr>
          <w:rFonts w:ascii="Times New Roman" w:hAnsi="Times New Roman" w:cs="Times New Roman"/>
          <w:sz w:val="28"/>
          <w:lang w:val="uk-UA"/>
        </w:rPr>
        <w:t>3 (29±2,8%), що призводило до гальмування процесів міграції нейтрофільних гранулоцитів (</w:t>
      </w:r>
      <w:r w:rsidRPr="00C62D22">
        <w:rPr>
          <w:rFonts w:ascii="Times New Roman" w:hAnsi="Times New Roman" w:cs="Times New Roman"/>
          <w:sz w:val="28"/>
        </w:rPr>
        <w:t>CD</w:t>
      </w:r>
      <w:r w:rsidRPr="00C62D22">
        <w:rPr>
          <w:rFonts w:ascii="Times New Roman" w:hAnsi="Times New Roman" w:cs="Times New Roman"/>
          <w:sz w:val="28"/>
          <w:lang w:val="uk-UA"/>
        </w:rPr>
        <w:t xml:space="preserve">18) у ділянку ураження та стимулювало колагеноутворення зі збільшенням вмісту зрілого колагену І типу за відношенням до ПК </w:t>
      </w:r>
      <w:r w:rsidRPr="00C62D22">
        <w:rPr>
          <w:rFonts w:ascii="Times New Roman" w:hAnsi="Times New Roman" w:cs="Times New Roman"/>
          <w:sz w:val="28"/>
          <w:lang w:val="en-US"/>
        </w:rPr>
        <w:t>I</w:t>
      </w:r>
      <w:r w:rsidRPr="00C62D22">
        <w:rPr>
          <w:rFonts w:ascii="Times New Roman" w:hAnsi="Times New Roman" w:cs="Times New Roman"/>
          <w:sz w:val="28"/>
          <w:lang w:val="uk-UA"/>
        </w:rPr>
        <w:t xml:space="preserve"> типу </w:t>
      </w:r>
      <w:r w:rsidRPr="00C62D22">
        <w:rPr>
          <w:rStyle w:val="hps"/>
          <w:rFonts w:ascii="Times New Roman" w:hAnsi="Times New Roman" w:cs="Times New Roman"/>
          <w:sz w:val="28"/>
          <w:lang w:val="uk-UA"/>
        </w:rPr>
        <w:t>(</w:t>
      </w:r>
      <w:r w:rsidRPr="00C62D22">
        <w:rPr>
          <w:rStyle w:val="hps"/>
          <w:rFonts w:ascii="Times New Roman" w:hAnsi="Times New Roman" w:cs="Times New Roman"/>
          <w:sz w:val="28"/>
        </w:rPr>
        <w:t>p</w:t>
      </w:r>
      <w:r w:rsidRPr="00C62D22">
        <w:rPr>
          <w:rStyle w:val="hps"/>
          <w:rFonts w:ascii="Times New Roman" w:hAnsi="Times New Roman" w:cs="Times New Roman"/>
          <w:sz w:val="28"/>
          <w:lang w:val="uk-UA"/>
        </w:rPr>
        <w:t xml:space="preserve"> &lt;0,05)</w:t>
      </w:r>
      <w:r w:rsidRPr="00C62D22">
        <w:rPr>
          <w:rFonts w:ascii="Times New Roman" w:hAnsi="Times New Roman" w:cs="Times New Roman"/>
          <w:sz w:val="28"/>
          <w:lang w:val="uk-UA"/>
        </w:rPr>
        <w:t xml:space="preserve">. Основною ланкою у морфогенезі ПК ПЗ </w:t>
      </w:r>
      <w:r w:rsidRPr="00C62D22">
        <w:rPr>
          <w:rFonts w:ascii="Times New Roman" w:hAnsi="Times New Roman" w:cs="Times New Roman"/>
          <w:sz w:val="28"/>
        </w:rPr>
        <w:t>III</w:t>
      </w:r>
      <w:r w:rsidRPr="00C62D22">
        <w:rPr>
          <w:rFonts w:ascii="Times New Roman" w:hAnsi="Times New Roman" w:cs="Times New Roman"/>
          <w:sz w:val="28"/>
          <w:lang w:val="uk-UA"/>
        </w:rPr>
        <w:t xml:space="preserve"> типу є розвиток продуктивного запалення з аутоімунним компонентом у паренхімі ПЗ і високим ступенем експресії клітинами </w:t>
      </w:r>
      <w:r w:rsidRPr="00C62D22">
        <w:rPr>
          <w:rFonts w:ascii="Times New Roman" w:hAnsi="Times New Roman" w:cs="Times New Roman"/>
          <w:sz w:val="28"/>
          <w:lang w:val="en-US"/>
        </w:rPr>
        <w:t>HLA</w:t>
      </w:r>
      <w:r w:rsidRPr="00C62D22">
        <w:rPr>
          <w:rFonts w:ascii="Times New Roman" w:hAnsi="Times New Roman" w:cs="Times New Roman"/>
          <w:sz w:val="28"/>
          <w:lang w:val="uk-UA"/>
        </w:rPr>
        <w:t>-</w:t>
      </w:r>
      <w:r w:rsidRPr="00C62D22">
        <w:rPr>
          <w:rFonts w:ascii="Times New Roman" w:hAnsi="Times New Roman" w:cs="Times New Roman"/>
          <w:sz w:val="28"/>
          <w:lang w:val="en-US"/>
        </w:rPr>
        <w:t>DR</w:t>
      </w:r>
      <w:r w:rsidRPr="00C62D22">
        <w:rPr>
          <w:rFonts w:ascii="Times New Roman" w:hAnsi="Times New Roman" w:cs="Times New Roman"/>
          <w:sz w:val="28"/>
          <w:lang w:val="uk-UA"/>
        </w:rPr>
        <w:t xml:space="preserve"> – антигену на 78,6% і 56,3% у порівнянні з </w:t>
      </w:r>
      <w:r w:rsidRPr="00C62D22">
        <w:rPr>
          <w:rFonts w:ascii="Times New Roman" w:hAnsi="Times New Roman" w:cs="Times New Roman"/>
          <w:sz w:val="28"/>
          <w:lang w:val="en-US"/>
        </w:rPr>
        <w:t>I</w:t>
      </w:r>
      <w:r w:rsidRPr="00C62D22">
        <w:rPr>
          <w:rFonts w:ascii="Times New Roman" w:hAnsi="Times New Roman" w:cs="Times New Roman"/>
          <w:sz w:val="28"/>
          <w:lang w:val="uk-UA"/>
        </w:rPr>
        <w:t xml:space="preserve"> та </w:t>
      </w:r>
      <w:r w:rsidRPr="00C62D22">
        <w:rPr>
          <w:rFonts w:ascii="Times New Roman" w:hAnsi="Times New Roman" w:cs="Times New Roman"/>
          <w:sz w:val="28"/>
          <w:lang w:val="en-US"/>
        </w:rPr>
        <w:t>II</w:t>
      </w:r>
      <w:r w:rsidRPr="00C62D22">
        <w:rPr>
          <w:rFonts w:ascii="Times New Roman" w:hAnsi="Times New Roman" w:cs="Times New Roman"/>
          <w:sz w:val="28"/>
          <w:lang w:val="uk-UA"/>
        </w:rPr>
        <w:t xml:space="preserve"> типом ПК ПЗ, ростом популяції </w:t>
      </w:r>
      <w:r w:rsidRPr="00C62D22">
        <w:rPr>
          <w:rFonts w:ascii="Times New Roman" w:hAnsi="Times New Roman" w:cs="Times New Roman"/>
          <w:sz w:val="28"/>
        </w:rPr>
        <w:t>CD</w:t>
      </w:r>
      <w:r w:rsidRPr="00C62D22">
        <w:rPr>
          <w:rFonts w:ascii="Times New Roman" w:hAnsi="Times New Roman" w:cs="Times New Roman"/>
          <w:sz w:val="28"/>
          <w:lang w:val="uk-UA"/>
        </w:rPr>
        <w:t xml:space="preserve">3 (на 211,1%) і </w:t>
      </w:r>
      <w:r w:rsidRPr="00C62D22">
        <w:rPr>
          <w:rFonts w:ascii="Times New Roman" w:hAnsi="Times New Roman" w:cs="Times New Roman"/>
          <w:sz w:val="28"/>
        </w:rPr>
        <w:t>CD</w:t>
      </w:r>
      <w:r w:rsidRPr="00C62D22">
        <w:rPr>
          <w:rFonts w:ascii="Times New Roman" w:hAnsi="Times New Roman" w:cs="Times New Roman"/>
          <w:sz w:val="28"/>
          <w:lang w:val="uk-UA"/>
        </w:rPr>
        <w:t xml:space="preserve">20 (на 172,7%) в стінці ПК у порівнянні з </w:t>
      </w:r>
      <w:r w:rsidRPr="00C62D22">
        <w:rPr>
          <w:rFonts w:ascii="Times New Roman" w:hAnsi="Times New Roman" w:cs="Times New Roman"/>
          <w:sz w:val="28"/>
          <w:lang w:val="en-US"/>
        </w:rPr>
        <w:t>I</w:t>
      </w:r>
      <w:r w:rsidRPr="00C62D22">
        <w:rPr>
          <w:rFonts w:ascii="Times New Roman" w:hAnsi="Times New Roman" w:cs="Times New Roman"/>
          <w:sz w:val="28"/>
          <w:lang w:val="uk-UA"/>
        </w:rPr>
        <w:t xml:space="preserve"> типом ПК ПЗ та активного колагеноутворення та переважанням зрілого колагену І типу (р</w:t>
      </w:r>
      <w:r w:rsidRPr="00C62D22">
        <w:rPr>
          <w:rFonts w:ascii="Times New Roman" w:hAnsi="Times New Roman" w:cs="Times New Roman"/>
          <w:sz w:val="28"/>
          <w:lang w:val="uk-UA"/>
        </w:rPr>
        <w:sym w:font="Symbol" w:char="F03C"/>
      </w:r>
      <w:r w:rsidRPr="00C62D22">
        <w:rPr>
          <w:rFonts w:ascii="Times New Roman" w:hAnsi="Times New Roman" w:cs="Times New Roman"/>
          <w:sz w:val="28"/>
          <w:lang w:val="uk-UA"/>
        </w:rPr>
        <w:t>0,001).</w:t>
      </w:r>
    </w:p>
    <w:p w:rsidR="00C62D22" w:rsidRPr="00C62D22" w:rsidRDefault="00C62D22" w:rsidP="00C62D22">
      <w:pPr>
        <w:numPr>
          <w:ilvl w:val="0"/>
          <w:numId w:val="30"/>
        </w:numPr>
        <w:tabs>
          <w:tab w:val="left" w:pos="993"/>
        </w:tabs>
        <w:spacing w:after="0" w:line="360" w:lineRule="auto"/>
        <w:ind w:left="0" w:firstLine="567"/>
        <w:jc w:val="both"/>
        <w:rPr>
          <w:rFonts w:ascii="Times New Roman" w:hAnsi="Times New Roman" w:cs="Times New Roman"/>
          <w:sz w:val="28"/>
          <w:lang w:val="uk-UA"/>
        </w:rPr>
      </w:pPr>
      <w:r w:rsidRPr="00C62D22">
        <w:rPr>
          <w:rFonts w:ascii="Times New Roman" w:hAnsi="Times New Roman" w:cs="Times New Roman"/>
          <w:sz w:val="28"/>
          <w:lang w:val="uk-UA"/>
        </w:rPr>
        <w:t>Найбільш доцільним при комплексному лікування хворих на ускладнені ПК ПЗ є тактика «</w:t>
      </w:r>
      <w:r w:rsidRPr="00C62D22">
        <w:rPr>
          <w:rFonts w:ascii="Times New Roman" w:hAnsi="Times New Roman" w:cs="Times New Roman"/>
          <w:sz w:val="28"/>
        </w:rPr>
        <w:t>step</w:t>
      </w:r>
      <w:r w:rsidRPr="00C62D22">
        <w:rPr>
          <w:rFonts w:ascii="Times New Roman" w:hAnsi="Times New Roman" w:cs="Times New Roman"/>
          <w:sz w:val="28"/>
          <w:lang w:val="uk-UA"/>
        </w:rPr>
        <w:t>-</w:t>
      </w:r>
      <w:r w:rsidRPr="00C62D22">
        <w:rPr>
          <w:rFonts w:ascii="Times New Roman" w:hAnsi="Times New Roman" w:cs="Times New Roman"/>
          <w:sz w:val="28"/>
        </w:rPr>
        <w:t>up</w:t>
      </w:r>
      <w:r w:rsidRPr="00C62D22">
        <w:rPr>
          <w:rFonts w:ascii="Times New Roman" w:hAnsi="Times New Roman" w:cs="Times New Roman"/>
          <w:sz w:val="28"/>
          <w:lang w:val="uk-UA"/>
        </w:rPr>
        <w:t xml:space="preserve"> </w:t>
      </w:r>
      <w:r w:rsidRPr="00C62D22">
        <w:rPr>
          <w:rFonts w:ascii="Times New Roman" w:hAnsi="Times New Roman" w:cs="Times New Roman"/>
          <w:sz w:val="28"/>
        </w:rPr>
        <w:t>approach</w:t>
      </w:r>
      <w:r w:rsidRPr="00C62D22">
        <w:rPr>
          <w:rFonts w:ascii="Times New Roman" w:hAnsi="Times New Roman" w:cs="Times New Roman"/>
          <w:sz w:val="28"/>
          <w:lang w:val="uk-UA"/>
        </w:rPr>
        <w:t xml:space="preserve">», що полягає в етапності здійснення лікувальних заходів з використанням на першому етапі мінімально інвазивних пункційних або пункційно-дренувальних втручань для поліпшення умов гемодинаміки у гепатопанкреатодуоденальній зоні, а при прогресуванні захворювання – виконання відкритих оперативних втручань. </w:t>
      </w:r>
    </w:p>
    <w:p w:rsidR="00C62D22" w:rsidRPr="00C62D22" w:rsidRDefault="00C62D22" w:rsidP="00C62D22">
      <w:pPr>
        <w:numPr>
          <w:ilvl w:val="0"/>
          <w:numId w:val="30"/>
        </w:numPr>
        <w:tabs>
          <w:tab w:val="left" w:pos="993"/>
        </w:tabs>
        <w:spacing w:after="0" w:line="360" w:lineRule="auto"/>
        <w:ind w:left="0" w:firstLine="567"/>
        <w:jc w:val="both"/>
        <w:rPr>
          <w:rFonts w:ascii="Times New Roman" w:hAnsi="Times New Roman" w:cs="Times New Roman"/>
          <w:sz w:val="28"/>
          <w:lang w:val="uk-UA"/>
        </w:rPr>
      </w:pPr>
      <w:r w:rsidRPr="00C62D22">
        <w:rPr>
          <w:rFonts w:ascii="Times New Roman" w:hAnsi="Times New Roman" w:cs="Times New Roman"/>
          <w:sz w:val="28"/>
          <w:lang w:val="uk-UA"/>
        </w:rPr>
        <w:t xml:space="preserve">Мініінвазивні методи лікування хворих на ускладнені ПК ПЗ </w:t>
      </w:r>
      <w:r w:rsidRPr="00C62D22">
        <w:rPr>
          <w:rFonts w:ascii="Times New Roman" w:hAnsi="Times New Roman" w:cs="Times New Roman"/>
          <w:sz w:val="28"/>
          <w:lang w:val="en-US"/>
        </w:rPr>
        <w:t>I</w:t>
      </w:r>
      <w:r w:rsidRPr="00C62D22">
        <w:rPr>
          <w:rFonts w:ascii="Times New Roman" w:hAnsi="Times New Roman" w:cs="Times New Roman"/>
          <w:sz w:val="28"/>
          <w:lang w:val="uk-UA"/>
        </w:rPr>
        <w:t xml:space="preserve"> типу застосовані у 60,5 % пацієнтів з перевагою пункційних або пункційно-дренувальних втручань під контролем УЗД, які у загальній структурі мініінвазивних методик склали 77,1%, що дозволило знизити кількість лапаротомій у якості ІІ етапу до 18,75%. У хворих на ускладнені ПК ПЗ другого типу у 81,5 % випадків мінінвазивні методики були заключним етапом їх лікування, у 18,5 % </w:t>
      </w:r>
      <w:r w:rsidRPr="00C62D22">
        <w:rPr>
          <w:rFonts w:ascii="Times New Roman" w:hAnsi="Times New Roman" w:cs="Times New Roman"/>
          <w:sz w:val="28"/>
          <w:lang w:val="uk-UA"/>
        </w:rPr>
        <w:sym w:font="Symbol" w:char="F02D"/>
      </w:r>
      <w:r w:rsidRPr="00C62D22">
        <w:rPr>
          <w:rFonts w:ascii="Times New Roman" w:hAnsi="Times New Roman" w:cs="Times New Roman"/>
          <w:sz w:val="28"/>
          <w:lang w:val="uk-UA"/>
        </w:rPr>
        <w:t xml:space="preserve"> використовувалися з метою «вичікувальної» тактики </w:t>
      </w:r>
      <w:r w:rsidRPr="00C62D22">
        <w:rPr>
          <w:rFonts w:ascii="Times New Roman" w:hAnsi="Times New Roman" w:cs="Times New Roman"/>
          <w:sz w:val="28"/>
        </w:rPr>
        <w:t xml:space="preserve">для </w:t>
      </w:r>
      <w:r w:rsidRPr="00C62D22">
        <w:rPr>
          <w:rFonts w:ascii="Times New Roman" w:hAnsi="Times New Roman" w:cs="Times New Roman"/>
          <w:sz w:val="28"/>
          <w:lang w:val="uk-UA"/>
        </w:rPr>
        <w:t xml:space="preserve">полегшення загального стану хворого та подальшим виконанням «відкритих» операцій. При лікуванні ускладнених ПК ПЗ ІІІ типу у 75 % випадків мініінвазивні методики були заключним етапом в лікуванні хворих, у 25 % випадків ці методики використовувалися з метою «вичікувальної» </w:t>
      </w:r>
      <w:r w:rsidRPr="00C62D22">
        <w:rPr>
          <w:rFonts w:ascii="Times New Roman" w:hAnsi="Times New Roman" w:cs="Times New Roman"/>
          <w:sz w:val="28"/>
          <w:lang w:val="uk-UA"/>
        </w:rPr>
        <w:lastRenderedPageBreak/>
        <w:t>тактики з подальшим виконанням лапаротомного втручання. Ендоскопічне внутрішнє дренування є першочерговим методом в алгоритмі хірургічного лікування на ускладнені ПК ПЗ, сполучених з панкреатичними протоками.</w:t>
      </w:r>
    </w:p>
    <w:p w:rsidR="00C62D22" w:rsidRPr="00C62D22" w:rsidRDefault="00C62D22" w:rsidP="00C62D22">
      <w:pPr>
        <w:numPr>
          <w:ilvl w:val="0"/>
          <w:numId w:val="30"/>
        </w:numPr>
        <w:tabs>
          <w:tab w:val="left" w:pos="1134"/>
        </w:tabs>
        <w:spacing w:after="0" w:line="360" w:lineRule="auto"/>
        <w:ind w:left="0" w:firstLine="567"/>
        <w:jc w:val="both"/>
        <w:rPr>
          <w:rFonts w:ascii="Times New Roman" w:hAnsi="Times New Roman" w:cs="Times New Roman"/>
          <w:sz w:val="28"/>
          <w:lang w:val="uk-UA"/>
        </w:rPr>
      </w:pPr>
      <w:r w:rsidRPr="00C62D22">
        <w:rPr>
          <w:rFonts w:ascii="Times New Roman" w:hAnsi="Times New Roman" w:cs="Times New Roman"/>
          <w:sz w:val="28"/>
          <w:lang w:val="uk-UA"/>
        </w:rPr>
        <w:t xml:space="preserve">Хворим з ПК ПЗ </w:t>
      </w:r>
      <w:r w:rsidRPr="00C62D22">
        <w:rPr>
          <w:rFonts w:ascii="Times New Roman" w:hAnsi="Times New Roman" w:cs="Times New Roman"/>
          <w:sz w:val="28"/>
          <w:lang w:val="en-US"/>
        </w:rPr>
        <w:t>II</w:t>
      </w:r>
      <w:r w:rsidRPr="00C62D22">
        <w:rPr>
          <w:rFonts w:ascii="Times New Roman" w:hAnsi="Times New Roman" w:cs="Times New Roman"/>
          <w:sz w:val="28"/>
          <w:lang w:val="uk-UA"/>
        </w:rPr>
        <w:t xml:space="preserve"> та </w:t>
      </w:r>
      <w:r w:rsidRPr="00C62D22">
        <w:rPr>
          <w:rFonts w:ascii="Times New Roman" w:hAnsi="Times New Roman" w:cs="Times New Roman"/>
          <w:sz w:val="28"/>
          <w:lang w:val="en-US"/>
        </w:rPr>
        <w:t>II</w:t>
      </w:r>
      <w:r w:rsidRPr="00C62D22">
        <w:rPr>
          <w:rFonts w:ascii="Times New Roman" w:hAnsi="Times New Roman" w:cs="Times New Roman"/>
          <w:sz w:val="28"/>
          <w:lang w:val="uk-UA"/>
        </w:rPr>
        <w:t xml:space="preserve"> типів, ускладнених кровотечею у їх порожнину, використання РЕО відповідно у 31,5 % і 24%, дозволило досягти стійкого гемостазу та відкласти відкрите оперативне втручання до стабілізації загального стану пацієнту. </w:t>
      </w:r>
    </w:p>
    <w:p w:rsidR="00C62D22" w:rsidRPr="00C62D22" w:rsidRDefault="00C62D22" w:rsidP="00C62D22">
      <w:pPr>
        <w:numPr>
          <w:ilvl w:val="0"/>
          <w:numId w:val="30"/>
        </w:numPr>
        <w:tabs>
          <w:tab w:val="left" w:pos="1134"/>
        </w:tabs>
        <w:spacing w:after="0" w:line="360" w:lineRule="auto"/>
        <w:ind w:left="0" w:firstLine="567"/>
        <w:jc w:val="both"/>
        <w:rPr>
          <w:rFonts w:ascii="Times New Roman" w:hAnsi="Times New Roman" w:cs="Times New Roman"/>
          <w:sz w:val="28"/>
          <w:lang w:val="uk-UA"/>
        </w:rPr>
      </w:pPr>
      <w:r w:rsidRPr="00C62D22">
        <w:rPr>
          <w:rFonts w:ascii="Times New Roman" w:hAnsi="Times New Roman" w:cs="Times New Roman"/>
          <w:sz w:val="28"/>
          <w:lang w:val="uk-UA"/>
        </w:rPr>
        <w:t xml:space="preserve">Визначення кваліфікаційних функцій, що прогнозують перебіг післяопераційного періоду, свідчить про найбільш доцільне виконання мініінвазивних втручань у хворих на ПК ПЗ </w:t>
      </w:r>
      <w:r w:rsidRPr="00C62D22">
        <w:rPr>
          <w:rFonts w:ascii="Times New Roman" w:hAnsi="Times New Roman" w:cs="Times New Roman"/>
          <w:sz w:val="28"/>
          <w:lang w:val="en-US"/>
        </w:rPr>
        <w:t>I</w:t>
      </w:r>
      <w:r w:rsidRPr="00C62D22">
        <w:rPr>
          <w:rFonts w:ascii="Times New Roman" w:hAnsi="Times New Roman" w:cs="Times New Roman"/>
          <w:sz w:val="28"/>
          <w:lang w:val="uk-UA"/>
        </w:rPr>
        <w:t xml:space="preserve"> типу з результатом до 14 ліжко-днів або від 14 до 21 ліжко-днів без ускладнень в залежності від стану хворого за шкалою </w:t>
      </w:r>
      <w:r w:rsidRPr="00C62D22">
        <w:rPr>
          <w:rFonts w:ascii="Times New Roman" w:hAnsi="Times New Roman" w:cs="Times New Roman"/>
          <w:sz w:val="28"/>
          <w:lang w:val="en-US"/>
        </w:rPr>
        <w:t>SOFA</w:t>
      </w:r>
      <w:r w:rsidRPr="00C62D22">
        <w:rPr>
          <w:rFonts w:ascii="Times New Roman" w:hAnsi="Times New Roman" w:cs="Times New Roman"/>
          <w:sz w:val="28"/>
          <w:lang w:val="uk-UA"/>
        </w:rPr>
        <w:t xml:space="preserve">. Аналіз вагових коефіцієнтів кваліфікаційних функцій для ПК ПЗ </w:t>
      </w:r>
      <w:r w:rsidRPr="00C62D22">
        <w:rPr>
          <w:rFonts w:ascii="Times New Roman" w:hAnsi="Times New Roman" w:cs="Times New Roman"/>
          <w:sz w:val="28"/>
          <w:lang w:val="en-US"/>
        </w:rPr>
        <w:t>II</w:t>
      </w:r>
      <w:r w:rsidRPr="00C62D22">
        <w:rPr>
          <w:rFonts w:ascii="Times New Roman" w:hAnsi="Times New Roman" w:cs="Times New Roman"/>
          <w:sz w:val="28"/>
          <w:lang w:val="uk-UA"/>
        </w:rPr>
        <w:t xml:space="preserve"> та </w:t>
      </w:r>
      <w:r w:rsidRPr="00C62D22">
        <w:rPr>
          <w:rFonts w:ascii="Times New Roman" w:hAnsi="Times New Roman" w:cs="Times New Roman"/>
          <w:sz w:val="28"/>
          <w:lang w:val="en-US"/>
        </w:rPr>
        <w:t>III</w:t>
      </w:r>
      <w:r w:rsidRPr="00C62D22">
        <w:rPr>
          <w:rFonts w:ascii="Times New Roman" w:hAnsi="Times New Roman" w:cs="Times New Roman"/>
          <w:sz w:val="28"/>
          <w:lang w:val="uk-UA"/>
        </w:rPr>
        <w:t xml:space="preserve"> типів встановив ймовірний результат використання мініінвазивних операцій до 14 ліжко-днів без виникнення післяопераційних ускладнень. Вирахування ймовірності виникнення у хворого післяопераційного ускладнення в залежності від вихідної важкості стану хворого дає змогу найбільш доцільно вибирати індивідуальну хірургічну лікувальну тактику.</w:t>
      </w:r>
    </w:p>
    <w:p w:rsidR="00C62D22" w:rsidRPr="00C62D22" w:rsidRDefault="00C62D22" w:rsidP="00C62D22">
      <w:pPr>
        <w:pStyle w:val="a8"/>
        <w:numPr>
          <w:ilvl w:val="0"/>
          <w:numId w:val="30"/>
        </w:numPr>
        <w:tabs>
          <w:tab w:val="left" w:pos="1134"/>
        </w:tabs>
        <w:spacing w:after="0" w:line="360" w:lineRule="auto"/>
        <w:ind w:left="0" w:firstLine="567"/>
        <w:jc w:val="both"/>
        <w:rPr>
          <w:rFonts w:ascii="Times New Roman" w:hAnsi="Times New Roman" w:cs="Times New Roman"/>
          <w:sz w:val="28"/>
        </w:rPr>
      </w:pPr>
      <w:r w:rsidRPr="00C62D22">
        <w:rPr>
          <w:rFonts w:ascii="Times New Roman" w:hAnsi="Times New Roman" w:cs="Times New Roman"/>
          <w:sz w:val="28"/>
        </w:rPr>
        <w:t xml:space="preserve">Використання мініінвазивних методів, в комплексі хірургічного лікування пацієнтів на ускладнені ПК ПЗ, дозволяє знизити загальний розвиток послеопераційних ускладнень до 17,4%, летальність до 0,79%: при </w:t>
      </w:r>
      <w:r w:rsidRPr="00C62D22">
        <w:rPr>
          <w:rFonts w:ascii="Times New Roman" w:hAnsi="Times New Roman" w:cs="Times New Roman"/>
          <w:sz w:val="28"/>
          <w:lang w:val="en-US"/>
        </w:rPr>
        <w:t>I</w:t>
      </w:r>
      <w:r w:rsidRPr="00C62D22">
        <w:rPr>
          <w:rFonts w:ascii="Times New Roman" w:hAnsi="Times New Roman" w:cs="Times New Roman"/>
          <w:sz w:val="28"/>
        </w:rPr>
        <w:t xml:space="preserve"> типі – до 34,6% і до 2,5%; при </w:t>
      </w:r>
      <w:r w:rsidRPr="00C62D22">
        <w:rPr>
          <w:rFonts w:ascii="Times New Roman" w:hAnsi="Times New Roman" w:cs="Times New Roman"/>
          <w:sz w:val="28"/>
          <w:lang w:val="en-US"/>
        </w:rPr>
        <w:t>II</w:t>
      </w:r>
      <w:r w:rsidRPr="00C62D22">
        <w:rPr>
          <w:rFonts w:ascii="Times New Roman" w:hAnsi="Times New Roman" w:cs="Times New Roman"/>
          <w:sz w:val="28"/>
        </w:rPr>
        <w:t xml:space="preserve"> типі – до 16,2 і до 0,4%; при </w:t>
      </w:r>
      <w:r w:rsidRPr="00C62D22">
        <w:rPr>
          <w:rFonts w:ascii="Times New Roman" w:hAnsi="Times New Roman" w:cs="Times New Roman"/>
          <w:sz w:val="28"/>
          <w:lang w:val="en-US"/>
        </w:rPr>
        <w:t>III</w:t>
      </w:r>
      <w:r w:rsidRPr="00C62D22">
        <w:rPr>
          <w:rFonts w:ascii="Times New Roman" w:hAnsi="Times New Roman" w:cs="Times New Roman"/>
          <w:sz w:val="28"/>
        </w:rPr>
        <w:t xml:space="preserve"> типі – до 11,3% і до 0,56% (</w:t>
      </w:r>
      <w:r w:rsidRPr="00C62D22">
        <w:rPr>
          <w:rFonts w:ascii="Times New Roman" w:hAnsi="Times New Roman" w:cs="Times New Roman"/>
          <w:sz w:val="28"/>
        </w:rPr>
        <w:sym w:font="Symbol" w:char="F063"/>
      </w:r>
      <w:r w:rsidRPr="00C62D22">
        <w:rPr>
          <w:rFonts w:ascii="Times New Roman" w:hAnsi="Times New Roman" w:cs="Times New Roman"/>
          <w:sz w:val="28"/>
        </w:rPr>
        <w:t>2</w:t>
      </w:r>
      <w:r w:rsidRPr="00C62D22">
        <w:rPr>
          <w:rFonts w:ascii="Times New Roman" w:hAnsi="Times New Roman" w:cs="Times New Roman"/>
          <w:sz w:val="28"/>
        </w:rPr>
        <w:sym w:font="Symbol" w:char="F03D"/>
      </w:r>
      <w:r w:rsidRPr="00C62D22">
        <w:rPr>
          <w:rFonts w:ascii="Times New Roman" w:hAnsi="Times New Roman" w:cs="Times New Roman"/>
          <w:sz w:val="28"/>
        </w:rPr>
        <w:t>16,319, р</w:t>
      </w:r>
      <w:r w:rsidRPr="00C62D22">
        <w:rPr>
          <w:rFonts w:ascii="Times New Roman" w:hAnsi="Times New Roman" w:cs="Times New Roman"/>
          <w:sz w:val="28"/>
        </w:rPr>
        <w:sym w:font="Symbol" w:char="F03D"/>
      </w:r>
      <w:r w:rsidRPr="00C62D22">
        <w:rPr>
          <w:rFonts w:ascii="Times New Roman" w:hAnsi="Times New Roman" w:cs="Times New Roman"/>
          <w:sz w:val="28"/>
        </w:rPr>
        <w:t>0,003).</w:t>
      </w:r>
    </w:p>
    <w:p w:rsidR="00C62D22" w:rsidRPr="00C62D22" w:rsidRDefault="00C62D22" w:rsidP="00C62D22">
      <w:pPr>
        <w:pStyle w:val="a8"/>
        <w:numPr>
          <w:ilvl w:val="0"/>
          <w:numId w:val="30"/>
        </w:numPr>
        <w:tabs>
          <w:tab w:val="left" w:pos="1134"/>
        </w:tabs>
        <w:spacing w:after="0" w:line="360" w:lineRule="auto"/>
        <w:ind w:left="0" w:firstLine="567"/>
        <w:jc w:val="both"/>
        <w:rPr>
          <w:rFonts w:ascii="Times New Roman" w:hAnsi="Times New Roman" w:cs="Times New Roman"/>
          <w:sz w:val="28"/>
        </w:rPr>
      </w:pPr>
      <w:r w:rsidRPr="00C62D22">
        <w:rPr>
          <w:rFonts w:ascii="Times New Roman" w:hAnsi="Times New Roman" w:cs="Times New Roman"/>
          <w:sz w:val="28"/>
        </w:rPr>
        <w:t xml:space="preserve">При оцінюванні якості життя хворих, оперованих з приводу ускладнених ПК ПЗ за допомогою визначення коефіцієнтів детермінації, встановлено, що тип ПК позначався тільки на душевному благополуччі (життєздатність (5,38%) і психологічне здоров'я (8,64%). На оцінку благополуччя пацієнтів впливав вид операції (фізичне функціонування (12,8%), соціальне функціонування (12,8%), емоційне функціонування (7,2%) та психологічне здоров'я (7%), що свідчить про більш високі оцінки душевного стану, а й частково фізичного, при застосуванні мініінвазивних операцій. Найбільшу залежність на мінливість показників надавали </w:t>
      </w:r>
      <w:r w:rsidRPr="00C62D22">
        <w:rPr>
          <w:rFonts w:ascii="Times New Roman" w:hAnsi="Times New Roman" w:cs="Times New Roman"/>
          <w:sz w:val="28"/>
        </w:rPr>
        <w:lastRenderedPageBreak/>
        <w:t>спільний вплив типу ПК і виду операції, що було обумовлено їх взаємозв'язком: фізичне функціонування – 14%, загальне здоров'я – 10,3%, життєздатність – 7%, психологічне здоров'я – 23,2%.</w:t>
      </w:r>
    </w:p>
    <w:p w:rsidR="00C62D22" w:rsidRPr="00C62D22" w:rsidRDefault="00C62D22" w:rsidP="00C62D22">
      <w:pPr>
        <w:spacing w:line="360" w:lineRule="auto"/>
        <w:ind w:firstLine="540"/>
        <w:jc w:val="both"/>
        <w:rPr>
          <w:rFonts w:ascii="Times New Roman" w:hAnsi="Times New Roman" w:cs="Times New Roman"/>
          <w:sz w:val="28"/>
          <w:szCs w:val="28"/>
          <w:lang w:val="uk-UA"/>
        </w:rPr>
      </w:pPr>
      <w:r w:rsidRPr="00C62D22">
        <w:rPr>
          <w:rFonts w:ascii="Times New Roman" w:hAnsi="Times New Roman" w:cs="Times New Roman"/>
          <w:sz w:val="28"/>
          <w:szCs w:val="28"/>
          <w:lang w:val="uk-UA"/>
        </w:rPr>
        <w:t>Результати роботи впроваджено в хірургічних відділеннях КЗОЗ «Обласна клінічна лікарня-центр екстреної медицини та медицини катастроф» (м. Харків), Сахновщинської ЦРЛ, Куп'янської ЦРЛ, Барвенківської ЦРЛ, Первомайської ЦРЛ, Ізюмської ЦРЛ, Краснокутської ЦРЛ, Вовчанської ЦРЛ, Зміївської ЦРЛ, Борівської ЦРЛ, Лозівської ЦРЛ, Дергачівської ЦРЛ, Мереф'янської ЦРЛ, Золочівської ЦРЛ, Велико-Бурлуцької ЦРЛ, Зачепилівської ЦРЛ, Валківської ЦРЛ, Двурічанської ЦРЛ Харківської області, Бахмацької ЦРЛ Чернігівської області</w:t>
      </w:r>
    </w:p>
    <w:p w:rsidR="00C62D22" w:rsidRDefault="00C62D22">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62D22" w:rsidRPr="003307F1" w:rsidRDefault="00C62D22" w:rsidP="00C62D22">
      <w:pPr>
        <w:tabs>
          <w:tab w:val="left" w:pos="360"/>
          <w:tab w:val="left" w:pos="1080"/>
        </w:tabs>
        <w:autoSpaceDE w:val="0"/>
        <w:autoSpaceDN w:val="0"/>
        <w:adjustRightInd w:val="0"/>
        <w:spacing w:after="0" w:line="360" w:lineRule="auto"/>
        <w:ind w:firstLine="360"/>
        <w:jc w:val="center"/>
        <w:rPr>
          <w:rFonts w:ascii="Times New Roman" w:hAnsi="Times New Roman"/>
          <w:b/>
          <w:sz w:val="28"/>
          <w:szCs w:val="28"/>
        </w:rPr>
      </w:pPr>
      <w:r w:rsidRPr="003307F1">
        <w:rPr>
          <w:rFonts w:ascii="Times New Roman" w:hAnsi="Times New Roman"/>
          <w:b/>
          <w:sz w:val="28"/>
          <w:szCs w:val="28"/>
        </w:rPr>
        <w:lastRenderedPageBreak/>
        <w:t>СПИСОК ВИКОРИСТАНИХ ДЖЕРЕЛ</w:t>
      </w:r>
    </w:p>
    <w:p w:rsidR="00C62D22" w:rsidRPr="003307F1" w:rsidRDefault="00C62D22" w:rsidP="00C62D22">
      <w:pPr>
        <w:tabs>
          <w:tab w:val="left" w:pos="360"/>
          <w:tab w:val="left" w:pos="1080"/>
        </w:tabs>
        <w:autoSpaceDE w:val="0"/>
        <w:autoSpaceDN w:val="0"/>
        <w:adjustRightInd w:val="0"/>
        <w:spacing w:after="0" w:line="360" w:lineRule="auto"/>
        <w:ind w:firstLine="360"/>
        <w:jc w:val="center"/>
        <w:rPr>
          <w:rFonts w:ascii="Times New Roman" w:hAnsi="Times New Roman"/>
          <w:b/>
          <w:sz w:val="28"/>
          <w:szCs w:val="28"/>
        </w:rPr>
      </w:pPr>
    </w:p>
    <w:p w:rsidR="00C62D22" w:rsidRDefault="00C62D22" w:rsidP="00C62D22">
      <w:pPr>
        <w:tabs>
          <w:tab w:val="left" w:pos="360"/>
          <w:tab w:val="left" w:pos="1080"/>
        </w:tabs>
        <w:autoSpaceDE w:val="0"/>
        <w:autoSpaceDN w:val="0"/>
        <w:adjustRightInd w:val="0"/>
        <w:spacing w:after="0" w:line="360" w:lineRule="auto"/>
        <w:ind w:firstLine="360"/>
        <w:jc w:val="center"/>
        <w:rPr>
          <w:rFonts w:ascii="Times New Roman" w:hAnsi="Times New Roman"/>
          <w:b/>
          <w:sz w:val="28"/>
          <w:szCs w:val="28"/>
        </w:rPr>
      </w:pPr>
    </w:p>
    <w:p w:rsidR="00C62D22" w:rsidRPr="003307F1" w:rsidRDefault="00C62D22" w:rsidP="00C62D22">
      <w:pPr>
        <w:tabs>
          <w:tab w:val="left" w:pos="360"/>
          <w:tab w:val="left" w:pos="1080"/>
        </w:tabs>
        <w:autoSpaceDE w:val="0"/>
        <w:autoSpaceDN w:val="0"/>
        <w:adjustRightInd w:val="0"/>
        <w:spacing w:after="0" w:line="360" w:lineRule="auto"/>
        <w:ind w:firstLine="360"/>
        <w:jc w:val="center"/>
        <w:rPr>
          <w:rFonts w:ascii="Times New Roman" w:hAnsi="Times New Roman"/>
          <w:b/>
          <w:sz w:val="28"/>
          <w:szCs w:val="28"/>
        </w:rPr>
      </w:pPr>
    </w:p>
    <w:p w:rsidR="00C62D22" w:rsidRPr="003307F1" w:rsidRDefault="00C62D22" w:rsidP="00C62D22">
      <w:pPr>
        <w:numPr>
          <w:ilvl w:val="0"/>
          <w:numId w:val="34"/>
        </w:numPr>
        <w:tabs>
          <w:tab w:val="clear" w:pos="720"/>
          <w:tab w:val="left" w:pos="360"/>
          <w:tab w:val="left" w:pos="90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Абидов Э. А. Применение рентгенохирургических методов в лечении пациентов по поводу кист поджелудочной железы, осложненных внутрибрюшным кровотечением / Э. А. Абидов // Клінічна хіру</w:t>
      </w:r>
      <w:r>
        <w:rPr>
          <w:rFonts w:ascii="Times New Roman" w:hAnsi="Times New Roman"/>
          <w:sz w:val="28"/>
          <w:szCs w:val="28"/>
        </w:rPr>
        <w:t>ргія. – 2013. – № 11. – С. 31-</w:t>
      </w:r>
      <w:r w:rsidRPr="003307F1">
        <w:rPr>
          <w:rFonts w:ascii="Times New Roman" w:hAnsi="Times New Roman"/>
          <w:sz w:val="28"/>
          <w:szCs w:val="28"/>
        </w:rPr>
        <w:t>33.</w:t>
      </w:r>
    </w:p>
    <w:p w:rsidR="00C62D22" w:rsidRPr="003307F1" w:rsidRDefault="00C62D22" w:rsidP="00C62D22">
      <w:pPr>
        <w:numPr>
          <w:ilvl w:val="0"/>
          <w:numId w:val="34"/>
        </w:numPr>
        <w:tabs>
          <w:tab w:val="clear" w:pos="720"/>
          <w:tab w:val="left" w:pos="360"/>
          <w:tab w:val="left" w:pos="90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MT" w:hAnsi="Times New Roman"/>
          <w:sz w:val="28"/>
          <w:szCs w:val="28"/>
        </w:rPr>
        <w:t xml:space="preserve">Агапов М. А. </w:t>
      </w:r>
      <w:r w:rsidRPr="003307F1">
        <w:rPr>
          <w:rFonts w:ascii="Times New Roman" w:eastAsia="TimesNewRomanPS-BoldMT" w:hAnsi="Times New Roman"/>
          <w:bCs/>
          <w:sz w:val="28"/>
          <w:szCs w:val="28"/>
        </w:rPr>
        <w:t xml:space="preserve">Миниинвазивные вмешательства в лечении кист поджелудочной железы / </w:t>
      </w:r>
      <w:r w:rsidRPr="003307F1">
        <w:rPr>
          <w:rFonts w:ascii="Times New Roman" w:eastAsia="TimesNewRomanPSMT" w:hAnsi="Times New Roman"/>
          <w:sz w:val="28"/>
          <w:szCs w:val="28"/>
        </w:rPr>
        <w:t>М. А. Агапов, В. А Горский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3-</w:t>
      </w:r>
      <w:r w:rsidRPr="003307F1">
        <w:rPr>
          <w:rFonts w:ascii="Times New Roman" w:hAnsi="Times New Roman"/>
          <w:sz w:val="28"/>
          <w:szCs w:val="28"/>
        </w:rPr>
        <w:t>4.</w:t>
      </w:r>
    </w:p>
    <w:p w:rsidR="00C62D22" w:rsidRPr="003307F1" w:rsidRDefault="00C62D22" w:rsidP="00C62D22">
      <w:pPr>
        <w:numPr>
          <w:ilvl w:val="0"/>
          <w:numId w:val="34"/>
        </w:numPr>
        <w:tabs>
          <w:tab w:val="clear" w:pos="720"/>
          <w:tab w:val="left" w:pos="360"/>
          <w:tab w:val="left" w:pos="90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Алгоритм хірургічного лікування гострого</w:t>
      </w:r>
      <w:r w:rsidRPr="003307F1">
        <w:rPr>
          <w:rFonts w:ascii="Times New Roman" w:eastAsia="TimesNewRoman" w:hAnsi="Times New Roman"/>
          <w:sz w:val="28"/>
          <w:szCs w:val="28"/>
        </w:rPr>
        <w:t xml:space="preserve"> </w:t>
      </w:r>
      <w:r w:rsidRPr="003307F1">
        <w:rPr>
          <w:rFonts w:ascii="Times New Roman" w:hAnsi="Times New Roman"/>
          <w:bCs/>
          <w:sz w:val="28"/>
          <w:szCs w:val="28"/>
        </w:rPr>
        <w:t xml:space="preserve">панкреатиту / В. М. Копчак, </w:t>
      </w:r>
      <w:r>
        <w:rPr>
          <w:rFonts w:ascii="Times New Roman" w:hAnsi="Times New Roman"/>
          <w:bCs/>
          <w:sz w:val="28"/>
          <w:szCs w:val="28"/>
        </w:rPr>
        <w:t xml:space="preserve">            </w:t>
      </w:r>
      <w:r w:rsidRPr="003307F1">
        <w:rPr>
          <w:rFonts w:ascii="Times New Roman" w:hAnsi="Times New Roman"/>
          <w:bCs/>
          <w:sz w:val="28"/>
          <w:szCs w:val="28"/>
        </w:rPr>
        <w:t xml:space="preserve">І. В. Хомяк, В. М. Шевченко [ та ін. ] // Клінічна хірургія. </w:t>
      </w:r>
      <w:r w:rsidRPr="003307F1">
        <w:rPr>
          <w:rFonts w:ascii="Times New Roman" w:hAnsi="Times New Roman"/>
          <w:sz w:val="28"/>
          <w:szCs w:val="28"/>
          <w:shd w:val="clear" w:color="auto" w:fill="FFFFFF"/>
        </w:rPr>
        <w:t>–</w:t>
      </w:r>
      <w:r w:rsidRPr="003307F1">
        <w:rPr>
          <w:rFonts w:ascii="Times New Roman" w:hAnsi="Times New Roman"/>
          <w:bCs/>
          <w:sz w:val="28"/>
          <w:szCs w:val="28"/>
        </w:rPr>
        <w:t xml:space="preserve"> 2014. </w:t>
      </w:r>
      <w:r w:rsidRPr="003307F1">
        <w:rPr>
          <w:rFonts w:ascii="Times New Roman" w:hAnsi="Times New Roman"/>
          <w:sz w:val="28"/>
          <w:szCs w:val="28"/>
          <w:shd w:val="clear" w:color="auto" w:fill="FFFFFF"/>
        </w:rPr>
        <w:t xml:space="preserve">– </w:t>
      </w:r>
      <w:r w:rsidRPr="003307F1">
        <w:rPr>
          <w:rFonts w:ascii="Times New Roman" w:hAnsi="Times New Roman"/>
          <w:bCs/>
          <w:sz w:val="28"/>
          <w:szCs w:val="28"/>
        </w:rPr>
        <w:t xml:space="preserve">№ 9.2. </w:t>
      </w:r>
      <w:r w:rsidRPr="003307F1">
        <w:rPr>
          <w:rFonts w:ascii="Times New Roman" w:hAnsi="Times New Roman"/>
          <w:sz w:val="28"/>
          <w:szCs w:val="28"/>
          <w:shd w:val="clear" w:color="auto" w:fill="FFFFFF"/>
        </w:rPr>
        <w:t>– С. 21</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24.</w:t>
      </w:r>
    </w:p>
    <w:p w:rsidR="00C62D22" w:rsidRPr="003307F1" w:rsidRDefault="00C62D22" w:rsidP="00C62D22">
      <w:pPr>
        <w:numPr>
          <w:ilvl w:val="0"/>
          <w:numId w:val="34"/>
        </w:numPr>
        <w:tabs>
          <w:tab w:val="clear" w:pos="720"/>
          <w:tab w:val="left" w:pos="360"/>
          <w:tab w:val="left" w:pos="90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Алиева Э. А. </w:t>
      </w:r>
      <w:r w:rsidRPr="003307F1">
        <w:rPr>
          <w:rFonts w:ascii="Times New Roman" w:hAnsi="Times New Roman"/>
          <w:sz w:val="28"/>
          <w:szCs w:val="28"/>
        </w:rPr>
        <w:t>Пути предотвращения поражения поджелудочной железы на фоне гнойного холангита и холедохолитиаза, осложненных</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обтурационной желтухой: алгоритм диагностики и лечения / Э. А. </w:t>
      </w:r>
      <w:r w:rsidRPr="003307F1">
        <w:rPr>
          <w:rFonts w:ascii="Times New Roman" w:hAnsi="Times New Roman"/>
          <w:bCs/>
          <w:sz w:val="28"/>
          <w:szCs w:val="28"/>
        </w:rPr>
        <w:t>Алиева, Г. Б. Исаев</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 </w:t>
      </w:r>
      <w:r w:rsidRPr="003307F1">
        <w:rPr>
          <w:rFonts w:ascii="Times New Roman" w:hAnsi="Times New Roman"/>
          <w:bCs/>
          <w:sz w:val="28"/>
          <w:szCs w:val="28"/>
        </w:rPr>
        <w:t xml:space="preserve">Клінічна хірургія. </w:t>
      </w:r>
      <w:r w:rsidRPr="003307F1">
        <w:rPr>
          <w:rFonts w:ascii="Times New Roman" w:hAnsi="Times New Roman"/>
          <w:sz w:val="28"/>
          <w:szCs w:val="28"/>
          <w:shd w:val="clear" w:color="auto" w:fill="FFFFFF"/>
        </w:rPr>
        <w:t>–</w:t>
      </w:r>
      <w:r w:rsidRPr="003307F1">
        <w:rPr>
          <w:rFonts w:ascii="Times New Roman" w:hAnsi="Times New Roman"/>
          <w:bCs/>
          <w:sz w:val="28"/>
          <w:szCs w:val="28"/>
        </w:rPr>
        <w:t xml:space="preserve"> 2014. </w:t>
      </w:r>
      <w:r w:rsidRPr="003307F1">
        <w:rPr>
          <w:rFonts w:ascii="Times New Roman" w:hAnsi="Times New Roman"/>
          <w:sz w:val="28"/>
          <w:szCs w:val="28"/>
          <w:shd w:val="clear" w:color="auto" w:fill="FFFFFF"/>
        </w:rPr>
        <w:t xml:space="preserve">– </w:t>
      </w:r>
      <w:r w:rsidRPr="003307F1">
        <w:rPr>
          <w:rFonts w:ascii="Times New Roman" w:hAnsi="Times New Roman"/>
          <w:bCs/>
          <w:sz w:val="28"/>
          <w:szCs w:val="28"/>
        </w:rPr>
        <w:t xml:space="preserve">№ 5 </w:t>
      </w:r>
      <w:r w:rsidRPr="003307F1">
        <w:rPr>
          <w:rFonts w:ascii="Times New Roman" w:hAnsi="Times New Roman"/>
          <w:sz w:val="28"/>
          <w:szCs w:val="28"/>
          <w:shd w:val="clear" w:color="auto" w:fill="FFFFFF"/>
        </w:rPr>
        <w:t>– С. 35</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37.</w:t>
      </w:r>
    </w:p>
    <w:p w:rsidR="00C62D22" w:rsidRPr="003307F1" w:rsidRDefault="00C62D22" w:rsidP="00C62D22">
      <w:pPr>
        <w:numPr>
          <w:ilvl w:val="0"/>
          <w:numId w:val="34"/>
        </w:numPr>
        <w:tabs>
          <w:tab w:val="clear" w:pos="720"/>
          <w:tab w:val="left" w:pos="360"/>
          <w:tab w:val="left" w:pos="90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Андреева И. В. </w:t>
      </w:r>
      <w:r w:rsidRPr="003307F1">
        <w:rPr>
          <w:rFonts w:ascii="Times New Roman" w:hAnsi="Times New Roman"/>
          <w:sz w:val="28"/>
          <w:szCs w:val="28"/>
        </w:rPr>
        <w:t>Проблемы выбора метода лечения псевдокист поджелудочной железы</w:t>
      </w:r>
      <w:r w:rsidRPr="003307F1">
        <w:rPr>
          <w:rFonts w:ascii="Times New Roman" w:eastAsia="TimesNewRoman" w:hAnsi="Times New Roman"/>
          <w:sz w:val="28"/>
          <w:szCs w:val="28"/>
        </w:rPr>
        <w:t xml:space="preserve"> / </w:t>
      </w:r>
      <w:r w:rsidRPr="003307F1">
        <w:rPr>
          <w:rFonts w:ascii="Times New Roman" w:hAnsi="Times New Roman"/>
          <w:sz w:val="28"/>
          <w:szCs w:val="28"/>
        </w:rPr>
        <w:t xml:space="preserve">И. В. Андреева, М. С. Ефимов // Клінічна хірургія. </w:t>
      </w:r>
      <w:r w:rsidRPr="003307F1">
        <w:rPr>
          <w:rFonts w:ascii="Times New Roman" w:eastAsia="Arial,Italic" w:hAnsi="Times New Roman"/>
          <w:iCs/>
          <w:sz w:val="28"/>
          <w:szCs w:val="28"/>
        </w:rPr>
        <w:t>–</w:t>
      </w:r>
      <w:r w:rsidRPr="003307F1">
        <w:rPr>
          <w:rFonts w:ascii="Times New Roman" w:hAnsi="Times New Roman"/>
          <w:sz w:val="28"/>
          <w:szCs w:val="28"/>
        </w:rPr>
        <w:t xml:space="preserve"> 2011. </w:t>
      </w:r>
      <w:r w:rsidRPr="003307F1">
        <w:rPr>
          <w:rFonts w:ascii="Times New Roman" w:eastAsia="Arial,Italic" w:hAnsi="Times New Roman"/>
          <w:iCs/>
          <w:sz w:val="28"/>
          <w:szCs w:val="28"/>
        </w:rPr>
        <w:t xml:space="preserve">– </w:t>
      </w:r>
      <w:r w:rsidRPr="003307F1">
        <w:rPr>
          <w:rFonts w:ascii="Times New Roman" w:hAnsi="Times New Roman"/>
          <w:sz w:val="28"/>
          <w:szCs w:val="28"/>
        </w:rPr>
        <w:t xml:space="preserve">№ 5. </w:t>
      </w:r>
      <w:r w:rsidRPr="003307F1">
        <w:rPr>
          <w:rFonts w:ascii="Times New Roman" w:eastAsia="Arial,Italic" w:hAnsi="Times New Roman"/>
          <w:iCs/>
          <w:sz w:val="28"/>
          <w:szCs w:val="28"/>
        </w:rPr>
        <w:t xml:space="preserve">– </w:t>
      </w:r>
      <w:r>
        <w:rPr>
          <w:rFonts w:ascii="Times New Roman" w:hAnsi="Times New Roman"/>
          <w:sz w:val="28"/>
          <w:szCs w:val="28"/>
        </w:rPr>
        <w:t>С. 5-</w:t>
      </w:r>
      <w:r w:rsidRPr="003307F1">
        <w:rPr>
          <w:rFonts w:ascii="Times New Roman" w:hAnsi="Times New Roman"/>
          <w:sz w:val="28"/>
          <w:szCs w:val="28"/>
        </w:rPr>
        <w:t>6.</w:t>
      </w:r>
    </w:p>
    <w:p w:rsidR="00C62D22" w:rsidRPr="003307F1" w:rsidRDefault="00C62D22" w:rsidP="00C62D22">
      <w:pPr>
        <w:numPr>
          <w:ilvl w:val="0"/>
          <w:numId w:val="34"/>
        </w:numPr>
        <w:tabs>
          <w:tab w:val="clear" w:pos="720"/>
          <w:tab w:val="left" w:pos="360"/>
          <w:tab w:val="left" w:pos="90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Андреева И. В. Вмешательства по поводу очаговых жидкостных</w:t>
      </w:r>
      <w:r w:rsidRPr="003307F1">
        <w:rPr>
          <w:rFonts w:ascii="Times New Roman" w:eastAsia="TimesNewRoman" w:hAnsi="Times New Roman"/>
          <w:sz w:val="28"/>
          <w:szCs w:val="28"/>
        </w:rPr>
        <w:t xml:space="preserve"> </w:t>
      </w:r>
      <w:r w:rsidRPr="003307F1">
        <w:rPr>
          <w:rFonts w:ascii="Times New Roman" w:hAnsi="Times New Roman"/>
          <w:sz w:val="28"/>
          <w:szCs w:val="28"/>
        </w:rPr>
        <w:t>образований поджелудочной железы и окружающих тканей с</w:t>
      </w:r>
      <w:r w:rsidRPr="003307F1">
        <w:rPr>
          <w:rFonts w:ascii="Times New Roman" w:eastAsia="TimesNewRoman" w:hAnsi="Times New Roman"/>
          <w:sz w:val="28"/>
          <w:szCs w:val="28"/>
        </w:rPr>
        <w:t xml:space="preserve"> </w:t>
      </w:r>
      <w:r w:rsidRPr="003307F1">
        <w:rPr>
          <w:rFonts w:ascii="Times New Roman" w:hAnsi="Times New Roman"/>
          <w:sz w:val="28"/>
          <w:szCs w:val="28"/>
        </w:rPr>
        <w:t>использова</w:t>
      </w:r>
      <w:r>
        <w:rPr>
          <w:rFonts w:ascii="Times New Roman" w:hAnsi="Times New Roman"/>
          <w:sz w:val="28"/>
          <w:szCs w:val="28"/>
        </w:rPr>
        <w:t xml:space="preserve">нием миниинвазивных технологий </w:t>
      </w:r>
      <w:r w:rsidRPr="003307F1">
        <w:rPr>
          <w:rFonts w:ascii="Times New Roman" w:hAnsi="Times New Roman"/>
          <w:sz w:val="28"/>
          <w:szCs w:val="28"/>
        </w:rPr>
        <w:t>/ И. В. Андреева,</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М. С. Ефимов // Клінічна хірургія. </w:t>
      </w:r>
      <w:r w:rsidRPr="003307F1">
        <w:rPr>
          <w:rFonts w:ascii="Times New Roman" w:eastAsia="Arial,Italic" w:hAnsi="Times New Roman"/>
          <w:iCs/>
          <w:sz w:val="28"/>
          <w:szCs w:val="28"/>
        </w:rPr>
        <w:t>–</w:t>
      </w:r>
      <w:r w:rsidRPr="003307F1">
        <w:rPr>
          <w:rFonts w:ascii="Times New Roman" w:hAnsi="Times New Roman"/>
          <w:sz w:val="28"/>
          <w:szCs w:val="28"/>
        </w:rPr>
        <w:t xml:space="preserve"> 2009. </w:t>
      </w:r>
      <w:r w:rsidRPr="003307F1">
        <w:rPr>
          <w:rFonts w:ascii="Times New Roman" w:eastAsia="Arial,Italic" w:hAnsi="Times New Roman"/>
          <w:iCs/>
          <w:sz w:val="28"/>
          <w:szCs w:val="28"/>
        </w:rPr>
        <w:t>–</w:t>
      </w:r>
      <w:r w:rsidRPr="003307F1">
        <w:rPr>
          <w:rFonts w:ascii="Times New Roman" w:hAnsi="Times New Roman"/>
          <w:sz w:val="28"/>
          <w:szCs w:val="28"/>
        </w:rPr>
        <w:t xml:space="preserve"> № 7 </w:t>
      </w:r>
      <w:r w:rsidRPr="003307F1">
        <w:rPr>
          <w:rFonts w:ascii="Times New Roman" w:eastAsia="Arial,Italic" w:hAnsi="Times New Roman"/>
          <w:iCs/>
          <w:sz w:val="28"/>
          <w:szCs w:val="28"/>
        </w:rPr>
        <w:t xml:space="preserve">– </w:t>
      </w:r>
      <w:r w:rsidRPr="003307F1">
        <w:rPr>
          <w:rFonts w:ascii="Times New Roman" w:hAnsi="Times New Roman"/>
          <w:sz w:val="28"/>
          <w:szCs w:val="28"/>
        </w:rPr>
        <w:t xml:space="preserve">8. </w:t>
      </w:r>
      <w:r w:rsidRPr="003307F1">
        <w:rPr>
          <w:rFonts w:ascii="Times New Roman" w:eastAsia="Arial,Italic" w:hAnsi="Times New Roman"/>
          <w:iCs/>
          <w:sz w:val="28"/>
          <w:szCs w:val="28"/>
        </w:rPr>
        <w:t>–</w:t>
      </w:r>
      <w:r w:rsidRPr="003307F1">
        <w:rPr>
          <w:rFonts w:ascii="Times New Roman" w:hAnsi="Times New Roman"/>
          <w:sz w:val="28"/>
          <w:szCs w:val="28"/>
        </w:rPr>
        <w:t xml:space="preserve"> С. 5</w:t>
      </w:r>
      <w:r>
        <w:rPr>
          <w:rFonts w:ascii="Times New Roman" w:hAnsi="Times New Roman"/>
          <w:sz w:val="28"/>
          <w:szCs w:val="28"/>
        </w:rPr>
        <w:t>-</w:t>
      </w:r>
      <w:r w:rsidRPr="003307F1">
        <w:rPr>
          <w:rFonts w:ascii="Times New Roman" w:hAnsi="Times New Roman"/>
          <w:sz w:val="28"/>
          <w:szCs w:val="28"/>
        </w:rPr>
        <w:t>7.</w:t>
      </w:r>
    </w:p>
    <w:p w:rsidR="00C62D22" w:rsidRPr="003307F1" w:rsidRDefault="00C62D22" w:rsidP="00C62D22">
      <w:pPr>
        <w:numPr>
          <w:ilvl w:val="0"/>
          <w:numId w:val="34"/>
        </w:numPr>
        <w:tabs>
          <w:tab w:val="clear" w:pos="720"/>
          <w:tab w:val="left" w:pos="360"/>
          <w:tab w:val="left" w:pos="90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Андрющенко В. П. Систематизований підхід до застосування сучасних мініінвазивних технологій в хірургічному лікуванні гострого панкреатиту та його ускладнень / В. П. Андрющенко, Д. В. Андрющенко, Л. М. Когут // Український журнал хірургії. </w:t>
      </w:r>
      <w:r w:rsidRPr="003307F1">
        <w:rPr>
          <w:rFonts w:ascii="Times New Roman" w:hAnsi="Times New Roman"/>
          <w:sz w:val="28"/>
          <w:szCs w:val="28"/>
          <w:shd w:val="clear" w:color="auto" w:fill="FFFFFF"/>
        </w:rPr>
        <w:t>– 2009. – №</w:t>
      </w:r>
      <w:r>
        <w:rPr>
          <w:rFonts w:ascii="Times New Roman" w:hAnsi="Times New Roman"/>
          <w:sz w:val="28"/>
          <w:szCs w:val="28"/>
          <w:shd w:val="clear" w:color="auto" w:fill="FFFFFF"/>
        </w:rPr>
        <w:t xml:space="preserve"> 2. – С. 7-</w:t>
      </w:r>
      <w:r w:rsidRPr="003307F1">
        <w:rPr>
          <w:rFonts w:ascii="Times New Roman" w:hAnsi="Times New Roman"/>
          <w:sz w:val="28"/>
          <w:szCs w:val="28"/>
          <w:shd w:val="clear" w:color="auto" w:fill="FFFFFF"/>
        </w:rPr>
        <w:t>12.</w:t>
      </w:r>
    </w:p>
    <w:p w:rsidR="00C62D22" w:rsidRPr="003307F1" w:rsidRDefault="00C62D22" w:rsidP="00C62D22">
      <w:pPr>
        <w:numPr>
          <w:ilvl w:val="0"/>
          <w:numId w:val="34"/>
        </w:numPr>
        <w:tabs>
          <w:tab w:val="clear" w:pos="720"/>
          <w:tab w:val="left" w:pos="360"/>
          <w:tab w:val="left" w:pos="90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Бабаева А.Г. Регенерация и сист</w:t>
      </w:r>
      <w:r w:rsidRPr="003307F1">
        <w:rPr>
          <w:rFonts w:ascii="Times New Roman" w:hAnsi="Times New Roman"/>
          <w:sz w:val="28"/>
          <w:szCs w:val="28"/>
        </w:rPr>
        <w:t>е</w:t>
      </w:r>
      <w:r w:rsidRPr="003307F1">
        <w:rPr>
          <w:rFonts w:ascii="Times New Roman" w:hAnsi="Times New Roman"/>
          <w:sz w:val="28"/>
          <w:szCs w:val="28"/>
        </w:rPr>
        <w:t>ма иммуногенеза / А.Г. Бабаева. – М., Медицина. – 1985. – 256 с.</w:t>
      </w:r>
    </w:p>
    <w:p w:rsidR="00C62D22" w:rsidRPr="003307F1" w:rsidRDefault="00C62D22" w:rsidP="00C62D22">
      <w:pPr>
        <w:numPr>
          <w:ilvl w:val="0"/>
          <w:numId w:val="34"/>
        </w:numPr>
        <w:tabs>
          <w:tab w:val="clear" w:pos="720"/>
          <w:tab w:val="left" w:pos="360"/>
          <w:tab w:val="left" w:pos="90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lastRenderedPageBreak/>
        <w:t xml:space="preserve"> Бабаева А.Г. Двуликий Янус организма / А.Г. Бабаева. – М.: На</w:t>
      </w:r>
      <w:r w:rsidRPr="003307F1">
        <w:rPr>
          <w:rFonts w:ascii="Times New Roman" w:hAnsi="Times New Roman"/>
          <w:sz w:val="28"/>
          <w:szCs w:val="28"/>
        </w:rPr>
        <w:t>р</w:t>
      </w:r>
      <w:r w:rsidRPr="003307F1">
        <w:rPr>
          <w:rFonts w:ascii="Times New Roman" w:hAnsi="Times New Roman"/>
          <w:sz w:val="28"/>
          <w:szCs w:val="28"/>
        </w:rPr>
        <w:t>конет. – 2001. – 136 с.</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Балака С.М. Особливості клінічного перебігу порожнинних утворень підшлункової залози та їх хірургічне лікування: автореф. дис. … канд. мед. наук / С.М. Балака. – Харків, 2011. – 20 с.</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PSMT" w:hAnsi="Times New Roman"/>
          <w:sz w:val="28"/>
          <w:szCs w:val="28"/>
        </w:rPr>
        <w:t xml:space="preserve">Баранова Е. В. </w:t>
      </w:r>
      <w:r w:rsidRPr="003307F1">
        <w:rPr>
          <w:rFonts w:ascii="Times New Roman" w:eastAsia="TimesNewRomanPS-BoldMT" w:hAnsi="Times New Roman"/>
          <w:bCs/>
          <w:sz w:val="28"/>
          <w:szCs w:val="28"/>
        </w:rPr>
        <w:t>Сравнительная характеристика методов определения маркера воспаления матриксной металлопротеиназы-9 /</w:t>
      </w:r>
      <w:r>
        <w:rPr>
          <w:rFonts w:ascii="Times New Roman" w:eastAsia="TimesNewRomanPSMT" w:hAnsi="Times New Roman"/>
          <w:sz w:val="28"/>
          <w:szCs w:val="28"/>
        </w:rPr>
        <w:t xml:space="preserve"> Е. В. Баранова,                            А. </w:t>
      </w:r>
      <w:r w:rsidRPr="003307F1">
        <w:rPr>
          <w:rFonts w:ascii="Times New Roman" w:eastAsia="TimesNewRomanPSMT" w:hAnsi="Times New Roman"/>
          <w:sz w:val="28"/>
          <w:szCs w:val="28"/>
        </w:rPr>
        <w:t xml:space="preserve">В. Абрамов, В. И. Дарий // Патологія. </w:t>
      </w:r>
      <w:r w:rsidRPr="003307F1">
        <w:rPr>
          <w:rFonts w:ascii="Times New Roman" w:eastAsia="Arial,Italic" w:hAnsi="Times New Roman"/>
          <w:iCs/>
          <w:sz w:val="28"/>
          <w:szCs w:val="28"/>
        </w:rPr>
        <w:t>–</w:t>
      </w:r>
      <w:r w:rsidRPr="003307F1">
        <w:rPr>
          <w:rFonts w:ascii="Times New Roman" w:eastAsia="TimesNewRomanPSMT" w:hAnsi="Times New Roman"/>
          <w:sz w:val="28"/>
          <w:szCs w:val="28"/>
        </w:rPr>
        <w:t xml:space="preserve"> 2014. </w:t>
      </w:r>
      <w:r w:rsidRPr="003307F1">
        <w:rPr>
          <w:rFonts w:ascii="Times New Roman" w:eastAsia="Arial,Italic" w:hAnsi="Times New Roman"/>
          <w:iCs/>
          <w:sz w:val="28"/>
          <w:szCs w:val="28"/>
        </w:rPr>
        <w:t>–</w:t>
      </w:r>
      <w:r w:rsidRPr="003307F1">
        <w:rPr>
          <w:rFonts w:ascii="Times New Roman" w:eastAsia="TimesNewRomanPSMT" w:hAnsi="Times New Roman"/>
          <w:sz w:val="28"/>
          <w:szCs w:val="28"/>
        </w:rPr>
        <w:t xml:space="preserve"> №3 (32). </w:t>
      </w:r>
      <w:r>
        <w:rPr>
          <w:rFonts w:ascii="Times New Roman" w:eastAsia="Arial,Italic" w:hAnsi="Times New Roman"/>
          <w:iCs/>
          <w:sz w:val="28"/>
          <w:szCs w:val="28"/>
        </w:rPr>
        <w:t>– С. 111-</w:t>
      </w:r>
      <w:r w:rsidRPr="003307F1">
        <w:rPr>
          <w:rFonts w:ascii="Times New Roman" w:eastAsia="Arial,Italic" w:hAnsi="Times New Roman"/>
          <w:iCs/>
          <w:sz w:val="28"/>
          <w:szCs w:val="28"/>
        </w:rPr>
        <w:t>114.</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Бебурушвили А. Г. "Технологическая" классификация миниинвазивных</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операций / А. Г. Бебурушвили, С. И. Панин, П. А. Пироженко // Хирургия. </w:t>
      </w:r>
      <w:r w:rsidRPr="003307F1">
        <w:rPr>
          <w:rFonts w:ascii="Times New Roman" w:eastAsia="Arial,Italic" w:hAnsi="Times New Roman"/>
          <w:iCs/>
          <w:sz w:val="28"/>
          <w:szCs w:val="28"/>
        </w:rPr>
        <w:t>–</w:t>
      </w:r>
      <w:r w:rsidRPr="003307F1">
        <w:rPr>
          <w:rFonts w:ascii="Times New Roman" w:hAnsi="Times New Roman"/>
          <w:sz w:val="28"/>
          <w:szCs w:val="28"/>
        </w:rPr>
        <w:t xml:space="preserve"> 2009. </w:t>
      </w:r>
      <w:r w:rsidRPr="003307F1">
        <w:rPr>
          <w:rFonts w:ascii="Times New Roman" w:eastAsia="Arial,Italic" w:hAnsi="Times New Roman"/>
          <w:iCs/>
          <w:sz w:val="28"/>
          <w:szCs w:val="28"/>
        </w:rPr>
        <w:t>–</w:t>
      </w:r>
      <w:r w:rsidRPr="003307F1">
        <w:rPr>
          <w:rFonts w:ascii="Times New Roman" w:hAnsi="Times New Roman"/>
          <w:sz w:val="28"/>
          <w:szCs w:val="28"/>
        </w:rPr>
        <w:t xml:space="preserve"> № 7. </w:t>
      </w:r>
      <w:r w:rsidRPr="003307F1">
        <w:rPr>
          <w:rFonts w:ascii="Times New Roman" w:eastAsia="Arial,Italic" w:hAnsi="Times New Roman"/>
          <w:iCs/>
          <w:sz w:val="28"/>
          <w:szCs w:val="28"/>
        </w:rPr>
        <w:t>–</w:t>
      </w:r>
      <w:r>
        <w:rPr>
          <w:rFonts w:ascii="Times New Roman" w:hAnsi="Times New Roman"/>
          <w:sz w:val="28"/>
          <w:szCs w:val="28"/>
        </w:rPr>
        <w:t xml:space="preserve"> С. 29-</w:t>
      </w:r>
      <w:r w:rsidRPr="003307F1">
        <w:rPr>
          <w:rFonts w:ascii="Times New Roman" w:hAnsi="Times New Roman"/>
          <w:sz w:val="28"/>
          <w:szCs w:val="28"/>
        </w:rPr>
        <w:t>32.</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Биофункциональная симметрия индивидуальных значений</w:t>
      </w:r>
      <w:r w:rsidRPr="003307F1">
        <w:rPr>
          <w:rFonts w:ascii="Times New Roman" w:eastAsia="TimesNewRoman" w:hAnsi="Times New Roman"/>
          <w:sz w:val="28"/>
          <w:szCs w:val="28"/>
        </w:rPr>
        <w:t xml:space="preserve"> </w:t>
      </w:r>
      <w:r w:rsidRPr="003307F1">
        <w:rPr>
          <w:rFonts w:ascii="Times New Roman" w:hAnsi="Times New Roman"/>
          <w:sz w:val="28"/>
          <w:szCs w:val="28"/>
        </w:rPr>
        <w:t>клинико—лабораторных показателей у больных с тяжелыми</w:t>
      </w:r>
      <w:r w:rsidRPr="003307F1">
        <w:rPr>
          <w:rFonts w:ascii="Times New Roman" w:eastAsia="TimesNewRoman" w:hAnsi="Times New Roman"/>
          <w:sz w:val="28"/>
          <w:szCs w:val="28"/>
        </w:rPr>
        <w:t xml:space="preserve"> </w:t>
      </w:r>
      <w:r w:rsidRPr="003307F1">
        <w:rPr>
          <w:rFonts w:ascii="Times New Roman" w:hAnsi="Times New Roman"/>
          <w:sz w:val="28"/>
          <w:szCs w:val="28"/>
        </w:rPr>
        <w:t>формами острого панкреатита</w:t>
      </w:r>
      <w:r w:rsidRPr="003307F1">
        <w:rPr>
          <w:rFonts w:ascii="Times New Roman" w:eastAsia="TimesNewRoman" w:hAnsi="Times New Roman"/>
          <w:sz w:val="28"/>
          <w:szCs w:val="28"/>
        </w:rPr>
        <w:t xml:space="preserve"> / </w:t>
      </w:r>
      <w:r>
        <w:rPr>
          <w:rFonts w:ascii="Times New Roman" w:eastAsia="TimesNewRoman" w:hAnsi="Times New Roman"/>
          <w:sz w:val="28"/>
          <w:szCs w:val="28"/>
        </w:rPr>
        <w:t xml:space="preserve">                 </w:t>
      </w:r>
      <w:r w:rsidRPr="003307F1">
        <w:rPr>
          <w:rFonts w:ascii="Times New Roman" w:hAnsi="Times New Roman"/>
          <w:sz w:val="28"/>
          <w:szCs w:val="28"/>
        </w:rPr>
        <w:t>В. А. Сипливый, К. В. Конь, В. И. Робак, А. В. Евтушенко // Клінічна хірургія. – 2012</w:t>
      </w:r>
      <w:r>
        <w:rPr>
          <w:rFonts w:ascii="Times New Roman" w:hAnsi="Times New Roman"/>
          <w:sz w:val="28"/>
          <w:szCs w:val="28"/>
        </w:rPr>
        <w:t>. – № 2. – С. 26-</w:t>
      </w:r>
      <w:r w:rsidRPr="003307F1">
        <w:rPr>
          <w:rFonts w:ascii="Times New Roman" w:hAnsi="Times New Roman"/>
          <w:sz w:val="28"/>
          <w:szCs w:val="28"/>
        </w:rPr>
        <w:t>31.</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Бобро В. В. Аналіз ефективності лікування</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псевдокіст</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підшлункової</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 xml:space="preserve">залози різними хірургічними </w:t>
      </w:r>
      <w:r w:rsidRPr="003307F1">
        <w:rPr>
          <w:rFonts w:ascii="Times New Roman" w:hAnsi="Times New Roman"/>
          <w:bCs/>
          <w:sz w:val="28"/>
          <w:szCs w:val="28"/>
          <w:shd w:val="clear" w:color="auto" w:fill="FFFFFF"/>
        </w:rPr>
        <w:t>методами</w:t>
      </w:r>
      <w:r w:rsidRPr="003307F1">
        <w:rPr>
          <w:rStyle w:val="apple-converted-space"/>
          <w:rFonts w:ascii="Times New Roman" w:hAnsi="Times New Roman"/>
          <w:sz w:val="28"/>
          <w:szCs w:val="28"/>
          <w:shd w:val="clear" w:color="auto" w:fill="FFFFFF"/>
        </w:rPr>
        <w:t xml:space="preserve"> / В. В. Бобро </w:t>
      </w:r>
      <w:r w:rsidRPr="003307F1">
        <w:rPr>
          <w:rFonts w:ascii="Times New Roman" w:hAnsi="Times New Roman"/>
          <w:sz w:val="28"/>
          <w:szCs w:val="28"/>
          <w:shd w:val="clear" w:color="auto" w:fill="FFFFFF"/>
        </w:rPr>
        <w:t xml:space="preserve">// </w:t>
      </w:r>
      <w:hyperlink r:id="rId136" w:tooltip="Періодичне видання" w:history="1">
        <w:r w:rsidRPr="003307F1">
          <w:rPr>
            <w:rStyle w:val="af1"/>
            <w:rFonts w:ascii="Times New Roman" w:hAnsi="Times New Roman"/>
            <w:sz w:val="28"/>
            <w:szCs w:val="28"/>
            <w:shd w:val="clear" w:color="auto" w:fill="FFFFFF"/>
          </w:rPr>
          <w:t>Харківська хірургічна школа</w:t>
        </w:r>
      </w:hyperlink>
      <w:r w:rsidRPr="003307F1">
        <w:rPr>
          <w:rFonts w:ascii="Times New Roman" w:hAnsi="Times New Roman"/>
          <w:sz w:val="28"/>
          <w:szCs w:val="28"/>
          <w:shd w:val="clear" w:color="auto" w:fill="FFFFFF"/>
        </w:rPr>
        <w:t xml:space="preserve">. </w:t>
      </w:r>
      <w:r w:rsidRPr="003307F1">
        <w:rPr>
          <w:rFonts w:ascii="Times New Roman" w:hAnsi="Times New Roman"/>
          <w:sz w:val="28"/>
          <w:szCs w:val="28"/>
        </w:rPr>
        <w:t xml:space="preserve">– </w:t>
      </w:r>
      <w:r w:rsidRPr="003307F1">
        <w:rPr>
          <w:rFonts w:ascii="Times New Roman" w:hAnsi="Times New Roman"/>
          <w:sz w:val="28"/>
          <w:szCs w:val="28"/>
          <w:shd w:val="clear" w:color="auto" w:fill="FFFFFF"/>
        </w:rPr>
        <w:t xml:space="preserve">2011.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 5. </w:t>
      </w:r>
      <w:r w:rsidRPr="003307F1">
        <w:rPr>
          <w:rFonts w:ascii="Times New Roman" w:hAnsi="Times New Roman"/>
          <w:sz w:val="28"/>
          <w:szCs w:val="28"/>
        </w:rPr>
        <w:t xml:space="preserve">– </w:t>
      </w:r>
      <w:r w:rsidRPr="003307F1">
        <w:rPr>
          <w:rFonts w:ascii="Times New Roman" w:hAnsi="Times New Roman"/>
          <w:sz w:val="28"/>
          <w:szCs w:val="28"/>
          <w:shd w:val="clear" w:color="auto" w:fill="FFFFFF"/>
        </w:rPr>
        <w:t>С. 26</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28.</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Бобро В. В. Метод прогнозування післяопераційних ускладнень у </w:t>
      </w:r>
      <w:r w:rsidRPr="003307F1">
        <w:rPr>
          <w:rFonts w:ascii="Times New Roman" w:hAnsi="Times New Roman"/>
          <w:bCs/>
          <w:sz w:val="28"/>
          <w:szCs w:val="28"/>
          <w:shd w:val="clear" w:color="auto" w:fill="FFFFFF"/>
        </w:rPr>
        <w:t>пацієнтів з псевдокістами</w:t>
      </w:r>
      <w:r w:rsidRPr="003307F1">
        <w:rPr>
          <w:rStyle w:val="apple-converted-space"/>
          <w:rFonts w:ascii="Times New Roman" w:hAnsi="Times New Roman"/>
          <w:bCs/>
          <w:sz w:val="28"/>
          <w:szCs w:val="28"/>
          <w:shd w:val="clear" w:color="auto" w:fill="FFFFFF"/>
        </w:rPr>
        <w:t xml:space="preserve"> </w:t>
      </w:r>
      <w:r w:rsidRPr="003307F1">
        <w:rPr>
          <w:rFonts w:ascii="Times New Roman" w:hAnsi="Times New Roman"/>
          <w:bCs/>
          <w:sz w:val="28"/>
          <w:szCs w:val="28"/>
          <w:shd w:val="clear" w:color="auto" w:fill="FFFFFF"/>
        </w:rPr>
        <w:t>підшлункової</w:t>
      </w:r>
      <w:r w:rsidRPr="003307F1">
        <w:rPr>
          <w:rStyle w:val="apple-converted-space"/>
          <w:rFonts w:ascii="Times New Roman" w:hAnsi="Times New Roman"/>
          <w:bCs/>
          <w:sz w:val="28"/>
          <w:szCs w:val="28"/>
          <w:shd w:val="clear" w:color="auto" w:fill="FFFFFF"/>
        </w:rPr>
        <w:t xml:space="preserve"> </w:t>
      </w:r>
      <w:r w:rsidRPr="003307F1">
        <w:rPr>
          <w:rFonts w:ascii="Times New Roman" w:hAnsi="Times New Roman"/>
          <w:bCs/>
          <w:sz w:val="28"/>
          <w:szCs w:val="28"/>
          <w:shd w:val="clear" w:color="auto" w:fill="FFFFFF"/>
        </w:rPr>
        <w:t>залози / В. В. Бобро</w:t>
      </w:r>
      <w:r w:rsidRPr="003307F1">
        <w:rPr>
          <w:rFonts w:ascii="Times New Roman" w:hAnsi="Times New Roman"/>
          <w:sz w:val="28"/>
          <w:szCs w:val="28"/>
          <w:shd w:val="clear" w:color="auto" w:fill="FFFFFF"/>
        </w:rPr>
        <w:t xml:space="preserve"> //</w:t>
      </w:r>
      <w:r w:rsidRPr="003307F1">
        <w:rPr>
          <w:rStyle w:val="apple-converted-space"/>
          <w:rFonts w:ascii="Times New Roman" w:hAnsi="Times New Roman"/>
          <w:sz w:val="28"/>
          <w:szCs w:val="28"/>
          <w:shd w:val="clear" w:color="auto" w:fill="FFFFFF"/>
        </w:rPr>
        <w:t xml:space="preserve"> </w:t>
      </w:r>
      <w:hyperlink r:id="rId137" w:tooltip="Періодичне видання" w:history="1">
        <w:r w:rsidRPr="003307F1">
          <w:rPr>
            <w:rStyle w:val="af1"/>
            <w:rFonts w:ascii="Times New Roman" w:hAnsi="Times New Roman"/>
            <w:sz w:val="28"/>
            <w:szCs w:val="28"/>
            <w:shd w:val="clear" w:color="auto" w:fill="FFFFFF"/>
          </w:rPr>
          <w:t>Медицина сьогодні і завтра</w:t>
        </w:r>
      </w:hyperlink>
      <w:r w:rsidRPr="003307F1">
        <w:rPr>
          <w:rFonts w:ascii="Times New Roman" w:hAnsi="Times New Roman"/>
          <w:sz w:val="28"/>
          <w:szCs w:val="28"/>
          <w:shd w:val="clear" w:color="auto" w:fill="FFFFFF"/>
        </w:rPr>
        <w:t>. – 2013. – № 4. – С. 175</w:t>
      </w:r>
      <w:r>
        <w:rPr>
          <w:rFonts w:ascii="Times New Roman" w:hAnsi="Times New Roman"/>
          <w:sz w:val="28"/>
          <w:szCs w:val="28"/>
        </w:rPr>
        <w:t>-</w:t>
      </w:r>
      <w:r w:rsidRPr="003307F1">
        <w:rPr>
          <w:rFonts w:ascii="Times New Roman" w:hAnsi="Times New Roman"/>
          <w:sz w:val="28"/>
          <w:szCs w:val="28"/>
          <w:shd w:val="clear" w:color="auto" w:fill="FFFFFF"/>
        </w:rPr>
        <w:t>178.</w:t>
      </w:r>
      <w:r w:rsidRPr="003307F1">
        <w:rPr>
          <w:rFonts w:ascii="Times New Roman" w:hAnsi="Times New Roman"/>
          <w:sz w:val="28"/>
          <w:szCs w:val="28"/>
          <w:shd w:val="clear" w:color="auto" w:fill="F9F9F9"/>
        </w:rPr>
        <w:t xml:space="preserve"> </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Брицкая Н. Н.</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Хирургическое лечение больных по поводу некротического панкреатита в фазе гнойных осложнений / Н. Н. Брицкая // Клінічна хірургія.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2012.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 8.</w:t>
      </w:r>
      <w:r w:rsidRPr="003307F1">
        <w:rPr>
          <w:rFonts w:ascii="Times New Roman" w:hAnsi="Times New Roman"/>
          <w:sz w:val="28"/>
          <w:szCs w:val="28"/>
          <w:shd w:val="clear" w:color="auto" w:fill="FFFFFF"/>
        </w:rPr>
        <w:t xml:space="preserve"> –</w:t>
      </w:r>
      <w:r>
        <w:rPr>
          <w:rFonts w:ascii="Times New Roman" w:hAnsi="Times New Roman"/>
          <w:sz w:val="28"/>
          <w:szCs w:val="28"/>
        </w:rPr>
        <w:t xml:space="preserve"> С. 49-</w:t>
      </w:r>
      <w:r w:rsidRPr="003307F1">
        <w:rPr>
          <w:rFonts w:ascii="Times New Roman" w:hAnsi="Times New Roman"/>
          <w:sz w:val="28"/>
          <w:szCs w:val="28"/>
        </w:rPr>
        <w:t>51.</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Віддалені результати хірургічного лікування хворих з приводу ускладнених форм хронічного панкреатиту / В. М. </w:t>
      </w:r>
      <w:r w:rsidRPr="003307F1">
        <w:rPr>
          <w:rFonts w:ascii="Times New Roman" w:hAnsi="Times New Roman"/>
          <w:bCs/>
          <w:sz w:val="28"/>
          <w:szCs w:val="28"/>
        </w:rPr>
        <w:t xml:space="preserve">Ратчик, Д. В. Орловський, В. А. Макарчук [ та ін. ] // </w:t>
      </w:r>
      <w:r w:rsidRPr="003307F1">
        <w:rPr>
          <w:rFonts w:ascii="Times New Roman" w:hAnsi="Times New Roman"/>
          <w:sz w:val="28"/>
          <w:szCs w:val="28"/>
        </w:rPr>
        <w:t>Клінічна хіру</w:t>
      </w:r>
      <w:r>
        <w:rPr>
          <w:rFonts w:ascii="Times New Roman" w:hAnsi="Times New Roman"/>
          <w:sz w:val="28"/>
          <w:szCs w:val="28"/>
        </w:rPr>
        <w:t>ргія. – 2014. – № 12. – С. 22-</w:t>
      </w:r>
      <w:r w:rsidRPr="003307F1">
        <w:rPr>
          <w:rFonts w:ascii="Times New Roman" w:hAnsi="Times New Roman"/>
          <w:sz w:val="28"/>
          <w:szCs w:val="28"/>
        </w:rPr>
        <w:t>25.</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Відеоконтрольовані оперативні втручання при кістозних ураженнях підшлункової залози / </w:t>
      </w:r>
      <w:r w:rsidRPr="003307F1">
        <w:rPr>
          <w:rFonts w:ascii="Times New Roman" w:eastAsia="TimesNewRoman,Italic" w:hAnsi="Times New Roman"/>
          <w:iCs/>
          <w:sz w:val="28"/>
          <w:szCs w:val="28"/>
        </w:rPr>
        <w:t>М. Ю. Ничитайло, П. В. Огородник, О. П. Кондратюк,</w:t>
      </w:r>
      <w:r w:rsidRPr="003307F1">
        <w:rPr>
          <w:rFonts w:ascii="Times New Roman" w:eastAsia="TimesNewRoman" w:hAnsi="Times New Roman"/>
          <w:sz w:val="28"/>
          <w:szCs w:val="28"/>
        </w:rPr>
        <w:t xml:space="preserve"> </w:t>
      </w:r>
      <w:r>
        <w:rPr>
          <w:rFonts w:ascii="Times New Roman" w:eastAsia="TimesNewRoman" w:hAnsi="Times New Roman"/>
          <w:sz w:val="28"/>
          <w:szCs w:val="28"/>
        </w:rPr>
        <w:t xml:space="preserve">                   </w:t>
      </w:r>
      <w:r w:rsidRPr="003307F1">
        <w:rPr>
          <w:rFonts w:ascii="Times New Roman" w:eastAsia="TimesNewRoman,Italic" w:hAnsi="Times New Roman"/>
          <w:iCs/>
          <w:sz w:val="28"/>
          <w:szCs w:val="28"/>
        </w:rPr>
        <w:t>А. Г. Дейниченко</w:t>
      </w:r>
      <w:r w:rsidRPr="003307F1">
        <w:rPr>
          <w:rFonts w:ascii="Times New Roman" w:eastAsia="TimesNewRoman" w:hAnsi="Times New Roman"/>
          <w:sz w:val="28"/>
          <w:szCs w:val="28"/>
        </w:rPr>
        <w:t xml:space="preserve"> // </w:t>
      </w:r>
      <w:r w:rsidRPr="003307F1">
        <w:rPr>
          <w:rFonts w:ascii="Times New Roman" w:eastAsia="Arial,Italic" w:hAnsi="Times New Roman"/>
          <w:iCs/>
          <w:sz w:val="28"/>
          <w:szCs w:val="28"/>
        </w:rPr>
        <w:t xml:space="preserve">Шпитальна хірургія. </w:t>
      </w:r>
      <w:r w:rsidRPr="003307F1">
        <w:rPr>
          <w:rFonts w:ascii="Times New Roman" w:hAnsi="Times New Roman"/>
          <w:sz w:val="28"/>
          <w:szCs w:val="28"/>
        </w:rPr>
        <w:t>– 2009. – №</w:t>
      </w:r>
      <w:r w:rsidRPr="003307F1">
        <w:rPr>
          <w:rFonts w:ascii="Times New Roman" w:eastAsia="Arial,Italic" w:hAnsi="Times New Roman"/>
          <w:iCs/>
          <w:sz w:val="28"/>
          <w:szCs w:val="28"/>
        </w:rPr>
        <w:t xml:space="preserve"> 3. </w:t>
      </w:r>
      <w:r w:rsidRPr="003307F1">
        <w:rPr>
          <w:rFonts w:ascii="Times New Roman" w:hAnsi="Times New Roman"/>
          <w:sz w:val="28"/>
          <w:szCs w:val="28"/>
        </w:rPr>
        <w:t>–</w:t>
      </w:r>
      <w:r>
        <w:rPr>
          <w:rFonts w:ascii="Times New Roman" w:eastAsia="TimesNewRoman" w:hAnsi="Times New Roman"/>
          <w:sz w:val="28"/>
          <w:szCs w:val="28"/>
        </w:rPr>
        <w:t xml:space="preserve"> С. 5-</w:t>
      </w:r>
      <w:r w:rsidRPr="003307F1">
        <w:rPr>
          <w:rFonts w:ascii="Times New Roman" w:eastAsia="TimesNewRoman" w:hAnsi="Times New Roman"/>
          <w:sz w:val="28"/>
          <w:szCs w:val="28"/>
        </w:rPr>
        <w:t>8.</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lastRenderedPageBreak/>
        <w:t xml:space="preserve">Вибір оптимального методу ендоскопічного лікування псевдокістозних утворень підшлункової залози / Б. С. Запорожченко, В. І. Шишлов, О. Б. Зубков [ и др.] // Практична медицина. – 2010. – Т. </w:t>
      </w:r>
      <w:r w:rsidRPr="003307F1">
        <w:rPr>
          <w:rFonts w:ascii="Times New Roman" w:hAnsi="Times New Roman"/>
          <w:sz w:val="28"/>
          <w:szCs w:val="28"/>
          <w:lang w:val="en-US"/>
        </w:rPr>
        <w:t>XVI</w:t>
      </w:r>
      <w:r>
        <w:rPr>
          <w:rFonts w:ascii="Times New Roman" w:hAnsi="Times New Roman"/>
          <w:sz w:val="28"/>
          <w:szCs w:val="28"/>
        </w:rPr>
        <w:t>, № 4. – С. 149-</w:t>
      </w:r>
      <w:r w:rsidRPr="003307F1">
        <w:rPr>
          <w:rFonts w:ascii="Times New Roman" w:hAnsi="Times New Roman"/>
          <w:sz w:val="28"/>
          <w:szCs w:val="28"/>
        </w:rPr>
        <w:t>152.</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Вибір хірургічної тактики при псевдокістах підшлункової залози, ускладнених кровотечею / </w:t>
      </w:r>
      <w:r w:rsidRPr="003307F1">
        <w:rPr>
          <w:rFonts w:ascii="Times New Roman" w:hAnsi="Times New Roman"/>
          <w:bCs/>
          <w:iCs/>
          <w:sz w:val="28"/>
          <w:szCs w:val="28"/>
        </w:rPr>
        <w:t xml:space="preserve">О. І. Дронов, Є. А. Крючина, А. І. Горлач [ та ін. ] // </w:t>
      </w:r>
      <w:r w:rsidRPr="003307F1">
        <w:rPr>
          <w:rFonts w:ascii="Times New Roman" w:hAnsi="Times New Roman"/>
          <w:bCs/>
          <w:sz w:val="28"/>
          <w:szCs w:val="28"/>
        </w:rPr>
        <w:t xml:space="preserve">Клінічна хірургія. </w:t>
      </w:r>
      <w:r>
        <w:rPr>
          <w:rFonts w:ascii="Times New Roman" w:hAnsi="Times New Roman"/>
          <w:sz w:val="28"/>
          <w:szCs w:val="28"/>
        </w:rPr>
        <w:t>–2009. – № 7 – 8. – С. 25-</w:t>
      </w:r>
      <w:r w:rsidRPr="003307F1">
        <w:rPr>
          <w:rFonts w:ascii="Times New Roman" w:hAnsi="Times New Roman"/>
          <w:sz w:val="28"/>
          <w:szCs w:val="28"/>
        </w:rPr>
        <w:t xml:space="preserve">27. </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Вивчення змін в системі нейтрофільних гранулоцитів крові при гострому панкреатиті / О. М. Литвиненко, І. В. Гомоляко, А. В. Калюжка, Г. В. Самсонова // </w:t>
      </w:r>
      <w:r w:rsidRPr="003307F1">
        <w:rPr>
          <w:rFonts w:ascii="Times New Roman" w:hAnsi="Times New Roman"/>
          <w:bCs/>
          <w:sz w:val="28"/>
          <w:szCs w:val="28"/>
        </w:rPr>
        <w:t xml:space="preserve">Клінічна хірургія. </w:t>
      </w:r>
      <w:r>
        <w:rPr>
          <w:rFonts w:ascii="Times New Roman" w:hAnsi="Times New Roman"/>
          <w:sz w:val="28"/>
          <w:szCs w:val="28"/>
        </w:rPr>
        <w:t>–2011. – № 2. – С. 23-</w:t>
      </w:r>
      <w:r w:rsidRPr="003307F1">
        <w:rPr>
          <w:rFonts w:ascii="Times New Roman" w:hAnsi="Times New Roman"/>
          <w:sz w:val="28"/>
          <w:szCs w:val="28"/>
        </w:rPr>
        <w:t xml:space="preserve">27. </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Визначення активності запального процесу в підшлунковій залозі при хронічному панкреатиті / Б. Ф. </w:t>
      </w:r>
      <w:r w:rsidRPr="003307F1">
        <w:rPr>
          <w:rFonts w:ascii="Times New Roman" w:hAnsi="Times New Roman"/>
          <w:bCs/>
          <w:sz w:val="28"/>
          <w:szCs w:val="28"/>
        </w:rPr>
        <w:t xml:space="preserve">Шевченко, О. М. Бабій, О. М. Татарчук </w:t>
      </w:r>
      <w:r w:rsidRPr="003307F1">
        <w:rPr>
          <w:rFonts w:ascii="Times New Roman" w:hAnsi="Times New Roman"/>
          <w:bCs/>
          <w:iCs/>
          <w:sz w:val="28"/>
          <w:szCs w:val="28"/>
        </w:rPr>
        <w:t xml:space="preserve">[ та ін. ] // </w:t>
      </w:r>
      <w:r w:rsidRPr="003307F1">
        <w:rPr>
          <w:rFonts w:ascii="Times New Roman" w:hAnsi="Times New Roman"/>
          <w:bCs/>
          <w:sz w:val="28"/>
          <w:szCs w:val="28"/>
        </w:rPr>
        <w:t xml:space="preserve">Клінічна хірургія. </w:t>
      </w:r>
      <w:r>
        <w:rPr>
          <w:rFonts w:ascii="Times New Roman" w:hAnsi="Times New Roman"/>
          <w:sz w:val="28"/>
          <w:szCs w:val="28"/>
        </w:rPr>
        <w:t>–2014. – № 7. – С. 10-</w:t>
      </w:r>
      <w:r w:rsidRPr="003307F1">
        <w:rPr>
          <w:rFonts w:ascii="Times New Roman" w:hAnsi="Times New Roman"/>
          <w:sz w:val="28"/>
          <w:szCs w:val="28"/>
        </w:rPr>
        <w:t>13.</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Выбор тактики лечения больных с кистозными поражениями поджелудочной железы / В. Ю. Малюга, А. Е. Климов, А. Г. Федоров </w:t>
      </w:r>
      <w:r w:rsidRPr="003307F1">
        <w:rPr>
          <w:rFonts w:ascii="Times New Roman" w:hAnsi="Times New Roman"/>
          <w:sz w:val="28"/>
          <w:szCs w:val="28"/>
        </w:rPr>
        <w:t>[ и др. ]</w:t>
      </w:r>
      <w:r w:rsidRPr="003307F1">
        <w:rPr>
          <w:rFonts w:ascii="Times New Roman" w:eastAsia="TimesNewRoman" w:hAnsi="Times New Roman"/>
          <w:sz w:val="28"/>
          <w:szCs w:val="28"/>
        </w:rPr>
        <w:t xml:space="preserve"> // Альманах института хирургии имени А.В. Вишневского. – 2011. – Т. 6. –  №2. – С. 245.</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Возможности и роль эндоскопических методов дренирования при лечении больных с постнекротическими кистами поджелудочной железы / В. Ю. Малюга, </w:t>
      </w:r>
      <w:r>
        <w:rPr>
          <w:rFonts w:ascii="Times New Roman" w:eastAsia="TimesNewRoman" w:hAnsi="Times New Roman"/>
          <w:sz w:val="28"/>
          <w:szCs w:val="28"/>
        </w:rPr>
        <w:t xml:space="preserve">              </w:t>
      </w:r>
      <w:r w:rsidRPr="003307F1">
        <w:rPr>
          <w:rFonts w:ascii="Times New Roman" w:eastAsia="TimesNewRoman" w:hAnsi="Times New Roman"/>
          <w:sz w:val="28"/>
          <w:szCs w:val="28"/>
        </w:rPr>
        <w:t xml:space="preserve">А. Е. Климов, А. Г. Федоров </w:t>
      </w:r>
      <w:r w:rsidRPr="003307F1">
        <w:rPr>
          <w:rFonts w:ascii="Times New Roman" w:hAnsi="Times New Roman"/>
          <w:sz w:val="28"/>
          <w:szCs w:val="28"/>
        </w:rPr>
        <w:t>[ и др. ]</w:t>
      </w:r>
      <w:r w:rsidRPr="003307F1">
        <w:rPr>
          <w:rFonts w:ascii="Times New Roman" w:eastAsia="TimesNewRoman" w:hAnsi="Times New Roman"/>
          <w:sz w:val="28"/>
          <w:szCs w:val="28"/>
        </w:rPr>
        <w:t xml:space="preserve"> </w:t>
      </w:r>
      <w:r w:rsidRPr="003307F1">
        <w:rPr>
          <w:rFonts w:ascii="Times New Roman" w:eastAsia="TimesNewRoman" w:hAnsi="Times New Roman"/>
          <w:iCs/>
          <w:sz w:val="28"/>
          <w:szCs w:val="28"/>
        </w:rPr>
        <w:t xml:space="preserve">// </w:t>
      </w:r>
      <w:r w:rsidRPr="003307F1">
        <w:rPr>
          <w:rFonts w:ascii="Times New Roman" w:eastAsia="TimesNewRoman" w:hAnsi="Times New Roman"/>
          <w:sz w:val="28"/>
          <w:szCs w:val="28"/>
        </w:rPr>
        <w:t>Вестник Российской военно</w:t>
      </w:r>
      <w:r w:rsidRPr="003307F1">
        <w:rPr>
          <w:rFonts w:ascii="Times New Roman" w:eastAsia="TimesNewRoman" w:hAnsi="Times New Roman"/>
          <w:b/>
          <w:bCs/>
          <w:sz w:val="28"/>
          <w:szCs w:val="28"/>
        </w:rPr>
        <w:t>-</w:t>
      </w:r>
      <w:r w:rsidRPr="003307F1">
        <w:rPr>
          <w:rFonts w:ascii="Times New Roman" w:eastAsia="TimesNewRoman" w:hAnsi="Times New Roman"/>
          <w:sz w:val="28"/>
          <w:szCs w:val="28"/>
        </w:rPr>
        <w:t>медицинской академии</w:t>
      </w:r>
      <w:r w:rsidRPr="003307F1">
        <w:rPr>
          <w:rFonts w:ascii="Times New Roman" w:eastAsia="TimesNewRoman" w:hAnsi="Times New Roman"/>
          <w:bCs/>
          <w:sz w:val="28"/>
          <w:szCs w:val="28"/>
        </w:rPr>
        <w:t xml:space="preserve">. </w:t>
      </w:r>
      <w:r w:rsidRPr="003307F1">
        <w:rPr>
          <w:rFonts w:ascii="Times New Roman" w:eastAsia="TimesNewRoman" w:hAnsi="Times New Roman"/>
          <w:sz w:val="28"/>
          <w:szCs w:val="28"/>
        </w:rPr>
        <w:t>– 2011. – №1 (33). – С. 367.</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Возможности эндоскопического лечения больных с псевдокистозными образованиями поджелудочной железы / В. Ю. Малюга, С. В. Давыдова, </w:t>
      </w:r>
      <w:r>
        <w:rPr>
          <w:rFonts w:ascii="Times New Roman" w:eastAsia="TimesNewRoman" w:hAnsi="Times New Roman"/>
          <w:sz w:val="28"/>
          <w:szCs w:val="28"/>
        </w:rPr>
        <w:t xml:space="preserve">                          </w:t>
      </w:r>
      <w:r w:rsidRPr="003307F1">
        <w:rPr>
          <w:rFonts w:ascii="Times New Roman" w:eastAsia="TimesNewRoman" w:hAnsi="Times New Roman"/>
          <w:sz w:val="28"/>
          <w:szCs w:val="28"/>
        </w:rPr>
        <w:t xml:space="preserve">А. Г. Фёдоров </w:t>
      </w:r>
      <w:r w:rsidRPr="003307F1">
        <w:rPr>
          <w:rFonts w:ascii="Times New Roman" w:hAnsi="Times New Roman"/>
          <w:sz w:val="28"/>
          <w:szCs w:val="28"/>
        </w:rPr>
        <w:t>[ и др. ]</w:t>
      </w:r>
      <w:r w:rsidRPr="003307F1">
        <w:rPr>
          <w:rFonts w:ascii="Times New Roman" w:eastAsia="TimesNewRoman" w:hAnsi="Times New Roman"/>
          <w:sz w:val="28"/>
          <w:szCs w:val="28"/>
        </w:rPr>
        <w:t xml:space="preserve"> // Тихоокеанский медицинский ж</w:t>
      </w:r>
      <w:r>
        <w:rPr>
          <w:rFonts w:ascii="Times New Roman" w:eastAsia="TimesNewRoman" w:hAnsi="Times New Roman"/>
          <w:sz w:val="28"/>
          <w:szCs w:val="28"/>
        </w:rPr>
        <w:t>урнал. – 2011. – № 4. – С. 14-</w:t>
      </w:r>
      <w:r w:rsidRPr="003307F1">
        <w:rPr>
          <w:rFonts w:ascii="Times New Roman" w:eastAsia="TimesNewRoman" w:hAnsi="Times New Roman"/>
          <w:sz w:val="28"/>
          <w:szCs w:val="28"/>
        </w:rPr>
        <w:t>16.</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Выбор метода лечения осложнений псевдокист поджелудочной железы </w:t>
      </w:r>
      <w:r w:rsidRPr="003307F1">
        <w:rPr>
          <w:rFonts w:ascii="Times New Roman" w:eastAsia="TimesNewRoman" w:hAnsi="Times New Roman"/>
          <w:iCs/>
          <w:sz w:val="28"/>
          <w:szCs w:val="28"/>
        </w:rPr>
        <w:t xml:space="preserve">/ </w:t>
      </w:r>
      <w:r>
        <w:rPr>
          <w:rFonts w:ascii="Times New Roman" w:eastAsia="TimesNewRoman" w:hAnsi="Times New Roman"/>
          <w:iCs/>
          <w:sz w:val="28"/>
          <w:szCs w:val="28"/>
        </w:rPr>
        <w:t xml:space="preserve">        </w:t>
      </w:r>
      <w:r w:rsidRPr="003307F1">
        <w:rPr>
          <w:rFonts w:ascii="Times New Roman" w:eastAsia="TimesNewRoman" w:hAnsi="Times New Roman"/>
          <w:iCs/>
          <w:sz w:val="28"/>
          <w:szCs w:val="28"/>
        </w:rPr>
        <w:t xml:space="preserve">А. Е. </w:t>
      </w:r>
      <w:r w:rsidRPr="003307F1">
        <w:rPr>
          <w:rFonts w:ascii="Times New Roman" w:eastAsia="TimesNewRoman" w:hAnsi="Times New Roman"/>
          <w:sz w:val="28"/>
          <w:szCs w:val="28"/>
        </w:rPr>
        <w:t xml:space="preserve">Климов, А. Г. Федоров, С. В. Давыдова </w:t>
      </w:r>
      <w:r w:rsidRPr="003307F1">
        <w:rPr>
          <w:rFonts w:ascii="Times New Roman" w:hAnsi="Times New Roman"/>
          <w:sz w:val="28"/>
          <w:szCs w:val="28"/>
        </w:rPr>
        <w:t>[ и др. ]</w:t>
      </w:r>
      <w:r w:rsidRPr="003307F1">
        <w:rPr>
          <w:rFonts w:ascii="Times New Roman" w:eastAsia="TimesNewRoman" w:hAnsi="Times New Roman"/>
          <w:sz w:val="28"/>
          <w:szCs w:val="28"/>
        </w:rPr>
        <w:t xml:space="preserve"> //</w:t>
      </w:r>
      <w:r w:rsidRPr="003307F1">
        <w:rPr>
          <w:rFonts w:ascii="Times New Roman" w:eastAsia="TimesNewRoman" w:hAnsi="Times New Roman"/>
          <w:iCs/>
          <w:sz w:val="28"/>
          <w:szCs w:val="28"/>
        </w:rPr>
        <w:t xml:space="preserve"> </w:t>
      </w:r>
      <w:r w:rsidRPr="003307F1">
        <w:rPr>
          <w:rFonts w:ascii="Times New Roman" w:eastAsia="TimesNewRoman" w:hAnsi="Times New Roman"/>
          <w:sz w:val="28"/>
          <w:szCs w:val="28"/>
        </w:rPr>
        <w:t>Сб. тезисов докладов XVI Международного конгресса хирургов-гепатологов стр</w:t>
      </w:r>
      <w:r>
        <w:rPr>
          <w:rFonts w:ascii="Times New Roman" w:eastAsia="TimesNewRoman" w:hAnsi="Times New Roman"/>
          <w:sz w:val="28"/>
          <w:szCs w:val="28"/>
        </w:rPr>
        <w:t>ан СНГ. – Уфа, 2010. – С. 218-</w:t>
      </w:r>
      <w:r w:rsidRPr="003307F1">
        <w:rPr>
          <w:rFonts w:ascii="Times New Roman" w:eastAsia="TimesNewRoman" w:hAnsi="Times New Roman"/>
          <w:sz w:val="28"/>
          <w:szCs w:val="28"/>
        </w:rPr>
        <w:t>219 .</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lastRenderedPageBreak/>
        <w:t xml:space="preserve">Вивчення ролі перекисного окиснення ліпідів в патогенезі гострого панкреатиту в експерименті / </w:t>
      </w:r>
      <w:r w:rsidRPr="003307F1">
        <w:rPr>
          <w:rFonts w:ascii="Times New Roman" w:hAnsi="Times New Roman"/>
          <w:bCs/>
          <w:iCs/>
          <w:sz w:val="28"/>
          <w:szCs w:val="28"/>
        </w:rPr>
        <w:t xml:space="preserve">О. І. Дронов, О. А. Скомаровський, Т. В. Берегова [ та ін. ] // </w:t>
      </w:r>
      <w:r w:rsidRPr="003307F1">
        <w:rPr>
          <w:rFonts w:ascii="Times New Roman" w:hAnsi="Times New Roman"/>
          <w:bCs/>
          <w:sz w:val="28"/>
          <w:szCs w:val="28"/>
        </w:rPr>
        <w:t xml:space="preserve">Клінічна хірургія. </w:t>
      </w:r>
      <w:r>
        <w:rPr>
          <w:rFonts w:ascii="Times New Roman" w:hAnsi="Times New Roman"/>
          <w:sz w:val="28"/>
          <w:szCs w:val="28"/>
        </w:rPr>
        <w:t>–2009. – № 7 – 8. – С. 36-</w:t>
      </w:r>
      <w:r w:rsidRPr="003307F1">
        <w:rPr>
          <w:rFonts w:ascii="Times New Roman" w:hAnsi="Times New Roman"/>
          <w:sz w:val="28"/>
          <w:szCs w:val="28"/>
        </w:rPr>
        <w:t xml:space="preserve">38. </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t>Виды хирургических вмешательств</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при различных формах</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хронического панкреатита / </w:t>
      </w:r>
      <w:r w:rsidRPr="003307F1">
        <w:rPr>
          <w:rFonts w:ascii="Times New Roman" w:eastAsia="TimesNewRomanPSMT" w:hAnsi="Times New Roman"/>
          <w:sz w:val="28"/>
          <w:szCs w:val="28"/>
        </w:rPr>
        <w:t>Ю. А. Пархисенко, В. Ю. Пархисенко, В. А. Музалько [ и др. ]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72-</w:t>
      </w:r>
      <w:r w:rsidRPr="003307F1">
        <w:rPr>
          <w:rFonts w:ascii="Times New Roman" w:hAnsi="Times New Roman"/>
          <w:sz w:val="28"/>
          <w:szCs w:val="28"/>
        </w:rPr>
        <w:t>73.</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t>Влахов А. К. Эффективность эхонавигационных интервенций</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в лечении постнекротических кист</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поджелудочной железы / </w:t>
      </w:r>
      <w:r w:rsidRPr="003307F1">
        <w:rPr>
          <w:rFonts w:ascii="Times New Roman" w:eastAsia="TimesNewRomanPSMT" w:hAnsi="Times New Roman"/>
          <w:sz w:val="28"/>
          <w:szCs w:val="28"/>
        </w:rPr>
        <w:t>А. К. Влахов, В. Н. Старосек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8-</w:t>
      </w:r>
      <w:r w:rsidRPr="003307F1">
        <w:rPr>
          <w:rFonts w:ascii="Times New Roman" w:hAnsi="Times New Roman"/>
          <w:sz w:val="28"/>
          <w:szCs w:val="28"/>
        </w:rPr>
        <w:t>10.</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Влияние тяжести осложнений и степени зрелости ложных</w:t>
      </w:r>
      <w:r w:rsidRPr="003307F1">
        <w:rPr>
          <w:rFonts w:ascii="Times New Roman" w:eastAsia="TimesNewRoman" w:hAnsi="Times New Roman"/>
          <w:sz w:val="28"/>
          <w:szCs w:val="28"/>
        </w:rPr>
        <w:t xml:space="preserve"> </w:t>
      </w:r>
      <w:r w:rsidRPr="003307F1">
        <w:rPr>
          <w:rFonts w:ascii="Times New Roman" w:hAnsi="Times New Roman"/>
          <w:sz w:val="28"/>
          <w:szCs w:val="28"/>
        </w:rPr>
        <w:t>кист поджелудочной железы на объем оперативного</w:t>
      </w:r>
      <w:r w:rsidRPr="003307F1">
        <w:rPr>
          <w:rFonts w:ascii="Times New Roman" w:eastAsia="TimesNewRoman" w:hAnsi="Times New Roman"/>
          <w:sz w:val="28"/>
          <w:szCs w:val="28"/>
        </w:rPr>
        <w:t xml:space="preserve"> </w:t>
      </w:r>
      <w:r w:rsidRPr="003307F1">
        <w:rPr>
          <w:rFonts w:ascii="Times New Roman" w:hAnsi="Times New Roman"/>
          <w:sz w:val="28"/>
          <w:szCs w:val="28"/>
        </w:rPr>
        <w:t>вмешательства</w:t>
      </w:r>
      <w:r w:rsidRPr="003307F1">
        <w:rPr>
          <w:rFonts w:ascii="Times New Roman" w:eastAsia="TimesNewRoman" w:hAnsi="Times New Roman"/>
          <w:sz w:val="28"/>
          <w:szCs w:val="28"/>
        </w:rPr>
        <w:t xml:space="preserve"> / </w:t>
      </w:r>
      <w:r w:rsidRPr="003307F1">
        <w:rPr>
          <w:rFonts w:ascii="Times New Roman" w:hAnsi="Times New Roman"/>
          <w:sz w:val="28"/>
          <w:szCs w:val="28"/>
        </w:rPr>
        <w:t xml:space="preserve">Т. И. Тамм, </w:t>
      </w:r>
      <w:r>
        <w:rPr>
          <w:rFonts w:ascii="Times New Roman" w:hAnsi="Times New Roman"/>
          <w:sz w:val="28"/>
          <w:szCs w:val="28"/>
        </w:rPr>
        <w:t xml:space="preserve">                   </w:t>
      </w:r>
      <w:r w:rsidRPr="003307F1">
        <w:rPr>
          <w:rFonts w:ascii="Times New Roman" w:hAnsi="Times New Roman"/>
          <w:sz w:val="28"/>
          <w:szCs w:val="28"/>
        </w:rPr>
        <w:t>В. В. Непомнящий, А. Я. Бардюк [ и др. ] // Клінічна хіру</w:t>
      </w:r>
      <w:r>
        <w:rPr>
          <w:rFonts w:ascii="Times New Roman" w:hAnsi="Times New Roman"/>
          <w:sz w:val="28"/>
          <w:szCs w:val="28"/>
        </w:rPr>
        <w:t>ргія. – 2012. – № 10. – С. 23-</w:t>
      </w:r>
      <w:r w:rsidRPr="003307F1">
        <w:rPr>
          <w:rFonts w:ascii="Times New Roman" w:hAnsi="Times New Roman"/>
          <w:sz w:val="28"/>
          <w:szCs w:val="28"/>
        </w:rPr>
        <w:t>25.</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Гадзюк П. В. Хирургическая малоинвазивная технология лечения осложнений псевдокист поджелудочной железы / П.</w:t>
      </w:r>
      <w:r>
        <w:rPr>
          <w:rFonts w:ascii="Times New Roman" w:hAnsi="Times New Roman"/>
          <w:sz w:val="28"/>
          <w:szCs w:val="28"/>
        </w:rPr>
        <w:t xml:space="preserve"> </w:t>
      </w:r>
      <w:r w:rsidRPr="003307F1">
        <w:rPr>
          <w:rFonts w:ascii="Times New Roman" w:hAnsi="Times New Roman"/>
          <w:sz w:val="28"/>
          <w:szCs w:val="28"/>
        </w:rPr>
        <w:t xml:space="preserve">В. Гадзюк // Харківська хірургічна школа </w:t>
      </w:r>
      <w:r>
        <w:rPr>
          <w:rFonts w:ascii="Times New Roman" w:hAnsi="Times New Roman"/>
          <w:sz w:val="28"/>
          <w:szCs w:val="28"/>
        </w:rPr>
        <w:t>– 2009. – № 3.1 (35). – С. 25-</w:t>
      </w:r>
      <w:r w:rsidRPr="003307F1">
        <w:rPr>
          <w:rFonts w:ascii="Times New Roman" w:hAnsi="Times New Roman"/>
          <w:sz w:val="28"/>
          <w:szCs w:val="28"/>
        </w:rPr>
        <w:t>27.</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Газдюк П. В. </w:t>
      </w:r>
      <w:r w:rsidRPr="003307F1">
        <w:rPr>
          <w:rFonts w:ascii="Times New Roman" w:hAnsi="Times New Roman"/>
          <w:bCs/>
          <w:sz w:val="28"/>
          <w:szCs w:val="28"/>
        </w:rPr>
        <w:t xml:space="preserve">Діагностика гнійно </w:t>
      </w:r>
      <w:r w:rsidRPr="003307F1">
        <w:rPr>
          <w:rFonts w:ascii="Times New Roman" w:hAnsi="Times New Roman"/>
          <w:sz w:val="28"/>
          <w:szCs w:val="28"/>
        </w:rPr>
        <w:t xml:space="preserve">– </w:t>
      </w:r>
      <w:r w:rsidRPr="003307F1">
        <w:rPr>
          <w:rFonts w:ascii="Times New Roman" w:hAnsi="Times New Roman"/>
          <w:bCs/>
          <w:sz w:val="28"/>
          <w:szCs w:val="28"/>
        </w:rPr>
        <w:t xml:space="preserve">некротичних ускладнень псевдокіст підшлункової залози / П. В. Газдюк // Клінічна хірургія. </w:t>
      </w:r>
      <w:r>
        <w:rPr>
          <w:rFonts w:ascii="Times New Roman" w:hAnsi="Times New Roman"/>
          <w:sz w:val="28"/>
          <w:szCs w:val="28"/>
        </w:rPr>
        <w:t>– 2009. – № 9. – С. 18-</w:t>
      </w:r>
      <w:r w:rsidRPr="003307F1">
        <w:rPr>
          <w:rFonts w:ascii="Times New Roman" w:hAnsi="Times New Roman"/>
          <w:sz w:val="28"/>
          <w:szCs w:val="28"/>
        </w:rPr>
        <w:t>20.</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Гальперин Э.</w:t>
      </w:r>
      <w:r>
        <w:rPr>
          <w:rFonts w:ascii="Times New Roman" w:hAnsi="Times New Roman"/>
          <w:sz w:val="28"/>
          <w:szCs w:val="28"/>
        </w:rPr>
        <w:t xml:space="preserve"> </w:t>
      </w:r>
      <w:r w:rsidRPr="003307F1">
        <w:rPr>
          <w:rFonts w:ascii="Times New Roman" w:hAnsi="Times New Roman"/>
          <w:sz w:val="28"/>
          <w:szCs w:val="28"/>
        </w:rPr>
        <w:t>И. Лекции по гепатопанкреатобилиарной хирургии. Под ред. Э.</w:t>
      </w:r>
      <w:r>
        <w:rPr>
          <w:rFonts w:ascii="Times New Roman" w:hAnsi="Times New Roman"/>
          <w:sz w:val="28"/>
          <w:szCs w:val="28"/>
        </w:rPr>
        <w:t xml:space="preserve"> </w:t>
      </w:r>
      <w:r w:rsidRPr="003307F1">
        <w:rPr>
          <w:rFonts w:ascii="Times New Roman" w:hAnsi="Times New Roman"/>
          <w:sz w:val="28"/>
          <w:szCs w:val="28"/>
        </w:rPr>
        <w:t>И. Гальперина и Т.</w:t>
      </w:r>
      <w:r>
        <w:rPr>
          <w:rFonts w:ascii="Times New Roman" w:hAnsi="Times New Roman"/>
          <w:sz w:val="28"/>
          <w:szCs w:val="28"/>
        </w:rPr>
        <w:t xml:space="preserve"> </w:t>
      </w:r>
      <w:r w:rsidRPr="003307F1">
        <w:rPr>
          <w:rFonts w:ascii="Times New Roman" w:hAnsi="Times New Roman"/>
          <w:sz w:val="28"/>
          <w:szCs w:val="28"/>
        </w:rPr>
        <w:t>Г. Дюжевой</w:t>
      </w:r>
      <w:r>
        <w:rPr>
          <w:rFonts w:ascii="Times New Roman" w:hAnsi="Times New Roman"/>
          <w:sz w:val="28"/>
          <w:szCs w:val="28"/>
        </w:rPr>
        <w:t>. М.: Видар-М, 2011. – С. 375-</w:t>
      </w:r>
      <w:r w:rsidRPr="003307F1">
        <w:rPr>
          <w:rFonts w:ascii="Times New Roman" w:hAnsi="Times New Roman"/>
          <w:sz w:val="28"/>
          <w:szCs w:val="28"/>
        </w:rPr>
        <w:t>403.</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Newton-BoldItalic" w:hAnsi="Times New Roman"/>
          <w:bCs/>
          <w:iCs/>
          <w:sz w:val="28"/>
          <w:szCs w:val="28"/>
        </w:rPr>
        <w:t xml:space="preserve">Ганусевич И. И. </w:t>
      </w:r>
      <w:r w:rsidRPr="003307F1">
        <w:rPr>
          <w:rFonts w:ascii="Times New Roman" w:hAnsi="Times New Roman"/>
          <w:bCs/>
          <w:sz w:val="28"/>
          <w:szCs w:val="28"/>
        </w:rPr>
        <w:t xml:space="preserve">Роль матриксных металлопротеиназ (ММП) при злокачественных новообразованиях. Характеристика ММП, регуляция их активности, прогностическое значение / И. И. Ганусевич </w:t>
      </w:r>
      <w:r w:rsidRPr="003307F1">
        <w:rPr>
          <w:rFonts w:ascii="Times New Roman" w:hAnsi="Times New Roman"/>
          <w:sz w:val="28"/>
          <w:szCs w:val="28"/>
        </w:rPr>
        <w:t>// Онкология</w:t>
      </w:r>
      <w:r>
        <w:rPr>
          <w:rFonts w:ascii="Times New Roman" w:hAnsi="Times New Roman"/>
          <w:sz w:val="28"/>
          <w:szCs w:val="28"/>
        </w:rPr>
        <w:t>. – 2010. – Т.12, №1. – С. 10-</w:t>
      </w:r>
      <w:r w:rsidRPr="003307F1">
        <w:rPr>
          <w:rFonts w:ascii="Times New Roman" w:hAnsi="Times New Roman"/>
          <w:sz w:val="28"/>
          <w:szCs w:val="28"/>
        </w:rPr>
        <w:t>15.</w:t>
      </w:r>
    </w:p>
    <w:p w:rsidR="00C62D2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PS-BoldMT" w:hAnsi="Times New Roman"/>
          <w:bCs/>
          <w:sz w:val="28"/>
          <w:szCs w:val="28"/>
        </w:rPr>
        <w:t xml:space="preserve">Геморрагические осложнения хронического панкреатита / </w:t>
      </w:r>
      <w:r>
        <w:rPr>
          <w:rFonts w:ascii="Times New Roman" w:eastAsia="TimesNewRomanPS-BoldMT" w:hAnsi="Times New Roman"/>
          <w:bCs/>
          <w:sz w:val="28"/>
          <w:szCs w:val="28"/>
        </w:rPr>
        <w:t xml:space="preserve">                                 </w:t>
      </w:r>
      <w:r w:rsidRPr="003307F1">
        <w:rPr>
          <w:rFonts w:ascii="Times New Roman" w:eastAsia="TimesNewRomanPSMT" w:hAnsi="Times New Roman"/>
          <w:sz w:val="28"/>
          <w:szCs w:val="28"/>
        </w:rPr>
        <w:t>Н. Ю. Коханенко, Н. Н. Артемьева, В. В. Зеленин [ и др. ]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53-</w:t>
      </w:r>
      <w:r w:rsidRPr="003307F1">
        <w:rPr>
          <w:rFonts w:ascii="Times New Roman" w:hAnsi="Times New Roman"/>
          <w:sz w:val="28"/>
          <w:szCs w:val="28"/>
        </w:rPr>
        <w:t>55.</w:t>
      </w:r>
    </w:p>
    <w:p w:rsidR="00C62D22" w:rsidRPr="00C259D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eastAsia="TimesNewRoman" w:hAnsi="Times New Roman"/>
          <w:sz w:val="28"/>
          <w:szCs w:val="28"/>
        </w:rPr>
        <w:lastRenderedPageBreak/>
        <w:t>Гербали О.Ю. П</w:t>
      </w:r>
      <w:r w:rsidRPr="000F2B01">
        <w:rPr>
          <w:rFonts w:ascii="Times New Roman" w:hAnsi="Times New Roman"/>
          <w:sz w:val="28"/>
          <w:szCs w:val="28"/>
        </w:rPr>
        <w:t xml:space="preserve">атофизиологические нарушения при осложненных псевдокистах поджелудочной железы / О.Ю. Гербали, И.А. Криворучко, </w:t>
      </w:r>
      <w:r>
        <w:rPr>
          <w:rFonts w:ascii="Times New Roman" w:hAnsi="Times New Roman"/>
          <w:sz w:val="28"/>
          <w:szCs w:val="28"/>
        </w:rPr>
        <w:t xml:space="preserve">                      </w:t>
      </w:r>
      <w:r w:rsidRPr="000F2B01">
        <w:rPr>
          <w:rFonts w:ascii="Times New Roman" w:hAnsi="Times New Roman"/>
          <w:sz w:val="28"/>
          <w:szCs w:val="28"/>
        </w:rPr>
        <w:t xml:space="preserve">Н.Н. Гончарова // Казанский медицинский журнал. – 2015. – Т. 96, №2. ‒ С.191-197. </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Годлевський А. І. Діагностика та моніторинг ендотоксикозу у хірургічних хворих / А. І. Годлевський, С. І. Саволюк. – Вінниця: Нова Книга, 2015. – 232 с.</w:t>
      </w:r>
    </w:p>
    <w:p w:rsidR="00C62D2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Годлевський А. І. Прогнозування перебігу та розвитку ускладнень гострого некротичного етанольного панкреатиту / А. І. Годлевський, С. І. Саволюк, </w:t>
      </w:r>
      <w:r>
        <w:rPr>
          <w:rFonts w:ascii="Times New Roman" w:hAnsi="Times New Roman"/>
          <w:sz w:val="28"/>
          <w:szCs w:val="28"/>
        </w:rPr>
        <w:t xml:space="preserve">                       </w:t>
      </w:r>
      <w:r w:rsidRPr="003307F1">
        <w:rPr>
          <w:rFonts w:ascii="Times New Roman" w:hAnsi="Times New Roman"/>
          <w:sz w:val="28"/>
          <w:szCs w:val="28"/>
        </w:rPr>
        <w:t>Т. О. Мельник // Харківська хірургічна школа. – 2015. –</w:t>
      </w:r>
      <w:r>
        <w:rPr>
          <w:rFonts w:ascii="Times New Roman" w:hAnsi="Times New Roman"/>
          <w:sz w:val="28"/>
          <w:szCs w:val="28"/>
        </w:rPr>
        <w:t xml:space="preserve"> № 5 (74). – С. 29-</w:t>
      </w:r>
      <w:r w:rsidRPr="003307F1">
        <w:rPr>
          <w:rFonts w:ascii="Times New Roman" w:hAnsi="Times New Roman"/>
          <w:sz w:val="28"/>
          <w:szCs w:val="28"/>
        </w:rPr>
        <w:t>32.</w:t>
      </w:r>
    </w:p>
    <w:p w:rsidR="00C62D22" w:rsidRPr="00493A44"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493A44">
        <w:rPr>
          <w:rFonts w:ascii="Times New Roman" w:hAnsi="Times New Roman"/>
          <w:sz w:val="28"/>
          <w:szCs w:val="28"/>
        </w:rPr>
        <w:t xml:space="preserve">Гончарова Н.М. </w:t>
      </w:r>
      <w:r w:rsidRPr="00493A44">
        <w:rPr>
          <w:rFonts w:ascii="Times New Roman" w:eastAsia="MyriadPro-Bold" w:hAnsi="Times New Roman"/>
          <w:bCs/>
          <w:sz w:val="28"/>
          <w:szCs w:val="28"/>
        </w:rPr>
        <w:t>Вивчення динаміки змін рівня деяких цитокінів крові у хворих на різні типи ускладнених псевдокіст підшлункової залози / Н.М. Гончарова // Зб. тез ІV Всеукраїнської наукової конференції студентів та молодих вчених «Фізіологія – медицині, фармації та педагогіці: Актуальні проблеми та сучасні досягнення». – Харків, 2017. – С.49.</w:t>
      </w:r>
    </w:p>
    <w:p w:rsidR="00C62D22" w:rsidRPr="00493A44"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493A44">
        <w:rPr>
          <w:rFonts w:ascii="Times New Roman" w:hAnsi="Times New Roman"/>
          <w:sz w:val="28"/>
          <w:szCs w:val="28"/>
        </w:rPr>
        <w:t xml:space="preserve">Гончарова Н.М. Визначення змін рівня </w:t>
      </w:r>
      <w:r w:rsidRPr="00493A44">
        <w:rPr>
          <w:rFonts w:ascii="Times New Roman" w:eastAsia="MyriadPro-Bold" w:hAnsi="Times New Roman"/>
          <w:bCs/>
          <w:sz w:val="28"/>
          <w:szCs w:val="28"/>
        </w:rPr>
        <w:t>деяких показників системи пероксидації крові у хворих на різні типи ускладнених псевдокіст підшлункової залози</w:t>
      </w:r>
      <w:r w:rsidRPr="00493A44">
        <w:rPr>
          <w:rFonts w:ascii="Times New Roman" w:hAnsi="Times New Roman"/>
          <w:sz w:val="28"/>
          <w:szCs w:val="28"/>
        </w:rPr>
        <w:t xml:space="preserve"> / Н.М. Гончарова // Український журнал медицини, біології та спорту. – 2017. – №1 (3).– С. 75-77.</w:t>
      </w:r>
    </w:p>
    <w:p w:rsidR="00C62D2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Гончарова Н.М. Використання сучасних мініінвазивних технологій при лікуванні ускладнених псевдокіст підшлункової залози / Н.М. Гончарова // Харківська хірургічна школа. – 2015. – №6 (75). – С. 71-74.</w:t>
      </w:r>
    </w:p>
    <w:p w:rsidR="00C62D22" w:rsidRPr="00352049"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Гончарова Н.М. Використання мініінвазивних втручань при лікуванні ускладнених псевдокіст підшлункової залози / Н.М. Гончарова // Зб. Тез міжвузівської конференції молодих вчених та студентів «Медицина третього тисячоліття». – Харків, 2015. – С. 146-147.</w:t>
      </w:r>
    </w:p>
    <w:p w:rsidR="00C62D2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Гончарова Н.М. Застосування мініінвазивних методів хірургічного лікування хворих на ускладнені гострі псевдокісти підшлункової залози /</w:t>
      </w:r>
      <w:r w:rsidRPr="00461C82">
        <w:rPr>
          <w:rFonts w:ascii="Times New Roman" w:hAnsi="Times New Roman"/>
          <w:sz w:val="28"/>
          <w:szCs w:val="28"/>
        </w:rPr>
        <w:t xml:space="preserve">               </w:t>
      </w:r>
      <w:r w:rsidRPr="000F2B01">
        <w:rPr>
          <w:rFonts w:ascii="Times New Roman" w:hAnsi="Times New Roman"/>
          <w:sz w:val="28"/>
          <w:szCs w:val="28"/>
        </w:rPr>
        <w:t xml:space="preserve"> Н.М. Гончарова // Харківська хірургічна школа. </w:t>
      </w:r>
      <w:r>
        <w:rPr>
          <w:rFonts w:ascii="Times New Roman" w:hAnsi="Times New Roman"/>
          <w:sz w:val="28"/>
          <w:szCs w:val="28"/>
        </w:rPr>
        <w:t>– 2016. – №1 (76). – С.160-162.</w:t>
      </w:r>
    </w:p>
    <w:p w:rsidR="00C62D2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 xml:space="preserve">Гончарова Н.М. Застосування мініінвазивних технологій при лікуванні псевдокіст підшлункової залози, ускладнених механічною жовтяницею / </w:t>
      </w:r>
      <w:r>
        <w:rPr>
          <w:rFonts w:ascii="Times New Roman" w:hAnsi="Times New Roman"/>
          <w:sz w:val="28"/>
          <w:szCs w:val="28"/>
        </w:rPr>
        <w:t xml:space="preserve">                 </w:t>
      </w:r>
      <w:r w:rsidRPr="000F2B01">
        <w:rPr>
          <w:rFonts w:ascii="Times New Roman" w:hAnsi="Times New Roman"/>
          <w:sz w:val="28"/>
          <w:szCs w:val="28"/>
        </w:rPr>
        <w:lastRenderedPageBreak/>
        <w:t>Н.М. Гончарова, О.С. Тесленко // Зб. Тез міжвузівської конференції молодих вчених та студентів «Медицина третього тисячоліття». – Харків, 2016. – С. 169-170.</w:t>
      </w:r>
    </w:p>
    <w:p w:rsidR="00C62D22" w:rsidRPr="009C03F9"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 xml:space="preserve">Гончарова Н.М. Імуногістохімічні особливості псевдокіст підшлункової залози третього типу / Н.М. Гончарова // Зб. матеріалів заочної науково-практичної конференції з міжнародною участю «Сучасні аспекти морфології людини: успіхи, проблеми </w:t>
      </w:r>
      <w:r w:rsidRPr="009C03F9">
        <w:rPr>
          <w:rFonts w:ascii="Times New Roman" w:hAnsi="Times New Roman"/>
          <w:sz w:val="28"/>
          <w:szCs w:val="28"/>
        </w:rPr>
        <w:t>та перспективи».– Харків, 2016. – С. 53-54.</w:t>
      </w:r>
    </w:p>
    <w:p w:rsidR="00C62D22" w:rsidRPr="00C7408F"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C7408F">
        <w:rPr>
          <w:rFonts w:ascii="Times New Roman" w:hAnsi="Times New Roman"/>
          <w:sz w:val="28"/>
          <w:szCs w:val="28"/>
        </w:rPr>
        <w:t>Гончарова Н.М. Імуногістохімічні особливості ускладнених хронічних псевдокіст підшлункової залози / Н.М. Гончарова // «ХИСТ» Всеукраїнський медичний журнал молодих вчених. ‒2017. ‒ Вип.19. ‒ С.514.</w:t>
      </w:r>
    </w:p>
    <w:p w:rsidR="00C62D2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Гончарова Н.М. Лікування ускладнених псевдокіст підшлункової залози / Н.М. Гончарова, А.Г. Дроздова, А.С. Гончаров // Зб. Тез міжвузівської конференції молодих вчених та студентів «Медицина третього тисячоліття». – Харків, 2014. – С. 104-105.</w:t>
      </w:r>
    </w:p>
    <w:p w:rsidR="00C62D22" w:rsidRPr="00352049"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 xml:space="preserve">Гончарова Н.М. Прогнозування ранніх післяопераційних ускладнень у хворих, оперованих з приводу ускладнених псевдокіст підшлункової залози І типу / Н.М. Гончарова // Зб. Тез міжвузівської конференції молодих вчених та студентів «Медицина третього тисячоліття». – Харків, 2017. – С.170-171. </w:t>
      </w:r>
    </w:p>
    <w:p w:rsidR="00C62D2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Гончарова Н.Н. Хирургическое лечение псевдокист поджелудочной железы, осложненных кровотечением с использованием миниинвазивных методик / Н.Н. Гончарова, К.П. Старов, А.С. Гончаров // Зб. Тез міжвузівської конференції молодих вчених та студентів «Медицина третього тисячоліття». – Харків, 2016. – С. 170-171.</w:t>
      </w:r>
    </w:p>
    <w:p w:rsidR="00C62D22" w:rsidRPr="00561DC9"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561DC9">
        <w:rPr>
          <w:rFonts w:ascii="Times New Roman" w:hAnsi="Times New Roman"/>
          <w:sz w:val="28"/>
          <w:szCs w:val="28"/>
        </w:rPr>
        <w:t xml:space="preserve">Гончарова Н.М. Хірургічне лікування псевдокіст підшлункової залози третього типу, ускладнених вторинною портальною гіпертензією / Н.М. Гончарова // Харківська хірургічна школа. – 2017. – № 2 (82). – С.70-72. </w:t>
      </w:r>
    </w:p>
    <w:p w:rsidR="00C62D22" w:rsidRPr="00352049"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Гончарова Н.Н. Эндоскопическое лечение осложненных псевдокист поджелудочной железы / Н.Н. Гончарова // Мат. ХХIII Международного Конгресса Ассоциации гепатопанкреатобилиарных хирургов стран СНГ «Актуальные проблемы гепатопанкреатобилиарной хирургии». – Минск, 2016. – С. 323-324.</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lastRenderedPageBreak/>
        <w:t>Гострий панкреатит: аналіз пріоритетних складових комплексного</w:t>
      </w:r>
      <w:r w:rsidRPr="003307F1">
        <w:rPr>
          <w:rFonts w:ascii="Times New Roman" w:eastAsia="TimesNewRoman" w:hAnsi="Times New Roman"/>
          <w:sz w:val="28"/>
          <w:szCs w:val="28"/>
        </w:rPr>
        <w:t xml:space="preserve"> </w:t>
      </w:r>
      <w:r w:rsidRPr="003307F1">
        <w:rPr>
          <w:rFonts w:ascii="Times New Roman" w:hAnsi="Times New Roman"/>
          <w:sz w:val="28"/>
          <w:szCs w:val="28"/>
        </w:rPr>
        <w:t>хірургічного лікування з позицій сучасних наукових</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досліджень / </w:t>
      </w:r>
      <w:r>
        <w:rPr>
          <w:rFonts w:ascii="Times New Roman" w:hAnsi="Times New Roman"/>
          <w:sz w:val="28"/>
          <w:szCs w:val="28"/>
        </w:rPr>
        <w:t xml:space="preserve">                                      </w:t>
      </w:r>
      <w:r w:rsidRPr="003307F1">
        <w:rPr>
          <w:rFonts w:ascii="Times New Roman" w:hAnsi="Times New Roman"/>
          <w:sz w:val="28"/>
          <w:szCs w:val="28"/>
        </w:rPr>
        <w:t>В. П. Андрющенко, Д. В. Андрющенко, В. А. Мальований,</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Л. М. Когут // Укр. журн. хірургії. </w:t>
      </w:r>
      <w:r w:rsidRPr="003307F1">
        <w:rPr>
          <w:rFonts w:ascii="Times New Roman" w:eastAsia="Arial,Italic" w:hAnsi="Times New Roman"/>
          <w:iCs/>
          <w:sz w:val="28"/>
          <w:szCs w:val="28"/>
        </w:rPr>
        <w:t>–</w:t>
      </w:r>
      <w:r w:rsidRPr="003307F1">
        <w:rPr>
          <w:rFonts w:ascii="Times New Roman" w:hAnsi="Times New Roman"/>
          <w:sz w:val="28"/>
          <w:szCs w:val="28"/>
        </w:rPr>
        <w:t xml:space="preserve"> 2011. </w:t>
      </w:r>
      <w:r w:rsidRPr="003307F1">
        <w:rPr>
          <w:rFonts w:ascii="Times New Roman" w:eastAsia="Arial,Italic" w:hAnsi="Times New Roman"/>
          <w:iCs/>
          <w:sz w:val="28"/>
          <w:szCs w:val="28"/>
        </w:rPr>
        <w:t>–</w:t>
      </w:r>
      <w:r w:rsidRPr="003307F1">
        <w:rPr>
          <w:rFonts w:ascii="Times New Roman" w:hAnsi="Times New Roman"/>
          <w:sz w:val="28"/>
          <w:szCs w:val="28"/>
        </w:rPr>
        <w:t xml:space="preserve"> № 5 (14). </w:t>
      </w:r>
      <w:r w:rsidRPr="003307F1">
        <w:rPr>
          <w:rFonts w:ascii="Times New Roman" w:eastAsia="Arial,Italic" w:hAnsi="Times New Roman"/>
          <w:iCs/>
          <w:sz w:val="28"/>
          <w:szCs w:val="28"/>
        </w:rPr>
        <w:t>–</w:t>
      </w:r>
      <w:r w:rsidRPr="003307F1">
        <w:rPr>
          <w:rFonts w:ascii="Times New Roman" w:eastAsia="TimesNewRoman" w:hAnsi="Times New Roman"/>
          <w:sz w:val="28"/>
          <w:szCs w:val="28"/>
        </w:rPr>
        <w:t xml:space="preserve"> </w:t>
      </w:r>
      <w:r>
        <w:rPr>
          <w:rFonts w:ascii="Times New Roman" w:hAnsi="Times New Roman"/>
          <w:sz w:val="28"/>
          <w:szCs w:val="28"/>
        </w:rPr>
        <w:t>С. 83-</w:t>
      </w:r>
      <w:r w:rsidRPr="003307F1">
        <w:rPr>
          <w:rFonts w:ascii="Times New Roman" w:hAnsi="Times New Roman"/>
          <w:sz w:val="28"/>
          <w:szCs w:val="28"/>
        </w:rPr>
        <w:t>87.</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Гравировская Н. Г. Состояние печени и желчевыводящей системы по данным сонографии при панкреатите, осложненном постнекротическими кистами</w:t>
      </w:r>
      <w:r w:rsidRPr="003307F1">
        <w:rPr>
          <w:rFonts w:ascii="Times New Roman" w:eastAsia="TimesNewRoman" w:hAnsi="Times New Roman"/>
          <w:sz w:val="28"/>
          <w:szCs w:val="28"/>
        </w:rPr>
        <w:t xml:space="preserve"> / Н. Г. Гравировская // </w:t>
      </w:r>
      <w:r w:rsidRPr="003307F1">
        <w:rPr>
          <w:rFonts w:ascii="Times New Roman" w:hAnsi="Times New Roman"/>
          <w:sz w:val="28"/>
          <w:szCs w:val="28"/>
        </w:rPr>
        <w:t>Клінічна хірургія. – 2013. – № 4 (Додаток). – С.12.</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Григорьев Е. Г. Хирургия изолированных и сочетанных повреждений поджелудочной железы / Е. Г. Григорьев, Р. И. Расулов, В. Н. Махутов. – Новосибирск: Наука; Иркутск: НЦРВХ СО РАМН, 2010. – 152 с.</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Григорьева И. Н. Роль матриксных металлопротеиназ и некоторых цитокинов в развитии фиброза поджелудочной железы / И. Н. Григорьева, </w:t>
      </w:r>
      <w:r>
        <w:rPr>
          <w:rFonts w:ascii="Times New Roman" w:hAnsi="Times New Roman"/>
          <w:sz w:val="28"/>
          <w:szCs w:val="28"/>
        </w:rPr>
        <w:t xml:space="preserve">                    </w:t>
      </w:r>
      <w:r w:rsidRPr="003307F1">
        <w:rPr>
          <w:rFonts w:ascii="Times New Roman" w:hAnsi="Times New Roman"/>
          <w:sz w:val="28"/>
          <w:szCs w:val="28"/>
        </w:rPr>
        <w:t>Ю. И. Рагино // Сучасна гастроентероло</w:t>
      </w:r>
      <w:r>
        <w:rPr>
          <w:rFonts w:ascii="Times New Roman" w:hAnsi="Times New Roman"/>
          <w:sz w:val="28"/>
          <w:szCs w:val="28"/>
        </w:rPr>
        <w:t>гія. – 2013. – № 5 (73). – С.16-</w:t>
      </w:r>
      <w:r w:rsidRPr="003307F1">
        <w:rPr>
          <w:rFonts w:ascii="Times New Roman" w:hAnsi="Times New Roman"/>
          <w:sz w:val="28"/>
          <w:szCs w:val="28"/>
        </w:rPr>
        <w:t>20.</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Гришин И. Н. Кисты, свищи поджелудочной железы и их осложнения / </w:t>
      </w:r>
      <w:r>
        <w:rPr>
          <w:rFonts w:ascii="Times New Roman" w:hAnsi="Times New Roman"/>
          <w:sz w:val="28"/>
          <w:szCs w:val="28"/>
        </w:rPr>
        <w:t xml:space="preserve">              </w:t>
      </w:r>
      <w:r w:rsidRPr="003307F1">
        <w:rPr>
          <w:rFonts w:ascii="Times New Roman" w:hAnsi="Times New Roman"/>
          <w:sz w:val="28"/>
          <w:szCs w:val="28"/>
        </w:rPr>
        <w:t>И. Н. Гришин, В. Н. Гриц, С</w:t>
      </w:r>
      <w:r>
        <w:rPr>
          <w:rFonts w:ascii="Times New Roman" w:hAnsi="Times New Roman"/>
          <w:sz w:val="28"/>
          <w:szCs w:val="28"/>
        </w:rPr>
        <w:t xml:space="preserve">. Н. Лагодич // Минск: Вышэйшая </w:t>
      </w:r>
      <w:r w:rsidRPr="003307F1">
        <w:rPr>
          <w:rFonts w:ascii="Times New Roman" w:hAnsi="Times New Roman"/>
          <w:sz w:val="28"/>
          <w:szCs w:val="28"/>
        </w:rPr>
        <w:t>школа, 2009. – 272 с.</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Грубник В. В. Использование малоинвазивных вмешательств на фоне рациональной антибиотикотерапии при псевдокистах поджелудочной железы / </w:t>
      </w:r>
      <w:r>
        <w:rPr>
          <w:rFonts w:ascii="Times New Roman" w:hAnsi="Times New Roman"/>
          <w:sz w:val="28"/>
          <w:szCs w:val="28"/>
        </w:rPr>
        <w:t xml:space="preserve">               </w:t>
      </w:r>
      <w:r w:rsidRPr="003307F1">
        <w:rPr>
          <w:rFonts w:ascii="Times New Roman" w:hAnsi="Times New Roman"/>
          <w:sz w:val="28"/>
          <w:szCs w:val="28"/>
        </w:rPr>
        <w:t>В. В. Грубник, Р. О. Вододюк, А. В. Петровская // Хірургія України. – 2015</w:t>
      </w:r>
      <w:r>
        <w:rPr>
          <w:rFonts w:ascii="Times New Roman" w:hAnsi="Times New Roman"/>
          <w:sz w:val="28"/>
          <w:szCs w:val="28"/>
        </w:rPr>
        <w:t>. – № 2. – С. 47-</w:t>
      </w:r>
      <w:r w:rsidRPr="003307F1">
        <w:rPr>
          <w:rFonts w:ascii="Times New Roman" w:hAnsi="Times New Roman"/>
          <w:sz w:val="28"/>
          <w:szCs w:val="28"/>
        </w:rPr>
        <w:t>51.</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Грубник В. В. </w:t>
      </w:r>
      <w:r w:rsidRPr="003307F1">
        <w:rPr>
          <w:rFonts w:ascii="Times New Roman" w:hAnsi="Times New Roman"/>
          <w:bCs/>
          <w:sz w:val="28"/>
          <w:szCs w:val="28"/>
        </w:rPr>
        <w:t>Лапароскопические вмешательства по поводу псевдокист</w:t>
      </w:r>
      <w:r w:rsidRPr="003307F1">
        <w:rPr>
          <w:rFonts w:ascii="Times New Roman" w:eastAsia="TimesNewRoman" w:hAnsi="Times New Roman"/>
          <w:sz w:val="28"/>
          <w:szCs w:val="28"/>
        </w:rPr>
        <w:t xml:space="preserve"> </w:t>
      </w:r>
      <w:r w:rsidRPr="003307F1">
        <w:rPr>
          <w:rFonts w:ascii="Times New Roman" w:hAnsi="Times New Roman"/>
          <w:bCs/>
          <w:sz w:val="28"/>
          <w:szCs w:val="28"/>
        </w:rPr>
        <w:t>поджелудочной железы /</w:t>
      </w:r>
      <w:r>
        <w:rPr>
          <w:rFonts w:ascii="Times New Roman" w:hAnsi="Times New Roman"/>
          <w:bCs/>
          <w:sz w:val="28"/>
          <w:szCs w:val="28"/>
        </w:rPr>
        <w:t xml:space="preserve"> </w:t>
      </w:r>
      <w:r w:rsidRPr="003307F1">
        <w:rPr>
          <w:rFonts w:ascii="Times New Roman" w:hAnsi="Times New Roman"/>
          <w:bCs/>
          <w:iCs/>
          <w:sz w:val="28"/>
          <w:szCs w:val="28"/>
        </w:rPr>
        <w:t xml:space="preserve">В. В. Грубник, А. С. Дюжев, Р. Ю. Вододюк // Клінічна хірургія. </w:t>
      </w:r>
      <w:r>
        <w:rPr>
          <w:rFonts w:ascii="Times New Roman" w:hAnsi="Times New Roman"/>
          <w:sz w:val="28"/>
          <w:szCs w:val="28"/>
        </w:rPr>
        <w:t>– 2009. – № 7-8. – С. 18-</w:t>
      </w:r>
      <w:r w:rsidRPr="003307F1">
        <w:rPr>
          <w:rFonts w:ascii="Times New Roman" w:hAnsi="Times New Roman"/>
          <w:sz w:val="28"/>
          <w:szCs w:val="28"/>
        </w:rPr>
        <w:t xml:space="preserve">20. </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Десятерик В. І. Мініінвазивні втручання під контролем ультразвуку</w:t>
      </w:r>
      <w:r w:rsidRPr="003307F1">
        <w:rPr>
          <w:rFonts w:ascii="Times New Roman" w:eastAsia="TimesNewRoman" w:hAnsi="Times New Roman"/>
          <w:sz w:val="28"/>
          <w:szCs w:val="28"/>
        </w:rPr>
        <w:t xml:space="preserve"> </w:t>
      </w:r>
      <w:r w:rsidRPr="003307F1">
        <w:rPr>
          <w:rFonts w:ascii="Times New Roman" w:hAnsi="Times New Roman"/>
          <w:sz w:val="28"/>
          <w:szCs w:val="28"/>
        </w:rPr>
        <w:t>на етапах розвитку ускладнень панкреатиту / В. І. Десятерик,</w:t>
      </w:r>
      <w:r w:rsidRPr="003307F1">
        <w:rPr>
          <w:rFonts w:ascii="Times New Roman" w:eastAsia="TimesNewRoman" w:hAnsi="Times New Roman"/>
          <w:sz w:val="28"/>
          <w:szCs w:val="28"/>
        </w:rPr>
        <w:t xml:space="preserve"> </w:t>
      </w:r>
      <w:r w:rsidRPr="003307F1">
        <w:rPr>
          <w:rFonts w:ascii="Times New Roman" w:hAnsi="Times New Roman"/>
          <w:sz w:val="28"/>
          <w:szCs w:val="28"/>
        </w:rPr>
        <w:t>О. В. Котов // Укр. журн. хір</w:t>
      </w:r>
      <w:r>
        <w:rPr>
          <w:rFonts w:ascii="Times New Roman" w:hAnsi="Times New Roman"/>
          <w:sz w:val="28"/>
          <w:szCs w:val="28"/>
        </w:rPr>
        <w:t>ургії. – 2009. – № 3. – С. 55-</w:t>
      </w:r>
      <w:r w:rsidRPr="003307F1">
        <w:rPr>
          <w:rFonts w:ascii="Times New Roman" w:hAnsi="Times New Roman"/>
          <w:sz w:val="28"/>
          <w:szCs w:val="28"/>
        </w:rPr>
        <w:t>57.</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Діагностика та лікування псевдокіст підшлункової залози, ускладнених механічною жовтяницею / </w:t>
      </w:r>
      <w:r w:rsidRPr="003307F1">
        <w:rPr>
          <w:rFonts w:ascii="Times New Roman" w:hAnsi="Times New Roman"/>
          <w:iCs/>
          <w:sz w:val="28"/>
          <w:szCs w:val="28"/>
        </w:rPr>
        <w:t xml:space="preserve">В. Г. Ярешко, Ю. А. Міхеєв, І. В. Криворучко, </w:t>
      </w:r>
      <w:r>
        <w:rPr>
          <w:rFonts w:ascii="Times New Roman" w:hAnsi="Times New Roman"/>
          <w:iCs/>
          <w:sz w:val="28"/>
          <w:szCs w:val="28"/>
        </w:rPr>
        <w:t xml:space="preserve">                          </w:t>
      </w:r>
      <w:r w:rsidRPr="003307F1">
        <w:rPr>
          <w:rFonts w:ascii="Times New Roman" w:hAnsi="Times New Roman"/>
          <w:iCs/>
          <w:sz w:val="28"/>
          <w:szCs w:val="28"/>
        </w:rPr>
        <w:t xml:space="preserve">С. Г. Живиця // </w:t>
      </w:r>
      <w:r w:rsidRPr="003307F1">
        <w:rPr>
          <w:rFonts w:ascii="Times New Roman" w:hAnsi="Times New Roman"/>
          <w:bCs/>
          <w:iCs/>
          <w:sz w:val="28"/>
          <w:szCs w:val="28"/>
        </w:rPr>
        <w:t xml:space="preserve">Львівський медичний часопис. </w:t>
      </w:r>
      <w:r w:rsidRPr="003307F1">
        <w:rPr>
          <w:rFonts w:ascii="Times New Roman" w:hAnsi="Times New Roman"/>
          <w:sz w:val="28"/>
          <w:szCs w:val="28"/>
        </w:rPr>
        <w:t xml:space="preserve">– 2010. – Т. </w:t>
      </w:r>
      <w:r w:rsidRPr="003307F1">
        <w:rPr>
          <w:rFonts w:ascii="Times New Roman" w:hAnsi="Times New Roman"/>
          <w:bCs/>
          <w:iCs/>
          <w:sz w:val="28"/>
          <w:szCs w:val="28"/>
        </w:rPr>
        <w:t xml:space="preserve">16, № 4. </w:t>
      </w:r>
      <w:r>
        <w:rPr>
          <w:rFonts w:ascii="Times New Roman" w:hAnsi="Times New Roman"/>
          <w:sz w:val="28"/>
          <w:szCs w:val="28"/>
        </w:rPr>
        <w:t>– С. 75-</w:t>
      </w:r>
      <w:r w:rsidRPr="003307F1">
        <w:rPr>
          <w:rFonts w:ascii="Times New Roman" w:hAnsi="Times New Roman"/>
          <w:sz w:val="28"/>
          <w:szCs w:val="28"/>
        </w:rPr>
        <w:t>77.</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PS-BoldMT" w:hAnsi="Times New Roman"/>
          <w:bCs/>
          <w:sz w:val="28"/>
          <w:szCs w:val="28"/>
        </w:rPr>
        <w:t>Диагностика различных осложнений</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хронического панкреатита: роль спиральной компьютерной томографии / </w:t>
      </w:r>
      <w:r w:rsidRPr="003307F1">
        <w:rPr>
          <w:rFonts w:ascii="Times New Roman" w:eastAsia="TimesNewRomanPSMT" w:hAnsi="Times New Roman"/>
          <w:sz w:val="28"/>
          <w:szCs w:val="28"/>
        </w:rPr>
        <w:t>С. М. Ращинский, С. И. Третьяк,</w:t>
      </w:r>
      <w:r>
        <w:rPr>
          <w:rFonts w:ascii="Times New Roman" w:eastAsia="TimesNewRomanPSMT" w:hAnsi="Times New Roman"/>
          <w:sz w:val="28"/>
          <w:szCs w:val="28"/>
        </w:rPr>
        <w:t xml:space="preserve">                        </w:t>
      </w:r>
      <w:r w:rsidRPr="003307F1">
        <w:rPr>
          <w:rFonts w:ascii="Times New Roman" w:eastAsia="TimesNewRomanPSMT" w:hAnsi="Times New Roman"/>
          <w:sz w:val="28"/>
          <w:szCs w:val="28"/>
        </w:rPr>
        <w:t xml:space="preserve"> </w:t>
      </w:r>
      <w:r w:rsidRPr="003307F1">
        <w:rPr>
          <w:rFonts w:ascii="Times New Roman" w:eastAsia="TimesNewRomanPSMT" w:hAnsi="Times New Roman"/>
          <w:sz w:val="28"/>
          <w:szCs w:val="28"/>
        </w:rPr>
        <w:lastRenderedPageBreak/>
        <w:t xml:space="preserve">Е. В. Жилинский </w:t>
      </w:r>
      <w:r w:rsidRPr="003307F1">
        <w:rPr>
          <w:rFonts w:ascii="Times New Roman" w:hAnsi="Times New Roman"/>
          <w:bCs/>
          <w:sz w:val="28"/>
          <w:szCs w:val="28"/>
        </w:rPr>
        <w:t xml:space="preserve">[ и др. ] // </w:t>
      </w:r>
      <w:r w:rsidRPr="003307F1">
        <w:rPr>
          <w:rFonts w:ascii="Times New Roman" w:eastAsia="TimesNewRomanPSMT" w:hAnsi="Times New Roman"/>
          <w:sz w:val="28"/>
          <w:szCs w:val="28"/>
        </w:rPr>
        <w:t>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86-</w:t>
      </w:r>
      <w:r w:rsidRPr="003307F1">
        <w:rPr>
          <w:rFonts w:ascii="Times New Roman" w:hAnsi="Times New Roman"/>
          <w:sz w:val="28"/>
          <w:szCs w:val="28"/>
        </w:rPr>
        <w:t>87.</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Диагностика и лечение синдрома механической желтухи доброкачественного генеза / Н. А. Байстренко, В. В. Стукалов, А. С.</w:t>
      </w:r>
      <w:r w:rsidRPr="003307F1">
        <w:rPr>
          <w:rFonts w:ascii="Times New Roman" w:eastAsia="TimesNewRoman" w:hAnsi="Times New Roman"/>
          <w:sz w:val="28"/>
          <w:szCs w:val="28"/>
        </w:rPr>
        <w:t xml:space="preserve"> </w:t>
      </w:r>
      <w:r w:rsidRPr="003307F1">
        <w:rPr>
          <w:rFonts w:ascii="Times New Roman" w:hAnsi="Times New Roman"/>
          <w:sz w:val="28"/>
          <w:szCs w:val="28"/>
        </w:rPr>
        <w:t>Прядко [ и др. ] // Анналы хи</w:t>
      </w:r>
      <w:r>
        <w:rPr>
          <w:rFonts w:ascii="Times New Roman" w:hAnsi="Times New Roman"/>
          <w:sz w:val="28"/>
          <w:szCs w:val="28"/>
        </w:rPr>
        <w:t>рургии. – 2011. – № 3. – С. 26-</w:t>
      </w:r>
      <w:r w:rsidRPr="003307F1">
        <w:rPr>
          <w:rFonts w:ascii="Times New Roman" w:hAnsi="Times New Roman"/>
          <w:sz w:val="28"/>
          <w:szCs w:val="28"/>
        </w:rPr>
        <w:t>34.</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Диагностика и тактика лечения незрелых постнекротических</w:t>
      </w:r>
      <w:r w:rsidRPr="003307F1">
        <w:rPr>
          <w:rFonts w:ascii="Times New Roman" w:eastAsia="TimesNewRoman" w:hAnsi="Times New Roman"/>
          <w:sz w:val="28"/>
          <w:szCs w:val="28"/>
        </w:rPr>
        <w:t xml:space="preserve"> </w:t>
      </w:r>
      <w:r w:rsidRPr="003307F1">
        <w:rPr>
          <w:rFonts w:ascii="Times New Roman" w:hAnsi="Times New Roman"/>
          <w:sz w:val="28"/>
          <w:szCs w:val="28"/>
        </w:rPr>
        <w:t>кист поджелудочной железы / Т. И. Тамм, Б. М. Даценко, А. Я.</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Бардюк, </w:t>
      </w:r>
      <w:r>
        <w:rPr>
          <w:rFonts w:ascii="Times New Roman" w:hAnsi="Times New Roman"/>
          <w:sz w:val="28"/>
          <w:szCs w:val="28"/>
        </w:rPr>
        <w:t xml:space="preserve">                                </w:t>
      </w:r>
      <w:r w:rsidRPr="003307F1">
        <w:rPr>
          <w:rFonts w:ascii="Times New Roman" w:hAnsi="Times New Roman"/>
          <w:sz w:val="28"/>
          <w:szCs w:val="28"/>
        </w:rPr>
        <w:t>В. В. Непомнящий // Харківська хірургічна школа. – 2009. – №</w:t>
      </w:r>
      <w:r w:rsidRPr="003307F1">
        <w:rPr>
          <w:rFonts w:ascii="Times New Roman" w:eastAsia="TimesNewRoman" w:hAnsi="Times New Roman"/>
          <w:sz w:val="28"/>
          <w:szCs w:val="28"/>
        </w:rPr>
        <w:t xml:space="preserve"> </w:t>
      </w:r>
      <w:r>
        <w:rPr>
          <w:rFonts w:ascii="Times New Roman" w:hAnsi="Times New Roman"/>
          <w:sz w:val="28"/>
          <w:szCs w:val="28"/>
        </w:rPr>
        <w:t>4.1(36). – С. 291-</w:t>
      </w:r>
      <w:r w:rsidRPr="003307F1">
        <w:rPr>
          <w:rFonts w:ascii="Times New Roman" w:hAnsi="Times New Roman"/>
          <w:sz w:val="28"/>
          <w:szCs w:val="28"/>
        </w:rPr>
        <w:t>293.</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Диагностика и тактика лечения осложненных псевдокист поджелудочной железы / В. М. Копчак, К. В. Копчак, Г. Ю. Мошковский </w:t>
      </w:r>
      <w:r w:rsidRPr="003307F1">
        <w:rPr>
          <w:rFonts w:ascii="Times New Roman" w:hAnsi="Times New Roman"/>
          <w:bCs/>
          <w:sz w:val="28"/>
          <w:szCs w:val="28"/>
        </w:rPr>
        <w:t xml:space="preserve">[ и др. ] </w:t>
      </w:r>
      <w:r w:rsidRPr="003307F1">
        <w:rPr>
          <w:rFonts w:ascii="Times New Roman" w:hAnsi="Times New Roman"/>
          <w:sz w:val="28"/>
          <w:szCs w:val="28"/>
        </w:rPr>
        <w:t>/</w:t>
      </w:r>
      <w:r w:rsidRPr="003307F1">
        <w:rPr>
          <w:rFonts w:ascii="Times New Roman" w:hAnsi="Times New Roman"/>
          <w:bCs/>
          <w:sz w:val="28"/>
          <w:szCs w:val="28"/>
        </w:rPr>
        <w:t xml:space="preserve">/ Клінічна хірургія. </w:t>
      </w:r>
      <w:r w:rsidRPr="003307F1">
        <w:rPr>
          <w:rFonts w:ascii="Times New Roman" w:hAnsi="Times New Roman"/>
          <w:sz w:val="28"/>
          <w:szCs w:val="28"/>
          <w:shd w:val="clear" w:color="auto" w:fill="FFFFFF"/>
        </w:rPr>
        <w:t>–</w:t>
      </w:r>
      <w:r w:rsidRPr="003307F1">
        <w:rPr>
          <w:rFonts w:ascii="Times New Roman" w:hAnsi="Times New Roman"/>
          <w:bCs/>
          <w:sz w:val="28"/>
          <w:szCs w:val="28"/>
        </w:rPr>
        <w:t xml:space="preserve"> 2011. </w:t>
      </w:r>
      <w:r w:rsidRPr="003307F1">
        <w:rPr>
          <w:rFonts w:ascii="Times New Roman" w:hAnsi="Times New Roman"/>
          <w:sz w:val="28"/>
          <w:szCs w:val="28"/>
          <w:shd w:val="clear" w:color="auto" w:fill="FFFFFF"/>
        </w:rPr>
        <w:t xml:space="preserve">– </w:t>
      </w:r>
      <w:r w:rsidRPr="003307F1">
        <w:rPr>
          <w:rFonts w:ascii="Times New Roman" w:hAnsi="Times New Roman"/>
          <w:bCs/>
          <w:sz w:val="28"/>
          <w:szCs w:val="28"/>
        </w:rPr>
        <w:t xml:space="preserve">№ 3. </w:t>
      </w:r>
      <w:r w:rsidRPr="003307F1">
        <w:rPr>
          <w:rFonts w:ascii="Times New Roman" w:hAnsi="Times New Roman"/>
          <w:sz w:val="28"/>
          <w:szCs w:val="28"/>
          <w:shd w:val="clear" w:color="auto" w:fill="FFFFFF"/>
        </w:rPr>
        <w:t>– С. 25</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30.</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Диагностика и хирургическая тактика при кистозных опухолях поджелудочной железы / </w:t>
      </w:r>
      <w:r w:rsidRPr="003307F1">
        <w:rPr>
          <w:rFonts w:ascii="Times New Roman" w:hAnsi="Times New Roman"/>
          <w:bCs/>
          <w:iCs/>
          <w:sz w:val="28"/>
          <w:szCs w:val="28"/>
        </w:rPr>
        <w:t xml:space="preserve">В. М. Копчак, К. В. Копчак , В. В. Ханенко </w:t>
      </w:r>
      <w:r w:rsidRPr="003307F1">
        <w:rPr>
          <w:rFonts w:ascii="Times New Roman" w:hAnsi="Times New Roman"/>
          <w:bCs/>
          <w:sz w:val="28"/>
          <w:szCs w:val="28"/>
        </w:rPr>
        <w:t xml:space="preserve">[ и др. ] </w:t>
      </w:r>
      <w:r w:rsidRPr="003307F1">
        <w:rPr>
          <w:rFonts w:ascii="Times New Roman" w:hAnsi="Times New Roman"/>
          <w:sz w:val="28"/>
          <w:szCs w:val="28"/>
        </w:rPr>
        <w:t>/</w:t>
      </w:r>
      <w:r w:rsidRPr="003307F1">
        <w:rPr>
          <w:rFonts w:ascii="Times New Roman" w:hAnsi="Times New Roman"/>
          <w:bCs/>
          <w:sz w:val="28"/>
          <w:szCs w:val="28"/>
        </w:rPr>
        <w:t xml:space="preserve">/ Клінічна хірургія. </w:t>
      </w:r>
      <w:r w:rsidRPr="003307F1">
        <w:rPr>
          <w:rFonts w:ascii="Times New Roman" w:hAnsi="Times New Roman"/>
          <w:sz w:val="28"/>
          <w:szCs w:val="28"/>
          <w:shd w:val="clear" w:color="auto" w:fill="FFFFFF"/>
        </w:rPr>
        <w:t>–</w:t>
      </w:r>
      <w:r w:rsidRPr="003307F1">
        <w:rPr>
          <w:rFonts w:ascii="Times New Roman" w:hAnsi="Times New Roman"/>
          <w:bCs/>
          <w:sz w:val="28"/>
          <w:szCs w:val="28"/>
        </w:rPr>
        <w:t xml:space="preserve"> 2009. </w:t>
      </w:r>
      <w:r w:rsidRPr="003307F1">
        <w:rPr>
          <w:rFonts w:ascii="Times New Roman" w:hAnsi="Times New Roman"/>
          <w:sz w:val="28"/>
          <w:szCs w:val="28"/>
          <w:shd w:val="clear" w:color="auto" w:fill="FFFFFF"/>
        </w:rPr>
        <w:t xml:space="preserve">– </w:t>
      </w:r>
      <w:r w:rsidRPr="003307F1">
        <w:rPr>
          <w:rFonts w:ascii="Times New Roman" w:hAnsi="Times New Roman"/>
          <w:bCs/>
          <w:sz w:val="28"/>
          <w:szCs w:val="28"/>
        </w:rPr>
        <w:t xml:space="preserve">№ 7 </w:t>
      </w:r>
      <w:r w:rsidRPr="003307F1">
        <w:rPr>
          <w:rFonts w:ascii="Times New Roman" w:hAnsi="Times New Roman"/>
          <w:sz w:val="28"/>
          <w:szCs w:val="28"/>
          <w:shd w:val="clear" w:color="auto" w:fill="FFFFFF"/>
        </w:rPr>
        <w:t>– 8</w:t>
      </w:r>
      <w:r w:rsidRPr="003307F1">
        <w:rPr>
          <w:rFonts w:ascii="Times New Roman" w:hAnsi="Times New Roman"/>
          <w:bCs/>
          <w:sz w:val="28"/>
          <w:szCs w:val="28"/>
        </w:rPr>
        <w:t xml:space="preserve">. </w:t>
      </w:r>
      <w:r w:rsidRPr="003307F1">
        <w:rPr>
          <w:rFonts w:ascii="Times New Roman" w:hAnsi="Times New Roman"/>
          <w:sz w:val="28"/>
          <w:szCs w:val="28"/>
          <w:shd w:val="clear" w:color="auto" w:fill="FFFFFF"/>
        </w:rPr>
        <w:t>– С. 75</w:t>
      </w:r>
      <w:r>
        <w:rPr>
          <w:rFonts w:ascii="Times New Roman" w:hAnsi="Times New Roman"/>
          <w:sz w:val="28"/>
          <w:szCs w:val="28"/>
          <w:shd w:val="clear" w:color="auto" w:fill="FFFFFF"/>
        </w:rPr>
        <w:t>-</w:t>
      </w:r>
      <w:r w:rsidRPr="003307F1">
        <w:rPr>
          <w:rFonts w:ascii="Times New Roman" w:hAnsi="Times New Roman"/>
          <w:sz w:val="28"/>
          <w:szCs w:val="28"/>
        </w:rPr>
        <w:t>76</w:t>
      </w:r>
      <w:r w:rsidRPr="003307F1">
        <w:rPr>
          <w:rFonts w:ascii="Times New Roman" w:hAnsi="Times New Roman"/>
          <w:sz w:val="28"/>
          <w:szCs w:val="28"/>
          <w:shd w:val="clear" w:color="auto" w:fill="FFFFFF"/>
        </w:rPr>
        <w:t>.</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t>Диагностика хронического панкреатита</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с псевдокистой поджелудочной железы / </w:t>
      </w:r>
      <w:r w:rsidRPr="003307F1">
        <w:rPr>
          <w:rFonts w:ascii="Times New Roman" w:eastAsia="TimesNewRomanPSMT" w:hAnsi="Times New Roman"/>
          <w:sz w:val="28"/>
          <w:szCs w:val="28"/>
        </w:rPr>
        <w:t>Я. Г. Колкин, Н. В. Момот, В. В. Хацко [ и др. ]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45-</w:t>
      </w:r>
      <w:r w:rsidRPr="003307F1">
        <w:rPr>
          <w:rFonts w:ascii="Times New Roman" w:hAnsi="Times New Roman"/>
          <w:sz w:val="28"/>
          <w:szCs w:val="28"/>
        </w:rPr>
        <w:t>46.</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Дистальная резекция поджелудочной железы с сохранением селезенки. На какие коллатерали можно рассчитывать? /</w:t>
      </w:r>
      <w:r w:rsidRPr="003307F1">
        <w:rPr>
          <w:rStyle w:val="alt-edited1"/>
          <w:rFonts w:ascii="Times New Roman" w:hAnsi="Times New Roman"/>
          <w:color w:val="auto"/>
          <w:sz w:val="28"/>
          <w:szCs w:val="28"/>
        </w:rPr>
        <w:t xml:space="preserve"> В. И. </w:t>
      </w:r>
      <w:r w:rsidRPr="003307F1">
        <w:rPr>
          <w:rStyle w:val="ab"/>
          <w:rFonts w:ascii="Times New Roman" w:hAnsi="Times New Roman"/>
          <w:b w:val="0"/>
          <w:sz w:val="28"/>
          <w:szCs w:val="28"/>
        </w:rPr>
        <w:t>Егоров, Н. И. Яшина,</w:t>
      </w:r>
      <w:r>
        <w:rPr>
          <w:rStyle w:val="ab"/>
          <w:rFonts w:ascii="Times New Roman" w:hAnsi="Times New Roman"/>
          <w:b w:val="0"/>
          <w:sz w:val="28"/>
          <w:szCs w:val="28"/>
        </w:rPr>
        <w:t xml:space="preserve">                          </w:t>
      </w:r>
      <w:r w:rsidRPr="003307F1">
        <w:rPr>
          <w:rStyle w:val="ab"/>
          <w:rFonts w:ascii="Times New Roman" w:hAnsi="Times New Roman"/>
          <w:b w:val="0"/>
          <w:sz w:val="28"/>
          <w:szCs w:val="28"/>
        </w:rPr>
        <w:t xml:space="preserve"> Т. В. Журенкова</w:t>
      </w:r>
      <w:r w:rsidRPr="003307F1">
        <w:rPr>
          <w:rFonts w:ascii="Times New Roman" w:eastAsia="TimesNewRomanPSMT" w:hAnsi="Times New Roman"/>
          <w:sz w:val="28"/>
          <w:szCs w:val="28"/>
        </w:rPr>
        <w:t xml:space="preserve"> [ и др. ]</w:t>
      </w:r>
      <w:r w:rsidRPr="003307F1">
        <w:rPr>
          <w:rFonts w:ascii="Times New Roman" w:hAnsi="Times New Roman"/>
          <w:sz w:val="28"/>
          <w:szCs w:val="28"/>
        </w:rPr>
        <w:t xml:space="preserve"> // Хирургия. Журнал им. Н.И. Пир</w:t>
      </w:r>
      <w:r>
        <w:rPr>
          <w:rFonts w:ascii="Times New Roman" w:hAnsi="Times New Roman"/>
          <w:sz w:val="28"/>
          <w:szCs w:val="28"/>
        </w:rPr>
        <w:t>огова. – 2011. – №11. – С. 10-</w:t>
      </w:r>
      <w:r w:rsidRPr="003307F1">
        <w:rPr>
          <w:rFonts w:ascii="Times New Roman" w:hAnsi="Times New Roman"/>
          <w:sz w:val="28"/>
          <w:szCs w:val="28"/>
        </w:rPr>
        <w:t>19.</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t>Дифференцированный подход</w:t>
      </w:r>
      <w:r w:rsidRPr="003307F1">
        <w:rPr>
          <w:rFonts w:ascii="Times New Roman" w:hAnsi="Times New Roman"/>
          <w:sz w:val="28"/>
          <w:szCs w:val="28"/>
        </w:rPr>
        <w:t xml:space="preserve"> </w:t>
      </w:r>
      <w:r w:rsidRPr="003307F1">
        <w:rPr>
          <w:rFonts w:ascii="Times New Roman" w:eastAsia="TimesNewRomanPS-BoldMT" w:hAnsi="Times New Roman"/>
          <w:bCs/>
          <w:sz w:val="28"/>
          <w:szCs w:val="28"/>
        </w:rPr>
        <w:t>к лечению кист поджелудочной железы</w:t>
      </w:r>
      <w:r w:rsidRPr="003307F1">
        <w:rPr>
          <w:rFonts w:ascii="Times New Roman" w:hAnsi="Times New Roman"/>
          <w:sz w:val="28"/>
          <w:szCs w:val="28"/>
        </w:rPr>
        <w:t xml:space="preserve"> </w:t>
      </w:r>
      <w:r w:rsidRPr="003307F1">
        <w:rPr>
          <w:rFonts w:ascii="Times New Roman" w:eastAsia="TimesNewRomanPS-BoldMT" w:hAnsi="Times New Roman"/>
          <w:bCs/>
          <w:sz w:val="28"/>
          <w:szCs w:val="28"/>
        </w:rPr>
        <w:t xml:space="preserve">при хроническом панкреатите / </w:t>
      </w:r>
      <w:r w:rsidRPr="003307F1">
        <w:rPr>
          <w:rFonts w:ascii="Times New Roman" w:eastAsia="TimesNewRomanPSMT" w:hAnsi="Times New Roman"/>
          <w:sz w:val="28"/>
          <w:szCs w:val="28"/>
        </w:rPr>
        <w:t>С. В. Тарасенко, А. А. Копейкин, Т. С. Рахмаев [ и др. ]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105-</w:t>
      </w:r>
      <w:r w:rsidRPr="003307F1">
        <w:rPr>
          <w:rFonts w:ascii="Times New Roman" w:hAnsi="Times New Roman"/>
          <w:sz w:val="28"/>
          <w:szCs w:val="28"/>
        </w:rPr>
        <w:t>107.</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 xml:space="preserve">Дорошкевич С. В. Патогенетические механизмы формирования псевдокист поджелудочной железы в эксперименте / С. В. Дорошкевич, П. Г. Пивченко, </w:t>
      </w:r>
      <w:r>
        <w:rPr>
          <w:rFonts w:ascii="Times New Roman" w:hAnsi="Times New Roman"/>
          <w:sz w:val="28"/>
          <w:szCs w:val="28"/>
        </w:rPr>
        <w:t xml:space="preserve">                </w:t>
      </w:r>
      <w:r w:rsidRPr="003307F1">
        <w:rPr>
          <w:rFonts w:ascii="Times New Roman" w:hAnsi="Times New Roman"/>
          <w:sz w:val="28"/>
          <w:szCs w:val="28"/>
        </w:rPr>
        <w:t>Е. Ю. Дорошкевич // Новости хирургии.</w:t>
      </w:r>
      <w:r>
        <w:rPr>
          <w:rFonts w:ascii="Times New Roman" w:hAnsi="Times New Roman"/>
          <w:sz w:val="28"/>
          <w:szCs w:val="28"/>
        </w:rPr>
        <w:t xml:space="preserve"> – 2009. – Т. 17, № 2. – С. 8-</w:t>
      </w:r>
      <w:r w:rsidRPr="003307F1">
        <w:rPr>
          <w:rFonts w:ascii="Times New Roman" w:hAnsi="Times New Roman"/>
          <w:sz w:val="28"/>
          <w:szCs w:val="28"/>
        </w:rPr>
        <w:t>13.</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lastRenderedPageBreak/>
        <w:t>До питання лікування</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псевдокіст</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підшлункової</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shd w:val="clear" w:color="auto" w:fill="FFFFFF"/>
        </w:rPr>
        <w:t>залози</w:t>
      </w:r>
      <w:r w:rsidRPr="003307F1">
        <w:rPr>
          <w:rFonts w:ascii="Times New Roman" w:hAnsi="Times New Roman"/>
          <w:sz w:val="28"/>
          <w:szCs w:val="28"/>
          <w:shd w:val="clear" w:color="auto" w:fill="FFFFFF"/>
        </w:rPr>
        <w:t xml:space="preserve"> </w:t>
      </w:r>
      <w:r w:rsidRPr="003307F1">
        <w:rPr>
          <w:rFonts w:ascii="Times New Roman" w:hAnsi="Times New Roman"/>
          <w:sz w:val="28"/>
          <w:szCs w:val="28"/>
        </w:rPr>
        <w:t xml:space="preserve">/ </w:t>
      </w:r>
      <w:r w:rsidRPr="003307F1">
        <w:rPr>
          <w:rFonts w:ascii="Times New Roman" w:hAnsi="Times New Roman"/>
          <w:sz w:val="28"/>
          <w:szCs w:val="28"/>
          <w:shd w:val="clear" w:color="auto" w:fill="FFFFFF"/>
        </w:rPr>
        <w:t xml:space="preserve">О. А. Жупанов, </w:t>
      </w:r>
      <w:r>
        <w:rPr>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М. І. Покидько, М. Д. Желіба, М. Г. Богачук //</w:t>
      </w:r>
      <w:r w:rsidRPr="003307F1">
        <w:rPr>
          <w:rStyle w:val="apple-converted-space"/>
          <w:rFonts w:ascii="Times New Roman" w:hAnsi="Times New Roman"/>
          <w:sz w:val="28"/>
          <w:szCs w:val="28"/>
          <w:shd w:val="clear" w:color="auto" w:fill="FFFFFF"/>
        </w:rPr>
        <w:t xml:space="preserve"> </w:t>
      </w:r>
      <w:hyperlink r:id="rId138" w:tooltip="Періодичне видання" w:history="1">
        <w:r w:rsidRPr="003307F1">
          <w:rPr>
            <w:rStyle w:val="af1"/>
            <w:rFonts w:ascii="Times New Roman" w:hAnsi="Times New Roman"/>
            <w:sz w:val="28"/>
            <w:szCs w:val="28"/>
            <w:shd w:val="clear" w:color="auto" w:fill="FFFFFF"/>
          </w:rPr>
          <w:t>Вісник Вінницького національного медичного університету</w:t>
        </w:r>
      </w:hyperlink>
      <w:r w:rsidRPr="003307F1">
        <w:rPr>
          <w:rFonts w:ascii="Times New Roman" w:hAnsi="Times New Roman"/>
          <w:sz w:val="28"/>
          <w:szCs w:val="28"/>
          <w:shd w:val="clear" w:color="auto" w:fill="FFFFFF"/>
        </w:rPr>
        <w:t>. – 2014. – Т. 18, № 1(1). – С. 124</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 xml:space="preserve">125. </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Досвід виконання мініінвазивних втручань під контролем ультразвукового</w:t>
      </w:r>
      <w:r w:rsidRPr="003307F1">
        <w:rPr>
          <w:rFonts w:ascii="Times New Roman" w:eastAsia="TimesNewRoman" w:hAnsi="Times New Roman"/>
          <w:sz w:val="28"/>
          <w:szCs w:val="28"/>
        </w:rPr>
        <w:t xml:space="preserve"> </w:t>
      </w:r>
      <w:r w:rsidRPr="003307F1">
        <w:rPr>
          <w:rFonts w:ascii="Times New Roman" w:hAnsi="Times New Roman"/>
          <w:sz w:val="28"/>
          <w:szCs w:val="28"/>
        </w:rPr>
        <w:t>та рентгентелевізійного дослідження / М. П. Захараш, Ю. М. Захараш,</w:t>
      </w:r>
      <w:r>
        <w:rPr>
          <w:rFonts w:ascii="Times New Roman" w:hAnsi="Times New Roman"/>
          <w:sz w:val="28"/>
          <w:szCs w:val="28"/>
        </w:rPr>
        <w:t xml:space="preserve">                               </w:t>
      </w:r>
      <w:r w:rsidRPr="003307F1">
        <w:rPr>
          <w:rFonts w:ascii="Times New Roman" w:hAnsi="Times New Roman"/>
          <w:sz w:val="28"/>
          <w:szCs w:val="28"/>
        </w:rPr>
        <w:t xml:space="preserve"> А. І. Стельмах, В. В. Мороз // Клінічна хірургія.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2012.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 4.</w:t>
      </w:r>
      <w:r w:rsidRPr="003307F1">
        <w:rPr>
          <w:rFonts w:ascii="Times New Roman" w:hAnsi="Times New Roman"/>
          <w:sz w:val="28"/>
          <w:szCs w:val="28"/>
          <w:shd w:val="clear" w:color="auto" w:fill="FFFFFF"/>
        </w:rPr>
        <w:t xml:space="preserve"> –</w:t>
      </w:r>
      <w:r>
        <w:rPr>
          <w:rFonts w:ascii="Times New Roman" w:hAnsi="Times New Roman"/>
          <w:sz w:val="28"/>
          <w:szCs w:val="28"/>
        </w:rPr>
        <w:t xml:space="preserve"> С.17-</w:t>
      </w:r>
      <w:r w:rsidRPr="003307F1">
        <w:rPr>
          <w:rFonts w:ascii="Times New Roman" w:hAnsi="Times New Roman"/>
          <w:sz w:val="28"/>
          <w:szCs w:val="28"/>
        </w:rPr>
        <w:t>18.</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Досвід лікування хворих із</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псевдокістами</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підшлункової</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 xml:space="preserve">залози, ускладненими </w:t>
      </w:r>
      <w:r w:rsidRPr="003307F1">
        <w:rPr>
          <w:rFonts w:ascii="Times New Roman" w:hAnsi="Times New Roman"/>
          <w:bCs/>
          <w:sz w:val="28"/>
          <w:szCs w:val="28"/>
          <w:shd w:val="clear" w:color="auto" w:fill="FFFFFF"/>
        </w:rPr>
        <w:t>кровотечею</w:t>
      </w:r>
      <w:r w:rsidRPr="003307F1">
        <w:rPr>
          <w:rStyle w:val="apple-converted-space"/>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 В. Т. Поліщук, І. М. Невмержицький, А. І. Костина [ та ін. ] //</w:t>
      </w:r>
      <w:r w:rsidRPr="003307F1">
        <w:rPr>
          <w:rStyle w:val="apple-converted-space"/>
          <w:rFonts w:ascii="Times New Roman" w:hAnsi="Times New Roman"/>
          <w:sz w:val="28"/>
          <w:szCs w:val="28"/>
          <w:shd w:val="clear" w:color="auto" w:fill="FFFFFF"/>
        </w:rPr>
        <w:t xml:space="preserve"> </w:t>
      </w:r>
      <w:hyperlink r:id="rId139" w:tooltip="Періодичне видання" w:history="1">
        <w:r w:rsidRPr="0027323C">
          <w:rPr>
            <w:rStyle w:val="af1"/>
            <w:rFonts w:ascii="Times New Roman" w:hAnsi="Times New Roman"/>
            <w:sz w:val="28"/>
            <w:szCs w:val="28"/>
          </w:rPr>
          <w:t>Шпитальна хірургія</w:t>
        </w:r>
      </w:hyperlink>
      <w:r w:rsidRPr="0027323C">
        <w:rPr>
          <w:rFonts w:ascii="Times New Roman" w:hAnsi="Times New Roman"/>
          <w:sz w:val="28"/>
          <w:szCs w:val="28"/>
        </w:rPr>
        <w:t xml:space="preserve">. </w:t>
      </w:r>
      <w:r w:rsidRPr="003307F1">
        <w:rPr>
          <w:rFonts w:ascii="Times New Roman" w:hAnsi="Times New Roman"/>
          <w:sz w:val="28"/>
          <w:szCs w:val="28"/>
          <w:shd w:val="clear" w:color="auto" w:fill="FFFFFF"/>
        </w:rPr>
        <w:t>– 2011. – № 2. – С. 69</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 xml:space="preserve">71. </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Евтихова Е. Ю. Отдаленные результаты с оценкой качества жизни</w:t>
      </w:r>
      <w:r w:rsidRPr="003307F1">
        <w:rPr>
          <w:rFonts w:ascii="Times New Roman" w:eastAsia="TimesNewRoman" w:hAnsi="Times New Roman"/>
          <w:sz w:val="28"/>
          <w:szCs w:val="28"/>
        </w:rPr>
        <w:t xml:space="preserve"> </w:t>
      </w:r>
      <w:r w:rsidRPr="003307F1">
        <w:rPr>
          <w:rFonts w:ascii="Times New Roman" w:hAnsi="Times New Roman"/>
          <w:sz w:val="28"/>
          <w:szCs w:val="28"/>
        </w:rPr>
        <w:t>больных, оперированных по поводу осложненных форм</w:t>
      </w:r>
      <w:r w:rsidRPr="003307F1">
        <w:rPr>
          <w:rFonts w:ascii="Times New Roman" w:eastAsia="TimesNewRoman" w:hAnsi="Times New Roman"/>
          <w:sz w:val="28"/>
          <w:szCs w:val="28"/>
        </w:rPr>
        <w:t xml:space="preserve"> </w:t>
      </w:r>
      <w:r w:rsidRPr="003307F1">
        <w:rPr>
          <w:rFonts w:ascii="Times New Roman" w:hAnsi="Times New Roman"/>
          <w:sz w:val="28"/>
          <w:szCs w:val="28"/>
        </w:rPr>
        <w:t>хронического панкреатита / Е. Ю. Евтихова // Мед. акад. журн.</w:t>
      </w:r>
      <w:r w:rsidRPr="003307F1">
        <w:rPr>
          <w:rFonts w:ascii="Times New Roman" w:eastAsia="TimesNewRoman" w:hAnsi="Times New Roman"/>
          <w:sz w:val="28"/>
          <w:szCs w:val="28"/>
        </w:rPr>
        <w:t xml:space="preserve"> </w:t>
      </w:r>
      <w:r w:rsidRPr="003307F1">
        <w:rPr>
          <w:rFonts w:ascii="Times New Roman" w:hAnsi="Times New Roman"/>
          <w:sz w:val="28"/>
          <w:szCs w:val="28"/>
        </w:rPr>
        <w:t>– 2010. – Т. 10, № 2. – С</w:t>
      </w:r>
      <w:r>
        <w:rPr>
          <w:rFonts w:ascii="Times New Roman" w:hAnsi="Times New Roman"/>
          <w:sz w:val="28"/>
          <w:szCs w:val="28"/>
        </w:rPr>
        <w:t>. 108-</w:t>
      </w:r>
      <w:r w:rsidRPr="003307F1">
        <w:rPr>
          <w:rFonts w:ascii="Times New Roman" w:hAnsi="Times New Roman"/>
          <w:sz w:val="28"/>
          <w:szCs w:val="28"/>
        </w:rPr>
        <w:t>113.</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Елисеева И.И. Общая теория статистики / И.</w:t>
      </w:r>
      <w:r>
        <w:rPr>
          <w:rFonts w:ascii="Times New Roman" w:hAnsi="Times New Roman"/>
          <w:sz w:val="28"/>
          <w:szCs w:val="28"/>
        </w:rPr>
        <w:t xml:space="preserve"> </w:t>
      </w:r>
      <w:r w:rsidRPr="003307F1">
        <w:rPr>
          <w:rFonts w:ascii="Times New Roman" w:hAnsi="Times New Roman"/>
          <w:sz w:val="28"/>
          <w:szCs w:val="28"/>
        </w:rPr>
        <w:t>И. Елисеева, М.</w:t>
      </w:r>
      <w:r>
        <w:rPr>
          <w:rFonts w:ascii="Times New Roman" w:hAnsi="Times New Roman"/>
          <w:sz w:val="28"/>
          <w:szCs w:val="28"/>
        </w:rPr>
        <w:t xml:space="preserve"> </w:t>
      </w:r>
      <w:r w:rsidRPr="003307F1">
        <w:rPr>
          <w:rFonts w:ascii="Times New Roman" w:hAnsi="Times New Roman"/>
          <w:sz w:val="28"/>
          <w:szCs w:val="28"/>
        </w:rPr>
        <w:t>М. Юзбашев. – М.: Финансы и статистика, 2004. – 656 с.</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Ендоскопічне лікування псевдокіст підшлункової залози / </w:t>
      </w:r>
      <w:r>
        <w:rPr>
          <w:rFonts w:ascii="Times New Roman" w:hAnsi="Times New Roman"/>
          <w:sz w:val="28"/>
          <w:szCs w:val="28"/>
        </w:rPr>
        <w:t xml:space="preserve">                          </w:t>
      </w:r>
      <w:r w:rsidRPr="003307F1">
        <w:rPr>
          <w:rFonts w:ascii="Times New Roman" w:hAnsi="Times New Roman"/>
          <w:bCs/>
          <w:iCs/>
          <w:sz w:val="28"/>
          <w:szCs w:val="28"/>
        </w:rPr>
        <w:t xml:space="preserve">М. Ю. Ничитайло, П. В. Огородник, О. П. Кондратюк [ та ін. ] // Клінічна хірургія. </w:t>
      </w:r>
      <w:r>
        <w:rPr>
          <w:rFonts w:ascii="Times New Roman" w:hAnsi="Times New Roman"/>
          <w:sz w:val="28"/>
          <w:szCs w:val="28"/>
        </w:rPr>
        <w:t>– 2009. – № 5. – С. 5-</w:t>
      </w:r>
      <w:r w:rsidRPr="003307F1">
        <w:rPr>
          <w:rFonts w:ascii="Times New Roman" w:hAnsi="Times New Roman"/>
          <w:sz w:val="28"/>
          <w:szCs w:val="28"/>
        </w:rPr>
        <w:t>8.</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Ендоскопічні та лапароскопічні методи лікування ускладнених псевдокіст підшлункової залози / В. М. Копчак, К. В. Копчак, І. В. Хомяк [ та ін. ] // Архів клінічної медицини. </w:t>
      </w:r>
      <w:r w:rsidRPr="003307F1">
        <w:rPr>
          <w:rFonts w:ascii="Times New Roman" w:hAnsi="Times New Roman"/>
          <w:sz w:val="28"/>
          <w:szCs w:val="28"/>
          <w:shd w:val="clear" w:color="auto" w:fill="FFFFFF"/>
        </w:rPr>
        <w:t xml:space="preserve">– 2014. – № 2 (20), </w:t>
      </w:r>
      <w:r>
        <w:rPr>
          <w:rFonts w:ascii="Times New Roman" w:hAnsi="Times New Roman"/>
          <w:sz w:val="28"/>
          <w:szCs w:val="28"/>
          <w:shd w:val="clear" w:color="auto" w:fill="FFFFFF"/>
        </w:rPr>
        <w:t>ч. ІІ. – С. 56-</w:t>
      </w:r>
      <w:r w:rsidRPr="003307F1">
        <w:rPr>
          <w:rFonts w:ascii="Times New Roman" w:hAnsi="Times New Roman"/>
          <w:sz w:val="28"/>
          <w:szCs w:val="28"/>
          <w:shd w:val="clear" w:color="auto" w:fill="FFFFFF"/>
        </w:rPr>
        <w:t>58.</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shd w:val="clear" w:color="auto" w:fill="FFFFFF"/>
        </w:rPr>
        <w:t>Ендоскопічна ультрасонографія при кістозних захворюваннях підшлункової залози / О. М. Бурий, І. С. Терешкевич, С. І. Щербина [ та ін. ] // Укр. журн. малоінвазив. та ендоваск. хірургії. – 2</w:t>
      </w:r>
      <w:r>
        <w:rPr>
          <w:rFonts w:ascii="Times New Roman" w:hAnsi="Times New Roman"/>
          <w:sz w:val="28"/>
          <w:szCs w:val="28"/>
          <w:shd w:val="clear" w:color="auto" w:fill="FFFFFF"/>
        </w:rPr>
        <w:t>014. – Т. 18, № 2 – 3. – С. 5-</w:t>
      </w:r>
      <w:r w:rsidRPr="003307F1">
        <w:rPr>
          <w:rFonts w:ascii="Times New Roman" w:hAnsi="Times New Roman"/>
          <w:sz w:val="28"/>
          <w:szCs w:val="28"/>
          <w:shd w:val="clear" w:color="auto" w:fill="FFFFFF"/>
        </w:rPr>
        <w:t>9.</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Етапні хірургічні втручання при ускладненому хронічному панкреатиті / </w:t>
      </w:r>
      <w:r>
        <w:rPr>
          <w:rFonts w:ascii="Times New Roman" w:hAnsi="Times New Roman"/>
          <w:sz w:val="28"/>
          <w:szCs w:val="28"/>
        </w:rPr>
        <w:t xml:space="preserve">     </w:t>
      </w:r>
      <w:r w:rsidRPr="003307F1">
        <w:rPr>
          <w:rFonts w:ascii="Times New Roman" w:hAnsi="Times New Roman"/>
          <w:sz w:val="28"/>
          <w:szCs w:val="28"/>
        </w:rPr>
        <w:t xml:space="preserve">А. І. Суходоля, В. В. Петрушенко, О. О. Підмурняк [ та ін. ] // Харківська хірургічна </w:t>
      </w:r>
      <w:r>
        <w:rPr>
          <w:rFonts w:ascii="Times New Roman" w:hAnsi="Times New Roman"/>
          <w:sz w:val="28"/>
          <w:szCs w:val="28"/>
        </w:rPr>
        <w:t>школа. – 2013. – № 2. – С. 85-</w:t>
      </w:r>
      <w:r w:rsidRPr="003307F1">
        <w:rPr>
          <w:rFonts w:ascii="Times New Roman" w:hAnsi="Times New Roman"/>
          <w:sz w:val="28"/>
          <w:szCs w:val="28"/>
        </w:rPr>
        <w:t>88.</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Запорожченко Б. С. Лечение кист поджелудочной железы миниинвазивным методом / Б. С. Запорожченко, В. И. Шишлов, А. А. Горбунов // Тез. докл. XVI междунар. конгр. хирургов-гепатологов стран СНГ "Актуальные проблемы хирургической гепатологии" (16-18 сент. 2009). – Екатеринбург, 2009. – С. 156.</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lastRenderedPageBreak/>
        <w:t xml:space="preserve">Запорожченко Б. С. </w:t>
      </w:r>
      <w:r w:rsidRPr="003307F1">
        <w:rPr>
          <w:rFonts w:ascii="Times New Roman" w:hAnsi="Times New Roman"/>
          <w:bCs/>
          <w:sz w:val="28"/>
          <w:szCs w:val="28"/>
        </w:rPr>
        <w:t>Досвід лікування</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псевдокіст</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підшлункової</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залози</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 xml:space="preserve">із застосуванням комплексних мініінвазивних </w:t>
      </w:r>
      <w:r w:rsidRPr="003307F1">
        <w:rPr>
          <w:rFonts w:ascii="Times New Roman" w:hAnsi="Times New Roman"/>
          <w:bCs/>
          <w:sz w:val="28"/>
          <w:szCs w:val="28"/>
          <w:shd w:val="clear" w:color="auto" w:fill="FFFFFF"/>
        </w:rPr>
        <w:t xml:space="preserve">технологій </w:t>
      </w:r>
      <w:r w:rsidRPr="003307F1">
        <w:rPr>
          <w:rFonts w:ascii="Times New Roman" w:hAnsi="Times New Roman"/>
          <w:sz w:val="28"/>
          <w:szCs w:val="28"/>
          <w:shd w:val="clear" w:color="auto" w:fill="FFFFFF"/>
        </w:rPr>
        <w:t xml:space="preserve">/ Б. С. Запорожченко, </w:t>
      </w:r>
      <w:r>
        <w:rPr>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В. Г. Шевченко //</w:t>
      </w:r>
      <w:r w:rsidRPr="003307F1">
        <w:rPr>
          <w:rStyle w:val="apple-converted-space"/>
          <w:rFonts w:ascii="Times New Roman" w:hAnsi="Times New Roman"/>
          <w:sz w:val="28"/>
          <w:szCs w:val="28"/>
          <w:shd w:val="clear" w:color="auto" w:fill="FFFFFF"/>
        </w:rPr>
        <w:t xml:space="preserve"> </w:t>
      </w:r>
      <w:hyperlink r:id="rId140" w:tooltip="Періодичне видання" w:history="1">
        <w:r w:rsidRPr="003307F1">
          <w:rPr>
            <w:rStyle w:val="af1"/>
            <w:rFonts w:ascii="Times New Roman" w:hAnsi="Times New Roman"/>
            <w:sz w:val="28"/>
            <w:szCs w:val="28"/>
            <w:shd w:val="clear" w:color="auto" w:fill="FFFFFF"/>
          </w:rPr>
          <w:t>Шпитальна хірургія</w:t>
        </w:r>
      </w:hyperlink>
      <w:r w:rsidRPr="003307F1">
        <w:rPr>
          <w:rFonts w:ascii="Times New Roman" w:hAnsi="Times New Roman"/>
          <w:sz w:val="28"/>
          <w:szCs w:val="28"/>
        </w:rPr>
        <w:t xml:space="preserve">. </w:t>
      </w:r>
      <w:r w:rsidRPr="003307F1">
        <w:rPr>
          <w:rFonts w:ascii="Times New Roman" w:hAnsi="Times New Roman"/>
          <w:sz w:val="28"/>
          <w:szCs w:val="28"/>
          <w:shd w:val="clear" w:color="auto" w:fill="FFFFFF"/>
        </w:rPr>
        <w:t>– 2011. – № 3. – С. 54</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59.</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shd w:val="clear" w:color="auto" w:fill="FFFFFF"/>
        </w:rPr>
        <w:t xml:space="preserve">Запорожченко Б. С. </w:t>
      </w:r>
      <w:r w:rsidRPr="003307F1">
        <w:rPr>
          <w:rFonts w:ascii="Times New Roman" w:hAnsi="Times New Roman"/>
          <w:bCs/>
          <w:sz w:val="28"/>
          <w:szCs w:val="28"/>
        </w:rPr>
        <w:t xml:space="preserve">Выбор оптимального метода хирургического лечения больных с различными формами хронического панкреатита / </w:t>
      </w:r>
      <w:r w:rsidRPr="003307F1">
        <w:rPr>
          <w:rFonts w:ascii="Times New Roman" w:hAnsi="Times New Roman"/>
          <w:sz w:val="28"/>
          <w:szCs w:val="28"/>
        </w:rPr>
        <w:t>Б. С. Запорожченко,</w:t>
      </w:r>
      <w:r>
        <w:rPr>
          <w:rFonts w:ascii="Times New Roman" w:hAnsi="Times New Roman"/>
          <w:sz w:val="28"/>
          <w:szCs w:val="28"/>
        </w:rPr>
        <w:t xml:space="preserve">    </w:t>
      </w:r>
      <w:r w:rsidRPr="003307F1">
        <w:rPr>
          <w:rFonts w:ascii="Times New Roman" w:hAnsi="Times New Roman"/>
          <w:sz w:val="28"/>
          <w:szCs w:val="28"/>
        </w:rPr>
        <w:t xml:space="preserve"> А. А. Горбунов, П. Т. Муравьев // Клінічна хірургія. </w:t>
      </w:r>
      <w:r>
        <w:rPr>
          <w:rFonts w:ascii="Times New Roman" w:hAnsi="Times New Roman"/>
          <w:sz w:val="28"/>
          <w:szCs w:val="28"/>
          <w:shd w:val="clear" w:color="auto" w:fill="FFFFFF"/>
        </w:rPr>
        <w:t>– 2014. – № 1.2. – С. 49-</w:t>
      </w:r>
      <w:r w:rsidRPr="003307F1">
        <w:rPr>
          <w:rFonts w:ascii="Times New Roman" w:hAnsi="Times New Roman"/>
          <w:sz w:val="28"/>
          <w:szCs w:val="28"/>
          <w:shd w:val="clear" w:color="auto" w:fill="FFFFFF"/>
        </w:rPr>
        <w:t>51.</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Запорожченко Б. С. Иммунологическая реактивность у больных псевдокистами поджелудочной железы в различных условиях хирургического лечения / Б. С. Запорожченко, В. Г.</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Шевченко // Харківська хірургічна школа.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2012.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 2(53).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С. 45</w:t>
      </w:r>
      <w:r>
        <w:rPr>
          <w:rFonts w:ascii="Times New Roman" w:hAnsi="Times New Roman"/>
          <w:sz w:val="28"/>
          <w:szCs w:val="28"/>
        </w:rPr>
        <w:t>-</w:t>
      </w:r>
      <w:r w:rsidRPr="003307F1">
        <w:rPr>
          <w:rFonts w:ascii="Times New Roman" w:hAnsi="Times New Roman"/>
          <w:sz w:val="28"/>
          <w:szCs w:val="28"/>
        </w:rPr>
        <w:t>47.</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shd w:val="clear" w:color="auto" w:fill="FFFFFF"/>
        </w:rPr>
        <w:t xml:space="preserve">Застосування пункційно-дренуючих втручань під ультразвуковим контролем в лікуванні гострого некротичного панкреатиту / О. І. Дронов, </w:t>
      </w:r>
      <w:r>
        <w:rPr>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 xml:space="preserve">О. І. Ковальська, С. І. Пахолок [ та ін. ] // Укр. Журн. Хірургії. </w:t>
      </w:r>
      <w:r>
        <w:rPr>
          <w:rFonts w:ascii="Times New Roman" w:hAnsi="Times New Roman"/>
          <w:sz w:val="28"/>
          <w:szCs w:val="28"/>
        </w:rPr>
        <w:t>– 2009. – № 5. – С. 87-</w:t>
      </w:r>
      <w:r w:rsidRPr="003307F1">
        <w:rPr>
          <w:rFonts w:ascii="Times New Roman" w:hAnsi="Times New Roman"/>
          <w:sz w:val="28"/>
          <w:szCs w:val="28"/>
        </w:rPr>
        <w:t>89.</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Зурабиани В. Г. Эффективность минимально инвазивных лечебных вмешательств в лечении осложнений неопухолевых поражений поджелудочной железы / В. Г. Зурабиани, Н. Б. Карпова // Клінічна хірургія.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2013.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 4 (Додаток).</w:t>
      </w:r>
      <w:r w:rsidRPr="003307F1">
        <w:rPr>
          <w:rFonts w:ascii="Times New Roman" w:hAnsi="Times New Roman"/>
          <w:sz w:val="28"/>
          <w:szCs w:val="28"/>
          <w:shd w:val="clear" w:color="auto" w:fill="FFFFFF"/>
        </w:rPr>
        <w:t xml:space="preserve"> –</w:t>
      </w:r>
      <w:r>
        <w:rPr>
          <w:rFonts w:ascii="Times New Roman" w:hAnsi="Times New Roman"/>
          <w:sz w:val="28"/>
          <w:szCs w:val="28"/>
        </w:rPr>
        <w:t xml:space="preserve"> С. 24-</w:t>
      </w:r>
      <w:r w:rsidRPr="003307F1">
        <w:rPr>
          <w:rFonts w:ascii="Times New Roman" w:hAnsi="Times New Roman"/>
          <w:sz w:val="28"/>
          <w:szCs w:val="28"/>
        </w:rPr>
        <w:t>25.</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Иващенко А. В. Синдромы нарастания эндотоксикоза после патогенетически обоснованных оперативных вмешательств и возможности их коррекции / А. В. Иващенко // Вісник Української медичної стоматологічної академії. – 2013. </w:t>
      </w:r>
      <w:r>
        <w:rPr>
          <w:rFonts w:ascii="Times New Roman" w:hAnsi="Times New Roman"/>
          <w:sz w:val="28"/>
          <w:szCs w:val="28"/>
        </w:rPr>
        <w:t>– Т. 13, вип. 1 (41). – С. 97-</w:t>
      </w:r>
      <w:r w:rsidRPr="003307F1">
        <w:rPr>
          <w:rFonts w:ascii="Times New Roman" w:hAnsi="Times New Roman"/>
          <w:sz w:val="28"/>
          <w:szCs w:val="28"/>
        </w:rPr>
        <w:t>102.</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Іващук О. І. Роль внутрішньоочеревинної гіпертензії в перебігу гострого деструктивного панкреатиту: монографія / О. І. Іващук, І. К. Морар, В. Ю. Бодяка. – Чернівці: Медуніверситет, 2014. – 172 с. </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Ивашкин В.Т. Гастроэтерология: национальное руководство / </w:t>
      </w:r>
      <w:r>
        <w:rPr>
          <w:rFonts w:ascii="Times New Roman" w:hAnsi="Times New Roman"/>
          <w:sz w:val="28"/>
          <w:szCs w:val="28"/>
        </w:rPr>
        <w:t xml:space="preserve">                        </w:t>
      </w:r>
      <w:r w:rsidRPr="003307F1">
        <w:rPr>
          <w:rFonts w:ascii="Times New Roman" w:hAnsi="Times New Roman"/>
          <w:iCs/>
          <w:sz w:val="28"/>
          <w:szCs w:val="28"/>
        </w:rPr>
        <w:t>В.Т. Ивашкин, Т.Л. Лапина</w:t>
      </w:r>
      <w:r w:rsidRPr="003307F1">
        <w:rPr>
          <w:rFonts w:ascii="Times New Roman" w:hAnsi="Times New Roman"/>
          <w:sz w:val="28"/>
          <w:szCs w:val="28"/>
        </w:rPr>
        <w:t xml:space="preserve"> – М. : ГЭОТАР – Медицина, 2008. – 704 с.</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Імунологічна реактивність у хворих з ускладненнями хронічного панкреатиту залежно від бактеріального заселення кіст та головної панкреатичної </w:t>
      </w:r>
      <w:r w:rsidRPr="003307F1">
        <w:rPr>
          <w:rFonts w:ascii="Times New Roman" w:hAnsi="Times New Roman"/>
          <w:sz w:val="28"/>
          <w:szCs w:val="28"/>
        </w:rPr>
        <w:lastRenderedPageBreak/>
        <w:t>протоки підшлункової залози / Л. В. Тропко, О. М. Бабій, В. Є. Кудрявцева [ та ін. ] // Харківська хірургічна школа</w:t>
      </w:r>
      <w:r>
        <w:rPr>
          <w:rFonts w:ascii="Times New Roman" w:hAnsi="Times New Roman"/>
          <w:sz w:val="28"/>
          <w:szCs w:val="28"/>
        </w:rPr>
        <w:t>. – 2014. – № 2 (65). – С. 40-</w:t>
      </w:r>
      <w:r w:rsidRPr="003307F1">
        <w:rPr>
          <w:rFonts w:ascii="Times New Roman" w:hAnsi="Times New Roman"/>
          <w:sz w:val="28"/>
          <w:szCs w:val="28"/>
        </w:rPr>
        <w:t>44.</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Ингибирование звездчатых клеток поджелудочной железы лизиноприлом и ловастатином для предупреждения фиброза ее культи после дистальной резекции в модели хронического алкогольного панкреатита / М. Е. Ничитайло, Д. А. Кравченко, И. С. Шпонька [ и др. ] // Клінічна хір</w:t>
      </w:r>
      <w:r>
        <w:rPr>
          <w:rFonts w:ascii="Times New Roman" w:hAnsi="Times New Roman"/>
          <w:sz w:val="28"/>
          <w:szCs w:val="28"/>
        </w:rPr>
        <w:t>ургія. – 2013. – № 2. – С. 65-</w:t>
      </w:r>
      <w:r w:rsidRPr="003307F1">
        <w:rPr>
          <w:rFonts w:ascii="Times New Roman" w:hAnsi="Times New Roman"/>
          <w:sz w:val="28"/>
          <w:szCs w:val="28"/>
        </w:rPr>
        <w:t>67.</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Инновационные технологии в лечении кист и стриктур у больных,</w:t>
      </w:r>
      <w:r w:rsidRPr="003307F1">
        <w:rPr>
          <w:rFonts w:ascii="Times New Roman" w:eastAsia="TimesNewRoman" w:hAnsi="Times New Roman"/>
          <w:sz w:val="28"/>
          <w:szCs w:val="28"/>
        </w:rPr>
        <w:t xml:space="preserve"> </w:t>
      </w:r>
      <w:r w:rsidRPr="003307F1">
        <w:rPr>
          <w:rFonts w:ascii="Times New Roman" w:hAnsi="Times New Roman"/>
          <w:sz w:val="28"/>
          <w:szCs w:val="28"/>
        </w:rPr>
        <w:t>перенесших острый тяжелый панкреатит</w:t>
      </w:r>
      <w:r w:rsidRPr="003307F1">
        <w:rPr>
          <w:rFonts w:ascii="Times New Roman" w:eastAsia="TimesNewRoman" w:hAnsi="Times New Roman"/>
          <w:sz w:val="28"/>
          <w:szCs w:val="28"/>
        </w:rPr>
        <w:t xml:space="preserve"> / </w:t>
      </w:r>
      <w:r w:rsidRPr="003307F1">
        <w:rPr>
          <w:rFonts w:ascii="Times New Roman" w:hAnsi="Times New Roman"/>
          <w:sz w:val="28"/>
          <w:szCs w:val="28"/>
        </w:rPr>
        <w:t>М. Ш. Хубутия, К. Н. Луцык, А. Н. Лотов [ и др. ]</w:t>
      </w:r>
      <w:r>
        <w:rPr>
          <w:rFonts w:ascii="Times New Roman" w:hAnsi="Times New Roman"/>
          <w:sz w:val="28"/>
          <w:szCs w:val="28"/>
        </w:rPr>
        <w:t xml:space="preserve"> </w:t>
      </w:r>
      <w:r w:rsidRPr="003307F1">
        <w:rPr>
          <w:rFonts w:ascii="Times New Roman" w:hAnsi="Times New Roman"/>
          <w:sz w:val="28"/>
          <w:szCs w:val="28"/>
        </w:rPr>
        <w:t>// Клінічна хірургія. – 2</w:t>
      </w:r>
      <w:r>
        <w:rPr>
          <w:rFonts w:ascii="Times New Roman" w:hAnsi="Times New Roman"/>
          <w:sz w:val="28"/>
          <w:szCs w:val="28"/>
        </w:rPr>
        <w:t>013. – № 4 (Додаток). – С. 63-</w:t>
      </w:r>
      <w:r w:rsidRPr="003307F1">
        <w:rPr>
          <w:rFonts w:ascii="Times New Roman" w:hAnsi="Times New Roman"/>
          <w:sz w:val="28"/>
          <w:szCs w:val="28"/>
        </w:rPr>
        <w:t>64.</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Иоффе И. В. Пункции и дренирования жидкостных скоплений у пациентов с острым панкреатитом на </w:t>
      </w:r>
      <w:r>
        <w:rPr>
          <w:rFonts w:ascii="Times New Roman" w:hAnsi="Times New Roman"/>
          <w:sz w:val="28"/>
          <w:szCs w:val="28"/>
        </w:rPr>
        <w:t>фоне метаболического синдрома /</w:t>
      </w:r>
      <w:r w:rsidRPr="003307F1">
        <w:rPr>
          <w:rFonts w:ascii="Times New Roman" w:hAnsi="Times New Roman"/>
          <w:sz w:val="28"/>
          <w:szCs w:val="28"/>
        </w:rPr>
        <w:t xml:space="preserve"> И. В. Иоффе,</w:t>
      </w:r>
      <w:r>
        <w:rPr>
          <w:rFonts w:ascii="Times New Roman" w:hAnsi="Times New Roman"/>
          <w:sz w:val="28"/>
          <w:szCs w:val="28"/>
        </w:rPr>
        <w:t xml:space="preserve">                     </w:t>
      </w:r>
      <w:r w:rsidRPr="003307F1">
        <w:rPr>
          <w:rFonts w:ascii="Times New Roman" w:hAnsi="Times New Roman"/>
          <w:sz w:val="28"/>
          <w:szCs w:val="28"/>
        </w:rPr>
        <w:t xml:space="preserve"> В. П. Потеряхин // Харківська хірургічна школа</w:t>
      </w:r>
      <w:r>
        <w:rPr>
          <w:rFonts w:ascii="Times New Roman" w:hAnsi="Times New Roman"/>
          <w:sz w:val="28"/>
          <w:szCs w:val="28"/>
        </w:rPr>
        <w:t>. – 2014. – № 2 (65). – С. 36-</w:t>
      </w:r>
      <w:r w:rsidRPr="003307F1">
        <w:rPr>
          <w:rFonts w:ascii="Times New Roman" w:hAnsi="Times New Roman"/>
          <w:sz w:val="28"/>
          <w:szCs w:val="28"/>
        </w:rPr>
        <w:t>39.</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Кадощук Т. А. </w:t>
      </w:r>
      <w:r w:rsidRPr="003307F1">
        <w:rPr>
          <w:rFonts w:ascii="Times New Roman" w:eastAsia="TimesNewRomanPS-BoldMT" w:hAnsi="Times New Roman"/>
          <w:bCs/>
          <w:sz w:val="28"/>
          <w:szCs w:val="28"/>
        </w:rPr>
        <w:t xml:space="preserve">Диагностика и хирургическое лечение панкреатоплевральных свищей / </w:t>
      </w:r>
      <w:r w:rsidRPr="003307F1">
        <w:rPr>
          <w:rFonts w:ascii="Times New Roman" w:eastAsia="TimesNewRomanPSMT" w:hAnsi="Times New Roman"/>
          <w:sz w:val="28"/>
          <w:szCs w:val="28"/>
        </w:rPr>
        <w:t>Т. А. Кадощук, В. В. Петрушенко, С. С. Стукан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36-</w:t>
      </w:r>
      <w:r w:rsidRPr="003307F1">
        <w:rPr>
          <w:rFonts w:ascii="Times New Roman" w:hAnsi="Times New Roman"/>
          <w:sz w:val="28"/>
          <w:szCs w:val="28"/>
        </w:rPr>
        <w:t>38.</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iCs/>
          <w:sz w:val="28"/>
          <w:szCs w:val="28"/>
        </w:rPr>
        <w:t xml:space="preserve">Калягин А. Н. </w:t>
      </w:r>
      <w:r w:rsidRPr="003307F1">
        <w:rPr>
          <w:rFonts w:ascii="Times New Roman" w:hAnsi="Times New Roman"/>
          <w:sz w:val="28"/>
          <w:szCs w:val="28"/>
        </w:rPr>
        <w:t xml:space="preserve">Современные аспекты ведения больных хроническими панкреатитами / А. Н. </w:t>
      </w:r>
      <w:r w:rsidRPr="003307F1">
        <w:rPr>
          <w:rFonts w:ascii="Times New Roman" w:hAnsi="Times New Roman"/>
          <w:iCs/>
          <w:sz w:val="28"/>
          <w:szCs w:val="28"/>
        </w:rPr>
        <w:t xml:space="preserve">Калягин, И. В. Решина </w:t>
      </w:r>
      <w:r w:rsidRPr="003307F1">
        <w:rPr>
          <w:rFonts w:ascii="Times New Roman" w:hAnsi="Times New Roman"/>
          <w:sz w:val="28"/>
          <w:szCs w:val="28"/>
        </w:rPr>
        <w:t>// Сибирский</w:t>
      </w:r>
      <w:r w:rsidRPr="003307F1">
        <w:rPr>
          <w:rFonts w:ascii="Times New Roman" w:eastAsia="TimesNewRoman" w:hAnsi="Times New Roman"/>
          <w:sz w:val="28"/>
          <w:szCs w:val="28"/>
        </w:rPr>
        <w:t xml:space="preserve"> </w:t>
      </w:r>
      <w:r w:rsidRPr="003307F1">
        <w:rPr>
          <w:rFonts w:ascii="Times New Roman" w:hAnsi="Times New Roman"/>
          <w:sz w:val="28"/>
          <w:szCs w:val="28"/>
        </w:rPr>
        <w:t>медицинский журнал. – 2011. – Т. 103, № 4. – С.</w:t>
      </w:r>
      <w:r w:rsidRPr="003307F1">
        <w:rPr>
          <w:rFonts w:ascii="Times New Roman" w:eastAsia="TimesNewRoman" w:hAnsi="Times New Roman"/>
          <w:sz w:val="28"/>
          <w:szCs w:val="28"/>
        </w:rPr>
        <w:t xml:space="preserve"> </w:t>
      </w:r>
      <w:r>
        <w:rPr>
          <w:rFonts w:ascii="Times New Roman" w:hAnsi="Times New Roman"/>
          <w:sz w:val="28"/>
          <w:szCs w:val="28"/>
        </w:rPr>
        <w:t>143-</w:t>
      </w:r>
      <w:r w:rsidRPr="003307F1">
        <w:rPr>
          <w:rFonts w:ascii="Times New Roman" w:hAnsi="Times New Roman"/>
          <w:sz w:val="28"/>
          <w:szCs w:val="28"/>
        </w:rPr>
        <w:t>145.</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iCs/>
          <w:sz w:val="28"/>
          <w:szCs w:val="28"/>
        </w:rPr>
        <w:t>Каніковський</w:t>
      </w:r>
      <w:r w:rsidRPr="003307F1">
        <w:rPr>
          <w:rFonts w:ascii="Times New Roman" w:hAnsi="Times New Roman"/>
          <w:bCs/>
          <w:sz w:val="28"/>
          <w:szCs w:val="28"/>
        </w:rPr>
        <w:t xml:space="preserve"> О.</w:t>
      </w:r>
      <w:r w:rsidRPr="003307F1">
        <w:rPr>
          <w:rFonts w:ascii="Times New Roman" w:hAnsi="Times New Roman"/>
          <w:iCs/>
          <w:sz w:val="28"/>
          <w:szCs w:val="28"/>
        </w:rPr>
        <w:t xml:space="preserve"> Є.</w:t>
      </w:r>
      <w:r w:rsidRPr="003307F1">
        <w:rPr>
          <w:rFonts w:ascii="Times New Roman" w:hAnsi="Times New Roman"/>
          <w:bCs/>
          <w:sz w:val="28"/>
          <w:szCs w:val="28"/>
        </w:rPr>
        <w:t xml:space="preserve"> </w:t>
      </w:r>
      <w:r w:rsidRPr="003307F1">
        <w:rPr>
          <w:rFonts w:ascii="Times New Roman" w:hAnsi="Times New Roman"/>
          <w:sz w:val="28"/>
          <w:szCs w:val="28"/>
        </w:rPr>
        <w:t>Малоінвазивні методи корекції панкреатичної гіпертензії / О. Є. Каніковський, І. В. Павлик // Клінічна хірургія. – 2013. – № 4 (Додаток). – С.25.</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Каніковський О. Є. Вибір обсягу хірургічного лікування ускладнених форм хронічного панкреатиту / О. Є. Каніковський, І. В. Павлик // Науковий вісник Ужгородського університету. </w:t>
      </w:r>
      <w:r w:rsidRPr="003307F1">
        <w:rPr>
          <w:rFonts w:ascii="Times New Roman" w:hAnsi="Times New Roman"/>
          <w:sz w:val="28"/>
          <w:szCs w:val="28"/>
          <w:shd w:val="clear" w:color="auto" w:fill="FFFFFF"/>
        </w:rPr>
        <w:t>– 2014. – № 1 (49). – С.</w:t>
      </w:r>
      <w:r>
        <w:rPr>
          <w:rFonts w:ascii="Times New Roman" w:hAnsi="Times New Roman"/>
          <w:sz w:val="28"/>
          <w:szCs w:val="28"/>
          <w:shd w:val="clear" w:color="auto" w:fill="FFFFFF"/>
        </w:rPr>
        <w:t xml:space="preserve"> 90-</w:t>
      </w:r>
      <w:r w:rsidRPr="003307F1">
        <w:rPr>
          <w:rFonts w:ascii="Times New Roman" w:hAnsi="Times New Roman"/>
          <w:sz w:val="28"/>
          <w:szCs w:val="28"/>
          <w:shd w:val="clear" w:color="auto" w:fill="FFFFFF"/>
        </w:rPr>
        <w:t>93.</w:t>
      </w:r>
    </w:p>
    <w:p w:rsidR="00C62D2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Кіста головки підшлункової залози, ускладнена псевдоаневризмою аорти / М. Ю. Ничитайло, А. В. Скумс, О. І. Литвин, [ та ін. ] //</w:t>
      </w:r>
      <w:r>
        <w:rPr>
          <w:rFonts w:ascii="Times New Roman" w:hAnsi="Times New Roman"/>
          <w:sz w:val="28"/>
          <w:szCs w:val="28"/>
        </w:rPr>
        <w:t xml:space="preserve"> </w:t>
      </w:r>
      <w:r w:rsidRPr="003307F1">
        <w:rPr>
          <w:rFonts w:ascii="Times New Roman" w:hAnsi="Times New Roman"/>
          <w:sz w:val="28"/>
          <w:szCs w:val="28"/>
        </w:rPr>
        <w:t>Клінічна хір</w:t>
      </w:r>
      <w:r>
        <w:rPr>
          <w:rFonts w:ascii="Times New Roman" w:hAnsi="Times New Roman"/>
          <w:sz w:val="28"/>
          <w:szCs w:val="28"/>
        </w:rPr>
        <w:t>ургія. – 2011. – № 10. – С.67-</w:t>
      </w:r>
      <w:r w:rsidRPr="003307F1">
        <w:rPr>
          <w:rFonts w:ascii="Times New Roman" w:hAnsi="Times New Roman"/>
          <w:sz w:val="28"/>
          <w:szCs w:val="28"/>
        </w:rPr>
        <w:t>69.</w:t>
      </w:r>
    </w:p>
    <w:p w:rsidR="00C62D22" w:rsidRPr="00084A9D"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 xml:space="preserve">Класифікація гострого панкреатиту: перегляд інтернаціональним консенсусом у 2012 р. класифікації, прийнятої в Атланті / І.А. Криворучко, В.М. </w:t>
      </w:r>
      <w:r w:rsidRPr="000F2B01">
        <w:rPr>
          <w:rFonts w:ascii="Times New Roman" w:hAnsi="Times New Roman"/>
          <w:sz w:val="28"/>
          <w:szCs w:val="28"/>
        </w:rPr>
        <w:lastRenderedPageBreak/>
        <w:t>Копчак, О.Ю. Усенк</w:t>
      </w:r>
      <w:r>
        <w:rPr>
          <w:rFonts w:ascii="Times New Roman" w:hAnsi="Times New Roman"/>
          <w:sz w:val="28"/>
          <w:szCs w:val="28"/>
        </w:rPr>
        <w:t>о, Н.М. Гончарова [</w:t>
      </w:r>
      <w:r w:rsidRPr="00596C10">
        <w:rPr>
          <w:rFonts w:ascii="Times New Roman" w:hAnsi="Times New Roman"/>
          <w:sz w:val="28"/>
          <w:szCs w:val="28"/>
        </w:rPr>
        <w:t>та</w:t>
      </w:r>
      <w:r w:rsidRPr="000F2B01">
        <w:rPr>
          <w:rFonts w:ascii="Times New Roman" w:hAnsi="Times New Roman"/>
          <w:sz w:val="28"/>
          <w:szCs w:val="28"/>
        </w:rPr>
        <w:t xml:space="preserve"> ін.] // Клінічна хірургія. – 2014. – № 9. – С. 19-24.</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Клименко А. В. Хронический панкреатит: показания к операции и критерии оценки отдаленных результатов / А. В. Клименко, В. Н. Клименко, </w:t>
      </w:r>
      <w:r>
        <w:rPr>
          <w:rFonts w:ascii="Times New Roman" w:hAnsi="Times New Roman"/>
          <w:sz w:val="28"/>
          <w:szCs w:val="28"/>
        </w:rPr>
        <w:t xml:space="preserve">                   </w:t>
      </w:r>
      <w:r w:rsidRPr="003307F1">
        <w:rPr>
          <w:rFonts w:ascii="Times New Roman" w:hAnsi="Times New Roman"/>
          <w:sz w:val="28"/>
          <w:szCs w:val="28"/>
        </w:rPr>
        <w:t>А. А. Стешенко // Запорожский медицинский ж</w:t>
      </w:r>
      <w:r>
        <w:rPr>
          <w:rFonts w:ascii="Times New Roman" w:hAnsi="Times New Roman"/>
          <w:sz w:val="28"/>
          <w:szCs w:val="28"/>
        </w:rPr>
        <w:t>урнал. – 2013. – № 3. – С. 32-</w:t>
      </w:r>
      <w:r w:rsidRPr="003307F1">
        <w:rPr>
          <w:rFonts w:ascii="Times New Roman" w:hAnsi="Times New Roman"/>
          <w:sz w:val="28"/>
          <w:szCs w:val="28"/>
        </w:rPr>
        <w:t>34.</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Клименко М. В. Особенности цитокиновой реактивности при</w:t>
      </w:r>
      <w:r w:rsidRPr="003307F1">
        <w:rPr>
          <w:rFonts w:ascii="Times New Roman" w:eastAsia="TimesNewRoman" w:hAnsi="Times New Roman"/>
          <w:sz w:val="28"/>
          <w:szCs w:val="28"/>
        </w:rPr>
        <w:t xml:space="preserve"> </w:t>
      </w:r>
      <w:r w:rsidRPr="003307F1">
        <w:rPr>
          <w:rFonts w:ascii="Times New Roman" w:hAnsi="Times New Roman"/>
          <w:sz w:val="28"/>
          <w:szCs w:val="28"/>
        </w:rPr>
        <w:t>остром и хроническом панкреатите / М. В. Клименко // Укр.</w:t>
      </w:r>
      <w:r w:rsidRPr="003307F1">
        <w:rPr>
          <w:rFonts w:ascii="Times New Roman" w:eastAsia="TimesNewRoman" w:hAnsi="Times New Roman"/>
          <w:sz w:val="28"/>
          <w:szCs w:val="28"/>
        </w:rPr>
        <w:t xml:space="preserve"> </w:t>
      </w:r>
      <w:r w:rsidRPr="003307F1">
        <w:rPr>
          <w:rFonts w:ascii="Times New Roman" w:hAnsi="Times New Roman"/>
          <w:sz w:val="28"/>
          <w:szCs w:val="28"/>
        </w:rPr>
        <w:t>журн. хірургії</w:t>
      </w:r>
      <w:r>
        <w:rPr>
          <w:rFonts w:ascii="Times New Roman" w:hAnsi="Times New Roman"/>
          <w:sz w:val="28"/>
          <w:szCs w:val="28"/>
        </w:rPr>
        <w:t>. – 2013. – № 2 (21). – С. 16-</w:t>
      </w:r>
      <w:r w:rsidRPr="003307F1">
        <w:rPr>
          <w:rFonts w:ascii="Times New Roman" w:hAnsi="Times New Roman"/>
          <w:sz w:val="28"/>
          <w:szCs w:val="28"/>
        </w:rPr>
        <w:t>24.</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 xml:space="preserve">Климов А. Е. </w:t>
      </w:r>
      <w:r w:rsidRPr="003307F1">
        <w:rPr>
          <w:rFonts w:ascii="Times New Roman" w:eastAsia="TimesNewRomanPS-BoldMT" w:hAnsi="Times New Roman"/>
          <w:bCs/>
          <w:sz w:val="28"/>
          <w:szCs w:val="28"/>
        </w:rPr>
        <w:t>Диагностика и лечение больных</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с хроническим панкреатитом / </w:t>
      </w:r>
      <w:r w:rsidRPr="003307F1">
        <w:rPr>
          <w:rFonts w:ascii="Times New Roman" w:eastAsia="TimesNewRomanPSMT" w:hAnsi="Times New Roman"/>
          <w:sz w:val="28"/>
          <w:szCs w:val="28"/>
        </w:rPr>
        <w:t>А. Е. Климов, В.</w:t>
      </w:r>
      <w:r>
        <w:rPr>
          <w:rFonts w:ascii="Times New Roman" w:eastAsia="TimesNewRomanPSMT" w:hAnsi="Times New Roman"/>
          <w:sz w:val="28"/>
          <w:szCs w:val="28"/>
        </w:rPr>
        <w:t xml:space="preserve"> </w:t>
      </w:r>
      <w:r w:rsidRPr="003307F1">
        <w:rPr>
          <w:rFonts w:ascii="Times New Roman" w:eastAsia="TimesNewRomanPSMT" w:hAnsi="Times New Roman"/>
          <w:sz w:val="28"/>
          <w:szCs w:val="28"/>
        </w:rPr>
        <w:t>Ю. Малюга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sidRPr="003307F1">
        <w:rPr>
          <w:rFonts w:ascii="Times New Roman" w:hAnsi="Times New Roman"/>
          <w:sz w:val="28"/>
          <w:szCs w:val="28"/>
        </w:rPr>
        <w:t>– Ижевс</w:t>
      </w:r>
      <w:r>
        <w:rPr>
          <w:rFonts w:ascii="Times New Roman" w:hAnsi="Times New Roman"/>
          <w:sz w:val="28"/>
          <w:szCs w:val="28"/>
        </w:rPr>
        <w:t>к, 2012. – С. 43-</w:t>
      </w:r>
      <w:r w:rsidRPr="003307F1">
        <w:rPr>
          <w:rFonts w:ascii="Times New Roman" w:hAnsi="Times New Roman"/>
          <w:sz w:val="28"/>
          <w:szCs w:val="28"/>
        </w:rPr>
        <w:t>44.</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iCs/>
          <w:sz w:val="28"/>
          <w:szCs w:val="28"/>
        </w:rPr>
        <w:t xml:space="preserve">Кобзарь А.И. </w:t>
      </w:r>
      <w:r w:rsidRPr="003307F1">
        <w:rPr>
          <w:rFonts w:ascii="Times New Roman" w:hAnsi="Times New Roman"/>
          <w:sz w:val="28"/>
          <w:szCs w:val="28"/>
        </w:rPr>
        <w:t>Прикладная математическая статистика / А.</w:t>
      </w:r>
      <w:r>
        <w:rPr>
          <w:rFonts w:ascii="Times New Roman" w:hAnsi="Times New Roman"/>
          <w:sz w:val="28"/>
          <w:szCs w:val="28"/>
        </w:rPr>
        <w:t xml:space="preserve"> </w:t>
      </w:r>
      <w:r w:rsidRPr="003307F1">
        <w:rPr>
          <w:rFonts w:ascii="Times New Roman" w:hAnsi="Times New Roman"/>
          <w:sz w:val="28"/>
          <w:szCs w:val="28"/>
        </w:rPr>
        <w:t xml:space="preserve">И. </w:t>
      </w:r>
      <w:r w:rsidRPr="003307F1">
        <w:rPr>
          <w:rFonts w:ascii="Times New Roman" w:hAnsi="Times New Roman"/>
          <w:iCs/>
          <w:sz w:val="28"/>
          <w:szCs w:val="28"/>
        </w:rPr>
        <w:t>Кобзарь.</w:t>
      </w:r>
      <w:r w:rsidRPr="003307F1">
        <w:rPr>
          <w:rFonts w:ascii="Times New Roman" w:hAnsi="Times New Roman"/>
          <w:sz w:val="28"/>
          <w:szCs w:val="28"/>
        </w:rPr>
        <w:t xml:space="preserve"> – М.:</w:t>
      </w:r>
      <w:r>
        <w:rPr>
          <w:rFonts w:ascii="Times New Roman" w:hAnsi="Times New Roman"/>
          <w:sz w:val="28"/>
          <w:szCs w:val="28"/>
        </w:rPr>
        <w:t xml:space="preserve"> ФИЗМАТЛИТ, 2012. – 816 </w:t>
      </w:r>
      <w:r w:rsidRPr="003307F1">
        <w:rPr>
          <w:rFonts w:ascii="Times New Roman" w:hAnsi="Times New Roman"/>
          <w:sz w:val="28"/>
          <w:szCs w:val="28"/>
        </w:rPr>
        <w:t>с.</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Ковальчук Л. Я. </w:t>
      </w:r>
      <w:r w:rsidRPr="003307F1">
        <w:rPr>
          <w:rFonts w:ascii="Times New Roman" w:hAnsi="Times New Roman"/>
          <w:bCs/>
          <w:sz w:val="28"/>
          <w:szCs w:val="28"/>
        </w:rPr>
        <w:t>Міні-інвазивні пункційні та пункційно-дренуючі методи в лікуванні псевдокіст підшлункової залози /</w:t>
      </w:r>
      <w:r w:rsidRPr="003307F1">
        <w:rPr>
          <w:rFonts w:ascii="Times New Roman" w:hAnsi="Times New Roman"/>
          <w:sz w:val="28"/>
          <w:szCs w:val="28"/>
        </w:rPr>
        <w:t xml:space="preserve"> Л. Я. Ковальчук, Б. Т. Степан</w:t>
      </w:r>
      <w:r w:rsidRPr="003307F1">
        <w:rPr>
          <w:rFonts w:ascii="Times New Roman" w:hAnsi="Times New Roman"/>
          <w:bCs/>
          <w:sz w:val="28"/>
          <w:szCs w:val="28"/>
        </w:rPr>
        <w:t xml:space="preserve"> // </w:t>
      </w:r>
      <w:r w:rsidRPr="003307F1">
        <w:rPr>
          <w:rFonts w:ascii="Times New Roman" w:eastAsia="Arial,Italic" w:hAnsi="Times New Roman"/>
          <w:iCs/>
          <w:sz w:val="28"/>
          <w:szCs w:val="28"/>
        </w:rPr>
        <w:t xml:space="preserve">Шпитальна хірургія. </w:t>
      </w:r>
      <w:r w:rsidRPr="003307F1">
        <w:rPr>
          <w:rFonts w:ascii="Times New Roman" w:hAnsi="Times New Roman"/>
          <w:sz w:val="28"/>
          <w:szCs w:val="28"/>
        </w:rPr>
        <w:t xml:space="preserve">– </w:t>
      </w:r>
      <w:r w:rsidRPr="003307F1">
        <w:rPr>
          <w:rFonts w:ascii="Times New Roman" w:eastAsia="Arial,Italic" w:hAnsi="Times New Roman"/>
          <w:iCs/>
          <w:sz w:val="28"/>
          <w:szCs w:val="28"/>
        </w:rPr>
        <w:t xml:space="preserve">2011. </w:t>
      </w:r>
      <w:r w:rsidRPr="003307F1">
        <w:rPr>
          <w:rFonts w:ascii="Times New Roman" w:hAnsi="Times New Roman"/>
          <w:sz w:val="28"/>
          <w:szCs w:val="28"/>
        </w:rPr>
        <w:t xml:space="preserve">– № 1. – </w:t>
      </w:r>
      <w:r>
        <w:rPr>
          <w:rFonts w:ascii="Times New Roman" w:eastAsia="Arial,Italic" w:hAnsi="Times New Roman"/>
          <w:iCs/>
          <w:sz w:val="28"/>
          <w:szCs w:val="28"/>
        </w:rPr>
        <w:t>С.53-</w:t>
      </w:r>
      <w:r w:rsidRPr="003307F1">
        <w:rPr>
          <w:rFonts w:ascii="Times New Roman" w:eastAsia="Arial,Italic" w:hAnsi="Times New Roman"/>
          <w:iCs/>
          <w:sz w:val="28"/>
          <w:szCs w:val="28"/>
        </w:rPr>
        <w:t>56.</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Italic" w:hAnsi="Times New Roman"/>
          <w:iCs/>
          <w:sz w:val="28"/>
          <w:szCs w:val="28"/>
        </w:rPr>
        <w:t xml:space="preserve">Ковальчук Л. Я. </w:t>
      </w:r>
      <w:r w:rsidRPr="003307F1">
        <w:rPr>
          <w:rFonts w:ascii="Times New Roman" w:eastAsia="TimesNewRoman" w:hAnsi="Times New Roman"/>
          <w:sz w:val="28"/>
          <w:szCs w:val="28"/>
        </w:rPr>
        <w:t>Досвід лікування постнекротичних кіст підшлункової залози /</w:t>
      </w:r>
      <w:r w:rsidRPr="003307F1">
        <w:rPr>
          <w:rFonts w:ascii="Times New Roman" w:hAnsi="Times New Roman"/>
          <w:sz w:val="28"/>
          <w:szCs w:val="28"/>
        </w:rPr>
        <w:t xml:space="preserve"> Л. Я. Ковальчук, Б. Т. Степан</w:t>
      </w:r>
      <w:r w:rsidRPr="003307F1">
        <w:rPr>
          <w:rFonts w:ascii="Times New Roman" w:hAnsi="Times New Roman"/>
          <w:bCs/>
          <w:sz w:val="28"/>
          <w:szCs w:val="28"/>
        </w:rPr>
        <w:t xml:space="preserve"> // </w:t>
      </w:r>
      <w:r w:rsidRPr="003307F1">
        <w:rPr>
          <w:rFonts w:ascii="Times New Roman" w:eastAsia="Arial,Italic" w:hAnsi="Times New Roman"/>
          <w:iCs/>
          <w:sz w:val="28"/>
          <w:szCs w:val="28"/>
        </w:rPr>
        <w:t xml:space="preserve">Шпитальна хірургія. </w:t>
      </w:r>
      <w:r w:rsidRPr="003307F1">
        <w:rPr>
          <w:rFonts w:ascii="Times New Roman" w:hAnsi="Times New Roman"/>
          <w:sz w:val="28"/>
          <w:szCs w:val="28"/>
        </w:rPr>
        <w:t xml:space="preserve">– </w:t>
      </w:r>
      <w:r w:rsidRPr="003307F1">
        <w:rPr>
          <w:rFonts w:ascii="Times New Roman" w:eastAsia="Arial,Italic" w:hAnsi="Times New Roman"/>
          <w:iCs/>
          <w:sz w:val="28"/>
          <w:szCs w:val="28"/>
        </w:rPr>
        <w:t>2009.</w:t>
      </w:r>
      <w:r w:rsidRPr="003307F1">
        <w:rPr>
          <w:rFonts w:ascii="Times New Roman" w:hAnsi="Times New Roman"/>
          <w:sz w:val="28"/>
          <w:szCs w:val="28"/>
        </w:rPr>
        <w:t xml:space="preserve"> – № 3. –</w:t>
      </w:r>
      <w:r w:rsidRPr="003307F1">
        <w:rPr>
          <w:rFonts w:ascii="Times New Roman" w:eastAsia="Arial,Italic" w:hAnsi="Times New Roman"/>
          <w:iCs/>
          <w:sz w:val="28"/>
          <w:szCs w:val="28"/>
        </w:rPr>
        <w:t xml:space="preserve"> </w:t>
      </w:r>
      <w:r>
        <w:rPr>
          <w:rFonts w:ascii="Times New Roman" w:eastAsia="TimesNewRoman" w:hAnsi="Times New Roman"/>
          <w:sz w:val="28"/>
          <w:szCs w:val="28"/>
        </w:rPr>
        <w:t>С.48-</w:t>
      </w:r>
      <w:r w:rsidRPr="003307F1">
        <w:rPr>
          <w:rFonts w:ascii="Times New Roman" w:eastAsia="TimesNewRoman" w:hAnsi="Times New Roman"/>
          <w:sz w:val="28"/>
          <w:szCs w:val="28"/>
        </w:rPr>
        <w:t>50.</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Italic" w:hAnsi="Times New Roman"/>
          <w:iCs/>
          <w:sz w:val="28"/>
          <w:szCs w:val="28"/>
        </w:rPr>
        <w:t>Ковальчук Л. Я.</w:t>
      </w:r>
      <w:r w:rsidRPr="003307F1">
        <w:rPr>
          <w:rFonts w:ascii="Times New Roman" w:hAnsi="Times New Roman"/>
          <w:sz w:val="28"/>
          <w:szCs w:val="28"/>
        </w:rPr>
        <w:t xml:space="preserve"> Хірургічні методи лікування постнекротичних кіст підшлункової залози / Л. Я. Ковальчук, Б. Т. Степан</w:t>
      </w:r>
      <w:r w:rsidRPr="003307F1">
        <w:rPr>
          <w:rFonts w:ascii="Times New Roman" w:hAnsi="Times New Roman"/>
          <w:bCs/>
          <w:sz w:val="28"/>
          <w:szCs w:val="28"/>
        </w:rPr>
        <w:t xml:space="preserve"> </w:t>
      </w:r>
      <w:r w:rsidRPr="003307F1">
        <w:rPr>
          <w:rFonts w:ascii="Times New Roman" w:hAnsi="Times New Roman"/>
          <w:sz w:val="28"/>
          <w:szCs w:val="28"/>
        </w:rPr>
        <w:t>// Клінічна анатомія та оперативна хірург</w:t>
      </w:r>
      <w:r>
        <w:rPr>
          <w:rFonts w:ascii="Times New Roman" w:hAnsi="Times New Roman"/>
          <w:sz w:val="28"/>
          <w:szCs w:val="28"/>
        </w:rPr>
        <w:t>ія. – 2010. – Т.9, №2. – С.99-</w:t>
      </w:r>
      <w:r w:rsidRPr="003307F1">
        <w:rPr>
          <w:rFonts w:ascii="Times New Roman" w:hAnsi="Times New Roman"/>
          <w:sz w:val="28"/>
          <w:szCs w:val="28"/>
        </w:rPr>
        <w:t>101.</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Комплексне лікування хворих з важкою формою гострого панкреатиту</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 </w:t>
      </w:r>
      <w:r>
        <w:rPr>
          <w:rFonts w:ascii="Times New Roman" w:hAnsi="Times New Roman"/>
          <w:sz w:val="28"/>
          <w:szCs w:val="28"/>
        </w:rPr>
        <w:t xml:space="preserve">            </w:t>
      </w:r>
      <w:r w:rsidRPr="003307F1">
        <w:rPr>
          <w:rFonts w:ascii="Times New Roman" w:hAnsi="Times New Roman"/>
          <w:sz w:val="28"/>
          <w:szCs w:val="28"/>
        </w:rPr>
        <w:t>Є. С. Комарницький, В. М. Лазько, І. Л. Гордійчук, І. Я.</w:t>
      </w:r>
      <w:r w:rsidRPr="003307F1">
        <w:rPr>
          <w:rFonts w:ascii="Times New Roman" w:eastAsia="TimesNewRoman" w:hAnsi="Times New Roman"/>
          <w:sz w:val="28"/>
          <w:szCs w:val="28"/>
        </w:rPr>
        <w:t xml:space="preserve"> </w:t>
      </w:r>
      <w:r w:rsidRPr="003307F1">
        <w:rPr>
          <w:rFonts w:ascii="Times New Roman" w:hAnsi="Times New Roman"/>
          <w:sz w:val="28"/>
          <w:szCs w:val="28"/>
        </w:rPr>
        <w:t>Куцик // Український журнал хіру</w:t>
      </w:r>
      <w:r>
        <w:rPr>
          <w:rFonts w:ascii="Times New Roman" w:hAnsi="Times New Roman"/>
          <w:sz w:val="28"/>
          <w:szCs w:val="28"/>
        </w:rPr>
        <w:t>ргії. – 2009. – № 5. – С. 112-</w:t>
      </w:r>
      <w:r w:rsidRPr="003307F1">
        <w:rPr>
          <w:rFonts w:ascii="Times New Roman" w:hAnsi="Times New Roman"/>
          <w:sz w:val="28"/>
          <w:szCs w:val="28"/>
        </w:rPr>
        <w:t>114.</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Кондратенко П. Г. Острый панкреатит: концептуальные проблемы</w:t>
      </w:r>
      <w:r w:rsidRPr="003307F1">
        <w:rPr>
          <w:rFonts w:ascii="Times New Roman" w:eastAsia="TimesNewRoman" w:hAnsi="Times New Roman"/>
          <w:sz w:val="28"/>
          <w:szCs w:val="28"/>
        </w:rPr>
        <w:t xml:space="preserve"> </w:t>
      </w:r>
      <w:r w:rsidRPr="003307F1">
        <w:rPr>
          <w:rFonts w:ascii="Times New Roman" w:hAnsi="Times New Roman"/>
          <w:sz w:val="28"/>
          <w:szCs w:val="28"/>
        </w:rPr>
        <w:t>диагностики и тактики лечения / П. Г. Кондратенко, М. В.</w:t>
      </w:r>
      <w:r w:rsidRPr="003307F1">
        <w:rPr>
          <w:rFonts w:ascii="Times New Roman" w:eastAsia="TimesNewRoman" w:hAnsi="Times New Roman"/>
          <w:sz w:val="28"/>
          <w:szCs w:val="28"/>
        </w:rPr>
        <w:t xml:space="preserve"> </w:t>
      </w:r>
      <w:r w:rsidRPr="003307F1">
        <w:rPr>
          <w:rFonts w:ascii="Times New Roman" w:hAnsi="Times New Roman"/>
          <w:sz w:val="28"/>
          <w:szCs w:val="28"/>
        </w:rPr>
        <w:t>Конькова // Укр. журн. хірургії</w:t>
      </w:r>
      <w:r>
        <w:rPr>
          <w:rFonts w:ascii="Times New Roman" w:hAnsi="Times New Roman"/>
          <w:sz w:val="28"/>
          <w:szCs w:val="28"/>
        </w:rPr>
        <w:t>. – 2009. – №1. – С. 68-</w:t>
      </w:r>
      <w:r w:rsidRPr="003307F1">
        <w:rPr>
          <w:rFonts w:ascii="Times New Roman" w:hAnsi="Times New Roman"/>
          <w:sz w:val="28"/>
          <w:szCs w:val="28"/>
        </w:rPr>
        <w:t>76.</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lastRenderedPageBreak/>
        <w:t xml:space="preserve">Кондратенко П. Г. </w:t>
      </w:r>
      <w:r w:rsidRPr="003307F1">
        <w:rPr>
          <w:rFonts w:ascii="Times New Roman" w:hAnsi="Times New Roman"/>
          <w:sz w:val="28"/>
          <w:szCs w:val="28"/>
        </w:rPr>
        <w:t>Хирургическое лечение острого небилиарного асептического</w:t>
      </w:r>
      <w:r w:rsidRPr="003307F1">
        <w:rPr>
          <w:rFonts w:ascii="Times New Roman" w:eastAsia="TimesNewRoman" w:hAnsi="Times New Roman"/>
          <w:sz w:val="28"/>
          <w:szCs w:val="28"/>
        </w:rPr>
        <w:t xml:space="preserve"> </w:t>
      </w:r>
      <w:r w:rsidRPr="003307F1">
        <w:rPr>
          <w:rFonts w:ascii="Times New Roman" w:hAnsi="Times New Roman"/>
          <w:sz w:val="28"/>
          <w:szCs w:val="28"/>
        </w:rPr>
        <w:t>некротического панкреатита</w:t>
      </w:r>
      <w:r w:rsidRPr="003307F1">
        <w:rPr>
          <w:rFonts w:ascii="Times New Roman" w:eastAsia="TimesNewRoman" w:hAnsi="Times New Roman"/>
          <w:sz w:val="28"/>
          <w:szCs w:val="28"/>
        </w:rPr>
        <w:t xml:space="preserve"> / </w:t>
      </w:r>
      <w:r w:rsidRPr="003307F1">
        <w:rPr>
          <w:rFonts w:ascii="Times New Roman" w:hAnsi="Times New Roman"/>
          <w:sz w:val="28"/>
          <w:szCs w:val="28"/>
        </w:rPr>
        <w:t xml:space="preserve">П. Г. Кондратенко, М.В. Конькова, </w:t>
      </w:r>
      <w:r>
        <w:rPr>
          <w:rFonts w:ascii="Times New Roman" w:hAnsi="Times New Roman"/>
          <w:sz w:val="28"/>
          <w:szCs w:val="28"/>
        </w:rPr>
        <w:t xml:space="preserve">         </w:t>
      </w:r>
      <w:r w:rsidRPr="003307F1">
        <w:rPr>
          <w:rFonts w:ascii="Times New Roman" w:hAnsi="Times New Roman"/>
          <w:sz w:val="28"/>
          <w:szCs w:val="28"/>
        </w:rPr>
        <w:t>И. Н. Джансыз // Клінічна хір</w:t>
      </w:r>
      <w:r>
        <w:rPr>
          <w:rFonts w:ascii="Times New Roman" w:hAnsi="Times New Roman"/>
          <w:sz w:val="28"/>
          <w:szCs w:val="28"/>
        </w:rPr>
        <w:t>ургія. – 2011. – № 2. – С. 18-</w:t>
      </w:r>
      <w:r w:rsidRPr="003307F1">
        <w:rPr>
          <w:rFonts w:ascii="Times New Roman" w:hAnsi="Times New Roman"/>
          <w:sz w:val="28"/>
          <w:szCs w:val="28"/>
        </w:rPr>
        <w:t>22.</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Кондратенко П. Г. Причини розвитку гнійних ускладнень у хворих</w:t>
      </w:r>
      <w:r w:rsidRPr="003307F1">
        <w:rPr>
          <w:rFonts w:ascii="Times New Roman" w:eastAsia="TimesNewRoman" w:hAnsi="Times New Roman"/>
          <w:sz w:val="28"/>
          <w:szCs w:val="28"/>
        </w:rPr>
        <w:t xml:space="preserve"> </w:t>
      </w:r>
      <w:r w:rsidRPr="003307F1">
        <w:rPr>
          <w:rFonts w:ascii="Times New Roman" w:hAnsi="Times New Roman"/>
          <w:sz w:val="28"/>
          <w:szCs w:val="28"/>
        </w:rPr>
        <w:t>з гострим небіліарним асептичним панкреонекрозом / П. Г.</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Кондратенко, </w:t>
      </w:r>
      <w:r>
        <w:rPr>
          <w:rFonts w:ascii="Times New Roman" w:hAnsi="Times New Roman"/>
          <w:sz w:val="28"/>
          <w:szCs w:val="28"/>
        </w:rPr>
        <w:t xml:space="preserve">                              </w:t>
      </w:r>
      <w:r w:rsidRPr="003307F1">
        <w:rPr>
          <w:rFonts w:ascii="Times New Roman" w:hAnsi="Times New Roman"/>
          <w:sz w:val="28"/>
          <w:szCs w:val="28"/>
        </w:rPr>
        <w:t>І. М. Джансиз // Наук. вісн. Ужгород. ун-ту. Серія</w:t>
      </w:r>
      <w:r w:rsidRPr="003307F1">
        <w:rPr>
          <w:rFonts w:ascii="Times New Roman" w:eastAsia="TimesNewRoman" w:hAnsi="Times New Roman"/>
          <w:sz w:val="28"/>
          <w:szCs w:val="28"/>
        </w:rPr>
        <w:t xml:space="preserve"> </w:t>
      </w:r>
      <w:r w:rsidRPr="003307F1">
        <w:rPr>
          <w:rFonts w:ascii="Times New Roman" w:hAnsi="Times New Roman"/>
          <w:sz w:val="28"/>
          <w:szCs w:val="28"/>
        </w:rPr>
        <w:t>"Медицина".</w:t>
      </w:r>
      <w:r>
        <w:rPr>
          <w:rFonts w:ascii="Times New Roman" w:hAnsi="Times New Roman"/>
          <w:sz w:val="28"/>
          <w:szCs w:val="28"/>
        </w:rPr>
        <w:t xml:space="preserve"> – 2011. – № 2 (41). – С. 105-</w:t>
      </w:r>
      <w:r w:rsidRPr="003307F1">
        <w:rPr>
          <w:rFonts w:ascii="Times New Roman" w:hAnsi="Times New Roman"/>
          <w:sz w:val="28"/>
          <w:szCs w:val="28"/>
        </w:rPr>
        <w:t>109.</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Кондратенко П. Г. Прогнозирование и лечение осложнений</w:t>
      </w:r>
      <w:r w:rsidRPr="003307F1">
        <w:rPr>
          <w:rFonts w:ascii="Times New Roman" w:eastAsia="TimesNewRoman" w:hAnsi="Times New Roman"/>
          <w:sz w:val="28"/>
          <w:szCs w:val="28"/>
        </w:rPr>
        <w:t xml:space="preserve"> </w:t>
      </w:r>
      <w:r w:rsidRPr="003307F1">
        <w:rPr>
          <w:rFonts w:ascii="Times New Roman" w:hAnsi="Times New Roman"/>
          <w:sz w:val="28"/>
          <w:szCs w:val="28"/>
        </w:rPr>
        <w:t>транспапиллярных вмешательств / П. Г. Кондратенко, А. А.</w:t>
      </w:r>
      <w:r w:rsidRPr="003307F1">
        <w:rPr>
          <w:rFonts w:ascii="Times New Roman" w:eastAsia="TimesNewRoman" w:hAnsi="Times New Roman"/>
          <w:sz w:val="28"/>
          <w:szCs w:val="28"/>
        </w:rPr>
        <w:t xml:space="preserve"> </w:t>
      </w:r>
      <w:r w:rsidRPr="003307F1">
        <w:rPr>
          <w:rFonts w:ascii="Times New Roman" w:hAnsi="Times New Roman"/>
          <w:sz w:val="28"/>
          <w:szCs w:val="28"/>
        </w:rPr>
        <w:t>Стукало // Клінічна хірур</w:t>
      </w:r>
      <w:r>
        <w:rPr>
          <w:rFonts w:ascii="Times New Roman" w:hAnsi="Times New Roman"/>
          <w:sz w:val="28"/>
          <w:szCs w:val="28"/>
        </w:rPr>
        <w:t>гія. – 2009. – № 7–8. – С. 71-</w:t>
      </w:r>
      <w:r w:rsidRPr="003307F1">
        <w:rPr>
          <w:rFonts w:ascii="Times New Roman" w:hAnsi="Times New Roman"/>
          <w:sz w:val="28"/>
          <w:szCs w:val="28"/>
        </w:rPr>
        <w:t>74.</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Кондратенко П. Г. Острый послеоперационный панкреатит в транспапиллярной эндохирургии / П. Г. Кондратенко, А. А.</w:t>
      </w:r>
      <w:r w:rsidRPr="003307F1">
        <w:rPr>
          <w:rFonts w:ascii="Times New Roman" w:eastAsia="TimesNewRoman" w:hAnsi="Times New Roman"/>
          <w:sz w:val="28"/>
          <w:szCs w:val="28"/>
        </w:rPr>
        <w:t xml:space="preserve"> </w:t>
      </w:r>
      <w:r w:rsidRPr="003307F1">
        <w:rPr>
          <w:rFonts w:ascii="Times New Roman" w:hAnsi="Times New Roman"/>
          <w:sz w:val="28"/>
          <w:szCs w:val="28"/>
        </w:rPr>
        <w:t>Стукало // Клінічна хірур</w:t>
      </w:r>
      <w:r>
        <w:rPr>
          <w:rFonts w:ascii="Times New Roman" w:hAnsi="Times New Roman"/>
          <w:sz w:val="28"/>
          <w:szCs w:val="28"/>
        </w:rPr>
        <w:t>гія. – 2014. – № 9.2. – С. 17-</w:t>
      </w:r>
      <w:r w:rsidRPr="003307F1">
        <w:rPr>
          <w:rFonts w:ascii="Times New Roman" w:hAnsi="Times New Roman"/>
          <w:sz w:val="28"/>
          <w:szCs w:val="28"/>
        </w:rPr>
        <w:t>20.</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Конфигурация некроза поджелудочной железы и дифференцированного лечения острого панкреатита / Т. Г. Дюжева, Е. В. Джус, А. В. Шефер [ и др. ] // Анналы хирургической гепатологии</w:t>
      </w:r>
      <w:r>
        <w:rPr>
          <w:rFonts w:ascii="Times New Roman" w:hAnsi="Times New Roman"/>
          <w:sz w:val="28"/>
          <w:szCs w:val="28"/>
        </w:rPr>
        <w:t>. – 2013. – № 18 (1). – С. 92-</w:t>
      </w:r>
      <w:r w:rsidRPr="003307F1">
        <w:rPr>
          <w:rFonts w:ascii="Times New Roman" w:hAnsi="Times New Roman"/>
          <w:sz w:val="28"/>
          <w:szCs w:val="28"/>
        </w:rPr>
        <w:t>102.</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Конькова М. В. Ультразвуковая диагностика и диапевтика острого панкреатита / М. В. Конькова, Н. Л. Смирнов, А. А. Юдин</w:t>
      </w:r>
      <w:r w:rsidRPr="003307F1">
        <w:rPr>
          <w:rFonts w:ascii="Times New Roman" w:eastAsia="TimesNewRoman" w:hAnsi="Times New Roman"/>
          <w:sz w:val="28"/>
          <w:szCs w:val="28"/>
        </w:rPr>
        <w:t xml:space="preserve"> </w:t>
      </w:r>
      <w:r w:rsidRPr="003307F1">
        <w:rPr>
          <w:rFonts w:ascii="Times New Roman" w:hAnsi="Times New Roman"/>
          <w:sz w:val="28"/>
          <w:szCs w:val="28"/>
        </w:rPr>
        <w:t>// Український журнал хірургії. – 2013. – № 3 (22). –</w:t>
      </w:r>
      <w:r w:rsidRPr="003307F1">
        <w:rPr>
          <w:rFonts w:ascii="Times New Roman" w:eastAsia="TimesNewRoman" w:hAnsi="Times New Roman"/>
          <w:sz w:val="28"/>
          <w:szCs w:val="28"/>
        </w:rPr>
        <w:t xml:space="preserve"> </w:t>
      </w:r>
      <w:r>
        <w:rPr>
          <w:rFonts w:ascii="Times New Roman" w:hAnsi="Times New Roman"/>
          <w:sz w:val="28"/>
          <w:szCs w:val="28"/>
        </w:rPr>
        <w:t>С. 132-</w:t>
      </w:r>
      <w:r w:rsidRPr="003307F1">
        <w:rPr>
          <w:rFonts w:ascii="Times New Roman" w:hAnsi="Times New Roman"/>
          <w:sz w:val="28"/>
          <w:szCs w:val="28"/>
        </w:rPr>
        <w:t>136.</w:t>
      </w:r>
    </w:p>
    <w:p w:rsidR="00C62D22" w:rsidRPr="00C259D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Комбинированные малоинвазивные технологии в лечении постнекротических кист поджелудочной железы и их осложнений / </w:t>
      </w:r>
      <w:r w:rsidRPr="003307F1">
        <w:rPr>
          <w:rFonts w:ascii="Times New Roman" w:hAnsi="Times New Roman"/>
          <w:iCs/>
          <w:sz w:val="28"/>
          <w:szCs w:val="28"/>
        </w:rPr>
        <w:t>М. П. Королев, Л. Е. Федотов, Р. Г. Аванесян [ и др. ]</w:t>
      </w:r>
      <w:r>
        <w:rPr>
          <w:rFonts w:ascii="Times New Roman" w:hAnsi="Times New Roman"/>
          <w:iCs/>
          <w:sz w:val="28"/>
          <w:szCs w:val="28"/>
        </w:rPr>
        <w:t xml:space="preserve"> </w:t>
      </w:r>
      <w:r w:rsidRPr="003307F1">
        <w:rPr>
          <w:rFonts w:ascii="Times New Roman" w:hAnsi="Times New Roman"/>
          <w:sz w:val="28"/>
          <w:szCs w:val="28"/>
        </w:rPr>
        <w:t>//</w:t>
      </w:r>
      <w:r>
        <w:rPr>
          <w:rFonts w:ascii="Times New Roman" w:hAnsi="Times New Roman"/>
          <w:sz w:val="28"/>
          <w:szCs w:val="28"/>
        </w:rPr>
        <w:t xml:space="preserve"> </w:t>
      </w:r>
      <w:hyperlink r:id="rId141" w:history="1">
        <w:r w:rsidRPr="003307F1">
          <w:rPr>
            <w:rStyle w:val="af1"/>
            <w:rFonts w:ascii="Times New Roman" w:hAnsi="Times New Roman"/>
            <w:bCs/>
            <w:sz w:val="28"/>
            <w:szCs w:val="28"/>
          </w:rPr>
          <w:t>Анналы хирургической гепатологии</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w:t>
      </w:r>
      <w:hyperlink r:id="rId142" w:history="1">
        <w:r w:rsidRPr="003307F1">
          <w:rPr>
            <w:rStyle w:val="af1"/>
            <w:rFonts w:ascii="Times New Roman" w:hAnsi="Times New Roman"/>
            <w:bCs/>
            <w:sz w:val="28"/>
            <w:szCs w:val="28"/>
          </w:rPr>
          <w:t>2012</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 </w:t>
      </w:r>
      <w:hyperlink r:id="rId143" w:history="1">
        <w:r w:rsidRPr="003307F1">
          <w:rPr>
            <w:rStyle w:val="af1"/>
            <w:rFonts w:ascii="Times New Roman" w:hAnsi="Times New Roman"/>
            <w:bCs/>
            <w:sz w:val="28"/>
            <w:szCs w:val="28"/>
          </w:rPr>
          <w:t>4</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С. </w:t>
      </w:r>
      <w:hyperlink r:id="rId144" w:history="1">
        <w:r w:rsidRPr="003307F1">
          <w:rPr>
            <w:rStyle w:val="af1"/>
            <w:rFonts w:ascii="Times New Roman" w:hAnsi="Times New Roman"/>
            <w:bCs/>
            <w:sz w:val="28"/>
            <w:szCs w:val="28"/>
          </w:rPr>
          <w:t>57</w:t>
        </w:r>
      </w:hyperlink>
      <w:r>
        <w:rPr>
          <w:rFonts w:ascii="Times New Roman" w:hAnsi="Times New Roman"/>
          <w:sz w:val="28"/>
          <w:szCs w:val="28"/>
        </w:rPr>
        <w:t>-</w:t>
      </w:r>
      <w:r w:rsidRPr="003307F1">
        <w:rPr>
          <w:rFonts w:ascii="Times New Roman" w:hAnsi="Times New Roman"/>
          <w:sz w:val="28"/>
          <w:szCs w:val="28"/>
        </w:rPr>
        <w:t>65.</w:t>
      </w:r>
    </w:p>
    <w:p w:rsidR="00C62D22" w:rsidRPr="00C259D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Комплексное лечение острых псевдокист поджелудочной железы / И.А. Криворучко, Н.Н. Гончарова, С.Н. Тесленко, Н.Н. Тесленко // Оралдын гылым жаршысы. – 2014. – №34 (113). – С.5-11.</w:t>
      </w:r>
    </w:p>
    <w:p w:rsidR="00C62D22" w:rsidRPr="00C259D2"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hAnsi="Times New Roman"/>
          <w:sz w:val="28"/>
          <w:szCs w:val="28"/>
        </w:rPr>
        <w:t xml:space="preserve">Копчак В.М. </w:t>
      </w:r>
      <w:r w:rsidRPr="000F2B01">
        <w:rPr>
          <w:rFonts w:ascii="Times New Roman" w:hAnsi="Times New Roman"/>
          <w:sz w:val="28"/>
          <w:szCs w:val="28"/>
        </w:rPr>
        <w:t>Лікування ускладнених гострих псевдокіст підшлункової залози / В.М. Копчак, І.А. Криворучко, Н.М. Гончарова // Архів клінічної медицини. – 2014. – № 2(20), частина ІІ. – С.59-60.</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hAnsi="Times New Roman"/>
          <w:sz w:val="28"/>
          <w:szCs w:val="28"/>
        </w:rPr>
        <w:lastRenderedPageBreak/>
        <w:t xml:space="preserve">Копчак В.М. </w:t>
      </w:r>
      <w:r w:rsidRPr="000F2B01">
        <w:rPr>
          <w:rFonts w:ascii="Times New Roman" w:hAnsi="Times New Roman"/>
          <w:sz w:val="28"/>
          <w:szCs w:val="28"/>
        </w:rPr>
        <w:t xml:space="preserve">Хірургічне лікування ускладнених псевдокіст підшлункової залози: мініінвазивні чи «відкриті» втручання? / В.М. Копчак, І.А. Криворучко, </w:t>
      </w:r>
      <w:r>
        <w:rPr>
          <w:rFonts w:ascii="Times New Roman" w:hAnsi="Times New Roman"/>
          <w:sz w:val="28"/>
          <w:szCs w:val="28"/>
        </w:rPr>
        <w:t xml:space="preserve">   </w:t>
      </w:r>
      <w:r w:rsidRPr="000F2B01">
        <w:rPr>
          <w:rFonts w:ascii="Times New Roman" w:hAnsi="Times New Roman"/>
          <w:sz w:val="28"/>
          <w:szCs w:val="28"/>
        </w:rPr>
        <w:t>Н.М. Гончарова // Харківська хірургічна школа. – 2014. – №1(64). – С. 103-106.</w:t>
      </w:r>
    </w:p>
    <w:p w:rsidR="00C62D22" w:rsidRPr="003307F1" w:rsidRDefault="00C62D22" w:rsidP="00C62D22">
      <w:pPr>
        <w:numPr>
          <w:ilvl w:val="0"/>
          <w:numId w:val="34"/>
        </w:numPr>
        <w:tabs>
          <w:tab w:val="clear" w:pos="720"/>
          <w:tab w:val="left" w:pos="54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Копчак К. В. Принципы лечения осложненных псевдокист поджелудочной железы / К. В. Копчак, Л. А. Перерва, С. В. Андроник // Мат. юбил. междунар. конгр. Ассоциации х</w:t>
      </w:r>
      <w:r>
        <w:rPr>
          <w:rFonts w:ascii="Times New Roman" w:hAnsi="Times New Roman"/>
          <w:sz w:val="28"/>
          <w:szCs w:val="28"/>
        </w:rPr>
        <w:t>ирургов-гепатологов стран СНГ «</w:t>
      </w:r>
      <w:r w:rsidRPr="003307F1">
        <w:rPr>
          <w:rFonts w:ascii="Times New Roman" w:hAnsi="Times New Roman"/>
          <w:sz w:val="28"/>
          <w:szCs w:val="28"/>
        </w:rPr>
        <w:t>Актуальные проблемы хирургической гепатологии</w:t>
      </w:r>
      <w:r>
        <w:rPr>
          <w:rFonts w:ascii="Times New Roman" w:hAnsi="Times New Roman"/>
          <w:sz w:val="28"/>
          <w:szCs w:val="28"/>
        </w:rPr>
        <w:t>»</w:t>
      </w:r>
      <w:r w:rsidRPr="003307F1">
        <w:rPr>
          <w:rFonts w:ascii="Times New Roman" w:hAnsi="Times New Roman"/>
          <w:sz w:val="28"/>
          <w:szCs w:val="28"/>
        </w:rPr>
        <w:t xml:space="preserve"> (18-20 сент. </w:t>
      </w:r>
      <w:smartTag w:uri="urn:schemas-microsoft-com:office:smarttags" w:element="metricconverter">
        <w:smartTagPr>
          <w:attr w:name="ProductID" w:val="2013 г"/>
        </w:smartTagPr>
        <w:r w:rsidRPr="003307F1">
          <w:rPr>
            <w:rFonts w:ascii="Times New Roman" w:hAnsi="Times New Roman"/>
            <w:sz w:val="28"/>
            <w:szCs w:val="28"/>
          </w:rPr>
          <w:t>2013 г</w:t>
        </w:r>
      </w:smartTag>
      <w:r w:rsidRPr="003307F1">
        <w:rPr>
          <w:rFonts w:ascii="Times New Roman" w:hAnsi="Times New Roman"/>
          <w:sz w:val="28"/>
          <w:szCs w:val="28"/>
        </w:rPr>
        <w:t xml:space="preserve">.). </w:t>
      </w:r>
      <w:r w:rsidRPr="003307F1">
        <w:rPr>
          <w:rFonts w:ascii="Times New Roman" w:hAnsi="Times New Roman"/>
          <w:sz w:val="28"/>
          <w:szCs w:val="28"/>
          <w:shd w:val="clear" w:color="auto" w:fill="FFFFFF"/>
        </w:rPr>
        <w:t>– Донецк, 2013. – С. 237.</w:t>
      </w:r>
    </w:p>
    <w:p w:rsidR="00C62D22" w:rsidRPr="00C259D2" w:rsidRDefault="00C62D22" w:rsidP="00C62D22">
      <w:pPr>
        <w:numPr>
          <w:ilvl w:val="0"/>
          <w:numId w:val="34"/>
        </w:numPr>
        <w:tabs>
          <w:tab w:val="clear" w:pos="720"/>
          <w:tab w:val="left" w:pos="360"/>
          <w:tab w:val="left" w:pos="1080"/>
          <w:tab w:val="left" w:pos="126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Кравченко Д. А. Медикаментозное ингибирование панкреатических звездчатых клеток</w:t>
      </w:r>
      <w:r w:rsidRPr="003307F1">
        <w:rPr>
          <w:rFonts w:ascii="Times New Roman" w:eastAsia="TimesNewRoman" w:hAnsi="Times New Roman"/>
          <w:sz w:val="28"/>
          <w:szCs w:val="28"/>
        </w:rPr>
        <w:t xml:space="preserve"> </w:t>
      </w:r>
      <w:r w:rsidRPr="003307F1">
        <w:rPr>
          <w:rFonts w:ascii="Times New Roman" w:hAnsi="Times New Roman"/>
          <w:sz w:val="28"/>
          <w:szCs w:val="28"/>
        </w:rPr>
        <w:t>для предупреждения фиброза культи поджелудочной железы</w:t>
      </w:r>
      <w:r w:rsidRPr="003307F1">
        <w:rPr>
          <w:rFonts w:ascii="Times New Roman" w:eastAsia="TimesNewRoman" w:hAnsi="Times New Roman"/>
          <w:sz w:val="28"/>
          <w:szCs w:val="28"/>
        </w:rPr>
        <w:t xml:space="preserve"> </w:t>
      </w:r>
      <w:r w:rsidRPr="003307F1">
        <w:rPr>
          <w:rFonts w:ascii="Times New Roman" w:hAnsi="Times New Roman"/>
          <w:sz w:val="28"/>
          <w:szCs w:val="28"/>
        </w:rPr>
        <w:t>после ее дистальной резекции в модели хронического алкогольного</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панкреатита в эксперименте / Д. А. Кравченко, И. С. Шпонька, И. М. Савицкая // Клінічна хірургія.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2012.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 10 (Додаток). </w:t>
      </w:r>
      <w:r w:rsidRPr="003307F1">
        <w:rPr>
          <w:rFonts w:ascii="Times New Roman" w:hAnsi="Times New Roman"/>
          <w:sz w:val="28"/>
          <w:szCs w:val="28"/>
          <w:shd w:val="clear" w:color="auto" w:fill="FFFFFF"/>
        </w:rPr>
        <w:t xml:space="preserve">– </w:t>
      </w:r>
      <w:r w:rsidRPr="003307F1">
        <w:rPr>
          <w:rFonts w:ascii="Times New Roman" w:hAnsi="Times New Roman"/>
          <w:sz w:val="28"/>
          <w:szCs w:val="28"/>
        </w:rPr>
        <w:t>С.26</w:t>
      </w:r>
      <w:r>
        <w:rPr>
          <w:rFonts w:ascii="Times New Roman" w:hAnsi="Times New Roman"/>
          <w:sz w:val="28"/>
          <w:szCs w:val="28"/>
        </w:rPr>
        <w:t>-</w:t>
      </w:r>
      <w:r w:rsidRPr="003307F1">
        <w:rPr>
          <w:rFonts w:ascii="Times New Roman" w:hAnsi="Times New Roman"/>
          <w:sz w:val="28"/>
          <w:szCs w:val="28"/>
          <w:shd w:val="clear" w:color="auto" w:fill="FFFFFF"/>
        </w:rPr>
        <w:t>2</w:t>
      </w:r>
      <w:r w:rsidRPr="003307F1">
        <w:rPr>
          <w:rFonts w:ascii="Times New Roman" w:hAnsi="Times New Roman"/>
          <w:sz w:val="28"/>
          <w:szCs w:val="28"/>
        </w:rPr>
        <w:t>7.</w:t>
      </w:r>
    </w:p>
    <w:p w:rsidR="00C62D22" w:rsidRPr="003307F1" w:rsidRDefault="00C62D22" w:rsidP="00C62D22">
      <w:pPr>
        <w:numPr>
          <w:ilvl w:val="0"/>
          <w:numId w:val="34"/>
        </w:numPr>
        <w:tabs>
          <w:tab w:val="clear" w:pos="720"/>
          <w:tab w:val="left" w:pos="360"/>
          <w:tab w:val="left" w:pos="1080"/>
          <w:tab w:val="left" w:pos="126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hAnsi="Times New Roman"/>
          <w:sz w:val="28"/>
          <w:szCs w:val="28"/>
        </w:rPr>
        <w:t xml:space="preserve">Криворучко І.А. </w:t>
      </w:r>
      <w:r w:rsidRPr="000F2B01">
        <w:rPr>
          <w:rFonts w:ascii="Times New Roman" w:hAnsi="Times New Roman"/>
          <w:sz w:val="28"/>
          <w:szCs w:val="28"/>
        </w:rPr>
        <w:t>Використання сучасних методів хірургічного лікування псевдокіст підшлункової залози, ускладнених кровотечею / І.А. Криворучко, В.М. Копчак, Н.М. Гончарова // Харківська хірургічна школа. – 2015. – №2(71.) – С. 36-39.</w:t>
      </w:r>
    </w:p>
    <w:p w:rsidR="00C62D22"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Криворучко И. А. </w:t>
      </w:r>
      <w:r w:rsidRPr="003307F1">
        <w:rPr>
          <w:rFonts w:ascii="Times New Roman" w:hAnsi="Times New Roman"/>
          <w:sz w:val="28"/>
          <w:szCs w:val="28"/>
        </w:rPr>
        <w:t>Диагностика инфекционных осложнений полостных образований</w:t>
      </w:r>
      <w:r w:rsidRPr="003307F1">
        <w:rPr>
          <w:rFonts w:ascii="Times New Roman" w:eastAsia="TimesNewRoman" w:hAnsi="Times New Roman"/>
          <w:sz w:val="28"/>
          <w:szCs w:val="28"/>
        </w:rPr>
        <w:t xml:space="preserve"> </w:t>
      </w:r>
      <w:r w:rsidRPr="003307F1">
        <w:rPr>
          <w:rFonts w:ascii="Times New Roman" w:hAnsi="Times New Roman"/>
          <w:sz w:val="28"/>
          <w:szCs w:val="28"/>
        </w:rPr>
        <w:t>поджелудочной железы при панкреатите</w:t>
      </w:r>
      <w:r w:rsidRPr="003307F1">
        <w:rPr>
          <w:rFonts w:ascii="Times New Roman" w:eastAsia="TimesNewRoman" w:hAnsi="Times New Roman"/>
          <w:sz w:val="28"/>
          <w:szCs w:val="28"/>
        </w:rPr>
        <w:t xml:space="preserve"> / </w:t>
      </w:r>
      <w:r w:rsidRPr="003307F1">
        <w:rPr>
          <w:rFonts w:ascii="Times New Roman" w:hAnsi="Times New Roman"/>
          <w:sz w:val="28"/>
          <w:szCs w:val="28"/>
        </w:rPr>
        <w:t xml:space="preserve">И. А. Криворучко, </w:t>
      </w:r>
      <w:r>
        <w:rPr>
          <w:rFonts w:ascii="Times New Roman" w:hAnsi="Times New Roman"/>
          <w:sz w:val="28"/>
          <w:szCs w:val="28"/>
        </w:rPr>
        <w:t xml:space="preserve">                </w:t>
      </w:r>
      <w:r w:rsidRPr="003307F1">
        <w:rPr>
          <w:rFonts w:ascii="Times New Roman" w:hAnsi="Times New Roman"/>
          <w:sz w:val="28"/>
          <w:szCs w:val="28"/>
        </w:rPr>
        <w:t>С. Н. Балака, Н. В. Красносельский // Клінічна хірургія. – 2011. – № 5. – С.29.</w:t>
      </w:r>
    </w:p>
    <w:p w:rsidR="00C62D22" w:rsidRPr="00C259D2"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eastAsia="TimesNewRoman" w:hAnsi="Times New Roman"/>
          <w:sz w:val="28"/>
          <w:szCs w:val="28"/>
        </w:rPr>
        <w:t xml:space="preserve">Криворучко І.А. </w:t>
      </w:r>
      <w:r w:rsidRPr="000F2B01">
        <w:rPr>
          <w:rFonts w:ascii="Times New Roman" w:hAnsi="Times New Roman"/>
          <w:sz w:val="28"/>
          <w:szCs w:val="28"/>
        </w:rPr>
        <w:t>Застосування відкритих операційних втручань у хворих на ускладнені псевдокісти підшлункової залози першого типу / І.А. Криворучко,</w:t>
      </w:r>
      <w:r>
        <w:rPr>
          <w:rFonts w:ascii="Times New Roman" w:hAnsi="Times New Roman"/>
          <w:sz w:val="28"/>
          <w:szCs w:val="28"/>
        </w:rPr>
        <w:t xml:space="preserve">             </w:t>
      </w:r>
      <w:r w:rsidRPr="000F2B01">
        <w:rPr>
          <w:rFonts w:ascii="Times New Roman" w:hAnsi="Times New Roman"/>
          <w:sz w:val="28"/>
          <w:szCs w:val="28"/>
        </w:rPr>
        <w:t xml:space="preserve"> Н.М. Гончарова // Шпитальна хірургія. – 2016. – №2 (74). – С. 32-35. </w:t>
      </w:r>
    </w:p>
    <w:p w:rsidR="00C62D22"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hAnsi="Times New Roman"/>
          <w:sz w:val="28"/>
          <w:szCs w:val="28"/>
        </w:rPr>
        <w:t xml:space="preserve">Криворучко І.А. </w:t>
      </w:r>
      <w:r w:rsidRPr="000F2B01">
        <w:rPr>
          <w:rFonts w:ascii="Times New Roman" w:hAnsi="Times New Roman"/>
          <w:sz w:val="28"/>
          <w:szCs w:val="28"/>
        </w:rPr>
        <w:t xml:space="preserve">Особливості патоморфологічних змін у хворих з різними типами псевдокіст підшлункової залози / І.А. Криворучко, Н.М. Гончарова, </w:t>
      </w:r>
      <w:r>
        <w:rPr>
          <w:rFonts w:ascii="Times New Roman" w:hAnsi="Times New Roman"/>
          <w:sz w:val="28"/>
          <w:szCs w:val="28"/>
        </w:rPr>
        <w:t xml:space="preserve">                 </w:t>
      </w:r>
      <w:r w:rsidRPr="000F2B01">
        <w:rPr>
          <w:rFonts w:ascii="Times New Roman" w:hAnsi="Times New Roman"/>
          <w:sz w:val="28"/>
          <w:szCs w:val="28"/>
        </w:rPr>
        <w:t>І.В. Сорокіна // Морфологія. – 2015. – Т.9, № 3. – С. 31-41.</w:t>
      </w:r>
    </w:p>
    <w:p w:rsidR="00C62D22" w:rsidRPr="00084A9D"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eastAsia="TimesNewRoman" w:hAnsi="Times New Roman"/>
          <w:sz w:val="28"/>
          <w:szCs w:val="28"/>
        </w:rPr>
        <w:t xml:space="preserve">Криворучко І.А. </w:t>
      </w:r>
      <w:r w:rsidRPr="000F2B01">
        <w:rPr>
          <w:rFonts w:ascii="Times New Roman" w:hAnsi="Times New Roman"/>
          <w:sz w:val="28"/>
          <w:szCs w:val="28"/>
        </w:rPr>
        <w:t>Псевдокісти підшлункової залози: діагностика й лікування / І.А. Криворучко, Н.М. Гончарова, С.А. Андреєщев // Клінічна хірургія. – 2014. – № 2. – С. 67-72.</w:t>
      </w:r>
    </w:p>
    <w:p w:rsidR="00C62D22"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eastAsia="TimesNewRoman" w:hAnsi="Times New Roman"/>
          <w:sz w:val="28"/>
          <w:szCs w:val="28"/>
        </w:rPr>
        <w:t xml:space="preserve">Криворучко І.А. </w:t>
      </w:r>
      <w:r w:rsidRPr="000F2B01">
        <w:rPr>
          <w:rFonts w:ascii="Times New Roman" w:hAnsi="Times New Roman"/>
          <w:sz w:val="28"/>
          <w:szCs w:val="28"/>
        </w:rPr>
        <w:t xml:space="preserve">Прогнозування вибору методу оперативного втручання при ускладнених псевдокістах підшлункової залози третього типу / </w:t>
      </w:r>
      <w:r>
        <w:rPr>
          <w:rFonts w:ascii="Times New Roman" w:hAnsi="Times New Roman"/>
          <w:sz w:val="28"/>
          <w:szCs w:val="28"/>
        </w:rPr>
        <w:t xml:space="preserve">                                 </w:t>
      </w:r>
      <w:r w:rsidRPr="000F2B01">
        <w:rPr>
          <w:rFonts w:ascii="Times New Roman" w:hAnsi="Times New Roman"/>
          <w:sz w:val="28"/>
          <w:szCs w:val="28"/>
        </w:rPr>
        <w:lastRenderedPageBreak/>
        <w:t xml:space="preserve">І. А. Криворучко, Н.М. Гончарова, О.В. Арсен' єв // Journal of education, Health and Sport. – 2016. – Vol. 6, №6. – С. 59-68. </w:t>
      </w:r>
    </w:p>
    <w:p w:rsidR="00C62D22" w:rsidRPr="00C259D2"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hAnsi="Times New Roman"/>
          <w:sz w:val="28"/>
          <w:szCs w:val="28"/>
        </w:rPr>
        <w:t xml:space="preserve">Криворучко І.А. </w:t>
      </w:r>
      <w:r w:rsidRPr="000F2B01">
        <w:rPr>
          <w:rFonts w:ascii="Times New Roman" w:hAnsi="Times New Roman"/>
          <w:sz w:val="28"/>
          <w:szCs w:val="28"/>
        </w:rPr>
        <w:t xml:space="preserve">Роль матриксних металопротеїназ та їх інгібіторів у патогенезі псевдокіст підшлункової залози / І.А. Криворучко, Н.М. Гончарова, </w:t>
      </w:r>
      <w:r>
        <w:rPr>
          <w:rFonts w:ascii="Times New Roman" w:hAnsi="Times New Roman"/>
          <w:sz w:val="28"/>
          <w:szCs w:val="28"/>
        </w:rPr>
        <w:t xml:space="preserve">             </w:t>
      </w:r>
      <w:r w:rsidRPr="000F2B01">
        <w:rPr>
          <w:rFonts w:ascii="Times New Roman" w:hAnsi="Times New Roman"/>
          <w:sz w:val="28"/>
          <w:szCs w:val="28"/>
        </w:rPr>
        <w:t xml:space="preserve">С.А. Андреєщев // Клінічна хірургія. – 2015. – №2. – С. 35-41. </w:t>
      </w:r>
    </w:p>
    <w:p w:rsidR="00C62D22" w:rsidRPr="00C259D2"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eastAsia="TimesNewRoman" w:hAnsi="Times New Roman"/>
          <w:sz w:val="28"/>
          <w:szCs w:val="28"/>
        </w:rPr>
        <w:t xml:space="preserve">Криворучко І.А. </w:t>
      </w:r>
      <w:r w:rsidRPr="000F2B01">
        <w:rPr>
          <w:rFonts w:ascii="Times New Roman" w:hAnsi="Times New Roman"/>
          <w:sz w:val="28"/>
          <w:szCs w:val="28"/>
        </w:rPr>
        <w:t xml:space="preserve">Сучасні методи діагностики та хірургічного лікування інфікованих псевдокіст підшлункової залози / І.А. Криворучко, Н.М. Гончарова // Ліки України плюс. – 2015. – № 4(25). – С. 45-48. </w:t>
      </w:r>
    </w:p>
    <w:p w:rsidR="00C62D22" w:rsidRPr="00461C82"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hAnsi="Times New Roman"/>
          <w:sz w:val="28"/>
          <w:szCs w:val="28"/>
        </w:rPr>
        <w:t xml:space="preserve">Криворучко І.А. </w:t>
      </w:r>
      <w:r w:rsidRPr="000F2B01">
        <w:rPr>
          <w:rFonts w:ascii="Times New Roman" w:hAnsi="Times New Roman"/>
          <w:sz w:val="28"/>
          <w:szCs w:val="28"/>
        </w:rPr>
        <w:t xml:space="preserve">Сучасні погляди щодо хірургічного лікування псевдокіст підшлункової залози з компресією суміжних органів / І.А. Криворучко, Н.М. Гончарова, В.М. Чеверда // Харківська хірургічна школа. – 2015. ̶  №4(73). – С. 29-31. </w:t>
      </w:r>
    </w:p>
    <w:p w:rsidR="00C62D22"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eastAsia="TimesNewRoman" w:hAnsi="Times New Roman"/>
          <w:sz w:val="28"/>
          <w:szCs w:val="28"/>
        </w:rPr>
        <w:t xml:space="preserve">Криворучко І.А. </w:t>
      </w:r>
      <w:r w:rsidRPr="000F2B01">
        <w:rPr>
          <w:rFonts w:ascii="Times New Roman" w:hAnsi="Times New Roman"/>
          <w:sz w:val="28"/>
          <w:szCs w:val="28"/>
        </w:rPr>
        <w:t xml:space="preserve">Хірургічне лікування псевдокіст підшлункової залози, ускладнених механічною жовтяницею / І. А. Криворучко, Н.М. Гончарова // Науковий вісник Ужгородського університету. – 2015. – Випуск 2 (52). – С. 45-48. </w:t>
      </w:r>
    </w:p>
    <w:p w:rsidR="00C62D22" w:rsidRPr="00352049"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eastAsia="TimesNewRoman" w:hAnsi="Times New Roman"/>
          <w:sz w:val="28"/>
          <w:szCs w:val="28"/>
        </w:rPr>
        <w:t xml:space="preserve">Криворучко І.А. </w:t>
      </w:r>
      <w:r w:rsidRPr="000F2B01">
        <w:rPr>
          <w:rFonts w:ascii="Times New Roman" w:hAnsi="Times New Roman"/>
          <w:sz w:val="28"/>
          <w:szCs w:val="28"/>
        </w:rPr>
        <w:t>Хірургічне лікування ускладнених псевдокіст підшлункової залози третього типу / І.А. Криворучко, Н.М. Гончарова // Хірургія України. – 2016. – № 3. – С. 32-36.</w:t>
      </w:r>
    </w:p>
    <w:p w:rsidR="00C62D22" w:rsidRPr="00461C8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Pr>
          <w:rFonts w:ascii="Times New Roman" w:hAnsi="Times New Roman"/>
          <w:sz w:val="28"/>
          <w:szCs w:val="28"/>
        </w:rPr>
        <w:t xml:space="preserve">Криворучко И.А. </w:t>
      </w:r>
      <w:r w:rsidRPr="000F2B01">
        <w:rPr>
          <w:rFonts w:ascii="Times New Roman" w:hAnsi="Times New Roman"/>
          <w:sz w:val="28"/>
          <w:szCs w:val="28"/>
        </w:rPr>
        <w:t>Хирургическое лечение инфицированных псевдокист поджелудочной железы / И.А. Криворучко, Н.Н. Гончарова // Клиническая и экспериментальная хирургия. Электронный научно-практический журнал. – 2015. [http:jecs.ru/viev/434.html]</w:t>
      </w:r>
      <w:r>
        <w:rPr>
          <w:rFonts w:ascii="Times New Roman" w:hAnsi="Times New Roman"/>
          <w:sz w:val="28"/>
          <w:szCs w:val="28"/>
        </w:rPr>
        <w:t>.</w:t>
      </w:r>
      <w:r w:rsidRPr="000F2B01">
        <w:rPr>
          <w:rFonts w:ascii="Times New Roman" w:hAnsi="Times New Roman"/>
          <w:sz w:val="28"/>
          <w:szCs w:val="28"/>
        </w:rPr>
        <w:t xml:space="preserve">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Криворучко И. В. </w:t>
      </w:r>
      <w:r w:rsidRPr="003307F1">
        <w:rPr>
          <w:rFonts w:ascii="Times New Roman" w:hAnsi="Times New Roman"/>
          <w:sz w:val="28"/>
          <w:szCs w:val="28"/>
        </w:rPr>
        <w:t>Дифференцированный подход к выбору метода лечения псевдокист поджелудочной железы / И. В. Криворучко // Клінічна хірургія. – 2013. – № 7.</w:t>
      </w:r>
      <w:r>
        <w:rPr>
          <w:rFonts w:ascii="Times New Roman" w:hAnsi="Times New Roman"/>
          <w:sz w:val="28"/>
          <w:szCs w:val="28"/>
        </w:rPr>
        <w:t xml:space="preserve"> – С. 16-</w:t>
      </w:r>
      <w:r w:rsidRPr="003307F1">
        <w:rPr>
          <w:rFonts w:ascii="Times New Roman" w:hAnsi="Times New Roman"/>
          <w:sz w:val="28"/>
          <w:szCs w:val="28"/>
        </w:rPr>
        <w:t>19.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Критерии диагностики ложных кист поджелудочной железы / </w:t>
      </w:r>
      <w:r w:rsidRPr="003307F1">
        <w:rPr>
          <w:rFonts w:ascii="Times New Roman" w:hAnsi="Times New Roman"/>
          <w:bCs/>
          <w:iCs/>
          <w:sz w:val="28"/>
          <w:szCs w:val="28"/>
        </w:rPr>
        <w:t xml:space="preserve">Т. И. Тамм, С. Г. Белов, В. В. Непомнящий [ и др. ] // Клінічна хірургія. </w:t>
      </w:r>
      <w:r>
        <w:rPr>
          <w:rFonts w:ascii="Times New Roman" w:hAnsi="Times New Roman"/>
          <w:sz w:val="28"/>
          <w:szCs w:val="28"/>
        </w:rPr>
        <w:t>– 2009. – № 7 – 8. – С. 119-</w:t>
      </w:r>
      <w:r w:rsidRPr="003307F1">
        <w:rPr>
          <w:rFonts w:ascii="Times New Roman" w:hAnsi="Times New Roman"/>
          <w:sz w:val="28"/>
          <w:szCs w:val="28"/>
        </w:rPr>
        <w:t>121.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PS-BoldMT" w:hAnsi="Times New Roman"/>
          <w:bCs/>
          <w:sz w:val="28"/>
          <w:szCs w:val="28"/>
        </w:rPr>
        <w:t>Критерии связи Вирсунгова протока</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с полостью псевдокисты</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поджелудочной железы</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у больных с хроническим панкреатитом / </w:t>
      </w:r>
      <w:r w:rsidRPr="003307F1">
        <w:rPr>
          <w:rFonts w:ascii="Times New Roman" w:eastAsia="TimesNewRomanPSMT" w:hAnsi="Times New Roman"/>
          <w:sz w:val="28"/>
          <w:szCs w:val="28"/>
        </w:rPr>
        <w:t xml:space="preserve">В. В. Хацко, </w:t>
      </w:r>
      <w:r>
        <w:rPr>
          <w:rFonts w:ascii="Times New Roman" w:eastAsia="TimesNewRomanPSMT" w:hAnsi="Times New Roman"/>
          <w:sz w:val="28"/>
          <w:szCs w:val="28"/>
        </w:rPr>
        <w:t xml:space="preserve">             </w:t>
      </w:r>
      <w:r w:rsidRPr="003307F1">
        <w:rPr>
          <w:rFonts w:ascii="Times New Roman" w:eastAsia="TimesNewRomanPSMT" w:hAnsi="Times New Roman"/>
          <w:sz w:val="28"/>
          <w:szCs w:val="28"/>
        </w:rPr>
        <w:lastRenderedPageBreak/>
        <w:t>А. Д. Шаталов, С. А. Шаталов</w:t>
      </w:r>
      <w:r w:rsidRPr="003307F1">
        <w:rPr>
          <w:rFonts w:ascii="Times New Roman" w:hAnsi="Times New Roman"/>
          <w:bCs/>
          <w:iCs/>
          <w:sz w:val="28"/>
          <w:szCs w:val="28"/>
        </w:rPr>
        <w:t xml:space="preserve"> [ и др. ]</w:t>
      </w:r>
      <w:r w:rsidRPr="003307F1">
        <w:rPr>
          <w:rFonts w:ascii="Times New Roman" w:eastAsia="TimesNewRomanPSMT" w:hAnsi="Times New Roman"/>
          <w:sz w:val="28"/>
          <w:szCs w:val="28"/>
        </w:rPr>
        <w:t xml:space="preserve">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127-</w:t>
      </w:r>
      <w:r w:rsidRPr="003307F1">
        <w:rPr>
          <w:rFonts w:ascii="Times New Roman" w:hAnsi="Times New Roman"/>
          <w:sz w:val="28"/>
          <w:szCs w:val="28"/>
        </w:rPr>
        <w:t>128.</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Крылова Е. А. Возможности инструментальных методов диагностики осложненных форм панкреатита / Е. А. Крылова,</w:t>
      </w:r>
      <w:r w:rsidRPr="003307F1">
        <w:rPr>
          <w:rFonts w:ascii="Times New Roman" w:eastAsia="TimesNewRoman" w:hAnsi="Times New Roman"/>
          <w:sz w:val="28"/>
          <w:szCs w:val="28"/>
        </w:rPr>
        <w:t xml:space="preserve"> </w:t>
      </w:r>
      <w:r w:rsidRPr="003307F1">
        <w:rPr>
          <w:rFonts w:ascii="Times New Roman" w:hAnsi="Times New Roman"/>
          <w:sz w:val="28"/>
          <w:szCs w:val="28"/>
        </w:rPr>
        <w:t>Н. В. Гравировская // Український журнал малоінвазивної та</w:t>
      </w:r>
      <w:r w:rsidRPr="003307F1">
        <w:rPr>
          <w:rFonts w:ascii="Times New Roman" w:eastAsia="TimesNewRoman" w:hAnsi="Times New Roman"/>
          <w:sz w:val="28"/>
          <w:szCs w:val="28"/>
        </w:rPr>
        <w:t xml:space="preserve"> </w:t>
      </w:r>
      <w:r w:rsidRPr="003307F1">
        <w:rPr>
          <w:rFonts w:ascii="Times New Roman" w:hAnsi="Times New Roman"/>
          <w:sz w:val="28"/>
          <w:szCs w:val="28"/>
        </w:rPr>
        <w:t>ендоскопічної хір</w:t>
      </w:r>
      <w:r>
        <w:rPr>
          <w:rFonts w:ascii="Times New Roman" w:hAnsi="Times New Roman"/>
          <w:sz w:val="28"/>
          <w:szCs w:val="28"/>
        </w:rPr>
        <w:t>ургії. – 2012. – № 1. – С. 19-</w:t>
      </w:r>
      <w:r w:rsidRPr="003307F1">
        <w:rPr>
          <w:rFonts w:ascii="Times New Roman" w:hAnsi="Times New Roman"/>
          <w:sz w:val="28"/>
          <w:szCs w:val="28"/>
        </w:rPr>
        <w:t>24.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Кукош М. В. </w:t>
      </w:r>
      <w:r w:rsidRPr="003307F1">
        <w:rPr>
          <w:rFonts w:ascii="Times New Roman" w:eastAsia="TimesNewRomanPS-BoldMT" w:hAnsi="Times New Roman"/>
          <w:bCs/>
          <w:sz w:val="28"/>
          <w:szCs w:val="28"/>
        </w:rPr>
        <w:t xml:space="preserve">Лечение кист поджелудочной железы / </w:t>
      </w:r>
      <w:r w:rsidRPr="003307F1">
        <w:rPr>
          <w:rFonts w:ascii="Times New Roman" w:eastAsia="TimesNewRomanPSMT" w:hAnsi="Times New Roman"/>
          <w:sz w:val="28"/>
          <w:szCs w:val="28"/>
        </w:rPr>
        <w:t xml:space="preserve">М. В. Кукош, </w:t>
      </w:r>
      <w:r>
        <w:rPr>
          <w:rFonts w:ascii="Times New Roman" w:eastAsia="TimesNewRomanPSMT" w:hAnsi="Times New Roman"/>
          <w:sz w:val="28"/>
          <w:szCs w:val="28"/>
        </w:rPr>
        <w:t xml:space="preserve">                     </w:t>
      </w:r>
      <w:r w:rsidRPr="003307F1">
        <w:rPr>
          <w:rFonts w:ascii="Times New Roman" w:eastAsia="TimesNewRomanPSMT" w:hAnsi="Times New Roman"/>
          <w:sz w:val="28"/>
          <w:szCs w:val="28"/>
        </w:rPr>
        <w:t>В. И. Спиридонов, О. В. Вопилова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61-</w:t>
      </w:r>
      <w:r w:rsidRPr="003307F1">
        <w:rPr>
          <w:rFonts w:ascii="Times New Roman" w:hAnsi="Times New Roman"/>
          <w:sz w:val="28"/>
          <w:szCs w:val="28"/>
        </w:rPr>
        <w:t>63.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Кулинский В.И. Структура, свойства, биологическая роль и регуляция глутатионпероксидазы / В.И. Кулинский, Л.С. Колесниченко // Успехи совр. биол. – 1993. – Т.113, Вып.1. –</w:t>
      </w:r>
      <w:r>
        <w:rPr>
          <w:rFonts w:ascii="Times New Roman" w:hAnsi="Times New Roman"/>
          <w:sz w:val="28"/>
          <w:szCs w:val="28"/>
        </w:rPr>
        <w:t xml:space="preserve"> С.107-</w:t>
      </w:r>
      <w:r w:rsidRPr="003307F1">
        <w:rPr>
          <w:rFonts w:ascii="Times New Roman" w:hAnsi="Times New Roman"/>
          <w:sz w:val="28"/>
          <w:szCs w:val="28"/>
        </w:rPr>
        <w:t>122.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Куприн А. А. Возможности эндоскопического лечения больных с псевдокистозными образованиями поджелудочной железы / А. А. Куприн, </w:t>
      </w:r>
      <w:r>
        <w:rPr>
          <w:rFonts w:ascii="Times New Roman" w:eastAsia="TimesNewRoman" w:hAnsi="Times New Roman"/>
          <w:sz w:val="28"/>
          <w:szCs w:val="28"/>
        </w:rPr>
        <w:t xml:space="preserve">                   </w:t>
      </w:r>
      <w:r w:rsidRPr="003307F1">
        <w:rPr>
          <w:rFonts w:ascii="Times New Roman" w:eastAsia="TimesNewRoman" w:hAnsi="Times New Roman"/>
          <w:sz w:val="28"/>
          <w:szCs w:val="28"/>
        </w:rPr>
        <w:t xml:space="preserve">В. В. Новоселова, И. И. Яроцков // Материалы конференции молодых ученых «Виноградовские чтения», Москва, РУДН. – 2011. – С </w:t>
      </w:r>
      <w:r>
        <w:rPr>
          <w:rFonts w:ascii="Times New Roman" w:eastAsia="TimesNewRoman" w:hAnsi="Times New Roman"/>
          <w:sz w:val="28"/>
          <w:szCs w:val="28"/>
        </w:rPr>
        <w:t>23-</w:t>
      </w:r>
      <w:r w:rsidRPr="003307F1">
        <w:rPr>
          <w:rFonts w:ascii="Times New Roman" w:eastAsia="TimesNewRoman" w:hAnsi="Times New Roman"/>
          <w:sz w:val="28"/>
          <w:szCs w:val="28"/>
        </w:rPr>
        <w:t>24.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Лабораторное дело / В. Г. Сидоркин, И. А. Чулошникова, Л. И. Андреева [ и др. ] </w:t>
      </w:r>
      <w:r w:rsidRPr="003307F1">
        <w:rPr>
          <w:rFonts w:ascii="Times New Roman" w:hAnsi="Times New Roman"/>
          <w:sz w:val="28"/>
          <w:szCs w:val="28"/>
        </w:rPr>
        <w:t>– М, 1988. – с. 41.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Лапароскопическая дистальная резекция поджелудочной железы / </w:t>
      </w:r>
      <w:r>
        <w:rPr>
          <w:rFonts w:ascii="Times New Roman" w:hAnsi="Times New Roman"/>
          <w:sz w:val="28"/>
          <w:szCs w:val="28"/>
        </w:rPr>
        <w:t xml:space="preserve">                </w:t>
      </w:r>
      <w:r w:rsidRPr="003307F1">
        <w:rPr>
          <w:rFonts w:ascii="Times New Roman" w:hAnsi="Times New Roman"/>
          <w:sz w:val="28"/>
          <w:szCs w:val="28"/>
        </w:rPr>
        <w:t>А. В. Скумс, В. П. Шкарбан, А. И. Литвин, А. А. Скумс // Клінічна хіру</w:t>
      </w:r>
      <w:r>
        <w:rPr>
          <w:rFonts w:ascii="Times New Roman" w:hAnsi="Times New Roman"/>
          <w:sz w:val="28"/>
          <w:szCs w:val="28"/>
        </w:rPr>
        <w:t>ргія. – 2012. – № 3. – С. 58-</w:t>
      </w:r>
      <w:r w:rsidRPr="003307F1">
        <w:rPr>
          <w:rFonts w:ascii="Times New Roman" w:hAnsi="Times New Roman"/>
          <w:sz w:val="28"/>
          <w:szCs w:val="28"/>
        </w:rPr>
        <w:t>62.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PS-BoldMT" w:hAnsi="Times New Roman"/>
          <w:bCs/>
          <w:sz w:val="28"/>
          <w:szCs w:val="28"/>
        </w:rPr>
        <w:t xml:space="preserve">Лечение свищей поджелудочной железы / </w:t>
      </w:r>
      <w:r w:rsidRPr="003307F1">
        <w:rPr>
          <w:rFonts w:ascii="Times New Roman" w:eastAsia="TimesNewRomanPSMT" w:hAnsi="Times New Roman"/>
          <w:sz w:val="28"/>
          <w:szCs w:val="28"/>
        </w:rPr>
        <w:t xml:space="preserve">И. А. Мирходжаев, </w:t>
      </w:r>
      <w:r>
        <w:rPr>
          <w:rFonts w:ascii="Times New Roman" w:eastAsia="TimesNewRomanPSMT" w:hAnsi="Times New Roman"/>
          <w:sz w:val="28"/>
          <w:szCs w:val="28"/>
        </w:rPr>
        <w:t xml:space="preserve">                           </w:t>
      </w:r>
      <w:r w:rsidRPr="003307F1">
        <w:rPr>
          <w:rFonts w:ascii="Times New Roman" w:eastAsia="TimesNewRomanPSMT" w:hAnsi="Times New Roman"/>
          <w:sz w:val="28"/>
          <w:szCs w:val="28"/>
        </w:rPr>
        <w:t>Ж. С. Хикматов, И. И. Мирходжаев [ и др. ]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sidRPr="003307F1">
        <w:rPr>
          <w:rFonts w:ascii="Times New Roman" w:hAnsi="Times New Roman"/>
          <w:sz w:val="28"/>
          <w:szCs w:val="28"/>
        </w:rPr>
        <w:t>– Ижевск, 2012. –</w:t>
      </w:r>
      <w:r>
        <w:rPr>
          <w:rFonts w:ascii="Times New Roman" w:hAnsi="Times New Roman"/>
          <w:sz w:val="28"/>
          <w:szCs w:val="28"/>
        </w:rPr>
        <w:t xml:space="preserve"> С. 66-</w:t>
      </w:r>
      <w:r w:rsidRPr="003307F1">
        <w:rPr>
          <w:rFonts w:ascii="Times New Roman" w:hAnsi="Times New Roman"/>
          <w:sz w:val="28"/>
          <w:szCs w:val="28"/>
        </w:rPr>
        <w:t>68.</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Лечение острого постманипуляционного панкреатита / В. В. </w:t>
      </w:r>
      <w:r w:rsidRPr="003307F1">
        <w:rPr>
          <w:rFonts w:ascii="Times New Roman" w:hAnsi="Times New Roman"/>
          <w:bCs/>
          <w:sz w:val="28"/>
          <w:szCs w:val="28"/>
        </w:rPr>
        <w:t>Бойко,</w:t>
      </w:r>
      <w:r>
        <w:rPr>
          <w:rFonts w:ascii="Times New Roman" w:hAnsi="Times New Roman"/>
          <w:bCs/>
          <w:sz w:val="28"/>
          <w:szCs w:val="28"/>
        </w:rPr>
        <w:t xml:space="preserve">            </w:t>
      </w:r>
      <w:r w:rsidRPr="003307F1">
        <w:rPr>
          <w:rFonts w:ascii="Times New Roman" w:hAnsi="Times New Roman"/>
          <w:bCs/>
          <w:sz w:val="28"/>
          <w:szCs w:val="28"/>
        </w:rPr>
        <w:t xml:space="preserve"> А. М. Тищенко, Е. В. Мушенко [ и др. ] // </w:t>
      </w:r>
      <w:r w:rsidRPr="003307F1">
        <w:rPr>
          <w:rFonts w:ascii="Times New Roman" w:hAnsi="Times New Roman"/>
          <w:sz w:val="28"/>
          <w:szCs w:val="28"/>
        </w:rPr>
        <w:t>Клінічна хір</w:t>
      </w:r>
      <w:r>
        <w:rPr>
          <w:rFonts w:ascii="Times New Roman" w:hAnsi="Times New Roman"/>
          <w:sz w:val="28"/>
          <w:szCs w:val="28"/>
        </w:rPr>
        <w:t>ургія. – 2014. – № 9.2.– С. 5-</w:t>
      </w:r>
      <w:r w:rsidRPr="003307F1">
        <w:rPr>
          <w:rFonts w:ascii="Times New Roman" w:hAnsi="Times New Roman"/>
          <w:sz w:val="28"/>
          <w:szCs w:val="28"/>
        </w:rPr>
        <w:t>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Лечение посттравматического панкреатита у больных повреждением поджелудочной железы на фоне сочетанной абдоминальной травмы / </w:t>
      </w:r>
      <w:r>
        <w:rPr>
          <w:rFonts w:ascii="Times New Roman" w:hAnsi="Times New Roman"/>
          <w:sz w:val="28"/>
          <w:szCs w:val="28"/>
        </w:rPr>
        <w:t xml:space="preserve">                              </w:t>
      </w:r>
      <w:r w:rsidRPr="003307F1">
        <w:rPr>
          <w:rFonts w:ascii="Times New Roman" w:hAnsi="Times New Roman"/>
          <w:sz w:val="28"/>
          <w:szCs w:val="28"/>
        </w:rPr>
        <w:t xml:space="preserve">В. И. </w:t>
      </w:r>
      <w:r w:rsidRPr="003307F1">
        <w:rPr>
          <w:rFonts w:ascii="Times New Roman" w:hAnsi="Times New Roman"/>
          <w:bCs/>
          <w:sz w:val="28"/>
          <w:szCs w:val="28"/>
        </w:rPr>
        <w:t xml:space="preserve">Десятерик, С. П. Михно, Н. Б. Богатырев, А. А. Дедов // Клінічна хірургія. </w:t>
      </w:r>
      <w:r w:rsidRPr="003307F1">
        <w:rPr>
          <w:rFonts w:ascii="Times New Roman" w:hAnsi="Times New Roman"/>
          <w:sz w:val="28"/>
          <w:szCs w:val="28"/>
        </w:rPr>
        <w:t>–</w:t>
      </w:r>
      <w:r w:rsidRPr="003307F1">
        <w:rPr>
          <w:rFonts w:ascii="Times New Roman" w:hAnsi="Times New Roman"/>
          <w:bCs/>
          <w:sz w:val="28"/>
          <w:szCs w:val="28"/>
        </w:rPr>
        <w:t xml:space="preserve"> 2014. </w:t>
      </w:r>
      <w:r w:rsidRPr="003307F1">
        <w:rPr>
          <w:rFonts w:ascii="Times New Roman" w:hAnsi="Times New Roman"/>
          <w:sz w:val="28"/>
          <w:szCs w:val="28"/>
        </w:rPr>
        <w:t>–</w:t>
      </w:r>
      <w:r w:rsidRPr="003307F1">
        <w:rPr>
          <w:rFonts w:ascii="Times New Roman" w:hAnsi="Times New Roman"/>
          <w:bCs/>
          <w:sz w:val="28"/>
          <w:szCs w:val="28"/>
        </w:rPr>
        <w:t xml:space="preserve"> № 9.2. </w:t>
      </w:r>
      <w:r w:rsidRPr="003307F1">
        <w:rPr>
          <w:rFonts w:ascii="Times New Roman" w:hAnsi="Times New Roman"/>
          <w:sz w:val="28"/>
          <w:szCs w:val="28"/>
        </w:rPr>
        <w:t xml:space="preserve">– </w:t>
      </w:r>
      <w:r>
        <w:rPr>
          <w:rFonts w:ascii="Times New Roman" w:hAnsi="Times New Roman"/>
          <w:bCs/>
          <w:sz w:val="28"/>
          <w:szCs w:val="28"/>
        </w:rPr>
        <w:t>С. 14-</w:t>
      </w:r>
      <w:r w:rsidRPr="003307F1">
        <w:rPr>
          <w:rFonts w:ascii="Times New Roman" w:hAnsi="Times New Roman"/>
          <w:bCs/>
          <w:sz w:val="28"/>
          <w:szCs w:val="28"/>
        </w:rPr>
        <w:t>16.</w:t>
      </w:r>
    </w:p>
    <w:p w:rsidR="00C62D22" w:rsidRPr="00352049"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lastRenderedPageBreak/>
        <w:t xml:space="preserve">Лігоненко О. В. </w:t>
      </w:r>
      <w:r w:rsidRPr="003307F1">
        <w:rPr>
          <w:rFonts w:ascii="Times New Roman" w:hAnsi="Times New Roman"/>
          <w:bCs/>
          <w:sz w:val="28"/>
          <w:szCs w:val="28"/>
        </w:rPr>
        <w:t xml:space="preserve">Обмін кальцію і стан перекисного окиснення ліпідів при гострому панкреатиті / </w:t>
      </w:r>
      <w:r w:rsidRPr="003307F1">
        <w:rPr>
          <w:rFonts w:ascii="Times New Roman" w:hAnsi="Times New Roman"/>
          <w:bCs/>
          <w:iCs/>
          <w:sz w:val="28"/>
          <w:szCs w:val="28"/>
        </w:rPr>
        <w:t xml:space="preserve">О. В. Лігоненко, І. І. Дігтяр // </w:t>
      </w:r>
      <w:r w:rsidRPr="003307F1">
        <w:rPr>
          <w:rFonts w:ascii="Times New Roman" w:hAnsi="Times New Roman"/>
          <w:sz w:val="28"/>
          <w:szCs w:val="28"/>
        </w:rPr>
        <w:t>Клінічна хірургі</w:t>
      </w:r>
      <w:r>
        <w:rPr>
          <w:rFonts w:ascii="Times New Roman" w:hAnsi="Times New Roman"/>
          <w:sz w:val="28"/>
          <w:szCs w:val="28"/>
        </w:rPr>
        <w:t>я. – 2009. – № 7 – 8. – С. 86-</w:t>
      </w:r>
      <w:r w:rsidRPr="003307F1">
        <w:rPr>
          <w:rFonts w:ascii="Times New Roman" w:hAnsi="Times New Roman"/>
          <w:sz w:val="28"/>
          <w:szCs w:val="28"/>
        </w:rPr>
        <w:t>88.</w:t>
      </w:r>
      <w:bookmarkStart w:id="0" w:name="_Ref268967532"/>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Лікування псевдокіст підшлункової залози з компресією суміжних органів / Н.М. Гончарова, А.Г. Дроздова, Н.А. Гладун, К.О. Кожем'яка // Мат. ХІХ Міжнародного медичного конгресу студентів та молодих вчених. – Тернопіль, 2015. – С. 87.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pacing w:val="-2"/>
          <w:sz w:val="28"/>
          <w:szCs w:val="28"/>
        </w:rPr>
        <w:t xml:space="preserve">Лилли Р. Патогистологическая техника и практическая гистохимия / </w:t>
      </w:r>
      <w:r>
        <w:rPr>
          <w:rFonts w:ascii="Times New Roman" w:hAnsi="Times New Roman"/>
          <w:spacing w:val="-2"/>
          <w:sz w:val="28"/>
          <w:szCs w:val="28"/>
        </w:rPr>
        <w:t xml:space="preserve">             </w:t>
      </w:r>
      <w:r w:rsidRPr="003307F1">
        <w:rPr>
          <w:rFonts w:ascii="Times New Roman" w:hAnsi="Times New Roman"/>
          <w:spacing w:val="-2"/>
          <w:sz w:val="28"/>
          <w:szCs w:val="28"/>
        </w:rPr>
        <w:t>Р. Лилли.</w:t>
      </w:r>
      <w:r w:rsidRPr="003307F1">
        <w:rPr>
          <w:rFonts w:ascii="Times New Roman" w:hAnsi="Times New Roman"/>
          <w:sz w:val="28"/>
          <w:szCs w:val="28"/>
        </w:rPr>
        <w:t xml:space="preserve"> – М.: Мир, 1960. – 648 с.</w:t>
      </w:r>
      <w:bookmarkEnd w:id="0"/>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Логаніхіна К. Ю. </w:t>
      </w:r>
      <w:r w:rsidRPr="003307F1">
        <w:rPr>
          <w:rFonts w:ascii="Times New Roman" w:hAnsi="Times New Roman"/>
          <w:sz w:val="28"/>
          <w:szCs w:val="28"/>
        </w:rPr>
        <w:t xml:space="preserve">Роль мультидетекторної комп'ютерної томографії у діагностиці гострого панкреатиту/ К. Ю. </w:t>
      </w:r>
      <w:r w:rsidRPr="003307F1">
        <w:rPr>
          <w:rFonts w:ascii="Times New Roman" w:hAnsi="Times New Roman"/>
          <w:bCs/>
          <w:sz w:val="28"/>
          <w:szCs w:val="28"/>
        </w:rPr>
        <w:t xml:space="preserve">Логаніхіна, К. П. Гордієнко, </w:t>
      </w:r>
      <w:r>
        <w:rPr>
          <w:rFonts w:ascii="Times New Roman" w:hAnsi="Times New Roman"/>
          <w:bCs/>
          <w:sz w:val="28"/>
          <w:szCs w:val="28"/>
        </w:rPr>
        <w:t xml:space="preserve">                                </w:t>
      </w:r>
      <w:r w:rsidRPr="003307F1">
        <w:rPr>
          <w:rFonts w:ascii="Times New Roman" w:hAnsi="Times New Roman"/>
          <w:bCs/>
          <w:sz w:val="28"/>
          <w:szCs w:val="28"/>
        </w:rPr>
        <w:t xml:space="preserve">Т. М. Козаренко // </w:t>
      </w:r>
      <w:r w:rsidRPr="003307F1">
        <w:rPr>
          <w:rFonts w:ascii="Times New Roman" w:hAnsi="Times New Roman"/>
          <w:sz w:val="28"/>
          <w:szCs w:val="28"/>
        </w:rPr>
        <w:t>Клінічна хіру</w:t>
      </w:r>
      <w:r>
        <w:rPr>
          <w:rFonts w:ascii="Times New Roman" w:hAnsi="Times New Roman"/>
          <w:sz w:val="28"/>
          <w:szCs w:val="28"/>
        </w:rPr>
        <w:t>ргія. – 2014. – № 10. – С. 13-</w:t>
      </w:r>
      <w:r w:rsidRPr="003307F1">
        <w:rPr>
          <w:rFonts w:ascii="Times New Roman" w:hAnsi="Times New Roman"/>
          <w:sz w:val="28"/>
          <w:szCs w:val="28"/>
        </w:rPr>
        <w:t>15.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PS-BoldMT" w:hAnsi="Times New Roman"/>
          <w:bCs/>
          <w:sz w:val="28"/>
          <w:szCs w:val="28"/>
        </w:rPr>
        <w:t xml:space="preserve">Лучевая дифференциальная диагностика внутрипротоковой папиллярной муцинозной опухоли поджелудочной железы и хронического панкреатита / </w:t>
      </w:r>
      <w:r>
        <w:rPr>
          <w:rFonts w:ascii="Times New Roman" w:eastAsia="TimesNewRomanPS-BoldMT" w:hAnsi="Times New Roman"/>
          <w:bCs/>
          <w:sz w:val="28"/>
          <w:szCs w:val="28"/>
        </w:rPr>
        <w:t xml:space="preserve">                   </w:t>
      </w:r>
      <w:r w:rsidRPr="003307F1">
        <w:rPr>
          <w:rFonts w:ascii="Times New Roman" w:eastAsia="TimesNewRomanPSMT" w:hAnsi="Times New Roman"/>
          <w:sz w:val="28"/>
          <w:szCs w:val="28"/>
        </w:rPr>
        <w:t>И.А. Гришанкова, В.А. Вишневский, Г.Г. Кармазановский [ и др. ]</w:t>
      </w:r>
      <w:r w:rsidRPr="003307F1">
        <w:rPr>
          <w:rFonts w:ascii="Times New Roman" w:eastAsia="TimesNewRomanPS-BoldMT" w:hAnsi="Times New Roman"/>
          <w:bCs/>
          <w:sz w:val="28"/>
          <w:szCs w:val="28"/>
        </w:rPr>
        <w:t xml:space="preserve"> /</w:t>
      </w:r>
      <w:r w:rsidRPr="003307F1">
        <w:rPr>
          <w:rFonts w:ascii="Times New Roman" w:eastAsia="TimesNewRomanPSMT" w:hAnsi="Times New Roman"/>
          <w:sz w:val="28"/>
          <w:szCs w:val="28"/>
        </w:rPr>
        <w:t xml:space="preserve">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sidRPr="003307F1">
        <w:rPr>
          <w:rFonts w:ascii="Times New Roman" w:hAnsi="Times New Roman"/>
          <w:sz w:val="28"/>
          <w:szCs w:val="28"/>
        </w:rPr>
        <w:t>– Ижевск, 2</w:t>
      </w:r>
      <w:r>
        <w:rPr>
          <w:rFonts w:ascii="Times New Roman" w:hAnsi="Times New Roman"/>
          <w:sz w:val="28"/>
          <w:szCs w:val="28"/>
        </w:rPr>
        <w:t>012. – С. 15-</w:t>
      </w:r>
      <w:r w:rsidRPr="003307F1">
        <w:rPr>
          <w:rFonts w:ascii="Times New Roman" w:hAnsi="Times New Roman"/>
          <w:sz w:val="28"/>
          <w:szCs w:val="28"/>
        </w:rPr>
        <w:t>17.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Маев И. В. Болезни поджелудочной железы / И. В. Маев, Ю. А. Кучерявый // Практическое руководство. – М.: Гэотар- Медгиз, 2009. – 736 с.</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Маев И. В. Применение трехмерной ультразвуковой визуализации в дифференциальной диагностике поражений головки поджелудочной железы / </w:t>
      </w:r>
      <w:r>
        <w:rPr>
          <w:rFonts w:ascii="Times New Roman" w:hAnsi="Times New Roman"/>
          <w:sz w:val="28"/>
          <w:szCs w:val="28"/>
        </w:rPr>
        <w:t xml:space="preserve">             </w:t>
      </w:r>
      <w:r w:rsidRPr="003307F1">
        <w:rPr>
          <w:rFonts w:ascii="Times New Roman" w:hAnsi="Times New Roman"/>
          <w:sz w:val="28"/>
          <w:szCs w:val="28"/>
        </w:rPr>
        <w:t>И. В. Маев, А. А. Рязанцев, Е. С. Въючнова // Клиническая медицина. – М. – 2009</w:t>
      </w:r>
      <w:r>
        <w:rPr>
          <w:rFonts w:ascii="Times New Roman" w:hAnsi="Times New Roman"/>
          <w:sz w:val="28"/>
          <w:szCs w:val="28"/>
        </w:rPr>
        <w:t>. – №87 (10). – С.67-</w:t>
      </w:r>
      <w:r w:rsidRPr="003307F1">
        <w:rPr>
          <w:rFonts w:ascii="Times New Roman" w:hAnsi="Times New Roman"/>
          <w:sz w:val="28"/>
          <w:szCs w:val="28"/>
        </w:rPr>
        <w:t>72.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Малоінвазивні технології при постнекротичних кістах підшлункової залози / </w:t>
      </w:r>
      <w:r w:rsidRPr="003307F1">
        <w:rPr>
          <w:rFonts w:ascii="Times New Roman" w:eastAsia="TimesNewRoman,Italic" w:hAnsi="Times New Roman"/>
          <w:iCs/>
          <w:sz w:val="28"/>
          <w:szCs w:val="28"/>
        </w:rPr>
        <w:t xml:space="preserve">І. В. Андреєва, М. С. Єфімов, Е. В. Сумішевський </w:t>
      </w:r>
      <w:r w:rsidRPr="003307F1">
        <w:rPr>
          <w:rFonts w:ascii="Times New Roman" w:hAnsi="Times New Roman"/>
          <w:sz w:val="28"/>
          <w:szCs w:val="28"/>
        </w:rPr>
        <w:t xml:space="preserve">[та ін.] </w:t>
      </w:r>
      <w:r w:rsidRPr="003307F1">
        <w:rPr>
          <w:rFonts w:ascii="Times New Roman" w:eastAsia="TimesNewRoman" w:hAnsi="Times New Roman"/>
          <w:sz w:val="28"/>
          <w:szCs w:val="28"/>
        </w:rPr>
        <w:t xml:space="preserve">// Шпитальна </w:t>
      </w:r>
      <w:r w:rsidRPr="003307F1">
        <w:rPr>
          <w:rFonts w:ascii="Times New Roman" w:eastAsia="Arial,Italic" w:hAnsi="Times New Roman"/>
          <w:iCs/>
          <w:sz w:val="28"/>
          <w:szCs w:val="28"/>
        </w:rPr>
        <w:t>хірургія. – 2009. – № 3 –</w:t>
      </w:r>
      <w:r>
        <w:rPr>
          <w:rFonts w:ascii="Times New Roman" w:eastAsia="TimesNewRoman" w:hAnsi="Times New Roman"/>
          <w:sz w:val="28"/>
          <w:szCs w:val="28"/>
        </w:rPr>
        <w:t xml:space="preserve"> С.19-</w:t>
      </w:r>
      <w:r w:rsidRPr="003307F1">
        <w:rPr>
          <w:rFonts w:ascii="Times New Roman" w:eastAsia="TimesNewRoman" w:hAnsi="Times New Roman"/>
          <w:sz w:val="28"/>
          <w:szCs w:val="28"/>
        </w:rPr>
        <w:t>21.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Мало</w:t>
      </w:r>
      <w:r w:rsidRPr="003307F1">
        <w:rPr>
          <w:rFonts w:ascii="Times New Roman" w:hAnsi="Times New Roman"/>
          <w:sz w:val="28"/>
          <w:szCs w:val="28"/>
          <w:lang w:val="en-US"/>
        </w:rPr>
        <w:t>i</w:t>
      </w:r>
      <w:r w:rsidRPr="003307F1">
        <w:rPr>
          <w:rFonts w:ascii="Times New Roman" w:hAnsi="Times New Roman"/>
          <w:sz w:val="28"/>
          <w:szCs w:val="28"/>
        </w:rPr>
        <w:t>нвазивн</w:t>
      </w:r>
      <w:r w:rsidRPr="003307F1">
        <w:rPr>
          <w:rFonts w:ascii="Times New Roman" w:hAnsi="Times New Roman"/>
          <w:sz w:val="28"/>
          <w:szCs w:val="28"/>
          <w:lang w:val="en-US"/>
        </w:rPr>
        <w:t>i</w:t>
      </w:r>
      <w:r w:rsidRPr="003307F1">
        <w:rPr>
          <w:rFonts w:ascii="Times New Roman" w:hAnsi="Times New Roman"/>
          <w:sz w:val="28"/>
          <w:szCs w:val="28"/>
        </w:rPr>
        <w:t xml:space="preserve"> технолог</w:t>
      </w:r>
      <w:r w:rsidRPr="003307F1">
        <w:rPr>
          <w:rFonts w:ascii="Times New Roman" w:hAnsi="Times New Roman"/>
          <w:sz w:val="28"/>
          <w:szCs w:val="28"/>
          <w:lang w:val="en-US"/>
        </w:rPr>
        <w:t>ii</w:t>
      </w:r>
      <w:r w:rsidRPr="003307F1">
        <w:rPr>
          <w:rFonts w:ascii="Times New Roman" w:hAnsi="Times New Roman"/>
          <w:sz w:val="28"/>
          <w:szCs w:val="28"/>
        </w:rPr>
        <w:t xml:space="preserve"> в л</w:t>
      </w:r>
      <w:r w:rsidRPr="003307F1">
        <w:rPr>
          <w:rFonts w:ascii="Times New Roman" w:hAnsi="Times New Roman"/>
          <w:sz w:val="28"/>
          <w:szCs w:val="28"/>
          <w:lang w:val="en-US"/>
        </w:rPr>
        <w:t>i</w:t>
      </w:r>
      <w:r w:rsidRPr="003307F1">
        <w:rPr>
          <w:rFonts w:ascii="Times New Roman" w:hAnsi="Times New Roman"/>
          <w:sz w:val="28"/>
          <w:szCs w:val="28"/>
        </w:rPr>
        <w:t>куванн</w:t>
      </w:r>
      <w:r w:rsidRPr="003307F1">
        <w:rPr>
          <w:rFonts w:ascii="Times New Roman" w:hAnsi="Times New Roman"/>
          <w:sz w:val="28"/>
          <w:szCs w:val="28"/>
          <w:lang w:val="en-US"/>
        </w:rPr>
        <w:t>i</w:t>
      </w:r>
      <w:r w:rsidRPr="003307F1">
        <w:rPr>
          <w:rFonts w:ascii="Times New Roman" w:hAnsi="Times New Roman"/>
          <w:sz w:val="28"/>
          <w:szCs w:val="28"/>
        </w:rPr>
        <w:t xml:space="preserve"> хворих на гострий некротичний б</w:t>
      </w:r>
      <w:r w:rsidRPr="003307F1">
        <w:rPr>
          <w:rFonts w:ascii="Times New Roman" w:hAnsi="Times New Roman"/>
          <w:sz w:val="28"/>
          <w:szCs w:val="28"/>
          <w:lang w:val="en-US"/>
        </w:rPr>
        <w:t>i</w:t>
      </w:r>
      <w:r w:rsidRPr="003307F1">
        <w:rPr>
          <w:rFonts w:ascii="Times New Roman" w:hAnsi="Times New Roman"/>
          <w:sz w:val="28"/>
          <w:szCs w:val="28"/>
        </w:rPr>
        <w:t>л</w:t>
      </w:r>
      <w:r w:rsidRPr="003307F1">
        <w:rPr>
          <w:rFonts w:ascii="Times New Roman" w:hAnsi="Times New Roman"/>
          <w:sz w:val="28"/>
          <w:szCs w:val="28"/>
          <w:lang w:val="en-US"/>
        </w:rPr>
        <w:t>i</w:t>
      </w:r>
      <w:r w:rsidRPr="003307F1">
        <w:rPr>
          <w:rFonts w:ascii="Times New Roman" w:hAnsi="Times New Roman"/>
          <w:sz w:val="28"/>
          <w:szCs w:val="28"/>
        </w:rPr>
        <w:t>арний панкреатит / Я.І. Коломійцев, Ф. П. Гавриш, Т. І. Інденко [та ін.] // Український журнал хірургії. – 2</w:t>
      </w:r>
      <w:r>
        <w:rPr>
          <w:rFonts w:ascii="Times New Roman" w:hAnsi="Times New Roman"/>
          <w:sz w:val="28"/>
          <w:szCs w:val="28"/>
        </w:rPr>
        <w:t>009. – № 5. – С. 137-</w:t>
      </w:r>
      <w:r w:rsidRPr="003307F1">
        <w:rPr>
          <w:rFonts w:ascii="Times New Roman" w:hAnsi="Times New Roman"/>
          <w:sz w:val="28"/>
          <w:szCs w:val="28"/>
        </w:rPr>
        <w:t>141.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PS-BoldMT" w:hAnsi="Times New Roman"/>
          <w:bCs/>
          <w:sz w:val="28"/>
          <w:szCs w:val="28"/>
        </w:rPr>
        <w:lastRenderedPageBreak/>
        <w:t xml:space="preserve">Малоинвазивные вмешательства в лечении больных с постнекротическими кистами поджелудочной железы / </w:t>
      </w:r>
      <w:r w:rsidRPr="003307F1">
        <w:rPr>
          <w:rFonts w:ascii="Times New Roman" w:eastAsia="TimesNewRomanPSMT" w:hAnsi="Times New Roman"/>
          <w:sz w:val="28"/>
          <w:szCs w:val="28"/>
        </w:rPr>
        <w:t xml:space="preserve">Д. М. Красильников, М. А. Бородин, </w:t>
      </w:r>
      <w:r>
        <w:rPr>
          <w:rFonts w:ascii="Times New Roman" w:eastAsia="TimesNewRomanPSMT" w:hAnsi="Times New Roman"/>
          <w:sz w:val="28"/>
          <w:szCs w:val="28"/>
        </w:rPr>
        <w:t xml:space="preserve">                      </w:t>
      </w:r>
      <w:r w:rsidRPr="003307F1">
        <w:rPr>
          <w:rFonts w:ascii="Times New Roman" w:eastAsia="TimesNewRomanPSMT" w:hAnsi="Times New Roman"/>
          <w:sz w:val="28"/>
          <w:szCs w:val="28"/>
        </w:rPr>
        <w:t>А. А. Абдульянов [ и др.]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55-</w:t>
      </w:r>
      <w:r w:rsidRPr="003307F1">
        <w:rPr>
          <w:rFonts w:ascii="Times New Roman" w:hAnsi="Times New Roman"/>
          <w:sz w:val="28"/>
          <w:szCs w:val="28"/>
        </w:rPr>
        <w:t>57.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t>Малоинвазивное хирургическое лечение</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хронического панкреатита с псевдокистой поджелудочной железы / </w:t>
      </w:r>
      <w:r w:rsidRPr="003307F1">
        <w:rPr>
          <w:rFonts w:ascii="Times New Roman" w:eastAsia="TimesNewRomanPSMT" w:hAnsi="Times New Roman"/>
          <w:sz w:val="28"/>
          <w:szCs w:val="28"/>
        </w:rPr>
        <w:t>Я. Г. Колкин, В. В. Хацко, С. В. Межаков [ и др.]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46-</w:t>
      </w:r>
      <w:r w:rsidRPr="003307F1">
        <w:rPr>
          <w:rFonts w:ascii="Times New Roman" w:hAnsi="Times New Roman"/>
          <w:sz w:val="28"/>
          <w:szCs w:val="28"/>
        </w:rPr>
        <w:t>48.</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PSMT" w:hAnsi="Times New Roman"/>
          <w:sz w:val="28"/>
          <w:szCs w:val="28"/>
        </w:rPr>
        <w:t>Матриксные металлопротеиназы, их роль в физиологических и патологических процессах (обзор) / Л. Н. Рогова, Н. В. Шестернина, Т. В. Замечник, И. А. Фастова</w:t>
      </w:r>
      <w:r w:rsidRPr="003307F1">
        <w:rPr>
          <w:rFonts w:ascii="Times New Roman" w:eastAsia="TimesNewRomanPS-BoldMT" w:hAnsi="Times New Roman"/>
          <w:bCs/>
          <w:sz w:val="28"/>
          <w:szCs w:val="28"/>
        </w:rPr>
        <w:t xml:space="preserve"> // Вестник новых медицинских технологий. </w:t>
      </w:r>
      <w:r>
        <w:rPr>
          <w:rFonts w:ascii="Times New Roman" w:eastAsia="TimesNewRomanPS-BoldMT" w:hAnsi="Times New Roman"/>
          <w:bCs/>
          <w:sz w:val="28"/>
          <w:szCs w:val="28"/>
        </w:rPr>
        <w:t>– 2011. – Т. ХVIII, № 2 – С. 86-</w:t>
      </w:r>
      <w:r w:rsidRPr="003307F1">
        <w:rPr>
          <w:rFonts w:ascii="Times New Roman" w:eastAsia="TimesNewRomanPS-BoldMT" w:hAnsi="Times New Roman"/>
          <w:bCs/>
          <w:sz w:val="28"/>
          <w:szCs w:val="28"/>
        </w:rPr>
        <w:t>89.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Маянский Д.Н. Хроническое воспаление/ Д.Н. Маянский. – М: Медицина, 1991. – 272</w:t>
      </w:r>
      <w:r>
        <w:rPr>
          <w:rFonts w:ascii="Times New Roman" w:hAnsi="Times New Roman"/>
          <w:sz w:val="28"/>
          <w:szCs w:val="28"/>
        </w:rPr>
        <w:t xml:space="preserve"> </w:t>
      </w:r>
      <w:r w:rsidRPr="003307F1">
        <w:rPr>
          <w:rFonts w:ascii="Times New Roman" w:hAnsi="Times New Roman"/>
          <w:sz w:val="28"/>
          <w:szCs w:val="28"/>
        </w:rPr>
        <w:t>с.</w:t>
      </w:r>
    </w:p>
    <w:p w:rsidR="00C62D22" w:rsidRPr="00352049"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PS-BoldMT" w:hAnsi="Times New Roman"/>
          <w:bCs/>
          <w:sz w:val="28"/>
          <w:szCs w:val="28"/>
        </w:rPr>
        <w:t xml:space="preserve">Мелехина О. В. </w:t>
      </w:r>
      <w:r w:rsidRPr="003307F1">
        <w:rPr>
          <w:rFonts w:ascii="Times New Roman" w:hAnsi="Times New Roman"/>
          <w:bCs/>
          <w:sz w:val="28"/>
          <w:szCs w:val="28"/>
        </w:rPr>
        <w:t>Чрескожные малоинвазивные</w:t>
      </w:r>
      <w:r w:rsidRPr="003307F1">
        <w:rPr>
          <w:rFonts w:ascii="Times New Roman" w:eastAsia="TimesNewRoman" w:hAnsi="Times New Roman"/>
          <w:sz w:val="28"/>
          <w:szCs w:val="28"/>
        </w:rPr>
        <w:t xml:space="preserve"> </w:t>
      </w:r>
      <w:r w:rsidRPr="003307F1">
        <w:rPr>
          <w:rFonts w:ascii="Times New Roman" w:hAnsi="Times New Roman"/>
          <w:bCs/>
          <w:sz w:val="28"/>
          <w:szCs w:val="28"/>
        </w:rPr>
        <w:t xml:space="preserve">вмешательства под контролем УЗИ в панкреатологии / </w:t>
      </w:r>
      <w:r w:rsidRPr="003307F1">
        <w:rPr>
          <w:rFonts w:ascii="Times New Roman" w:hAnsi="Times New Roman"/>
          <w:iCs/>
          <w:sz w:val="28"/>
          <w:szCs w:val="28"/>
        </w:rPr>
        <w:t xml:space="preserve">О. В. Мелехина, О. И. Жаворонкова // Мат. </w:t>
      </w:r>
      <w:r w:rsidRPr="003307F1">
        <w:rPr>
          <w:rFonts w:ascii="Times New Roman" w:hAnsi="Times New Roman"/>
          <w:bCs/>
          <w:sz w:val="28"/>
          <w:szCs w:val="28"/>
        </w:rPr>
        <w:t>16 съезда эндоскопических хирургов России</w:t>
      </w:r>
      <w:r w:rsidRPr="003307F1">
        <w:rPr>
          <w:rFonts w:ascii="Times New Roman" w:hAnsi="Times New Roman"/>
          <w:iCs/>
          <w:sz w:val="28"/>
          <w:szCs w:val="28"/>
        </w:rPr>
        <w:t xml:space="preserve">. </w:t>
      </w:r>
      <w:r w:rsidRPr="003307F1">
        <w:rPr>
          <w:rFonts w:ascii="Times New Roman" w:hAnsi="Times New Roman"/>
          <w:sz w:val="28"/>
          <w:szCs w:val="28"/>
        </w:rPr>
        <w:t>– 2013. –</w:t>
      </w:r>
      <w:r w:rsidRPr="003307F1">
        <w:rPr>
          <w:rFonts w:ascii="Times New Roman" w:hAnsi="Times New Roman"/>
          <w:iCs/>
          <w:sz w:val="28"/>
          <w:szCs w:val="28"/>
        </w:rPr>
        <w:t xml:space="preserve"> С. 214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 xml:space="preserve">Міждисциплінарний підхід у вивченні патогенезу гострих рідинних скупчень при панкреатиті / І.А. Криворучко, І.В. Сорокіна, С.М. Балака, </w:t>
      </w:r>
      <w:r>
        <w:rPr>
          <w:rFonts w:ascii="Times New Roman" w:hAnsi="Times New Roman"/>
          <w:sz w:val="28"/>
          <w:szCs w:val="28"/>
        </w:rPr>
        <w:t xml:space="preserve">                     </w:t>
      </w:r>
      <w:r w:rsidRPr="000F2B01">
        <w:rPr>
          <w:rFonts w:ascii="Times New Roman" w:hAnsi="Times New Roman"/>
          <w:sz w:val="28"/>
          <w:szCs w:val="28"/>
        </w:rPr>
        <w:t>Н.М. Гончарова // Науковий вісник Ужгородського університету. – 2014. – Вип. 1 (49). – С. 118-122.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PS-BoldMT" w:hAnsi="Times New Roman"/>
          <w:bCs/>
          <w:sz w:val="28"/>
          <w:szCs w:val="28"/>
        </w:rPr>
        <w:t xml:space="preserve">Мініінвазивні методи лікування ускладнених псевдокіст підшлункової залози / В. М. Копчак, К. В. Копчак, І. В. Хомяк [ та ін. ] // Харківська хірургічна школа. </w:t>
      </w:r>
      <w:r>
        <w:rPr>
          <w:rFonts w:ascii="Times New Roman" w:hAnsi="Times New Roman"/>
          <w:sz w:val="28"/>
          <w:szCs w:val="28"/>
        </w:rPr>
        <w:t>– 2015. – № 4 (73). – С. 24-</w:t>
      </w:r>
      <w:r w:rsidRPr="003307F1">
        <w:rPr>
          <w:rFonts w:ascii="Times New Roman" w:hAnsi="Times New Roman"/>
          <w:sz w:val="28"/>
          <w:szCs w:val="28"/>
        </w:rPr>
        <w:t>28.</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Минимально инвазивные вмешательства при острых жидкостных скоплениях у больных тяжелым деструктивным панкреатитом / М. В. </w:t>
      </w:r>
      <w:r w:rsidRPr="003307F1">
        <w:rPr>
          <w:rFonts w:ascii="Times New Roman" w:hAnsi="Times New Roman"/>
          <w:iCs/>
          <w:sz w:val="28"/>
          <w:szCs w:val="28"/>
        </w:rPr>
        <w:t xml:space="preserve">Беляев, </w:t>
      </w:r>
      <w:r>
        <w:rPr>
          <w:rFonts w:ascii="Times New Roman" w:hAnsi="Times New Roman"/>
          <w:iCs/>
          <w:sz w:val="28"/>
          <w:szCs w:val="28"/>
        </w:rPr>
        <w:t xml:space="preserve">              </w:t>
      </w:r>
      <w:r w:rsidRPr="003307F1">
        <w:rPr>
          <w:rFonts w:ascii="Times New Roman" w:hAnsi="Times New Roman"/>
          <w:iCs/>
          <w:sz w:val="28"/>
          <w:szCs w:val="28"/>
        </w:rPr>
        <w:t xml:space="preserve">А. А. Билокур, С. И. Велькер [ и др. ] </w:t>
      </w:r>
      <w:r w:rsidRPr="003307F1">
        <w:rPr>
          <w:rFonts w:ascii="Times New Roman" w:hAnsi="Times New Roman"/>
          <w:sz w:val="28"/>
          <w:szCs w:val="28"/>
        </w:rPr>
        <w:t xml:space="preserve">// </w:t>
      </w:r>
      <w:hyperlink r:id="rId145" w:history="1">
        <w:r w:rsidRPr="003307F1">
          <w:rPr>
            <w:rStyle w:val="af1"/>
            <w:rFonts w:ascii="Times New Roman" w:hAnsi="Times New Roman"/>
            <w:bCs/>
            <w:sz w:val="28"/>
            <w:szCs w:val="28"/>
          </w:rPr>
          <w:t>Анналы хирургической гепатологии</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w:t>
      </w:r>
      <w:hyperlink r:id="rId146" w:history="1">
        <w:r w:rsidRPr="003307F1">
          <w:rPr>
            <w:rStyle w:val="af1"/>
            <w:rFonts w:ascii="Times New Roman" w:hAnsi="Times New Roman"/>
            <w:bCs/>
            <w:sz w:val="28"/>
            <w:szCs w:val="28"/>
          </w:rPr>
          <w:t>2013</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w:t>
      </w:r>
      <w:hyperlink r:id="rId147" w:history="1">
        <w:r w:rsidRPr="003307F1">
          <w:rPr>
            <w:rStyle w:val="af1"/>
            <w:rFonts w:ascii="Times New Roman" w:hAnsi="Times New Roman"/>
            <w:bCs/>
            <w:sz w:val="28"/>
            <w:szCs w:val="28"/>
          </w:rPr>
          <w:t>3</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w:t>
      </w:r>
      <w:hyperlink r:id="rId148" w:history="1">
        <w:r w:rsidRPr="003307F1">
          <w:rPr>
            <w:rStyle w:val="af1"/>
            <w:rFonts w:ascii="Times New Roman" w:hAnsi="Times New Roman"/>
            <w:bCs/>
            <w:sz w:val="28"/>
            <w:szCs w:val="28"/>
          </w:rPr>
          <w:t>С. 79</w:t>
        </w:r>
      </w:hyperlink>
      <w:r>
        <w:rPr>
          <w:rFonts w:ascii="Times New Roman" w:hAnsi="Times New Roman"/>
          <w:sz w:val="28"/>
          <w:szCs w:val="28"/>
          <w:shd w:val="clear" w:color="auto" w:fill="FFFFFF"/>
        </w:rPr>
        <w:t>-</w:t>
      </w:r>
      <w:r w:rsidRPr="003307F1">
        <w:rPr>
          <w:rFonts w:ascii="Times New Roman" w:hAnsi="Times New Roman"/>
          <w:sz w:val="28"/>
          <w:szCs w:val="28"/>
        </w:rPr>
        <w:t>85.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PS-BoldMT" w:hAnsi="Times New Roman"/>
          <w:bCs/>
          <w:sz w:val="28"/>
          <w:szCs w:val="28"/>
        </w:rPr>
        <w:t>Минимально инвазивные технологии</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в лечении больных</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с осложнениями хронического панкреатита / </w:t>
      </w:r>
      <w:r w:rsidRPr="003307F1">
        <w:rPr>
          <w:rFonts w:ascii="Times New Roman" w:eastAsia="TimesNewRomanPSMT" w:hAnsi="Times New Roman"/>
          <w:sz w:val="28"/>
          <w:szCs w:val="28"/>
        </w:rPr>
        <w:t xml:space="preserve">А. Н. Лотов, В. Я. Заводнов, А. С. Ермолов </w:t>
      </w:r>
      <w:r w:rsidRPr="003307F1">
        <w:rPr>
          <w:rFonts w:ascii="Times New Roman" w:hAnsi="Times New Roman"/>
          <w:iCs/>
          <w:sz w:val="28"/>
          <w:szCs w:val="28"/>
        </w:rPr>
        <w:t xml:space="preserve">[ и др. ] // </w:t>
      </w:r>
      <w:r w:rsidRPr="003307F1">
        <w:rPr>
          <w:rFonts w:ascii="Times New Roman" w:eastAsia="TimesNewRomanPSMT" w:hAnsi="Times New Roman"/>
          <w:sz w:val="28"/>
          <w:szCs w:val="28"/>
        </w:rPr>
        <w:lastRenderedPageBreak/>
        <w:t>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63-</w:t>
      </w:r>
      <w:r w:rsidRPr="003307F1">
        <w:rPr>
          <w:rFonts w:ascii="Times New Roman" w:hAnsi="Times New Roman"/>
          <w:sz w:val="28"/>
          <w:szCs w:val="28"/>
        </w:rPr>
        <w:t>64.</w:t>
      </w:r>
    </w:p>
    <w:p w:rsidR="00C62D22" w:rsidRPr="003307F1" w:rsidRDefault="00C62D22" w:rsidP="00C62D22">
      <w:pPr>
        <w:numPr>
          <w:ilvl w:val="0"/>
          <w:numId w:val="34"/>
        </w:numPr>
        <w:shd w:val="clear" w:color="auto" w:fill="FFFFFF"/>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Миниинвазивные вмешательства по поводу очаговых скоплений</w:t>
      </w:r>
      <w:r w:rsidRPr="003307F1">
        <w:rPr>
          <w:rFonts w:ascii="Times New Roman" w:eastAsia="TimesNewRoman" w:hAnsi="Times New Roman"/>
          <w:sz w:val="28"/>
          <w:szCs w:val="28"/>
        </w:rPr>
        <w:t xml:space="preserve"> </w:t>
      </w:r>
      <w:r w:rsidRPr="003307F1">
        <w:rPr>
          <w:rFonts w:ascii="Times New Roman" w:hAnsi="Times New Roman"/>
          <w:sz w:val="28"/>
          <w:szCs w:val="28"/>
        </w:rPr>
        <w:t>жидкости в области поджелудочной железы и в окружающих</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тканях // В. В. Грубник, </w:t>
      </w:r>
      <w:r>
        <w:rPr>
          <w:rFonts w:ascii="Times New Roman" w:hAnsi="Times New Roman"/>
          <w:sz w:val="28"/>
          <w:szCs w:val="28"/>
        </w:rPr>
        <w:t xml:space="preserve">                </w:t>
      </w:r>
      <w:r w:rsidRPr="003307F1">
        <w:rPr>
          <w:rFonts w:ascii="Times New Roman" w:hAnsi="Times New Roman"/>
          <w:sz w:val="28"/>
          <w:szCs w:val="28"/>
        </w:rPr>
        <w:t>П. И. Пустовойт, А. В. Бойко [и др.] // Клінічна. хір</w:t>
      </w:r>
      <w:r>
        <w:rPr>
          <w:rFonts w:ascii="Times New Roman" w:hAnsi="Times New Roman"/>
          <w:sz w:val="28"/>
          <w:szCs w:val="28"/>
        </w:rPr>
        <w:t>ургія. – 2010. – № 9. – С. 19-</w:t>
      </w:r>
      <w:r w:rsidRPr="003307F1">
        <w:rPr>
          <w:rFonts w:ascii="Times New Roman" w:hAnsi="Times New Roman"/>
          <w:sz w:val="28"/>
          <w:szCs w:val="28"/>
        </w:rPr>
        <w:t>21.</w:t>
      </w:r>
    </w:p>
    <w:p w:rsidR="00C62D22" w:rsidRPr="003307F1" w:rsidRDefault="00C62D22" w:rsidP="00C62D22">
      <w:pPr>
        <w:numPr>
          <w:ilvl w:val="0"/>
          <w:numId w:val="34"/>
        </w:numPr>
        <w:shd w:val="clear" w:color="auto" w:fill="FFFFFF"/>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Миниинвазивные технологии в лечении острого панкреатита / </w:t>
      </w:r>
      <w:r>
        <w:rPr>
          <w:rFonts w:ascii="Times New Roman" w:hAnsi="Times New Roman"/>
          <w:sz w:val="28"/>
          <w:szCs w:val="28"/>
        </w:rPr>
        <w:t xml:space="preserve">                          </w:t>
      </w:r>
      <w:r w:rsidRPr="003307F1">
        <w:rPr>
          <w:rFonts w:ascii="Times New Roman" w:hAnsi="Times New Roman"/>
          <w:sz w:val="28"/>
          <w:szCs w:val="28"/>
        </w:rPr>
        <w:t>В. В. Дарвин, С. В. Онищенко, А. Я. Ильканич [ и др. ] // Хир</w:t>
      </w:r>
      <w:r>
        <w:rPr>
          <w:rFonts w:ascii="Times New Roman" w:hAnsi="Times New Roman"/>
          <w:sz w:val="28"/>
          <w:szCs w:val="28"/>
        </w:rPr>
        <w:t>ургия. – 2009. – № 1. – С. 29-</w:t>
      </w:r>
      <w:r w:rsidRPr="003307F1">
        <w:rPr>
          <w:rFonts w:ascii="Times New Roman" w:hAnsi="Times New Roman"/>
          <w:sz w:val="28"/>
          <w:szCs w:val="28"/>
        </w:rPr>
        <w:t>33.</w:t>
      </w:r>
    </w:p>
    <w:p w:rsidR="00C62D22" w:rsidRPr="003307F1" w:rsidRDefault="00C62D22" w:rsidP="00C62D22">
      <w:pPr>
        <w:numPr>
          <w:ilvl w:val="0"/>
          <w:numId w:val="34"/>
        </w:numPr>
        <w:shd w:val="clear" w:color="auto" w:fill="FFFFFF"/>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Михайлусов С. В. </w:t>
      </w:r>
      <w:r w:rsidRPr="003307F1">
        <w:rPr>
          <w:rFonts w:ascii="Times New Roman" w:eastAsia="TimesNewRomanPS-BoldMT" w:hAnsi="Times New Roman"/>
          <w:bCs/>
          <w:sz w:val="28"/>
          <w:szCs w:val="28"/>
        </w:rPr>
        <w:t xml:space="preserve">Критерии эффективности малоинвазивных вмешательств при постнекротических кистах поджелудочной железы / </w:t>
      </w:r>
      <w:r w:rsidRPr="003307F1">
        <w:rPr>
          <w:rFonts w:ascii="Times New Roman" w:eastAsia="TimesNewRomanPSMT" w:hAnsi="Times New Roman"/>
          <w:sz w:val="28"/>
          <w:szCs w:val="28"/>
        </w:rPr>
        <w:t xml:space="preserve">С. В. Михайлусов, </w:t>
      </w:r>
      <w:r>
        <w:rPr>
          <w:rFonts w:ascii="Times New Roman" w:eastAsia="TimesNewRomanPSMT" w:hAnsi="Times New Roman"/>
          <w:sz w:val="28"/>
          <w:szCs w:val="28"/>
        </w:rPr>
        <w:t xml:space="preserve">                     </w:t>
      </w:r>
      <w:r w:rsidRPr="003307F1">
        <w:rPr>
          <w:rFonts w:ascii="Times New Roman" w:eastAsia="TimesNewRomanPSMT" w:hAnsi="Times New Roman"/>
          <w:sz w:val="28"/>
          <w:szCs w:val="28"/>
        </w:rPr>
        <w:t>Е. В. Моисеенкова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68-</w:t>
      </w:r>
      <w:r w:rsidRPr="003307F1">
        <w:rPr>
          <w:rFonts w:ascii="Times New Roman" w:hAnsi="Times New Roman"/>
          <w:sz w:val="28"/>
          <w:szCs w:val="28"/>
        </w:rPr>
        <w:t>70.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Можливості лапароскопічної хірургії в лікуванні кістозної патології підшлункової залози / В. М. Копчак, К. В. Копчак, І. В. Хомяк [та ін.] // Ювілейна науково-практична конференція з міжнародною участю «Актуальні питання невідкладної хірургії». – Харків, 1–2 квітня 2010 р.: Всеукраїнський збірник наукових робіт / Під ред. В.В. Бойко. – Харків, 2010. – С</w:t>
      </w:r>
      <w:r>
        <w:rPr>
          <w:rFonts w:ascii="Times New Roman" w:hAnsi="Times New Roman"/>
          <w:sz w:val="28"/>
          <w:szCs w:val="28"/>
        </w:rPr>
        <w:t>. 93-</w:t>
      </w:r>
      <w:r w:rsidRPr="003307F1">
        <w:rPr>
          <w:rFonts w:ascii="Times New Roman" w:hAnsi="Times New Roman"/>
          <w:sz w:val="28"/>
          <w:szCs w:val="28"/>
        </w:rPr>
        <w:t>97.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Можливості лапароскопічної хірургії псевдокіст підшлункової залози /</w:t>
      </w:r>
      <w:r>
        <w:rPr>
          <w:rFonts w:ascii="Times New Roman" w:hAnsi="Times New Roman"/>
          <w:sz w:val="28"/>
          <w:szCs w:val="28"/>
        </w:rPr>
        <w:t xml:space="preserve">           </w:t>
      </w:r>
      <w:r w:rsidRPr="003307F1">
        <w:rPr>
          <w:rFonts w:ascii="Times New Roman" w:hAnsi="Times New Roman"/>
          <w:sz w:val="28"/>
          <w:szCs w:val="28"/>
        </w:rPr>
        <w:t xml:space="preserve"> В. М. Копчак, К. В. Копчак, І. В. Хомяк [ та ін. ] // Хірургія України. </w:t>
      </w:r>
      <w:r>
        <w:rPr>
          <w:rFonts w:ascii="Times New Roman" w:hAnsi="Times New Roman"/>
          <w:sz w:val="28"/>
          <w:szCs w:val="28"/>
          <w:shd w:val="clear" w:color="auto" w:fill="FFFFFF"/>
        </w:rPr>
        <w:t>– 2010. – № 1 (33). – С. 68-</w:t>
      </w:r>
      <w:r w:rsidRPr="003307F1">
        <w:rPr>
          <w:rFonts w:ascii="Times New Roman" w:hAnsi="Times New Roman"/>
          <w:sz w:val="28"/>
          <w:szCs w:val="28"/>
          <w:shd w:val="clear" w:color="auto" w:fill="FFFFFF"/>
        </w:rPr>
        <w:t>72.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Можливості застосування пункційного дренування під</w:t>
      </w:r>
      <w:r w:rsidRPr="003307F1">
        <w:rPr>
          <w:rFonts w:ascii="Times New Roman" w:eastAsia="TimesNewRoman" w:hAnsi="Times New Roman"/>
          <w:sz w:val="28"/>
          <w:szCs w:val="28"/>
        </w:rPr>
        <w:t xml:space="preserve"> </w:t>
      </w:r>
      <w:r w:rsidRPr="003307F1">
        <w:rPr>
          <w:rFonts w:ascii="Times New Roman" w:hAnsi="Times New Roman"/>
          <w:sz w:val="28"/>
          <w:szCs w:val="28"/>
        </w:rPr>
        <w:t>контролем ультразвукового дослідження в хірургічному</w:t>
      </w:r>
      <w:r w:rsidRPr="003307F1">
        <w:rPr>
          <w:rFonts w:ascii="Times New Roman" w:eastAsia="TimesNewRoman" w:hAnsi="Times New Roman"/>
          <w:sz w:val="28"/>
          <w:szCs w:val="28"/>
        </w:rPr>
        <w:t xml:space="preserve"> </w:t>
      </w:r>
      <w:r w:rsidRPr="003307F1">
        <w:rPr>
          <w:rFonts w:ascii="Times New Roman" w:hAnsi="Times New Roman"/>
          <w:sz w:val="28"/>
          <w:szCs w:val="28"/>
        </w:rPr>
        <w:t>лікуванні псевдокіст підшлункової залози</w:t>
      </w:r>
      <w:r>
        <w:rPr>
          <w:rFonts w:ascii="Times New Roman" w:eastAsia="TimesNewRoman" w:hAnsi="Times New Roman"/>
          <w:sz w:val="28"/>
          <w:szCs w:val="28"/>
        </w:rPr>
        <w:t xml:space="preserve"> /</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М. В. Безручко, С. В. Малик, С. П. Кравченко [ та ін.] // Клінічна хірургія. </w:t>
      </w:r>
      <w:r w:rsidRPr="003307F1">
        <w:rPr>
          <w:rFonts w:ascii="Times New Roman" w:eastAsia="Arial,Italic" w:hAnsi="Times New Roman"/>
          <w:iCs/>
          <w:sz w:val="28"/>
          <w:szCs w:val="28"/>
        </w:rPr>
        <w:t>–</w:t>
      </w:r>
      <w:r w:rsidRPr="003307F1">
        <w:rPr>
          <w:rFonts w:ascii="Times New Roman" w:hAnsi="Times New Roman"/>
          <w:sz w:val="28"/>
          <w:szCs w:val="28"/>
        </w:rPr>
        <w:t xml:space="preserve"> 2012. </w:t>
      </w:r>
      <w:r w:rsidRPr="003307F1">
        <w:rPr>
          <w:rFonts w:ascii="Times New Roman" w:eastAsia="Arial,Italic" w:hAnsi="Times New Roman"/>
          <w:iCs/>
          <w:sz w:val="28"/>
          <w:szCs w:val="28"/>
        </w:rPr>
        <w:t>–</w:t>
      </w:r>
      <w:r w:rsidRPr="003307F1">
        <w:rPr>
          <w:rFonts w:ascii="Times New Roman" w:hAnsi="Times New Roman"/>
          <w:sz w:val="28"/>
          <w:szCs w:val="28"/>
        </w:rPr>
        <w:t xml:space="preserve"> № 10. </w:t>
      </w:r>
      <w:r w:rsidRPr="003307F1">
        <w:rPr>
          <w:rFonts w:ascii="Times New Roman" w:eastAsia="Arial,Italic" w:hAnsi="Times New Roman"/>
          <w:iCs/>
          <w:sz w:val="28"/>
          <w:szCs w:val="28"/>
        </w:rPr>
        <w:t xml:space="preserve">– </w:t>
      </w:r>
      <w:r w:rsidRPr="003307F1">
        <w:rPr>
          <w:rFonts w:ascii="Times New Roman" w:hAnsi="Times New Roman"/>
          <w:sz w:val="28"/>
          <w:szCs w:val="28"/>
        </w:rPr>
        <w:t>С. 29</w:t>
      </w:r>
      <w:r>
        <w:rPr>
          <w:rFonts w:ascii="Times New Roman" w:hAnsi="Times New Roman"/>
          <w:sz w:val="28"/>
          <w:szCs w:val="28"/>
        </w:rPr>
        <w:t>-</w:t>
      </w:r>
      <w:r w:rsidRPr="003307F1">
        <w:rPr>
          <w:rFonts w:ascii="Times New Roman" w:hAnsi="Times New Roman"/>
          <w:sz w:val="28"/>
          <w:szCs w:val="28"/>
        </w:rPr>
        <w:t xml:space="preserve">31.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Морфологические особенности полостных образований при остром панкреатите / И.А. Криворучко, И.А. Тарабан, И.В. Сорокина, Н.Н. Гончарова</w:t>
      </w:r>
      <w:r>
        <w:rPr>
          <w:rFonts w:ascii="Times New Roman" w:hAnsi="Times New Roman"/>
          <w:sz w:val="28"/>
          <w:szCs w:val="28"/>
        </w:rPr>
        <w:t xml:space="preserve"> // Новости хирургии. – 2015. –</w:t>
      </w:r>
      <w:r w:rsidRPr="003307F1">
        <w:rPr>
          <w:rFonts w:ascii="Times New Roman" w:hAnsi="Times New Roman"/>
          <w:sz w:val="28"/>
          <w:szCs w:val="28"/>
        </w:rPr>
        <w:t xml:space="preserve"> </w:t>
      </w:r>
      <w:r w:rsidRPr="003307F1">
        <w:rPr>
          <w:rFonts w:ascii="Times New Roman" w:hAnsi="Times New Roman"/>
          <w:sz w:val="28"/>
          <w:szCs w:val="28"/>
          <w:lang w:val="en-US"/>
        </w:rPr>
        <w:t>Vol</w:t>
      </w:r>
      <w:r>
        <w:rPr>
          <w:rFonts w:ascii="Times New Roman" w:hAnsi="Times New Roman"/>
          <w:sz w:val="28"/>
          <w:szCs w:val="28"/>
        </w:rPr>
        <w:t>. 23, №2. – С. 154-</w:t>
      </w:r>
      <w:r w:rsidRPr="003307F1">
        <w:rPr>
          <w:rFonts w:ascii="Times New Roman" w:hAnsi="Times New Roman"/>
          <w:sz w:val="28"/>
          <w:szCs w:val="28"/>
        </w:rPr>
        <w:t>159.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Мультидисциплінарний підхід до діагностики та лікування псевдокісти підшлункової залози, ускладненої </w:t>
      </w:r>
      <w:r w:rsidRPr="003307F1">
        <w:rPr>
          <w:rFonts w:ascii="Times New Roman" w:hAnsi="Times New Roman"/>
          <w:bCs/>
          <w:sz w:val="28"/>
          <w:szCs w:val="28"/>
          <w:shd w:val="clear" w:color="auto" w:fill="FFFFFF"/>
        </w:rPr>
        <w:t>кровотечею</w:t>
      </w:r>
      <w:r w:rsidRPr="003307F1">
        <w:rPr>
          <w:rStyle w:val="apple-converted-space"/>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 Б. О.</w:t>
      </w:r>
      <w:r w:rsidRPr="003307F1">
        <w:rPr>
          <w:rStyle w:val="apple-converted-space"/>
          <w:rFonts w:ascii="Times New Roman" w:hAnsi="Times New Roman"/>
          <w:sz w:val="28"/>
          <w:szCs w:val="28"/>
          <w:shd w:val="clear" w:color="auto" w:fill="FFFFFF"/>
        </w:rPr>
        <w:t xml:space="preserve"> </w:t>
      </w:r>
      <w:r w:rsidRPr="003307F1">
        <w:rPr>
          <w:rFonts w:ascii="Times New Roman" w:hAnsi="Times New Roman"/>
          <w:bCs/>
          <w:sz w:val="28"/>
          <w:szCs w:val="28"/>
          <w:shd w:val="clear" w:color="auto" w:fill="FFFFFF"/>
        </w:rPr>
        <w:t>Матвійчук</w:t>
      </w:r>
      <w:r w:rsidRPr="003307F1">
        <w:rPr>
          <w:rFonts w:ascii="Times New Roman" w:hAnsi="Times New Roman"/>
          <w:sz w:val="28"/>
          <w:szCs w:val="28"/>
          <w:shd w:val="clear" w:color="auto" w:fill="FFFFFF"/>
        </w:rPr>
        <w:t xml:space="preserve">, О. І. Кушнірук, </w:t>
      </w:r>
      <w:r>
        <w:rPr>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М. Р. Бубняк, [ та ін. ] /</w:t>
      </w:r>
      <w:r w:rsidRPr="003307F1">
        <w:rPr>
          <w:rStyle w:val="apple-converted-space"/>
          <w:rFonts w:ascii="Times New Roman" w:hAnsi="Times New Roman"/>
          <w:sz w:val="28"/>
          <w:szCs w:val="28"/>
          <w:shd w:val="clear" w:color="auto" w:fill="FFFFFF"/>
        </w:rPr>
        <w:t xml:space="preserve"> </w:t>
      </w:r>
      <w:hyperlink r:id="rId149" w:tooltip="Періодичне видання" w:history="1">
        <w:r w:rsidRPr="003307F1">
          <w:rPr>
            <w:rStyle w:val="af1"/>
            <w:rFonts w:ascii="Times New Roman" w:hAnsi="Times New Roman"/>
            <w:sz w:val="28"/>
            <w:szCs w:val="28"/>
            <w:shd w:val="clear" w:color="auto" w:fill="FFFFFF"/>
          </w:rPr>
          <w:t>Шпитальна хірургія</w:t>
        </w:r>
      </w:hyperlink>
      <w:r>
        <w:rPr>
          <w:rFonts w:ascii="Times New Roman" w:hAnsi="Times New Roman"/>
          <w:sz w:val="28"/>
          <w:szCs w:val="28"/>
          <w:shd w:val="clear" w:color="auto" w:fill="FFFFFF"/>
        </w:rPr>
        <w:t>. – 2013. – № 3. – С. 141-</w:t>
      </w:r>
      <w:r w:rsidRPr="003307F1">
        <w:rPr>
          <w:rFonts w:ascii="Times New Roman" w:hAnsi="Times New Roman"/>
          <w:sz w:val="28"/>
          <w:szCs w:val="28"/>
          <w:shd w:val="clear" w:color="auto" w:fill="FFFFFF"/>
        </w:rPr>
        <w:t>144.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hAnsi="Times New Roman"/>
          <w:sz w:val="28"/>
          <w:szCs w:val="28"/>
        </w:rPr>
        <w:lastRenderedPageBreak/>
        <w:t xml:space="preserve">Нессонова </w:t>
      </w:r>
      <w:r w:rsidRPr="003307F1">
        <w:rPr>
          <w:rFonts w:ascii="Times New Roman" w:hAnsi="Times New Roman"/>
          <w:sz w:val="28"/>
          <w:szCs w:val="28"/>
        </w:rPr>
        <w:t>М.</w:t>
      </w:r>
      <w:r>
        <w:rPr>
          <w:rFonts w:ascii="Times New Roman" w:hAnsi="Times New Roman"/>
          <w:sz w:val="28"/>
          <w:szCs w:val="28"/>
        </w:rPr>
        <w:t xml:space="preserve"> </w:t>
      </w:r>
      <w:r w:rsidRPr="003307F1">
        <w:rPr>
          <w:rFonts w:ascii="Times New Roman" w:hAnsi="Times New Roman"/>
          <w:sz w:val="28"/>
          <w:szCs w:val="28"/>
        </w:rPr>
        <w:t>Н. Модели и методы оценки степени тяжести состояния пациентов для поддержки принятия решений врача: автореф.  дис. … канд. тех. наук / М.</w:t>
      </w:r>
      <w:r>
        <w:rPr>
          <w:rFonts w:ascii="Times New Roman" w:hAnsi="Times New Roman"/>
          <w:sz w:val="28"/>
          <w:szCs w:val="28"/>
        </w:rPr>
        <w:t xml:space="preserve"> </w:t>
      </w:r>
      <w:r w:rsidRPr="003307F1">
        <w:rPr>
          <w:rFonts w:ascii="Times New Roman" w:hAnsi="Times New Roman"/>
          <w:sz w:val="28"/>
          <w:szCs w:val="28"/>
        </w:rPr>
        <w:t xml:space="preserve">Н. Нессонова. </w:t>
      </w:r>
      <w:r>
        <w:rPr>
          <w:rFonts w:ascii="Times New Roman" w:hAnsi="Times New Roman"/>
          <w:sz w:val="28"/>
          <w:szCs w:val="28"/>
        </w:rPr>
        <w:t xml:space="preserve">– Киев, 2015. – 188 </w:t>
      </w:r>
      <w:r w:rsidRPr="003307F1">
        <w:rPr>
          <w:rFonts w:ascii="Times New Roman" w:hAnsi="Times New Roman"/>
          <w:sz w:val="28"/>
          <w:szCs w:val="28"/>
        </w:rPr>
        <w:t>с.</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Ничитайло М. Ю. </w:t>
      </w:r>
      <w:r w:rsidRPr="003307F1">
        <w:rPr>
          <w:rFonts w:ascii="Times New Roman" w:hAnsi="Times New Roman"/>
          <w:bCs/>
          <w:sz w:val="28"/>
          <w:szCs w:val="28"/>
        </w:rPr>
        <w:t xml:space="preserve">Втручання під контролем ультразвукового дослідження з приводу гострого панкреатиту та його ускладнень / </w:t>
      </w:r>
      <w:r w:rsidRPr="003307F1">
        <w:rPr>
          <w:rFonts w:ascii="Times New Roman" w:hAnsi="Times New Roman"/>
          <w:bCs/>
          <w:iCs/>
          <w:sz w:val="28"/>
          <w:szCs w:val="28"/>
        </w:rPr>
        <w:t xml:space="preserve">М. Ю. Ничитайло, </w:t>
      </w:r>
      <w:r>
        <w:rPr>
          <w:rFonts w:ascii="Times New Roman" w:hAnsi="Times New Roman"/>
          <w:bCs/>
          <w:iCs/>
          <w:sz w:val="28"/>
          <w:szCs w:val="28"/>
        </w:rPr>
        <w:t xml:space="preserve">                       </w:t>
      </w:r>
      <w:r w:rsidRPr="003307F1">
        <w:rPr>
          <w:rFonts w:ascii="Times New Roman" w:hAnsi="Times New Roman"/>
          <w:bCs/>
          <w:iCs/>
          <w:sz w:val="28"/>
          <w:szCs w:val="28"/>
        </w:rPr>
        <w:t xml:space="preserve">Г. Ю. Мошківський, О. П. Кондратюк // Клінічна хірургія. </w:t>
      </w:r>
      <w:r>
        <w:rPr>
          <w:rFonts w:ascii="Times New Roman" w:hAnsi="Times New Roman"/>
          <w:sz w:val="28"/>
          <w:szCs w:val="28"/>
        </w:rPr>
        <w:t>– 2009. – № 7 – 8. – С. 103-</w:t>
      </w:r>
      <w:r w:rsidRPr="003307F1">
        <w:rPr>
          <w:rFonts w:ascii="Times New Roman" w:hAnsi="Times New Roman"/>
          <w:sz w:val="28"/>
          <w:szCs w:val="28"/>
        </w:rPr>
        <w:t>105.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Ничитайло М. Е. Кисты и кистозные опухоли поджелудочной железы </w:t>
      </w:r>
      <w:r w:rsidRPr="003307F1">
        <w:rPr>
          <w:rFonts w:ascii="Times New Roman" w:hAnsi="Times New Roman"/>
          <w:sz w:val="28"/>
          <w:szCs w:val="28"/>
        </w:rPr>
        <w:t xml:space="preserve">/ </w:t>
      </w:r>
      <w:r>
        <w:rPr>
          <w:rFonts w:ascii="Times New Roman" w:hAnsi="Times New Roman"/>
          <w:sz w:val="28"/>
          <w:szCs w:val="28"/>
        </w:rPr>
        <w:t xml:space="preserve">               </w:t>
      </w:r>
      <w:r w:rsidRPr="003307F1">
        <w:rPr>
          <w:rFonts w:ascii="Times New Roman" w:eastAsia="TimesNewRoman" w:hAnsi="Times New Roman"/>
          <w:sz w:val="28"/>
          <w:szCs w:val="28"/>
        </w:rPr>
        <w:t>М</w:t>
      </w:r>
      <w:r w:rsidRPr="003307F1">
        <w:rPr>
          <w:rFonts w:ascii="Times New Roman" w:hAnsi="Times New Roman"/>
          <w:sz w:val="28"/>
          <w:szCs w:val="28"/>
        </w:rPr>
        <w:t xml:space="preserve">. </w:t>
      </w:r>
      <w:r w:rsidRPr="003307F1">
        <w:rPr>
          <w:rFonts w:ascii="Times New Roman" w:eastAsia="TimesNewRoman" w:hAnsi="Times New Roman"/>
          <w:sz w:val="28"/>
          <w:szCs w:val="28"/>
        </w:rPr>
        <w:t>Е</w:t>
      </w:r>
      <w:r w:rsidRPr="003307F1">
        <w:rPr>
          <w:rFonts w:ascii="Times New Roman" w:hAnsi="Times New Roman"/>
          <w:sz w:val="28"/>
          <w:szCs w:val="28"/>
        </w:rPr>
        <w:t xml:space="preserve">. </w:t>
      </w:r>
      <w:r w:rsidRPr="003307F1">
        <w:rPr>
          <w:rFonts w:ascii="Times New Roman" w:eastAsia="TimesNewRoman" w:hAnsi="Times New Roman"/>
          <w:sz w:val="28"/>
          <w:szCs w:val="28"/>
        </w:rPr>
        <w:t>Ничитайло</w:t>
      </w:r>
      <w:r w:rsidRPr="003307F1">
        <w:rPr>
          <w:rFonts w:ascii="Times New Roman" w:hAnsi="Times New Roman"/>
          <w:sz w:val="28"/>
          <w:szCs w:val="28"/>
        </w:rPr>
        <w:t xml:space="preserve">, </w:t>
      </w:r>
      <w:r w:rsidRPr="003307F1">
        <w:rPr>
          <w:rFonts w:ascii="Times New Roman" w:eastAsia="TimesNewRoman" w:hAnsi="Times New Roman"/>
          <w:sz w:val="28"/>
          <w:szCs w:val="28"/>
        </w:rPr>
        <w:t>Ю</w:t>
      </w:r>
      <w:r w:rsidRPr="003307F1">
        <w:rPr>
          <w:rFonts w:ascii="Times New Roman" w:hAnsi="Times New Roman"/>
          <w:sz w:val="28"/>
          <w:szCs w:val="28"/>
        </w:rPr>
        <w:t xml:space="preserve">. </w:t>
      </w:r>
      <w:r w:rsidRPr="003307F1">
        <w:rPr>
          <w:rFonts w:ascii="Times New Roman" w:eastAsia="TimesNewRoman" w:hAnsi="Times New Roman"/>
          <w:sz w:val="28"/>
          <w:szCs w:val="28"/>
        </w:rPr>
        <w:t>В</w:t>
      </w:r>
      <w:r w:rsidRPr="003307F1">
        <w:rPr>
          <w:rFonts w:ascii="Times New Roman" w:hAnsi="Times New Roman"/>
          <w:sz w:val="28"/>
          <w:szCs w:val="28"/>
        </w:rPr>
        <w:t xml:space="preserve">. </w:t>
      </w:r>
      <w:r w:rsidRPr="003307F1">
        <w:rPr>
          <w:rFonts w:ascii="Times New Roman" w:eastAsia="TimesNewRoman" w:hAnsi="Times New Roman"/>
          <w:sz w:val="28"/>
          <w:szCs w:val="28"/>
        </w:rPr>
        <w:t>Снопок</w:t>
      </w:r>
      <w:r w:rsidRPr="003307F1">
        <w:rPr>
          <w:rFonts w:ascii="Times New Roman" w:hAnsi="Times New Roman"/>
          <w:sz w:val="28"/>
          <w:szCs w:val="28"/>
        </w:rPr>
        <w:t xml:space="preserve">, </w:t>
      </w:r>
      <w:r w:rsidRPr="003307F1">
        <w:rPr>
          <w:rFonts w:ascii="Times New Roman" w:eastAsia="TimesNewRoman" w:hAnsi="Times New Roman"/>
          <w:sz w:val="28"/>
          <w:szCs w:val="28"/>
        </w:rPr>
        <w:t>И</w:t>
      </w:r>
      <w:r w:rsidRPr="003307F1">
        <w:rPr>
          <w:rFonts w:ascii="Times New Roman" w:hAnsi="Times New Roman"/>
          <w:sz w:val="28"/>
          <w:szCs w:val="28"/>
        </w:rPr>
        <w:t xml:space="preserve">. </w:t>
      </w:r>
      <w:r w:rsidRPr="003307F1">
        <w:rPr>
          <w:rFonts w:ascii="Times New Roman" w:eastAsia="TimesNewRoman" w:hAnsi="Times New Roman"/>
          <w:sz w:val="28"/>
          <w:szCs w:val="28"/>
        </w:rPr>
        <w:t>И</w:t>
      </w:r>
      <w:r w:rsidRPr="003307F1">
        <w:rPr>
          <w:rFonts w:ascii="Times New Roman" w:hAnsi="Times New Roman"/>
          <w:sz w:val="28"/>
          <w:szCs w:val="28"/>
        </w:rPr>
        <w:t xml:space="preserve">. </w:t>
      </w:r>
      <w:r w:rsidRPr="003307F1">
        <w:rPr>
          <w:rFonts w:ascii="Times New Roman" w:eastAsia="TimesNewRoman" w:hAnsi="Times New Roman"/>
          <w:sz w:val="28"/>
          <w:szCs w:val="28"/>
        </w:rPr>
        <w:t>Булик</w:t>
      </w:r>
      <w:r w:rsidRPr="003307F1">
        <w:rPr>
          <w:rFonts w:ascii="Times New Roman" w:hAnsi="Times New Roman"/>
          <w:sz w:val="28"/>
          <w:szCs w:val="28"/>
        </w:rPr>
        <w:t xml:space="preserve">. – </w:t>
      </w:r>
      <w:r w:rsidRPr="003307F1">
        <w:rPr>
          <w:rFonts w:ascii="Times New Roman" w:eastAsia="TimesNewRoman" w:hAnsi="Times New Roman"/>
          <w:sz w:val="28"/>
          <w:szCs w:val="28"/>
        </w:rPr>
        <w:t>Киев</w:t>
      </w:r>
      <w:r w:rsidRPr="003307F1">
        <w:rPr>
          <w:rFonts w:ascii="Times New Roman" w:hAnsi="Times New Roman"/>
          <w:sz w:val="28"/>
          <w:szCs w:val="28"/>
        </w:rPr>
        <w:t>, 2012. – 536 с.</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Ничитайло М. Ю. Мініінвазивні технології й ендоскопічні втручання</w:t>
      </w:r>
      <w:r w:rsidRPr="003307F1">
        <w:rPr>
          <w:rFonts w:ascii="Times New Roman" w:eastAsia="TimesNewRoman" w:hAnsi="Times New Roman"/>
          <w:sz w:val="28"/>
          <w:szCs w:val="28"/>
        </w:rPr>
        <w:t xml:space="preserve"> </w:t>
      </w:r>
      <w:r w:rsidRPr="003307F1">
        <w:rPr>
          <w:rFonts w:ascii="Times New Roman" w:hAnsi="Times New Roman"/>
          <w:sz w:val="28"/>
          <w:szCs w:val="28"/>
        </w:rPr>
        <w:t>у лікуванні деструктивних форм гострого панкреатиту /</w:t>
      </w:r>
      <w:r w:rsidRPr="003307F1">
        <w:rPr>
          <w:rFonts w:ascii="Times New Roman" w:eastAsia="TimesNewRoman" w:hAnsi="Times New Roman"/>
          <w:sz w:val="28"/>
          <w:szCs w:val="28"/>
        </w:rPr>
        <w:t xml:space="preserve"> </w:t>
      </w:r>
      <w:r w:rsidRPr="003307F1">
        <w:rPr>
          <w:rFonts w:ascii="Times New Roman" w:hAnsi="Times New Roman"/>
          <w:sz w:val="28"/>
          <w:szCs w:val="28"/>
        </w:rPr>
        <w:t>М. Ю. Ничитайло,</w:t>
      </w:r>
      <w:r>
        <w:rPr>
          <w:rFonts w:ascii="Times New Roman" w:hAnsi="Times New Roman"/>
          <w:sz w:val="28"/>
          <w:szCs w:val="28"/>
        </w:rPr>
        <w:t xml:space="preserve">                       </w:t>
      </w:r>
      <w:r w:rsidRPr="003307F1">
        <w:rPr>
          <w:rFonts w:ascii="Times New Roman" w:hAnsi="Times New Roman"/>
          <w:sz w:val="28"/>
          <w:szCs w:val="28"/>
        </w:rPr>
        <w:t xml:space="preserve"> О. П. Кондратюк, В. А. Кондратюк // Здоров'я</w:t>
      </w:r>
      <w:r w:rsidRPr="003307F1">
        <w:rPr>
          <w:rFonts w:ascii="Times New Roman" w:eastAsia="TimesNewRoman" w:hAnsi="Times New Roman"/>
          <w:sz w:val="28"/>
          <w:szCs w:val="28"/>
        </w:rPr>
        <w:t xml:space="preserve"> </w:t>
      </w:r>
      <w:r w:rsidRPr="003307F1">
        <w:rPr>
          <w:rFonts w:ascii="Times New Roman" w:hAnsi="Times New Roman"/>
          <w:sz w:val="28"/>
          <w:szCs w:val="28"/>
        </w:rPr>
        <w:t>України. – 2011. – № 2 (5). – С. 15.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Ничитайло М. Ю. Псевдокісти підшлункової залози, ускладнені кровотечею: епідеміологія, патогенез, діагностика, лікування / М. Ю. Ничитайло, </w:t>
      </w:r>
      <w:r>
        <w:rPr>
          <w:rFonts w:ascii="Times New Roman" w:hAnsi="Times New Roman"/>
          <w:sz w:val="28"/>
          <w:szCs w:val="28"/>
        </w:rPr>
        <w:t xml:space="preserve">           </w:t>
      </w:r>
      <w:r w:rsidRPr="003307F1">
        <w:rPr>
          <w:rFonts w:ascii="Times New Roman" w:hAnsi="Times New Roman"/>
          <w:sz w:val="28"/>
          <w:szCs w:val="28"/>
        </w:rPr>
        <w:t>Ю. В. Снопок, Ю. О. Хілько // Клінічна хі</w:t>
      </w:r>
      <w:r>
        <w:rPr>
          <w:rFonts w:ascii="Times New Roman" w:hAnsi="Times New Roman"/>
          <w:sz w:val="28"/>
          <w:szCs w:val="28"/>
        </w:rPr>
        <w:t>рургія. –2009. – № 1. – С. 57-</w:t>
      </w:r>
      <w:r w:rsidRPr="003307F1">
        <w:rPr>
          <w:rFonts w:ascii="Times New Roman" w:hAnsi="Times New Roman"/>
          <w:sz w:val="28"/>
          <w:szCs w:val="28"/>
        </w:rPr>
        <w:t>61.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Нуднов Н. В. Возможности мультиспиральной компьютерной</w:t>
      </w:r>
      <w:r w:rsidRPr="003307F1">
        <w:rPr>
          <w:rFonts w:ascii="Times New Roman" w:eastAsia="TimesNewRoman" w:hAnsi="Times New Roman"/>
          <w:sz w:val="28"/>
          <w:szCs w:val="28"/>
        </w:rPr>
        <w:t xml:space="preserve"> </w:t>
      </w:r>
      <w:r w:rsidRPr="003307F1">
        <w:rPr>
          <w:rFonts w:ascii="Times New Roman" w:hAnsi="Times New Roman"/>
          <w:sz w:val="28"/>
          <w:szCs w:val="28"/>
        </w:rPr>
        <w:t>томографии в диагностике и прогнозе острого панкреатита и</w:t>
      </w:r>
      <w:r w:rsidRPr="003307F1">
        <w:rPr>
          <w:rFonts w:ascii="Times New Roman" w:eastAsia="TimesNewRoman" w:hAnsi="Times New Roman"/>
          <w:sz w:val="28"/>
          <w:szCs w:val="28"/>
        </w:rPr>
        <w:t xml:space="preserve"> </w:t>
      </w:r>
      <w:r w:rsidRPr="003307F1">
        <w:rPr>
          <w:rFonts w:ascii="Times New Roman" w:hAnsi="Times New Roman"/>
          <w:sz w:val="28"/>
          <w:szCs w:val="28"/>
        </w:rPr>
        <w:t>его осложнений / Н. В. Нуднов,</w:t>
      </w:r>
      <w:r>
        <w:rPr>
          <w:rFonts w:ascii="Times New Roman" w:hAnsi="Times New Roman"/>
          <w:sz w:val="28"/>
          <w:szCs w:val="28"/>
        </w:rPr>
        <w:t xml:space="preserve">           </w:t>
      </w:r>
      <w:r w:rsidRPr="003307F1">
        <w:rPr>
          <w:rFonts w:ascii="Times New Roman" w:hAnsi="Times New Roman"/>
          <w:sz w:val="28"/>
          <w:szCs w:val="28"/>
        </w:rPr>
        <w:t xml:space="preserve"> А. Ц. Буткевич, С. В. Ядренцева // Вестн. Р</w:t>
      </w:r>
      <w:r>
        <w:rPr>
          <w:rFonts w:ascii="Times New Roman" w:hAnsi="Times New Roman"/>
          <w:sz w:val="28"/>
          <w:szCs w:val="28"/>
        </w:rPr>
        <w:t>НЦРР. – 2013. – № 13. – С. 23-</w:t>
      </w:r>
      <w:r w:rsidRPr="003307F1">
        <w:rPr>
          <w:rFonts w:ascii="Times New Roman" w:hAnsi="Times New Roman"/>
          <w:sz w:val="28"/>
          <w:szCs w:val="28"/>
        </w:rPr>
        <w:t>29.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Обработка культи поджелудочной железы с использованием</w:t>
      </w:r>
      <w:r w:rsidRPr="003307F1">
        <w:rPr>
          <w:rFonts w:ascii="Times New Roman" w:eastAsia="TimesNewRoman" w:hAnsi="Times New Roman"/>
          <w:sz w:val="28"/>
          <w:szCs w:val="28"/>
        </w:rPr>
        <w:t xml:space="preserve"> </w:t>
      </w:r>
      <w:r w:rsidRPr="003307F1">
        <w:rPr>
          <w:rFonts w:ascii="Times New Roman" w:hAnsi="Times New Roman"/>
          <w:sz w:val="28"/>
          <w:szCs w:val="28"/>
        </w:rPr>
        <w:t>высокочастотной абляции: просто, быстро, безопасно</w:t>
      </w:r>
      <w:r w:rsidRPr="003307F1">
        <w:rPr>
          <w:rFonts w:ascii="Times New Roman" w:eastAsia="TimesNewRoman" w:hAnsi="Times New Roman"/>
          <w:sz w:val="28"/>
          <w:szCs w:val="28"/>
        </w:rPr>
        <w:t xml:space="preserve"> /</w:t>
      </w:r>
      <w:r>
        <w:rPr>
          <w:rFonts w:ascii="Times New Roman" w:eastAsia="TimesNewRoman" w:hAnsi="Times New Roman"/>
          <w:sz w:val="28"/>
          <w:szCs w:val="28"/>
        </w:rPr>
        <w:t xml:space="preserve"> </w:t>
      </w:r>
      <w:r w:rsidRPr="003307F1">
        <w:rPr>
          <w:rFonts w:ascii="Times New Roman" w:hAnsi="Times New Roman"/>
          <w:sz w:val="28"/>
          <w:szCs w:val="28"/>
        </w:rPr>
        <w:t xml:space="preserve">Ю. З. Лифшиц, </w:t>
      </w:r>
      <w:r>
        <w:rPr>
          <w:rFonts w:ascii="Times New Roman" w:hAnsi="Times New Roman"/>
          <w:sz w:val="28"/>
          <w:szCs w:val="28"/>
        </w:rPr>
        <w:t xml:space="preserve">                     </w:t>
      </w:r>
      <w:r w:rsidRPr="003307F1">
        <w:rPr>
          <w:rFonts w:ascii="Times New Roman" w:hAnsi="Times New Roman"/>
          <w:sz w:val="28"/>
          <w:szCs w:val="28"/>
        </w:rPr>
        <w:t>В. Л. Валецкий, П. А. Зайченко [ и др. ] // Клінічна хір</w:t>
      </w:r>
      <w:r>
        <w:rPr>
          <w:rFonts w:ascii="Times New Roman" w:hAnsi="Times New Roman"/>
          <w:sz w:val="28"/>
          <w:szCs w:val="28"/>
        </w:rPr>
        <w:t>ургія. – 2011. – № 6. – С. 68-</w:t>
      </w:r>
      <w:r w:rsidRPr="003307F1">
        <w:rPr>
          <w:rFonts w:ascii="Times New Roman" w:hAnsi="Times New Roman"/>
          <w:sz w:val="28"/>
          <w:szCs w:val="28"/>
        </w:rPr>
        <w:t>69.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Оганезян А. Г. Можливості мініінвазивних технологій при лікуванні обмежених рідинних скупчень у хворих на тяжкий гострий</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панкреатит / </w:t>
      </w:r>
      <w:r>
        <w:rPr>
          <w:rFonts w:ascii="Times New Roman" w:hAnsi="Times New Roman"/>
          <w:sz w:val="28"/>
          <w:szCs w:val="28"/>
        </w:rPr>
        <w:t xml:space="preserve">                          </w:t>
      </w:r>
      <w:r w:rsidRPr="003307F1">
        <w:rPr>
          <w:rFonts w:ascii="Times New Roman" w:hAnsi="Times New Roman"/>
          <w:sz w:val="28"/>
          <w:szCs w:val="28"/>
        </w:rPr>
        <w:t>А. Г. Оганезян // Актуальні проблеми сучасної</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медицини. – 2011. </w:t>
      </w:r>
      <w:r>
        <w:rPr>
          <w:rFonts w:ascii="Times New Roman" w:hAnsi="Times New Roman"/>
          <w:sz w:val="28"/>
          <w:szCs w:val="28"/>
        </w:rPr>
        <w:t>– Т.11, вип. 2 (34). – С. 178-</w:t>
      </w:r>
      <w:r w:rsidRPr="003307F1">
        <w:rPr>
          <w:rFonts w:ascii="Times New Roman" w:hAnsi="Times New Roman"/>
          <w:sz w:val="28"/>
          <w:szCs w:val="28"/>
        </w:rPr>
        <w:t>180.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Оганезян А. Г. Ультразвукова діагностика та діапевтика обмежених</w:t>
      </w:r>
      <w:r w:rsidRPr="003307F1">
        <w:rPr>
          <w:rFonts w:ascii="Times New Roman" w:eastAsia="TimesNewRoman" w:hAnsi="Times New Roman"/>
          <w:sz w:val="28"/>
          <w:szCs w:val="28"/>
        </w:rPr>
        <w:t xml:space="preserve"> </w:t>
      </w:r>
      <w:r w:rsidRPr="003307F1">
        <w:rPr>
          <w:rFonts w:ascii="Times New Roman" w:hAnsi="Times New Roman"/>
          <w:sz w:val="28"/>
          <w:szCs w:val="28"/>
        </w:rPr>
        <w:t>рідинних скупчень при тяжкому гострому панкреатиті /</w:t>
      </w:r>
      <w:r w:rsidRPr="003307F1">
        <w:rPr>
          <w:rFonts w:ascii="Times New Roman" w:eastAsia="TimesNewRoman" w:hAnsi="Times New Roman"/>
          <w:sz w:val="28"/>
          <w:szCs w:val="28"/>
        </w:rPr>
        <w:t xml:space="preserve"> </w:t>
      </w:r>
      <w:r w:rsidRPr="003307F1">
        <w:rPr>
          <w:rFonts w:ascii="Times New Roman" w:hAnsi="Times New Roman"/>
          <w:sz w:val="28"/>
          <w:szCs w:val="28"/>
        </w:rPr>
        <w:t>А. Г. Оганезян // Актуальні проблеми сучасної</w:t>
      </w:r>
      <w:r w:rsidRPr="003307F1">
        <w:rPr>
          <w:rFonts w:ascii="Times New Roman" w:eastAsia="TimesNewRoman" w:hAnsi="Times New Roman"/>
          <w:sz w:val="28"/>
          <w:szCs w:val="28"/>
        </w:rPr>
        <w:t xml:space="preserve"> </w:t>
      </w:r>
      <w:r w:rsidRPr="003307F1">
        <w:rPr>
          <w:rFonts w:ascii="Times New Roman" w:hAnsi="Times New Roman"/>
          <w:sz w:val="28"/>
          <w:szCs w:val="28"/>
        </w:rPr>
        <w:t>медицини. – 2011 – Т. 4,</w:t>
      </w:r>
      <w:r>
        <w:rPr>
          <w:rFonts w:ascii="Times New Roman" w:hAnsi="Times New Roman"/>
          <w:sz w:val="28"/>
          <w:szCs w:val="28"/>
        </w:rPr>
        <w:t xml:space="preserve"> вип. 36, частина 1. – С. 103-</w:t>
      </w:r>
      <w:r w:rsidRPr="003307F1">
        <w:rPr>
          <w:rFonts w:ascii="Times New Roman" w:hAnsi="Times New Roman"/>
          <w:sz w:val="28"/>
          <w:szCs w:val="28"/>
        </w:rPr>
        <w:t>104.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lastRenderedPageBreak/>
        <w:t>Особенности активности матриксных металлопротеиназ при хроническом рецидивирующем панкреатите / В. А. Ахмедов, А. Л. Будылгин, В. Т. Долгих</w:t>
      </w:r>
      <w:r w:rsidRPr="003307F1">
        <w:rPr>
          <w:rFonts w:ascii="Times New Roman" w:hAnsi="Times New Roman"/>
          <w:iCs/>
          <w:sz w:val="28"/>
          <w:szCs w:val="28"/>
        </w:rPr>
        <w:t xml:space="preserve"> [ и др. ]</w:t>
      </w:r>
      <w:r w:rsidRPr="003307F1">
        <w:rPr>
          <w:rFonts w:ascii="Times New Roman" w:hAnsi="Times New Roman"/>
          <w:bCs/>
          <w:sz w:val="28"/>
          <w:szCs w:val="28"/>
        </w:rPr>
        <w:t xml:space="preserve"> //</w:t>
      </w:r>
      <w:r w:rsidRPr="003307F1">
        <w:rPr>
          <w:rFonts w:ascii="Times New Roman" w:hAnsi="Times New Roman"/>
          <w:sz w:val="28"/>
          <w:szCs w:val="28"/>
        </w:rPr>
        <w:t xml:space="preserve">Вестник НГУ. Серия: Биология, клиническая медицина. </w:t>
      </w:r>
      <w:r w:rsidRPr="003307F1">
        <w:rPr>
          <w:rFonts w:ascii="Times New Roman" w:eastAsia="Arial,Italic" w:hAnsi="Times New Roman"/>
          <w:iCs/>
          <w:sz w:val="28"/>
          <w:szCs w:val="28"/>
        </w:rPr>
        <w:t xml:space="preserve">– </w:t>
      </w:r>
      <w:r w:rsidRPr="003307F1">
        <w:rPr>
          <w:rFonts w:ascii="Times New Roman" w:hAnsi="Times New Roman"/>
          <w:sz w:val="28"/>
          <w:szCs w:val="28"/>
        </w:rPr>
        <w:t>2009.</w:t>
      </w:r>
      <w:r w:rsidRPr="003307F1">
        <w:rPr>
          <w:rFonts w:ascii="Times New Roman" w:eastAsia="Arial,Italic" w:hAnsi="Times New Roman"/>
          <w:iCs/>
          <w:sz w:val="28"/>
          <w:szCs w:val="28"/>
        </w:rPr>
        <w:t xml:space="preserve"> –</w:t>
      </w:r>
      <w:r w:rsidRPr="003307F1">
        <w:rPr>
          <w:rFonts w:ascii="Times New Roman" w:hAnsi="Times New Roman"/>
          <w:sz w:val="28"/>
          <w:szCs w:val="28"/>
        </w:rPr>
        <w:t xml:space="preserve"> Том 7, выпуск 4. </w:t>
      </w:r>
      <w:r w:rsidRPr="003307F1">
        <w:rPr>
          <w:rFonts w:ascii="Times New Roman" w:eastAsia="Arial,Italic" w:hAnsi="Times New Roman"/>
          <w:iCs/>
          <w:sz w:val="28"/>
          <w:szCs w:val="28"/>
        </w:rPr>
        <w:t xml:space="preserve">– </w:t>
      </w:r>
      <w:r>
        <w:rPr>
          <w:rFonts w:ascii="Times New Roman" w:hAnsi="Times New Roman"/>
          <w:sz w:val="28"/>
          <w:szCs w:val="28"/>
        </w:rPr>
        <w:t>С.123-</w:t>
      </w:r>
      <w:r w:rsidRPr="003307F1">
        <w:rPr>
          <w:rFonts w:ascii="Times New Roman" w:hAnsi="Times New Roman"/>
          <w:sz w:val="28"/>
          <w:szCs w:val="28"/>
        </w:rPr>
        <w:t>126.</w:t>
      </w:r>
    </w:p>
    <w:p w:rsidR="00C62D22" w:rsidRPr="00C259D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Острые жидкостные скопления у больных острым панкреатитом. Алгоритм диагностики и лечения / М. Д. Дибиров, Г. С. Рыбаков, А. И. Шамин </w:t>
      </w:r>
      <w:r w:rsidRPr="003307F1">
        <w:rPr>
          <w:rFonts w:ascii="Times New Roman" w:hAnsi="Times New Roman"/>
          <w:iCs/>
          <w:sz w:val="28"/>
          <w:szCs w:val="28"/>
        </w:rPr>
        <w:t xml:space="preserve">[ и др. ] </w:t>
      </w:r>
      <w:r w:rsidRPr="003307F1">
        <w:rPr>
          <w:rFonts w:ascii="Times New Roman" w:hAnsi="Times New Roman"/>
          <w:sz w:val="28"/>
          <w:szCs w:val="28"/>
        </w:rPr>
        <w:t>// Сб. тезисов XVII международного Конгресса хирургов-гепатологов стран СНГ «Актуальные проблемы хирургической гепатологии». – 2010. – С. 37.</w:t>
      </w:r>
    </w:p>
    <w:p w:rsidR="00C62D22" w:rsidRPr="00352049"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Особенности морфогенеза осложненных псевдокист поджелудочной железы / И.А. Криворучко, И.А. Тарабан, И.В</w:t>
      </w:r>
      <w:r>
        <w:rPr>
          <w:rFonts w:ascii="Times New Roman" w:hAnsi="Times New Roman"/>
          <w:sz w:val="28"/>
          <w:szCs w:val="28"/>
        </w:rPr>
        <w:t xml:space="preserve">. Сорокина, </w:t>
      </w:r>
      <w:r w:rsidRPr="000F2B01">
        <w:rPr>
          <w:rFonts w:ascii="Times New Roman" w:hAnsi="Times New Roman"/>
          <w:sz w:val="28"/>
          <w:szCs w:val="28"/>
        </w:rPr>
        <w:t xml:space="preserve">Н.Н. Гончарова // Новости хирургии. – 2016. – Vol. 24, №1. – С. 47-54. </w:t>
      </w:r>
    </w:p>
    <w:p w:rsidR="00C62D22" w:rsidRPr="003307F1" w:rsidRDefault="00C62D22" w:rsidP="00C62D22">
      <w:pPr>
        <w:numPr>
          <w:ilvl w:val="0"/>
          <w:numId w:val="34"/>
        </w:numPr>
        <w:tabs>
          <w:tab w:val="clear" w:pos="720"/>
          <w:tab w:val="left" w:pos="360"/>
          <w:tab w:val="left" w:pos="1080"/>
          <w:tab w:val="left" w:pos="144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Особливості діагностики та хірургічного лікування гострих інфікованих псевдокіст підшлункової залози / Н.М. Гончарова, А.Г. Дроздова, О.Є. Чернякова, Д.В. Каушнян // Зб. Тез міжвузівської конференції молодих вчених та студентів «Медицина третього тисячоліття». – Харків, 2015. – С. 147-148.</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Острый панкреатит: руководство для врачей / Под ред. проф. </w:t>
      </w:r>
      <w:r>
        <w:rPr>
          <w:rFonts w:ascii="Times New Roman" w:hAnsi="Times New Roman"/>
          <w:sz w:val="28"/>
          <w:szCs w:val="28"/>
        </w:rPr>
        <w:t xml:space="preserve">                       </w:t>
      </w:r>
      <w:r w:rsidRPr="003307F1">
        <w:rPr>
          <w:rFonts w:ascii="Times New Roman" w:hAnsi="Times New Roman"/>
          <w:sz w:val="28"/>
          <w:szCs w:val="28"/>
        </w:rPr>
        <w:t>Э. В. Недашковского. М.: ГЭОТАР Медиа, 2009. – 272 с.</w:t>
      </w:r>
    </w:p>
    <w:p w:rsidR="00C62D22" w:rsidRPr="003307F1" w:rsidRDefault="00C62D22" w:rsidP="00C62D22">
      <w:pPr>
        <w:numPr>
          <w:ilvl w:val="0"/>
          <w:numId w:val="34"/>
        </w:numPr>
        <w:shd w:val="clear" w:color="auto" w:fill="FFFFFF"/>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Острый деструктивный панкреатит: современное хирургическое лечение /</w:t>
      </w:r>
      <w:r w:rsidRPr="003307F1">
        <w:rPr>
          <w:rFonts w:ascii="Times New Roman" w:hAnsi="Times New Roman"/>
          <w:iCs/>
          <w:sz w:val="28"/>
          <w:szCs w:val="28"/>
        </w:rPr>
        <w:t xml:space="preserve"> В. В. Дарвин, С. В. Онищенко, Е. А. Краснов [ и др. ] /</w:t>
      </w:r>
      <w:r w:rsidRPr="003307F1">
        <w:rPr>
          <w:rFonts w:ascii="Times New Roman" w:hAnsi="Times New Roman"/>
          <w:sz w:val="28"/>
          <w:szCs w:val="28"/>
        </w:rPr>
        <w:t>/</w:t>
      </w:r>
      <w:r>
        <w:rPr>
          <w:rFonts w:ascii="Times New Roman" w:hAnsi="Times New Roman"/>
          <w:sz w:val="28"/>
          <w:szCs w:val="28"/>
        </w:rPr>
        <w:t xml:space="preserve"> </w:t>
      </w:r>
      <w:hyperlink r:id="rId150" w:history="1">
        <w:r w:rsidRPr="003307F1">
          <w:rPr>
            <w:rStyle w:val="af1"/>
            <w:rFonts w:ascii="Times New Roman" w:hAnsi="Times New Roman"/>
            <w:bCs/>
            <w:sz w:val="28"/>
            <w:szCs w:val="28"/>
          </w:rPr>
          <w:t>Анналы хирургической гепатологии</w:t>
        </w:r>
      </w:hyperlink>
      <w:r w:rsidRPr="003307F1">
        <w:rPr>
          <w:rFonts w:ascii="Times New Roman" w:hAnsi="Times New Roman"/>
          <w:sz w:val="28"/>
          <w:szCs w:val="28"/>
        </w:rPr>
        <w:t xml:space="preserve">. – </w:t>
      </w:r>
      <w:hyperlink r:id="rId151" w:history="1">
        <w:r w:rsidRPr="003307F1">
          <w:rPr>
            <w:rStyle w:val="af1"/>
            <w:rFonts w:ascii="Times New Roman" w:hAnsi="Times New Roman"/>
            <w:bCs/>
            <w:sz w:val="28"/>
            <w:szCs w:val="28"/>
          </w:rPr>
          <w:t>2014</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w:t>
      </w:r>
      <w:r w:rsidRPr="003307F1">
        <w:rPr>
          <w:rStyle w:val="apple-converted-space"/>
          <w:rFonts w:ascii="Times New Roman" w:hAnsi="Times New Roman"/>
          <w:sz w:val="28"/>
          <w:szCs w:val="28"/>
        </w:rPr>
        <w:t xml:space="preserve"> № </w:t>
      </w:r>
      <w:hyperlink r:id="rId152" w:history="1">
        <w:r w:rsidRPr="003307F1">
          <w:rPr>
            <w:rStyle w:val="af1"/>
            <w:rFonts w:ascii="Times New Roman" w:hAnsi="Times New Roman"/>
            <w:bCs/>
            <w:sz w:val="28"/>
            <w:szCs w:val="28"/>
          </w:rPr>
          <w:t>4</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С.</w:t>
      </w:r>
      <w:hyperlink r:id="rId153" w:history="1">
        <w:r w:rsidRPr="003307F1">
          <w:rPr>
            <w:rStyle w:val="af1"/>
            <w:rFonts w:ascii="Times New Roman" w:hAnsi="Times New Roman"/>
            <w:bCs/>
            <w:sz w:val="28"/>
            <w:szCs w:val="28"/>
          </w:rPr>
          <w:t>76</w:t>
        </w:r>
      </w:hyperlink>
      <w:r>
        <w:rPr>
          <w:rFonts w:ascii="Times New Roman" w:hAnsi="Times New Roman"/>
          <w:sz w:val="28"/>
          <w:szCs w:val="28"/>
        </w:rPr>
        <w:t>-</w:t>
      </w:r>
      <w:r w:rsidRPr="003307F1">
        <w:rPr>
          <w:rFonts w:ascii="Times New Roman" w:hAnsi="Times New Roman"/>
          <w:sz w:val="28"/>
          <w:szCs w:val="28"/>
        </w:rPr>
        <w:t>82.</w:t>
      </w:r>
    </w:p>
    <w:p w:rsidR="00C62D22" w:rsidRPr="003307F1" w:rsidRDefault="00C62D22" w:rsidP="00C62D22">
      <w:pPr>
        <w:numPr>
          <w:ilvl w:val="0"/>
          <w:numId w:val="34"/>
        </w:numPr>
        <w:shd w:val="clear" w:color="auto" w:fill="FFFFFF"/>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Оценка эффективности органосохраняющей хирургической тактики при осложненном хроническом панкреатите / </w:t>
      </w:r>
      <w:r w:rsidRPr="003307F1">
        <w:rPr>
          <w:rFonts w:ascii="Times New Roman" w:hAnsi="Times New Roman"/>
          <w:bCs/>
          <w:iCs/>
          <w:sz w:val="28"/>
          <w:szCs w:val="28"/>
        </w:rPr>
        <w:t>Т. А. Кадощук, О. Е. Каниковский,</w:t>
      </w:r>
      <w:r>
        <w:rPr>
          <w:rFonts w:ascii="Times New Roman" w:hAnsi="Times New Roman"/>
          <w:bCs/>
          <w:iCs/>
          <w:sz w:val="28"/>
          <w:szCs w:val="28"/>
        </w:rPr>
        <w:t xml:space="preserve">                   </w:t>
      </w:r>
      <w:r w:rsidRPr="003307F1">
        <w:rPr>
          <w:rFonts w:ascii="Times New Roman" w:hAnsi="Times New Roman"/>
          <w:bCs/>
          <w:iCs/>
          <w:sz w:val="28"/>
          <w:szCs w:val="28"/>
        </w:rPr>
        <w:t xml:space="preserve"> В. В. Петрушенко </w:t>
      </w:r>
      <w:r w:rsidRPr="003307F1">
        <w:rPr>
          <w:rFonts w:ascii="Times New Roman" w:hAnsi="Times New Roman"/>
          <w:iCs/>
          <w:sz w:val="28"/>
          <w:szCs w:val="28"/>
        </w:rPr>
        <w:t xml:space="preserve">[ и др. ] // Клінічна хірургія. </w:t>
      </w:r>
      <w:r>
        <w:rPr>
          <w:rFonts w:ascii="Times New Roman" w:hAnsi="Times New Roman"/>
          <w:sz w:val="28"/>
          <w:szCs w:val="28"/>
        </w:rPr>
        <w:t>– 2009. – № 7–8. – С. 48-</w:t>
      </w:r>
      <w:r w:rsidRPr="003307F1">
        <w:rPr>
          <w:rFonts w:ascii="Times New Roman" w:hAnsi="Times New Roman"/>
          <w:sz w:val="28"/>
          <w:szCs w:val="28"/>
        </w:rPr>
        <w:t xml:space="preserve">50. </w:t>
      </w:r>
    </w:p>
    <w:p w:rsidR="00C62D22" w:rsidRPr="003307F1" w:rsidRDefault="00C62D22" w:rsidP="00C62D22">
      <w:pPr>
        <w:numPr>
          <w:ilvl w:val="0"/>
          <w:numId w:val="34"/>
        </w:numPr>
        <w:shd w:val="clear" w:color="auto" w:fill="FFFFFF"/>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hAnsi="Times New Roman"/>
          <w:iCs/>
          <w:sz w:val="28"/>
          <w:szCs w:val="28"/>
        </w:rPr>
        <w:t xml:space="preserve">Пальцев </w:t>
      </w:r>
      <w:r w:rsidRPr="003307F1">
        <w:rPr>
          <w:rFonts w:ascii="Times New Roman" w:hAnsi="Times New Roman"/>
          <w:iCs/>
          <w:sz w:val="28"/>
          <w:szCs w:val="28"/>
        </w:rPr>
        <w:t>М.</w:t>
      </w:r>
      <w:r>
        <w:rPr>
          <w:rFonts w:ascii="Times New Roman" w:hAnsi="Times New Roman"/>
          <w:iCs/>
          <w:sz w:val="28"/>
          <w:szCs w:val="28"/>
        </w:rPr>
        <w:t xml:space="preserve"> </w:t>
      </w:r>
      <w:r w:rsidRPr="003307F1">
        <w:rPr>
          <w:rFonts w:ascii="Times New Roman" w:hAnsi="Times New Roman"/>
          <w:iCs/>
          <w:sz w:val="28"/>
          <w:szCs w:val="28"/>
        </w:rPr>
        <w:t>А. Межклеточные взаимодействия / М.</w:t>
      </w:r>
      <w:r>
        <w:rPr>
          <w:rFonts w:ascii="Times New Roman" w:hAnsi="Times New Roman"/>
          <w:iCs/>
          <w:sz w:val="28"/>
          <w:szCs w:val="28"/>
        </w:rPr>
        <w:t xml:space="preserve"> А. </w:t>
      </w:r>
      <w:r w:rsidRPr="003307F1">
        <w:rPr>
          <w:rFonts w:ascii="Times New Roman" w:hAnsi="Times New Roman"/>
          <w:iCs/>
          <w:sz w:val="28"/>
          <w:szCs w:val="28"/>
        </w:rPr>
        <w:t xml:space="preserve">Пальцев, </w:t>
      </w:r>
      <w:r>
        <w:rPr>
          <w:rFonts w:ascii="Times New Roman" w:hAnsi="Times New Roman"/>
          <w:iCs/>
          <w:sz w:val="28"/>
          <w:szCs w:val="28"/>
        </w:rPr>
        <w:t xml:space="preserve">                              </w:t>
      </w:r>
      <w:r w:rsidRPr="003307F1">
        <w:rPr>
          <w:rFonts w:ascii="Times New Roman" w:hAnsi="Times New Roman"/>
          <w:iCs/>
          <w:sz w:val="28"/>
          <w:szCs w:val="28"/>
        </w:rPr>
        <w:t>А.</w:t>
      </w:r>
      <w:r>
        <w:rPr>
          <w:rFonts w:ascii="Times New Roman" w:hAnsi="Times New Roman"/>
          <w:iCs/>
          <w:sz w:val="28"/>
          <w:szCs w:val="28"/>
        </w:rPr>
        <w:t xml:space="preserve"> А. </w:t>
      </w:r>
      <w:r w:rsidRPr="003307F1">
        <w:rPr>
          <w:rFonts w:ascii="Times New Roman" w:hAnsi="Times New Roman"/>
          <w:iCs/>
          <w:sz w:val="28"/>
          <w:szCs w:val="28"/>
        </w:rPr>
        <w:t>Иванов. – М.: Медицина, 1995. – 224 с.</w:t>
      </w:r>
    </w:p>
    <w:p w:rsidR="00C62D22" w:rsidRPr="003307F1" w:rsidRDefault="00C62D22" w:rsidP="00C62D22">
      <w:pPr>
        <w:numPr>
          <w:ilvl w:val="0"/>
          <w:numId w:val="34"/>
        </w:numPr>
        <w:shd w:val="clear" w:color="auto" w:fill="FFFFFF"/>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Первая в Украине лапароскопическая цистоеюностомия по Ру по поводу псевдокисты поджелудочной</w:t>
      </w:r>
      <w:r w:rsidRPr="003307F1">
        <w:rPr>
          <w:rFonts w:ascii="Times New Roman" w:eastAsia="TimesNewRoman" w:hAnsi="Times New Roman"/>
          <w:sz w:val="28"/>
          <w:szCs w:val="28"/>
        </w:rPr>
        <w:t xml:space="preserve"> </w:t>
      </w:r>
      <w:r w:rsidRPr="003307F1">
        <w:rPr>
          <w:rFonts w:ascii="Times New Roman" w:hAnsi="Times New Roman"/>
          <w:sz w:val="28"/>
          <w:szCs w:val="28"/>
        </w:rPr>
        <w:t>железы / А. В. Скумс, В. П. Шкарбан, Я. В. Романив [ и др. ] // Клінічна хі</w:t>
      </w:r>
      <w:r>
        <w:rPr>
          <w:rFonts w:ascii="Times New Roman" w:hAnsi="Times New Roman"/>
          <w:sz w:val="28"/>
          <w:szCs w:val="28"/>
        </w:rPr>
        <w:t>рургія. – № 6 – 2009. – С. 55-</w:t>
      </w:r>
      <w:r w:rsidRPr="003307F1">
        <w:rPr>
          <w:rFonts w:ascii="Times New Roman" w:hAnsi="Times New Roman"/>
          <w:sz w:val="28"/>
          <w:szCs w:val="28"/>
        </w:rPr>
        <w:t>56.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lastRenderedPageBreak/>
        <w:t>Первый опыт формирования билиодигестивного анастомоза</w:t>
      </w:r>
      <w:r w:rsidRPr="003307F1">
        <w:rPr>
          <w:rFonts w:ascii="Times New Roman" w:eastAsia="TimesNewRoman" w:hAnsi="Times New Roman"/>
          <w:sz w:val="28"/>
          <w:szCs w:val="28"/>
        </w:rPr>
        <w:t xml:space="preserve"> </w:t>
      </w:r>
      <w:r w:rsidRPr="003307F1">
        <w:rPr>
          <w:rFonts w:ascii="Times New Roman" w:hAnsi="Times New Roman"/>
          <w:sz w:val="28"/>
          <w:szCs w:val="28"/>
        </w:rPr>
        <w:t>под контролем эндо – УЗИ / С. А. Будзинский, С. Г. Шаповальянц,</w:t>
      </w:r>
      <w:r w:rsidRPr="003307F1">
        <w:rPr>
          <w:rFonts w:ascii="Times New Roman" w:eastAsia="TimesNewRoman" w:hAnsi="Times New Roman"/>
          <w:sz w:val="28"/>
          <w:szCs w:val="28"/>
        </w:rPr>
        <w:t xml:space="preserve"> </w:t>
      </w:r>
      <w:r w:rsidRPr="003307F1">
        <w:rPr>
          <w:rFonts w:ascii="Times New Roman" w:hAnsi="Times New Roman"/>
          <w:sz w:val="28"/>
          <w:szCs w:val="28"/>
        </w:rPr>
        <w:t>Е. Д. Федоров [ и др. ] // Анналы хирургической гепатол</w:t>
      </w:r>
      <w:r>
        <w:rPr>
          <w:rFonts w:ascii="Times New Roman" w:hAnsi="Times New Roman"/>
          <w:sz w:val="28"/>
          <w:szCs w:val="28"/>
        </w:rPr>
        <w:t>огии. – 2013. – № 1. – C. 117-</w:t>
      </w:r>
      <w:r w:rsidRPr="003307F1">
        <w:rPr>
          <w:rFonts w:ascii="Times New Roman" w:hAnsi="Times New Roman"/>
          <w:sz w:val="28"/>
          <w:szCs w:val="28"/>
        </w:rPr>
        <w:t>121.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Первый опыт лапароскопических операций при хроническом панкреатите / И. Е. </w:t>
      </w:r>
      <w:r w:rsidRPr="003307F1">
        <w:rPr>
          <w:rFonts w:ascii="Times New Roman" w:hAnsi="Times New Roman"/>
          <w:iCs/>
          <w:sz w:val="28"/>
          <w:szCs w:val="28"/>
        </w:rPr>
        <w:t>Хатьков, В. В. Цвиркун, Р. Е. Израилов [ и др. ] /</w:t>
      </w:r>
      <w:r w:rsidRPr="003307F1">
        <w:rPr>
          <w:rFonts w:ascii="Times New Roman" w:hAnsi="Times New Roman"/>
          <w:sz w:val="28"/>
          <w:szCs w:val="28"/>
        </w:rPr>
        <w:t xml:space="preserve">/ </w:t>
      </w:r>
      <w:hyperlink r:id="rId154" w:history="1">
        <w:r w:rsidRPr="003307F1">
          <w:rPr>
            <w:rStyle w:val="af1"/>
            <w:rFonts w:ascii="Times New Roman" w:hAnsi="Times New Roman"/>
            <w:bCs/>
            <w:sz w:val="28"/>
            <w:szCs w:val="28"/>
          </w:rPr>
          <w:t>Анналы хирургической гепатологии</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w:t>
      </w:r>
      <w:hyperlink r:id="rId155" w:history="1">
        <w:r w:rsidRPr="003307F1">
          <w:rPr>
            <w:rStyle w:val="af1"/>
            <w:rFonts w:ascii="Times New Roman" w:hAnsi="Times New Roman"/>
            <w:bCs/>
            <w:sz w:val="28"/>
            <w:szCs w:val="28"/>
          </w:rPr>
          <w:t>2014</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w:t>
      </w:r>
      <w:hyperlink r:id="rId156" w:history="1">
        <w:r w:rsidRPr="003307F1">
          <w:rPr>
            <w:rStyle w:val="af1"/>
            <w:rFonts w:ascii="Times New Roman" w:hAnsi="Times New Roman"/>
            <w:bCs/>
            <w:sz w:val="28"/>
            <w:szCs w:val="28"/>
          </w:rPr>
          <w:t>3</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С. </w:t>
      </w:r>
      <w:hyperlink r:id="rId157" w:history="1">
        <w:r w:rsidRPr="003307F1">
          <w:rPr>
            <w:rStyle w:val="af1"/>
            <w:rFonts w:ascii="Times New Roman" w:hAnsi="Times New Roman"/>
            <w:bCs/>
            <w:sz w:val="28"/>
            <w:szCs w:val="28"/>
          </w:rPr>
          <w:t>10</w:t>
        </w:r>
      </w:hyperlink>
      <w:r>
        <w:rPr>
          <w:rFonts w:ascii="Times New Roman" w:hAnsi="Times New Roman"/>
          <w:sz w:val="28"/>
          <w:szCs w:val="28"/>
        </w:rPr>
        <w:t>-</w:t>
      </w:r>
      <w:r w:rsidRPr="003307F1">
        <w:rPr>
          <w:rFonts w:ascii="Times New Roman" w:hAnsi="Times New Roman"/>
          <w:sz w:val="28"/>
          <w:szCs w:val="28"/>
        </w:rPr>
        <w:t>16.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Первый опыт лапароскопической дистальной</w:t>
      </w:r>
      <w:r w:rsidRPr="003307F1">
        <w:rPr>
          <w:rFonts w:ascii="Times New Roman" w:eastAsia="TimesNewRoman" w:hAnsi="Times New Roman"/>
          <w:sz w:val="28"/>
          <w:szCs w:val="28"/>
        </w:rPr>
        <w:t xml:space="preserve"> </w:t>
      </w:r>
      <w:r w:rsidRPr="003307F1">
        <w:rPr>
          <w:rFonts w:ascii="Times New Roman" w:hAnsi="Times New Roman"/>
          <w:bCs/>
          <w:sz w:val="28"/>
          <w:szCs w:val="28"/>
        </w:rPr>
        <w:t xml:space="preserve">резекции поджелудочной железы / </w:t>
      </w:r>
      <w:r w:rsidRPr="003307F1">
        <w:rPr>
          <w:rFonts w:ascii="Times New Roman" w:hAnsi="Times New Roman"/>
          <w:sz w:val="28"/>
          <w:szCs w:val="28"/>
        </w:rPr>
        <w:t>М. Е. Ничитайло, В. В. Черный, О. Н. Гулько [ и др.] // Клінічна хірур</w:t>
      </w:r>
      <w:r>
        <w:rPr>
          <w:rFonts w:ascii="Times New Roman" w:hAnsi="Times New Roman"/>
          <w:sz w:val="28"/>
          <w:szCs w:val="28"/>
        </w:rPr>
        <w:t>гія. – 2014. – № 1.2. – С. 42-</w:t>
      </w:r>
      <w:r w:rsidRPr="003307F1">
        <w:rPr>
          <w:rFonts w:ascii="Times New Roman" w:hAnsi="Times New Roman"/>
          <w:sz w:val="28"/>
          <w:szCs w:val="28"/>
        </w:rPr>
        <w:t>45.</w:t>
      </w:r>
    </w:p>
    <w:p w:rsidR="00C62D22" w:rsidRPr="003307F1" w:rsidRDefault="00C62D22" w:rsidP="00C62D22">
      <w:pPr>
        <w:numPr>
          <w:ilvl w:val="0"/>
          <w:numId w:val="34"/>
        </w:numPr>
        <w:shd w:val="clear" w:color="auto" w:fill="FFFFFF"/>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Петрушенко В. В. </w:t>
      </w:r>
      <w:r w:rsidRPr="003307F1">
        <w:rPr>
          <w:rFonts w:ascii="Times New Roman" w:eastAsia="TimesNewRomanPS-BoldMT" w:hAnsi="Times New Roman"/>
          <w:bCs/>
          <w:sz w:val="28"/>
          <w:szCs w:val="28"/>
        </w:rPr>
        <w:t xml:space="preserve">Диагностика и хирургическая тактика при лечении панкреатобронхиальных свищей / </w:t>
      </w:r>
      <w:r w:rsidRPr="003307F1">
        <w:rPr>
          <w:rFonts w:ascii="Times New Roman" w:eastAsia="TimesNewRomanPSMT" w:hAnsi="Times New Roman"/>
          <w:sz w:val="28"/>
          <w:szCs w:val="28"/>
        </w:rPr>
        <w:t>В. В. Петрушенко, Т. А. Кадощук, С. С. Стукан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73-</w:t>
      </w:r>
      <w:r w:rsidRPr="003307F1">
        <w:rPr>
          <w:rFonts w:ascii="Times New Roman" w:hAnsi="Times New Roman"/>
          <w:sz w:val="28"/>
          <w:szCs w:val="28"/>
        </w:rPr>
        <w:t>75.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Пинский А. Б. Геморрагические осложнения псевдокист поджелудочной железы / А. Б. Пинский, Э. К. Гусейнов, Т. Г. Дюжева // XVII Междунар. конгр. Хирургов гепатологов стран СНГ “Актуальные проблемы хирургической гепато</w:t>
      </w:r>
      <w:r>
        <w:rPr>
          <w:rFonts w:ascii="Times New Roman" w:hAnsi="Times New Roman"/>
          <w:sz w:val="28"/>
          <w:szCs w:val="28"/>
        </w:rPr>
        <w:t>логии”. – Уфа, 2010. – С. 232-</w:t>
      </w:r>
      <w:r w:rsidRPr="003307F1">
        <w:rPr>
          <w:rFonts w:ascii="Times New Roman" w:hAnsi="Times New Roman"/>
          <w:sz w:val="28"/>
          <w:szCs w:val="28"/>
        </w:rPr>
        <w:t>233.</w:t>
      </w:r>
      <w:bookmarkStart w:id="1" w:name="_Ref268967537"/>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pacing w:val="-4"/>
          <w:sz w:val="28"/>
          <w:szCs w:val="28"/>
        </w:rPr>
        <w:t>Пирс Э. Гистохимия (теоретическая и прикладная) / Э. Пирс. – М.: Иностранная</w:t>
      </w:r>
      <w:r w:rsidRPr="003307F1">
        <w:rPr>
          <w:rFonts w:ascii="Times New Roman" w:hAnsi="Times New Roman"/>
          <w:sz w:val="28"/>
          <w:szCs w:val="28"/>
        </w:rPr>
        <w:t xml:space="preserve"> литература, 1962. – 962 с.</w:t>
      </w:r>
      <w:bookmarkEnd w:id="1"/>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Погребняков В. Ю. </w:t>
      </w:r>
      <w:r w:rsidRPr="003307F1">
        <w:rPr>
          <w:rFonts w:ascii="Times New Roman" w:eastAsia="TimesNewRomanPS-BoldMT" w:hAnsi="Times New Roman"/>
          <w:bCs/>
          <w:sz w:val="28"/>
          <w:szCs w:val="28"/>
        </w:rPr>
        <w:t xml:space="preserve">Комплексное хирургическое лечение ложных кист поджелудочной железы / </w:t>
      </w:r>
      <w:r w:rsidRPr="003307F1">
        <w:rPr>
          <w:rFonts w:ascii="Times New Roman" w:eastAsia="TimesNewRomanPSMT" w:hAnsi="Times New Roman"/>
          <w:sz w:val="28"/>
          <w:szCs w:val="28"/>
        </w:rPr>
        <w:t>В. Ю. Погребняков, С. Л. Лобанов, Б. Н. Хавень</w:t>
      </w:r>
      <w:r>
        <w:rPr>
          <w:rFonts w:ascii="Times New Roman" w:eastAsia="TimesNewRomanPSMT" w:hAnsi="Times New Roman"/>
          <w:sz w:val="28"/>
          <w:szCs w:val="28"/>
        </w:rPr>
        <w:t xml:space="preserve"> </w:t>
      </w:r>
      <w:r w:rsidRPr="003307F1">
        <w:rPr>
          <w:rFonts w:ascii="Times New Roman" w:eastAsia="TimesNewRomanPSMT" w:hAnsi="Times New Roman"/>
          <w:sz w:val="28"/>
          <w:szCs w:val="28"/>
        </w:rPr>
        <w:t>//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77-</w:t>
      </w:r>
      <w:r w:rsidRPr="003307F1">
        <w:rPr>
          <w:rFonts w:ascii="Times New Roman" w:hAnsi="Times New Roman"/>
          <w:sz w:val="28"/>
          <w:szCs w:val="28"/>
        </w:rPr>
        <w:t>80.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Погребняков В. Ю. </w:t>
      </w:r>
      <w:r w:rsidRPr="003307F1">
        <w:rPr>
          <w:rFonts w:ascii="Times New Roman" w:eastAsia="TimesNewRomanPS-BoldMT" w:hAnsi="Times New Roman"/>
          <w:bCs/>
          <w:sz w:val="28"/>
          <w:szCs w:val="28"/>
        </w:rPr>
        <w:t>Рентгенохирургические подходы</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к лечению кист поджелудочной железы / </w:t>
      </w:r>
      <w:r w:rsidRPr="003307F1">
        <w:rPr>
          <w:rFonts w:ascii="Times New Roman" w:eastAsia="TimesNewRomanPSMT" w:hAnsi="Times New Roman"/>
          <w:sz w:val="28"/>
          <w:szCs w:val="28"/>
        </w:rPr>
        <w:t xml:space="preserve">В. Ю. Погребняков </w:t>
      </w:r>
      <w:r w:rsidRPr="003307F1">
        <w:rPr>
          <w:rFonts w:ascii="Times New Roman" w:eastAsia="TimesNewRomanPS-BoldMT" w:hAnsi="Times New Roman"/>
          <w:b/>
          <w:bCs/>
          <w:sz w:val="28"/>
          <w:szCs w:val="28"/>
        </w:rPr>
        <w:t xml:space="preserve">// </w:t>
      </w:r>
      <w:r w:rsidRPr="003307F1">
        <w:rPr>
          <w:rFonts w:ascii="Times New Roman" w:eastAsia="TimesNewRomanPSMT" w:hAnsi="Times New Roman"/>
          <w:sz w:val="28"/>
          <w:szCs w:val="28"/>
        </w:rPr>
        <w:t>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sidRPr="003307F1">
        <w:rPr>
          <w:rFonts w:ascii="Times New Roman" w:hAnsi="Times New Roman"/>
          <w:sz w:val="28"/>
          <w:szCs w:val="28"/>
        </w:rPr>
        <w:t>– Иж</w:t>
      </w:r>
      <w:r>
        <w:rPr>
          <w:rFonts w:ascii="Times New Roman" w:hAnsi="Times New Roman"/>
          <w:sz w:val="28"/>
          <w:szCs w:val="28"/>
        </w:rPr>
        <w:t>евск, 2012. – С. 82-</w:t>
      </w:r>
      <w:r w:rsidRPr="003307F1">
        <w:rPr>
          <w:rFonts w:ascii="Times New Roman" w:hAnsi="Times New Roman"/>
          <w:sz w:val="28"/>
          <w:szCs w:val="28"/>
        </w:rPr>
        <w:t>84.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Italic" w:hAnsi="Times New Roman"/>
          <w:iCs/>
          <w:sz w:val="28"/>
          <w:szCs w:val="28"/>
        </w:rPr>
        <w:t xml:space="preserve">Потійко О.В. </w:t>
      </w:r>
      <w:r w:rsidRPr="003307F1">
        <w:rPr>
          <w:rFonts w:ascii="Times New Roman" w:eastAsia="TimesNewRoman" w:hAnsi="Times New Roman"/>
          <w:sz w:val="28"/>
          <w:szCs w:val="28"/>
        </w:rPr>
        <w:t xml:space="preserve">Міні-інвазивні хірургічні втручання у хворих на гострий некротичний панкреатит / О. В. Потійко // Шпитальна </w:t>
      </w:r>
      <w:r w:rsidRPr="003307F1">
        <w:rPr>
          <w:rFonts w:ascii="Times New Roman" w:eastAsia="Arial,Italic" w:hAnsi="Times New Roman"/>
          <w:iCs/>
          <w:sz w:val="28"/>
          <w:szCs w:val="28"/>
        </w:rPr>
        <w:t xml:space="preserve">хірургія. </w:t>
      </w:r>
      <w:r w:rsidRPr="003307F1">
        <w:rPr>
          <w:rFonts w:ascii="Times New Roman" w:hAnsi="Times New Roman"/>
          <w:sz w:val="28"/>
          <w:szCs w:val="28"/>
        </w:rPr>
        <w:t>–</w:t>
      </w:r>
      <w:r w:rsidRPr="003307F1">
        <w:rPr>
          <w:rFonts w:ascii="Times New Roman" w:eastAsia="Arial,Italic" w:hAnsi="Times New Roman"/>
          <w:iCs/>
          <w:sz w:val="28"/>
          <w:szCs w:val="28"/>
        </w:rPr>
        <w:t xml:space="preserve"> 2009. </w:t>
      </w:r>
      <w:r w:rsidRPr="003307F1">
        <w:rPr>
          <w:rFonts w:ascii="Times New Roman" w:hAnsi="Times New Roman"/>
          <w:sz w:val="28"/>
          <w:szCs w:val="28"/>
        </w:rPr>
        <w:t xml:space="preserve">– № </w:t>
      </w:r>
      <w:r w:rsidRPr="003307F1">
        <w:rPr>
          <w:rFonts w:ascii="Times New Roman" w:eastAsia="Arial,Italic" w:hAnsi="Times New Roman"/>
          <w:iCs/>
          <w:sz w:val="28"/>
          <w:szCs w:val="28"/>
        </w:rPr>
        <w:t xml:space="preserve">3. </w:t>
      </w:r>
      <w:r w:rsidRPr="003307F1">
        <w:rPr>
          <w:rFonts w:ascii="Times New Roman" w:hAnsi="Times New Roman"/>
          <w:sz w:val="28"/>
          <w:szCs w:val="28"/>
        </w:rPr>
        <w:t>–</w:t>
      </w:r>
      <w:r>
        <w:rPr>
          <w:rFonts w:ascii="Times New Roman" w:eastAsia="TimesNewRoman" w:hAnsi="Times New Roman"/>
          <w:sz w:val="28"/>
          <w:szCs w:val="28"/>
        </w:rPr>
        <w:t xml:space="preserve"> С. 55-</w:t>
      </w:r>
      <w:r w:rsidRPr="003307F1">
        <w:rPr>
          <w:rFonts w:ascii="Times New Roman" w:eastAsia="TimesNewRoman" w:hAnsi="Times New Roman"/>
          <w:sz w:val="28"/>
          <w:szCs w:val="28"/>
        </w:rPr>
        <w:t>59.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lastRenderedPageBreak/>
        <w:t xml:space="preserve">Применение динамической межфазной тензиометрии крови при псевдокистах поджелудочной железы / </w:t>
      </w:r>
      <w:r w:rsidRPr="003307F1">
        <w:rPr>
          <w:rFonts w:ascii="Times New Roman" w:hAnsi="Times New Roman"/>
          <w:bCs/>
          <w:iCs/>
          <w:sz w:val="28"/>
          <w:szCs w:val="28"/>
        </w:rPr>
        <w:t xml:space="preserve">Я. Г. Колкин, В. Б. Файнерман, В. В. Хацко [ и др. ] // Клінічна хірургія. </w:t>
      </w:r>
      <w:r>
        <w:rPr>
          <w:rFonts w:ascii="Times New Roman" w:hAnsi="Times New Roman"/>
          <w:sz w:val="28"/>
          <w:szCs w:val="28"/>
        </w:rPr>
        <w:t>– 2009. – № 7 – 8. – С. 62-</w:t>
      </w:r>
      <w:r w:rsidRPr="003307F1">
        <w:rPr>
          <w:rFonts w:ascii="Times New Roman" w:hAnsi="Times New Roman"/>
          <w:sz w:val="28"/>
          <w:szCs w:val="28"/>
        </w:rPr>
        <w:t>64.</w:t>
      </w:r>
    </w:p>
    <w:p w:rsid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Применение вакуум-терапии и программированной лапаростомии</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у больных при тяжелой форме инфицированного некротического панкреатита / </w:t>
      </w:r>
      <w:r>
        <w:rPr>
          <w:rFonts w:ascii="Times New Roman" w:hAnsi="Times New Roman"/>
          <w:sz w:val="28"/>
          <w:szCs w:val="28"/>
        </w:rPr>
        <w:t xml:space="preserve">               </w:t>
      </w:r>
      <w:r w:rsidRPr="003307F1">
        <w:rPr>
          <w:rFonts w:ascii="Times New Roman" w:hAnsi="Times New Roman"/>
          <w:sz w:val="28"/>
          <w:szCs w:val="28"/>
        </w:rPr>
        <w:t>Ю. З. Лифшиц, В. Л. Валецкий, П. А. Зайченко, Г. Ю. Федосеев // Клінічна хірургія. – 2</w:t>
      </w:r>
      <w:r>
        <w:rPr>
          <w:rFonts w:ascii="Times New Roman" w:hAnsi="Times New Roman"/>
          <w:sz w:val="28"/>
          <w:szCs w:val="28"/>
        </w:rPr>
        <w:t>012. – № 10 (Додаток). – С.32-</w:t>
      </w:r>
      <w:r w:rsidRPr="003307F1">
        <w:rPr>
          <w:rFonts w:ascii="Times New Roman" w:hAnsi="Times New Roman"/>
          <w:sz w:val="28"/>
          <w:szCs w:val="28"/>
        </w:rPr>
        <w:t>33</w:t>
      </w:r>
      <w:r>
        <w:rPr>
          <w:rFonts w:ascii="Times New Roman" w:hAnsi="Times New Roman"/>
          <w:sz w:val="28"/>
          <w:szCs w:val="28"/>
        </w:rPr>
        <w:t>.</w:t>
      </w:r>
    </w:p>
    <w:p w:rsidR="00C62D22" w:rsidRPr="00352049"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Применение миниинвазивных технологий при лечении осложненных псевдокист поджелудочной железы, возникших на фоне хронического панкреатита / В.М. Копчак, И.А. Криворучко, В.И. Лупольцов, Н.Н. Гончарова // Мат. ХХIII Международного Конгресса Ассоциации гепатопанкреатобилиарных хирургов стран СНГ «Актуальные проблемы гепатопанкреатобилиарной хирургии». – Минск, 2016. – С. 182-183.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Прогнозування ефективності пункційно-дренувальних</w:t>
      </w:r>
      <w:r w:rsidRPr="003307F1">
        <w:rPr>
          <w:rFonts w:ascii="Times New Roman" w:eastAsia="TimesNewRoman" w:hAnsi="Times New Roman"/>
          <w:sz w:val="28"/>
          <w:szCs w:val="28"/>
        </w:rPr>
        <w:t xml:space="preserve"> </w:t>
      </w:r>
      <w:r w:rsidRPr="003307F1">
        <w:rPr>
          <w:rFonts w:ascii="Times New Roman" w:hAnsi="Times New Roman"/>
          <w:sz w:val="28"/>
          <w:szCs w:val="28"/>
        </w:rPr>
        <w:t>санаційних втручань під контролем ультразвукового</w:t>
      </w:r>
      <w:r w:rsidRPr="003307F1">
        <w:rPr>
          <w:rFonts w:ascii="Times New Roman" w:eastAsia="TimesNewRoman" w:hAnsi="Times New Roman"/>
          <w:sz w:val="28"/>
          <w:szCs w:val="28"/>
        </w:rPr>
        <w:t xml:space="preserve"> </w:t>
      </w:r>
      <w:r w:rsidRPr="003307F1">
        <w:rPr>
          <w:rFonts w:ascii="Times New Roman" w:hAnsi="Times New Roman"/>
          <w:sz w:val="28"/>
          <w:szCs w:val="28"/>
        </w:rPr>
        <w:t>дослідження з приводу тяжкого гострого панкреатиту</w:t>
      </w:r>
      <w:r w:rsidRPr="003307F1">
        <w:rPr>
          <w:rFonts w:ascii="Times New Roman" w:eastAsia="TimesNewRoman" w:hAnsi="Times New Roman"/>
          <w:sz w:val="28"/>
          <w:szCs w:val="28"/>
        </w:rPr>
        <w:t xml:space="preserve"> / </w:t>
      </w:r>
      <w:r w:rsidRPr="003307F1">
        <w:rPr>
          <w:rFonts w:ascii="Times New Roman" w:hAnsi="Times New Roman"/>
          <w:sz w:val="28"/>
          <w:szCs w:val="28"/>
        </w:rPr>
        <w:t>В. Д. Шейко, А. Г. Оганезян, О. А. Шкурупій, Р. А. Прихідько // Клінічна хіру</w:t>
      </w:r>
      <w:r>
        <w:rPr>
          <w:rFonts w:ascii="Times New Roman" w:hAnsi="Times New Roman"/>
          <w:sz w:val="28"/>
          <w:szCs w:val="28"/>
        </w:rPr>
        <w:t>ргія. – 2013. – № 11. – С. 24-</w:t>
      </w:r>
      <w:r w:rsidRPr="003307F1">
        <w:rPr>
          <w:rFonts w:ascii="Times New Roman" w:hAnsi="Times New Roman"/>
          <w:sz w:val="28"/>
          <w:szCs w:val="28"/>
        </w:rPr>
        <w:t>26.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Проксимальная и дистальная резекция поджелудочной железы с сохранением тела / Ю. И. </w:t>
      </w:r>
      <w:r w:rsidRPr="003307F1">
        <w:rPr>
          <w:rStyle w:val="ab"/>
          <w:rFonts w:ascii="Times New Roman" w:hAnsi="Times New Roman"/>
          <w:b w:val="0"/>
          <w:sz w:val="28"/>
          <w:szCs w:val="28"/>
        </w:rPr>
        <w:t xml:space="preserve">Патютко, Н. Е. Кудашкин, А. Н. Поляков </w:t>
      </w:r>
      <w:r w:rsidRPr="003307F1">
        <w:rPr>
          <w:rFonts w:ascii="Times New Roman" w:hAnsi="Times New Roman"/>
          <w:sz w:val="28"/>
          <w:szCs w:val="28"/>
        </w:rPr>
        <w:t>// Хирургия. Журнал им. Н. И. П</w:t>
      </w:r>
      <w:r>
        <w:rPr>
          <w:rFonts w:ascii="Times New Roman" w:hAnsi="Times New Roman"/>
          <w:sz w:val="28"/>
          <w:szCs w:val="28"/>
        </w:rPr>
        <w:t>ирогова. – 2012. – №2. – С.70-</w:t>
      </w:r>
      <w:r w:rsidRPr="003307F1">
        <w:rPr>
          <w:rFonts w:ascii="Times New Roman" w:hAnsi="Times New Roman"/>
          <w:sz w:val="28"/>
          <w:szCs w:val="28"/>
        </w:rPr>
        <w:t>73.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Променеві методи </w:t>
      </w:r>
      <w:r w:rsidRPr="003307F1">
        <w:rPr>
          <w:rFonts w:ascii="Times New Roman" w:hAnsi="Times New Roman"/>
          <w:bCs/>
          <w:sz w:val="28"/>
          <w:szCs w:val="28"/>
          <w:shd w:val="clear" w:color="auto" w:fill="FFFFFF"/>
        </w:rPr>
        <w:t>діагностики і лікування судинних ускладнень псевдокіст</w:t>
      </w:r>
      <w:r w:rsidRPr="003307F1">
        <w:rPr>
          <w:rStyle w:val="apple-converted-space"/>
          <w:rFonts w:ascii="Times New Roman" w:hAnsi="Times New Roman"/>
          <w:bCs/>
          <w:sz w:val="28"/>
          <w:szCs w:val="28"/>
          <w:shd w:val="clear" w:color="auto" w:fill="FFFFFF"/>
        </w:rPr>
        <w:t xml:space="preserve"> </w:t>
      </w:r>
      <w:r w:rsidRPr="003307F1">
        <w:rPr>
          <w:rFonts w:ascii="Times New Roman" w:hAnsi="Times New Roman"/>
          <w:bCs/>
          <w:sz w:val="28"/>
          <w:szCs w:val="28"/>
          <w:shd w:val="clear" w:color="auto" w:fill="FFFFFF"/>
        </w:rPr>
        <w:t>підшлункової</w:t>
      </w:r>
      <w:r w:rsidRPr="003307F1">
        <w:rPr>
          <w:rStyle w:val="apple-converted-space"/>
          <w:rFonts w:ascii="Times New Roman" w:hAnsi="Times New Roman"/>
          <w:bCs/>
          <w:sz w:val="28"/>
          <w:szCs w:val="28"/>
          <w:shd w:val="clear" w:color="auto" w:fill="FFFFFF"/>
        </w:rPr>
        <w:t xml:space="preserve"> </w:t>
      </w:r>
      <w:r w:rsidRPr="003307F1">
        <w:rPr>
          <w:rFonts w:ascii="Times New Roman" w:hAnsi="Times New Roman"/>
          <w:bCs/>
          <w:sz w:val="28"/>
          <w:szCs w:val="28"/>
          <w:shd w:val="clear" w:color="auto" w:fill="FFFFFF"/>
        </w:rPr>
        <w:t>залози</w:t>
      </w:r>
      <w:r w:rsidRPr="003307F1">
        <w:rPr>
          <w:rStyle w:val="apple-converted-space"/>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 xml:space="preserve">/ Ю. А. Степанова, Л. С. Коков, Г. Г. Кармазановський, </w:t>
      </w:r>
      <w:r>
        <w:rPr>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І. А. Козлов //</w:t>
      </w:r>
      <w:r w:rsidRPr="003307F1">
        <w:rPr>
          <w:rStyle w:val="apple-converted-space"/>
          <w:rFonts w:ascii="Times New Roman" w:hAnsi="Times New Roman"/>
          <w:sz w:val="28"/>
          <w:szCs w:val="28"/>
          <w:shd w:val="clear" w:color="auto" w:fill="FFFFFF"/>
        </w:rPr>
        <w:t xml:space="preserve"> </w:t>
      </w:r>
      <w:hyperlink r:id="rId158" w:tooltip="Періодичне видання" w:history="1">
        <w:r w:rsidRPr="003307F1">
          <w:rPr>
            <w:rStyle w:val="af1"/>
            <w:rFonts w:ascii="Times New Roman" w:hAnsi="Times New Roman"/>
            <w:sz w:val="28"/>
            <w:szCs w:val="28"/>
            <w:shd w:val="clear" w:color="auto" w:fill="FFFFFF"/>
          </w:rPr>
          <w:t>Науковий вісник Ужгородського університету. Сер.: Медицина</w:t>
        </w:r>
      </w:hyperlink>
      <w:r w:rsidRPr="003307F1">
        <w:rPr>
          <w:rFonts w:ascii="Times New Roman" w:hAnsi="Times New Roman"/>
          <w:sz w:val="28"/>
          <w:szCs w:val="28"/>
          <w:shd w:val="clear" w:color="auto" w:fill="FFFFFF"/>
        </w:rPr>
        <w:t xml:space="preserve">.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2011. </w:t>
      </w:r>
      <w:r w:rsidRPr="003307F1">
        <w:rPr>
          <w:rFonts w:ascii="Times New Roman" w:hAnsi="Times New Roman"/>
          <w:sz w:val="28"/>
          <w:szCs w:val="28"/>
        </w:rPr>
        <w:t xml:space="preserve">– </w:t>
      </w:r>
      <w:r w:rsidRPr="003307F1">
        <w:rPr>
          <w:rFonts w:ascii="Times New Roman" w:hAnsi="Times New Roman"/>
          <w:sz w:val="28"/>
          <w:szCs w:val="28"/>
          <w:shd w:val="clear" w:color="auto" w:fill="FFFFFF"/>
        </w:rPr>
        <w:t xml:space="preserve">Вип. 2.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С. 245</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 xml:space="preserve">255.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iCs/>
          <w:sz w:val="28"/>
          <w:szCs w:val="28"/>
        </w:rPr>
        <w:t xml:space="preserve">Пропп А. Р. </w:t>
      </w:r>
      <w:hyperlink r:id="rId159" w:history="1">
        <w:r w:rsidRPr="003307F1">
          <w:rPr>
            <w:rStyle w:val="af1"/>
            <w:rFonts w:ascii="Times New Roman" w:hAnsi="Times New Roman"/>
            <w:sz w:val="28"/>
            <w:szCs w:val="28"/>
          </w:rPr>
          <w:t xml:space="preserve">Хирургическое лечение доброкачественных кист поджелудочной железы / </w:t>
        </w:r>
        <w:r w:rsidRPr="003307F1">
          <w:rPr>
            <w:rStyle w:val="af1"/>
            <w:rFonts w:ascii="Times New Roman" w:hAnsi="Times New Roman"/>
            <w:iCs/>
            <w:sz w:val="28"/>
            <w:szCs w:val="28"/>
          </w:rPr>
          <w:t>А. Р. Пропп, В. Л. Полуэктов /</w:t>
        </w:r>
        <w:r w:rsidRPr="003307F1">
          <w:rPr>
            <w:rStyle w:val="af1"/>
            <w:rFonts w:ascii="Times New Roman" w:hAnsi="Times New Roman"/>
            <w:sz w:val="28"/>
            <w:szCs w:val="28"/>
          </w:rPr>
          <w:t>/ А</w:t>
        </w:r>
        <w:hyperlink r:id="rId160" w:history="1">
          <w:r w:rsidRPr="003307F1">
            <w:rPr>
              <w:rStyle w:val="af1"/>
              <w:rFonts w:ascii="Times New Roman" w:hAnsi="Times New Roman"/>
              <w:bCs/>
              <w:sz w:val="28"/>
              <w:szCs w:val="28"/>
            </w:rPr>
            <w:t>нналы хирургической гепатологии</w:t>
          </w:r>
        </w:hyperlink>
        <w:r w:rsidRPr="003307F1">
          <w:rPr>
            <w:rStyle w:val="apple-converted-space"/>
            <w:rFonts w:ascii="Times New Roman" w:hAnsi="Times New Roman"/>
            <w:sz w:val="28"/>
            <w:szCs w:val="28"/>
          </w:rPr>
          <w:t xml:space="preserve">. </w:t>
        </w:r>
        <w:r w:rsidRPr="003307F1">
          <w:rPr>
            <w:rStyle w:val="af1"/>
            <w:rFonts w:ascii="Times New Roman" w:hAnsi="Times New Roman"/>
            <w:sz w:val="28"/>
            <w:szCs w:val="28"/>
          </w:rPr>
          <w:t xml:space="preserve">– </w:t>
        </w:r>
        <w:hyperlink r:id="rId161" w:history="1">
          <w:r w:rsidRPr="003307F1">
            <w:rPr>
              <w:rStyle w:val="af1"/>
              <w:rFonts w:ascii="Times New Roman" w:hAnsi="Times New Roman"/>
              <w:bCs/>
              <w:sz w:val="28"/>
              <w:szCs w:val="28"/>
            </w:rPr>
            <w:t>2010</w:t>
          </w:r>
        </w:hyperlink>
        <w:r w:rsidRPr="003307F1">
          <w:rPr>
            <w:rStyle w:val="apple-converted-space"/>
            <w:rFonts w:ascii="Times New Roman" w:hAnsi="Times New Roman"/>
            <w:sz w:val="28"/>
            <w:szCs w:val="28"/>
          </w:rPr>
          <w:t xml:space="preserve">. </w:t>
        </w:r>
        <w:r w:rsidRPr="003307F1">
          <w:rPr>
            <w:rStyle w:val="af1"/>
            <w:rFonts w:ascii="Times New Roman" w:hAnsi="Times New Roman"/>
            <w:sz w:val="28"/>
            <w:szCs w:val="28"/>
          </w:rPr>
          <w:t xml:space="preserve">– № </w:t>
        </w:r>
        <w:hyperlink r:id="rId162" w:history="1">
          <w:r w:rsidRPr="003307F1">
            <w:rPr>
              <w:rStyle w:val="af1"/>
              <w:rFonts w:ascii="Times New Roman" w:hAnsi="Times New Roman"/>
              <w:bCs/>
              <w:sz w:val="28"/>
              <w:szCs w:val="28"/>
            </w:rPr>
            <w:t>1</w:t>
          </w:r>
        </w:hyperlink>
        <w:r w:rsidRPr="003307F1">
          <w:rPr>
            <w:rStyle w:val="apple-converted-space"/>
            <w:rFonts w:ascii="Times New Roman" w:hAnsi="Times New Roman"/>
            <w:sz w:val="28"/>
            <w:szCs w:val="28"/>
          </w:rPr>
          <w:t xml:space="preserve">. </w:t>
        </w:r>
        <w:r w:rsidRPr="003307F1">
          <w:rPr>
            <w:rStyle w:val="af1"/>
            <w:rFonts w:ascii="Times New Roman" w:hAnsi="Times New Roman"/>
            <w:sz w:val="28"/>
            <w:szCs w:val="28"/>
          </w:rPr>
          <w:t xml:space="preserve">– С. </w:t>
        </w:r>
        <w:hyperlink r:id="rId163" w:history="1">
          <w:r w:rsidRPr="003307F1">
            <w:rPr>
              <w:rStyle w:val="af1"/>
              <w:rFonts w:ascii="Times New Roman" w:hAnsi="Times New Roman"/>
              <w:bCs/>
              <w:sz w:val="28"/>
              <w:szCs w:val="28"/>
            </w:rPr>
            <w:t>74</w:t>
          </w:r>
        </w:hyperlink>
        <w:r>
          <w:rPr>
            <w:rStyle w:val="af1"/>
            <w:rFonts w:ascii="Times New Roman" w:hAnsi="Times New Roman"/>
            <w:sz w:val="28"/>
            <w:szCs w:val="28"/>
          </w:rPr>
          <w:t>-</w:t>
        </w:r>
        <w:r w:rsidRPr="003307F1">
          <w:rPr>
            <w:rStyle w:val="af1"/>
            <w:rFonts w:ascii="Times New Roman" w:hAnsi="Times New Roman"/>
            <w:sz w:val="28"/>
            <w:szCs w:val="28"/>
          </w:rPr>
          <w:t>78</w:t>
        </w:r>
      </w:hyperlink>
      <w:r w:rsidRPr="003307F1">
        <w:rPr>
          <w:rFonts w:ascii="Times New Roman" w:hAnsi="Times New Roman"/>
          <w:bCs/>
          <w:sz w:val="28"/>
          <w:szCs w:val="28"/>
        </w:rPr>
        <w:t>.</w:t>
      </w:r>
    </w:p>
    <w:p w:rsidR="00C62D22" w:rsidRPr="003307F1" w:rsidRDefault="00C62D22" w:rsidP="00C62D22">
      <w:pPr>
        <w:numPr>
          <w:ilvl w:val="0"/>
          <w:numId w:val="34"/>
        </w:numPr>
        <w:shd w:val="clear" w:color="auto" w:fill="FFFFFF"/>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Псевдокисты поджелудочной железы при рецидивирующем панкреатите</w:t>
      </w:r>
      <w:r w:rsidRPr="003307F1">
        <w:rPr>
          <w:rFonts w:ascii="Times New Roman" w:hAnsi="Times New Roman"/>
          <w:sz w:val="28"/>
          <w:szCs w:val="28"/>
        </w:rPr>
        <w:t xml:space="preserve">: </w:t>
      </w:r>
      <w:r w:rsidRPr="003307F1">
        <w:rPr>
          <w:rFonts w:ascii="Times New Roman" w:eastAsia="TimesNewRoman" w:hAnsi="Times New Roman"/>
          <w:sz w:val="28"/>
          <w:szCs w:val="28"/>
        </w:rPr>
        <w:t>традиционная или минимально инвазивная хирургия /</w:t>
      </w:r>
      <w:r w:rsidRPr="003307F1">
        <w:rPr>
          <w:rFonts w:ascii="Times New Roman" w:hAnsi="Times New Roman"/>
          <w:sz w:val="28"/>
          <w:szCs w:val="28"/>
        </w:rPr>
        <w:t xml:space="preserve"> </w:t>
      </w:r>
      <w:r w:rsidRPr="003307F1">
        <w:rPr>
          <w:rFonts w:ascii="Times New Roman" w:eastAsia="TimesNewRoman" w:hAnsi="Times New Roman"/>
          <w:sz w:val="28"/>
          <w:szCs w:val="28"/>
        </w:rPr>
        <w:t>М</w:t>
      </w:r>
      <w:r w:rsidRPr="003307F1">
        <w:rPr>
          <w:rFonts w:ascii="Times New Roman" w:hAnsi="Times New Roman"/>
          <w:sz w:val="28"/>
          <w:szCs w:val="28"/>
        </w:rPr>
        <w:t xml:space="preserve">. </w:t>
      </w:r>
      <w:r w:rsidRPr="003307F1">
        <w:rPr>
          <w:rFonts w:ascii="Times New Roman" w:eastAsia="TimesNewRoman" w:hAnsi="Times New Roman"/>
          <w:sz w:val="28"/>
          <w:szCs w:val="28"/>
        </w:rPr>
        <w:t>В</w:t>
      </w:r>
      <w:r w:rsidRPr="003307F1">
        <w:rPr>
          <w:rFonts w:ascii="Times New Roman" w:hAnsi="Times New Roman"/>
          <w:sz w:val="28"/>
          <w:szCs w:val="28"/>
        </w:rPr>
        <w:t xml:space="preserve">. </w:t>
      </w:r>
      <w:r w:rsidRPr="003307F1">
        <w:rPr>
          <w:rFonts w:ascii="Times New Roman" w:eastAsia="TimesNewRoman" w:hAnsi="Times New Roman"/>
          <w:sz w:val="28"/>
          <w:szCs w:val="28"/>
        </w:rPr>
        <w:t>Данилов</w:t>
      </w:r>
      <w:r w:rsidRPr="003307F1">
        <w:rPr>
          <w:rFonts w:ascii="Times New Roman" w:hAnsi="Times New Roman"/>
          <w:sz w:val="28"/>
          <w:szCs w:val="28"/>
        </w:rPr>
        <w:t xml:space="preserve">, </w:t>
      </w:r>
      <w:r w:rsidRPr="003307F1">
        <w:rPr>
          <w:rFonts w:ascii="Times New Roman" w:eastAsia="TimesNewRoman" w:hAnsi="Times New Roman"/>
          <w:sz w:val="28"/>
          <w:szCs w:val="28"/>
        </w:rPr>
        <w:t>В</w:t>
      </w:r>
      <w:r w:rsidRPr="003307F1">
        <w:rPr>
          <w:rFonts w:ascii="Times New Roman" w:hAnsi="Times New Roman"/>
          <w:sz w:val="28"/>
          <w:szCs w:val="28"/>
        </w:rPr>
        <w:t xml:space="preserve">. </w:t>
      </w:r>
      <w:r w:rsidRPr="003307F1">
        <w:rPr>
          <w:rFonts w:ascii="Times New Roman" w:eastAsia="TimesNewRoman" w:hAnsi="Times New Roman"/>
          <w:sz w:val="28"/>
          <w:szCs w:val="28"/>
        </w:rPr>
        <w:t>П</w:t>
      </w:r>
      <w:r w:rsidRPr="003307F1">
        <w:rPr>
          <w:rFonts w:ascii="Times New Roman" w:hAnsi="Times New Roman"/>
          <w:sz w:val="28"/>
          <w:szCs w:val="28"/>
        </w:rPr>
        <w:t xml:space="preserve">. </w:t>
      </w:r>
      <w:r w:rsidRPr="003307F1">
        <w:rPr>
          <w:rFonts w:ascii="Times New Roman" w:eastAsia="TimesNewRoman" w:hAnsi="Times New Roman"/>
          <w:sz w:val="28"/>
          <w:szCs w:val="28"/>
        </w:rPr>
        <w:t>Глабай</w:t>
      </w:r>
      <w:r w:rsidRPr="003307F1">
        <w:rPr>
          <w:rFonts w:ascii="Times New Roman" w:hAnsi="Times New Roman"/>
          <w:sz w:val="28"/>
          <w:szCs w:val="28"/>
        </w:rPr>
        <w:t xml:space="preserve">, </w:t>
      </w:r>
      <w:r w:rsidRPr="003307F1">
        <w:rPr>
          <w:rFonts w:ascii="Times New Roman" w:eastAsia="TimesNewRoman" w:hAnsi="Times New Roman"/>
          <w:sz w:val="28"/>
          <w:szCs w:val="28"/>
        </w:rPr>
        <w:t>В</w:t>
      </w:r>
      <w:r w:rsidRPr="003307F1">
        <w:rPr>
          <w:rFonts w:ascii="Times New Roman" w:hAnsi="Times New Roman"/>
          <w:sz w:val="28"/>
          <w:szCs w:val="28"/>
        </w:rPr>
        <w:t xml:space="preserve">. </w:t>
      </w:r>
      <w:r w:rsidRPr="003307F1">
        <w:rPr>
          <w:rFonts w:ascii="Times New Roman" w:eastAsia="TimesNewRoman" w:hAnsi="Times New Roman"/>
          <w:sz w:val="28"/>
          <w:szCs w:val="28"/>
        </w:rPr>
        <w:t>Г</w:t>
      </w:r>
      <w:r w:rsidRPr="003307F1">
        <w:rPr>
          <w:rFonts w:ascii="Times New Roman" w:hAnsi="Times New Roman"/>
          <w:sz w:val="28"/>
          <w:szCs w:val="28"/>
        </w:rPr>
        <w:t xml:space="preserve">. </w:t>
      </w:r>
      <w:r w:rsidRPr="003307F1">
        <w:rPr>
          <w:rFonts w:ascii="Times New Roman" w:eastAsia="TimesNewRoman" w:hAnsi="Times New Roman"/>
          <w:sz w:val="28"/>
          <w:szCs w:val="28"/>
        </w:rPr>
        <w:t>Зурабани</w:t>
      </w:r>
      <w:r w:rsidRPr="003307F1">
        <w:rPr>
          <w:rFonts w:ascii="Times New Roman" w:hAnsi="Times New Roman"/>
          <w:sz w:val="28"/>
          <w:szCs w:val="28"/>
        </w:rPr>
        <w:t xml:space="preserve">, </w:t>
      </w:r>
      <w:r w:rsidRPr="003307F1">
        <w:rPr>
          <w:rFonts w:ascii="Times New Roman" w:eastAsia="TimesNewRoman" w:hAnsi="Times New Roman"/>
          <w:sz w:val="28"/>
          <w:szCs w:val="28"/>
        </w:rPr>
        <w:t>А</w:t>
      </w:r>
      <w:r w:rsidRPr="003307F1">
        <w:rPr>
          <w:rFonts w:ascii="Times New Roman" w:hAnsi="Times New Roman"/>
          <w:sz w:val="28"/>
          <w:szCs w:val="28"/>
        </w:rPr>
        <w:t xml:space="preserve">. </w:t>
      </w:r>
      <w:r w:rsidRPr="003307F1">
        <w:rPr>
          <w:rFonts w:ascii="Times New Roman" w:eastAsia="TimesNewRoman" w:hAnsi="Times New Roman"/>
          <w:sz w:val="28"/>
          <w:szCs w:val="28"/>
        </w:rPr>
        <w:t>В</w:t>
      </w:r>
      <w:r w:rsidRPr="003307F1">
        <w:rPr>
          <w:rFonts w:ascii="Times New Roman" w:hAnsi="Times New Roman"/>
          <w:sz w:val="28"/>
          <w:szCs w:val="28"/>
        </w:rPr>
        <w:t xml:space="preserve">. </w:t>
      </w:r>
      <w:r w:rsidRPr="003307F1">
        <w:rPr>
          <w:rFonts w:ascii="Times New Roman" w:eastAsia="TimesNewRoman" w:hAnsi="Times New Roman"/>
          <w:sz w:val="28"/>
          <w:szCs w:val="28"/>
        </w:rPr>
        <w:t xml:space="preserve">Гаврилин </w:t>
      </w:r>
      <w:r w:rsidRPr="003307F1">
        <w:rPr>
          <w:rFonts w:ascii="Times New Roman" w:hAnsi="Times New Roman"/>
          <w:sz w:val="28"/>
          <w:szCs w:val="28"/>
        </w:rPr>
        <w:t xml:space="preserve">// </w:t>
      </w:r>
      <w:r w:rsidRPr="003307F1">
        <w:rPr>
          <w:rFonts w:ascii="Times New Roman" w:eastAsia="TimesNewRoman" w:hAnsi="Times New Roman"/>
          <w:sz w:val="28"/>
          <w:szCs w:val="28"/>
        </w:rPr>
        <w:t>Клін</w:t>
      </w:r>
      <w:r w:rsidRPr="003307F1">
        <w:rPr>
          <w:rFonts w:ascii="Times New Roman" w:hAnsi="Times New Roman"/>
          <w:sz w:val="28"/>
          <w:szCs w:val="28"/>
        </w:rPr>
        <w:t xml:space="preserve">ічна </w:t>
      </w:r>
      <w:r w:rsidRPr="003307F1">
        <w:rPr>
          <w:rFonts w:ascii="Times New Roman" w:eastAsia="TimesNewRoman" w:hAnsi="Times New Roman"/>
          <w:sz w:val="28"/>
          <w:szCs w:val="28"/>
        </w:rPr>
        <w:t>хірургія</w:t>
      </w:r>
      <w:r w:rsidRPr="003307F1">
        <w:rPr>
          <w:rFonts w:ascii="Times New Roman" w:hAnsi="Times New Roman"/>
          <w:sz w:val="28"/>
          <w:szCs w:val="28"/>
        </w:rPr>
        <w:t xml:space="preserve">. – 2011. – </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1. – </w:t>
      </w:r>
      <w:r w:rsidRPr="003307F1">
        <w:rPr>
          <w:rFonts w:ascii="Times New Roman" w:eastAsia="TimesNewRoman" w:hAnsi="Times New Roman"/>
          <w:sz w:val="28"/>
          <w:szCs w:val="28"/>
        </w:rPr>
        <w:t>С</w:t>
      </w:r>
      <w:r>
        <w:rPr>
          <w:rFonts w:ascii="Times New Roman" w:hAnsi="Times New Roman"/>
          <w:sz w:val="28"/>
          <w:szCs w:val="28"/>
        </w:rPr>
        <w:t>. 35-</w:t>
      </w:r>
      <w:r w:rsidRPr="003307F1">
        <w:rPr>
          <w:rFonts w:ascii="Times New Roman" w:hAnsi="Times New Roman"/>
          <w:sz w:val="28"/>
          <w:szCs w:val="28"/>
        </w:rPr>
        <w:t>40.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lastRenderedPageBreak/>
        <w:t>Пункционный панкреатикогастроанастомоз</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в лечении больных</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с наружными панкреатическими свищами / </w:t>
      </w:r>
      <w:r w:rsidRPr="003307F1">
        <w:rPr>
          <w:rFonts w:ascii="Times New Roman" w:eastAsia="TimesNewRomanPSMT" w:hAnsi="Times New Roman"/>
          <w:sz w:val="28"/>
          <w:szCs w:val="28"/>
        </w:rPr>
        <w:t>В. Г. Ившин, А. Ю. Якунин, М. В. Ившин [ и др. ]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30-</w:t>
      </w:r>
      <w:r w:rsidRPr="003307F1">
        <w:rPr>
          <w:rFonts w:ascii="Times New Roman" w:hAnsi="Times New Roman"/>
          <w:sz w:val="28"/>
          <w:szCs w:val="28"/>
        </w:rPr>
        <w:t>32.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Ранние КТ-признаки прогнозирования различных форм парапанкреонекроза / Т. Г. Дюжева, Е. В. Джус, В. Ш. Рамишвили, А. В. Шефер // Анналы хирургической гепатологии</w:t>
      </w:r>
      <w:r>
        <w:rPr>
          <w:rFonts w:ascii="Times New Roman" w:hAnsi="Times New Roman"/>
          <w:sz w:val="28"/>
          <w:szCs w:val="28"/>
        </w:rPr>
        <w:t>. – 2009. – № 14 (4). – С. 54-</w:t>
      </w:r>
      <w:r w:rsidRPr="003307F1">
        <w:rPr>
          <w:rFonts w:ascii="Times New Roman" w:hAnsi="Times New Roman"/>
          <w:sz w:val="28"/>
          <w:szCs w:val="28"/>
        </w:rPr>
        <w:t>63.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Ратчик В. М. Хирургическая коррекция осложненных форм хронического панкреатита / В. М. Ратчик, Ю. А. Гайдар // Клінічна хі</w:t>
      </w:r>
      <w:r>
        <w:rPr>
          <w:rFonts w:ascii="Times New Roman" w:hAnsi="Times New Roman"/>
          <w:sz w:val="28"/>
          <w:szCs w:val="28"/>
        </w:rPr>
        <w:t>рургія. – 2013. – № 3. – С. 19-</w:t>
      </w:r>
      <w:r w:rsidRPr="003307F1">
        <w:rPr>
          <w:rFonts w:ascii="Times New Roman" w:hAnsi="Times New Roman"/>
          <w:sz w:val="28"/>
          <w:szCs w:val="28"/>
        </w:rPr>
        <w:t>21.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Резекция головки поджелудочной железы с продольным панкреатоеюноанастомозом (операция Фрея) / А. В. Кочатков, А. Г. Кригер,</w:t>
      </w:r>
      <w:r>
        <w:rPr>
          <w:rFonts w:ascii="Times New Roman" w:hAnsi="Times New Roman"/>
          <w:sz w:val="28"/>
          <w:szCs w:val="28"/>
        </w:rPr>
        <w:t xml:space="preserve">               </w:t>
      </w:r>
      <w:r w:rsidRPr="003307F1">
        <w:rPr>
          <w:rFonts w:ascii="Times New Roman" w:hAnsi="Times New Roman"/>
          <w:sz w:val="28"/>
          <w:szCs w:val="28"/>
        </w:rPr>
        <w:t xml:space="preserve"> С. В. Берелавичус [ и др. ] // Хирургия. Журнал им. Н.И. Пир</w:t>
      </w:r>
      <w:r>
        <w:rPr>
          <w:rFonts w:ascii="Times New Roman" w:hAnsi="Times New Roman"/>
          <w:sz w:val="28"/>
          <w:szCs w:val="28"/>
        </w:rPr>
        <w:t>огова. – 2012. – № 2. – С. 31-</w:t>
      </w:r>
      <w:r w:rsidRPr="003307F1">
        <w:rPr>
          <w:rFonts w:ascii="Times New Roman" w:hAnsi="Times New Roman"/>
          <w:sz w:val="28"/>
          <w:szCs w:val="28"/>
        </w:rPr>
        <w:t>36.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Резекция головки поджелудочной железы при хроническом панкреатите. Как делать и как называть? (аналитический обзор) / В. И. Егоров, В. А. Вишневский, А. Т. Щастный [ и др. ] // Хирургия. Журнал им. Н.И. Пир</w:t>
      </w:r>
      <w:r>
        <w:rPr>
          <w:rFonts w:ascii="Times New Roman" w:hAnsi="Times New Roman"/>
          <w:sz w:val="28"/>
          <w:szCs w:val="28"/>
        </w:rPr>
        <w:t>огова. – 2009. – № 8. – С. 57-</w:t>
      </w:r>
      <w:r w:rsidRPr="003307F1">
        <w:rPr>
          <w:rFonts w:ascii="Times New Roman" w:hAnsi="Times New Roman"/>
          <w:sz w:val="28"/>
          <w:szCs w:val="28"/>
        </w:rPr>
        <w:t>66.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Резекционные и дренирующие вмешательства в лечении больных с осложненными формами хронического панкреатита / Н. Н. Велигоцкий, </w:t>
      </w:r>
      <w:r>
        <w:rPr>
          <w:rFonts w:ascii="Times New Roman" w:hAnsi="Times New Roman"/>
          <w:sz w:val="28"/>
          <w:szCs w:val="28"/>
        </w:rPr>
        <w:t xml:space="preserve">                      </w:t>
      </w:r>
      <w:r w:rsidRPr="003307F1">
        <w:rPr>
          <w:rFonts w:ascii="Times New Roman" w:hAnsi="Times New Roman"/>
          <w:sz w:val="28"/>
          <w:szCs w:val="28"/>
        </w:rPr>
        <w:t>А. Н. Велигоцкий, С. А. Арутюнов [и др.] // Харківська хірургічн</w:t>
      </w:r>
      <w:r>
        <w:rPr>
          <w:rFonts w:ascii="Times New Roman" w:hAnsi="Times New Roman"/>
          <w:sz w:val="28"/>
          <w:szCs w:val="28"/>
        </w:rPr>
        <w:t>а школа. – 2012. –№ 2. – С. 7-</w:t>
      </w:r>
      <w:r w:rsidRPr="003307F1">
        <w:rPr>
          <w:rFonts w:ascii="Times New Roman" w:hAnsi="Times New Roman"/>
          <w:sz w:val="28"/>
          <w:szCs w:val="28"/>
        </w:rPr>
        <w:t>9.</w:t>
      </w:r>
    </w:p>
    <w:p w:rsidR="00C62D22" w:rsidRPr="00EB17E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Pr>
          <w:rFonts w:ascii="Times New Roman" w:eastAsia="TimesNewRomanPS-BoldMT" w:hAnsi="Times New Roman"/>
          <w:bCs/>
          <w:sz w:val="28"/>
          <w:szCs w:val="28"/>
        </w:rPr>
        <w:t xml:space="preserve">Резолюция ХІІ Международного конгресса хирургов гепатологов стран СНГ 15-17 сентября </w:t>
      </w:r>
      <w:smartTag w:uri="urn:schemas-microsoft-com:office:smarttags" w:element="metricconverter">
        <w:smartTagPr>
          <w:attr w:name="ProductID" w:val="2010 г"/>
        </w:smartTagPr>
        <w:r>
          <w:rPr>
            <w:rFonts w:ascii="Times New Roman" w:eastAsia="TimesNewRomanPS-BoldMT" w:hAnsi="Times New Roman"/>
            <w:bCs/>
            <w:sz w:val="28"/>
            <w:szCs w:val="28"/>
          </w:rPr>
          <w:t>2010 г</w:t>
        </w:r>
      </w:smartTag>
      <w:r>
        <w:rPr>
          <w:rFonts w:ascii="Times New Roman" w:eastAsia="TimesNewRomanPS-BoldMT" w:hAnsi="Times New Roman"/>
          <w:bCs/>
          <w:sz w:val="28"/>
          <w:szCs w:val="28"/>
        </w:rPr>
        <w:t>, г. Уфа. Осложнения псевдокист поджелудочной железы // Медицинский вестник Башкортостана. – 2010. –Т. 5, № 5. – С. 127-130.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t>Результаты хирургического лечения кист</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поджелудочной железы </w:t>
      </w:r>
      <w:r w:rsidRPr="00435464">
        <w:rPr>
          <w:rFonts w:ascii="Times New Roman" w:eastAsia="TimesNewRomanPS-BoldMT" w:hAnsi="Times New Roman"/>
          <w:bCs/>
          <w:sz w:val="28"/>
          <w:szCs w:val="28"/>
        </w:rPr>
        <w:t xml:space="preserve">/        </w:t>
      </w:r>
      <w:r>
        <w:rPr>
          <w:rFonts w:ascii="Times New Roman" w:eastAsia="TimesNewRomanPS-BoldMT" w:hAnsi="Times New Roman"/>
          <w:b/>
          <w:bCs/>
          <w:sz w:val="28"/>
          <w:szCs w:val="28"/>
        </w:rPr>
        <w:t xml:space="preserve">              </w:t>
      </w:r>
      <w:r w:rsidRPr="003307F1">
        <w:rPr>
          <w:rFonts w:ascii="Times New Roman" w:eastAsia="TimesNewRomanPSMT" w:hAnsi="Times New Roman"/>
          <w:sz w:val="28"/>
          <w:szCs w:val="28"/>
        </w:rPr>
        <w:t>Р. М. Ахмедов, И. А. Мирходжаев, Ж. С. Хикматов</w:t>
      </w:r>
      <w:r w:rsidRPr="003307F1">
        <w:rPr>
          <w:rFonts w:ascii="Times New Roman" w:hAnsi="Times New Roman"/>
          <w:sz w:val="28"/>
          <w:szCs w:val="28"/>
        </w:rPr>
        <w:t xml:space="preserve"> [ и др. ] // </w:t>
      </w:r>
      <w:r w:rsidRPr="003307F1">
        <w:rPr>
          <w:rFonts w:ascii="Times New Roman" w:eastAsia="TimesNewRomanPSMT" w:hAnsi="Times New Roman"/>
          <w:sz w:val="28"/>
          <w:szCs w:val="28"/>
        </w:rPr>
        <w:t>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4-</w:t>
      </w:r>
      <w:r w:rsidRPr="003307F1">
        <w:rPr>
          <w:rFonts w:ascii="Times New Roman" w:hAnsi="Times New Roman"/>
          <w:sz w:val="28"/>
          <w:szCs w:val="28"/>
        </w:rPr>
        <w:t>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 w:hAnsi="Times New Roman"/>
          <w:sz w:val="28"/>
          <w:szCs w:val="28"/>
        </w:rPr>
        <w:lastRenderedPageBreak/>
        <w:t>Результаты лечения больных с псевдокистами поджелудочной</w:t>
      </w:r>
      <w:r w:rsidRPr="003307F1">
        <w:rPr>
          <w:rFonts w:ascii="Times New Roman" w:hAnsi="Times New Roman"/>
          <w:sz w:val="28"/>
          <w:szCs w:val="28"/>
        </w:rPr>
        <w:t xml:space="preserve"> </w:t>
      </w:r>
      <w:r w:rsidRPr="003307F1">
        <w:rPr>
          <w:rFonts w:ascii="Times New Roman" w:eastAsia="TimesNewRoman" w:hAnsi="Times New Roman"/>
          <w:sz w:val="28"/>
          <w:szCs w:val="28"/>
        </w:rPr>
        <w:t>железы /</w:t>
      </w:r>
      <w:r>
        <w:rPr>
          <w:rFonts w:ascii="Times New Roman" w:eastAsia="TimesNewRoman" w:hAnsi="Times New Roman"/>
          <w:sz w:val="28"/>
          <w:szCs w:val="28"/>
        </w:rPr>
        <w:t xml:space="preserve">            </w:t>
      </w:r>
      <w:r w:rsidRPr="003307F1">
        <w:rPr>
          <w:rFonts w:ascii="Times New Roman" w:eastAsia="TimesNewRoman" w:hAnsi="Times New Roman"/>
          <w:sz w:val="28"/>
          <w:szCs w:val="28"/>
        </w:rPr>
        <w:t xml:space="preserve"> В. Ю. Малюга, А. Е. Климов, А. Г. Федоров </w:t>
      </w:r>
      <w:r w:rsidRPr="003307F1">
        <w:rPr>
          <w:rFonts w:ascii="Times New Roman" w:hAnsi="Times New Roman"/>
          <w:sz w:val="28"/>
          <w:szCs w:val="28"/>
        </w:rPr>
        <w:t xml:space="preserve">[ и др. ] </w:t>
      </w:r>
      <w:r w:rsidRPr="003307F1">
        <w:rPr>
          <w:rFonts w:ascii="Times New Roman" w:eastAsia="TimesNewRoman" w:hAnsi="Times New Roman"/>
          <w:sz w:val="28"/>
          <w:szCs w:val="28"/>
        </w:rPr>
        <w:t>// Московский хирургический журнал</w:t>
      </w:r>
      <w:r w:rsidRPr="003307F1">
        <w:rPr>
          <w:rFonts w:ascii="Times New Roman" w:eastAsia="TimesNewRoman" w:hAnsi="Times New Roman"/>
          <w:bCs/>
          <w:sz w:val="28"/>
          <w:szCs w:val="28"/>
        </w:rPr>
        <w:t xml:space="preserve">. </w:t>
      </w:r>
      <w:r>
        <w:rPr>
          <w:rFonts w:ascii="Times New Roman" w:eastAsia="TimesNewRoman" w:hAnsi="Times New Roman"/>
          <w:sz w:val="28"/>
          <w:szCs w:val="28"/>
        </w:rPr>
        <w:t>– 2011 – № 4. – С. 10-</w:t>
      </w:r>
      <w:r w:rsidRPr="003307F1">
        <w:rPr>
          <w:rFonts w:ascii="Times New Roman" w:eastAsia="TimesNewRoman" w:hAnsi="Times New Roman"/>
          <w:sz w:val="28"/>
          <w:szCs w:val="28"/>
        </w:rPr>
        <w:t>14.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Style w:val="ab"/>
          <w:rFonts w:ascii="Times New Roman" w:hAnsi="Times New Roman"/>
          <w:b w:val="0"/>
          <w:sz w:val="28"/>
          <w:szCs w:val="28"/>
        </w:rPr>
        <w:t xml:space="preserve">Родоман Г.В. </w:t>
      </w:r>
      <w:r w:rsidRPr="003307F1">
        <w:rPr>
          <w:rFonts w:ascii="Times New Roman" w:hAnsi="Times New Roman"/>
          <w:sz w:val="28"/>
          <w:szCs w:val="28"/>
        </w:rPr>
        <w:t xml:space="preserve">Пункция ограниченных скоплений асептической жидкости в лечении пациентов с острым некротическим панкреатитом / Г. В. </w:t>
      </w:r>
      <w:r w:rsidRPr="003307F1">
        <w:rPr>
          <w:rStyle w:val="ab"/>
          <w:rFonts w:ascii="Times New Roman" w:hAnsi="Times New Roman"/>
          <w:b w:val="0"/>
          <w:sz w:val="28"/>
          <w:szCs w:val="28"/>
        </w:rPr>
        <w:t xml:space="preserve">Родоман, </w:t>
      </w:r>
      <w:r>
        <w:rPr>
          <w:rStyle w:val="ab"/>
          <w:rFonts w:ascii="Times New Roman" w:hAnsi="Times New Roman"/>
          <w:b w:val="0"/>
          <w:sz w:val="28"/>
          <w:szCs w:val="28"/>
        </w:rPr>
        <w:t xml:space="preserve">                   </w:t>
      </w:r>
      <w:r w:rsidRPr="003307F1">
        <w:rPr>
          <w:rStyle w:val="ab"/>
          <w:rFonts w:ascii="Times New Roman" w:hAnsi="Times New Roman"/>
          <w:b w:val="0"/>
          <w:sz w:val="28"/>
          <w:szCs w:val="28"/>
        </w:rPr>
        <w:t>Т. И. Шалаева, Н. Л. Сосикова</w:t>
      </w:r>
      <w:r w:rsidRPr="003307F1">
        <w:rPr>
          <w:rFonts w:ascii="Times New Roman" w:hAnsi="Times New Roman"/>
          <w:sz w:val="28"/>
          <w:szCs w:val="28"/>
        </w:rPr>
        <w:t xml:space="preserve"> // Хирургия. Журнал им. Н.И. Пи</w:t>
      </w:r>
      <w:r>
        <w:rPr>
          <w:rFonts w:ascii="Times New Roman" w:hAnsi="Times New Roman"/>
          <w:sz w:val="28"/>
          <w:szCs w:val="28"/>
        </w:rPr>
        <w:t>рогова. – 2012. – № 3. – С.43-</w:t>
      </w:r>
      <w:r w:rsidRPr="003307F1">
        <w:rPr>
          <w:rFonts w:ascii="Times New Roman" w:hAnsi="Times New Roman"/>
          <w:sz w:val="28"/>
          <w:szCs w:val="28"/>
        </w:rPr>
        <w:t>48.</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 xml:space="preserve">Роль маркерів пошкодження ендотелію в прогнозуванні гострого післяопераційного панкреатиту після прямих втручань на підшлунковій залозі з переважних ураженням її головки / І. А. </w:t>
      </w:r>
      <w:r w:rsidRPr="003307F1">
        <w:rPr>
          <w:rFonts w:ascii="Times New Roman" w:hAnsi="Times New Roman"/>
          <w:bCs/>
          <w:sz w:val="28"/>
          <w:szCs w:val="28"/>
        </w:rPr>
        <w:t xml:space="preserve">Криворучко, С. М. Тесленко, </w:t>
      </w:r>
      <w:r>
        <w:rPr>
          <w:rFonts w:ascii="Times New Roman" w:hAnsi="Times New Roman"/>
          <w:bCs/>
          <w:sz w:val="28"/>
          <w:szCs w:val="28"/>
        </w:rPr>
        <w:t xml:space="preserve">                                 </w:t>
      </w:r>
      <w:r w:rsidRPr="003307F1">
        <w:rPr>
          <w:rFonts w:ascii="Times New Roman" w:hAnsi="Times New Roman"/>
          <w:bCs/>
          <w:sz w:val="28"/>
          <w:szCs w:val="28"/>
        </w:rPr>
        <w:t xml:space="preserve">М. М. Тесленко [ та ін. ] // Клінічна хірургія. </w:t>
      </w:r>
      <w:r w:rsidRPr="003307F1">
        <w:rPr>
          <w:rFonts w:ascii="Times New Roman" w:hAnsi="Times New Roman"/>
          <w:sz w:val="28"/>
          <w:szCs w:val="28"/>
        </w:rPr>
        <w:t>–</w:t>
      </w:r>
      <w:r w:rsidRPr="003307F1">
        <w:rPr>
          <w:rFonts w:ascii="Times New Roman" w:hAnsi="Times New Roman"/>
          <w:bCs/>
          <w:sz w:val="28"/>
          <w:szCs w:val="28"/>
        </w:rPr>
        <w:t xml:space="preserve"> 2014. </w:t>
      </w:r>
      <w:r w:rsidRPr="003307F1">
        <w:rPr>
          <w:rFonts w:ascii="Times New Roman" w:hAnsi="Times New Roman"/>
          <w:sz w:val="28"/>
          <w:szCs w:val="28"/>
        </w:rPr>
        <w:t>–</w:t>
      </w:r>
      <w:r w:rsidRPr="003307F1">
        <w:rPr>
          <w:rFonts w:ascii="Times New Roman" w:hAnsi="Times New Roman"/>
          <w:bCs/>
          <w:sz w:val="28"/>
          <w:szCs w:val="28"/>
        </w:rPr>
        <w:t xml:space="preserve"> № 9.2</w:t>
      </w:r>
      <w:r>
        <w:rPr>
          <w:rFonts w:ascii="Times New Roman" w:hAnsi="Times New Roman"/>
          <w:sz w:val="28"/>
          <w:szCs w:val="28"/>
        </w:rPr>
        <w:t>. – С. 25-</w:t>
      </w:r>
      <w:r w:rsidRPr="003307F1">
        <w:rPr>
          <w:rFonts w:ascii="Times New Roman" w:hAnsi="Times New Roman"/>
          <w:sz w:val="28"/>
          <w:szCs w:val="28"/>
        </w:rPr>
        <w:t>28.</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hyperlink r:id="rId164" w:history="1">
        <w:r w:rsidRPr="003307F1">
          <w:rPr>
            <w:rStyle w:val="af1"/>
            <w:rFonts w:ascii="Times New Roman" w:hAnsi="Times New Roman"/>
            <w:sz w:val="28"/>
            <w:szCs w:val="28"/>
          </w:rPr>
          <w:t xml:space="preserve">Роль цитокинов в развитии острого панкреатита / </w:t>
        </w:r>
        <w:r w:rsidRPr="003307F1">
          <w:rPr>
            <w:rStyle w:val="af1"/>
            <w:rFonts w:ascii="Times New Roman" w:hAnsi="Times New Roman"/>
            <w:iCs/>
            <w:sz w:val="28"/>
            <w:szCs w:val="28"/>
          </w:rPr>
          <w:t xml:space="preserve">М. А. Агапов, </w:t>
        </w:r>
        <w:r>
          <w:rPr>
            <w:rStyle w:val="af1"/>
            <w:rFonts w:ascii="Times New Roman" w:hAnsi="Times New Roman"/>
            <w:iCs/>
            <w:sz w:val="28"/>
            <w:szCs w:val="28"/>
          </w:rPr>
          <w:t xml:space="preserve">                    </w:t>
        </w:r>
        <w:r w:rsidRPr="003307F1">
          <w:rPr>
            <w:rStyle w:val="af1"/>
            <w:rFonts w:ascii="Times New Roman" w:hAnsi="Times New Roman"/>
            <w:iCs/>
            <w:sz w:val="28"/>
            <w:szCs w:val="28"/>
          </w:rPr>
          <w:t xml:space="preserve">В. А. Горский, М. В. Хорева [ и др. ] </w:t>
        </w:r>
        <w:r w:rsidRPr="003307F1">
          <w:rPr>
            <w:rStyle w:val="af1"/>
            <w:rFonts w:ascii="Times New Roman" w:hAnsi="Times New Roman"/>
            <w:sz w:val="28"/>
            <w:szCs w:val="28"/>
          </w:rPr>
          <w:t xml:space="preserve">// </w:t>
        </w:r>
        <w:hyperlink r:id="rId165" w:history="1">
          <w:r w:rsidRPr="003307F1">
            <w:rPr>
              <w:rStyle w:val="af1"/>
              <w:rFonts w:ascii="Times New Roman" w:hAnsi="Times New Roman"/>
              <w:bCs/>
              <w:sz w:val="28"/>
              <w:szCs w:val="28"/>
            </w:rPr>
            <w:t>Анналы хирургической гепатологии</w:t>
          </w:r>
        </w:hyperlink>
        <w:r w:rsidRPr="003307F1">
          <w:rPr>
            <w:rStyle w:val="apple-converted-space"/>
            <w:rFonts w:ascii="Times New Roman" w:hAnsi="Times New Roman"/>
            <w:sz w:val="28"/>
            <w:szCs w:val="28"/>
          </w:rPr>
          <w:t xml:space="preserve">. </w:t>
        </w:r>
        <w:r w:rsidRPr="003307F1">
          <w:rPr>
            <w:rStyle w:val="af1"/>
            <w:rFonts w:ascii="Times New Roman" w:hAnsi="Times New Roman"/>
            <w:sz w:val="28"/>
            <w:szCs w:val="28"/>
          </w:rPr>
          <w:t xml:space="preserve">– </w:t>
        </w:r>
        <w:hyperlink r:id="rId166" w:history="1">
          <w:r w:rsidRPr="003307F1">
            <w:rPr>
              <w:rStyle w:val="af1"/>
              <w:rFonts w:ascii="Times New Roman" w:hAnsi="Times New Roman"/>
              <w:bCs/>
              <w:sz w:val="28"/>
              <w:szCs w:val="28"/>
            </w:rPr>
            <w:t>2009</w:t>
          </w:r>
        </w:hyperlink>
        <w:r w:rsidRPr="003307F1">
          <w:rPr>
            <w:rStyle w:val="apple-converted-space"/>
            <w:rFonts w:ascii="Times New Roman" w:hAnsi="Times New Roman"/>
            <w:sz w:val="28"/>
            <w:szCs w:val="28"/>
          </w:rPr>
          <w:t xml:space="preserve">. </w:t>
        </w:r>
        <w:r w:rsidRPr="003307F1">
          <w:rPr>
            <w:rStyle w:val="af1"/>
            <w:rFonts w:ascii="Times New Roman" w:hAnsi="Times New Roman"/>
            <w:sz w:val="28"/>
            <w:szCs w:val="28"/>
          </w:rPr>
          <w:t xml:space="preserve">– № </w:t>
        </w:r>
        <w:hyperlink r:id="rId167" w:history="1">
          <w:r w:rsidRPr="003307F1">
            <w:rPr>
              <w:rStyle w:val="af1"/>
              <w:rFonts w:ascii="Times New Roman" w:hAnsi="Times New Roman"/>
              <w:bCs/>
              <w:sz w:val="28"/>
              <w:szCs w:val="28"/>
            </w:rPr>
            <w:t>3</w:t>
          </w:r>
        </w:hyperlink>
        <w:r w:rsidRPr="003307F1">
          <w:rPr>
            <w:rStyle w:val="apple-converted-space"/>
            <w:rFonts w:ascii="Times New Roman" w:hAnsi="Times New Roman"/>
            <w:sz w:val="28"/>
            <w:szCs w:val="28"/>
          </w:rPr>
          <w:t xml:space="preserve">. </w:t>
        </w:r>
        <w:r w:rsidRPr="003307F1">
          <w:rPr>
            <w:rStyle w:val="af1"/>
            <w:rFonts w:ascii="Times New Roman" w:hAnsi="Times New Roman"/>
            <w:sz w:val="28"/>
            <w:szCs w:val="28"/>
          </w:rPr>
          <w:t xml:space="preserve">– С. </w:t>
        </w:r>
        <w:hyperlink r:id="rId168" w:history="1">
          <w:r w:rsidRPr="003307F1">
            <w:rPr>
              <w:rStyle w:val="af1"/>
              <w:rFonts w:ascii="Times New Roman" w:hAnsi="Times New Roman"/>
              <w:bCs/>
              <w:sz w:val="28"/>
              <w:szCs w:val="28"/>
            </w:rPr>
            <w:t>85</w:t>
          </w:r>
        </w:hyperlink>
        <w:r>
          <w:rPr>
            <w:rStyle w:val="af1"/>
            <w:rFonts w:ascii="Times New Roman" w:hAnsi="Times New Roman"/>
            <w:sz w:val="28"/>
            <w:szCs w:val="28"/>
          </w:rPr>
          <w:t>-</w:t>
        </w:r>
        <w:r w:rsidRPr="003307F1">
          <w:rPr>
            <w:rStyle w:val="af1"/>
            <w:rFonts w:ascii="Times New Roman" w:hAnsi="Times New Roman"/>
            <w:sz w:val="28"/>
            <w:szCs w:val="28"/>
          </w:rPr>
          <w:t>110.</w:t>
        </w:r>
      </w:hyperlink>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Ройт А. Основы иммунологии / А. Ройт. – М.: Мир, 1991. – 327с.</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f1"/>
          <w:rFonts w:ascii="Times New Roman" w:hAnsi="Times New Roman"/>
          <w:sz w:val="28"/>
          <w:szCs w:val="28"/>
        </w:rPr>
      </w:pPr>
      <w:r>
        <w:rPr>
          <w:rFonts w:ascii="Times New Roman" w:hAnsi="Times New Roman"/>
          <w:sz w:val="28"/>
          <w:szCs w:val="28"/>
        </w:rPr>
        <w:t xml:space="preserve">Рунион </w:t>
      </w:r>
      <w:r w:rsidRPr="003307F1">
        <w:rPr>
          <w:rFonts w:ascii="Times New Roman" w:hAnsi="Times New Roman"/>
          <w:sz w:val="28"/>
          <w:szCs w:val="28"/>
        </w:rPr>
        <w:t>Р. Справочник по непараметрической статистике: Современный подход / П</w:t>
      </w:r>
      <w:r>
        <w:rPr>
          <w:rFonts w:ascii="Times New Roman" w:hAnsi="Times New Roman"/>
          <w:sz w:val="28"/>
          <w:szCs w:val="28"/>
        </w:rPr>
        <w:t xml:space="preserve">ер. </w:t>
      </w:r>
      <w:r w:rsidRPr="003307F1">
        <w:rPr>
          <w:rFonts w:ascii="Times New Roman" w:hAnsi="Times New Roman"/>
          <w:sz w:val="28"/>
          <w:szCs w:val="28"/>
        </w:rPr>
        <w:t>с англ. Е.</w:t>
      </w:r>
      <w:r>
        <w:rPr>
          <w:rFonts w:ascii="Times New Roman" w:hAnsi="Times New Roman"/>
          <w:sz w:val="28"/>
          <w:szCs w:val="28"/>
        </w:rPr>
        <w:t xml:space="preserve"> З. </w:t>
      </w:r>
      <w:r w:rsidRPr="003307F1">
        <w:rPr>
          <w:rFonts w:ascii="Times New Roman" w:hAnsi="Times New Roman"/>
          <w:sz w:val="28"/>
          <w:szCs w:val="28"/>
        </w:rPr>
        <w:t>Демиденок. – М.: Фи</w:t>
      </w:r>
      <w:r>
        <w:rPr>
          <w:rFonts w:ascii="Times New Roman" w:hAnsi="Times New Roman"/>
          <w:sz w:val="28"/>
          <w:szCs w:val="28"/>
        </w:rPr>
        <w:t xml:space="preserve">нансы и статистика, 1982. – 198 </w:t>
      </w:r>
      <w:r w:rsidRPr="003307F1">
        <w:rPr>
          <w:rFonts w:ascii="Times New Roman" w:hAnsi="Times New Roman"/>
          <w:sz w:val="28"/>
          <w:szCs w:val="28"/>
        </w:rPr>
        <w:t>с.</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Italic" w:hAnsi="Times New Roman"/>
          <w:iCs/>
          <w:sz w:val="28"/>
          <w:szCs w:val="28"/>
        </w:rPr>
        <w:t xml:space="preserve">Русин В. І. </w:t>
      </w:r>
      <w:r w:rsidRPr="003307F1">
        <w:rPr>
          <w:rFonts w:ascii="Times New Roman" w:eastAsia="TimesNewRoman" w:hAnsi="Times New Roman"/>
          <w:sz w:val="28"/>
          <w:szCs w:val="28"/>
        </w:rPr>
        <w:t xml:space="preserve">Ендоскопічні способи лікування справжніх псевдокіст підшлункової залози / </w:t>
      </w:r>
      <w:r w:rsidRPr="003307F1">
        <w:rPr>
          <w:rFonts w:ascii="Times New Roman" w:eastAsia="TimesNewRoman,Italic" w:hAnsi="Times New Roman"/>
          <w:iCs/>
          <w:sz w:val="28"/>
          <w:szCs w:val="28"/>
        </w:rPr>
        <w:t>В. І. Русин, О. О. Болдіжар, А. В. Мартяшов</w:t>
      </w:r>
      <w:r w:rsidRPr="003307F1">
        <w:rPr>
          <w:rFonts w:ascii="Times New Roman" w:eastAsia="TimesNewRoman" w:hAnsi="Times New Roman"/>
          <w:sz w:val="28"/>
          <w:szCs w:val="28"/>
        </w:rPr>
        <w:t xml:space="preserve"> // </w:t>
      </w:r>
      <w:r w:rsidRPr="003307F1">
        <w:rPr>
          <w:rFonts w:ascii="Times New Roman" w:eastAsia="Arial,Italic" w:hAnsi="Times New Roman"/>
          <w:iCs/>
          <w:sz w:val="28"/>
          <w:szCs w:val="28"/>
        </w:rPr>
        <w:t xml:space="preserve">Шпитальна хірургія. </w:t>
      </w:r>
      <w:r w:rsidRPr="003307F1">
        <w:rPr>
          <w:rFonts w:ascii="Times New Roman" w:hAnsi="Times New Roman"/>
          <w:sz w:val="28"/>
          <w:szCs w:val="28"/>
        </w:rPr>
        <w:t xml:space="preserve">– 2009. – № </w:t>
      </w:r>
      <w:r w:rsidRPr="003307F1">
        <w:rPr>
          <w:rFonts w:ascii="Times New Roman" w:eastAsia="Arial,Italic" w:hAnsi="Times New Roman"/>
          <w:iCs/>
          <w:sz w:val="28"/>
          <w:szCs w:val="28"/>
        </w:rPr>
        <w:t xml:space="preserve">3. </w:t>
      </w:r>
      <w:r w:rsidRPr="003307F1">
        <w:rPr>
          <w:rFonts w:ascii="Times New Roman" w:hAnsi="Times New Roman"/>
          <w:sz w:val="28"/>
          <w:szCs w:val="28"/>
        </w:rPr>
        <w:t>–</w:t>
      </w:r>
      <w:r>
        <w:rPr>
          <w:rFonts w:ascii="Times New Roman" w:eastAsia="TimesNewRoman" w:hAnsi="Times New Roman"/>
          <w:sz w:val="28"/>
          <w:szCs w:val="28"/>
        </w:rPr>
        <w:t xml:space="preserve"> С.13-</w:t>
      </w:r>
      <w:r w:rsidRPr="003307F1">
        <w:rPr>
          <w:rFonts w:ascii="Times New Roman" w:eastAsia="TimesNewRoman" w:hAnsi="Times New Roman"/>
          <w:sz w:val="28"/>
          <w:szCs w:val="28"/>
        </w:rPr>
        <w:t>16.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Italic" w:hAnsi="Times New Roman"/>
          <w:iCs/>
          <w:sz w:val="28"/>
          <w:szCs w:val="28"/>
        </w:rPr>
        <w:t xml:space="preserve">Русин В. І. </w:t>
      </w:r>
      <w:r w:rsidRPr="003307F1">
        <w:rPr>
          <w:rFonts w:ascii="Times New Roman" w:hAnsi="Times New Roman"/>
          <w:bCs/>
          <w:sz w:val="28"/>
          <w:szCs w:val="28"/>
        </w:rPr>
        <w:t>Хірургічні способи лікування ускладнених</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псевдокіст підшлункової</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залози</w:t>
      </w:r>
      <w:r w:rsidRPr="003307F1">
        <w:rPr>
          <w:rStyle w:val="apple-converted-space"/>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 В. І. Русин, О. О. Болдіжар, А. В. Мартяшов //</w:t>
      </w:r>
      <w:r w:rsidRPr="003307F1">
        <w:rPr>
          <w:rStyle w:val="apple-converted-space"/>
          <w:rFonts w:ascii="Times New Roman" w:hAnsi="Times New Roman"/>
          <w:sz w:val="28"/>
          <w:szCs w:val="28"/>
          <w:shd w:val="clear" w:color="auto" w:fill="FFFFFF"/>
        </w:rPr>
        <w:t xml:space="preserve"> </w:t>
      </w:r>
      <w:hyperlink r:id="rId169" w:tooltip="Періодичне видання" w:history="1">
        <w:r w:rsidRPr="003307F1">
          <w:rPr>
            <w:rStyle w:val="af1"/>
            <w:rFonts w:ascii="Times New Roman" w:hAnsi="Times New Roman"/>
            <w:sz w:val="28"/>
            <w:szCs w:val="28"/>
          </w:rPr>
          <w:t>Харківська хірургічна школа</w:t>
        </w:r>
      </w:hyperlink>
      <w:r w:rsidRPr="003307F1">
        <w:rPr>
          <w:rFonts w:ascii="Times New Roman" w:hAnsi="Times New Roman"/>
          <w:sz w:val="28"/>
          <w:szCs w:val="28"/>
          <w:shd w:val="clear" w:color="auto" w:fill="FFFFFF"/>
        </w:rPr>
        <w:t xml:space="preserve">.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2012.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 2.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С. 42</w:t>
      </w:r>
      <w:r>
        <w:rPr>
          <w:rFonts w:ascii="Times New Roman" w:hAnsi="Times New Roman"/>
          <w:sz w:val="28"/>
          <w:szCs w:val="28"/>
        </w:rPr>
        <w:t>-</w:t>
      </w:r>
      <w:r w:rsidRPr="003307F1">
        <w:rPr>
          <w:rFonts w:ascii="Times New Roman" w:hAnsi="Times New Roman"/>
          <w:sz w:val="28"/>
          <w:szCs w:val="28"/>
          <w:shd w:val="clear" w:color="auto" w:fill="FFFFFF"/>
        </w:rPr>
        <w:t>44.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Italic" w:hAnsi="Times New Roman"/>
          <w:iCs/>
          <w:sz w:val="28"/>
          <w:szCs w:val="28"/>
        </w:rPr>
        <w:t xml:space="preserve">Русин В. І. </w:t>
      </w:r>
      <w:r w:rsidRPr="003307F1">
        <w:rPr>
          <w:rFonts w:ascii="Times New Roman" w:hAnsi="Times New Roman"/>
          <w:bCs/>
          <w:sz w:val="28"/>
          <w:szCs w:val="28"/>
        </w:rPr>
        <w:t>Роль малоінвазивних хірургічних методів у лікуванні ускладнень псевдокіст</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підшлункової</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залози</w:t>
      </w:r>
      <w:r w:rsidRPr="003307F1">
        <w:rPr>
          <w:rStyle w:val="apple-converted-space"/>
          <w:rFonts w:ascii="Times New Roman" w:hAnsi="Times New Roman"/>
          <w:sz w:val="28"/>
          <w:szCs w:val="28"/>
          <w:shd w:val="clear" w:color="auto" w:fill="F9F9F9"/>
        </w:rPr>
        <w:t xml:space="preserve"> </w:t>
      </w:r>
      <w:r w:rsidRPr="003307F1">
        <w:rPr>
          <w:rFonts w:ascii="Times New Roman" w:hAnsi="Times New Roman"/>
          <w:sz w:val="28"/>
          <w:szCs w:val="28"/>
          <w:shd w:val="clear" w:color="auto" w:fill="FFFFFF"/>
        </w:rPr>
        <w:t xml:space="preserve">/ В. І. Русин, О. О. Болдіжар, </w:t>
      </w:r>
      <w:r>
        <w:rPr>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А. В. Мартяшов //</w:t>
      </w:r>
      <w:r w:rsidRPr="003307F1">
        <w:rPr>
          <w:rStyle w:val="apple-converted-space"/>
          <w:rFonts w:ascii="Times New Roman" w:hAnsi="Times New Roman"/>
          <w:sz w:val="28"/>
          <w:szCs w:val="28"/>
          <w:shd w:val="clear" w:color="auto" w:fill="FFFFFF"/>
        </w:rPr>
        <w:t xml:space="preserve"> </w:t>
      </w:r>
      <w:hyperlink r:id="rId170" w:tooltip="Періодичне видання" w:history="1">
        <w:r w:rsidRPr="003307F1">
          <w:rPr>
            <w:rStyle w:val="af1"/>
            <w:rFonts w:ascii="Times New Roman" w:hAnsi="Times New Roman"/>
            <w:sz w:val="28"/>
            <w:szCs w:val="28"/>
            <w:shd w:val="clear" w:color="auto" w:fill="FFFFFF"/>
          </w:rPr>
          <w:t>Науковий вісник Ужгородського університету. Сер.: Медицина</w:t>
        </w:r>
      </w:hyperlink>
      <w:r w:rsidRPr="003307F1">
        <w:rPr>
          <w:rFonts w:ascii="Times New Roman" w:hAnsi="Times New Roman"/>
          <w:sz w:val="28"/>
          <w:szCs w:val="28"/>
          <w:shd w:val="clear" w:color="auto" w:fill="FFFFFF"/>
        </w:rPr>
        <w:t xml:space="preserve">.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2011.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Вип. 2.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С. 211</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 xml:space="preserve">215.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Italic" w:hAnsi="Times New Roman"/>
          <w:iCs/>
          <w:sz w:val="28"/>
          <w:szCs w:val="28"/>
        </w:rPr>
        <w:t>Русин В. І.</w:t>
      </w:r>
      <w:r w:rsidRPr="003307F1">
        <w:rPr>
          <w:rFonts w:ascii="Times New Roman" w:hAnsi="Times New Roman"/>
          <w:bCs/>
          <w:sz w:val="28"/>
          <w:szCs w:val="28"/>
        </w:rPr>
        <w:t xml:space="preserve"> Роль протокової системи</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підшлункової</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залози</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у патогенезі утворення</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 xml:space="preserve">псевдокіст </w:t>
      </w:r>
      <w:r w:rsidRPr="003307F1">
        <w:rPr>
          <w:rFonts w:ascii="Times New Roman" w:hAnsi="Times New Roman"/>
          <w:sz w:val="28"/>
          <w:szCs w:val="28"/>
          <w:shd w:val="clear" w:color="auto" w:fill="FFFFFF"/>
        </w:rPr>
        <w:t>/ В. І. Русин, О. О. Болдіжар, А. В. Мартяшов //</w:t>
      </w:r>
      <w:r w:rsidRPr="003307F1">
        <w:rPr>
          <w:rStyle w:val="apple-converted-space"/>
          <w:rFonts w:ascii="Times New Roman" w:hAnsi="Times New Roman"/>
          <w:sz w:val="28"/>
          <w:szCs w:val="28"/>
          <w:shd w:val="clear" w:color="auto" w:fill="FFFFFF"/>
        </w:rPr>
        <w:t xml:space="preserve"> </w:t>
      </w:r>
      <w:hyperlink r:id="rId171" w:tooltip="Періодичне видання" w:history="1">
        <w:r w:rsidRPr="003307F1">
          <w:rPr>
            <w:rStyle w:val="af1"/>
            <w:rFonts w:ascii="Times New Roman" w:hAnsi="Times New Roman"/>
            <w:sz w:val="28"/>
            <w:szCs w:val="28"/>
            <w:shd w:val="clear" w:color="auto" w:fill="FFFFFF"/>
          </w:rPr>
          <w:t>Науковий вісник Ужгородського університету. Сер.: Медицина</w:t>
        </w:r>
      </w:hyperlink>
      <w:r w:rsidRPr="003307F1">
        <w:rPr>
          <w:rFonts w:ascii="Times New Roman" w:hAnsi="Times New Roman"/>
          <w:sz w:val="28"/>
          <w:szCs w:val="28"/>
          <w:shd w:val="clear" w:color="auto" w:fill="FFFFFF"/>
        </w:rPr>
        <w:t xml:space="preserve">. – 2009.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Вип. 37. – С. 170</w:t>
      </w:r>
      <w:r>
        <w:rPr>
          <w:rFonts w:ascii="Times New Roman" w:hAnsi="Times New Roman"/>
          <w:sz w:val="28"/>
          <w:szCs w:val="28"/>
          <w:shd w:val="clear" w:color="auto" w:fill="FFFFFF"/>
        </w:rPr>
        <w:t>-</w:t>
      </w:r>
      <w:r w:rsidRPr="003307F1">
        <w:rPr>
          <w:rFonts w:ascii="Times New Roman" w:hAnsi="Times New Roman"/>
          <w:sz w:val="28"/>
          <w:szCs w:val="28"/>
        </w:rPr>
        <w:t>1</w:t>
      </w:r>
      <w:r w:rsidRPr="003307F1">
        <w:rPr>
          <w:rFonts w:ascii="Times New Roman" w:hAnsi="Times New Roman"/>
          <w:sz w:val="28"/>
          <w:szCs w:val="28"/>
          <w:shd w:val="clear" w:color="auto" w:fill="FFFFFF"/>
        </w:rPr>
        <w:t xml:space="preserve">75.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lastRenderedPageBreak/>
        <w:t xml:space="preserve">Русін В. І. </w:t>
      </w:r>
      <w:r w:rsidRPr="003307F1">
        <w:rPr>
          <w:rFonts w:ascii="Times New Roman" w:hAnsi="Times New Roman"/>
          <w:sz w:val="28"/>
          <w:szCs w:val="28"/>
        </w:rPr>
        <w:t>Дренувальні оперативні втручання з приводу невідмежованого</w:t>
      </w:r>
      <w:r w:rsidRPr="003307F1">
        <w:rPr>
          <w:rFonts w:ascii="Times New Roman" w:eastAsia="TimesNewRoman" w:hAnsi="Times New Roman"/>
          <w:sz w:val="28"/>
          <w:szCs w:val="28"/>
        </w:rPr>
        <w:t xml:space="preserve"> </w:t>
      </w:r>
      <w:r w:rsidRPr="003307F1">
        <w:rPr>
          <w:rFonts w:ascii="Times New Roman" w:hAnsi="Times New Roman"/>
          <w:sz w:val="28"/>
          <w:szCs w:val="28"/>
        </w:rPr>
        <w:t>інфікованого ретроперитонеонекрозу / В. І. Русин, С. С. Філіп // Клінічна хі</w:t>
      </w:r>
      <w:r>
        <w:rPr>
          <w:rFonts w:ascii="Times New Roman" w:hAnsi="Times New Roman"/>
          <w:sz w:val="28"/>
          <w:szCs w:val="28"/>
        </w:rPr>
        <w:t>рургія. – 2012. – № 10. – С.8-</w:t>
      </w:r>
      <w:r w:rsidRPr="003307F1">
        <w:rPr>
          <w:rFonts w:ascii="Times New Roman" w:hAnsi="Times New Roman"/>
          <w:sz w:val="28"/>
          <w:szCs w:val="28"/>
        </w:rPr>
        <w:t>13.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Салимгараев И. З. Отдаленные результаты хирургического лечения больных осложненным хроническим панкреатитом / И. З. Салимгараев, </w:t>
      </w:r>
      <w:r>
        <w:rPr>
          <w:rFonts w:ascii="Times New Roman" w:hAnsi="Times New Roman"/>
          <w:sz w:val="28"/>
          <w:szCs w:val="28"/>
        </w:rPr>
        <w:t xml:space="preserve">                         </w:t>
      </w:r>
      <w:r w:rsidRPr="003307F1">
        <w:rPr>
          <w:rFonts w:ascii="Times New Roman" w:hAnsi="Times New Roman"/>
          <w:sz w:val="28"/>
          <w:szCs w:val="28"/>
        </w:rPr>
        <w:t>А. Х. Мустафин, А. И. Грицаенко [ и др.] // Альманах Института хирургии им. А.В. Вишневского. – 2011. – Т. 6, №2. – С. 27.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iCs/>
          <w:sz w:val="28"/>
          <w:szCs w:val="28"/>
        </w:rPr>
        <w:t>Серебренникова Е. Н. Перспективы хирургического лечения осложненных псевдокист поджелудочной железы / Е. Н. Серебренникова // Фундаментальные исследов</w:t>
      </w:r>
      <w:r>
        <w:rPr>
          <w:rFonts w:ascii="Times New Roman" w:hAnsi="Times New Roman"/>
          <w:iCs/>
          <w:sz w:val="28"/>
          <w:szCs w:val="28"/>
        </w:rPr>
        <w:t>ания. – 2012. – № 2. – С. 128-</w:t>
      </w:r>
      <w:r w:rsidRPr="003307F1">
        <w:rPr>
          <w:rFonts w:ascii="Times New Roman" w:hAnsi="Times New Roman"/>
          <w:iCs/>
          <w:sz w:val="28"/>
          <w:szCs w:val="28"/>
        </w:rPr>
        <w:t>130.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hAnsi="Times New Roman"/>
          <w:iCs/>
          <w:sz w:val="28"/>
          <w:szCs w:val="28"/>
        </w:rPr>
        <w:t xml:space="preserve">Серов </w:t>
      </w:r>
      <w:r w:rsidRPr="003307F1">
        <w:rPr>
          <w:rFonts w:ascii="Times New Roman" w:hAnsi="Times New Roman"/>
          <w:iCs/>
          <w:sz w:val="28"/>
          <w:szCs w:val="28"/>
        </w:rPr>
        <w:t>В.</w:t>
      </w:r>
      <w:r>
        <w:rPr>
          <w:rFonts w:ascii="Times New Roman" w:hAnsi="Times New Roman"/>
          <w:iCs/>
          <w:sz w:val="28"/>
          <w:szCs w:val="28"/>
        </w:rPr>
        <w:t xml:space="preserve"> </w:t>
      </w:r>
      <w:r w:rsidRPr="003307F1">
        <w:rPr>
          <w:rFonts w:ascii="Times New Roman" w:hAnsi="Times New Roman"/>
          <w:iCs/>
          <w:sz w:val="28"/>
          <w:szCs w:val="28"/>
        </w:rPr>
        <w:t>В. Соединительная ткань (функциональная морфология и общая патол</w:t>
      </w:r>
      <w:r w:rsidRPr="003307F1">
        <w:rPr>
          <w:rFonts w:ascii="Times New Roman" w:hAnsi="Times New Roman"/>
          <w:iCs/>
          <w:sz w:val="28"/>
          <w:szCs w:val="28"/>
        </w:rPr>
        <w:t>о</w:t>
      </w:r>
      <w:r w:rsidRPr="003307F1">
        <w:rPr>
          <w:rFonts w:ascii="Times New Roman" w:hAnsi="Times New Roman"/>
          <w:iCs/>
          <w:sz w:val="28"/>
          <w:szCs w:val="28"/>
        </w:rPr>
        <w:t>гия) / В.</w:t>
      </w:r>
      <w:r>
        <w:rPr>
          <w:rFonts w:ascii="Times New Roman" w:hAnsi="Times New Roman"/>
          <w:iCs/>
          <w:sz w:val="28"/>
          <w:szCs w:val="28"/>
        </w:rPr>
        <w:t xml:space="preserve"> В. Серов, А. Б. </w:t>
      </w:r>
      <w:r w:rsidRPr="003307F1">
        <w:rPr>
          <w:rFonts w:ascii="Times New Roman" w:hAnsi="Times New Roman"/>
          <w:iCs/>
          <w:sz w:val="28"/>
          <w:szCs w:val="28"/>
        </w:rPr>
        <w:t>Шехтер. – М.: Медицина, 1984. – 312 с.</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Серов В.</w:t>
      </w:r>
      <w:r>
        <w:rPr>
          <w:rFonts w:ascii="Times New Roman" w:hAnsi="Times New Roman"/>
          <w:sz w:val="28"/>
          <w:szCs w:val="28"/>
        </w:rPr>
        <w:t xml:space="preserve"> </w:t>
      </w:r>
      <w:r w:rsidRPr="003307F1">
        <w:rPr>
          <w:rFonts w:ascii="Times New Roman" w:hAnsi="Times New Roman"/>
          <w:sz w:val="28"/>
          <w:szCs w:val="28"/>
        </w:rPr>
        <w:t>В. Аутоиммунизация и аутоиммунные болезни / В.</w:t>
      </w:r>
      <w:r>
        <w:rPr>
          <w:rFonts w:ascii="Times New Roman" w:hAnsi="Times New Roman"/>
          <w:sz w:val="28"/>
          <w:szCs w:val="28"/>
        </w:rPr>
        <w:t xml:space="preserve"> </w:t>
      </w:r>
      <w:r w:rsidRPr="003307F1">
        <w:rPr>
          <w:rFonts w:ascii="Times New Roman" w:hAnsi="Times New Roman"/>
          <w:sz w:val="28"/>
          <w:szCs w:val="28"/>
        </w:rPr>
        <w:t xml:space="preserve">В. Серов, </w:t>
      </w:r>
      <w:r>
        <w:rPr>
          <w:rFonts w:ascii="Times New Roman" w:hAnsi="Times New Roman"/>
          <w:sz w:val="28"/>
          <w:szCs w:val="28"/>
        </w:rPr>
        <w:t xml:space="preserve">         </w:t>
      </w:r>
      <w:r w:rsidRPr="003307F1">
        <w:rPr>
          <w:rFonts w:ascii="Times New Roman" w:hAnsi="Times New Roman"/>
          <w:sz w:val="28"/>
          <w:szCs w:val="28"/>
        </w:rPr>
        <w:t>О.</w:t>
      </w:r>
      <w:r>
        <w:rPr>
          <w:rFonts w:ascii="Times New Roman" w:hAnsi="Times New Roman"/>
          <w:sz w:val="28"/>
          <w:szCs w:val="28"/>
        </w:rPr>
        <w:t xml:space="preserve"> </w:t>
      </w:r>
      <w:r w:rsidRPr="003307F1">
        <w:rPr>
          <w:rFonts w:ascii="Times New Roman" w:hAnsi="Times New Roman"/>
          <w:sz w:val="28"/>
          <w:szCs w:val="28"/>
        </w:rPr>
        <w:t>В. Зайратьянц // Архив патологи</w:t>
      </w:r>
      <w:r>
        <w:rPr>
          <w:rFonts w:ascii="Times New Roman" w:hAnsi="Times New Roman"/>
          <w:sz w:val="28"/>
          <w:szCs w:val="28"/>
        </w:rPr>
        <w:t>и. – 1992. – Т.54. – С. 5-</w:t>
      </w:r>
      <w:r w:rsidRPr="003307F1">
        <w:rPr>
          <w:rFonts w:ascii="Times New Roman" w:hAnsi="Times New Roman"/>
          <w:sz w:val="28"/>
          <w:szCs w:val="28"/>
        </w:rPr>
        <w:t>11.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Скибо Ю. В. Методы исследования программируемой клеточной гибели</w:t>
      </w:r>
      <w:r w:rsidRPr="003307F1">
        <w:rPr>
          <w:rFonts w:ascii="Times New Roman" w:hAnsi="Times New Roman"/>
          <w:sz w:val="28"/>
          <w:szCs w:val="28"/>
        </w:rPr>
        <w:t>: Учебно-методическое пособие для магистров по курсу «Теория апоптоза» / Ю. В. Скибо, З. И. Абрамова. – Казань: ФГАОУ ВПО КФУ, 2011. – 61 с.</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Современные методы миниинвазивной хирургии в лечении хронического кистозного панкреатита (обзор литературы) / Н. Г. </w:t>
      </w:r>
      <w:r w:rsidRPr="003307F1">
        <w:rPr>
          <w:rFonts w:ascii="Times New Roman" w:hAnsi="Times New Roman"/>
          <w:iCs/>
          <w:sz w:val="28"/>
          <w:szCs w:val="28"/>
        </w:rPr>
        <w:t xml:space="preserve">Корнилов, С. П. Чикотеев, </w:t>
      </w:r>
      <w:r>
        <w:rPr>
          <w:rFonts w:ascii="Times New Roman" w:hAnsi="Times New Roman"/>
          <w:iCs/>
          <w:sz w:val="28"/>
          <w:szCs w:val="28"/>
        </w:rPr>
        <w:t xml:space="preserve">            </w:t>
      </w:r>
      <w:r w:rsidRPr="003307F1">
        <w:rPr>
          <w:rFonts w:ascii="Times New Roman" w:hAnsi="Times New Roman"/>
          <w:iCs/>
          <w:sz w:val="28"/>
          <w:szCs w:val="28"/>
        </w:rPr>
        <w:t>В. В. Щапов [ и др. ]</w:t>
      </w:r>
      <w:r w:rsidRPr="003307F1">
        <w:rPr>
          <w:rFonts w:ascii="Times New Roman" w:hAnsi="Times New Roman"/>
          <w:sz w:val="28"/>
          <w:szCs w:val="28"/>
        </w:rPr>
        <w:t xml:space="preserve"> // Сибирский медицинский ж</w:t>
      </w:r>
      <w:r>
        <w:rPr>
          <w:rFonts w:ascii="Times New Roman" w:hAnsi="Times New Roman"/>
          <w:sz w:val="28"/>
          <w:szCs w:val="28"/>
        </w:rPr>
        <w:t>урнал. – 2009. – № 6. – С. 13-</w:t>
      </w:r>
      <w:r w:rsidRPr="003307F1">
        <w:rPr>
          <w:rFonts w:ascii="Times New Roman" w:hAnsi="Times New Roman"/>
          <w:sz w:val="28"/>
          <w:szCs w:val="28"/>
        </w:rPr>
        <w:t>17.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Современная тактика хирургического лечения псевдокист поджелудочной</w:t>
      </w:r>
      <w:r w:rsidRPr="003307F1">
        <w:rPr>
          <w:rFonts w:ascii="Times New Roman" w:eastAsia="TimesNewRoman" w:hAnsi="Times New Roman"/>
          <w:sz w:val="28"/>
          <w:szCs w:val="28"/>
        </w:rPr>
        <w:t xml:space="preserve"> </w:t>
      </w:r>
      <w:r w:rsidRPr="003307F1">
        <w:rPr>
          <w:rFonts w:ascii="Times New Roman" w:hAnsi="Times New Roman"/>
          <w:sz w:val="28"/>
          <w:szCs w:val="28"/>
        </w:rPr>
        <w:t>железы / В. Г. Ярешко, С. Г. Живица, Ю. А. Михеев [ и др .] // Укр. журн. хіру</w:t>
      </w:r>
      <w:r>
        <w:rPr>
          <w:rFonts w:ascii="Times New Roman" w:hAnsi="Times New Roman"/>
          <w:sz w:val="28"/>
          <w:szCs w:val="28"/>
        </w:rPr>
        <w:t>ргії. – 2009. – № 4. – С. 140-</w:t>
      </w:r>
      <w:r w:rsidRPr="003307F1">
        <w:rPr>
          <w:rFonts w:ascii="Times New Roman" w:hAnsi="Times New Roman"/>
          <w:sz w:val="28"/>
          <w:szCs w:val="28"/>
        </w:rPr>
        <w:t>143.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Современный подход к лечению кист поджелудочной железы при хроническом панкреатите / </w:t>
      </w:r>
      <w:r w:rsidRPr="003307F1">
        <w:rPr>
          <w:rFonts w:ascii="Times New Roman" w:hAnsi="Times New Roman"/>
          <w:iCs/>
          <w:sz w:val="28"/>
          <w:szCs w:val="28"/>
        </w:rPr>
        <w:t xml:space="preserve">И. В. Карюхин, С. В. Тарасенко, Т. С. Рахмаев </w:t>
      </w:r>
      <w:r w:rsidRPr="003307F1">
        <w:rPr>
          <w:rFonts w:ascii="Times New Roman" w:hAnsi="Times New Roman"/>
          <w:sz w:val="28"/>
          <w:szCs w:val="28"/>
        </w:rPr>
        <w:t xml:space="preserve">[ и др .] // </w:t>
      </w:r>
      <w:r w:rsidRPr="003307F1">
        <w:rPr>
          <w:rFonts w:ascii="Times New Roman" w:hAnsi="Times New Roman"/>
          <w:iCs/>
          <w:sz w:val="28"/>
          <w:szCs w:val="28"/>
        </w:rPr>
        <w:t xml:space="preserve">Сибирский медицинский журнал. </w:t>
      </w:r>
      <w:r w:rsidRPr="003307F1">
        <w:rPr>
          <w:rFonts w:ascii="Times New Roman" w:hAnsi="Times New Roman"/>
          <w:sz w:val="28"/>
          <w:szCs w:val="28"/>
        </w:rPr>
        <w:t xml:space="preserve">– </w:t>
      </w:r>
      <w:r w:rsidRPr="003307F1">
        <w:rPr>
          <w:rFonts w:ascii="Times New Roman" w:hAnsi="Times New Roman"/>
          <w:iCs/>
          <w:sz w:val="28"/>
          <w:szCs w:val="28"/>
        </w:rPr>
        <w:t xml:space="preserve">2013. </w:t>
      </w:r>
      <w:r w:rsidRPr="003307F1">
        <w:rPr>
          <w:rFonts w:ascii="Times New Roman" w:hAnsi="Times New Roman"/>
          <w:sz w:val="28"/>
          <w:szCs w:val="28"/>
        </w:rPr>
        <w:t>–</w:t>
      </w:r>
      <w:r w:rsidRPr="003307F1">
        <w:rPr>
          <w:rFonts w:ascii="Times New Roman" w:hAnsi="Times New Roman"/>
          <w:iCs/>
          <w:sz w:val="28"/>
          <w:szCs w:val="28"/>
        </w:rPr>
        <w:t xml:space="preserve"> № 5. </w:t>
      </w:r>
      <w:r w:rsidRPr="003307F1">
        <w:rPr>
          <w:rFonts w:ascii="Times New Roman" w:hAnsi="Times New Roman"/>
          <w:sz w:val="28"/>
          <w:szCs w:val="28"/>
        </w:rPr>
        <w:t>–</w:t>
      </w:r>
      <w:r>
        <w:rPr>
          <w:rFonts w:ascii="Times New Roman" w:hAnsi="Times New Roman"/>
          <w:iCs/>
          <w:sz w:val="28"/>
          <w:szCs w:val="28"/>
        </w:rPr>
        <w:t xml:space="preserve"> С. 5-</w:t>
      </w:r>
      <w:r w:rsidRPr="003307F1">
        <w:rPr>
          <w:rFonts w:ascii="Times New Roman" w:hAnsi="Times New Roman"/>
          <w:iCs/>
          <w:sz w:val="28"/>
          <w:szCs w:val="28"/>
        </w:rPr>
        <w:t>12.</w:t>
      </w:r>
      <w:r w:rsidRPr="003307F1">
        <w:rPr>
          <w:rFonts w:ascii="Times New Roman" w:hAnsi="Times New Roman"/>
          <w:i/>
          <w:iCs/>
          <w:sz w:val="28"/>
          <w:szCs w:val="28"/>
        </w:rPr>
        <w:t xml:space="preserve">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Современные подходы к лечению осложненных псевдокист поджелудочной железы / В. М. </w:t>
      </w:r>
      <w:r w:rsidRPr="003307F1">
        <w:rPr>
          <w:rFonts w:ascii="Times New Roman" w:hAnsi="Times New Roman"/>
          <w:iCs/>
          <w:sz w:val="28"/>
          <w:szCs w:val="28"/>
        </w:rPr>
        <w:t xml:space="preserve">Копчак, К. В. Копчак, Л. А. Перерва </w:t>
      </w:r>
      <w:r w:rsidRPr="003307F1">
        <w:rPr>
          <w:rFonts w:ascii="Times New Roman" w:hAnsi="Times New Roman"/>
          <w:bCs/>
          <w:sz w:val="28"/>
          <w:szCs w:val="28"/>
        </w:rPr>
        <w:t xml:space="preserve">[ та ін. ] </w:t>
      </w:r>
      <w:r w:rsidRPr="003307F1">
        <w:rPr>
          <w:rFonts w:ascii="Times New Roman" w:hAnsi="Times New Roman"/>
          <w:iCs/>
          <w:sz w:val="28"/>
          <w:szCs w:val="28"/>
        </w:rPr>
        <w:t xml:space="preserve">// </w:t>
      </w:r>
      <w:hyperlink r:id="rId172" w:history="1">
        <w:r w:rsidRPr="003307F1">
          <w:rPr>
            <w:rStyle w:val="af1"/>
            <w:rFonts w:ascii="Times New Roman" w:hAnsi="Times New Roman"/>
            <w:bCs/>
            <w:sz w:val="28"/>
            <w:szCs w:val="28"/>
          </w:rPr>
          <w:t>Анналы хирургической гепатологии</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w:t>
      </w:r>
      <w:hyperlink r:id="rId173" w:history="1">
        <w:r w:rsidRPr="003307F1">
          <w:rPr>
            <w:rStyle w:val="af1"/>
            <w:rFonts w:ascii="Times New Roman" w:hAnsi="Times New Roman"/>
            <w:bCs/>
            <w:sz w:val="28"/>
            <w:szCs w:val="28"/>
          </w:rPr>
          <w:t>2013</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Т. 18, № </w:t>
      </w:r>
      <w:hyperlink r:id="rId174" w:history="1">
        <w:r w:rsidRPr="003307F1">
          <w:rPr>
            <w:rStyle w:val="af1"/>
            <w:rFonts w:ascii="Times New Roman" w:hAnsi="Times New Roman"/>
            <w:bCs/>
            <w:sz w:val="28"/>
            <w:szCs w:val="28"/>
          </w:rPr>
          <w:t>4</w:t>
        </w:r>
      </w:hyperlink>
      <w:r w:rsidRPr="003307F1">
        <w:rPr>
          <w:rFonts w:ascii="Times New Roman" w:hAnsi="Times New Roman"/>
          <w:sz w:val="28"/>
          <w:szCs w:val="28"/>
        </w:rPr>
        <w:t xml:space="preserve">. – С. </w:t>
      </w:r>
      <w:hyperlink r:id="rId175" w:history="1">
        <w:r w:rsidRPr="003307F1">
          <w:rPr>
            <w:rStyle w:val="af1"/>
            <w:rFonts w:ascii="Times New Roman" w:hAnsi="Times New Roman"/>
            <w:bCs/>
            <w:sz w:val="28"/>
            <w:szCs w:val="28"/>
          </w:rPr>
          <w:t>94</w:t>
        </w:r>
      </w:hyperlink>
      <w:r>
        <w:rPr>
          <w:rFonts w:ascii="Times New Roman" w:hAnsi="Times New Roman"/>
          <w:sz w:val="28"/>
          <w:szCs w:val="28"/>
        </w:rPr>
        <w:t>-</w:t>
      </w:r>
      <w:r w:rsidRPr="003307F1">
        <w:rPr>
          <w:rFonts w:ascii="Times New Roman" w:hAnsi="Times New Roman"/>
          <w:sz w:val="28"/>
          <w:szCs w:val="28"/>
        </w:rPr>
        <w:t>99.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lastRenderedPageBreak/>
        <w:t xml:space="preserve">Современные подходы в лечении осложненных псевдокист поджелудочной железы / К. В. Копчак, Л. А. Перерва, Г. Ю. Мошковский [ и др. ] // Вестник неотложной и восстановительной медицины. </w:t>
      </w:r>
      <w:r w:rsidRPr="003307F1">
        <w:rPr>
          <w:rFonts w:ascii="Times New Roman" w:hAnsi="Times New Roman"/>
          <w:sz w:val="28"/>
          <w:szCs w:val="28"/>
          <w:shd w:val="clear" w:color="auto" w:fill="FFFFFF"/>
        </w:rPr>
        <w:t>– 2013. – Т</w:t>
      </w:r>
      <w:r>
        <w:rPr>
          <w:rFonts w:ascii="Times New Roman" w:hAnsi="Times New Roman"/>
          <w:sz w:val="28"/>
          <w:szCs w:val="28"/>
          <w:shd w:val="clear" w:color="auto" w:fill="FFFFFF"/>
        </w:rPr>
        <w:t>. 14, № 3. – С. 352-</w:t>
      </w:r>
      <w:r w:rsidRPr="003307F1">
        <w:rPr>
          <w:rFonts w:ascii="Times New Roman" w:hAnsi="Times New Roman"/>
          <w:sz w:val="28"/>
          <w:szCs w:val="28"/>
          <w:shd w:val="clear" w:color="auto" w:fill="FFFFFF"/>
        </w:rPr>
        <w:t>354.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shd w:val="clear" w:color="auto" w:fill="FFFFFF"/>
        </w:rPr>
        <w:t xml:space="preserve">Современные принципы диагностики и лечения псевдокист поджелудочной железы, осложненных кровотечением в полость псевдокисты / </w:t>
      </w:r>
      <w:r>
        <w:rPr>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 xml:space="preserve">В. М. Копчак, И. В. Хомяк, К. В. Копчак [ и др. ] // Матеріали ІV з’їзду судинних хірургів та ангіологів України. – Ужгород, 2012. – </w:t>
      </w:r>
      <w:r>
        <w:rPr>
          <w:rFonts w:ascii="Times New Roman" w:hAnsi="Times New Roman"/>
          <w:sz w:val="28"/>
          <w:szCs w:val="28"/>
          <w:shd w:val="clear" w:color="auto" w:fill="FFFFFF"/>
        </w:rPr>
        <w:t>С. 107-</w:t>
      </w:r>
      <w:r w:rsidRPr="003307F1">
        <w:rPr>
          <w:rFonts w:ascii="Times New Roman" w:hAnsi="Times New Roman"/>
          <w:sz w:val="28"/>
          <w:szCs w:val="28"/>
          <w:shd w:val="clear" w:color="auto" w:fill="FFFFFF"/>
        </w:rPr>
        <w:t>110.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Сперанский И. И. Общий анализ крови — все ли возможности исчерпаны?</w:t>
      </w:r>
      <w:r w:rsidRPr="003307F1">
        <w:rPr>
          <w:rFonts w:ascii="Times New Roman" w:eastAsia="TimesNewRoman" w:hAnsi="Times New Roman"/>
          <w:sz w:val="28"/>
          <w:szCs w:val="28"/>
        </w:rPr>
        <w:t xml:space="preserve"> </w:t>
      </w:r>
      <w:r w:rsidRPr="003307F1">
        <w:rPr>
          <w:rFonts w:ascii="Times New Roman" w:hAnsi="Times New Roman"/>
          <w:sz w:val="28"/>
          <w:szCs w:val="28"/>
        </w:rPr>
        <w:t>Интегральные индексы интоксикации как критерии</w:t>
      </w:r>
      <w:r w:rsidRPr="003307F1">
        <w:rPr>
          <w:rFonts w:ascii="Times New Roman" w:eastAsia="TimesNewRoman" w:hAnsi="Times New Roman"/>
          <w:sz w:val="28"/>
          <w:szCs w:val="28"/>
        </w:rPr>
        <w:t xml:space="preserve"> </w:t>
      </w:r>
      <w:r w:rsidRPr="003307F1">
        <w:rPr>
          <w:rFonts w:ascii="Times New Roman" w:hAnsi="Times New Roman"/>
          <w:sz w:val="28"/>
          <w:szCs w:val="28"/>
        </w:rPr>
        <w:t>оценки тяжести течения эндогенной интоксикации, ее осложнений</w:t>
      </w:r>
      <w:r w:rsidRPr="003307F1">
        <w:rPr>
          <w:rFonts w:ascii="Times New Roman" w:eastAsia="TimesNewRoman" w:hAnsi="Times New Roman"/>
          <w:sz w:val="28"/>
          <w:szCs w:val="28"/>
        </w:rPr>
        <w:t xml:space="preserve"> </w:t>
      </w:r>
      <w:r w:rsidRPr="003307F1">
        <w:rPr>
          <w:rFonts w:ascii="Times New Roman" w:hAnsi="Times New Roman"/>
          <w:sz w:val="28"/>
          <w:szCs w:val="28"/>
        </w:rPr>
        <w:t>и эффективности проводимого лечения / И. И. Сперанский,</w:t>
      </w:r>
      <w:r w:rsidRPr="003307F1">
        <w:rPr>
          <w:rFonts w:ascii="Times New Roman" w:eastAsia="TimesNewRoman" w:hAnsi="Times New Roman"/>
          <w:sz w:val="28"/>
          <w:szCs w:val="28"/>
        </w:rPr>
        <w:t xml:space="preserve"> </w:t>
      </w:r>
      <w:r w:rsidRPr="003307F1">
        <w:rPr>
          <w:rFonts w:ascii="Times New Roman" w:hAnsi="Times New Roman"/>
          <w:sz w:val="28"/>
          <w:szCs w:val="28"/>
        </w:rPr>
        <w:t>Г. Е. Самойленко, М. В. Лобачева // Интенсив. терапия. –</w:t>
      </w:r>
      <w:r w:rsidRPr="003307F1">
        <w:rPr>
          <w:rFonts w:ascii="Times New Roman" w:eastAsia="TimesNewRoman" w:hAnsi="Times New Roman"/>
          <w:sz w:val="28"/>
          <w:szCs w:val="28"/>
        </w:rPr>
        <w:t xml:space="preserve"> </w:t>
      </w:r>
      <w:r>
        <w:rPr>
          <w:rFonts w:ascii="Times New Roman" w:hAnsi="Times New Roman"/>
          <w:sz w:val="28"/>
          <w:szCs w:val="28"/>
        </w:rPr>
        <w:t>2009. – № 6. – С. 26-</w:t>
      </w:r>
      <w:r w:rsidRPr="003307F1">
        <w:rPr>
          <w:rFonts w:ascii="Times New Roman" w:hAnsi="Times New Roman"/>
          <w:sz w:val="28"/>
          <w:szCs w:val="28"/>
        </w:rPr>
        <w:t>31.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Спиральная и многослойная компьютерная томография: Учебн. пособие: В 2 т./</w:t>
      </w:r>
      <w:r w:rsidRPr="003307F1">
        <w:rPr>
          <w:rFonts w:ascii="Times New Roman" w:eastAsia="TimesNewRoman" w:hAnsi="Times New Roman"/>
          <w:sz w:val="28"/>
          <w:szCs w:val="28"/>
        </w:rPr>
        <w:t xml:space="preserve"> </w:t>
      </w:r>
      <w:r w:rsidRPr="003307F1">
        <w:rPr>
          <w:rFonts w:ascii="Times New Roman" w:hAnsi="Times New Roman"/>
          <w:sz w:val="28"/>
          <w:szCs w:val="28"/>
        </w:rPr>
        <w:t>М. Прокоп, М. Галански; Пер. с англ.; Под ред. А. В.</w:t>
      </w:r>
      <w:r>
        <w:rPr>
          <w:rFonts w:ascii="Times New Roman" w:hAnsi="Times New Roman"/>
          <w:sz w:val="28"/>
          <w:szCs w:val="28"/>
        </w:rPr>
        <w:t xml:space="preserve"> </w:t>
      </w:r>
      <w:r w:rsidRPr="003307F1">
        <w:rPr>
          <w:rFonts w:ascii="Times New Roman" w:hAnsi="Times New Roman"/>
          <w:sz w:val="28"/>
          <w:szCs w:val="28"/>
        </w:rPr>
        <w:t>Зубарева,</w:t>
      </w:r>
      <w:r w:rsidRPr="003307F1">
        <w:rPr>
          <w:rFonts w:ascii="Times New Roman" w:eastAsia="TimesNewRoman" w:hAnsi="Times New Roman"/>
          <w:sz w:val="28"/>
          <w:szCs w:val="28"/>
        </w:rPr>
        <w:t xml:space="preserve"> </w:t>
      </w:r>
      <w:r>
        <w:rPr>
          <w:rFonts w:ascii="Times New Roman" w:eastAsia="TimesNewRoman" w:hAnsi="Times New Roman"/>
          <w:sz w:val="28"/>
          <w:szCs w:val="28"/>
        </w:rPr>
        <w:t xml:space="preserve">                                    </w:t>
      </w:r>
      <w:r w:rsidRPr="003307F1">
        <w:rPr>
          <w:rFonts w:ascii="Times New Roman" w:hAnsi="Times New Roman"/>
          <w:sz w:val="28"/>
          <w:szCs w:val="28"/>
        </w:rPr>
        <w:t xml:space="preserve">Ш. Ш. Шотемора. – 2-е изд. – М.: МЕДпресс–инфо, 2009. – </w:t>
      </w:r>
      <w:r>
        <w:rPr>
          <w:rFonts w:ascii="Times New Roman" w:hAnsi="Times New Roman"/>
          <w:sz w:val="28"/>
          <w:szCs w:val="28"/>
        </w:rPr>
        <w:t>327</w:t>
      </w:r>
      <w:r w:rsidRPr="003307F1">
        <w:rPr>
          <w:rFonts w:ascii="Times New Roman" w:hAnsi="Times New Roman"/>
          <w:sz w:val="28"/>
          <w:szCs w:val="28"/>
        </w:rPr>
        <w:t xml:space="preserve"> с</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Спорные вопросы тактики лечения пациентов с кистозными поражениями поджелудочной железы / М. В. Данилов, В. П. Глобай, А. В. Гаврилин [ и др. ] // Хирургия. Журн. им. Н.И. Пирогова. – 2009. –</w:t>
      </w:r>
      <w:r>
        <w:rPr>
          <w:rFonts w:ascii="Times New Roman" w:hAnsi="Times New Roman"/>
          <w:sz w:val="28"/>
          <w:szCs w:val="28"/>
        </w:rPr>
        <w:t xml:space="preserve"> №7. – С. 78-</w:t>
      </w:r>
      <w:r w:rsidRPr="003307F1">
        <w:rPr>
          <w:rFonts w:ascii="Times New Roman" w:hAnsi="Times New Roman"/>
          <w:sz w:val="28"/>
          <w:szCs w:val="28"/>
        </w:rPr>
        <w:t>80.</w:t>
      </w:r>
      <w:r w:rsidRPr="003307F1">
        <w:rPr>
          <w:rFonts w:ascii="Times New Roman" w:hAnsi="Times New Roman"/>
          <w:sz w:val="28"/>
          <w:szCs w:val="28"/>
          <w:shd w:val="clear" w:color="auto" w:fill="FFFFFF"/>
        </w:rPr>
        <w:t xml:space="preserve">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t>Способы и результаты</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лечения постнекротических кист</w:t>
      </w:r>
      <w:r w:rsidRPr="003307F1">
        <w:rPr>
          <w:rFonts w:ascii="Times New Roman" w:eastAsia="TimesNewRoman" w:hAnsi="Times New Roman"/>
          <w:sz w:val="28"/>
          <w:szCs w:val="28"/>
        </w:rPr>
        <w:t xml:space="preserve"> </w:t>
      </w:r>
      <w:r>
        <w:rPr>
          <w:rFonts w:ascii="Times New Roman" w:eastAsia="TimesNewRomanPS-BoldMT" w:hAnsi="Times New Roman"/>
          <w:bCs/>
          <w:sz w:val="28"/>
          <w:szCs w:val="28"/>
        </w:rPr>
        <w:t>под</w:t>
      </w:r>
      <w:r w:rsidRPr="003307F1">
        <w:rPr>
          <w:rFonts w:ascii="Times New Roman" w:eastAsia="TimesNewRomanPS-BoldMT" w:hAnsi="Times New Roman"/>
          <w:bCs/>
          <w:sz w:val="28"/>
          <w:szCs w:val="28"/>
        </w:rPr>
        <w:t xml:space="preserve">желудочной железы / </w:t>
      </w:r>
      <w:r w:rsidRPr="003307F1">
        <w:rPr>
          <w:rFonts w:ascii="Times New Roman" w:eastAsia="TimesNewRomanPSMT" w:hAnsi="Times New Roman"/>
          <w:sz w:val="28"/>
          <w:szCs w:val="28"/>
        </w:rPr>
        <w:t>М. Ф. Заривчацкий, И. Н. Мугатаров, Г. М. Богатырева [ и др. ]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sidRPr="003307F1">
        <w:rPr>
          <w:rFonts w:ascii="Times New Roman" w:hAnsi="Times New Roman"/>
          <w:sz w:val="28"/>
          <w:szCs w:val="28"/>
        </w:rPr>
        <w:t>– Ижевск, 2012. – С</w:t>
      </w:r>
      <w:r>
        <w:rPr>
          <w:rFonts w:ascii="Times New Roman" w:hAnsi="Times New Roman"/>
          <w:sz w:val="28"/>
          <w:szCs w:val="28"/>
        </w:rPr>
        <w:t>. 29-</w:t>
      </w:r>
      <w:r w:rsidRPr="003307F1">
        <w:rPr>
          <w:rFonts w:ascii="Times New Roman" w:hAnsi="Times New Roman"/>
          <w:sz w:val="28"/>
          <w:szCs w:val="28"/>
        </w:rPr>
        <w:t>30.</w:t>
      </w:r>
    </w:p>
    <w:p w:rsidR="00C62D22" w:rsidRPr="00C259D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Стан тіол-дисульфідної системи в різних умовах хірургічного лікування</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псевдокіст</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підшлункової</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залози</w:t>
      </w:r>
      <w:r w:rsidRPr="003307F1">
        <w:rPr>
          <w:rStyle w:val="apple-converted-space"/>
          <w:rFonts w:ascii="Times New Roman" w:hAnsi="Times New Roman"/>
          <w:sz w:val="28"/>
          <w:szCs w:val="28"/>
        </w:rPr>
        <w:t xml:space="preserve">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В. Г. Шевченко, Б. С. Запорожченко, </w:t>
      </w:r>
      <w:r>
        <w:rPr>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Г. Ю. Коритна [ та ін. ] //</w:t>
      </w:r>
      <w:r w:rsidRPr="003307F1">
        <w:rPr>
          <w:rStyle w:val="apple-converted-space"/>
          <w:rFonts w:ascii="Times New Roman" w:hAnsi="Times New Roman"/>
          <w:sz w:val="28"/>
          <w:szCs w:val="28"/>
          <w:shd w:val="clear" w:color="auto" w:fill="FFFFFF"/>
        </w:rPr>
        <w:t xml:space="preserve"> </w:t>
      </w:r>
      <w:hyperlink r:id="rId176" w:tooltip="Періодичне видання" w:history="1">
        <w:r w:rsidRPr="003307F1">
          <w:rPr>
            <w:rStyle w:val="af1"/>
            <w:rFonts w:ascii="Times New Roman" w:hAnsi="Times New Roman"/>
            <w:sz w:val="28"/>
            <w:szCs w:val="28"/>
          </w:rPr>
          <w:t>Шпитальна хірургія</w:t>
        </w:r>
      </w:hyperlink>
      <w:r w:rsidRPr="003307F1">
        <w:rPr>
          <w:rFonts w:ascii="Times New Roman" w:hAnsi="Times New Roman"/>
          <w:sz w:val="28"/>
          <w:szCs w:val="28"/>
        </w:rPr>
        <w:t xml:space="preserve">. </w:t>
      </w:r>
      <w:r w:rsidRPr="003307F1">
        <w:rPr>
          <w:rFonts w:ascii="Times New Roman" w:hAnsi="Times New Roman"/>
          <w:sz w:val="28"/>
          <w:szCs w:val="28"/>
          <w:shd w:val="clear" w:color="auto" w:fill="FFFFFF"/>
        </w:rPr>
        <w:t>– 2012. – № 4. – С. 19</w:t>
      </w:r>
      <w:r>
        <w:rPr>
          <w:rFonts w:ascii="Times New Roman" w:hAnsi="Times New Roman"/>
          <w:sz w:val="28"/>
          <w:szCs w:val="28"/>
        </w:rPr>
        <w:t>-</w:t>
      </w:r>
      <w:r w:rsidRPr="003307F1">
        <w:rPr>
          <w:rFonts w:ascii="Times New Roman" w:hAnsi="Times New Roman"/>
          <w:sz w:val="28"/>
          <w:szCs w:val="28"/>
          <w:shd w:val="clear" w:color="auto" w:fill="FFFFFF"/>
        </w:rPr>
        <w:t>22.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t xml:space="preserve">Стан печінкового і спланхнічного кровотоку за різних типів ускладнених псевдокіст підшлункової залози / І.А. Криворучко, Н.М. Гончарова, </w:t>
      </w:r>
      <w:r>
        <w:rPr>
          <w:rFonts w:ascii="Times New Roman" w:hAnsi="Times New Roman"/>
          <w:sz w:val="28"/>
          <w:szCs w:val="28"/>
        </w:rPr>
        <w:t xml:space="preserve">                                   </w:t>
      </w:r>
      <w:r w:rsidRPr="000F2B01">
        <w:rPr>
          <w:rFonts w:ascii="Times New Roman" w:hAnsi="Times New Roman"/>
          <w:sz w:val="28"/>
          <w:szCs w:val="28"/>
        </w:rPr>
        <w:t>С.А. Андреєщев, Т.П. Яворська // Клінічна хірургія. – 2015. – № 5. – С.5-9.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 xml:space="preserve">Степанова Ю. А. </w:t>
      </w:r>
      <w:r w:rsidRPr="003307F1">
        <w:rPr>
          <w:rFonts w:ascii="Times New Roman" w:eastAsia="TimesNewRomanPS-BoldMT" w:hAnsi="Times New Roman"/>
          <w:bCs/>
          <w:sz w:val="28"/>
          <w:szCs w:val="28"/>
        </w:rPr>
        <w:t>Дифференциальная лучевая диагностика</w:t>
      </w:r>
      <w:r w:rsidRPr="003307F1">
        <w:rPr>
          <w:rFonts w:ascii="Times New Roman" w:hAnsi="Times New Roman"/>
          <w:sz w:val="28"/>
          <w:szCs w:val="28"/>
        </w:rPr>
        <w:t xml:space="preserve"> </w:t>
      </w:r>
      <w:r w:rsidRPr="003307F1">
        <w:rPr>
          <w:rFonts w:ascii="Times New Roman" w:eastAsia="TimesNewRomanPS-BoldMT" w:hAnsi="Times New Roman"/>
          <w:bCs/>
          <w:sz w:val="28"/>
          <w:szCs w:val="28"/>
        </w:rPr>
        <w:t>постнекротических кист</w:t>
      </w:r>
      <w:r w:rsidRPr="003307F1">
        <w:rPr>
          <w:rFonts w:ascii="Times New Roman" w:hAnsi="Times New Roman"/>
          <w:sz w:val="28"/>
          <w:szCs w:val="28"/>
        </w:rPr>
        <w:t xml:space="preserve"> </w:t>
      </w:r>
      <w:r w:rsidRPr="003307F1">
        <w:rPr>
          <w:rFonts w:ascii="Times New Roman" w:eastAsia="TimesNewRomanPS-BoldMT" w:hAnsi="Times New Roman"/>
          <w:bCs/>
          <w:sz w:val="28"/>
          <w:szCs w:val="28"/>
        </w:rPr>
        <w:t>поджелудочной железы</w:t>
      </w:r>
      <w:r w:rsidRPr="003307F1">
        <w:rPr>
          <w:rFonts w:ascii="Times New Roman" w:hAnsi="Times New Roman"/>
          <w:sz w:val="28"/>
          <w:szCs w:val="28"/>
        </w:rPr>
        <w:t xml:space="preserve"> </w:t>
      </w:r>
      <w:r w:rsidRPr="003307F1">
        <w:rPr>
          <w:rFonts w:ascii="Times New Roman" w:eastAsia="TimesNewRomanPS-BoldMT" w:hAnsi="Times New Roman"/>
          <w:bCs/>
          <w:sz w:val="28"/>
          <w:szCs w:val="28"/>
        </w:rPr>
        <w:t>и сопутствующих им осложнений</w:t>
      </w:r>
      <w:r w:rsidRPr="003307F1">
        <w:rPr>
          <w:rFonts w:ascii="Times New Roman" w:hAnsi="Times New Roman"/>
          <w:sz w:val="28"/>
          <w:szCs w:val="28"/>
        </w:rPr>
        <w:t xml:space="preserve"> </w:t>
      </w:r>
      <w:r w:rsidRPr="003307F1">
        <w:rPr>
          <w:rFonts w:ascii="Times New Roman" w:eastAsia="TimesNewRomanPS-BoldMT" w:hAnsi="Times New Roman"/>
          <w:bCs/>
          <w:sz w:val="28"/>
          <w:szCs w:val="28"/>
        </w:rPr>
        <w:lastRenderedPageBreak/>
        <w:t xml:space="preserve">хронического панкреатита / </w:t>
      </w:r>
      <w:r w:rsidRPr="003307F1">
        <w:rPr>
          <w:rFonts w:ascii="Times New Roman" w:eastAsia="TimesNewRomanPSMT" w:hAnsi="Times New Roman"/>
          <w:sz w:val="28"/>
          <w:szCs w:val="28"/>
        </w:rPr>
        <w:t>Ю. А. Степанова, Г. Г. Кармазановский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101-</w:t>
      </w:r>
      <w:r w:rsidRPr="003307F1">
        <w:rPr>
          <w:rFonts w:ascii="Times New Roman" w:hAnsi="Times New Roman"/>
          <w:sz w:val="28"/>
          <w:szCs w:val="28"/>
        </w:rPr>
        <w:t>103.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shd w:val="clear" w:color="auto" w:fill="FFFFFF"/>
        </w:rPr>
        <w:t xml:space="preserve">Столярчук О.В. Показники оксидативного стресу у диференціації різних форм гострого панкреатиту / О. В. Столярчук // Харківська хірургічна школа. </w:t>
      </w:r>
      <w:r>
        <w:rPr>
          <w:rFonts w:ascii="Times New Roman" w:hAnsi="Times New Roman"/>
          <w:sz w:val="28"/>
          <w:szCs w:val="28"/>
        </w:rPr>
        <w:t>– 2015. – № 4 (73). – С. 54-</w:t>
      </w:r>
      <w:r w:rsidRPr="003307F1">
        <w:rPr>
          <w:rFonts w:ascii="Times New Roman" w:hAnsi="Times New Roman"/>
          <w:sz w:val="28"/>
          <w:szCs w:val="28"/>
        </w:rPr>
        <w:t>57.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Сучасні принципи діагностики та хірургічного лікування ускладнених</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псевдокіст</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rPr>
        <w:t>підшлункової</w:t>
      </w:r>
      <w:r w:rsidRPr="003307F1">
        <w:rPr>
          <w:rStyle w:val="apple-converted-space"/>
          <w:rFonts w:ascii="Times New Roman" w:hAnsi="Times New Roman"/>
          <w:bCs/>
          <w:sz w:val="28"/>
          <w:szCs w:val="28"/>
        </w:rPr>
        <w:t xml:space="preserve"> </w:t>
      </w:r>
      <w:r w:rsidRPr="003307F1">
        <w:rPr>
          <w:rFonts w:ascii="Times New Roman" w:hAnsi="Times New Roman"/>
          <w:bCs/>
          <w:sz w:val="28"/>
          <w:szCs w:val="28"/>
          <w:shd w:val="clear" w:color="auto" w:fill="FFFFFF"/>
        </w:rPr>
        <w:t>залози</w:t>
      </w:r>
      <w:r w:rsidRPr="003307F1">
        <w:rPr>
          <w:rStyle w:val="apple-converted-space"/>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 В. М. Копчак, І. В. Хомяк, К. В. Копчак</w:t>
      </w:r>
      <w:r w:rsidRPr="003307F1">
        <w:rPr>
          <w:rFonts w:ascii="Times New Roman" w:hAnsi="Times New Roman"/>
          <w:bCs/>
          <w:sz w:val="28"/>
          <w:szCs w:val="28"/>
        </w:rPr>
        <w:t xml:space="preserve"> [ та ін. ]</w:t>
      </w:r>
      <w:r w:rsidRPr="003307F1">
        <w:rPr>
          <w:rFonts w:ascii="Times New Roman" w:hAnsi="Times New Roman"/>
          <w:sz w:val="28"/>
          <w:szCs w:val="28"/>
          <w:shd w:val="clear" w:color="auto" w:fill="FFFFFF"/>
        </w:rPr>
        <w:t xml:space="preserve"> //</w:t>
      </w:r>
      <w:r w:rsidRPr="003307F1">
        <w:rPr>
          <w:rFonts w:ascii="Times New Roman" w:hAnsi="Times New Roman"/>
          <w:sz w:val="28"/>
          <w:szCs w:val="28"/>
        </w:rPr>
        <w:t xml:space="preserve"> </w:t>
      </w:r>
      <w:hyperlink r:id="rId177" w:tooltip="Періодичне видання" w:history="1">
        <w:r w:rsidRPr="003307F1">
          <w:rPr>
            <w:rStyle w:val="af1"/>
            <w:rFonts w:ascii="Times New Roman" w:hAnsi="Times New Roman"/>
            <w:sz w:val="28"/>
            <w:szCs w:val="28"/>
            <w:shd w:val="clear" w:color="auto" w:fill="FFFFFF"/>
          </w:rPr>
          <w:t>Науковий вісник Ужгородського університету. Сер.: Медицина</w:t>
        </w:r>
      </w:hyperlink>
      <w:r w:rsidRPr="003307F1">
        <w:rPr>
          <w:rFonts w:ascii="Times New Roman" w:hAnsi="Times New Roman"/>
          <w:sz w:val="28"/>
          <w:szCs w:val="28"/>
          <w:shd w:val="clear" w:color="auto" w:fill="FFFFFF"/>
        </w:rPr>
        <w:t xml:space="preserve">.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2011. </w:t>
      </w:r>
      <w:r w:rsidRPr="003307F1">
        <w:rPr>
          <w:rFonts w:ascii="Times New Roman" w:hAnsi="Times New Roman"/>
          <w:sz w:val="28"/>
          <w:szCs w:val="28"/>
        </w:rPr>
        <w:t>–</w:t>
      </w:r>
      <w:r w:rsidRPr="003307F1">
        <w:rPr>
          <w:rFonts w:ascii="Times New Roman" w:hAnsi="Times New Roman"/>
          <w:sz w:val="28"/>
          <w:szCs w:val="28"/>
          <w:shd w:val="clear" w:color="auto" w:fill="FFFFFF"/>
        </w:rPr>
        <w:t xml:space="preserve"> Вип. 2 (41). </w:t>
      </w:r>
      <w:r w:rsidRPr="003307F1">
        <w:rPr>
          <w:rFonts w:ascii="Times New Roman" w:hAnsi="Times New Roman"/>
          <w:sz w:val="28"/>
          <w:szCs w:val="28"/>
        </w:rPr>
        <w:t xml:space="preserve">– </w:t>
      </w:r>
      <w:r w:rsidRPr="003307F1">
        <w:rPr>
          <w:rFonts w:ascii="Times New Roman" w:hAnsi="Times New Roman"/>
          <w:sz w:val="28"/>
          <w:szCs w:val="28"/>
          <w:shd w:val="clear" w:color="auto" w:fill="FFFFFF"/>
        </w:rPr>
        <w:t>С. 117</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 xml:space="preserve">120. </w:t>
      </w:r>
    </w:p>
    <w:p w:rsidR="00C62D22" w:rsidRPr="007343F7"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7343F7">
        <w:rPr>
          <w:rFonts w:ascii="Times New Roman" w:hAnsi="Times New Roman"/>
          <w:bCs/>
          <w:sz w:val="28"/>
          <w:szCs w:val="28"/>
        </w:rPr>
        <w:t>Сучасні підходи до лікування ускладнених</w:t>
      </w:r>
      <w:r w:rsidRPr="007343F7">
        <w:rPr>
          <w:rStyle w:val="apple-converted-space"/>
          <w:rFonts w:ascii="Times New Roman" w:hAnsi="Times New Roman"/>
          <w:bCs/>
          <w:sz w:val="28"/>
          <w:szCs w:val="28"/>
        </w:rPr>
        <w:t xml:space="preserve"> </w:t>
      </w:r>
      <w:r w:rsidRPr="007343F7">
        <w:rPr>
          <w:rFonts w:ascii="Times New Roman" w:hAnsi="Times New Roman"/>
          <w:bCs/>
          <w:sz w:val="28"/>
          <w:szCs w:val="28"/>
        </w:rPr>
        <w:t>псевдокіст підшлункової</w:t>
      </w:r>
      <w:r w:rsidRPr="007343F7">
        <w:rPr>
          <w:rStyle w:val="apple-converted-space"/>
          <w:rFonts w:ascii="Times New Roman" w:hAnsi="Times New Roman"/>
          <w:bCs/>
          <w:sz w:val="28"/>
          <w:szCs w:val="28"/>
        </w:rPr>
        <w:t xml:space="preserve"> </w:t>
      </w:r>
      <w:r w:rsidRPr="007343F7">
        <w:rPr>
          <w:rFonts w:ascii="Times New Roman" w:hAnsi="Times New Roman"/>
          <w:bCs/>
          <w:sz w:val="28"/>
          <w:szCs w:val="28"/>
          <w:shd w:val="clear" w:color="auto" w:fill="FFFFFF"/>
        </w:rPr>
        <w:t xml:space="preserve">залози </w:t>
      </w:r>
      <w:r w:rsidRPr="007343F7">
        <w:rPr>
          <w:rFonts w:ascii="Times New Roman" w:hAnsi="Times New Roman"/>
          <w:sz w:val="28"/>
          <w:szCs w:val="28"/>
          <w:shd w:val="clear" w:color="auto" w:fill="FFFFFF"/>
        </w:rPr>
        <w:t>/ В. М. Копчак, К. В. Копчак, І. В. Хомяк [ та ін. ] //</w:t>
      </w:r>
      <w:r w:rsidRPr="007343F7">
        <w:rPr>
          <w:rStyle w:val="apple-converted-space"/>
          <w:rFonts w:ascii="Times New Roman" w:hAnsi="Times New Roman"/>
          <w:sz w:val="28"/>
          <w:szCs w:val="28"/>
          <w:shd w:val="clear" w:color="auto" w:fill="F9F9F9"/>
        </w:rPr>
        <w:t xml:space="preserve"> </w:t>
      </w:r>
      <w:hyperlink r:id="rId178" w:tooltip="Періодичне видання" w:history="1">
        <w:r w:rsidRPr="007343F7">
          <w:rPr>
            <w:rStyle w:val="af1"/>
            <w:rFonts w:ascii="Times New Roman" w:hAnsi="Times New Roman"/>
            <w:sz w:val="28"/>
            <w:szCs w:val="28"/>
          </w:rPr>
          <w:t>Науковий вісник Ужгородського університету. Сер.: Медицина</w:t>
        </w:r>
      </w:hyperlink>
      <w:r w:rsidRPr="007343F7">
        <w:rPr>
          <w:rFonts w:ascii="Times New Roman" w:hAnsi="Times New Roman"/>
          <w:sz w:val="28"/>
          <w:szCs w:val="28"/>
          <w:shd w:val="clear" w:color="auto" w:fill="FFFFFF"/>
        </w:rPr>
        <w:t>. – 2014. –</w:t>
      </w:r>
      <w:r w:rsidRPr="007343F7">
        <w:rPr>
          <w:rFonts w:ascii="Times New Roman" w:hAnsi="Times New Roman"/>
          <w:sz w:val="28"/>
          <w:szCs w:val="28"/>
          <w:shd w:val="clear" w:color="auto" w:fill="F9F9F9"/>
        </w:rPr>
        <w:t xml:space="preserve"> </w:t>
      </w:r>
      <w:r w:rsidRPr="007343F7">
        <w:rPr>
          <w:rFonts w:ascii="Times New Roman" w:hAnsi="Times New Roman"/>
          <w:sz w:val="28"/>
          <w:szCs w:val="28"/>
          <w:shd w:val="clear" w:color="auto" w:fill="FFFFFF"/>
        </w:rPr>
        <w:t>Вип. 1 (49). – С. 106-111.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Сучасні підходи до лікування хворих з обтураційною жовтяницею доброякісного ґенезу / Б. С. Запорожченко, А. А. Горбунов, П. Т. Муравйова </w:t>
      </w:r>
      <w:r w:rsidRPr="003307F1">
        <w:rPr>
          <w:rFonts w:ascii="Times New Roman" w:hAnsi="Times New Roman"/>
          <w:sz w:val="28"/>
          <w:szCs w:val="28"/>
          <w:shd w:val="clear" w:color="auto" w:fill="FFFFFF"/>
        </w:rPr>
        <w:t>[ та ін. ] // Науковий вісник Ужгорожського університету</w:t>
      </w:r>
      <w:r>
        <w:rPr>
          <w:rFonts w:ascii="Times New Roman" w:hAnsi="Times New Roman"/>
          <w:sz w:val="28"/>
          <w:szCs w:val="28"/>
          <w:shd w:val="clear" w:color="auto" w:fill="FFFFFF"/>
        </w:rPr>
        <w:t>. – 2014. – № 1 (49). – С. 80-</w:t>
      </w:r>
      <w:r w:rsidRPr="003307F1">
        <w:rPr>
          <w:rFonts w:ascii="Times New Roman" w:hAnsi="Times New Roman"/>
          <w:sz w:val="28"/>
          <w:szCs w:val="28"/>
          <w:shd w:val="clear" w:color="auto" w:fill="FFFFFF"/>
        </w:rPr>
        <w:t>82.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Сучасні підходи до ендоскопічного дренування псевдокіст підшлункової залози / М. Ю. Ничитайло, П. В. Огородник, О. П. Кондратюк [ та ін. ] // Клінічна хірургія. – 2013. – № 7. – С. 13</w:t>
      </w:r>
      <w:r>
        <w:rPr>
          <w:rFonts w:ascii="Times New Roman" w:hAnsi="Times New Roman"/>
          <w:sz w:val="28"/>
          <w:szCs w:val="28"/>
        </w:rPr>
        <w:t>-</w:t>
      </w:r>
      <w:r w:rsidRPr="003307F1">
        <w:rPr>
          <w:rFonts w:ascii="Times New Roman" w:hAnsi="Times New Roman"/>
          <w:sz w:val="28"/>
          <w:szCs w:val="28"/>
        </w:rPr>
        <w:t xml:space="preserve">15.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Сучасні погляди на проблему хірургічного лікування хронічного панкреатиту / В. М. Копчак, В. І. Пилипчук, С. В. Андронік [ та ін. ] // Клінічна хірургія. </w:t>
      </w:r>
      <w:r w:rsidRPr="003307F1">
        <w:rPr>
          <w:rFonts w:ascii="Times New Roman" w:hAnsi="Times New Roman"/>
          <w:sz w:val="28"/>
          <w:szCs w:val="28"/>
          <w:shd w:val="clear" w:color="auto" w:fill="FFFFFF"/>
        </w:rPr>
        <w:t>– 2014. – № 9. – С. 28</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30.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shd w:val="clear" w:color="auto" w:fill="FFFFFF"/>
        </w:rPr>
        <w:t>Тактика лікування</w:t>
      </w:r>
      <w:r w:rsidRPr="003307F1">
        <w:rPr>
          <w:rStyle w:val="apple-converted-space"/>
          <w:rFonts w:ascii="Times New Roman" w:hAnsi="Times New Roman"/>
          <w:bCs/>
          <w:sz w:val="28"/>
          <w:szCs w:val="28"/>
          <w:shd w:val="clear" w:color="auto" w:fill="FFFFFF"/>
        </w:rPr>
        <w:t xml:space="preserve"> </w:t>
      </w:r>
      <w:r w:rsidRPr="003307F1">
        <w:rPr>
          <w:rFonts w:ascii="Times New Roman" w:hAnsi="Times New Roman"/>
          <w:bCs/>
          <w:sz w:val="28"/>
          <w:szCs w:val="28"/>
          <w:shd w:val="clear" w:color="auto" w:fill="FFFFFF"/>
        </w:rPr>
        <w:t>псевдокіст</w:t>
      </w:r>
      <w:r w:rsidRPr="003307F1">
        <w:rPr>
          <w:rStyle w:val="apple-converted-space"/>
          <w:rFonts w:ascii="Times New Roman" w:hAnsi="Times New Roman"/>
          <w:bCs/>
          <w:sz w:val="28"/>
          <w:szCs w:val="28"/>
          <w:shd w:val="clear" w:color="auto" w:fill="FFFFFF"/>
        </w:rPr>
        <w:t xml:space="preserve"> </w:t>
      </w:r>
      <w:r w:rsidRPr="003307F1">
        <w:rPr>
          <w:rFonts w:ascii="Times New Roman" w:hAnsi="Times New Roman"/>
          <w:bCs/>
          <w:sz w:val="28"/>
          <w:szCs w:val="28"/>
          <w:shd w:val="clear" w:color="auto" w:fill="FFFFFF"/>
        </w:rPr>
        <w:t>підшлункової</w:t>
      </w:r>
      <w:r w:rsidRPr="003307F1">
        <w:rPr>
          <w:rStyle w:val="apple-converted-space"/>
          <w:rFonts w:ascii="Times New Roman" w:hAnsi="Times New Roman"/>
          <w:bCs/>
          <w:sz w:val="28"/>
          <w:szCs w:val="28"/>
          <w:shd w:val="clear" w:color="auto" w:fill="FFFFFF"/>
        </w:rPr>
        <w:t xml:space="preserve"> </w:t>
      </w:r>
      <w:r w:rsidRPr="003307F1">
        <w:rPr>
          <w:rFonts w:ascii="Times New Roman" w:hAnsi="Times New Roman"/>
          <w:bCs/>
          <w:sz w:val="28"/>
          <w:szCs w:val="28"/>
          <w:shd w:val="clear" w:color="auto" w:fill="FFFFFF"/>
        </w:rPr>
        <w:t>залози</w:t>
      </w:r>
      <w:r w:rsidRPr="003307F1">
        <w:rPr>
          <w:rStyle w:val="apple-converted-space"/>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 xml:space="preserve">/ В. В. Міщенко, </w:t>
      </w:r>
      <w:r>
        <w:rPr>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П. І. Пустовойт, В. В. Гарячий [ та ін. ] //</w:t>
      </w:r>
      <w:r w:rsidRPr="003307F1">
        <w:rPr>
          <w:rStyle w:val="apple-converted-space"/>
          <w:rFonts w:ascii="Times New Roman" w:hAnsi="Times New Roman"/>
          <w:sz w:val="28"/>
          <w:szCs w:val="28"/>
          <w:shd w:val="clear" w:color="auto" w:fill="FFFFFF"/>
        </w:rPr>
        <w:t xml:space="preserve"> </w:t>
      </w:r>
      <w:hyperlink r:id="rId179" w:tooltip="Періодичне видання" w:history="1">
        <w:r w:rsidRPr="003307F1">
          <w:rPr>
            <w:rStyle w:val="af1"/>
            <w:rFonts w:ascii="Times New Roman" w:hAnsi="Times New Roman"/>
            <w:sz w:val="28"/>
            <w:szCs w:val="28"/>
            <w:shd w:val="clear" w:color="auto" w:fill="FFFFFF"/>
          </w:rPr>
          <w:t>Науковий вісник Ужгородського університету. Сер.: Медицина</w:t>
        </w:r>
      </w:hyperlink>
      <w:r w:rsidRPr="003307F1">
        <w:rPr>
          <w:rFonts w:ascii="Times New Roman" w:hAnsi="Times New Roman"/>
          <w:sz w:val="28"/>
          <w:szCs w:val="28"/>
          <w:shd w:val="clear" w:color="auto" w:fill="FFFFFF"/>
        </w:rPr>
        <w:t>. – 2011. – Вип. 2. – С. 191</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rPr>
        <w:t>193.</w:t>
      </w:r>
      <w:r w:rsidRPr="003307F1">
        <w:rPr>
          <w:rFonts w:ascii="Times New Roman" w:hAnsi="Times New Roman"/>
          <w:sz w:val="28"/>
          <w:szCs w:val="28"/>
          <w:shd w:val="clear" w:color="auto" w:fill="F9F9F9"/>
        </w:rPr>
        <w:t xml:space="preserve">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Тактика хирургического лечения осложненных форм хронического панкреатита / В. М. Ратчик, А. М. Бабий, Н. В. Пролом [ и др. ] // Харківська хірургічна школа. </w:t>
      </w:r>
      <w:r>
        <w:rPr>
          <w:rFonts w:ascii="Times New Roman" w:hAnsi="Times New Roman"/>
          <w:sz w:val="28"/>
          <w:szCs w:val="28"/>
          <w:shd w:val="clear" w:color="auto" w:fill="FFFFFF"/>
        </w:rPr>
        <w:t>– 2015. – № 4 (73). – С. 50-</w:t>
      </w:r>
      <w:r w:rsidRPr="003307F1">
        <w:rPr>
          <w:rFonts w:ascii="Times New Roman" w:hAnsi="Times New Roman"/>
          <w:sz w:val="28"/>
          <w:szCs w:val="28"/>
          <w:shd w:val="clear" w:color="auto" w:fill="FFFFFF"/>
        </w:rPr>
        <w:t>53.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lastRenderedPageBreak/>
        <w:t>Тактика хирургического лечения жидкостных скоплений</w:t>
      </w:r>
      <w:r w:rsidRPr="003307F1">
        <w:rPr>
          <w:rFonts w:ascii="Times New Roman" w:hAnsi="Times New Roman"/>
          <w:iCs/>
          <w:sz w:val="28"/>
          <w:szCs w:val="28"/>
        </w:rPr>
        <w:t xml:space="preserve"> </w:t>
      </w:r>
      <w:r w:rsidRPr="003307F1">
        <w:rPr>
          <w:rFonts w:ascii="Times New Roman" w:hAnsi="Times New Roman"/>
          <w:bCs/>
          <w:sz w:val="28"/>
          <w:szCs w:val="28"/>
        </w:rPr>
        <w:t xml:space="preserve">и псевдокист поджелудочной железы / </w:t>
      </w:r>
      <w:r w:rsidRPr="003307F1">
        <w:rPr>
          <w:rFonts w:ascii="Times New Roman" w:hAnsi="Times New Roman"/>
          <w:iCs/>
          <w:sz w:val="28"/>
          <w:szCs w:val="28"/>
        </w:rPr>
        <w:t xml:space="preserve">В. М. Ратчик, Б. Ф. Шевченко, А. М. Бабий [ та ін. ] </w:t>
      </w:r>
      <w:r w:rsidRPr="003307F1">
        <w:rPr>
          <w:rFonts w:ascii="Times New Roman" w:hAnsi="Times New Roman"/>
          <w:bCs/>
          <w:sz w:val="28"/>
          <w:szCs w:val="28"/>
        </w:rPr>
        <w:t>//</w:t>
      </w:r>
      <w:r w:rsidRPr="003307F1">
        <w:rPr>
          <w:rFonts w:ascii="Times New Roman" w:hAnsi="Times New Roman"/>
          <w:iCs/>
          <w:sz w:val="28"/>
          <w:szCs w:val="28"/>
        </w:rPr>
        <w:t xml:space="preserve">Український Журнал Хірургії. </w:t>
      </w:r>
      <w:r w:rsidRPr="003307F1">
        <w:rPr>
          <w:rFonts w:ascii="Times New Roman" w:hAnsi="Times New Roman"/>
          <w:sz w:val="28"/>
          <w:szCs w:val="28"/>
        </w:rPr>
        <w:t>–</w:t>
      </w:r>
      <w:r w:rsidRPr="003307F1">
        <w:rPr>
          <w:rFonts w:ascii="Times New Roman" w:hAnsi="Times New Roman"/>
          <w:iCs/>
          <w:sz w:val="28"/>
          <w:szCs w:val="28"/>
        </w:rPr>
        <w:t xml:space="preserve"> </w:t>
      </w:r>
      <w:r>
        <w:rPr>
          <w:rFonts w:ascii="Times New Roman" w:hAnsi="Times New Roman"/>
          <w:sz w:val="28"/>
          <w:szCs w:val="28"/>
        </w:rPr>
        <w:t>2011. – № 2 (11). – С. 204-</w:t>
      </w:r>
      <w:r w:rsidRPr="003307F1">
        <w:rPr>
          <w:rFonts w:ascii="Times New Roman" w:hAnsi="Times New Roman"/>
          <w:sz w:val="28"/>
          <w:szCs w:val="28"/>
        </w:rPr>
        <w:t>208.</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Тактика</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хирургического лечения больных хроническим панкреатитом / </w:t>
      </w:r>
      <w:r>
        <w:rPr>
          <w:rFonts w:ascii="Times New Roman" w:hAnsi="Times New Roman"/>
          <w:sz w:val="28"/>
          <w:szCs w:val="28"/>
        </w:rPr>
        <w:t xml:space="preserve">            </w:t>
      </w:r>
      <w:r w:rsidRPr="003307F1">
        <w:rPr>
          <w:rFonts w:ascii="Times New Roman" w:hAnsi="Times New Roman"/>
          <w:sz w:val="28"/>
          <w:szCs w:val="28"/>
        </w:rPr>
        <w:t xml:space="preserve">В. А. </w:t>
      </w:r>
      <w:r w:rsidRPr="003307F1">
        <w:rPr>
          <w:rFonts w:ascii="Times New Roman" w:hAnsi="Times New Roman"/>
          <w:iCs/>
          <w:sz w:val="28"/>
          <w:szCs w:val="28"/>
        </w:rPr>
        <w:t>Кубышкин, А. Г. Кригер, И. А. Козлов [ и др. ]</w:t>
      </w:r>
      <w:r w:rsidRPr="003307F1">
        <w:rPr>
          <w:rFonts w:ascii="Times New Roman" w:eastAsia="TimesNewRoman" w:hAnsi="Times New Roman"/>
          <w:sz w:val="28"/>
          <w:szCs w:val="28"/>
        </w:rPr>
        <w:t xml:space="preserve"> </w:t>
      </w:r>
      <w:r w:rsidRPr="003307F1">
        <w:rPr>
          <w:rFonts w:ascii="Times New Roman" w:hAnsi="Times New Roman"/>
          <w:sz w:val="28"/>
          <w:szCs w:val="28"/>
        </w:rPr>
        <w:t>// Хи</w:t>
      </w:r>
      <w:r>
        <w:rPr>
          <w:rFonts w:ascii="Times New Roman" w:hAnsi="Times New Roman"/>
          <w:sz w:val="28"/>
          <w:szCs w:val="28"/>
        </w:rPr>
        <w:t>рургия. – 2013. – №1. – С. 17-</w:t>
      </w:r>
      <w:r w:rsidRPr="003307F1">
        <w:rPr>
          <w:rFonts w:ascii="Times New Roman" w:hAnsi="Times New Roman"/>
          <w:sz w:val="28"/>
          <w:szCs w:val="28"/>
        </w:rPr>
        <w:t>23.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Технические решения при устранении протоковой гипертензии поджелудочной железы / А. Р. Пропп, В. Л. Полуэктов, В. Г. Лобанов [ и др. ] // Хирургия. Журнал им. Н.И. Пир</w:t>
      </w:r>
      <w:r>
        <w:rPr>
          <w:rFonts w:ascii="Times New Roman" w:hAnsi="Times New Roman"/>
          <w:sz w:val="28"/>
          <w:szCs w:val="28"/>
        </w:rPr>
        <w:t>огова. – 2011. – № 6. – С. 32-</w:t>
      </w:r>
      <w:r w:rsidRPr="003307F1">
        <w:rPr>
          <w:rFonts w:ascii="Times New Roman" w:hAnsi="Times New Roman"/>
          <w:sz w:val="28"/>
          <w:szCs w:val="28"/>
        </w:rPr>
        <w:t>37.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Трофименко С. П. Застосування пункційно-дренувальних втручань під контролем ультразвукового дослідження в лікуванні</w:t>
      </w:r>
      <w:r w:rsidRPr="003307F1">
        <w:rPr>
          <w:rFonts w:ascii="Times New Roman" w:eastAsia="TimesNewRoman" w:hAnsi="Times New Roman"/>
          <w:sz w:val="28"/>
          <w:szCs w:val="28"/>
        </w:rPr>
        <w:t xml:space="preserve"> </w:t>
      </w:r>
      <w:r w:rsidRPr="003307F1">
        <w:rPr>
          <w:rFonts w:ascii="Times New Roman" w:hAnsi="Times New Roman"/>
          <w:sz w:val="28"/>
          <w:szCs w:val="28"/>
        </w:rPr>
        <w:t>псевдокіст підшлункової залози / С. П. Трофименко, М. І. Тутченко, Е. В. Світличний // Клінічна хі</w:t>
      </w:r>
      <w:r>
        <w:rPr>
          <w:rFonts w:ascii="Times New Roman" w:hAnsi="Times New Roman"/>
          <w:sz w:val="28"/>
          <w:szCs w:val="28"/>
        </w:rPr>
        <w:t>рургія. – 2011. – № 6. – С.62-</w:t>
      </w:r>
      <w:r w:rsidRPr="003307F1">
        <w:rPr>
          <w:rFonts w:ascii="Times New Roman" w:hAnsi="Times New Roman"/>
          <w:sz w:val="28"/>
          <w:szCs w:val="28"/>
        </w:rPr>
        <w:t>64.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Трошин Л.</w:t>
      </w:r>
      <w:r>
        <w:rPr>
          <w:rFonts w:ascii="Times New Roman" w:hAnsi="Times New Roman"/>
          <w:sz w:val="28"/>
          <w:szCs w:val="28"/>
        </w:rPr>
        <w:t xml:space="preserve"> </w:t>
      </w:r>
      <w:r w:rsidRPr="003307F1">
        <w:rPr>
          <w:rFonts w:ascii="Times New Roman" w:hAnsi="Times New Roman"/>
          <w:sz w:val="28"/>
          <w:szCs w:val="28"/>
        </w:rPr>
        <w:t xml:space="preserve">И. Статистический  анализ нечисловой информации / </w:t>
      </w:r>
      <w:r>
        <w:rPr>
          <w:rFonts w:ascii="Times New Roman" w:hAnsi="Times New Roman"/>
          <w:sz w:val="28"/>
          <w:szCs w:val="28"/>
        </w:rPr>
        <w:t xml:space="preserve">                   </w:t>
      </w:r>
      <w:r w:rsidRPr="003307F1">
        <w:rPr>
          <w:rFonts w:ascii="Times New Roman" w:hAnsi="Times New Roman"/>
          <w:sz w:val="28"/>
          <w:szCs w:val="28"/>
        </w:rPr>
        <w:t>Л.</w:t>
      </w:r>
      <w:r>
        <w:rPr>
          <w:rFonts w:ascii="Times New Roman" w:hAnsi="Times New Roman"/>
          <w:sz w:val="28"/>
          <w:szCs w:val="28"/>
        </w:rPr>
        <w:t xml:space="preserve"> </w:t>
      </w:r>
      <w:r w:rsidRPr="003307F1">
        <w:rPr>
          <w:rFonts w:ascii="Times New Roman" w:hAnsi="Times New Roman"/>
          <w:sz w:val="28"/>
          <w:szCs w:val="28"/>
        </w:rPr>
        <w:t>И. Трошин, В.</w:t>
      </w:r>
      <w:r>
        <w:rPr>
          <w:rFonts w:ascii="Times New Roman" w:hAnsi="Times New Roman"/>
          <w:sz w:val="28"/>
          <w:szCs w:val="28"/>
        </w:rPr>
        <w:t xml:space="preserve"> </w:t>
      </w:r>
      <w:r w:rsidRPr="003307F1">
        <w:rPr>
          <w:rFonts w:ascii="Times New Roman" w:hAnsi="Times New Roman"/>
          <w:sz w:val="28"/>
          <w:szCs w:val="28"/>
        </w:rPr>
        <w:t>А. Балаш, О.</w:t>
      </w:r>
      <w:r>
        <w:rPr>
          <w:rFonts w:ascii="Times New Roman" w:hAnsi="Times New Roman"/>
          <w:sz w:val="28"/>
          <w:szCs w:val="28"/>
        </w:rPr>
        <w:t xml:space="preserve"> </w:t>
      </w:r>
      <w:r w:rsidRPr="003307F1">
        <w:rPr>
          <w:rFonts w:ascii="Times New Roman" w:hAnsi="Times New Roman"/>
          <w:sz w:val="28"/>
          <w:szCs w:val="28"/>
        </w:rPr>
        <w:t>С. Балаш. – М.: Московский  государственный университет экономики, статистики и информатики, 2001. – 67 с.</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Тугое ушивание (капитонаж) постнекротической нагноившейся псевдокисты поджелудочной железы / Э. И. </w:t>
      </w:r>
      <w:r w:rsidRPr="003307F1">
        <w:rPr>
          <w:rFonts w:ascii="Times New Roman" w:hAnsi="Times New Roman"/>
          <w:iCs/>
          <w:sz w:val="28"/>
          <w:szCs w:val="28"/>
        </w:rPr>
        <w:t xml:space="preserve">Гальперин, А. Ю. Чевокин, </w:t>
      </w:r>
      <w:r>
        <w:rPr>
          <w:rFonts w:ascii="Times New Roman" w:hAnsi="Times New Roman"/>
          <w:iCs/>
          <w:sz w:val="28"/>
          <w:szCs w:val="28"/>
        </w:rPr>
        <w:t xml:space="preserve">                                 </w:t>
      </w:r>
      <w:r w:rsidRPr="003307F1">
        <w:rPr>
          <w:rFonts w:ascii="Times New Roman" w:hAnsi="Times New Roman"/>
          <w:iCs/>
          <w:sz w:val="28"/>
          <w:szCs w:val="28"/>
        </w:rPr>
        <w:t>В. Г. Игнатюк, И. А. Семененко</w:t>
      </w:r>
      <w:r w:rsidRPr="003307F1">
        <w:rPr>
          <w:rFonts w:ascii="Times New Roman" w:hAnsi="Times New Roman"/>
          <w:sz w:val="28"/>
          <w:szCs w:val="28"/>
        </w:rPr>
        <w:t xml:space="preserve"> // </w:t>
      </w:r>
      <w:hyperlink r:id="rId180" w:history="1">
        <w:r w:rsidRPr="003307F1">
          <w:rPr>
            <w:rStyle w:val="af1"/>
            <w:rFonts w:ascii="Times New Roman" w:hAnsi="Times New Roman"/>
            <w:bCs/>
            <w:sz w:val="28"/>
            <w:szCs w:val="28"/>
          </w:rPr>
          <w:t>Анналы хирургической гепатологии</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w:t>
      </w:r>
      <w:hyperlink r:id="rId181" w:history="1">
        <w:r w:rsidRPr="003307F1">
          <w:rPr>
            <w:rStyle w:val="af1"/>
            <w:rFonts w:ascii="Times New Roman" w:hAnsi="Times New Roman"/>
            <w:bCs/>
            <w:sz w:val="28"/>
            <w:szCs w:val="28"/>
          </w:rPr>
          <w:t>2014</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 </w:t>
      </w:r>
      <w:hyperlink r:id="rId182" w:history="1">
        <w:r w:rsidRPr="003307F1">
          <w:rPr>
            <w:rStyle w:val="af1"/>
            <w:rFonts w:ascii="Times New Roman" w:hAnsi="Times New Roman"/>
            <w:bCs/>
            <w:sz w:val="28"/>
            <w:szCs w:val="28"/>
          </w:rPr>
          <w:t>2</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С. </w:t>
      </w:r>
      <w:hyperlink r:id="rId183" w:history="1">
        <w:r w:rsidRPr="003307F1">
          <w:rPr>
            <w:rStyle w:val="af1"/>
            <w:rFonts w:ascii="Times New Roman" w:hAnsi="Times New Roman"/>
            <w:bCs/>
            <w:sz w:val="28"/>
            <w:szCs w:val="28"/>
          </w:rPr>
          <w:t>117</w:t>
        </w:r>
      </w:hyperlink>
      <w:r>
        <w:rPr>
          <w:rFonts w:ascii="Times New Roman" w:hAnsi="Times New Roman"/>
          <w:sz w:val="28"/>
          <w:szCs w:val="28"/>
        </w:rPr>
        <w:t>-</w:t>
      </w:r>
      <w:r w:rsidRPr="003307F1">
        <w:rPr>
          <w:rFonts w:ascii="Times New Roman" w:hAnsi="Times New Roman"/>
          <w:sz w:val="28"/>
          <w:szCs w:val="28"/>
        </w:rPr>
        <w:t>119.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iCs/>
          <w:sz w:val="28"/>
          <w:szCs w:val="28"/>
        </w:rPr>
        <w:t xml:space="preserve">Узденов М.Б. </w:t>
      </w:r>
      <w:r w:rsidRPr="003307F1">
        <w:rPr>
          <w:rFonts w:ascii="Times New Roman" w:hAnsi="Times New Roman"/>
          <w:sz w:val="28"/>
          <w:szCs w:val="28"/>
        </w:rPr>
        <w:t>Дифференцированный выбор метода хирургического лечения кист поджелудочной железы: автореф.</w:t>
      </w:r>
      <w:r w:rsidRPr="003307F1">
        <w:rPr>
          <w:rFonts w:ascii="Times New Roman" w:eastAsia="TimesNewRoman" w:hAnsi="Times New Roman"/>
          <w:sz w:val="28"/>
          <w:szCs w:val="28"/>
        </w:rPr>
        <w:t xml:space="preserve"> </w:t>
      </w:r>
      <w:r w:rsidRPr="003307F1">
        <w:rPr>
          <w:rFonts w:ascii="Times New Roman" w:hAnsi="Times New Roman"/>
          <w:sz w:val="28"/>
          <w:szCs w:val="28"/>
        </w:rPr>
        <w:t xml:space="preserve">дис. … канд. мед. / М. Б. Узденов. – Ставрополь, 2010. – 29 с.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Факторный, дискриминантный и кластерный анализ / Дж.- О. </w:t>
      </w:r>
      <w:r>
        <w:rPr>
          <w:rFonts w:ascii="Times New Roman" w:hAnsi="Times New Roman"/>
          <w:sz w:val="28"/>
          <w:szCs w:val="28"/>
        </w:rPr>
        <w:t>Ким</w:t>
      </w:r>
      <w:r w:rsidRPr="003307F1">
        <w:rPr>
          <w:rFonts w:ascii="Times New Roman" w:hAnsi="Times New Roman"/>
          <w:sz w:val="28"/>
          <w:szCs w:val="28"/>
        </w:rPr>
        <w:t xml:space="preserve">, </w:t>
      </w:r>
      <w:r>
        <w:rPr>
          <w:rFonts w:ascii="Times New Roman" w:hAnsi="Times New Roman"/>
          <w:sz w:val="28"/>
          <w:szCs w:val="28"/>
        </w:rPr>
        <w:t xml:space="preserve">                  </w:t>
      </w:r>
      <w:r w:rsidRPr="003307F1">
        <w:rPr>
          <w:rFonts w:ascii="Times New Roman" w:hAnsi="Times New Roman"/>
          <w:sz w:val="28"/>
          <w:szCs w:val="28"/>
        </w:rPr>
        <w:t>Ч.</w:t>
      </w:r>
      <w:r>
        <w:rPr>
          <w:rFonts w:ascii="Times New Roman" w:hAnsi="Times New Roman"/>
          <w:sz w:val="28"/>
          <w:szCs w:val="28"/>
        </w:rPr>
        <w:t xml:space="preserve"> </w:t>
      </w:r>
      <w:r w:rsidRPr="003307F1">
        <w:rPr>
          <w:rFonts w:ascii="Times New Roman" w:hAnsi="Times New Roman"/>
          <w:sz w:val="28"/>
          <w:szCs w:val="28"/>
        </w:rPr>
        <w:t>У. Мьюллер, У.</w:t>
      </w:r>
      <w:r>
        <w:rPr>
          <w:rFonts w:ascii="Times New Roman" w:hAnsi="Times New Roman"/>
          <w:sz w:val="28"/>
          <w:szCs w:val="28"/>
        </w:rPr>
        <w:t xml:space="preserve"> </w:t>
      </w:r>
      <w:r w:rsidRPr="003307F1">
        <w:rPr>
          <w:rFonts w:ascii="Times New Roman" w:hAnsi="Times New Roman"/>
          <w:sz w:val="28"/>
          <w:szCs w:val="28"/>
        </w:rPr>
        <w:t>Р. Клекка [ и др ]; пер. с англ.; под ред. И.</w:t>
      </w:r>
      <w:r>
        <w:rPr>
          <w:rFonts w:ascii="Times New Roman" w:hAnsi="Times New Roman"/>
          <w:sz w:val="28"/>
          <w:szCs w:val="28"/>
        </w:rPr>
        <w:t xml:space="preserve"> </w:t>
      </w:r>
      <w:r w:rsidRPr="003307F1">
        <w:rPr>
          <w:rFonts w:ascii="Times New Roman" w:hAnsi="Times New Roman"/>
          <w:sz w:val="28"/>
          <w:szCs w:val="28"/>
        </w:rPr>
        <w:t xml:space="preserve">С. Енюкова – М.: Финансы и статистика, </w:t>
      </w:r>
      <w:r>
        <w:rPr>
          <w:rFonts w:ascii="Times New Roman" w:hAnsi="Times New Roman"/>
          <w:sz w:val="28"/>
          <w:szCs w:val="28"/>
        </w:rPr>
        <w:t xml:space="preserve">1989 – 215 </w:t>
      </w:r>
      <w:r w:rsidRPr="003307F1">
        <w:rPr>
          <w:rFonts w:ascii="Times New Roman" w:hAnsi="Times New Roman"/>
          <w:sz w:val="28"/>
          <w:szCs w:val="28"/>
        </w:rPr>
        <w:t>с.</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 xml:space="preserve">Федоровский В. В. </w:t>
      </w:r>
      <w:r w:rsidRPr="003307F1">
        <w:rPr>
          <w:rFonts w:ascii="Times New Roman" w:eastAsia="TimesNewRomanPS-BoldMT" w:hAnsi="Times New Roman"/>
          <w:bCs/>
          <w:sz w:val="28"/>
          <w:szCs w:val="28"/>
        </w:rPr>
        <w:t xml:space="preserve">Анализ лечения больных с псевдокистами поджелудочной железы / В. В. Федоровский // </w:t>
      </w:r>
      <w:r w:rsidRPr="003307F1">
        <w:rPr>
          <w:rFonts w:ascii="Times New Roman" w:eastAsia="TimesNewRomanPSMT" w:hAnsi="Times New Roman"/>
          <w:sz w:val="28"/>
          <w:szCs w:val="28"/>
        </w:rPr>
        <w:t>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121-</w:t>
      </w:r>
      <w:r w:rsidRPr="003307F1">
        <w:rPr>
          <w:rFonts w:ascii="Times New Roman" w:hAnsi="Times New Roman"/>
          <w:sz w:val="28"/>
          <w:szCs w:val="28"/>
        </w:rPr>
        <w:t>122.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lastRenderedPageBreak/>
        <w:t>Федорків М. Б. Прогнозування гострого панкреатит—асоційованого пошкодження легень на основі визначення вмісту деяких цитокінів / М. Б. Федорків, І. М. Гудз, І. М. Шевчук // Клінічна хірургія. – 2013. – № 7. – С. 28</w:t>
      </w:r>
      <w:r>
        <w:rPr>
          <w:rFonts w:ascii="Times New Roman" w:hAnsi="Times New Roman"/>
          <w:sz w:val="28"/>
          <w:szCs w:val="28"/>
        </w:rPr>
        <w:t>-</w:t>
      </w:r>
      <w:r w:rsidRPr="003307F1">
        <w:rPr>
          <w:rFonts w:ascii="Times New Roman" w:hAnsi="Times New Roman"/>
          <w:sz w:val="28"/>
          <w:szCs w:val="28"/>
        </w:rPr>
        <w:t>30.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Физиологические функции сосудистого эндотелия / А. Х. </w:t>
      </w:r>
      <w:r w:rsidRPr="003307F1">
        <w:rPr>
          <w:rFonts w:ascii="Times New Roman" w:eastAsia="TimesNewRomanPS-BoldMT" w:hAnsi="Times New Roman"/>
          <w:bCs/>
          <w:sz w:val="28"/>
          <w:szCs w:val="28"/>
        </w:rPr>
        <w:t xml:space="preserve">Каде, </w:t>
      </w:r>
      <w:r>
        <w:rPr>
          <w:rFonts w:ascii="Times New Roman" w:eastAsia="TimesNewRomanPS-BoldMT" w:hAnsi="Times New Roman"/>
          <w:bCs/>
          <w:sz w:val="28"/>
          <w:szCs w:val="28"/>
        </w:rPr>
        <w:t xml:space="preserve">                     </w:t>
      </w:r>
      <w:r w:rsidRPr="003307F1">
        <w:rPr>
          <w:rFonts w:ascii="Times New Roman" w:eastAsia="TimesNewRomanPS-BoldMT" w:hAnsi="Times New Roman"/>
          <w:bCs/>
          <w:sz w:val="28"/>
          <w:szCs w:val="28"/>
        </w:rPr>
        <w:t xml:space="preserve">С. А. Занин, Е. А. Губарева [ и др. ] // </w:t>
      </w:r>
      <w:r w:rsidRPr="003307F1">
        <w:rPr>
          <w:rFonts w:ascii="Times New Roman" w:eastAsia="TimesNewRomanPSMT" w:hAnsi="Times New Roman"/>
          <w:sz w:val="28"/>
          <w:szCs w:val="28"/>
        </w:rPr>
        <w:t xml:space="preserve">Фундаментальные исследования. </w:t>
      </w:r>
      <w:r w:rsidRPr="003307F1">
        <w:rPr>
          <w:rFonts w:ascii="Times New Roman" w:hAnsi="Times New Roman"/>
          <w:sz w:val="28"/>
          <w:szCs w:val="28"/>
        </w:rPr>
        <w:t xml:space="preserve">– 2011. – </w:t>
      </w:r>
      <w:r w:rsidRPr="003307F1">
        <w:rPr>
          <w:rFonts w:ascii="Times New Roman" w:eastAsia="TimesNewRomanPSMT" w:hAnsi="Times New Roman"/>
          <w:sz w:val="28"/>
          <w:szCs w:val="28"/>
        </w:rPr>
        <w:t xml:space="preserve">№11. </w:t>
      </w:r>
      <w:r w:rsidRPr="003307F1">
        <w:rPr>
          <w:rFonts w:ascii="Times New Roman" w:hAnsi="Times New Roman"/>
          <w:sz w:val="28"/>
          <w:szCs w:val="28"/>
        </w:rPr>
        <w:t xml:space="preserve">– С. </w:t>
      </w:r>
      <w:r>
        <w:rPr>
          <w:rFonts w:ascii="Times New Roman" w:hAnsi="Times New Roman"/>
          <w:sz w:val="28"/>
          <w:szCs w:val="28"/>
        </w:rPr>
        <w:t>611-</w:t>
      </w:r>
      <w:r w:rsidRPr="003307F1">
        <w:rPr>
          <w:rFonts w:ascii="Times New Roman" w:hAnsi="Times New Roman"/>
          <w:sz w:val="28"/>
          <w:szCs w:val="28"/>
        </w:rPr>
        <w:t>617.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 xml:space="preserve">Филькин Г. Н. </w:t>
      </w:r>
      <w:r w:rsidRPr="003307F1">
        <w:rPr>
          <w:rFonts w:ascii="Times New Roman" w:eastAsia="TimesNewRomanPS-BoldMT" w:hAnsi="Times New Roman"/>
          <w:bCs/>
          <w:sz w:val="28"/>
          <w:szCs w:val="28"/>
        </w:rPr>
        <w:t xml:space="preserve">Клинические аспекты и хирургическое лечение кист поджелудочной железы / Г. Н. Филькин, </w:t>
      </w:r>
      <w:r w:rsidRPr="003307F1">
        <w:rPr>
          <w:rFonts w:ascii="Times New Roman" w:eastAsia="TimesNewRomanPSMT" w:hAnsi="Times New Roman"/>
          <w:sz w:val="28"/>
          <w:szCs w:val="28"/>
        </w:rPr>
        <w:t>Ю. А. Дыхно, Е. А. Бойко</w:t>
      </w:r>
      <w:r w:rsidRPr="003307F1">
        <w:rPr>
          <w:rFonts w:ascii="Times New Roman" w:eastAsia="TimesNewRomanPS-BoldMT" w:hAnsi="Times New Roman"/>
          <w:bCs/>
          <w:sz w:val="28"/>
          <w:szCs w:val="28"/>
        </w:rPr>
        <w:t xml:space="preserve"> // </w:t>
      </w:r>
      <w:r w:rsidRPr="003307F1">
        <w:rPr>
          <w:rFonts w:ascii="Times New Roman" w:eastAsia="TimesNewRomanPSMT" w:hAnsi="Times New Roman"/>
          <w:sz w:val="28"/>
          <w:szCs w:val="28"/>
        </w:rPr>
        <w:t>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123-</w:t>
      </w:r>
      <w:r w:rsidRPr="003307F1">
        <w:rPr>
          <w:rFonts w:ascii="Times New Roman" w:hAnsi="Times New Roman"/>
          <w:sz w:val="28"/>
          <w:szCs w:val="28"/>
        </w:rPr>
        <w:t>124.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 xml:space="preserve">Фирсова В. Г. </w:t>
      </w:r>
      <w:r w:rsidRPr="003307F1">
        <w:rPr>
          <w:rFonts w:ascii="Times New Roman" w:eastAsia="TimesNewRomanPS-BoldMT" w:hAnsi="Times New Roman"/>
          <w:bCs/>
          <w:sz w:val="28"/>
          <w:szCs w:val="28"/>
        </w:rPr>
        <w:t xml:space="preserve">Хирургическое лечение постнекротических кист поджелудочной железы при необходимости этапного лечения / </w:t>
      </w:r>
      <w:r w:rsidRPr="003307F1">
        <w:rPr>
          <w:rFonts w:ascii="Times New Roman" w:eastAsia="TimesNewRomanPSMT" w:hAnsi="Times New Roman"/>
          <w:sz w:val="28"/>
          <w:szCs w:val="28"/>
        </w:rPr>
        <w:t xml:space="preserve">В. Г. Фирсова, </w:t>
      </w:r>
      <w:r>
        <w:rPr>
          <w:rFonts w:ascii="Times New Roman" w:eastAsia="TimesNewRomanPSMT" w:hAnsi="Times New Roman"/>
          <w:sz w:val="28"/>
          <w:szCs w:val="28"/>
        </w:rPr>
        <w:t xml:space="preserve">                </w:t>
      </w:r>
      <w:r w:rsidRPr="003307F1">
        <w:rPr>
          <w:rFonts w:ascii="Times New Roman" w:eastAsia="TimesNewRomanPSMT" w:hAnsi="Times New Roman"/>
          <w:sz w:val="28"/>
          <w:szCs w:val="28"/>
        </w:rPr>
        <w:t xml:space="preserve">В. П. Градусов, В. В. Паршиков </w:t>
      </w:r>
      <w:r w:rsidRPr="003307F1">
        <w:rPr>
          <w:rFonts w:ascii="Times New Roman" w:eastAsia="TimesNewRomanPS-BoldMT" w:hAnsi="Times New Roman"/>
          <w:bCs/>
          <w:sz w:val="28"/>
          <w:szCs w:val="28"/>
        </w:rPr>
        <w:t xml:space="preserve">// </w:t>
      </w:r>
      <w:r w:rsidRPr="003307F1">
        <w:rPr>
          <w:rFonts w:ascii="Times New Roman" w:eastAsia="TimesNewRomanPSMT" w:hAnsi="Times New Roman"/>
          <w:sz w:val="28"/>
          <w:szCs w:val="28"/>
        </w:rPr>
        <w:t>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125-</w:t>
      </w:r>
      <w:r w:rsidRPr="003307F1">
        <w:rPr>
          <w:rFonts w:ascii="Times New Roman" w:hAnsi="Times New Roman"/>
          <w:sz w:val="28"/>
          <w:szCs w:val="28"/>
        </w:rPr>
        <w:t>126.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Фомін П. Д. Алгоритми діагностики та лікування хворих з приводу гострого деструктивного панкреатиту і гострої кровотечі в просвіт травного каналу / П. Д. Фомін, Я. С. Березницький // Клінічна хірургія. – 2012. – № 10 (Додаток). – С.</w:t>
      </w:r>
      <w:r>
        <w:rPr>
          <w:rFonts w:ascii="Times New Roman" w:hAnsi="Times New Roman"/>
          <w:sz w:val="28"/>
          <w:szCs w:val="28"/>
        </w:rPr>
        <w:t xml:space="preserve"> 59-</w:t>
      </w:r>
      <w:r w:rsidRPr="003307F1">
        <w:rPr>
          <w:rFonts w:ascii="Times New Roman" w:hAnsi="Times New Roman"/>
          <w:sz w:val="28"/>
          <w:szCs w:val="28"/>
        </w:rPr>
        <w:t>60.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Функциональное состояние системы гоместаза у пациентов,</w:t>
      </w:r>
      <w:r w:rsidRPr="003307F1">
        <w:rPr>
          <w:rFonts w:ascii="Times New Roman" w:eastAsia="TimesNewRoman" w:hAnsi="Times New Roman"/>
          <w:sz w:val="28"/>
          <w:szCs w:val="28"/>
        </w:rPr>
        <w:t xml:space="preserve"> </w:t>
      </w:r>
      <w:r w:rsidRPr="003307F1">
        <w:rPr>
          <w:rFonts w:ascii="Times New Roman" w:hAnsi="Times New Roman"/>
          <w:sz w:val="28"/>
          <w:szCs w:val="28"/>
        </w:rPr>
        <w:t>оперированных по поводу псевдокист поджелудочной</w:t>
      </w:r>
      <w:r w:rsidRPr="003307F1">
        <w:rPr>
          <w:rFonts w:ascii="Times New Roman" w:eastAsia="TimesNewRoman" w:hAnsi="Times New Roman"/>
          <w:sz w:val="28"/>
          <w:szCs w:val="28"/>
        </w:rPr>
        <w:t xml:space="preserve"> ж</w:t>
      </w:r>
      <w:r w:rsidRPr="003307F1">
        <w:rPr>
          <w:rFonts w:ascii="Times New Roman" w:hAnsi="Times New Roman"/>
          <w:sz w:val="28"/>
          <w:szCs w:val="28"/>
        </w:rPr>
        <w:t xml:space="preserve">елезы / Б. С. Запорожченко, В. Г. Шевченко, О. Б. Зубков [ и др. ] // Клінічна хірургія.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2013.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 10. </w:t>
      </w:r>
      <w:r w:rsidRPr="003307F1">
        <w:rPr>
          <w:rFonts w:ascii="Times New Roman" w:hAnsi="Times New Roman"/>
          <w:sz w:val="28"/>
          <w:szCs w:val="28"/>
          <w:shd w:val="clear" w:color="auto" w:fill="FFFFFF"/>
        </w:rPr>
        <w:t>–</w:t>
      </w:r>
      <w:r>
        <w:rPr>
          <w:rFonts w:ascii="Times New Roman" w:hAnsi="Times New Roman"/>
          <w:sz w:val="28"/>
          <w:szCs w:val="28"/>
        </w:rPr>
        <w:t xml:space="preserve"> С.14-</w:t>
      </w:r>
      <w:r w:rsidRPr="003307F1">
        <w:rPr>
          <w:rFonts w:ascii="Times New Roman" w:hAnsi="Times New Roman"/>
          <w:sz w:val="28"/>
          <w:szCs w:val="28"/>
        </w:rPr>
        <w:t>17.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Хірургічна корекція панкреатичної гіпертензії при ускладнених формах хронічного панкреатиту / </w:t>
      </w:r>
      <w:r w:rsidRPr="003307F1">
        <w:rPr>
          <w:rFonts w:ascii="Times New Roman" w:hAnsi="Times New Roman"/>
          <w:iCs/>
          <w:sz w:val="28"/>
          <w:szCs w:val="28"/>
        </w:rPr>
        <w:t xml:space="preserve">О.Є. Каніковський, Ю.П. Гнатюк, В.В. Мосьондз </w:t>
      </w:r>
      <w:r w:rsidRPr="003307F1">
        <w:rPr>
          <w:rFonts w:ascii="Times New Roman" w:hAnsi="Times New Roman"/>
          <w:sz w:val="28"/>
          <w:szCs w:val="28"/>
        </w:rPr>
        <w:t xml:space="preserve">[ та ін. ] </w:t>
      </w:r>
      <w:r w:rsidRPr="003307F1">
        <w:rPr>
          <w:rFonts w:ascii="Times New Roman" w:hAnsi="Times New Roman"/>
          <w:iCs/>
          <w:sz w:val="28"/>
          <w:szCs w:val="28"/>
        </w:rPr>
        <w:t xml:space="preserve">// Український Журнал Хірургії. </w:t>
      </w:r>
      <w:r>
        <w:rPr>
          <w:rFonts w:ascii="Times New Roman" w:hAnsi="Times New Roman"/>
          <w:sz w:val="28"/>
          <w:szCs w:val="28"/>
        </w:rPr>
        <w:t>– 2010. – № 1. – С.68-</w:t>
      </w:r>
      <w:r w:rsidRPr="003307F1">
        <w:rPr>
          <w:rFonts w:ascii="Times New Roman" w:hAnsi="Times New Roman"/>
          <w:sz w:val="28"/>
          <w:szCs w:val="28"/>
        </w:rPr>
        <w:t>70.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Хірургічне лікування важких форм гострого панкреатиту: аналіз</w:t>
      </w:r>
      <w:r w:rsidRPr="003307F1">
        <w:rPr>
          <w:rFonts w:ascii="Times New Roman" w:eastAsia="TimesNewRoman" w:hAnsi="Times New Roman"/>
          <w:sz w:val="28"/>
          <w:szCs w:val="28"/>
        </w:rPr>
        <w:t xml:space="preserve"> </w:t>
      </w:r>
      <w:r w:rsidRPr="003307F1">
        <w:rPr>
          <w:rFonts w:ascii="Times New Roman" w:hAnsi="Times New Roman"/>
          <w:sz w:val="28"/>
          <w:szCs w:val="28"/>
        </w:rPr>
        <w:t>результатів та фактори прогнозу / В. О. Сипливий, В. І. Робак, Г. Д. Петренко [ та ін. ] // Український журнал хірургії</w:t>
      </w:r>
      <w:r>
        <w:rPr>
          <w:rFonts w:ascii="Times New Roman" w:hAnsi="Times New Roman"/>
          <w:sz w:val="28"/>
          <w:szCs w:val="28"/>
        </w:rPr>
        <w:t>. – 2011. – № 2 (11). – С. 89-</w:t>
      </w:r>
      <w:r w:rsidRPr="003307F1">
        <w:rPr>
          <w:rFonts w:ascii="Times New Roman" w:hAnsi="Times New Roman"/>
          <w:sz w:val="28"/>
          <w:szCs w:val="28"/>
        </w:rPr>
        <w:t>93.</w:t>
      </w:r>
    </w:p>
    <w:p w:rsid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Хірургічне лікування захворювань підшлункової залози / Б. Г.</w:t>
      </w:r>
      <w:r w:rsidRPr="003307F1">
        <w:rPr>
          <w:rFonts w:ascii="Times New Roman" w:eastAsia="TimesNewRoman" w:hAnsi="Times New Roman"/>
          <w:sz w:val="28"/>
          <w:szCs w:val="28"/>
        </w:rPr>
        <w:t xml:space="preserve"> </w:t>
      </w:r>
      <w:r w:rsidRPr="003307F1">
        <w:rPr>
          <w:rFonts w:ascii="Times New Roman" w:hAnsi="Times New Roman"/>
          <w:sz w:val="28"/>
          <w:szCs w:val="28"/>
        </w:rPr>
        <w:t>Безродний, В. М. Короткий, І. В. Колосович [та ін. ]. – К.: Валрус Дизайн, 2011. – 256 с.</w:t>
      </w:r>
    </w:p>
    <w:p w:rsidR="00C62D22" w:rsidRPr="00352049"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0F2B01">
        <w:rPr>
          <w:rFonts w:ascii="Times New Roman" w:hAnsi="Times New Roman"/>
          <w:sz w:val="28"/>
          <w:szCs w:val="28"/>
        </w:rPr>
        <w:lastRenderedPageBreak/>
        <w:t>Хірургічне лікування ускладнених псевдокіст підшлункової залози другого типу за D’Egidio - Shein / В.М. Копчак, І.А. Криворучко, Н.М. Гончарова, С.М. Тесленко // Науковий вісник Ужгородського університету». –</w:t>
      </w:r>
      <w:r>
        <w:rPr>
          <w:rFonts w:ascii="Times New Roman" w:hAnsi="Times New Roman"/>
          <w:sz w:val="28"/>
          <w:szCs w:val="28"/>
        </w:rPr>
        <w:t xml:space="preserve"> 2016. – Вип. 1 (53). – С.51-52.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Хирургическое лечение кист поджелудочной железы / В. А. Сипливый, </w:t>
      </w:r>
      <w:r>
        <w:rPr>
          <w:rFonts w:ascii="Times New Roman" w:hAnsi="Times New Roman"/>
          <w:sz w:val="28"/>
          <w:szCs w:val="28"/>
        </w:rPr>
        <w:t xml:space="preserve">          </w:t>
      </w:r>
      <w:r w:rsidRPr="003307F1">
        <w:rPr>
          <w:rFonts w:ascii="Times New Roman" w:hAnsi="Times New Roman"/>
          <w:sz w:val="28"/>
          <w:szCs w:val="28"/>
        </w:rPr>
        <w:t>Г. Д. Петренко, Д. В. Евтушенко [ и др. ] // Клінічна хірургія. – 2</w:t>
      </w:r>
      <w:r>
        <w:rPr>
          <w:rFonts w:ascii="Times New Roman" w:hAnsi="Times New Roman"/>
          <w:sz w:val="28"/>
          <w:szCs w:val="28"/>
        </w:rPr>
        <w:t>013. – № 4 (Додаток). – С. 53-</w:t>
      </w:r>
      <w:r w:rsidRPr="003307F1">
        <w:rPr>
          <w:rFonts w:ascii="Times New Roman" w:hAnsi="Times New Roman"/>
          <w:sz w:val="28"/>
          <w:szCs w:val="28"/>
        </w:rPr>
        <w:t>54.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t>Хирургическое лечение осложнений</w:t>
      </w:r>
      <w:r w:rsidRPr="003307F1">
        <w:rPr>
          <w:rFonts w:ascii="Times New Roman" w:eastAsia="TimesNewRoman" w:hAnsi="Times New Roman"/>
          <w:sz w:val="28"/>
          <w:szCs w:val="28"/>
        </w:rPr>
        <w:t xml:space="preserve"> </w:t>
      </w:r>
      <w:r w:rsidRPr="003307F1">
        <w:rPr>
          <w:rFonts w:ascii="Times New Roman" w:eastAsia="TimesNewRomanPS-BoldMT" w:hAnsi="Times New Roman"/>
          <w:bCs/>
          <w:sz w:val="28"/>
          <w:szCs w:val="28"/>
        </w:rPr>
        <w:t xml:space="preserve">хронического панкреатита / </w:t>
      </w:r>
      <w:r>
        <w:rPr>
          <w:rFonts w:ascii="Times New Roman" w:eastAsia="TimesNewRomanPS-BoldMT" w:hAnsi="Times New Roman"/>
          <w:bCs/>
          <w:sz w:val="28"/>
          <w:szCs w:val="28"/>
        </w:rPr>
        <w:t xml:space="preserve">                  </w:t>
      </w:r>
      <w:r w:rsidRPr="003307F1">
        <w:rPr>
          <w:rFonts w:ascii="Times New Roman" w:eastAsia="TimesNewRomanPSMT" w:hAnsi="Times New Roman"/>
          <w:sz w:val="28"/>
          <w:szCs w:val="28"/>
        </w:rPr>
        <w:t>Б. Н. Котив, И. И. Дзидзава, Д. П. Кашкин</w:t>
      </w:r>
      <w:r w:rsidRPr="003307F1">
        <w:rPr>
          <w:rFonts w:ascii="Times New Roman" w:hAnsi="Times New Roman"/>
          <w:sz w:val="28"/>
          <w:szCs w:val="28"/>
        </w:rPr>
        <w:t xml:space="preserve"> [ и др. ] // </w:t>
      </w:r>
      <w:r w:rsidRPr="003307F1">
        <w:rPr>
          <w:rFonts w:ascii="Times New Roman" w:eastAsia="TimesNewRomanPSMT" w:hAnsi="Times New Roman"/>
          <w:sz w:val="28"/>
          <w:szCs w:val="28"/>
        </w:rPr>
        <w:t>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51-</w:t>
      </w:r>
      <w:r w:rsidRPr="003307F1">
        <w:rPr>
          <w:rFonts w:ascii="Times New Roman" w:hAnsi="Times New Roman"/>
          <w:sz w:val="28"/>
          <w:szCs w:val="28"/>
        </w:rPr>
        <w:t>53.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t>Хирургическое лечение больных</w:t>
      </w:r>
      <w:r w:rsidRPr="003307F1">
        <w:rPr>
          <w:rFonts w:ascii="Times New Roman" w:hAnsi="Times New Roman"/>
          <w:sz w:val="28"/>
          <w:szCs w:val="28"/>
        </w:rPr>
        <w:t xml:space="preserve"> </w:t>
      </w:r>
      <w:r w:rsidRPr="003307F1">
        <w:rPr>
          <w:rFonts w:ascii="Times New Roman" w:eastAsia="TimesNewRomanPS-BoldMT" w:hAnsi="Times New Roman"/>
          <w:bCs/>
          <w:sz w:val="28"/>
          <w:szCs w:val="28"/>
        </w:rPr>
        <w:t xml:space="preserve">хроническим панкреатитом / </w:t>
      </w:r>
      <w:r>
        <w:rPr>
          <w:rFonts w:ascii="Times New Roman" w:eastAsia="TimesNewRomanPS-BoldMT" w:hAnsi="Times New Roman"/>
          <w:bCs/>
          <w:sz w:val="28"/>
          <w:szCs w:val="28"/>
        </w:rPr>
        <w:t xml:space="preserve">                            </w:t>
      </w:r>
      <w:r w:rsidRPr="003307F1">
        <w:rPr>
          <w:rFonts w:ascii="Times New Roman" w:eastAsia="TimesNewRomanPSMT" w:hAnsi="Times New Roman"/>
          <w:sz w:val="28"/>
          <w:szCs w:val="28"/>
        </w:rPr>
        <w:t xml:space="preserve">В. А. Кубышкин, А. Г. Кригер, В. А. Вишневский </w:t>
      </w:r>
      <w:r w:rsidRPr="003307F1">
        <w:rPr>
          <w:rFonts w:ascii="Times New Roman" w:hAnsi="Times New Roman"/>
          <w:sz w:val="28"/>
          <w:szCs w:val="28"/>
        </w:rPr>
        <w:t xml:space="preserve">[ и др. ] // </w:t>
      </w:r>
      <w:r w:rsidRPr="003307F1">
        <w:rPr>
          <w:rFonts w:ascii="Times New Roman" w:eastAsia="TimesNewRomanPSMT" w:hAnsi="Times New Roman"/>
          <w:sz w:val="28"/>
          <w:szCs w:val="28"/>
        </w:rPr>
        <w:t>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59-</w:t>
      </w:r>
      <w:r w:rsidRPr="003307F1">
        <w:rPr>
          <w:rFonts w:ascii="Times New Roman" w:hAnsi="Times New Roman"/>
          <w:sz w:val="28"/>
          <w:szCs w:val="28"/>
        </w:rPr>
        <w:t>61.</w:t>
      </w:r>
    </w:p>
    <w:p w:rsid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 xml:space="preserve">Хирургическое лечение панкреонекроза, осложнённого псевдокистами / </w:t>
      </w:r>
      <w:r>
        <w:rPr>
          <w:rFonts w:ascii="Times New Roman" w:hAnsi="Times New Roman"/>
          <w:sz w:val="28"/>
          <w:szCs w:val="28"/>
        </w:rPr>
        <w:t xml:space="preserve">         </w:t>
      </w:r>
      <w:r w:rsidRPr="003307F1">
        <w:rPr>
          <w:rFonts w:ascii="Times New Roman" w:hAnsi="Times New Roman"/>
          <w:sz w:val="28"/>
          <w:szCs w:val="28"/>
        </w:rPr>
        <w:t>С. М. Ахмедов, Н. А. Расулов, А. М. Рачабов [ и др. ] // Сб. тезисов XVII международного Конгресса хирургов-гепатологов стран СНГ «Актуальные проблемы хирургической гепатологии». – 2010. – С. 9.</w:t>
      </w:r>
    </w:p>
    <w:p w:rsid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0F2B01">
        <w:rPr>
          <w:rFonts w:ascii="Times New Roman" w:hAnsi="Times New Roman"/>
          <w:sz w:val="28"/>
          <w:szCs w:val="28"/>
        </w:rPr>
        <w:t>Хирургическое лечение псевдокист поджелудочной железы, осложненных кровотечением в их полость, с применением миниинвазивных технологий / И.А. Криворучко, Н.Н. Гончарова, С.Н. Тесленко, А.А. Тонкоглас [ и др.] // Харківська хірургічна школа. – 2016. – №2 (77). – С. 33-37.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t>Хирургическое лечение</w:t>
      </w:r>
      <w:r w:rsidRPr="003307F1">
        <w:rPr>
          <w:rFonts w:ascii="Times New Roman" w:hAnsi="Times New Roman"/>
          <w:sz w:val="28"/>
          <w:szCs w:val="28"/>
        </w:rPr>
        <w:t xml:space="preserve"> </w:t>
      </w:r>
      <w:r w:rsidRPr="003307F1">
        <w:rPr>
          <w:rFonts w:ascii="Times New Roman" w:eastAsia="TimesNewRomanPS-BoldMT" w:hAnsi="Times New Roman"/>
          <w:bCs/>
          <w:sz w:val="28"/>
          <w:szCs w:val="28"/>
        </w:rPr>
        <w:t>перипанкреатических кист</w:t>
      </w:r>
      <w:r w:rsidRPr="003307F1">
        <w:rPr>
          <w:rFonts w:ascii="Times New Roman" w:hAnsi="Times New Roman"/>
          <w:sz w:val="28"/>
          <w:szCs w:val="28"/>
        </w:rPr>
        <w:t xml:space="preserve"> </w:t>
      </w:r>
      <w:r w:rsidRPr="003307F1">
        <w:rPr>
          <w:rFonts w:ascii="Times New Roman" w:eastAsia="TimesNewRomanPS-BoldMT" w:hAnsi="Times New Roman"/>
          <w:bCs/>
          <w:sz w:val="28"/>
          <w:szCs w:val="28"/>
        </w:rPr>
        <w:t xml:space="preserve">на фоне хронического панкреатита / </w:t>
      </w:r>
      <w:r w:rsidRPr="003307F1">
        <w:rPr>
          <w:rFonts w:ascii="Times New Roman" w:eastAsia="TimesNewRomanPSMT" w:hAnsi="Times New Roman"/>
          <w:sz w:val="28"/>
          <w:szCs w:val="28"/>
        </w:rPr>
        <w:t>С. М. Ращинский, С. И. Третьяк, Н. Т. Ращинская</w:t>
      </w:r>
      <w:r w:rsidRPr="003307F1">
        <w:rPr>
          <w:rFonts w:ascii="Times New Roman" w:hAnsi="Times New Roman"/>
          <w:sz w:val="28"/>
          <w:szCs w:val="28"/>
        </w:rPr>
        <w:t xml:space="preserve"> [ и др. ] // </w:t>
      </w:r>
      <w:r w:rsidRPr="003307F1">
        <w:rPr>
          <w:rFonts w:ascii="Times New Roman" w:eastAsia="TimesNewRomanPSMT" w:hAnsi="Times New Roman"/>
          <w:sz w:val="28"/>
          <w:szCs w:val="28"/>
        </w:rPr>
        <w:t>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90-</w:t>
      </w:r>
      <w:r w:rsidRPr="003307F1">
        <w:rPr>
          <w:rFonts w:ascii="Times New Roman" w:hAnsi="Times New Roman"/>
          <w:sz w:val="28"/>
          <w:szCs w:val="28"/>
        </w:rPr>
        <w:t>91.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hAnsi="Times New Roman"/>
          <w:sz w:val="28"/>
          <w:szCs w:val="28"/>
        </w:rPr>
        <w:t xml:space="preserve">Хирургия хронического кистозного панкреатита, осложненного кровотечением в просвет кисты </w:t>
      </w:r>
      <w:r w:rsidRPr="00E62578">
        <w:rPr>
          <w:rFonts w:ascii="Times New Roman" w:hAnsi="Times New Roman"/>
          <w:sz w:val="28"/>
          <w:szCs w:val="28"/>
        </w:rPr>
        <w:t>/</w:t>
      </w:r>
      <w:r w:rsidRPr="00E62578">
        <w:rPr>
          <w:rStyle w:val="alt-edited1"/>
          <w:rFonts w:ascii="Times New Roman" w:hAnsi="Times New Roman"/>
          <w:color w:val="auto"/>
          <w:sz w:val="28"/>
          <w:szCs w:val="28"/>
        </w:rPr>
        <w:t xml:space="preserve"> Н. Г.</w:t>
      </w:r>
      <w:r w:rsidRPr="003307F1">
        <w:rPr>
          <w:rStyle w:val="alt-edited1"/>
          <w:rFonts w:ascii="Times New Roman" w:hAnsi="Times New Roman"/>
          <w:b/>
          <w:color w:val="auto"/>
          <w:sz w:val="28"/>
          <w:szCs w:val="28"/>
        </w:rPr>
        <w:t xml:space="preserve"> </w:t>
      </w:r>
      <w:r w:rsidRPr="003307F1">
        <w:rPr>
          <w:rStyle w:val="ab"/>
          <w:rFonts w:ascii="Times New Roman" w:hAnsi="Times New Roman"/>
          <w:b w:val="0"/>
          <w:sz w:val="28"/>
          <w:szCs w:val="28"/>
        </w:rPr>
        <w:t xml:space="preserve">Корнилов, С. П. Чикотеев, М. В. Прокопьев </w:t>
      </w:r>
      <w:r>
        <w:rPr>
          <w:rStyle w:val="ab"/>
          <w:rFonts w:ascii="Times New Roman" w:hAnsi="Times New Roman"/>
          <w:b w:val="0"/>
          <w:sz w:val="28"/>
          <w:szCs w:val="28"/>
        </w:rPr>
        <w:t xml:space="preserve">       </w:t>
      </w:r>
      <w:r w:rsidRPr="003307F1">
        <w:rPr>
          <w:rFonts w:ascii="Times New Roman" w:hAnsi="Times New Roman"/>
          <w:sz w:val="28"/>
          <w:szCs w:val="28"/>
        </w:rPr>
        <w:t>[ и др. ] // Хирургия. Журнал им. Н.И. Пирогова. – 2010. – № 5. – С.</w:t>
      </w:r>
      <w:r>
        <w:rPr>
          <w:rFonts w:ascii="Times New Roman" w:hAnsi="Times New Roman"/>
          <w:sz w:val="28"/>
          <w:szCs w:val="28"/>
        </w:rPr>
        <w:t xml:space="preserve"> 25-</w:t>
      </w:r>
      <w:r w:rsidRPr="003307F1">
        <w:rPr>
          <w:rFonts w:ascii="Times New Roman" w:hAnsi="Times New Roman"/>
          <w:sz w:val="28"/>
          <w:szCs w:val="28"/>
        </w:rPr>
        <w:t>32.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Христич Т. Н. Хронический рецидивирующий панкреатит в период острой атаки и синдром системного воспалительного ответа: патогенетические и </w:t>
      </w:r>
      <w:r w:rsidRPr="003307F1">
        <w:rPr>
          <w:rFonts w:ascii="Times New Roman" w:hAnsi="Times New Roman"/>
          <w:sz w:val="28"/>
          <w:szCs w:val="28"/>
        </w:rPr>
        <w:lastRenderedPageBreak/>
        <w:t>клинические аспекты / Т. Н. Христич // Сучасна гастроентерологія</w:t>
      </w:r>
      <w:r>
        <w:rPr>
          <w:rFonts w:ascii="Times New Roman" w:hAnsi="Times New Roman"/>
          <w:sz w:val="28"/>
          <w:szCs w:val="28"/>
        </w:rPr>
        <w:t>. – 2009. – № 4 (48). – С. 14-</w:t>
      </w:r>
      <w:r w:rsidRPr="003307F1">
        <w:rPr>
          <w:rFonts w:ascii="Times New Roman" w:hAnsi="Times New Roman"/>
          <w:sz w:val="28"/>
          <w:szCs w:val="28"/>
        </w:rPr>
        <w:t>17.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Христич Т. Н. Хронический панкреатит: возможные механизмы развития и хронизации / Т. Н. Христич // Сучасна гастроентерологія</w:t>
      </w:r>
      <w:r>
        <w:rPr>
          <w:rFonts w:ascii="Times New Roman" w:hAnsi="Times New Roman"/>
          <w:sz w:val="28"/>
          <w:szCs w:val="28"/>
        </w:rPr>
        <w:t>. – 2011. – № 1 (57). – С. 98-</w:t>
      </w:r>
      <w:r w:rsidRPr="003307F1">
        <w:rPr>
          <w:rFonts w:ascii="Times New Roman" w:hAnsi="Times New Roman"/>
          <w:sz w:val="28"/>
          <w:szCs w:val="28"/>
        </w:rPr>
        <w:t xml:space="preserve">102.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Цистогастроанастомоз в лечении больных псевдокистой поджелудочной железы / </w:t>
      </w:r>
      <w:r w:rsidRPr="003307F1">
        <w:rPr>
          <w:rFonts w:ascii="Times New Roman" w:hAnsi="Times New Roman"/>
          <w:iCs/>
          <w:sz w:val="28"/>
          <w:szCs w:val="28"/>
        </w:rPr>
        <w:t>В. Н. Силаев, Е. Ю. Бозова, С. И. Ситкин, М. А. Петрушин</w:t>
      </w:r>
      <w:r w:rsidRPr="003307F1">
        <w:rPr>
          <w:rFonts w:ascii="Times New Roman" w:hAnsi="Times New Roman"/>
          <w:sz w:val="28"/>
          <w:szCs w:val="28"/>
        </w:rPr>
        <w:t xml:space="preserve"> //</w:t>
      </w:r>
      <w:hyperlink r:id="rId184" w:history="1">
        <w:r w:rsidRPr="003307F1">
          <w:rPr>
            <w:rStyle w:val="af1"/>
            <w:rFonts w:ascii="Times New Roman" w:hAnsi="Times New Roman"/>
            <w:bCs/>
            <w:sz w:val="28"/>
            <w:szCs w:val="28"/>
          </w:rPr>
          <w:t>Анналы хирургической гепатологии</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w:t>
      </w:r>
      <w:hyperlink r:id="rId185" w:history="1">
        <w:r w:rsidRPr="003307F1">
          <w:rPr>
            <w:rStyle w:val="af1"/>
            <w:rFonts w:ascii="Times New Roman" w:hAnsi="Times New Roman"/>
            <w:bCs/>
            <w:sz w:val="28"/>
            <w:szCs w:val="28"/>
          </w:rPr>
          <w:t>2012</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 </w:t>
      </w:r>
      <w:hyperlink r:id="rId186" w:history="1">
        <w:r w:rsidRPr="003307F1">
          <w:rPr>
            <w:rStyle w:val="af1"/>
            <w:rFonts w:ascii="Times New Roman" w:hAnsi="Times New Roman"/>
            <w:bCs/>
            <w:sz w:val="28"/>
            <w:szCs w:val="28"/>
          </w:rPr>
          <w:t>2</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С.</w:t>
      </w:r>
      <w:hyperlink r:id="rId187" w:history="1">
        <w:r w:rsidRPr="003307F1">
          <w:rPr>
            <w:rStyle w:val="af1"/>
            <w:rFonts w:ascii="Times New Roman" w:hAnsi="Times New Roman"/>
            <w:bCs/>
            <w:sz w:val="28"/>
            <w:szCs w:val="28"/>
          </w:rPr>
          <w:t>80</w:t>
        </w:r>
      </w:hyperlink>
      <w:r>
        <w:rPr>
          <w:rFonts w:ascii="Times New Roman" w:hAnsi="Times New Roman"/>
          <w:sz w:val="28"/>
          <w:szCs w:val="28"/>
        </w:rPr>
        <w:t>-</w:t>
      </w:r>
      <w:r w:rsidRPr="003307F1">
        <w:rPr>
          <w:rFonts w:ascii="Times New Roman" w:hAnsi="Times New Roman"/>
          <w:sz w:val="28"/>
          <w:szCs w:val="28"/>
        </w:rPr>
        <w:t>86.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Черезшкірні втручання під контролем ультразвуку в лікуванні гострих несправжніх кіст як ускладнень гострого некротичного панкреатиту </w:t>
      </w:r>
      <w:r w:rsidRPr="003307F1">
        <w:rPr>
          <w:rFonts w:ascii="Times New Roman" w:eastAsia="TimesNewRoman" w:hAnsi="Times New Roman"/>
          <w:sz w:val="28"/>
          <w:szCs w:val="28"/>
        </w:rPr>
        <w:t>/</w:t>
      </w:r>
      <w:r w:rsidRPr="003307F1">
        <w:rPr>
          <w:rFonts w:ascii="Times New Roman" w:hAnsi="Times New Roman"/>
          <w:sz w:val="28"/>
          <w:szCs w:val="28"/>
        </w:rPr>
        <w:t xml:space="preserve"> </w:t>
      </w:r>
      <w:r>
        <w:rPr>
          <w:rFonts w:ascii="Times New Roman" w:hAnsi="Times New Roman"/>
          <w:sz w:val="28"/>
          <w:szCs w:val="28"/>
        </w:rPr>
        <w:t xml:space="preserve">                               </w:t>
      </w:r>
      <w:r w:rsidRPr="003307F1">
        <w:rPr>
          <w:rFonts w:ascii="Times New Roman" w:hAnsi="Times New Roman"/>
          <w:sz w:val="28"/>
          <w:szCs w:val="28"/>
        </w:rPr>
        <w:t>Г. Ю. Мошківський, М. В. Костилєв, Т. Б. Терзова [ та ін.] // Клінічна хірургія. – 2013. – № 4 (Додаток). – С. 41</w:t>
      </w:r>
      <w:r>
        <w:rPr>
          <w:rFonts w:ascii="Times New Roman" w:hAnsi="Times New Roman"/>
          <w:sz w:val="28"/>
          <w:szCs w:val="28"/>
        </w:rPr>
        <w:t>-42.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Чрескожное внутреннее дренирование постнекротических кист поджелудочной железы / </w:t>
      </w:r>
      <w:r w:rsidRPr="003307F1">
        <w:rPr>
          <w:rFonts w:ascii="Times New Roman" w:hAnsi="Times New Roman"/>
          <w:iCs/>
          <w:sz w:val="28"/>
          <w:szCs w:val="28"/>
        </w:rPr>
        <w:t xml:space="preserve">Ю. В. Кулезнева, О. И. Охотников, Г. Х. Мусаев [ и др. ] </w:t>
      </w:r>
      <w:r w:rsidRPr="003307F1">
        <w:rPr>
          <w:rFonts w:ascii="Times New Roman" w:hAnsi="Times New Roman"/>
          <w:sz w:val="28"/>
          <w:szCs w:val="28"/>
        </w:rPr>
        <w:t xml:space="preserve">// </w:t>
      </w:r>
      <w:hyperlink r:id="rId188" w:history="1">
        <w:r w:rsidRPr="003307F1">
          <w:rPr>
            <w:rStyle w:val="af1"/>
            <w:rFonts w:ascii="Times New Roman" w:hAnsi="Times New Roman"/>
            <w:bCs/>
            <w:sz w:val="28"/>
            <w:szCs w:val="28"/>
          </w:rPr>
          <w:t>Анналы хирургической гепатологии</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w:t>
      </w:r>
      <w:hyperlink r:id="rId189" w:history="1">
        <w:r w:rsidRPr="003307F1">
          <w:rPr>
            <w:rStyle w:val="af1"/>
            <w:rFonts w:ascii="Times New Roman" w:hAnsi="Times New Roman"/>
            <w:bCs/>
            <w:sz w:val="28"/>
            <w:szCs w:val="28"/>
          </w:rPr>
          <w:t>2012</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 </w:t>
      </w:r>
      <w:hyperlink r:id="rId190" w:history="1">
        <w:r w:rsidRPr="003307F1">
          <w:rPr>
            <w:rStyle w:val="af1"/>
            <w:rFonts w:ascii="Times New Roman" w:hAnsi="Times New Roman"/>
            <w:bCs/>
            <w:sz w:val="28"/>
            <w:szCs w:val="28"/>
          </w:rPr>
          <w:t>4</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w:t>
      </w:r>
      <w:hyperlink r:id="rId191" w:history="1">
        <w:r w:rsidRPr="003307F1">
          <w:rPr>
            <w:rStyle w:val="af1"/>
            <w:rFonts w:ascii="Times New Roman" w:hAnsi="Times New Roman"/>
            <w:bCs/>
            <w:sz w:val="28"/>
            <w:szCs w:val="28"/>
          </w:rPr>
          <w:t>С. 49</w:t>
        </w:r>
      </w:hyperlink>
      <w:r>
        <w:rPr>
          <w:rFonts w:ascii="Times New Roman" w:hAnsi="Times New Roman"/>
          <w:sz w:val="28"/>
          <w:szCs w:val="28"/>
        </w:rPr>
        <w:t>-</w:t>
      </w:r>
      <w:r w:rsidRPr="003307F1">
        <w:rPr>
          <w:rFonts w:ascii="Times New Roman" w:hAnsi="Times New Roman"/>
          <w:sz w:val="28"/>
          <w:szCs w:val="28"/>
        </w:rPr>
        <w:t>56.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Чрескожная трансгастральная панкреатоцистогастростомия со стентированием под контролем УЗИ, ФГДС / Д. П. Харьков, А. М. Федорук, </w:t>
      </w:r>
      <w:r>
        <w:rPr>
          <w:rFonts w:ascii="Times New Roman" w:hAnsi="Times New Roman"/>
          <w:sz w:val="28"/>
          <w:szCs w:val="28"/>
        </w:rPr>
        <w:t xml:space="preserve">                   </w:t>
      </w:r>
      <w:r w:rsidRPr="003307F1">
        <w:rPr>
          <w:rFonts w:ascii="Times New Roman" w:hAnsi="Times New Roman"/>
          <w:sz w:val="28"/>
          <w:szCs w:val="28"/>
        </w:rPr>
        <w:t xml:space="preserve">О. О. Руммо [ </w:t>
      </w:r>
      <w:r w:rsidRPr="003307F1">
        <w:rPr>
          <w:rFonts w:ascii="Times New Roman" w:hAnsi="Times New Roman"/>
          <w:iCs/>
          <w:sz w:val="28"/>
          <w:szCs w:val="28"/>
        </w:rPr>
        <w:t>и др. ]</w:t>
      </w:r>
      <w:r w:rsidRPr="003307F1">
        <w:rPr>
          <w:rFonts w:ascii="Times New Roman" w:hAnsi="Times New Roman"/>
          <w:sz w:val="28"/>
          <w:szCs w:val="28"/>
        </w:rPr>
        <w:t xml:space="preserve"> // Сб. тезисов XVII международного Конгресса хирургов-гепатологов стран СНГ «Актуальные проблемы хирургической гепатологии». – 2010. – С.129</w:t>
      </w:r>
      <w:r>
        <w:rPr>
          <w:rFonts w:ascii="Times New Roman" w:hAnsi="Times New Roman"/>
          <w:sz w:val="28"/>
          <w:szCs w:val="28"/>
        </w:rPr>
        <w:t>.</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hAnsi="Times New Roman"/>
          <w:sz w:val="28"/>
          <w:szCs w:val="28"/>
        </w:rPr>
      </w:pPr>
      <w:r w:rsidRPr="003307F1">
        <w:rPr>
          <w:rFonts w:ascii="Times New Roman" w:eastAsia="TimesNewRomanPS-BoldMT" w:hAnsi="Times New Roman"/>
          <w:bCs/>
          <w:sz w:val="28"/>
          <w:szCs w:val="28"/>
        </w:rPr>
        <w:t xml:space="preserve">Чрескожное эндопротезирование протока поджелудочной железы / </w:t>
      </w:r>
      <w:r>
        <w:rPr>
          <w:rFonts w:ascii="Times New Roman" w:eastAsia="TimesNewRomanPS-BoldMT" w:hAnsi="Times New Roman"/>
          <w:bCs/>
          <w:sz w:val="28"/>
          <w:szCs w:val="28"/>
        </w:rPr>
        <w:t xml:space="preserve">                    </w:t>
      </w:r>
      <w:r w:rsidRPr="003307F1">
        <w:rPr>
          <w:rFonts w:ascii="Times New Roman" w:eastAsia="TimesNewRomanPSMT" w:hAnsi="Times New Roman"/>
          <w:sz w:val="28"/>
          <w:szCs w:val="28"/>
        </w:rPr>
        <w:t>В.Г. Ившин, И.В. Малафеев, А.Ю. Якунин [ и др. ] // Мат.</w:t>
      </w:r>
      <w:r w:rsidRPr="003307F1">
        <w:rPr>
          <w:rFonts w:ascii="Times New Roman" w:hAnsi="Times New Roman"/>
          <w:sz w:val="28"/>
          <w:szCs w:val="28"/>
        </w:rPr>
        <w:t xml:space="preserve"> </w:t>
      </w:r>
      <w:r w:rsidRPr="003307F1">
        <w:rPr>
          <w:rFonts w:ascii="Times New Roman" w:eastAsia="TimesNewRomanPSMT" w:hAnsi="Times New Roman"/>
          <w:sz w:val="28"/>
          <w:szCs w:val="28"/>
        </w:rPr>
        <w:t xml:space="preserve">пленума правления ассоциации хирургов-гепатологов России и стран СНГ. </w:t>
      </w:r>
      <w:r>
        <w:rPr>
          <w:rFonts w:ascii="Times New Roman" w:hAnsi="Times New Roman"/>
          <w:sz w:val="28"/>
          <w:szCs w:val="28"/>
        </w:rPr>
        <w:t>– Ижевск, 2012. – С. 33-</w:t>
      </w:r>
      <w:r w:rsidRPr="003307F1">
        <w:rPr>
          <w:rFonts w:ascii="Times New Roman" w:hAnsi="Times New Roman"/>
          <w:sz w:val="28"/>
          <w:szCs w:val="28"/>
        </w:rPr>
        <w:t>34.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rPr>
        <w:t xml:space="preserve">Шевченко Б. Ф. </w:t>
      </w:r>
      <w:r w:rsidRPr="003307F1">
        <w:rPr>
          <w:rFonts w:ascii="Times New Roman" w:hAnsi="Times New Roman"/>
          <w:sz w:val="28"/>
          <w:szCs w:val="28"/>
        </w:rPr>
        <w:t>Применение аутоцитокинотерапии при осложненном течении</w:t>
      </w:r>
      <w:r w:rsidRPr="003307F1">
        <w:rPr>
          <w:rFonts w:ascii="Times New Roman" w:eastAsia="TimesNewRoman" w:hAnsi="Times New Roman"/>
          <w:sz w:val="28"/>
          <w:szCs w:val="28"/>
        </w:rPr>
        <w:t xml:space="preserve"> </w:t>
      </w:r>
      <w:r w:rsidRPr="003307F1">
        <w:rPr>
          <w:rFonts w:ascii="Times New Roman" w:hAnsi="Times New Roman"/>
          <w:sz w:val="28"/>
          <w:szCs w:val="28"/>
        </w:rPr>
        <w:t>хронического панкреатита /</w:t>
      </w:r>
      <w:r>
        <w:rPr>
          <w:rFonts w:ascii="Times New Roman" w:hAnsi="Times New Roman"/>
          <w:sz w:val="28"/>
          <w:szCs w:val="28"/>
        </w:rPr>
        <w:t xml:space="preserve"> </w:t>
      </w:r>
      <w:r w:rsidRPr="003307F1">
        <w:rPr>
          <w:rFonts w:ascii="Times New Roman" w:hAnsi="Times New Roman"/>
          <w:sz w:val="28"/>
          <w:szCs w:val="28"/>
        </w:rPr>
        <w:t>Б. Ф. Шевченко, А. М. Бабий, В. Е. Кудрявцева //</w:t>
      </w:r>
      <w:r w:rsidRPr="003307F1">
        <w:rPr>
          <w:rFonts w:ascii="Times New Roman" w:hAnsi="Times New Roman"/>
          <w:bCs/>
          <w:sz w:val="28"/>
          <w:szCs w:val="28"/>
        </w:rPr>
        <w:t xml:space="preserve"> Клінічна хірургія. </w:t>
      </w:r>
      <w:r w:rsidRPr="003307F1">
        <w:rPr>
          <w:rFonts w:ascii="Times New Roman" w:hAnsi="Times New Roman"/>
          <w:sz w:val="28"/>
          <w:szCs w:val="28"/>
        </w:rPr>
        <w:t>–</w:t>
      </w:r>
      <w:r w:rsidRPr="003307F1">
        <w:rPr>
          <w:rFonts w:ascii="Times New Roman" w:hAnsi="Times New Roman"/>
          <w:bCs/>
          <w:sz w:val="28"/>
          <w:szCs w:val="28"/>
        </w:rPr>
        <w:t xml:space="preserve"> 2012. </w:t>
      </w:r>
      <w:r w:rsidRPr="003307F1">
        <w:rPr>
          <w:rFonts w:ascii="Times New Roman" w:hAnsi="Times New Roman"/>
          <w:sz w:val="28"/>
          <w:szCs w:val="28"/>
        </w:rPr>
        <w:t xml:space="preserve">– </w:t>
      </w:r>
      <w:r w:rsidRPr="003307F1">
        <w:rPr>
          <w:rFonts w:ascii="Times New Roman" w:hAnsi="Times New Roman"/>
          <w:bCs/>
          <w:sz w:val="28"/>
          <w:szCs w:val="28"/>
        </w:rPr>
        <w:t xml:space="preserve">№ 4. </w:t>
      </w:r>
      <w:r w:rsidRPr="003307F1">
        <w:rPr>
          <w:rFonts w:ascii="Times New Roman" w:hAnsi="Times New Roman"/>
          <w:sz w:val="28"/>
          <w:szCs w:val="28"/>
        </w:rPr>
        <w:t>– С. 55.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shd w:val="clear" w:color="auto" w:fill="FFFFFF"/>
        </w:rPr>
        <w:t xml:space="preserve">Шевчук І. М. Безпосередні та віддалені результати хірургічного лікування ускладнених форм хронічного панкреатита / І. М. Шевчук, В. І. Пилипчук, </w:t>
      </w:r>
      <w:r>
        <w:rPr>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rPr>
        <w:t xml:space="preserve">А. Д. Хруник // Хірургія України. </w:t>
      </w:r>
      <w:r>
        <w:rPr>
          <w:rFonts w:ascii="Times New Roman" w:hAnsi="Times New Roman"/>
          <w:sz w:val="28"/>
          <w:szCs w:val="28"/>
        </w:rPr>
        <w:t>– 2014. – № 4. – С. 40-</w:t>
      </w:r>
      <w:r w:rsidRPr="003307F1">
        <w:rPr>
          <w:rFonts w:ascii="Times New Roman" w:hAnsi="Times New Roman"/>
          <w:sz w:val="28"/>
          <w:szCs w:val="28"/>
        </w:rPr>
        <w:t>44.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lastRenderedPageBreak/>
        <w:t xml:space="preserve">Шевчук І. М. Хірургічне лікування хворих з ускладненими формами хронічного панкреатиту / І. М. Шевчук, М. Г. Шевчук, С. А. Кринець // Львівський медичний часопис. </w:t>
      </w:r>
      <w:r>
        <w:rPr>
          <w:rFonts w:ascii="Times New Roman" w:hAnsi="Times New Roman"/>
          <w:sz w:val="28"/>
          <w:szCs w:val="28"/>
          <w:shd w:val="clear" w:color="auto" w:fill="FFFFFF"/>
        </w:rPr>
        <w:t>– 2010. – Т. 16, № 4. – С. 54-</w:t>
      </w:r>
      <w:r w:rsidRPr="003307F1">
        <w:rPr>
          <w:rFonts w:ascii="Times New Roman" w:hAnsi="Times New Roman"/>
          <w:sz w:val="28"/>
          <w:szCs w:val="28"/>
          <w:shd w:val="clear" w:color="auto" w:fill="FFFFFF"/>
        </w:rPr>
        <w:t>57.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shd w:val="clear" w:color="auto" w:fill="FFFFFF"/>
        </w:rPr>
        <w:t xml:space="preserve">Шляхи покращення результатів хірургічного лікування ускладнених форм хронічного панкреатиту / А. В. Суходоля, В. В. Петрушенко, С. А. Суходоля [ та ін. ] // Харківська хірургічна школа. </w:t>
      </w:r>
      <w:r>
        <w:rPr>
          <w:rFonts w:ascii="Times New Roman" w:hAnsi="Times New Roman"/>
          <w:sz w:val="28"/>
          <w:szCs w:val="28"/>
        </w:rPr>
        <w:t>– 2015. – № 4 (73). – С. 42-</w:t>
      </w:r>
      <w:r w:rsidRPr="003307F1">
        <w:rPr>
          <w:rFonts w:ascii="Times New Roman" w:hAnsi="Times New Roman"/>
          <w:sz w:val="28"/>
          <w:szCs w:val="28"/>
        </w:rPr>
        <w:t>46.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iCs/>
          <w:sz w:val="28"/>
          <w:szCs w:val="28"/>
        </w:rPr>
        <w:t xml:space="preserve">Шнейдер В. Э. </w:t>
      </w:r>
      <w:r w:rsidRPr="003307F1">
        <w:rPr>
          <w:rFonts w:ascii="Times New Roman" w:hAnsi="Times New Roman"/>
          <w:sz w:val="28"/>
          <w:szCs w:val="28"/>
        </w:rPr>
        <w:t>Факторы риска послеоперационных панкреатических свищей при травматических повреждениях поджелудочной железы /</w:t>
      </w:r>
      <w:r w:rsidRPr="003307F1">
        <w:rPr>
          <w:rFonts w:ascii="Times New Roman" w:hAnsi="Times New Roman"/>
          <w:iCs/>
          <w:sz w:val="28"/>
          <w:szCs w:val="28"/>
        </w:rPr>
        <w:t xml:space="preserve"> В. Э. Шнейдер, А. В. Махнев</w:t>
      </w:r>
      <w:r w:rsidRPr="003307F1">
        <w:rPr>
          <w:rFonts w:ascii="Times New Roman" w:hAnsi="Times New Roman"/>
          <w:sz w:val="28"/>
          <w:szCs w:val="28"/>
        </w:rPr>
        <w:t xml:space="preserve"> / </w:t>
      </w:r>
      <w:hyperlink r:id="rId192" w:history="1">
        <w:r w:rsidRPr="003307F1">
          <w:rPr>
            <w:rStyle w:val="af1"/>
            <w:rFonts w:ascii="Times New Roman" w:hAnsi="Times New Roman"/>
            <w:bCs/>
            <w:sz w:val="28"/>
            <w:szCs w:val="28"/>
          </w:rPr>
          <w:t>Анналы хирургической гепатологии</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w:t>
      </w:r>
      <w:hyperlink r:id="rId193" w:history="1">
        <w:r w:rsidRPr="003307F1">
          <w:rPr>
            <w:rStyle w:val="af1"/>
            <w:rFonts w:ascii="Times New Roman" w:hAnsi="Times New Roman"/>
            <w:bCs/>
            <w:sz w:val="28"/>
            <w:szCs w:val="28"/>
          </w:rPr>
          <w:t>2014</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w:t>
      </w:r>
      <w:hyperlink r:id="rId194" w:history="1">
        <w:r w:rsidRPr="003307F1">
          <w:rPr>
            <w:rStyle w:val="af1"/>
            <w:rFonts w:ascii="Times New Roman" w:hAnsi="Times New Roman"/>
            <w:bCs/>
            <w:sz w:val="28"/>
            <w:szCs w:val="28"/>
          </w:rPr>
          <w:t>4</w:t>
        </w:r>
      </w:hyperlink>
      <w:r w:rsidRPr="003307F1">
        <w:rPr>
          <w:rStyle w:val="apple-converted-space"/>
          <w:rFonts w:ascii="Times New Roman" w:hAnsi="Times New Roman"/>
          <w:sz w:val="28"/>
          <w:szCs w:val="28"/>
        </w:rPr>
        <w:t xml:space="preserve">. </w:t>
      </w:r>
      <w:r w:rsidRPr="003307F1">
        <w:rPr>
          <w:rFonts w:ascii="Times New Roman" w:hAnsi="Times New Roman"/>
          <w:sz w:val="28"/>
          <w:szCs w:val="28"/>
        </w:rPr>
        <w:t xml:space="preserve">– С. </w:t>
      </w:r>
      <w:hyperlink r:id="rId195" w:history="1">
        <w:r w:rsidRPr="003307F1">
          <w:rPr>
            <w:rStyle w:val="af1"/>
            <w:rFonts w:ascii="Times New Roman" w:hAnsi="Times New Roman"/>
            <w:bCs/>
            <w:sz w:val="28"/>
            <w:szCs w:val="28"/>
          </w:rPr>
          <w:t>89</w:t>
        </w:r>
      </w:hyperlink>
      <w:r>
        <w:rPr>
          <w:rFonts w:ascii="Times New Roman" w:hAnsi="Times New Roman"/>
          <w:sz w:val="28"/>
          <w:szCs w:val="28"/>
        </w:rPr>
        <w:t>-</w:t>
      </w:r>
      <w:r w:rsidRPr="003307F1">
        <w:rPr>
          <w:rFonts w:ascii="Times New Roman" w:hAnsi="Times New Roman"/>
          <w:sz w:val="28"/>
          <w:szCs w:val="28"/>
        </w:rPr>
        <w:t>96.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Шнейдер В. Э. Определение степени тяжести травматических повреждений поджелудочной железы / В. Э. Шнейдер, А. В. Махнев // Сборник научных трудов VII межрегиональной конференции, посвященной памяти академика РАМН, профессора Л.В. Полуэктова “Актуальные проблемы хирургии”. Омск: изд-во ОмГМА. </w:t>
      </w:r>
      <w:r w:rsidRPr="003307F1">
        <w:rPr>
          <w:rFonts w:ascii="Times New Roman" w:hAnsi="Times New Roman"/>
          <w:sz w:val="28"/>
          <w:szCs w:val="28"/>
          <w:lang w:val="en-US"/>
        </w:rPr>
        <w:t>M</w:t>
      </w:r>
      <w:r w:rsidRPr="003307F1">
        <w:rPr>
          <w:rFonts w:ascii="Times New Roman" w:hAnsi="Times New Roman"/>
          <w:sz w:val="28"/>
          <w:szCs w:val="28"/>
        </w:rPr>
        <w:t>.</w:t>
      </w:r>
      <w:r w:rsidRPr="003307F1">
        <w:rPr>
          <w:rFonts w:ascii="Times New Roman" w:hAnsi="Times New Roman"/>
          <w:sz w:val="28"/>
          <w:szCs w:val="28"/>
          <w:lang w:val="en-US"/>
        </w:rPr>
        <w:t>J</w:t>
      </w:r>
      <w:r w:rsidRPr="003307F1">
        <w:rPr>
          <w:rFonts w:ascii="Times New Roman" w:hAnsi="Times New Roman"/>
          <w:sz w:val="28"/>
          <w:szCs w:val="28"/>
        </w:rPr>
        <w:t xml:space="preserve"> – 2013. – </w:t>
      </w:r>
      <w:r w:rsidRPr="003307F1">
        <w:rPr>
          <w:rFonts w:ascii="Times New Roman" w:hAnsi="Times New Roman"/>
          <w:sz w:val="28"/>
          <w:szCs w:val="28"/>
          <w:lang w:val="en-US"/>
        </w:rPr>
        <w:t>C</w:t>
      </w:r>
      <w:r>
        <w:rPr>
          <w:rFonts w:ascii="Times New Roman" w:hAnsi="Times New Roman"/>
          <w:sz w:val="28"/>
          <w:szCs w:val="28"/>
        </w:rPr>
        <w:t>. 198-</w:t>
      </w:r>
      <w:r w:rsidRPr="003307F1">
        <w:rPr>
          <w:rFonts w:ascii="Times New Roman" w:hAnsi="Times New Roman"/>
          <w:sz w:val="28"/>
          <w:szCs w:val="28"/>
        </w:rPr>
        <w:t>205.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Щастный А. Т. Хирургическое лечение хронического пакреатита с преимущественным поражением головки поджелудочной железы / А. Т. Щастный, М. И. Кугаев // Новости хирургии. </w:t>
      </w:r>
      <w:r>
        <w:rPr>
          <w:rFonts w:ascii="Times New Roman" w:hAnsi="Times New Roman"/>
          <w:sz w:val="28"/>
          <w:szCs w:val="28"/>
        </w:rPr>
        <w:t>– 2010. – Т. 18, № 2. – С. 27-</w:t>
      </w:r>
      <w:r w:rsidRPr="003307F1">
        <w:rPr>
          <w:rFonts w:ascii="Times New Roman" w:hAnsi="Times New Roman"/>
          <w:sz w:val="28"/>
          <w:szCs w:val="28"/>
        </w:rPr>
        <w:t>35.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iCs/>
          <w:sz w:val="28"/>
          <w:szCs w:val="28"/>
        </w:rPr>
        <w:t xml:space="preserve">Щастный А. Т. Псевдокисты поджелудочной железы: диагностика, лечение / А. Т. Щастный // Новости хирургии. </w:t>
      </w:r>
      <w:r w:rsidRPr="003307F1">
        <w:rPr>
          <w:rFonts w:ascii="Times New Roman" w:hAnsi="Times New Roman"/>
          <w:sz w:val="28"/>
          <w:szCs w:val="28"/>
        </w:rPr>
        <w:t>–</w:t>
      </w:r>
      <w:r w:rsidRPr="003307F1">
        <w:rPr>
          <w:rFonts w:ascii="Times New Roman" w:hAnsi="Times New Roman"/>
          <w:iCs/>
          <w:sz w:val="28"/>
          <w:szCs w:val="28"/>
        </w:rPr>
        <w:t xml:space="preserve"> 2009. </w:t>
      </w:r>
      <w:r w:rsidRPr="003307F1">
        <w:rPr>
          <w:rFonts w:ascii="Times New Roman" w:hAnsi="Times New Roman"/>
          <w:sz w:val="28"/>
          <w:szCs w:val="28"/>
        </w:rPr>
        <w:t>–</w:t>
      </w:r>
      <w:r w:rsidRPr="003307F1">
        <w:rPr>
          <w:rFonts w:ascii="Times New Roman" w:hAnsi="Times New Roman"/>
          <w:iCs/>
          <w:sz w:val="28"/>
          <w:szCs w:val="28"/>
        </w:rPr>
        <w:t xml:space="preserve"> Т. 17, № 1. </w:t>
      </w:r>
      <w:r w:rsidRPr="003307F1">
        <w:rPr>
          <w:rFonts w:ascii="Times New Roman" w:hAnsi="Times New Roman"/>
          <w:sz w:val="28"/>
          <w:szCs w:val="28"/>
        </w:rPr>
        <w:t>–</w:t>
      </w:r>
      <w:r>
        <w:rPr>
          <w:rFonts w:ascii="Times New Roman" w:hAnsi="Times New Roman"/>
          <w:iCs/>
          <w:sz w:val="28"/>
          <w:szCs w:val="28"/>
        </w:rPr>
        <w:t xml:space="preserve"> С. 143-</w:t>
      </w:r>
      <w:r w:rsidRPr="003307F1">
        <w:rPr>
          <w:rFonts w:ascii="Times New Roman" w:hAnsi="Times New Roman"/>
          <w:iCs/>
          <w:sz w:val="28"/>
          <w:szCs w:val="28"/>
        </w:rPr>
        <w:t>156.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Эндоскопическое лечение псевдокист поджелудочной железы в зависимости от их топографо-анатомического расположения / В. Ф. Куликовский, </w:t>
      </w:r>
      <w:r>
        <w:rPr>
          <w:rFonts w:ascii="Times New Roman" w:hAnsi="Times New Roman"/>
          <w:sz w:val="28"/>
          <w:szCs w:val="28"/>
        </w:rPr>
        <w:t xml:space="preserve">  </w:t>
      </w:r>
      <w:r w:rsidRPr="003307F1">
        <w:rPr>
          <w:rFonts w:ascii="Times New Roman" w:hAnsi="Times New Roman"/>
          <w:sz w:val="28"/>
          <w:szCs w:val="28"/>
        </w:rPr>
        <w:t>И. П. Парфенов, А. А. Карпачев [ и др. ] // Харківська хірургічна шко</w:t>
      </w:r>
      <w:r>
        <w:rPr>
          <w:rFonts w:ascii="Times New Roman" w:hAnsi="Times New Roman"/>
          <w:sz w:val="28"/>
          <w:szCs w:val="28"/>
        </w:rPr>
        <w:t>ла. – 2009. – № 2.1. – С. 130-</w:t>
      </w:r>
      <w:r w:rsidRPr="003307F1">
        <w:rPr>
          <w:rFonts w:ascii="Times New Roman" w:hAnsi="Times New Roman"/>
          <w:sz w:val="28"/>
          <w:szCs w:val="28"/>
        </w:rPr>
        <w:t>132.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Эндоскопическое дренирование постнекротических кист поджелудочной железы / А. Е. Климов, А. Г. Федоров, С. В. Давыдова </w:t>
      </w:r>
      <w:r w:rsidRPr="003307F1">
        <w:rPr>
          <w:rFonts w:ascii="Times New Roman" w:hAnsi="Times New Roman"/>
          <w:sz w:val="28"/>
          <w:szCs w:val="28"/>
        </w:rPr>
        <w:t xml:space="preserve">[ и др. ] </w:t>
      </w:r>
      <w:r w:rsidRPr="003307F1">
        <w:rPr>
          <w:rFonts w:ascii="Times New Roman" w:eastAsia="TimesNewRoman" w:hAnsi="Times New Roman"/>
          <w:sz w:val="28"/>
          <w:szCs w:val="28"/>
        </w:rPr>
        <w:t>// Сборник тезисов съезда хирургов Российской Федераци</w:t>
      </w:r>
      <w:r>
        <w:rPr>
          <w:rFonts w:ascii="Times New Roman" w:eastAsia="TimesNewRoman" w:hAnsi="Times New Roman"/>
          <w:sz w:val="28"/>
          <w:szCs w:val="28"/>
        </w:rPr>
        <w:t>и – Волгоград, 2011. – С. 220-</w:t>
      </w:r>
      <w:r w:rsidRPr="003307F1">
        <w:rPr>
          <w:rFonts w:ascii="Times New Roman" w:eastAsia="TimesNewRoman" w:hAnsi="Times New Roman"/>
          <w:sz w:val="28"/>
          <w:szCs w:val="28"/>
        </w:rPr>
        <w:t>221.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Эндоскопические операции в лечении осложненных псевдокист поджелудочной железы / В. М. Копчак, К. В. Копчак, Л. А. Перерва [ и др. ] // Эндоскопическая хирургия. </w:t>
      </w:r>
      <w:r>
        <w:rPr>
          <w:rFonts w:ascii="Times New Roman" w:hAnsi="Times New Roman"/>
          <w:sz w:val="28"/>
          <w:szCs w:val="28"/>
          <w:shd w:val="clear" w:color="auto" w:fill="FFFFFF"/>
        </w:rPr>
        <w:t>– 2014. – № 1. – С. 189-</w:t>
      </w:r>
      <w:r w:rsidRPr="003307F1">
        <w:rPr>
          <w:rFonts w:ascii="Times New Roman" w:hAnsi="Times New Roman"/>
          <w:sz w:val="28"/>
          <w:szCs w:val="28"/>
          <w:shd w:val="clear" w:color="auto" w:fill="FFFFFF"/>
        </w:rPr>
        <w:t>190.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lastRenderedPageBreak/>
        <w:t>Этапное хирургическое лечение больных некротическим панкреатитом</w:t>
      </w:r>
      <w:r w:rsidRPr="003307F1">
        <w:rPr>
          <w:rFonts w:ascii="Times New Roman" w:eastAsia="TimesNewRoman" w:hAnsi="Times New Roman"/>
          <w:sz w:val="28"/>
          <w:szCs w:val="28"/>
        </w:rPr>
        <w:t xml:space="preserve"> в </w:t>
      </w:r>
      <w:r w:rsidRPr="003307F1">
        <w:rPr>
          <w:rFonts w:ascii="Times New Roman" w:hAnsi="Times New Roman"/>
          <w:sz w:val="28"/>
          <w:szCs w:val="28"/>
        </w:rPr>
        <w:t xml:space="preserve">фазе гнойных осложнений / В. В. Бойко, А. М. Тищенко, Ю. В. Иванова [и др.] // Укр. журн. хірургії. </w:t>
      </w:r>
      <w:r w:rsidRPr="003307F1">
        <w:rPr>
          <w:rFonts w:ascii="Times New Roman" w:hAnsi="Times New Roman"/>
          <w:sz w:val="28"/>
          <w:szCs w:val="28"/>
          <w:shd w:val="clear" w:color="auto" w:fill="FFFFFF"/>
        </w:rPr>
        <w:t>–</w:t>
      </w:r>
      <w:r w:rsidRPr="003307F1">
        <w:rPr>
          <w:rFonts w:ascii="Times New Roman" w:hAnsi="Times New Roman"/>
          <w:sz w:val="28"/>
          <w:szCs w:val="28"/>
        </w:rPr>
        <w:t xml:space="preserve"> № 2 (11). </w:t>
      </w:r>
      <w:r w:rsidRPr="003307F1">
        <w:rPr>
          <w:rFonts w:ascii="Times New Roman" w:hAnsi="Times New Roman"/>
          <w:sz w:val="28"/>
          <w:szCs w:val="28"/>
          <w:shd w:val="clear" w:color="auto" w:fill="FFFFFF"/>
        </w:rPr>
        <w:t>–</w:t>
      </w:r>
      <w:r>
        <w:rPr>
          <w:rFonts w:ascii="Times New Roman" w:hAnsi="Times New Roman"/>
          <w:sz w:val="28"/>
          <w:szCs w:val="28"/>
        </w:rPr>
        <w:t xml:space="preserve"> С. 98-</w:t>
      </w:r>
      <w:r w:rsidRPr="003307F1">
        <w:rPr>
          <w:rFonts w:ascii="Times New Roman" w:hAnsi="Times New Roman"/>
          <w:sz w:val="28"/>
          <w:szCs w:val="28"/>
        </w:rPr>
        <w:t>102.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Эффективность миниинвазивных методов дренирования забрюшинной</w:t>
      </w:r>
      <w:r w:rsidRPr="003307F1">
        <w:rPr>
          <w:rFonts w:ascii="Times New Roman" w:eastAsia="TimesNewRoman" w:hAnsi="Times New Roman"/>
          <w:sz w:val="28"/>
          <w:szCs w:val="28"/>
        </w:rPr>
        <w:t xml:space="preserve"> </w:t>
      </w:r>
      <w:r w:rsidRPr="003307F1">
        <w:rPr>
          <w:rFonts w:ascii="Times New Roman" w:hAnsi="Times New Roman"/>
          <w:sz w:val="28"/>
          <w:szCs w:val="28"/>
        </w:rPr>
        <w:t>клетчатки при деструктивном панкреатите</w:t>
      </w:r>
      <w:r w:rsidRPr="003307F1">
        <w:rPr>
          <w:rFonts w:ascii="Times New Roman" w:eastAsia="TimesNewRoman" w:hAnsi="Times New Roman"/>
          <w:sz w:val="28"/>
          <w:szCs w:val="28"/>
        </w:rPr>
        <w:t xml:space="preserve"> / </w:t>
      </w:r>
      <w:r w:rsidRPr="003307F1">
        <w:rPr>
          <w:rFonts w:ascii="Times New Roman" w:hAnsi="Times New Roman"/>
          <w:sz w:val="28"/>
          <w:szCs w:val="28"/>
        </w:rPr>
        <w:t xml:space="preserve">А. В. Пепенин, И. В. Иоффе, </w:t>
      </w:r>
      <w:r>
        <w:rPr>
          <w:rFonts w:ascii="Times New Roman" w:hAnsi="Times New Roman"/>
          <w:sz w:val="28"/>
          <w:szCs w:val="28"/>
        </w:rPr>
        <w:t xml:space="preserve">                          </w:t>
      </w:r>
      <w:r w:rsidRPr="003307F1">
        <w:rPr>
          <w:rFonts w:ascii="Times New Roman" w:hAnsi="Times New Roman"/>
          <w:sz w:val="28"/>
          <w:szCs w:val="28"/>
        </w:rPr>
        <w:t>А. В. Алексеев [ и др. ] // Клінічна хірургія. – 2013. – № 4 (Додаток). – С. 46.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 xml:space="preserve">Юдин А. А. </w:t>
      </w:r>
      <w:r w:rsidRPr="003307F1">
        <w:rPr>
          <w:rFonts w:ascii="Times New Roman" w:hAnsi="Times New Roman"/>
          <w:bCs/>
          <w:sz w:val="28"/>
          <w:szCs w:val="28"/>
        </w:rPr>
        <w:t xml:space="preserve">Применение чрескожных пункционных вмешательств в хирургическом лечении панкреонекроза / А. А. Юдин // Клінічна хірургія. </w:t>
      </w:r>
      <w:r w:rsidRPr="003307F1">
        <w:rPr>
          <w:rFonts w:ascii="Times New Roman" w:hAnsi="Times New Roman"/>
          <w:sz w:val="28"/>
          <w:szCs w:val="28"/>
        </w:rPr>
        <w:t>– 2009. –</w:t>
      </w:r>
      <w:r>
        <w:rPr>
          <w:rFonts w:ascii="Times New Roman" w:hAnsi="Times New Roman"/>
          <w:sz w:val="28"/>
          <w:szCs w:val="28"/>
        </w:rPr>
        <w:t xml:space="preserve"> № 7 – 8. – С. 129-</w:t>
      </w:r>
      <w:r w:rsidRPr="003307F1">
        <w:rPr>
          <w:rFonts w:ascii="Times New Roman" w:hAnsi="Times New Roman"/>
          <w:sz w:val="28"/>
          <w:szCs w:val="28"/>
        </w:rPr>
        <w:t>130.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iCs/>
          <w:sz w:val="28"/>
          <w:szCs w:val="28"/>
        </w:rPr>
        <w:t xml:space="preserve">Ярешко В. Г. </w:t>
      </w:r>
      <w:r w:rsidRPr="003307F1">
        <w:rPr>
          <w:rFonts w:ascii="Times New Roman" w:hAnsi="Times New Roman"/>
          <w:bCs/>
          <w:sz w:val="28"/>
          <w:szCs w:val="28"/>
        </w:rPr>
        <w:t>Диагностика и лечение осложненных псевдокист</w:t>
      </w:r>
      <w:r w:rsidRPr="003307F1">
        <w:rPr>
          <w:rFonts w:ascii="Times New Roman" w:hAnsi="Times New Roman"/>
          <w:iCs/>
          <w:sz w:val="28"/>
          <w:szCs w:val="28"/>
        </w:rPr>
        <w:t xml:space="preserve"> </w:t>
      </w:r>
      <w:r w:rsidRPr="003307F1">
        <w:rPr>
          <w:rFonts w:ascii="Times New Roman" w:hAnsi="Times New Roman"/>
          <w:bCs/>
          <w:sz w:val="28"/>
          <w:szCs w:val="28"/>
        </w:rPr>
        <w:t xml:space="preserve">поджелудочной железы / </w:t>
      </w:r>
      <w:r w:rsidRPr="003307F1">
        <w:rPr>
          <w:rFonts w:ascii="Times New Roman" w:hAnsi="Times New Roman"/>
          <w:iCs/>
          <w:sz w:val="28"/>
          <w:szCs w:val="28"/>
        </w:rPr>
        <w:t xml:space="preserve">В. Г. Ярешко, Ю. А. Михеев, И. В. Криворучко // Український Журнал Хірургії. </w:t>
      </w:r>
      <w:r>
        <w:rPr>
          <w:rFonts w:ascii="Times New Roman" w:hAnsi="Times New Roman"/>
          <w:sz w:val="28"/>
          <w:szCs w:val="28"/>
        </w:rPr>
        <w:t>– 2011. – № 3 (12). – С.109-</w:t>
      </w:r>
      <w:r w:rsidRPr="003307F1">
        <w:rPr>
          <w:rFonts w:ascii="Times New Roman" w:hAnsi="Times New Roman"/>
          <w:sz w:val="28"/>
          <w:szCs w:val="28"/>
        </w:rPr>
        <w:t>112.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TimesNewRoman" w:hAnsi="Times New Roman"/>
          <w:sz w:val="28"/>
          <w:szCs w:val="28"/>
        </w:rPr>
        <w:t xml:space="preserve">Ярешко В. Г. </w:t>
      </w:r>
      <w:r w:rsidRPr="003307F1">
        <w:rPr>
          <w:rFonts w:ascii="Times New Roman" w:hAnsi="Times New Roman"/>
          <w:sz w:val="28"/>
          <w:szCs w:val="28"/>
        </w:rPr>
        <w:t>Профилактика осложнений прямых оперативных вмешательств</w:t>
      </w:r>
      <w:r w:rsidRPr="003307F1">
        <w:rPr>
          <w:rFonts w:ascii="Times New Roman" w:eastAsia="TimesNewRoman" w:hAnsi="Times New Roman"/>
          <w:sz w:val="28"/>
          <w:szCs w:val="28"/>
        </w:rPr>
        <w:t xml:space="preserve"> </w:t>
      </w:r>
      <w:r w:rsidRPr="003307F1">
        <w:rPr>
          <w:rFonts w:ascii="Times New Roman" w:hAnsi="Times New Roman"/>
          <w:sz w:val="28"/>
          <w:szCs w:val="28"/>
        </w:rPr>
        <w:t>на поджелудочной железе при хроническом панкреатите /</w:t>
      </w:r>
      <w:r>
        <w:rPr>
          <w:rFonts w:ascii="Times New Roman" w:hAnsi="Times New Roman"/>
          <w:sz w:val="28"/>
          <w:szCs w:val="28"/>
        </w:rPr>
        <w:t xml:space="preserve">                          </w:t>
      </w:r>
      <w:r w:rsidRPr="003307F1">
        <w:rPr>
          <w:rFonts w:ascii="Times New Roman" w:hAnsi="Times New Roman"/>
          <w:sz w:val="28"/>
          <w:szCs w:val="28"/>
        </w:rPr>
        <w:t xml:space="preserve"> В. Г. Ярешко, Ю. А. Михеев // Клінічна хірург</w:t>
      </w:r>
      <w:r>
        <w:rPr>
          <w:rFonts w:ascii="Times New Roman" w:hAnsi="Times New Roman"/>
          <w:sz w:val="28"/>
          <w:szCs w:val="28"/>
        </w:rPr>
        <w:t>ія. – 2012. – № 4. – С. 56-57.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rPr>
        <w:t>Ярешко В. Г. Хирургическое лечение хронического панкреатита /</w:t>
      </w:r>
      <w:r>
        <w:rPr>
          <w:rFonts w:ascii="Times New Roman" w:hAnsi="Times New Roman"/>
          <w:sz w:val="28"/>
          <w:szCs w:val="28"/>
        </w:rPr>
        <w:t xml:space="preserve">                  </w:t>
      </w:r>
      <w:r w:rsidRPr="003307F1">
        <w:rPr>
          <w:rFonts w:ascii="Times New Roman" w:hAnsi="Times New Roman"/>
          <w:sz w:val="28"/>
          <w:szCs w:val="28"/>
        </w:rPr>
        <w:t xml:space="preserve"> В. Г. Ярешко, Ю. А. Михеев // Харківська хірургічна школа</w:t>
      </w:r>
      <w:r>
        <w:rPr>
          <w:rFonts w:ascii="Times New Roman" w:hAnsi="Times New Roman"/>
          <w:sz w:val="28"/>
          <w:szCs w:val="28"/>
        </w:rPr>
        <w:t>. – 2015. – № 4 (73). – С. 37-</w:t>
      </w:r>
      <w:r w:rsidRPr="003307F1">
        <w:rPr>
          <w:rFonts w:ascii="Times New Roman" w:hAnsi="Times New Roman"/>
          <w:sz w:val="28"/>
          <w:szCs w:val="28"/>
        </w:rPr>
        <w:t>41.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hAnsi="Times New Roman"/>
          <w:sz w:val="28"/>
          <w:szCs w:val="28"/>
          <w:lang w:val="pt-BR"/>
        </w:rPr>
        <w:t>Abdi</w:t>
      </w:r>
      <w:r w:rsidRPr="00C62D22">
        <w:rPr>
          <w:rFonts w:ascii="Times New Roman" w:hAnsi="Times New Roman"/>
          <w:sz w:val="28"/>
          <w:szCs w:val="28"/>
          <w:lang w:val="en-US"/>
        </w:rPr>
        <w:t xml:space="preserve"> </w:t>
      </w:r>
      <w:r w:rsidRPr="003307F1">
        <w:rPr>
          <w:rFonts w:ascii="Times New Roman" w:hAnsi="Times New Roman"/>
          <w:sz w:val="28"/>
          <w:szCs w:val="28"/>
          <w:lang w:val="pt-BR"/>
        </w:rPr>
        <w:t>H. Correspondence Analysis</w:t>
      </w:r>
      <w:r w:rsidRPr="003307F1">
        <w:rPr>
          <w:rFonts w:ascii="Times New Roman" w:hAnsi="Times New Roman"/>
          <w:sz w:val="28"/>
          <w:szCs w:val="28"/>
          <w:lang w:val="en-US"/>
        </w:rPr>
        <w:t xml:space="preserve"> / </w:t>
      </w:r>
      <w:r w:rsidRPr="003307F1">
        <w:rPr>
          <w:rFonts w:ascii="Times New Roman" w:hAnsi="Times New Roman"/>
          <w:sz w:val="28"/>
          <w:szCs w:val="28"/>
        </w:rPr>
        <w:t>Н</w:t>
      </w:r>
      <w:r w:rsidRPr="003307F1">
        <w:rPr>
          <w:rFonts w:ascii="Times New Roman" w:hAnsi="Times New Roman"/>
          <w:sz w:val="28"/>
          <w:szCs w:val="28"/>
          <w:lang w:val="en-US"/>
        </w:rPr>
        <w:t xml:space="preserve">. </w:t>
      </w:r>
      <w:r w:rsidRPr="003307F1">
        <w:rPr>
          <w:rFonts w:ascii="Times New Roman" w:hAnsi="Times New Roman"/>
          <w:sz w:val="28"/>
          <w:szCs w:val="28"/>
          <w:lang w:val="pt-BR"/>
        </w:rPr>
        <w:t>Abdi,</w:t>
      </w:r>
      <w:r w:rsidRPr="003307F1">
        <w:rPr>
          <w:rFonts w:ascii="Times New Roman" w:hAnsi="Times New Roman"/>
          <w:sz w:val="28"/>
          <w:szCs w:val="28"/>
          <w:lang w:val="en-US"/>
        </w:rPr>
        <w:t xml:space="preserve"> </w:t>
      </w:r>
      <w:r w:rsidRPr="003307F1">
        <w:rPr>
          <w:rFonts w:ascii="Times New Roman" w:hAnsi="Times New Roman"/>
          <w:sz w:val="28"/>
          <w:szCs w:val="28"/>
        </w:rPr>
        <w:t>М</w:t>
      </w:r>
      <w:r w:rsidRPr="003307F1">
        <w:rPr>
          <w:rFonts w:ascii="Times New Roman" w:hAnsi="Times New Roman"/>
          <w:sz w:val="28"/>
          <w:szCs w:val="28"/>
          <w:lang w:val="en-US"/>
        </w:rPr>
        <w:t>.</w:t>
      </w:r>
      <w:r w:rsidRPr="003307F1">
        <w:rPr>
          <w:rFonts w:ascii="Times New Roman" w:hAnsi="Times New Roman"/>
          <w:sz w:val="28"/>
          <w:szCs w:val="28"/>
          <w:lang w:val="pt-BR"/>
        </w:rPr>
        <w:t xml:space="preserve"> Béra</w:t>
      </w:r>
      <w:r w:rsidRPr="003307F1">
        <w:rPr>
          <w:rFonts w:ascii="Times New Roman" w:hAnsi="Times New Roman"/>
          <w:sz w:val="28"/>
          <w:szCs w:val="28"/>
          <w:lang w:val="en-US"/>
        </w:rPr>
        <w:t xml:space="preserve"> //</w:t>
      </w:r>
      <w:r w:rsidRPr="003307F1">
        <w:rPr>
          <w:rFonts w:ascii="Times New Roman" w:hAnsi="Times New Roman"/>
          <w:sz w:val="28"/>
          <w:szCs w:val="28"/>
          <w:lang w:val="pt-BR"/>
        </w:rPr>
        <w:t xml:space="preserve"> </w:t>
      </w:r>
      <w:r w:rsidRPr="003307F1">
        <w:rPr>
          <w:rFonts w:ascii="Times New Roman" w:hAnsi="Times New Roman"/>
          <w:sz w:val="28"/>
          <w:szCs w:val="28"/>
          <w:lang w:val="en-US"/>
        </w:rPr>
        <w:t>In R. Alhajj, J. Rokne (Eds.),</w:t>
      </w:r>
      <w:r w:rsidRPr="003307F1">
        <w:rPr>
          <w:rStyle w:val="apple-converted-space"/>
          <w:rFonts w:ascii="Times New Roman" w:hAnsi="Times New Roman"/>
          <w:sz w:val="28"/>
          <w:szCs w:val="28"/>
          <w:lang w:val="en-US"/>
        </w:rPr>
        <w:t> </w:t>
      </w:r>
      <w:r w:rsidRPr="003307F1">
        <w:rPr>
          <w:rFonts w:ascii="Times New Roman" w:hAnsi="Times New Roman"/>
          <w:iCs/>
          <w:sz w:val="28"/>
          <w:szCs w:val="28"/>
          <w:lang w:val="en-US"/>
        </w:rPr>
        <w:t>Encyclopedia of Social Networks and Mining.</w:t>
      </w:r>
      <w:r w:rsidRPr="003307F1">
        <w:rPr>
          <w:rStyle w:val="apple-converted-space"/>
          <w:rFonts w:ascii="Times New Roman" w:hAnsi="Times New Roman"/>
          <w:sz w:val="28"/>
          <w:szCs w:val="28"/>
          <w:lang w:val="en-US"/>
        </w:rPr>
        <w:t xml:space="preserve"> </w:t>
      </w:r>
      <w:smartTag w:uri="urn:schemas-microsoft-com:office:smarttags" w:element="place">
        <w:smartTag w:uri="urn:schemas-microsoft-com:office:smarttags" w:element="State">
          <w:r w:rsidRPr="003307F1">
            <w:rPr>
              <w:rFonts w:ascii="Times New Roman" w:hAnsi="Times New Roman"/>
              <w:sz w:val="28"/>
              <w:szCs w:val="28"/>
              <w:lang w:val="en-US"/>
            </w:rPr>
            <w:t>New</w:t>
          </w:r>
          <w:r w:rsidRPr="003307F1">
            <w:rPr>
              <w:rFonts w:ascii="Times New Roman" w:hAnsi="Times New Roman"/>
              <w:sz w:val="28"/>
              <w:szCs w:val="28"/>
            </w:rPr>
            <w:t xml:space="preserve"> </w:t>
          </w:r>
          <w:r w:rsidRPr="003307F1">
            <w:rPr>
              <w:rFonts w:ascii="Times New Roman" w:hAnsi="Times New Roman"/>
              <w:sz w:val="28"/>
              <w:szCs w:val="28"/>
              <w:lang w:val="en-US"/>
            </w:rPr>
            <w:t>York</w:t>
          </w:r>
        </w:smartTag>
      </w:smartTag>
      <w:r w:rsidRPr="003307F1">
        <w:rPr>
          <w:rFonts w:ascii="Times New Roman" w:hAnsi="Times New Roman"/>
          <w:sz w:val="28"/>
          <w:szCs w:val="28"/>
        </w:rPr>
        <w:t xml:space="preserve">: </w:t>
      </w:r>
      <w:r w:rsidRPr="003307F1">
        <w:rPr>
          <w:rFonts w:ascii="Times New Roman" w:hAnsi="Times New Roman"/>
          <w:sz w:val="28"/>
          <w:szCs w:val="28"/>
          <w:lang w:val="en-US"/>
        </w:rPr>
        <w:t>Springer</w:t>
      </w:r>
      <w:r w:rsidRPr="003307F1">
        <w:rPr>
          <w:rFonts w:ascii="Times New Roman" w:hAnsi="Times New Roman"/>
          <w:sz w:val="28"/>
          <w:szCs w:val="28"/>
        </w:rPr>
        <w:t xml:space="preserve"> </w:t>
      </w:r>
      <w:r w:rsidRPr="003307F1">
        <w:rPr>
          <w:rFonts w:ascii="Times New Roman" w:hAnsi="Times New Roman"/>
          <w:sz w:val="28"/>
          <w:szCs w:val="28"/>
          <w:lang w:val="en-US"/>
        </w:rPr>
        <w:t>Verlag</w:t>
      </w:r>
      <w:r w:rsidRPr="003307F1">
        <w:rPr>
          <w:rFonts w:ascii="Times New Roman" w:hAnsi="Times New Roman"/>
          <w:sz w:val="28"/>
          <w:szCs w:val="28"/>
        </w:rPr>
        <w:t xml:space="preserve">, 2014. </w:t>
      </w:r>
      <w:r w:rsidRPr="003307F1">
        <w:rPr>
          <w:rFonts w:ascii="Times New Roman" w:hAnsi="Times New Roman"/>
          <w:sz w:val="28"/>
          <w:szCs w:val="28"/>
          <w:lang w:val="en-US"/>
        </w:rPr>
        <w:t xml:space="preserve">– </w:t>
      </w:r>
      <w:r w:rsidRPr="003307F1">
        <w:rPr>
          <w:rFonts w:ascii="Times New Roman" w:hAnsi="Times New Roman"/>
          <w:sz w:val="28"/>
          <w:szCs w:val="28"/>
        </w:rPr>
        <w:t>Р</w:t>
      </w:r>
      <w:r w:rsidRPr="003307F1">
        <w:rPr>
          <w:rFonts w:ascii="Times New Roman" w:hAnsi="Times New Roman"/>
          <w:sz w:val="28"/>
          <w:szCs w:val="28"/>
          <w:lang w:val="en-US"/>
        </w:rPr>
        <w:t xml:space="preserve">. </w:t>
      </w:r>
      <w:r w:rsidRPr="003307F1">
        <w:rPr>
          <w:rFonts w:ascii="Times New Roman" w:hAnsi="Times New Roman"/>
          <w:sz w:val="28"/>
          <w:szCs w:val="28"/>
        </w:rPr>
        <w:t>275</w:t>
      </w:r>
      <w:r>
        <w:rPr>
          <w:rFonts w:ascii="Times New Roman" w:hAnsi="Times New Roman"/>
          <w:sz w:val="28"/>
          <w:szCs w:val="28"/>
        </w:rPr>
        <w:t>-</w:t>
      </w:r>
      <w:r w:rsidRPr="003307F1">
        <w:rPr>
          <w:rFonts w:ascii="Times New Roman" w:hAnsi="Times New Roman"/>
          <w:sz w:val="28"/>
          <w:szCs w:val="28"/>
        </w:rPr>
        <w:t>284.</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A comparative analysis of pancreas cyst fluid CEA and histology with DNA mutation analysis in the detection of mucin producing or malignant cysts / </w:t>
      </w:r>
      <w:r w:rsidRPr="00C62D22">
        <w:rPr>
          <w:rFonts w:ascii="Times New Roman" w:hAnsi="Times New Roman"/>
          <w:sz w:val="28"/>
          <w:szCs w:val="28"/>
          <w:lang w:val="en-US"/>
        </w:rPr>
        <w:t xml:space="preserve">                                 </w:t>
      </w:r>
      <w:r w:rsidRPr="003307F1">
        <w:rPr>
          <w:rFonts w:ascii="Times New Roman" w:hAnsi="Times New Roman"/>
          <w:sz w:val="28"/>
          <w:szCs w:val="28"/>
          <w:lang w:val="en-US"/>
        </w:rPr>
        <w:t>J. Sreenarasimhaiah, E. F. Eara, S. F. Jazrawi [ et al. ] // J.O.P. – 2</w:t>
      </w:r>
      <w:r>
        <w:rPr>
          <w:rFonts w:ascii="Times New Roman" w:hAnsi="Times New Roman"/>
          <w:sz w:val="28"/>
          <w:szCs w:val="28"/>
          <w:lang w:val="en-US"/>
        </w:rPr>
        <w:t>009. – Vol. 10, № 2. – P. 163</w:t>
      </w:r>
      <w:r w:rsidRPr="00C62D22">
        <w:rPr>
          <w:rFonts w:ascii="Times New Roman" w:hAnsi="Times New Roman"/>
          <w:sz w:val="28"/>
          <w:szCs w:val="28"/>
          <w:lang w:val="en-US"/>
        </w:rPr>
        <w:t>-</w:t>
      </w:r>
      <w:r w:rsidRPr="003307F1">
        <w:rPr>
          <w:rFonts w:ascii="Times New Roman" w:hAnsi="Times New Roman"/>
          <w:sz w:val="28"/>
          <w:szCs w:val="28"/>
          <w:lang w:val="en-US"/>
        </w:rPr>
        <w:t>168.</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A unifying</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concept: pancreatic ductal anatomy both predicts and determines</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the major complications resulting from pancreatitis / </w:t>
      </w:r>
      <w:r w:rsidRPr="003307F1">
        <w:rPr>
          <w:rFonts w:ascii="Times New Roman" w:hAnsi="Times New Roman"/>
          <w:iCs/>
          <w:sz w:val="28"/>
          <w:szCs w:val="28"/>
          <w:lang w:val="en-US"/>
        </w:rPr>
        <w:t xml:space="preserve">W. H. Nealon, </w:t>
      </w:r>
      <w:r w:rsidRPr="003307F1">
        <w:rPr>
          <w:rFonts w:ascii="Times New Roman" w:hAnsi="Times New Roman"/>
          <w:iCs/>
          <w:sz w:val="28"/>
          <w:szCs w:val="28"/>
        </w:rPr>
        <w:t>М</w:t>
      </w:r>
      <w:r w:rsidRPr="003307F1">
        <w:rPr>
          <w:rFonts w:ascii="Times New Roman" w:hAnsi="Times New Roman"/>
          <w:iCs/>
          <w:sz w:val="28"/>
          <w:szCs w:val="28"/>
          <w:lang w:val="en-US"/>
        </w:rPr>
        <w:t xml:space="preserve">. Bhutani, T. S. Riall </w:t>
      </w:r>
      <w:r w:rsidRPr="00C62D22">
        <w:rPr>
          <w:rFonts w:ascii="Times New Roman" w:hAnsi="Times New Roman"/>
          <w:iCs/>
          <w:sz w:val="28"/>
          <w:szCs w:val="28"/>
          <w:lang w:val="en-US"/>
        </w:rPr>
        <w:t xml:space="preserve">                    </w:t>
      </w:r>
      <w:r w:rsidRPr="003307F1">
        <w:rPr>
          <w:rFonts w:ascii="Times New Roman" w:hAnsi="Times New Roman"/>
          <w:iCs/>
          <w:sz w:val="28"/>
          <w:szCs w:val="28"/>
          <w:lang w:val="en-US"/>
        </w:rPr>
        <w:t>[ et al.</w:t>
      </w:r>
      <w:r w:rsidRPr="003307F1">
        <w:rPr>
          <w:rFonts w:ascii="Times New Roman" w:hAnsi="Times New Roman"/>
          <w:sz w:val="28"/>
          <w:szCs w:val="28"/>
          <w:lang w:val="en-US"/>
        </w:rPr>
        <w:t xml:space="preserve"> ] // J. Am. Coll.</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Surg.</w:t>
      </w:r>
      <w:r>
        <w:rPr>
          <w:rFonts w:ascii="Times New Roman" w:hAnsi="Times New Roman"/>
          <w:sz w:val="28"/>
          <w:szCs w:val="28"/>
          <w:lang w:val="en-US"/>
        </w:rPr>
        <w:t xml:space="preserve"> – 2009. – Vol. 208. – P. 720</w:t>
      </w:r>
      <w:r>
        <w:rPr>
          <w:rFonts w:ascii="Times New Roman" w:hAnsi="Times New Roman"/>
          <w:sz w:val="28"/>
          <w:szCs w:val="28"/>
        </w:rPr>
        <w:t>-</w:t>
      </w:r>
      <w:r w:rsidRPr="003307F1">
        <w:rPr>
          <w:rFonts w:ascii="Times New Roman" w:hAnsi="Times New Roman"/>
          <w:sz w:val="28"/>
          <w:szCs w:val="28"/>
          <w:lang w:val="en-US"/>
        </w:rPr>
        <w:t>729.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rPr>
      </w:pPr>
      <w:r w:rsidRPr="003307F1">
        <w:rPr>
          <w:rStyle w:val="A10"/>
          <w:rFonts w:ascii="Times New Roman" w:hAnsi="Times New Roman" w:cs="Times New Roman"/>
          <w:color w:val="auto"/>
          <w:sz w:val="28"/>
          <w:szCs w:val="28"/>
          <w:lang w:val="en-US"/>
        </w:rPr>
        <w:lastRenderedPageBreak/>
        <w:t>Akhmedov V</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A</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The matrix metalloproteinase 9 (MMP-9) and TIMP-1 activities in patients with chronic and recurrent pancreatitis</w:t>
      </w:r>
      <w:r w:rsidRPr="00C62D22">
        <w:rPr>
          <w:rStyle w:val="A10"/>
          <w:rFonts w:ascii="Times New Roman" w:hAnsi="Times New Roman" w:cs="Times New Roman"/>
          <w:color w:val="auto"/>
          <w:sz w:val="28"/>
          <w:szCs w:val="28"/>
          <w:lang w:val="en-US"/>
        </w:rPr>
        <w:t xml:space="preserve"> / </w:t>
      </w:r>
      <w:r w:rsidRPr="003307F1">
        <w:rPr>
          <w:rStyle w:val="A10"/>
          <w:rFonts w:ascii="Times New Roman" w:hAnsi="Times New Roman" w:cs="Times New Roman"/>
          <w:color w:val="auto"/>
          <w:sz w:val="28"/>
          <w:szCs w:val="28"/>
          <w:lang w:val="en-US"/>
        </w:rPr>
        <w:t>V</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A</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 xml:space="preserve">Akhmedov, </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A</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V</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Budylgin, V</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T</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Dolgikh</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 xml:space="preserve"> Eksp. Klin. Gastroenterol</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w:t>
      </w:r>
      <w:r w:rsidRPr="003307F1">
        <w:rPr>
          <w:rStyle w:val="A10"/>
          <w:rFonts w:ascii="Times New Roman" w:hAnsi="Times New Roman" w:cs="Times New Roman"/>
          <w:color w:val="auto"/>
          <w:sz w:val="28"/>
          <w:szCs w:val="28"/>
          <w:lang w:val="en-US"/>
        </w:rPr>
        <w:t xml:space="preserve"> 2010</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w:t>
      </w:r>
      <w:r w:rsidRPr="003307F1">
        <w:rPr>
          <w:rFonts w:ascii="Times New Roman" w:hAnsi="Times New Roman"/>
          <w:sz w:val="28"/>
          <w:szCs w:val="28"/>
        </w:rPr>
        <w:t xml:space="preserve"> № </w:t>
      </w:r>
      <w:r w:rsidRPr="003307F1">
        <w:rPr>
          <w:rStyle w:val="A10"/>
          <w:rFonts w:ascii="Times New Roman" w:hAnsi="Times New Roman" w:cs="Times New Roman"/>
          <w:color w:val="auto"/>
          <w:sz w:val="28"/>
          <w:szCs w:val="28"/>
          <w:lang w:val="en-US"/>
        </w:rPr>
        <w:t>6</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w:t>
      </w:r>
      <w:r w:rsidRPr="003307F1">
        <w:rPr>
          <w:rFonts w:ascii="Times New Roman" w:hAnsi="Times New Roman"/>
          <w:sz w:val="28"/>
          <w:szCs w:val="28"/>
        </w:rPr>
        <w:t xml:space="preserve"> Р.</w:t>
      </w:r>
      <w:r w:rsidRPr="003307F1">
        <w:rPr>
          <w:rStyle w:val="A10"/>
          <w:rFonts w:ascii="Times New Roman" w:hAnsi="Times New Roman" w:cs="Times New Roman"/>
          <w:color w:val="auto"/>
          <w:sz w:val="28"/>
          <w:szCs w:val="28"/>
          <w:lang w:val="en-US"/>
        </w:rPr>
        <w:t>11</w:t>
      </w:r>
      <w:r>
        <w:rPr>
          <w:rStyle w:val="A10"/>
          <w:rFonts w:ascii="Times New Roman" w:hAnsi="Times New Roman" w:cs="Times New Roman"/>
          <w:color w:val="auto"/>
          <w:sz w:val="28"/>
          <w:szCs w:val="28"/>
        </w:rPr>
        <w:t>-</w:t>
      </w:r>
      <w:r w:rsidRPr="003307F1">
        <w:rPr>
          <w:rStyle w:val="A10"/>
          <w:rFonts w:ascii="Times New Roman" w:hAnsi="Times New Roman" w:cs="Times New Roman"/>
          <w:color w:val="auto"/>
          <w:sz w:val="28"/>
          <w:szCs w:val="28"/>
          <w:lang w:val="en-US"/>
        </w:rPr>
        <w:t>13.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rPr>
      </w:pPr>
      <w:r w:rsidRPr="003307F1">
        <w:rPr>
          <w:rFonts w:ascii="Times New Roman" w:hAnsi="Times New Roman"/>
          <w:sz w:val="28"/>
          <w:szCs w:val="28"/>
          <w:lang w:val="en-US"/>
        </w:rPr>
        <w:t>Alcohol modulates circulating levels of interleukin-6 and monocyte chemoattractant protein-</w:t>
      </w:r>
      <w:smartTag w:uri="urn:schemas-microsoft-com:office:smarttags" w:element="metricconverter">
        <w:smartTagPr>
          <w:attr w:name="ProductID" w:val="1 in"/>
        </w:smartTagPr>
        <w:r w:rsidRPr="003307F1">
          <w:rPr>
            <w:rFonts w:ascii="Times New Roman" w:hAnsi="Times New Roman"/>
            <w:sz w:val="28"/>
            <w:szCs w:val="28"/>
            <w:lang w:val="en-US"/>
          </w:rPr>
          <w:t>1 in</w:t>
        </w:r>
      </w:smartTag>
      <w:r w:rsidRPr="003307F1">
        <w:rPr>
          <w:rFonts w:ascii="Times New Roman" w:hAnsi="Times New Roman"/>
          <w:sz w:val="28"/>
          <w:szCs w:val="28"/>
          <w:lang w:val="en-US"/>
        </w:rPr>
        <w:t xml:space="preserve"> chronic pancreatitis / N. Pedersen, S. Larsen, J. B.Seidelin, </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O. H. Nielsen // Scand. J. Gastroenterol. – 2004 – Vol. 39. – </w:t>
      </w:r>
      <w:r w:rsidRPr="003307F1">
        <w:rPr>
          <w:rFonts w:ascii="Times New Roman" w:hAnsi="Times New Roman"/>
          <w:sz w:val="28"/>
          <w:szCs w:val="28"/>
        </w:rPr>
        <w:t>Р</w:t>
      </w:r>
      <w:r w:rsidRPr="003307F1">
        <w:rPr>
          <w:rFonts w:ascii="Times New Roman" w:hAnsi="Times New Roman"/>
          <w:sz w:val="28"/>
          <w:szCs w:val="28"/>
          <w:lang w:val="en-US"/>
        </w:rPr>
        <w:t>. 277</w:t>
      </w:r>
      <w:r>
        <w:rPr>
          <w:rFonts w:ascii="Times New Roman" w:hAnsi="Times New Roman"/>
          <w:sz w:val="28"/>
          <w:szCs w:val="28"/>
        </w:rPr>
        <w:t>-</w:t>
      </w:r>
      <w:r w:rsidRPr="003307F1">
        <w:rPr>
          <w:rFonts w:ascii="Times New Roman" w:hAnsi="Times New Roman"/>
          <w:sz w:val="28"/>
          <w:szCs w:val="28"/>
          <w:lang w:val="en-US"/>
        </w:rPr>
        <w:t>280.</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Alsfasser G. Treatment of necrotizing pancreatitis: redefining the role</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of surgery / G. Alsfasser, F. Schwandner, A. Pertschy // World J. Sur</w:t>
      </w:r>
      <w:r>
        <w:rPr>
          <w:rFonts w:ascii="Times New Roman" w:hAnsi="Times New Roman"/>
          <w:sz w:val="28"/>
          <w:szCs w:val="28"/>
          <w:lang w:val="en-US"/>
        </w:rPr>
        <w:t>g. – 2012. – Vol. 36. – P. 1142</w:t>
      </w:r>
      <w:r w:rsidRPr="00C62D22">
        <w:rPr>
          <w:rFonts w:ascii="Times New Roman" w:hAnsi="Times New Roman"/>
          <w:sz w:val="28"/>
          <w:szCs w:val="28"/>
          <w:lang w:val="en-US"/>
        </w:rPr>
        <w:t>-</w:t>
      </w:r>
      <w:r w:rsidRPr="003307F1">
        <w:rPr>
          <w:rFonts w:ascii="Times New Roman" w:hAnsi="Times New Roman"/>
          <w:sz w:val="28"/>
          <w:szCs w:val="28"/>
          <w:lang w:val="en-US"/>
        </w:rPr>
        <w:t>1147.</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lang w:val="en-US"/>
        </w:rPr>
      </w:pPr>
      <w:r w:rsidRPr="003307F1">
        <w:rPr>
          <w:rFonts w:ascii="Times New Roman" w:hAnsi="Times New Roman"/>
          <w:sz w:val="28"/>
          <w:szCs w:val="28"/>
          <w:lang w:val="en-US"/>
        </w:rPr>
        <w:t>Amelioration of pancreatic fibrosis in mice wi</w:t>
      </w:r>
      <w:r>
        <w:rPr>
          <w:rFonts w:ascii="Times New Roman" w:hAnsi="Times New Roman"/>
          <w:sz w:val="28"/>
          <w:szCs w:val="28"/>
          <w:lang w:val="en-US"/>
        </w:rPr>
        <w:t>th defective TGF-beta signaling</w:t>
      </w:r>
      <w:r w:rsidRPr="003307F1">
        <w:rPr>
          <w:rFonts w:ascii="Times New Roman" w:hAnsi="Times New Roman"/>
          <w:sz w:val="28"/>
          <w:szCs w:val="28"/>
          <w:lang w:val="en-US"/>
        </w:rPr>
        <w:t xml:space="preserve"> / B. M. Yoo, M. Yeo, T.Y. Oh [et al.] // Pancreas. – 2005. – Vol. 30. – </w:t>
      </w:r>
      <w:r w:rsidRPr="003307F1">
        <w:rPr>
          <w:rFonts w:ascii="Times New Roman" w:hAnsi="Times New Roman"/>
          <w:sz w:val="28"/>
          <w:szCs w:val="28"/>
        </w:rPr>
        <w:t>Р</w:t>
      </w:r>
      <w:r>
        <w:rPr>
          <w:rFonts w:ascii="Times New Roman" w:hAnsi="Times New Roman"/>
          <w:sz w:val="28"/>
          <w:szCs w:val="28"/>
          <w:lang w:val="en-US"/>
        </w:rPr>
        <w:t>. 27</w:t>
      </w:r>
      <w:r w:rsidRPr="00C62D22">
        <w:rPr>
          <w:rFonts w:ascii="Times New Roman" w:hAnsi="Times New Roman"/>
          <w:sz w:val="28"/>
          <w:szCs w:val="28"/>
          <w:lang w:val="en-US"/>
        </w:rPr>
        <w:t>-</w:t>
      </w:r>
      <w:r w:rsidRPr="003307F1">
        <w:rPr>
          <w:rFonts w:ascii="Times New Roman" w:hAnsi="Times New Roman"/>
          <w:sz w:val="28"/>
          <w:szCs w:val="28"/>
          <w:lang w:val="en-US"/>
        </w:rPr>
        <w:t>29.</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Ang T. L. A case of perforated pancreatic pseudocyst complicated by acute myocardial infarction successfully treated by EUS</w:t>
      </w:r>
      <w:r w:rsidRPr="00C62D22">
        <w:rPr>
          <w:rFonts w:ascii="Times New Roman" w:hAnsi="Times New Roman"/>
          <w:sz w:val="28"/>
          <w:szCs w:val="28"/>
          <w:lang w:val="en-US"/>
        </w:rPr>
        <w:t>-</w:t>
      </w:r>
      <w:r w:rsidRPr="003307F1">
        <w:rPr>
          <w:rFonts w:ascii="Times New Roman" w:hAnsi="Times New Roman"/>
          <w:sz w:val="28"/>
          <w:szCs w:val="28"/>
          <w:lang w:val="en-US"/>
        </w:rPr>
        <w:t xml:space="preserve">guided transgastric drainage / </w:t>
      </w:r>
      <w:r w:rsidRPr="00C62D22">
        <w:rPr>
          <w:rFonts w:ascii="Times New Roman" w:hAnsi="Times New Roman"/>
          <w:sz w:val="28"/>
          <w:szCs w:val="28"/>
          <w:lang w:val="en-US"/>
        </w:rPr>
        <w:t xml:space="preserve">                 </w:t>
      </w:r>
      <w:r w:rsidRPr="003307F1">
        <w:rPr>
          <w:rFonts w:ascii="Times New Roman" w:hAnsi="Times New Roman"/>
          <w:sz w:val="28"/>
          <w:szCs w:val="28"/>
          <w:lang w:val="en-US"/>
        </w:rPr>
        <w:t>T. L. Ang // J. Pancreas –</w:t>
      </w:r>
      <w:r>
        <w:rPr>
          <w:rFonts w:ascii="Times New Roman" w:hAnsi="Times New Roman"/>
          <w:sz w:val="28"/>
          <w:szCs w:val="28"/>
          <w:lang w:val="en-US"/>
        </w:rPr>
        <w:t xml:space="preserve"> 2009. – Vol. 10, № 3. – P. 324</w:t>
      </w:r>
      <w:r w:rsidRPr="00C62D22">
        <w:rPr>
          <w:rFonts w:ascii="Times New Roman" w:hAnsi="Times New Roman"/>
          <w:sz w:val="28"/>
          <w:szCs w:val="28"/>
          <w:lang w:val="en-US"/>
        </w:rPr>
        <w:t>-</w:t>
      </w:r>
      <w:r w:rsidRPr="003307F1">
        <w:rPr>
          <w:rFonts w:ascii="Times New Roman" w:hAnsi="Times New Roman"/>
          <w:sz w:val="28"/>
          <w:szCs w:val="28"/>
          <w:lang w:val="en-US"/>
        </w:rPr>
        <w:t>327.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Angiotensin II signaling through the AT1a and AT1b receptors does</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not have a role in the development of cerulein–induced chronic</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pancreatitis in the mouse / </w:t>
      </w:r>
      <w:r w:rsidRPr="00C62D22">
        <w:rPr>
          <w:rFonts w:ascii="Times New Roman" w:hAnsi="Times New Roman"/>
          <w:sz w:val="28"/>
          <w:szCs w:val="28"/>
          <w:lang w:val="en-US"/>
        </w:rPr>
        <w:t xml:space="preserve">                    </w:t>
      </w:r>
      <w:r w:rsidRPr="003307F1">
        <w:rPr>
          <w:rFonts w:ascii="Times New Roman" w:hAnsi="Times New Roman"/>
          <w:sz w:val="28"/>
          <w:szCs w:val="28"/>
          <w:lang w:val="en-US"/>
        </w:rPr>
        <w:t>B. Ulmasov, Z. Xu, V. Talkad [ et al. ] // Am.</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J. Physiol. Gastrointest. Liver Physi</w:t>
      </w:r>
      <w:r>
        <w:rPr>
          <w:rFonts w:ascii="Times New Roman" w:hAnsi="Times New Roman"/>
          <w:sz w:val="28"/>
          <w:szCs w:val="28"/>
          <w:lang w:val="en-US"/>
        </w:rPr>
        <w:t>ol. – 2010. – Vol. 299. – P. 70</w:t>
      </w:r>
      <w:r>
        <w:rPr>
          <w:rFonts w:ascii="Times New Roman" w:hAnsi="Times New Roman"/>
          <w:sz w:val="28"/>
          <w:szCs w:val="28"/>
        </w:rPr>
        <w:t>-</w:t>
      </w:r>
      <w:r w:rsidRPr="003307F1">
        <w:rPr>
          <w:rFonts w:ascii="Times New Roman" w:hAnsi="Times New Roman"/>
          <w:sz w:val="28"/>
          <w:szCs w:val="28"/>
          <w:lang w:val="en-US"/>
        </w:rPr>
        <w:t>80.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Appraisal of Imaizumi modification of the Beger procedure: the TWMU experience / </w:t>
      </w:r>
      <w:r w:rsidRPr="003307F1">
        <w:rPr>
          <w:rFonts w:ascii="Times New Roman" w:hAnsi="Times New Roman"/>
          <w:sz w:val="28"/>
          <w:szCs w:val="28"/>
        </w:rPr>
        <w:t>Т</w:t>
      </w:r>
      <w:r w:rsidRPr="003307F1">
        <w:rPr>
          <w:rFonts w:ascii="Times New Roman" w:hAnsi="Times New Roman"/>
          <w:sz w:val="28"/>
          <w:szCs w:val="28"/>
          <w:lang w:val="en-US"/>
        </w:rPr>
        <w:t xml:space="preserve">. </w:t>
      </w:r>
      <w:r w:rsidRPr="003307F1">
        <w:rPr>
          <w:rFonts w:ascii="Times New Roman" w:hAnsi="Times New Roman"/>
          <w:sz w:val="28"/>
          <w:szCs w:val="28"/>
          <w:lang w:val="fr-FR"/>
        </w:rPr>
        <w:t>Hatori,</w:t>
      </w:r>
      <w:r w:rsidRPr="003307F1">
        <w:rPr>
          <w:rFonts w:ascii="Times New Roman" w:hAnsi="Times New Roman"/>
          <w:sz w:val="28"/>
          <w:szCs w:val="28"/>
          <w:lang w:val="en-US"/>
        </w:rPr>
        <w:t xml:space="preserve"> </w:t>
      </w:r>
      <w:r w:rsidRPr="003307F1">
        <w:rPr>
          <w:rFonts w:ascii="Times New Roman" w:hAnsi="Times New Roman"/>
          <w:sz w:val="28"/>
          <w:szCs w:val="28"/>
        </w:rPr>
        <w:t>Т</w:t>
      </w:r>
      <w:r w:rsidRPr="003307F1">
        <w:rPr>
          <w:rFonts w:ascii="Times New Roman" w:hAnsi="Times New Roman"/>
          <w:sz w:val="28"/>
          <w:szCs w:val="28"/>
          <w:lang w:val="en-US"/>
        </w:rPr>
        <w:t>.</w:t>
      </w:r>
      <w:r w:rsidRPr="003307F1">
        <w:rPr>
          <w:rFonts w:ascii="Times New Roman" w:hAnsi="Times New Roman"/>
          <w:sz w:val="28"/>
          <w:szCs w:val="28"/>
          <w:lang w:val="fr-FR"/>
        </w:rPr>
        <w:t xml:space="preserve"> Imaizumi, N</w:t>
      </w:r>
      <w:r w:rsidRPr="003307F1">
        <w:rPr>
          <w:rFonts w:ascii="Times New Roman" w:hAnsi="Times New Roman"/>
          <w:sz w:val="28"/>
          <w:szCs w:val="28"/>
          <w:lang w:val="en-US"/>
        </w:rPr>
        <w:t xml:space="preserve">. </w:t>
      </w:r>
      <w:r w:rsidRPr="003307F1">
        <w:rPr>
          <w:rFonts w:ascii="Times New Roman" w:hAnsi="Times New Roman"/>
          <w:sz w:val="28"/>
          <w:szCs w:val="28"/>
          <w:lang w:val="fr-FR"/>
        </w:rPr>
        <w:t>Harada</w:t>
      </w:r>
      <w:r w:rsidRPr="003307F1">
        <w:rPr>
          <w:rFonts w:ascii="Times New Roman" w:hAnsi="Times New Roman"/>
          <w:sz w:val="28"/>
          <w:szCs w:val="28"/>
          <w:lang w:val="en-US"/>
        </w:rPr>
        <w:t xml:space="preserve"> [</w:t>
      </w:r>
      <w:r w:rsidRPr="003307F1">
        <w:rPr>
          <w:rFonts w:ascii="Times New Roman" w:hAnsi="Times New Roman"/>
          <w:sz w:val="28"/>
          <w:szCs w:val="28"/>
          <w:lang w:val="fr-FR"/>
        </w:rPr>
        <w:t xml:space="preserve"> et al. </w:t>
      </w:r>
      <w:r w:rsidRPr="003307F1">
        <w:rPr>
          <w:rFonts w:ascii="Times New Roman" w:hAnsi="Times New Roman"/>
          <w:sz w:val="28"/>
          <w:szCs w:val="28"/>
          <w:lang w:val="en-US"/>
        </w:rPr>
        <w:t>] //</w:t>
      </w:r>
      <w:r w:rsidRPr="00C62D22">
        <w:rPr>
          <w:rFonts w:ascii="Times New Roman" w:hAnsi="Times New Roman"/>
          <w:sz w:val="28"/>
          <w:szCs w:val="28"/>
          <w:lang w:val="en-US"/>
        </w:rPr>
        <w:t xml:space="preserve"> </w:t>
      </w:r>
      <w:r w:rsidRPr="003307F1">
        <w:rPr>
          <w:rFonts w:ascii="Times New Roman" w:hAnsi="Times New Roman"/>
          <w:sz w:val="28"/>
          <w:szCs w:val="28"/>
          <w:lang w:val="en-US"/>
        </w:rPr>
        <w:t>J. Hepatobil. Pancreat. Sci. – 2010. – Vol. 17</w:t>
      </w:r>
      <w:r w:rsidRPr="003307F1">
        <w:rPr>
          <w:rFonts w:ascii="Times New Roman" w:hAnsi="Times New Roman"/>
          <w:sz w:val="28"/>
          <w:szCs w:val="28"/>
        </w:rPr>
        <w:t xml:space="preserve">, № </w:t>
      </w:r>
      <w:r>
        <w:rPr>
          <w:rFonts w:ascii="Times New Roman" w:hAnsi="Times New Roman"/>
          <w:sz w:val="28"/>
          <w:szCs w:val="28"/>
          <w:lang w:val="en-US"/>
        </w:rPr>
        <w:t>6. – P. 752</w:t>
      </w:r>
      <w:r>
        <w:rPr>
          <w:rFonts w:ascii="Times New Roman" w:hAnsi="Times New Roman"/>
          <w:sz w:val="28"/>
          <w:szCs w:val="28"/>
        </w:rPr>
        <w:t>-</w:t>
      </w:r>
      <w:r w:rsidRPr="003307F1">
        <w:rPr>
          <w:rFonts w:ascii="Times New Roman" w:hAnsi="Times New Roman"/>
          <w:sz w:val="28"/>
          <w:szCs w:val="28"/>
          <w:lang w:val="en-US"/>
        </w:rPr>
        <w:t>757.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Apte M. The fibrosis of chronic pancreatitis: new insights into the role of pancreatic stellate cells / M. Apte, R. Pirola, J. Wilson //</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Antioxid. Redox Signal. – 2011. – Vol. 15, </w:t>
      </w:r>
      <w:r w:rsidRPr="003307F1">
        <w:rPr>
          <w:rFonts w:ascii="Times New Roman" w:hAnsi="Times New Roman"/>
          <w:sz w:val="28"/>
          <w:szCs w:val="28"/>
        </w:rPr>
        <w:t>№</w:t>
      </w:r>
      <w:r w:rsidRPr="003307F1">
        <w:rPr>
          <w:rFonts w:ascii="Times New Roman" w:hAnsi="Times New Roman"/>
          <w:sz w:val="28"/>
          <w:szCs w:val="28"/>
          <w:lang w:val="en-US"/>
        </w:rPr>
        <w:t xml:space="preserve"> 10. – P. 2711</w:t>
      </w:r>
      <w:r>
        <w:rPr>
          <w:rFonts w:ascii="Times New Roman" w:hAnsi="Times New Roman"/>
          <w:sz w:val="28"/>
          <w:szCs w:val="28"/>
        </w:rPr>
        <w:t>-</w:t>
      </w:r>
      <w:r w:rsidRPr="003307F1">
        <w:rPr>
          <w:rFonts w:ascii="Times New Roman" w:hAnsi="Times New Roman"/>
          <w:sz w:val="28"/>
          <w:szCs w:val="28"/>
          <w:lang w:val="en-US"/>
        </w:rPr>
        <w:t>2722.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Arguments for an individualized closure of the pancreatic remnant after distal pancreatic resection / U. F Wellner, F. Makowiec, </w:t>
      </w:r>
      <w:r w:rsidRPr="003307F1">
        <w:rPr>
          <w:rFonts w:ascii="Times New Roman" w:hAnsi="Times New Roman"/>
          <w:sz w:val="28"/>
          <w:szCs w:val="28"/>
        </w:rPr>
        <w:t>О</w:t>
      </w:r>
      <w:r w:rsidRPr="003307F1">
        <w:rPr>
          <w:rFonts w:ascii="Times New Roman" w:hAnsi="Times New Roman"/>
          <w:sz w:val="28"/>
          <w:szCs w:val="28"/>
          <w:lang w:val="en-US"/>
        </w:rPr>
        <w:t xml:space="preserve">. Sick </w:t>
      </w:r>
      <w:r w:rsidRPr="00C62D22">
        <w:rPr>
          <w:rFonts w:ascii="Times New Roman" w:hAnsi="Times New Roman"/>
          <w:sz w:val="28"/>
          <w:szCs w:val="28"/>
          <w:lang w:val="en-US"/>
        </w:rPr>
        <w:t>[</w:t>
      </w:r>
      <w:r w:rsidRPr="003307F1">
        <w:rPr>
          <w:rFonts w:ascii="Times New Roman" w:hAnsi="Times New Roman"/>
          <w:sz w:val="28"/>
          <w:szCs w:val="28"/>
          <w:lang w:val="en-US"/>
        </w:rPr>
        <w:t xml:space="preserve"> et al</w:t>
      </w:r>
      <w:r w:rsidRPr="00C62D22">
        <w:rPr>
          <w:rFonts w:ascii="Times New Roman" w:hAnsi="Times New Roman"/>
          <w:sz w:val="28"/>
          <w:szCs w:val="28"/>
          <w:lang w:val="en-US"/>
        </w:rPr>
        <w:t>. ]</w:t>
      </w:r>
      <w:r w:rsidRPr="003307F1">
        <w:rPr>
          <w:rFonts w:ascii="Times New Roman" w:hAnsi="Times New Roman"/>
          <w:sz w:val="28"/>
          <w:szCs w:val="28"/>
          <w:lang w:val="en-US"/>
        </w:rPr>
        <w:t xml:space="preserve"> // World J. Gastrointest. Surg. – 2012. – Vol. 27, № 5. – </w:t>
      </w:r>
      <w:r w:rsidRPr="003307F1">
        <w:rPr>
          <w:rFonts w:ascii="Times New Roman" w:hAnsi="Times New Roman"/>
          <w:sz w:val="28"/>
          <w:szCs w:val="28"/>
        </w:rPr>
        <w:t>Р</w:t>
      </w:r>
      <w:r w:rsidRPr="003307F1">
        <w:rPr>
          <w:rFonts w:ascii="Times New Roman" w:hAnsi="Times New Roman"/>
          <w:sz w:val="28"/>
          <w:szCs w:val="28"/>
          <w:lang w:val="en-US"/>
        </w:rPr>
        <w:t xml:space="preserve">. </w:t>
      </w:r>
      <w:r>
        <w:rPr>
          <w:rFonts w:ascii="Times New Roman" w:hAnsi="Times New Roman"/>
          <w:sz w:val="28"/>
          <w:szCs w:val="28"/>
          <w:lang w:val="en-US"/>
        </w:rPr>
        <w:t>114</w:t>
      </w:r>
      <w:r>
        <w:rPr>
          <w:rFonts w:ascii="Times New Roman" w:hAnsi="Times New Roman"/>
          <w:sz w:val="28"/>
          <w:szCs w:val="28"/>
        </w:rPr>
        <w:t>-</w:t>
      </w:r>
      <w:r w:rsidRPr="003307F1">
        <w:rPr>
          <w:rFonts w:ascii="Times New Roman" w:hAnsi="Times New Roman"/>
          <w:sz w:val="28"/>
          <w:szCs w:val="28"/>
          <w:lang w:val="en-US"/>
        </w:rPr>
        <w:t>120.</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Arias J.I. Surgical inflammation: a pathoph</w:t>
      </w:r>
      <w:r w:rsidRPr="003307F1">
        <w:rPr>
          <w:rFonts w:ascii="Times New Roman" w:hAnsi="Times New Roman"/>
          <w:sz w:val="28"/>
          <w:szCs w:val="28"/>
          <w:lang w:val="en-US"/>
        </w:rPr>
        <w:t>y</w:t>
      </w:r>
      <w:r w:rsidRPr="003307F1">
        <w:rPr>
          <w:rFonts w:ascii="Times New Roman" w:hAnsi="Times New Roman"/>
          <w:sz w:val="28"/>
          <w:szCs w:val="28"/>
          <w:lang w:val="en-US"/>
        </w:rPr>
        <w:t>siological rainbow/ J.</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I. Arias, </w:t>
      </w:r>
      <w:r w:rsidRPr="00C62D22">
        <w:rPr>
          <w:rFonts w:ascii="Times New Roman" w:hAnsi="Times New Roman"/>
          <w:sz w:val="28"/>
          <w:szCs w:val="28"/>
          <w:lang w:val="en-US"/>
        </w:rPr>
        <w:t xml:space="preserve">                   </w:t>
      </w:r>
      <w:r w:rsidRPr="003307F1">
        <w:rPr>
          <w:rFonts w:ascii="Times New Roman" w:hAnsi="Times New Roman"/>
          <w:sz w:val="28"/>
          <w:szCs w:val="28"/>
          <w:lang w:val="en-US"/>
        </w:rPr>
        <w:t>M.</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A. Aller, J. Arias // J Transl Med. – 2009. – Vol.23, № 7. – P.19.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lastRenderedPageBreak/>
        <w:t>Asbun H. J. Laparoscopic approach to distal and subtotal pancreatectomy: a clockwise technique / H. J. Asbun, J. A. Stauffer //</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Surg. Endosc. </w:t>
      </w:r>
      <w:r w:rsidRPr="003307F1">
        <w:rPr>
          <w:rFonts w:ascii="Times New Roman" w:hAnsi="Times New Roman"/>
          <w:sz w:val="28"/>
          <w:szCs w:val="28"/>
        </w:rPr>
        <w:t>–</w:t>
      </w:r>
      <w:r w:rsidRPr="003307F1">
        <w:rPr>
          <w:rFonts w:ascii="Times New Roman" w:hAnsi="Times New Roman"/>
          <w:sz w:val="28"/>
          <w:szCs w:val="28"/>
          <w:lang w:val="en-US"/>
        </w:rPr>
        <w:t xml:space="preserve"> 2011. </w:t>
      </w:r>
      <w:r w:rsidRPr="003307F1">
        <w:rPr>
          <w:rFonts w:ascii="Times New Roman" w:hAnsi="Times New Roman"/>
          <w:sz w:val="28"/>
          <w:szCs w:val="28"/>
        </w:rPr>
        <w:t>–</w:t>
      </w:r>
      <w:r w:rsidRPr="003307F1">
        <w:rPr>
          <w:rFonts w:ascii="Times New Roman" w:hAnsi="Times New Roman"/>
          <w:sz w:val="28"/>
          <w:szCs w:val="28"/>
          <w:lang w:val="en-US"/>
        </w:rPr>
        <w:t xml:space="preserve"> Vol. 25. </w:t>
      </w:r>
      <w:r w:rsidRPr="003307F1">
        <w:rPr>
          <w:rFonts w:ascii="Times New Roman" w:hAnsi="Times New Roman"/>
          <w:sz w:val="28"/>
          <w:szCs w:val="28"/>
        </w:rPr>
        <w:t xml:space="preserve">– </w:t>
      </w:r>
      <w:r>
        <w:rPr>
          <w:rFonts w:ascii="Times New Roman" w:hAnsi="Times New Roman"/>
          <w:sz w:val="28"/>
          <w:szCs w:val="28"/>
          <w:lang w:val="en-US"/>
        </w:rPr>
        <w:t>P. 2643</w:t>
      </w:r>
      <w:r>
        <w:rPr>
          <w:rFonts w:ascii="Times New Roman" w:hAnsi="Times New Roman"/>
          <w:sz w:val="28"/>
          <w:szCs w:val="28"/>
        </w:rPr>
        <w:t>-</w:t>
      </w:r>
      <w:r w:rsidRPr="003307F1">
        <w:rPr>
          <w:rFonts w:ascii="Times New Roman" w:hAnsi="Times New Roman"/>
          <w:sz w:val="28"/>
          <w:szCs w:val="28"/>
          <w:lang w:val="en-US"/>
        </w:rPr>
        <w:t>2649.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Assessment of Frey procedure: Japanese experience / </w:t>
      </w:r>
      <w:smartTag w:uri="urn:schemas-microsoft-com:office:smarttags" w:element="place">
        <w:r w:rsidRPr="003307F1">
          <w:rPr>
            <w:rFonts w:ascii="Times New Roman" w:hAnsi="Times New Roman"/>
            <w:sz w:val="28"/>
            <w:szCs w:val="28"/>
            <w:lang w:val="fr-FR"/>
          </w:rPr>
          <w:t>S.</w:t>
        </w:r>
        <w:r w:rsidRPr="003307F1">
          <w:rPr>
            <w:rFonts w:ascii="Times New Roman" w:hAnsi="Times New Roman"/>
            <w:sz w:val="28"/>
            <w:szCs w:val="28"/>
            <w:lang w:val="en-US"/>
          </w:rPr>
          <w:t xml:space="preserve"> </w:t>
        </w:r>
        <w:r w:rsidRPr="003307F1">
          <w:rPr>
            <w:rFonts w:ascii="Times New Roman" w:hAnsi="Times New Roman"/>
            <w:sz w:val="28"/>
            <w:szCs w:val="28"/>
            <w:lang w:val="fr-FR"/>
          </w:rPr>
          <w:t>Egawa</w:t>
        </w:r>
      </w:smartTag>
      <w:r w:rsidRPr="003307F1">
        <w:rPr>
          <w:rFonts w:ascii="Times New Roman" w:hAnsi="Times New Roman"/>
          <w:sz w:val="28"/>
          <w:szCs w:val="28"/>
          <w:lang w:val="en-US"/>
        </w:rPr>
        <w:t xml:space="preserve">, </w:t>
      </w:r>
      <w:r w:rsidRPr="003307F1">
        <w:rPr>
          <w:rFonts w:ascii="Times New Roman" w:hAnsi="Times New Roman"/>
          <w:sz w:val="28"/>
          <w:szCs w:val="28"/>
        </w:rPr>
        <w:t>Е</w:t>
      </w:r>
      <w:r w:rsidRPr="003307F1">
        <w:rPr>
          <w:rFonts w:ascii="Times New Roman" w:hAnsi="Times New Roman"/>
          <w:sz w:val="28"/>
          <w:szCs w:val="28"/>
          <w:lang w:val="en-US"/>
        </w:rPr>
        <w:t xml:space="preserve">. </w:t>
      </w:r>
      <w:r w:rsidRPr="003307F1">
        <w:rPr>
          <w:rFonts w:ascii="Times New Roman" w:hAnsi="Times New Roman"/>
          <w:sz w:val="28"/>
          <w:szCs w:val="28"/>
          <w:lang w:val="fr-FR"/>
        </w:rPr>
        <w:t xml:space="preserve">Motoi, </w:t>
      </w:r>
      <w:r w:rsidRPr="00C62D22">
        <w:rPr>
          <w:rFonts w:ascii="Times New Roman" w:hAnsi="Times New Roman"/>
          <w:sz w:val="28"/>
          <w:szCs w:val="28"/>
          <w:lang w:val="en-US"/>
        </w:rPr>
        <w:t xml:space="preserve">              </w:t>
      </w:r>
      <w:r w:rsidRPr="003307F1">
        <w:rPr>
          <w:rFonts w:ascii="Times New Roman" w:hAnsi="Times New Roman"/>
          <w:sz w:val="28"/>
          <w:szCs w:val="28"/>
          <w:lang w:val="fr-FR"/>
        </w:rPr>
        <w:t>N</w:t>
      </w:r>
      <w:r w:rsidRPr="003307F1">
        <w:rPr>
          <w:rFonts w:ascii="Times New Roman" w:hAnsi="Times New Roman"/>
          <w:sz w:val="28"/>
          <w:szCs w:val="28"/>
          <w:lang w:val="en-US"/>
        </w:rPr>
        <w:t xml:space="preserve">. </w:t>
      </w:r>
      <w:r w:rsidRPr="003307F1">
        <w:rPr>
          <w:rFonts w:ascii="Times New Roman" w:hAnsi="Times New Roman"/>
          <w:sz w:val="28"/>
          <w:szCs w:val="28"/>
          <w:lang w:val="fr-FR"/>
        </w:rPr>
        <w:t>Sakata</w:t>
      </w:r>
      <w:r w:rsidRPr="003307F1">
        <w:rPr>
          <w:rFonts w:ascii="Times New Roman" w:hAnsi="Times New Roman"/>
          <w:sz w:val="28"/>
          <w:szCs w:val="28"/>
          <w:lang w:val="en-US"/>
        </w:rPr>
        <w:t xml:space="preserve"> [ </w:t>
      </w:r>
      <w:r w:rsidRPr="003307F1">
        <w:rPr>
          <w:rFonts w:ascii="Times New Roman" w:hAnsi="Times New Roman"/>
          <w:sz w:val="28"/>
          <w:szCs w:val="28"/>
          <w:lang w:val="fr-FR"/>
        </w:rPr>
        <w:t>et al.</w:t>
      </w:r>
      <w:r w:rsidRPr="003307F1">
        <w:rPr>
          <w:rFonts w:ascii="Times New Roman" w:hAnsi="Times New Roman"/>
          <w:sz w:val="28"/>
          <w:szCs w:val="28"/>
          <w:lang w:val="en-US"/>
        </w:rPr>
        <w:t xml:space="preserve"> </w:t>
      </w:r>
      <w:r w:rsidRPr="003307F1">
        <w:rPr>
          <w:rFonts w:ascii="Times New Roman" w:hAnsi="Times New Roman"/>
          <w:sz w:val="28"/>
          <w:szCs w:val="28"/>
          <w:lang w:val="fr-FR"/>
        </w:rPr>
        <w:t xml:space="preserve">] </w:t>
      </w:r>
      <w:r w:rsidRPr="003307F1">
        <w:rPr>
          <w:rFonts w:ascii="Times New Roman" w:hAnsi="Times New Roman"/>
          <w:sz w:val="28"/>
          <w:szCs w:val="28"/>
          <w:lang w:val="en-US"/>
        </w:rPr>
        <w:t>//J.Hepatobil. Pancreat. Surg. – 2010. – Vol. 17</w:t>
      </w:r>
      <w:r>
        <w:rPr>
          <w:rFonts w:ascii="Times New Roman" w:hAnsi="Times New Roman"/>
          <w:sz w:val="28"/>
          <w:szCs w:val="28"/>
          <w:lang w:val="en-US"/>
        </w:rPr>
        <w:t>, № 6. – P. 745</w:t>
      </w:r>
      <w:r>
        <w:rPr>
          <w:rFonts w:ascii="Times New Roman" w:hAnsi="Times New Roman"/>
          <w:sz w:val="28"/>
          <w:szCs w:val="28"/>
        </w:rPr>
        <w:t>-</w:t>
      </w:r>
      <w:r w:rsidRPr="003307F1">
        <w:rPr>
          <w:rFonts w:ascii="Times New Roman" w:hAnsi="Times New Roman"/>
          <w:sz w:val="28"/>
          <w:szCs w:val="28"/>
          <w:lang w:val="en-US"/>
        </w:rPr>
        <w:t>751.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iCs/>
          <w:sz w:val="28"/>
          <w:szCs w:val="28"/>
          <w:lang w:val="en-US"/>
        </w:rPr>
        <w:t xml:space="preserve">Basturk O. </w:t>
      </w:r>
      <w:r w:rsidRPr="003307F1">
        <w:rPr>
          <w:rFonts w:ascii="Times New Roman" w:hAnsi="Times New Roman"/>
          <w:sz w:val="28"/>
          <w:szCs w:val="28"/>
          <w:lang w:val="en-US"/>
        </w:rPr>
        <w:t>Pancreatic cysts: pathologic</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classification, differential diagnosis, and clinical implications / </w:t>
      </w:r>
      <w:r w:rsidRPr="003307F1">
        <w:rPr>
          <w:rFonts w:ascii="Times New Roman" w:hAnsi="Times New Roman"/>
          <w:sz w:val="28"/>
          <w:szCs w:val="28"/>
        </w:rPr>
        <w:t>О</w:t>
      </w:r>
      <w:r w:rsidRPr="003307F1">
        <w:rPr>
          <w:rFonts w:ascii="Times New Roman" w:hAnsi="Times New Roman"/>
          <w:sz w:val="28"/>
          <w:szCs w:val="28"/>
          <w:lang w:val="en-US"/>
        </w:rPr>
        <w:t xml:space="preserve">. </w:t>
      </w:r>
      <w:r w:rsidRPr="003307F1">
        <w:rPr>
          <w:rFonts w:ascii="Times New Roman" w:hAnsi="Times New Roman"/>
          <w:iCs/>
          <w:sz w:val="28"/>
          <w:szCs w:val="28"/>
          <w:lang w:val="en-US"/>
        </w:rPr>
        <w:t xml:space="preserve">Basturk, I. Coban, N. V. Adsay </w:t>
      </w:r>
      <w:r w:rsidRPr="003307F1">
        <w:rPr>
          <w:rFonts w:ascii="Times New Roman" w:hAnsi="Times New Roman"/>
          <w:sz w:val="28"/>
          <w:szCs w:val="28"/>
          <w:lang w:val="en-US"/>
        </w:rPr>
        <w:t>//</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Arch. Pathol. Lab. Med. – 2</w:t>
      </w:r>
      <w:r>
        <w:rPr>
          <w:rFonts w:ascii="Times New Roman" w:hAnsi="Times New Roman"/>
          <w:sz w:val="28"/>
          <w:szCs w:val="28"/>
          <w:lang w:val="en-US"/>
        </w:rPr>
        <w:t>009. – Vol. 133. – P. 423</w:t>
      </w:r>
      <w:r>
        <w:rPr>
          <w:rFonts w:ascii="Times New Roman" w:hAnsi="Times New Roman"/>
          <w:sz w:val="28"/>
          <w:szCs w:val="28"/>
        </w:rPr>
        <w:t>-</w:t>
      </w:r>
      <w:r w:rsidRPr="003307F1">
        <w:rPr>
          <w:rFonts w:ascii="Times New Roman" w:hAnsi="Times New Roman"/>
          <w:sz w:val="28"/>
          <w:szCs w:val="28"/>
          <w:lang w:val="en-US"/>
        </w:rPr>
        <w:t>438.</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Beger H. G. Diseases of the Pancreas / H. G. Beger, </w:t>
      </w:r>
      <w:smartTag w:uri="urn:schemas-microsoft-com:office:smarttags" w:element="place">
        <w:r w:rsidRPr="003307F1">
          <w:rPr>
            <w:rFonts w:ascii="Times New Roman" w:hAnsi="Times New Roman"/>
            <w:sz w:val="28"/>
            <w:szCs w:val="28"/>
            <w:lang w:val="en-US"/>
          </w:rPr>
          <w:t>S. Matsuno</w:t>
        </w:r>
      </w:smartTag>
      <w:r w:rsidRPr="003307F1">
        <w:rPr>
          <w:rFonts w:ascii="Times New Roman" w:hAnsi="Times New Roman"/>
          <w:sz w:val="28"/>
          <w:szCs w:val="28"/>
          <w:lang w:val="en-US"/>
        </w:rPr>
        <w:t>, J. L. Cameron // B.: Springer, 2008. – 905 p.</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Beger H. G.</w:t>
      </w:r>
      <w:r w:rsidRPr="00C62D22">
        <w:rPr>
          <w:rFonts w:ascii="Times New Roman" w:hAnsi="Times New Roman"/>
          <w:sz w:val="28"/>
          <w:szCs w:val="28"/>
          <w:lang w:val="en-US"/>
        </w:rPr>
        <w:t xml:space="preserve"> </w:t>
      </w:r>
      <w:r w:rsidRPr="003307F1">
        <w:rPr>
          <w:rFonts w:ascii="Times New Roman" w:hAnsi="Times New Roman"/>
          <w:sz w:val="28"/>
          <w:szCs w:val="28"/>
        </w:rPr>
        <w:t>Т</w:t>
      </w:r>
      <w:r w:rsidRPr="003307F1">
        <w:rPr>
          <w:rFonts w:ascii="Times New Roman" w:hAnsi="Times New Roman"/>
          <w:sz w:val="28"/>
          <w:szCs w:val="28"/>
          <w:lang w:val="en-US"/>
        </w:rPr>
        <w:t>he Pancreas</w:t>
      </w:r>
      <w:r w:rsidRPr="00C62D22">
        <w:rPr>
          <w:rFonts w:ascii="Times New Roman" w:hAnsi="Times New Roman"/>
          <w:sz w:val="28"/>
          <w:szCs w:val="28"/>
          <w:lang w:val="en-US"/>
        </w:rPr>
        <w:t xml:space="preserve"> / </w:t>
      </w:r>
      <w:r w:rsidRPr="003307F1">
        <w:rPr>
          <w:rFonts w:ascii="Times New Roman" w:hAnsi="Times New Roman"/>
          <w:sz w:val="28"/>
          <w:szCs w:val="28"/>
          <w:lang w:val="en-US"/>
        </w:rPr>
        <w:t xml:space="preserve">H. G. Beger, A. Warshaw, M. Buchler // </w:t>
      </w:r>
      <w:smartTag w:uri="urn:schemas-microsoft-com:office:smarttags" w:element="place">
        <w:smartTag w:uri="urn:schemas-microsoft-com:office:smarttags" w:element="City">
          <w:r w:rsidRPr="003307F1">
            <w:rPr>
              <w:rFonts w:ascii="Times New Roman" w:hAnsi="Times New Roman"/>
              <w:sz w:val="28"/>
              <w:szCs w:val="28"/>
              <w:lang w:val="en-US"/>
            </w:rPr>
            <w:t>Oxford</w:t>
          </w:r>
        </w:smartTag>
      </w:smartTag>
      <w:r w:rsidRPr="003307F1">
        <w:rPr>
          <w:rFonts w:ascii="Times New Roman" w:hAnsi="Times New Roman"/>
          <w:sz w:val="28"/>
          <w:szCs w:val="28"/>
          <w:lang w:val="en-US"/>
        </w:rPr>
        <w:t>: Black-well Science, 2009. – 1006 p.</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Beger and Frey procedures for treatment of chronic pancreatitis</w:t>
      </w:r>
      <w:r w:rsidRPr="003307F1">
        <w:rPr>
          <w:rFonts w:ascii="Times New Roman" w:eastAsia="TimesNewRoman" w:hAnsi="Times New Roman"/>
          <w:sz w:val="28"/>
          <w:szCs w:val="28"/>
          <w:lang w:val="en-US"/>
        </w:rPr>
        <w:t>: comparision of outcomes at 16</w:t>
      </w:r>
      <w:r w:rsidRPr="00C62D22">
        <w:rPr>
          <w:rFonts w:ascii="Times New Roman" w:hAnsi="Times New Roman"/>
          <w:sz w:val="28"/>
          <w:szCs w:val="28"/>
          <w:lang w:val="en-US"/>
        </w:rPr>
        <w:t>-</w:t>
      </w:r>
      <w:r>
        <w:rPr>
          <w:rFonts w:ascii="Times New Roman" w:eastAsia="TimesNewRoman" w:hAnsi="Times New Roman"/>
          <w:sz w:val="28"/>
          <w:szCs w:val="28"/>
          <w:lang w:val="en-US"/>
        </w:rPr>
        <w:t>year follow-</w:t>
      </w:r>
      <w:r w:rsidRPr="003307F1">
        <w:rPr>
          <w:rFonts w:ascii="Times New Roman" w:eastAsia="TimesNewRoman" w:hAnsi="Times New Roman"/>
          <w:sz w:val="28"/>
          <w:szCs w:val="28"/>
          <w:lang w:val="en-US"/>
        </w:rPr>
        <w:t>up / K. Bachmann, L. Tomkoetter, J. Erbes [et al. ] // Am. Coll. Surg.</w:t>
      </w:r>
      <w:r w:rsidRPr="003307F1">
        <w:rPr>
          <w:rFonts w:ascii="Times New Roman" w:hAnsi="Times New Roman"/>
          <w:sz w:val="28"/>
          <w:szCs w:val="28"/>
          <w:shd w:val="clear" w:color="auto" w:fill="FFFFFF"/>
        </w:rPr>
        <w:t xml:space="preserve"> –</w:t>
      </w:r>
      <w:r w:rsidRPr="003307F1">
        <w:rPr>
          <w:rFonts w:ascii="Times New Roman" w:hAnsi="Times New Roman"/>
          <w:sz w:val="28"/>
          <w:szCs w:val="28"/>
          <w:shd w:val="clear" w:color="auto" w:fill="FFFFFF"/>
          <w:lang w:val="en-US"/>
        </w:rPr>
        <w:t xml:space="preserve"> 2014. </w:t>
      </w:r>
      <w:r w:rsidRPr="003307F1">
        <w:rPr>
          <w:rFonts w:ascii="Times New Roman" w:hAnsi="Times New Roman"/>
          <w:sz w:val="28"/>
          <w:szCs w:val="28"/>
          <w:shd w:val="clear" w:color="auto" w:fill="FFFFFF"/>
        </w:rPr>
        <w:t>–</w:t>
      </w:r>
      <w:r w:rsidRPr="003307F1">
        <w:rPr>
          <w:rFonts w:ascii="Times New Roman" w:hAnsi="Times New Roman"/>
          <w:sz w:val="28"/>
          <w:szCs w:val="28"/>
          <w:shd w:val="clear" w:color="auto" w:fill="FFFFFF"/>
          <w:lang w:val="en-US"/>
        </w:rPr>
        <w:t xml:space="preserve"> Vol. 219, № 2. </w:t>
      </w:r>
      <w:r w:rsidRPr="003307F1">
        <w:rPr>
          <w:rFonts w:ascii="Times New Roman" w:hAnsi="Times New Roman"/>
          <w:sz w:val="28"/>
          <w:szCs w:val="28"/>
          <w:shd w:val="clear" w:color="auto" w:fill="FFFFFF"/>
        </w:rPr>
        <w:t>–</w:t>
      </w:r>
      <w:r w:rsidRPr="003307F1">
        <w:rPr>
          <w:rFonts w:ascii="Times New Roman" w:hAnsi="Times New Roman"/>
          <w:sz w:val="28"/>
          <w:szCs w:val="28"/>
          <w:shd w:val="clear" w:color="auto" w:fill="FFFFFF"/>
          <w:lang w:val="en-US"/>
        </w:rPr>
        <w:t xml:space="preserve"> P. 208</w:t>
      </w:r>
      <w:r>
        <w:rPr>
          <w:rFonts w:ascii="Times New Roman" w:hAnsi="Times New Roman"/>
          <w:sz w:val="28"/>
          <w:szCs w:val="28"/>
          <w:shd w:val="clear" w:color="auto" w:fill="FFFFFF"/>
        </w:rPr>
        <w:t>-</w:t>
      </w:r>
      <w:r w:rsidRPr="003307F1">
        <w:rPr>
          <w:rFonts w:ascii="Times New Roman" w:hAnsi="Times New Roman"/>
          <w:sz w:val="28"/>
          <w:szCs w:val="28"/>
          <w:shd w:val="clear" w:color="auto" w:fill="FFFFFF"/>
          <w:lang w:val="en-US"/>
        </w:rPr>
        <w:t>216.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hAnsi="Times New Roman"/>
          <w:sz w:val="28"/>
          <w:szCs w:val="28"/>
          <w:lang w:val="en-US"/>
        </w:rPr>
        <w:t>Binmoeller K. F. Endosonography</w:t>
      </w:r>
      <w:r w:rsidRPr="00C62D22">
        <w:rPr>
          <w:rFonts w:ascii="Times New Roman" w:hAnsi="Times New Roman"/>
          <w:sz w:val="28"/>
          <w:szCs w:val="28"/>
          <w:lang w:val="en-US"/>
        </w:rPr>
        <w:t>-</w:t>
      </w:r>
      <w:r w:rsidRPr="003307F1">
        <w:rPr>
          <w:rFonts w:ascii="Times New Roman" w:hAnsi="Times New Roman"/>
          <w:sz w:val="28"/>
          <w:szCs w:val="28"/>
          <w:lang w:val="en-US"/>
        </w:rPr>
        <w:t>guided transmural drainage of</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pancreati</w:t>
      </w:r>
      <w:r>
        <w:rPr>
          <w:rFonts w:ascii="Times New Roman" w:hAnsi="Times New Roman"/>
          <w:sz w:val="28"/>
          <w:szCs w:val="28"/>
          <w:lang w:val="en-US"/>
        </w:rPr>
        <w:t>c pseudocysts using an exchange</w:t>
      </w:r>
      <w:r w:rsidRPr="00C62D22">
        <w:rPr>
          <w:rFonts w:ascii="Times New Roman" w:hAnsi="Times New Roman"/>
          <w:sz w:val="28"/>
          <w:szCs w:val="28"/>
          <w:lang w:val="en-US"/>
        </w:rPr>
        <w:t>-</w:t>
      </w:r>
      <w:r w:rsidRPr="003307F1">
        <w:rPr>
          <w:rFonts w:ascii="Times New Roman" w:hAnsi="Times New Roman"/>
          <w:sz w:val="28"/>
          <w:szCs w:val="28"/>
          <w:lang w:val="en-US"/>
        </w:rPr>
        <w:t>free access device: initial</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clinical experience / </w:t>
      </w:r>
      <w:r w:rsidRPr="00C62D22">
        <w:rPr>
          <w:rFonts w:ascii="Times New Roman" w:hAnsi="Times New Roman"/>
          <w:sz w:val="28"/>
          <w:szCs w:val="28"/>
          <w:lang w:val="en-US"/>
        </w:rPr>
        <w:t xml:space="preserve">                      </w:t>
      </w:r>
      <w:r w:rsidRPr="003307F1">
        <w:rPr>
          <w:rFonts w:ascii="Times New Roman" w:hAnsi="Times New Roman"/>
          <w:sz w:val="28"/>
          <w:szCs w:val="28"/>
          <w:lang w:val="en-US"/>
        </w:rPr>
        <w:t>K. F. Binmoeller, F. Weilert, J. N. Shah //</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Surg. Endosc. – 2013. – Vol. 27, </w:t>
      </w:r>
      <w:r w:rsidRPr="003307F1">
        <w:rPr>
          <w:rFonts w:ascii="Times New Roman" w:hAnsi="Times New Roman"/>
          <w:sz w:val="28"/>
          <w:szCs w:val="28"/>
        </w:rPr>
        <w:t>№</w:t>
      </w:r>
      <w:r w:rsidRPr="003307F1">
        <w:rPr>
          <w:rFonts w:ascii="Times New Roman" w:hAnsi="Times New Roman"/>
          <w:sz w:val="28"/>
          <w:szCs w:val="28"/>
          <w:lang w:val="en-US"/>
        </w:rPr>
        <w:t xml:space="preserve"> 5. – P. 1835</w:t>
      </w:r>
      <w:r>
        <w:rPr>
          <w:rFonts w:ascii="Times New Roman" w:hAnsi="Times New Roman"/>
          <w:sz w:val="28"/>
          <w:szCs w:val="28"/>
        </w:rPr>
        <w:t>-</w:t>
      </w:r>
      <w:r w:rsidRPr="003307F1">
        <w:rPr>
          <w:rFonts w:ascii="Times New Roman" w:hAnsi="Times New Roman"/>
          <w:sz w:val="28"/>
          <w:szCs w:val="28"/>
          <w:lang w:val="en-US"/>
        </w:rPr>
        <w:t>1839.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Brosman M. Immunofluorescencne vysetrovanie formal-parafinovego material / </w:t>
      </w:r>
      <w:r w:rsidRPr="003307F1">
        <w:rPr>
          <w:rFonts w:ascii="Times New Roman" w:hAnsi="Times New Roman"/>
          <w:sz w:val="28"/>
          <w:szCs w:val="28"/>
        </w:rPr>
        <w:t>М</w:t>
      </w:r>
      <w:r w:rsidRPr="003307F1">
        <w:rPr>
          <w:rFonts w:ascii="Times New Roman" w:hAnsi="Times New Roman"/>
          <w:sz w:val="28"/>
          <w:szCs w:val="28"/>
          <w:lang w:val="en-US"/>
        </w:rPr>
        <w:t xml:space="preserve">. Brosman // </w:t>
      </w:r>
      <w:r w:rsidRPr="003307F1">
        <w:rPr>
          <w:rFonts w:ascii="Times New Roman" w:hAnsi="Times New Roman"/>
          <w:sz w:val="28"/>
          <w:szCs w:val="28"/>
        </w:rPr>
        <w:t>С</w:t>
      </w:r>
      <w:r w:rsidRPr="003307F1">
        <w:rPr>
          <w:rFonts w:ascii="Times New Roman" w:hAnsi="Times New Roman"/>
          <w:sz w:val="28"/>
          <w:szCs w:val="28"/>
          <w:lang w:val="en-US"/>
        </w:rPr>
        <w:t xml:space="preserve">s. Patol. – 1979. – Vol. 15, </w:t>
      </w:r>
      <w:r w:rsidRPr="003307F1">
        <w:rPr>
          <w:rFonts w:ascii="Times New Roman" w:hAnsi="Times New Roman"/>
          <w:sz w:val="28"/>
          <w:szCs w:val="28"/>
        </w:rPr>
        <w:t>№</w:t>
      </w:r>
      <w:r w:rsidRPr="003307F1">
        <w:rPr>
          <w:rFonts w:ascii="Times New Roman" w:hAnsi="Times New Roman"/>
          <w:sz w:val="28"/>
          <w:szCs w:val="28"/>
          <w:lang w:val="en-US"/>
        </w:rPr>
        <w:t xml:space="preserve"> 4. – </w:t>
      </w:r>
      <w:r w:rsidRPr="003307F1">
        <w:rPr>
          <w:rFonts w:ascii="Times New Roman" w:hAnsi="Times New Roman"/>
          <w:sz w:val="28"/>
          <w:szCs w:val="28"/>
        </w:rPr>
        <w:t>Р</w:t>
      </w:r>
      <w:r w:rsidRPr="003307F1">
        <w:rPr>
          <w:rFonts w:ascii="Times New Roman" w:hAnsi="Times New Roman"/>
          <w:sz w:val="28"/>
          <w:szCs w:val="28"/>
          <w:lang w:val="en-US"/>
        </w:rPr>
        <w:t xml:space="preserve">. </w:t>
      </w:r>
      <w:r>
        <w:rPr>
          <w:rFonts w:ascii="Times New Roman" w:hAnsi="Times New Roman"/>
          <w:sz w:val="28"/>
          <w:szCs w:val="28"/>
          <w:lang w:val="en-US"/>
        </w:rPr>
        <w:t>215</w:t>
      </w:r>
      <w:r>
        <w:rPr>
          <w:rFonts w:ascii="Times New Roman" w:hAnsi="Times New Roman"/>
          <w:sz w:val="28"/>
          <w:szCs w:val="28"/>
        </w:rPr>
        <w:t>-</w:t>
      </w:r>
      <w:r w:rsidRPr="003307F1">
        <w:rPr>
          <w:rFonts w:ascii="Times New Roman" w:hAnsi="Times New Roman"/>
          <w:sz w:val="28"/>
          <w:szCs w:val="28"/>
          <w:lang w:val="en-US"/>
        </w:rPr>
        <w:t>220.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Brun A. Fluid collections in and around the pancreas in acute pancreatitis / </w:t>
      </w:r>
      <w:r w:rsidRPr="00C62D22">
        <w:rPr>
          <w:rFonts w:ascii="Times New Roman" w:hAnsi="Times New Roman"/>
          <w:sz w:val="28"/>
          <w:szCs w:val="28"/>
          <w:lang w:val="en-US"/>
        </w:rPr>
        <w:t xml:space="preserve">               </w:t>
      </w:r>
      <w:r w:rsidRPr="003307F1">
        <w:rPr>
          <w:rFonts w:ascii="Times New Roman" w:hAnsi="Times New Roman"/>
          <w:sz w:val="28"/>
          <w:szCs w:val="28"/>
          <w:lang w:val="en-US"/>
        </w:rPr>
        <w:t>A. Brun, N. Agarwal, C. Pitchumoni // J. Clin.</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Gas</w:t>
      </w:r>
      <w:r w:rsidRPr="003307F1">
        <w:rPr>
          <w:rFonts w:ascii="Times New Roman" w:hAnsi="Times New Roman"/>
          <w:sz w:val="28"/>
          <w:szCs w:val="28"/>
        </w:rPr>
        <w:t xml:space="preserve">troenterol. </w:t>
      </w:r>
      <w:r w:rsidRPr="003307F1">
        <w:rPr>
          <w:rFonts w:ascii="Times New Roman" w:hAnsi="Times New Roman"/>
          <w:sz w:val="28"/>
          <w:szCs w:val="28"/>
          <w:lang w:val="en-US"/>
        </w:rPr>
        <w:t>–</w:t>
      </w:r>
      <w:r w:rsidRPr="003307F1">
        <w:rPr>
          <w:rFonts w:ascii="Times New Roman" w:hAnsi="Times New Roman"/>
          <w:sz w:val="28"/>
          <w:szCs w:val="28"/>
        </w:rPr>
        <w:t xml:space="preserve"> 2011. </w:t>
      </w:r>
      <w:r w:rsidRPr="003307F1">
        <w:rPr>
          <w:rFonts w:ascii="Times New Roman" w:hAnsi="Times New Roman"/>
          <w:sz w:val="28"/>
          <w:szCs w:val="28"/>
          <w:lang w:val="en-US"/>
        </w:rPr>
        <w:t>– Vol.</w:t>
      </w:r>
      <w:r w:rsidRPr="003307F1">
        <w:rPr>
          <w:rFonts w:ascii="Times New Roman" w:hAnsi="Times New Roman"/>
          <w:sz w:val="28"/>
          <w:szCs w:val="28"/>
        </w:rPr>
        <w:t xml:space="preserve"> 45. </w:t>
      </w:r>
      <w:r w:rsidRPr="003307F1">
        <w:rPr>
          <w:rFonts w:ascii="Times New Roman" w:hAnsi="Times New Roman"/>
          <w:sz w:val="28"/>
          <w:szCs w:val="28"/>
          <w:lang w:val="en-US"/>
        </w:rPr>
        <w:t>–</w:t>
      </w:r>
      <w:r>
        <w:rPr>
          <w:rFonts w:ascii="Times New Roman" w:hAnsi="Times New Roman"/>
          <w:sz w:val="28"/>
          <w:szCs w:val="28"/>
        </w:rPr>
        <w:t xml:space="preserve"> Р. 614-</w:t>
      </w:r>
      <w:r w:rsidRPr="003307F1">
        <w:rPr>
          <w:rFonts w:ascii="Times New Roman" w:hAnsi="Times New Roman"/>
          <w:sz w:val="28"/>
          <w:szCs w:val="28"/>
        </w:rPr>
        <w:t>625.</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Cannon J. W. “Diagnosis and management of pancreatic pseudocysts: what is the evidence?” / J. W. Cannon, M. P. Callery, C. M. Vollmer Jr. // Journal of the </w:t>
      </w:r>
      <w:smartTag w:uri="urn:schemas-microsoft-com:office:smarttags" w:element="place">
        <w:smartTag w:uri="urn:schemas-microsoft-com:office:smarttags" w:element="PlaceName">
          <w:r w:rsidRPr="003307F1">
            <w:rPr>
              <w:rFonts w:ascii="Times New Roman" w:hAnsi="Times New Roman"/>
              <w:sz w:val="28"/>
              <w:szCs w:val="28"/>
              <w:lang w:val="en-US"/>
            </w:rPr>
            <w:t>American</w:t>
          </w:r>
        </w:smartTag>
        <w:r w:rsidRPr="003307F1">
          <w:rPr>
            <w:rFonts w:ascii="Times New Roman" w:hAnsi="Times New Roman"/>
            <w:sz w:val="28"/>
            <w:szCs w:val="28"/>
            <w:lang w:val="en-US"/>
          </w:rPr>
          <w:t xml:space="preserve"> </w:t>
        </w:r>
        <w:smartTag w:uri="urn:schemas-microsoft-com:office:smarttags" w:element="PlaceType">
          <w:r w:rsidRPr="003307F1">
            <w:rPr>
              <w:rFonts w:ascii="Times New Roman" w:hAnsi="Times New Roman"/>
              <w:sz w:val="28"/>
              <w:szCs w:val="28"/>
              <w:lang w:val="en-US"/>
            </w:rPr>
            <w:t>College</w:t>
          </w:r>
        </w:smartTag>
      </w:smartTag>
      <w:r w:rsidRPr="003307F1">
        <w:rPr>
          <w:rFonts w:ascii="Times New Roman" w:hAnsi="Times New Roman"/>
          <w:sz w:val="28"/>
          <w:szCs w:val="28"/>
          <w:lang w:val="en-US"/>
        </w:rPr>
        <w:t xml:space="preserve"> of Surgeons. </w:t>
      </w:r>
      <w:r w:rsidRPr="00C62D22">
        <w:rPr>
          <w:rFonts w:ascii="Times New Roman" w:hAnsi="Times New Roman"/>
          <w:sz w:val="28"/>
          <w:szCs w:val="28"/>
          <w:lang w:val="en-US"/>
        </w:rPr>
        <w:t xml:space="preserve">– 2009. – </w:t>
      </w:r>
      <w:r w:rsidRPr="003307F1">
        <w:rPr>
          <w:rFonts w:ascii="Times New Roman" w:hAnsi="Times New Roman"/>
          <w:sz w:val="28"/>
          <w:szCs w:val="28"/>
          <w:lang w:val="en-US"/>
        </w:rPr>
        <w:t xml:space="preserve">Vol. 209, № 3. </w:t>
      </w:r>
      <w:r w:rsidRPr="00C62D22">
        <w:rPr>
          <w:rFonts w:ascii="Times New Roman" w:hAnsi="Times New Roman"/>
          <w:sz w:val="28"/>
          <w:szCs w:val="28"/>
          <w:lang w:val="en-US"/>
        </w:rPr>
        <w:t xml:space="preserve">– </w:t>
      </w:r>
      <w:r w:rsidRPr="003307F1">
        <w:rPr>
          <w:rFonts w:ascii="Times New Roman" w:hAnsi="Times New Roman"/>
          <w:sz w:val="28"/>
          <w:szCs w:val="28"/>
        </w:rPr>
        <w:t>Р</w:t>
      </w:r>
      <w:r w:rsidRPr="00C62D22">
        <w:rPr>
          <w:rFonts w:ascii="Times New Roman" w:hAnsi="Times New Roman"/>
          <w:sz w:val="28"/>
          <w:szCs w:val="28"/>
          <w:lang w:val="en-US"/>
        </w:rPr>
        <w:t>.</w:t>
      </w:r>
      <w:r>
        <w:rPr>
          <w:rFonts w:ascii="Times New Roman" w:hAnsi="Times New Roman"/>
          <w:sz w:val="28"/>
          <w:szCs w:val="28"/>
          <w:lang w:val="en-US"/>
        </w:rPr>
        <w:t xml:space="preserve"> 385</w:t>
      </w:r>
      <w:r w:rsidRPr="00C62D22">
        <w:rPr>
          <w:rFonts w:ascii="Times New Roman" w:hAnsi="Times New Roman"/>
          <w:sz w:val="28"/>
          <w:szCs w:val="28"/>
          <w:lang w:val="en-US"/>
        </w:rPr>
        <w:t>-</w:t>
      </w:r>
      <w:r w:rsidRPr="003307F1">
        <w:rPr>
          <w:rFonts w:ascii="Times New Roman" w:hAnsi="Times New Roman"/>
          <w:sz w:val="28"/>
          <w:szCs w:val="28"/>
          <w:lang w:val="en-US"/>
        </w:rPr>
        <w:t>393.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Ceppa E.P. Modified Puestow lateral pancreaticojejunostomy </w:t>
      </w:r>
      <w:r w:rsidRPr="00C62D22">
        <w:rPr>
          <w:rFonts w:ascii="Times New Roman" w:hAnsi="Times New Roman"/>
          <w:sz w:val="28"/>
          <w:szCs w:val="28"/>
          <w:lang w:val="en-US"/>
        </w:rPr>
        <w:t xml:space="preserve">/ </w:t>
      </w:r>
      <w:r w:rsidRPr="003307F1">
        <w:rPr>
          <w:rFonts w:ascii="Times New Roman" w:hAnsi="Times New Roman"/>
          <w:sz w:val="28"/>
          <w:szCs w:val="28"/>
          <w:lang w:val="en-US"/>
        </w:rPr>
        <w:t>E. P. Ceppa</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T. N. Pappas //J. Gastrointest. Surg. </w:t>
      </w:r>
      <w:r w:rsidRPr="003307F1">
        <w:rPr>
          <w:rFonts w:ascii="Times New Roman" w:hAnsi="Times New Roman"/>
          <w:sz w:val="28"/>
          <w:szCs w:val="28"/>
        </w:rPr>
        <w:t>–</w:t>
      </w:r>
      <w:r w:rsidRPr="003307F1">
        <w:rPr>
          <w:rFonts w:ascii="Times New Roman" w:hAnsi="Times New Roman"/>
          <w:sz w:val="28"/>
          <w:szCs w:val="28"/>
          <w:lang w:val="en-US"/>
        </w:rPr>
        <w:t xml:space="preserve"> 2009. </w:t>
      </w:r>
      <w:r w:rsidRPr="003307F1">
        <w:rPr>
          <w:rFonts w:ascii="Times New Roman" w:hAnsi="Times New Roman"/>
          <w:sz w:val="28"/>
          <w:szCs w:val="28"/>
        </w:rPr>
        <w:t>–</w:t>
      </w:r>
      <w:r w:rsidRPr="003307F1">
        <w:rPr>
          <w:rFonts w:ascii="Times New Roman" w:hAnsi="Times New Roman"/>
          <w:sz w:val="28"/>
          <w:szCs w:val="28"/>
          <w:lang w:val="en-US"/>
        </w:rPr>
        <w:t xml:space="preserve"> Vol</w:t>
      </w:r>
      <w:r w:rsidRPr="003307F1">
        <w:rPr>
          <w:rFonts w:ascii="Times New Roman" w:hAnsi="Times New Roman"/>
          <w:sz w:val="28"/>
          <w:szCs w:val="28"/>
        </w:rPr>
        <w:t>.</w:t>
      </w:r>
      <w:r w:rsidRPr="003307F1">
        <w:rPr>
          <w:rFonts w:ascii="Times New Roman" w:hAnsi="Times New Roman"/>
          <w:sz w:val="28"/>
          <w:szCs w:val="28"/>
          <w:lang w:val="en-US"/>
        </w:rPr>
        <w:t xml:space="preserve"> 13</w:t>
      </w:r>
      <w:r w:rsidRPr="003307F1">
        <w:rPr>
          <w:rFonts w:ascii="Times New Roman" w:hAnsi="Times New Roman"/>
          <w:sz w:val="28"/>
          <w:szCs w:val="28"/>
        </w:rPr>
        <w:t xml:space="preserve">, № </w:t>
      </w:r>
      <w:r w:rsidRPr="003307F1">
        <w:rPr>
          <w:rFonts w:ascii="Times New Roman" w:hAnsi="Times New Roman"/>
          <w:sz w:val="28"/>
          <w:szCs w:val="28"/>
          <w:lang w:val="en-US"/>
        </w:rPr>
        <w:t xml:space="preserve">5. </w:t>
      </w:r>
      <w:r w:rsidRPr="003307F1">
        <w:rPr>
          <w:rFonts w:ascii="Times New Roman" w:hAnsi="Times New Roman"/>
          <w:sz w:val="28"/>
          <w:szCs w:val="28"/>
        </w:rPr>
        <w:t>–</w:t>
      </w:r>
      <w:r w:rsidRPr="003307F1">
        <w:rPr>
          <w:rFonts w:ascii="Times New Roman" w:hAnsi="Times New Roman"/>
          <w:sz w:val="28"/>
          <w:szCs w:val="28"/>
          <w:lang w:val="en-US"/>
        </w:rPr>
        <w:t xml:space="preserve"> P. 1004</w:t>
      </w:r>
      <w:r>
        <w:rPr>
          <w:rFonts w:ascii="Times New Roman" w:hAnsi="Times New Roman"/>
          <w:sz w:val="28"/>
          <w:szCs w:val="28"/>
        </w:rPr>
        <w:t>-</w:t>
      </w:r>
      <w:r w:rsidRPr="003307F1">
        <w:rPr>
          <w:rFonts w:ascii="Times New Roman" w:hAnsi="Times New Roman"/>
          <w:sz w:val="28"/>
          <w:szCs w:val="28"/>
          <w:lang w:val="en-US"/>
        </w:rPr>
        <w:t>1008.</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lastRenderedPageBreak/>
        <w:t xml:space="preserve">Chronic pancreatitis / J. M. Braganza, S. H. Lee, R. F McCloy, M. J. McMahon // Lancet. – 2011. – Vol. 377, № 9772. – </w:t>
      </w:r>
      <w:r w:rsidRPr="003307F1">
        <w:rPr>
          <w:rFonts w:ascii="Times New Roman" w:hAnsi="Times New Roman"/>
          <w:sz w:val="28"/>
          <w:szCs w:val="28"/>
        </w:rPr>
        <w:t>Р</w:t>
      </w:r>
      <w:r w:rsidRPr="003307F1">
        <w:rPr>
          <w:rFonts w:ascii="Times New Roman" w:hAnsi="Times New Roman"/>
          <w:sz w:val="28"/>
          <w:szCs w:val="28"/>
          <w:lang w:val="en-US"/>
        </w:rPr>
        <w:t>. 1184</w:t>
      </w:r>
      <w:r w:rsidRPr="00C62D22">
        <w:rPr>
          <w:rFonts w:ascii="Times New Roman" w:hAnsi="Times New Roman"/>
          <w:sz w:val="28"/>
          <w:szCs w:val="28"/>
          <w:lang w:val="en-US"/>
        </w:rPr>
        <w:t>-</w:t>
      </w:r>
      <w:r w:rsidRPr="003307F1">
        <w:rPr>
          <w:rFonts w:ascii="Times New Roman" w:hAnsi="Times New Roman"/>
          <w:sz w:val="28"/>
          <w:szCs w:val="28"/>
          <w:lang w:val="en-US"/>
        </w:rPr>
        <w:t>1197.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Chronic pancreatitis</w:t>
      </w:r>
      <w:r w:rsidRPr="003307F1">
        <w:rPr>
          <w:rFonts w:ascii="Times New Roman" w:eastAsia="TimesNewRoman" w:hAnsi="Times New Roman"/>
          <w:sz w:val="28"/>
          <w:szCs w:val="28"/>
          <w:lang w:val="en-US"/>
        </w:rPr>
        <w:t xml:space="preserve">: A surgical disease? Role of the Frey procedure / A. Roch, J. Teyssedou, D. Mutter </w:t>
      </w:r>
      <w:r w:rsidRPr="003307F1">
        <w:rPr>
          <w:rFonts w:ascii="Times New Roman" w:hAnsi="Times New Roman"/>
          <w:sz w:val="28"/>
          <w:szCs w:val="28"/>
          <w:lang w:val="en-US"/>
        </w:rPr>
        <w:t xml:space="preserve">[et al.] // World J. Gastrointest. Surg. – </w:t>
      </w:r>
      <w:r>
        <w:rPr>
          <w:rFonts w:ascii="Times New Roman" w:hAnsi="Times New Roman"/>
          <w:sz w:val="28"/>
          <w:szCs w:val="28"/>
          <w:lang w:val="en-US"/>
        </w:rPr>
        <w:t>2014. – Vol. 6, № 7. – P. 129</w:t>
      </w:r>
      <w:r>
        <w:rPr>
          <w:rFonts w:ascii="Times New Roman" w:hAnsi="Times New Roman"/>
          <w:sz w:val="28"/>
          <w:szCs w:val="28"/>
        </w:rPr>
        <w:t>-</w:t>
      </w:r>
      <w:r w:rsidRPr="003307F1">
        <w:rPr>
          <w:rFonts w:ascii="Times New Roman" w:hAnsi="Times New Roman"/>
          <w:sz w:val="28"/>
          <w:szCs w:val="28"/>
          <w:lang w:val="en-US"/>
        </w:rPr>
        <w:t>135.</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Pr>
          <w:rFonts w:ascii="Times New Roman" w:hAnsi="Times New Roman"/>
          <w:sz w:val="28"/>
          <w:szCs w:val="28"/>
          <w:lang w:val="en-US"/>
        </w:rPr>
        <w:t>ChroPac–trial: duodenum</w:t>
      </w:r>
      <w:r w:rsidRPr="00C62D22">
        <w:rPr>
          <w:rFonts w:ascii="Times New Roman" w:hAnsi="Times New Roman"/>
          <w:sz w:val="28"/>
          <w:szCs w:val="28"/>
          <w:lang w:val="en-US"/>
        </w:rPr>
        <w:t>-</w:t>
      </w:r>
      <w:r w:rsidRPr="003307F1">
        <w:rPr>
          <w:rFonts w:ascii="Times New Roman" w:hAnsi="Times New Roman"/>
          <w:sz w:val="28"/>
          <w:szCs w:val="28"/>
          <w:lang w:val="en-US"/>
        </w:rPr>
        <w:t>preserving pancreatic head resection</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versus pancreatoduodenectomy for chronic pancreatitis. Trial</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protocol of a randomized controlled multicentre trial / M. K.</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Diener, T. Bruckner, P. Contin [et al.]. – Trials. – 2010. –</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Vol. 11. – P. 47.</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Clinicopathological features and prognosis of mutinous cystic neoplasm with ovarian-type stroma: a multi-institutional study of the Japan Pancreas Society / </w:t>
      </w:r>
      <w:r w:rsidRPr="003307F1">
        <w:rPr>
          <w:rFonts w:ascii="Times New Roman" w:hAnsi="Times New Roman"/>
          <w:sz w:val="28"/>
          <w:szCs w:val="28"/>
        </w:rPr>
        <w:t>К</w:t>
      </w:r>
      <w:r w:rsidRPr="003307F1">
        <w:rPr>
          <w:rFonts w:ascii="Times New Roman" w:hAnsi="Times New Roman"/>
          <w:sz w:val="28"/>
          <w:szCs w:val="28"/>
          <w:lang w:val="en-US"/>
        </w:rPr>
        <w:t xml:space="preserve">. </w:t>
      </w:r>
      <w:r w:rsidRPr="003307F1">
        <w:rPr>
          <w:rFonts w:ascii="Times New Roman" w:hAnsi="Times New Roman"/>
          <w:sz w:val="28"/>
          <w:szCs w:val="28"/>
          <w:lang w:val="fr-FR"/>
        </w:rPr>
        <w:t xml:space="preserve">Yamao, </w:t>
      </w:r>
      <w:r w:rsidRPr="003307F1">
        <w:rPr>
          <w:rFonts w:ascii="Times New Roman" w:hAnsi="Times New Roman"/>
          <w:sz w:val="28"/>
          <w:szCs w:val="28"/>
        </w:rPr>
        <w:t>А</w:t>
      </w:r>
      <w:r w:rsidRPr="003307F1">
        <w:rPr>
          <w:rFonts w:ascii="Times New Roman" w:hAnsi="Times New Roman"/>
          <w:sz w:val="28"/>
          <w:szCs w:val="28"/>
          <w:lang w:val="en-US"/>
        </w:rPr>
        <w:t xml:space="preserve">. </w:t>
      </w:r>
      <w:r w:rsidRPr="003307F1">
        <w:rPr>
          <w:rFonts w:ascii="Times New Roman" w:hAnsi="Times New Roman"/>
          <w:sz w:val="28"/>
          <w:szCs w:val="28"/>
          <w:lang w:val="fr-FR"/>
        </w:rPr>
        <w:t xml:space="preserve">Yanagisawa, </w:t>
      </w:r>
      <w:r w:rsidRPr="003307F1">
        <w:rPr>
          <w:rFonts w:ascii="Times New Roman" w:hAnsi="Times New Roman"/>
          <w:sz w:val="28"/>
          <w:szCs w:val="28"/>
        </w:rPr>
        <w:t>К</w:t>
      </w:r>
      <w:r w:rsidRPr="003307F1">
        <w:rPr>
          <w:rFonts w:ascii="Times New Roman" w:hAnsi="Times New Roman"/>
          <w:sz w:val="28"/>
          <w:szCs w:val="28"/>
          <w:lang w:val="en-US"/>
        </w:rPr>
        <w:t xml:space="preserve">. </w:t>
      </w:r>
      <w:r w:rsidRPr="003307F1">
        <w:rPr>
          <w:rFonts w:ascii="Times New Roman" w:hAnsi="Times New Roman"/>
          <w:sz w:val="28"/>
          <w:szCs w:val="28"/>
          <w:lang w:val="fr-FR"/>
        </w:rPr>
        <w:t>Takahashi</w:t>
      </w:r>
      <w:r w:rsidRPr="003307F1">
        <w:rPr>
          <w:rFonts w:ascii="Times New Roman" w:hAnsi="Times New Roman"/>
          <w:sz w:val="28"/>
          <w:szCs w:val="28"/>
          <w:lang w:val="en-US"/>
        </w:rPr>
        <w:t xml:space="preserve"> [ </w:t>
      </w:r>
      <w:r w:rsidRPr="003307F1">
        <w:rPr>
          <w:rFonts w:ascii="Times New Roman" w:hAnsi="Times New Roman"/>
          <w:sz w:val="28"/>
          <w:szCs w:val="28"/>
          <w:lang w:val="fr-FR"/>
        </w:rPr>
        <w:t>et al. ]</w:t>
      </w:r>
      <w:r w:rsidRPr="003307F1">
        <w:rPr>
          <w:rFonts w:ascii="Times New Roman" w:hAnsi="Times New Roman"/>
          <w:sz w:val="28"/>
          <w:szCs w:val="28"/>
          <w:lang w:val="en-US"/>
        </w:rPr>
        <w:t xml:space="preserve"> // Pancreas. – </w:t>
      </w:r>
      <w:r>
        <w:rPr>
          <w:rFonts w:ascii="Times New Roman" w:hAnsi="Times New Roman"/>
          <w:sz w:val="28"/>
          <w:szCs w:val="28"/>
          <w:lang w:val="en-US"/>
        </w:rPr>
        <w:t>2011. – Vol. 40, № 1. – P. 67</w:t>
      </w:r>
      <w:r w:rsidRPr="00C62D22">
        <w:rPr>
          <w:rFonts w:ascii="Times New Roman" w:hAnsi="Times New Roman"/>
          <w:sz w:val="28"/>
          <w:szCs w:val="28"/>
          <w:lang w:val="en-US"/>
        </w:rPr>
        <w:t>-</w:t>
      </w:r>
      <w:r w:rsidRPr="003307F1">
        <w:rPr>
          <w:rFonts w:ascii="Times New Roman" w:hAnsi="Times New Roman"/>
          <w:sz w:val="28"/>
          <w:szCs w:val="28"/>
          <w:lang w:val="en-US"/>
        </w:rPr>
        <w:t>71.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Comparative study of laparoscopic and open distal pancreatectomy</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M. Y. Aly, K. Tsutsumi, M. Nakamura [ et al. ] // J. Laparoendosc. Adv. Surg. Tech. A. – 2010. – Vol. 20, № 5. – P. 435</w:t>
      </w:r>
      <w:r>
        <w:rPr>
          <w:rFonts w:ascii="Times New Roman" w:hAnsi="Times New Roman"/>
          <w:sz w:val="28"/>
          <w:szCs w:val="28"/>
        </w:rPr>
        <w:t>-</w:t>
      </w:r>
      <w:r w:rsidRPr="003307F1">
        <w:rPr>
          <w:rFonts w:ascii="Times New Roman" w:hAnsi="Times New Roman"/>
          <w:sz w:val="28"/>
          <w:szCs w:val="28"/>
          <w:lang w:val="en-US"/>
        </w:rPr>
        <w:t>440.</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CT-guided percutaneous catheter drainage of acute necrotizing</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pancreatitis: clinical experience and observations in patients with</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sterile and infected necrosis / </w:t>
      </w:r>
      <w:r w:rsidRPr="00C62D22">
        <w:rPr>
          <w:rFonts w:ascii="Times New Roman" w:hAnsi="Times New Roman"/>
          <w:sz w:val="28"/>
          <w:szCs w:val="28"/>
          <w:lang w:val="en-US"/>
        </w:rPr>
        <w:t xml:space="preserve">                 </w:t>
      </w:r>
      <w:r w:rsidRPr="003307F1">
        <w:rPr>
          <w:rFonts w:ascii="Times New Roman" w:hAnsi="Times New Roman"/>
          <w:sz w:val="28"/>
          <w:szCs w:val="28"/>
          <w:lang w:val="en-US"/>
        </w:rPr>
        <w:t>K. J. Mortele, J. Girshman, D. Szejnfeld</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et al. ] // Am. J. Roentgenol. – 2009. – Vol. 192, № l. – P. 110</w:t>
      </w:r>
      <w:r w:rsidRPr="00C62D22">
        <w:rPr>
          <w:rFonts w:ascii="Times New Roman" w:hAnsi="Times New Roman"/>
          <w:sz w:val="28"/>
          <w:szCs w:val="28"/>
          <w:lang w:val="en-US"/>
        </w:rPr>
        <w:t>-</w:t>
      </w:r>
      <w:r w:rsidRPr="003307F1">
        <w:rPr>
          <w:rFonts w:ascii="Times New Roman" w:hAnsi="Times New Roman"/>
          <w:sz w:val="28"/>
          <w:szCs w:val="28"/>
          <w:lang w:val="en-US"/>
        </w:rPr>
        <w:t>116.</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Cystic pancreatic endocrine tumors: an endoscopic ultrasound-guided fine-needle aspiration biopsy study with histologic correlation / </w:t>
      </w:r>
      <w:smartTag w:uri="urn:schemas-microsoft-com:office:smarttags" w:element="place">
        <w:r w:rsidRPr="003307F1">
          <w:rPr>
            <w:rFonts w:ascii="Times New Roman" w:hAnsi="Times New Roman"/>
            <w:sz w:val="28"/>
            <w:szCs w:val="28"/>
            <w:lang w:val="fr-FR"/>
          </w:rPr>
          <w:t>S</w:t>
        </w:r>
        <w:r w:rsidRPr="003307F1">
          <w:rPr>
            <w:rFonts w:ascii="Times New Roman" w:hAnsi="Times New Roman"/>
            <w:sz w:val="28"/>
            <w:szCs w:val="28"/>
            <w:lang w:val="en-US"/>
          </w:rPr>
          <w:t xml:space="preserve">. </w:t>
        </w:r>
        <w:r w:rsidRPr="003307F1">
          <w:rPr>
            <w:rFonts w:ascii="Times New Roman" w:hAnsi="Times New Roman"/>
            <w:sz w:val="28"/>
            <w:szCs w:val="28"/>
            <w:lang w:val="fr-FR"/>
          </w:rPr>
          <w:t>Charfi</w:t>
        </w:r>
      </w:smartTag>
      <w:r w:rsidRPr="003307F1">
        <w:rPr>
          <w:rFonts w:ascii="Times New Roman" w:hAnsi="Times New Roman"/>
          <w:sz w:val="28"/>
          <w:szCs w:val="28"/>
          <w:lang w:val="fr-FR"/>
        </w:rPr>
        <w:t>,</w:t>
      </w:r>
      <w:r w:rsidRPr="003307F1">
        <w:rPr>
          <w:rFonts w:ascii="Times New Roman" w:hAnsi="Times New Roman"/>
          <w:sz w:val="28"/>
          <w:szCs w:val="28"/>
          <w:lang w:val="en-US"/>
        </w:rPr>
        <w:t xml:space="preserve"> </w:t>
      </w:r>
      <w:r w:rsidRPr="003307F1">
        <w:rPr>
          <w:rFonts w:ascii="Times New Roman" w:hAnsi="Times New Roman"/>
          <w:sz w:val="28"/>
          <w:szCs w:val="28"/>
        </w:rPr>
        <w:t>М</w:t>
      </w:r>
      <w:r w:rsidRPr="003307F1">
        <w:rPr>
          <w:rFonts w:ascii="Times New Roman" w:hAnsi="Times New Roman"/>
          <w:sz w:val="28"/>
          <w:szCs w:val="28"/>
          <w:lang w:val="en-US"/>
        </w:rPr>
        <w:t>.</w:t>
      </w:r>
      <w:r w:rsidRPr="003307F1">
        <w:rPr>
          <w:rFonts w:ascii="Times New Roman" w:hAnsi="Times New Roman"/>
          <w:sz w:val="28"/>
          <w:szCs w:val="28"/>
          <w:lang w:val="fr-FR"/>
        </w:rPr>
        <w:t xml:space="preserve"> Marcy, </w:t>
      </w:r>
      <w:r w:rsidRPr="003307F1">
        <w:rPr>
          <w:rFonts w:ascii="Times New Roman" w:hAnsi="Times New Roman"/>
          <w:sz w:val="28"/>
          <w:szCs w:val="28"/>
        </w:rPr>
        <w:t>Е</w:t>
      </w:r>
      <w:r w:rsidRPr="003307F1">
        <w:rPr>
          <w:rFonts w:ascii="Times New Roman" w:hAnsi="Times New Roman"/>
          <w:sz w:val="28"/>
          <w:szCs w:val="28"/>
          <w:lang w:val="en-US"/>
        </w:rPr>
        <w:t xml:space="preserve">. </w:t>
      </w:r>
      <w:r w:rsidRPr="003307F1">
        <w:rPr>
          <w:rFonts w:ascii="Times New Roman" w:hAnsi="Times New Roman"/>
          <w:sz w:val="28"/>
          <w:szCs w:val="28"/>
          <w:lang w:val="fr-FR"/>
        </w:rPr>
        <w:t>Bories</w:t>
      </w:r>
      <w:r w:rsidRPr="003307F1">
        <w:rPr>
          <w:rFonts w:ascii="Times New Roman" w:hAnsi="Times New Roman"/>
          <w:sz w:val="28"/>
          <w:szCs w:val="28"/>
          <w:lang w:val="en-US"/>
        </w:rPr>
        <w:t xml:space="preserve"> [ </w:t>
      </w:r>
      <w:r w:rsidRPr="003307F1">
        <w:rPr>
          <w:rFonts w:ascii="Times New Roman" w:hAnsi="Times New Roman"/>
          <w:sz w:val="28"/>
          <w:szCs w:val="28"/>
          <w:lang w:val="fr-FR"/>
        </w:rPr>
        <w:t>et al</w:t>
      </w:r>
      <w:r w:rsidRPr="003307F1">
        <w:rPr>
          <w:rFonts w:ascii="Times New Roman" w:hAnsi="Times New Roman"/>
          <w:sz w:val="28"/>
          <w:szCs w:val="28"/>
          <w:lang w:val="en-US"/>
        </w:rPr>
        <w:t>. ] // Cancer Citopathol.</w:t>
      </w:r>
      <w:r>
        <w:rPr>
          <w:rFonts w:ascii="Times New Roman" w:hAnsi="Times New Roman"/>
          <w:sz w:val="28"/>
          <w:szCs w:val="28"/>
          <w:lang w:val="en-US"/>
        </w:rPr>
        <w:t xml:space="preserve"> – 2009. – Vol. 117. – P. 203</w:t>
      </w:r>
      <w:r w:rsidRPr="00C62D22">
        <w:rPr>
          <w:rFonts w:ascii="Times New Roman" w:hAnsi="Times New Roman"/>
          <w:sz w:val="28"/>
          <w:szCs w:val="28"/>
          <w:lang w:val="en-US"/>
        </w:rPr>
        <w:t>-</w:t>
      </w:r>
      <w:r w:rsidRPr="003307F1">
        <w:rPr>
          <w:rFonts w:ascii="Times New Roman" w:hAnsi="Times New Roman"/>
          <w:sz w:val="28"/>
          <w:szCs w:val="28"/>
          <w:lang w:val="en-US"/>
        </w:rPr>
        <w:t>210.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Cystogastrostomy using the novel single incision laparoscopy with flexible tip laparoscope / L. Rami, J. Brahm, R. Michael</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 et al</w:t>
      </w:r>
      <w:r w:rsidRPr="00C62D22">
        <w:rPr>
          <w:rFonts w:ascii="Times New Roman" w:hAnsi="Times New Roman"/>
          <w:sz w:val="28"/>
          <w:szCs w:val="28"/>
          <w:lang w:val="en-US"/>
        </w:rPr>
        <w:t>. ]</w:t>
      </w:r>
      <w:r w:rsidRPr="003307F1">
        <w:rPr>
          <w:rFonts w:ascii="Times New Roman" w:hAnsi="Times New Roman"/>
          <w:sz w:val="28"/>
          <w:szCs w:val="28"/>
          <w:lang w:val="en-US"/>
        </w:rPr>
        <w:t xml:space="preserve"> // J. Laparoendosc. Advanc. Surg. Techniq. – 2010. – Vol. 20, № 9. – P. 761</w:t>
      </w:r>
      <w:r>
        <w:rPr>
          <w:rFonts w:ascii="Times New Roman" w:hAnsi="Times New Roman"/>
          <w:sz w:val="28"/>
          <w:szCs w:val="28"/>
        </w:rPr>
        <w:t>-</w:t>
      </w:r>
      <w:r w:rsidRPr="003307F1">
        <w:rPr>
          <w:rFonts w:ascii="Times New Roman" w:hAnsi="Times New Roman"/>
          <w:sz w:val="28"/>
          <w:szCs w:val="28"/>
          <w:lang w:val="en-US"/>
        </w:rPr>
        <w:t>766.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Dana K. A. The Evolution of the Surgical Treatment of Chronic Pancreatitis / </w:t>
      </w:r>
      <w:r w:rsidRPr="00C62D22">
        <w:rPr>
          <w:rFonts w:ascii="Times New Roman" w:hAnsi="Times New Roman"/>
          <w:sz w:val="28"/>
          <w:szCs w:val="28"/>
          <w:lang w:val="en-US"/>
        </w:rPr>
        <w:t xml:space="preserve">           </w:t>
      </w:r>
      <w:r w:rsidRPr="003307F1">
        <w:rPr>
          <w:rFonts w:ascii="Times New Roman" w:hAnsi="Times New Roman"/>
          <w:sz w:val="28"/>
          <w:szCs w:val="28"/>
          <w:lang w:val="en-US"/>
        </w:rPr>
        <w:t>K. D</w:t>
      </w:r>
      <w:r w:rsidRPr="00C62D22">
        <w:rPr>
          <w:rFonts w:ascii="Times New Roman" w:hAnsi="Times New Roman"/>
          <w:sz w:val="28"/>
          <w:szCs w:val="28"/>
          <w:lang w:val="en-US"/>
        </w:rPr>
        <w:t>.</w:t>
      </w:r>
      <w:r w:rsidRPr="003307F1">
        <w:rPr>
          <w:rFonts w:ascii="Times New Roman" w:hAnsi="Times New Roman"/>
          <w:sz w:val="28"/>
          <w:szCs w:val="28"/>
          <w:lang w:val="en-US"/>
        </w:rPr>
        <w:t xml:space="preserve"> Andersen, F. C. Frey // Ann. Surg. – 2010. – Vol.</w:t>
      </w:r>
      <w:r w:rsidRPr="003307F1">
        <w:rPr>
          <w:rFonts w:ascii="Times New Roman" w:hAnsi="Times New Roman"/>
          <w:sz w:val="28"/>
          <w:szCs w:val="28"/>
        </w:rPr>
        <w:t xml:space="preserve"> 251. </w:t>
      </w:r>
      <w:r w:rsidRPr="003307F1">
        <w:rPr>
          <w:rFonts w:ascii="Times New Roman" w:hAnsi="Times New Roman"/>
          <w:sz w:val="28"/>
          <w:szCs w:val="28"/>
          <w:lang w:val="en-US"/>
        </w:rPr>
        <w:t>–</w:t>
      </w:r>
      <w:r>
        <w:rPr>
          <w:rFonts w:ascii="Times New Roman" w:hAnsi="Times New Roman"/>
          <w:sz w:val="28"/>
          <w:szCs w:val="28"/>
        </w:rPr>
        <w:t xml:space="preserve"> Р. 18-</w:t>
      </w:r>
      <w:r w:rsidRPr="003307F1">
        <w:rPr>
          <w:rFonts w:ascii="Times New Roman" w:hAnsi="Times New Roman"/>
          <w:sz w:val="28"/>
          <w:szCs w:val="28"/>
        </w:rPr>
        <w:t>32.</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Differential expression of reg-I and reg-II genes during aging in normal mouse</w:t>
      </w:r>
      <w:r w:rsidRPr="00C62D22">
        <w:rPr>
          <w:rFonts w:ascii="Times New Roman" w:hAnsi="Times New Roman"/>
          <w:sz w:val="28"/>
          <w:szCs w:val="28"/>
          <w:lang w:val="en-US"/>
        </w:rPr>
        <w:t xml:space="preserve"> </w:t>
      </w:r>
      <w:r w:rsidRPr="003307F1">
        <w:rPr>
          <w:rFonts w:ascii="Times New Roman" w:hAnsi="Times New Roman"/>
          <w:sz w:val="28"/>
          <w:szCs w:val="28"/>
          <w:lang w:val="en-US"/>
        </w:rPr>
        <w:t>/ R. Perfitti, J. M. Egan, M. E. Zenilmen, A. R. Shuldiner // J. Gerontol</w:t>
      </w:r>
      <w:r>
        <w:rPr>
          <w:rFonts w:ascii="Times New Roman" w:hAnsi="Times New Roman"/>
          <w:sz w:val="28"/>
          <w:szCs w:val="28"/>
          <w:lang w:val="en-US"/>
        </w:rPr>
        <w:t>. – 1996. – Vol. 51. – P. 308</w:t>
      </w:r>
      <w:r w:rsidRPr="00C62D22">
        <w:rPr>
          <w:rFonts w:ascii="Times New Roman" w:hAnsi="Times New Roman"/>
          <w:sz w:val="28"/>
          <w:szCs w:val="28"/>
          <w:lang w:val="en-US"/>
        </w:rPr>
        <w:t>-</w:t>
      </w:r>
      <w:r w:rsidRPr="003307F1">
        <w:rPr>
          <w:rFonts w:ascii="Times New Roman" w:hAnsi="Times New Roman"/>
          <w:sz w:val="28"/>
          <w:szCs w:val="28"/>
          <w:lang w:val="en-US"/>
        </w:rPr>
        <w:t>315.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lastRenderedPageBreak/>
        <w:t xml:space="preserve">Differentiation of focal liver lesions using three-dimensional ultrasonography: retrospective and prospective study / W. </w:t>
      </w:r>
      <w:r w:rsidRPr="003307F1">
        <w:rPr>
          <w:rFonts w:ascii="Times New Roman" w:hAnsi="Times New Roman"/>
          <w:sz w:val="28"/>
          <w:szCs w:val="28"/>
          <w:lang w:val="fr-FR"/>
        </w:rPr>
        <w:t xml:space="preserve">Luo, K. Numata, M. Morimoto [ et al. ] </w:t>
      </w:r>
      <w:r w:rsidRPr="003307F1">
        <w:rPr>
          <w:rFonts w:ascii="Times New Roman" w:hAnsi="Times New Roman"/>
          <w:sz w:val="28"/>
          <w:szCs w:val="28"/>
          <w:lang w:val="en-US"/>
        </w:rPr>
        <w:t>// World. J. Surg. – 201</w:t>
      </w:r>
      <w:r>
        <w:rPr>
          <w:rFonts w:ascii="Times New Roman" w:hAnsi="Times New Roman"/>
          <w:sz w:val="28"/>
          <w:szCs w:val="28"/>
          <w:lang w:val="en-US"/>
        </w:rPr>
        <w:t>0. – Vol. 16, № 17. – P. 2109</w:t>
      </w:r>
      <w:r>
        <w:rPr>
          <w:rFonts w:ascii="Times New Roman" w:hAnsi="Times New Roman"/>
          <w:sz w:val="28"/>
          <w:szCs w:val="28"/>
        </w:rPr>
        <w:t>-</w:t>
      </w:r>
      <w:r w:rsidRPr="003307F1">
        <w:rPr>
          <w:rFonts w:ascii="Times New Roman" w:hAnsi="Times New Roman"/>
          <w:sz w:val="28"/>
          <w:szCs w:val="28"/>
          <w:lang w:val="en-US"/>
        </w:rPr>
        <w:t>2119.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Differentiating intraductal papillary mucinous neoplasms from other pancreatic cystic lesions / S. C. Cunningham, R. H. Hruban, R. D. Schulick [ et al. ] // World J. Gastrointest. Surg. – 2</w:t>
      </w:r>
      <w:r>
        <w:rPr>
          <w:rFonts w:ascii="Times New Roman" w:hAnsi="Times New Roman"/>
          <w:sz w:val="28"/>
          <w:szCs w:val="28"/>
          <w:lang w:val="en-US"/>
        </w:rPr>
        <w:t>010. – Vol. 2, № 10. – P. 331</w:t>
      </w:r>
      <w:r>
        <w:rPr>
          <w:rFonts w:ascii="Times New Roman" w:hAnsi="Times New Roman"/>
          <w:sz w:val="28"/>
          <w:szCs w:val="28"/>
        </w:rPr>
        <w:t>-</w:t>
      </w:r>
      <w:r w:rsidRPr="003307F1">
        <w:rPr>
          <w:rFonts w:ascii="Times New Roman" w:hAnsi="Times New Roman"/>
          <w:sz w:val="28"/>
          <w:szCs w:val="28"/>
          <w:lang w:val="en-US"/>
        </w:rPr>
        <w:t>336.</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Diffuse pancreatic serous cystadenoma associated with neuroendocrin carcinoma: a case report and review of literature / </w:t>
      </w:r>
      <w:smartTag w:uri="urn:schemas-microsoft-com:office:smarttags" w:element="place">
        <w:r w:rsidRPr="003307F1">
          <w:rPr>
            <w:rFonts w:ascii="Times New Roman" w:hAnsi="Times New Roman"/>
            <w:sz w:val="28"/>
            <w:szCs w:val="28"/>
            <w:lang w:val="en-US"/>
          </w:rPr>
          <w:t>N. Agarwal</w:t>
        </w:r>
      </w:smartTag>
      <w:r w:rsidRPr="003307F1">
        <w:rPr>
          <w:rFonts w:ascii="Times New Roman" w:hAnsi="Times New Roman"/>
          <w:sz w:val="28"/>
          <w:szCs w:val="28"/>
          <w:lang w:val="en-US"/>
        </w:rPr>
        <w:t xml:space="preserve">, S. Kumar, J. Dass [ et al. ] //J.O.P. – </w:t>
      </w:r>
      <w:r>
        <w:rPr>
          <w:rFonts w:ascii="Times New Roman" w:hAnsi="Times New Roman"/>
          <w:sz w:val="28"/>
          <w:szCs w:val="28"/>
          <w:lang w:val="en-US"/>
        </w:rPr>
        <w:t>2009. – Vol. 10, № 1. – P. 55</w:t>
      </w:r>
      <w:r w:rsidRPr="00C62D22">
        <w:rPr>
          <w:rFonts w:ascii="Times New Roman" w:hAnsi="Times New Roman"/>
          <w:sz w:val="28"/>
          <w:szCs w:val="28"/>
          <w:lang w:val="en-US"/>
        </w:rPr>
        <w:t>-</w:t>
      </w:r>
      <w:r w:rsidRPr="003307F1">
        <w:rPr>
          <w:rFonts w:ascii="Times New Roman" w:hAnsi="Times New Roman"/>
          <w:sz w:val="28"/>
          <w:szCs w:val="28"/>
          <w:lang w:val="en-US"/>
        </w:rPr>
        <w:t>58.</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bCs/>
          <w:sz w:val="28"/>
          <w:szCs w:val="28"/>
          <w:bdr w:val="none" w:sz="0" w:space="0" w:color="auto" w:frame="1"/>
          <w:lang w:val="en-US"/>
        </w:rPr>
        <w:t>Diffusion-weighted MR imaging of solid and cystic lesions of the pancreas</w:t>
      </w:r>
      <w:r w:rsidRPr="00C62D22">
        <w:rPr>
          <w:rFonts w:ascii="Times New Roman" w:hAnsi="Times New Roman"/>
          <w:bCs/>
          <w:sz w:val="28"/>
          <w:szCs w:val="28"/>
          <w:bdr w:val="none" w:sz="0" w:space="0" w:color="auto" w:frame="1"/>
          <w:lang w:val="en-US"/>
        </w:rPr>
        <w:t xml:space="preserve"> / </w:t>
      </w:r>
      <w:r w:rsidRPr="003307F1">
        <w:rPr>
          <w:rFonts w:ascii="Times New Roman" w:hAnsi="Times New Roman"/>
          <w:sz w:val="28"/>
          <w:szCs w:val="28"/>
          <w:bdr w:val="none" w:sz="0" w:space="0" w:color="auto" w:frame="1"/>
          <w:lang w:val="en-US"/>
        </w:rPr>
        <w:t>Y</w:t>
      </w:r>
      <w:r w:rsidRPr="00C62D22">
        <w:rPr>
          <w:rFonts w:ascii="Times New Roman" w:hAnsi="Times New Roman"/>
          <w:sz w:val="28"/>
          <w:szCs w:val="28"/>
          <w:bdr w:val="none" w:sz="0" w:space="0" w:color="auto" w:frame="1"/>
          <w:lang w:val="en-US"/>
        </w:rPr>
        <w:t>.</w:t>
      </w:r>
      <w:r w:rsidRPr="003307F1">
        <w:rPr>
          <w:rFonts w:ascii="Times New Roman" w:hAnsi="Times New Roman"/>
          <w:sz w:val="28"/>
          <w:szCs w:val="28"/>
          <w:bdr w:val="none" w:sz="0" w:space="0" w:color="auto" w:frame="1"/>
          <w:lang w:val="en-US"/>
        </w:rPr>
        <w:t xml:space="preserve"> Wang, F. H. Miller, Z. E. Chen </w:t>
      </w:r>
      <w:r w:rsidRPr="00C62D22">
        <w:rPr>
          <w:rFonts w:ascii="Times New Roman" w:hAnsi="Times New Roman"/>
          <w:sz w:val="28"/>
          <w:szCs w:val="28"/>
          <w:lang w:val="en-US"/>
        </w:rPr>
        <w:t>[</w:t>
      </w:r>
      <w:r w:rsidRPr="003307F1">
        <w:rPr>
          <w:rFonts w:ascii="Times New Roman" w:hAnsi="Times New Roman"/>
          <w:sz w:val="28"/>
          <w:szCs w:val="28"/>
          <w:lang w:val="en-US"/>
        </w:rPr>
        <w:t xml:space="preserve"> et al</w:t>
      </w:r>
      <w:r w:rsidRPr="00C62D22">
        <w:rPr>
          <w:rFonts w:ascii="Times New Roman" w:hAnsi="Times New Roman"/>
          <w:sz w:val="28"/>
          <w:szCs w:val="28"/>
          <w:lang w:val="en-US"/>
        </w:rPr>
        <w:t>. ]</w:t>
      </w:r>
      <w:r w:rsidRPr="003307F1">
        <w:rPr>
          <w:rFonts w:ascii="Times New Roman" w:hAnsi="Times New Roman"/>
          <w:sz w:val="28"/>
          <w:szCs w:val="28"/>
          <w:lang w:val="en-US"/>
        </w:rPr>
        <w:t xml:space="preserve"> </w:t>
      </w:r>
      <w:r w:rsidRPr="003307F1">
        <w:rPr>
          <w:rStyle w:val="apple-converted-space"/>
          <w:rFonts w:ascii="Times New Roman" w:hAnsi="Times New Roman"/>
          <w:sz w:val="28"/>
          <w:szCs w:val="28"/>
          <w:bdr w:val="none" w:sz="0" w:space="0" w:color="auto" w:frame="1"/>
          <w:lang w:val="en-US"/>
        </w:rPr>
        <w:t xml:space="preserve">// </w:t>
      </w:r>
      <w:r w:rsidRPr="003307F1">
        <w:rPr>
          <w:rFonts w:ascii="Times New Roman" w:hAnsi="Times New Roman"/>
          <w:iCs/>
          <w:sz w:val="28"/>
          <w:szCs w:val="28"/>
          <w:bdr w:val="none" w:sz="0" w:space="0" w:color="auto" w:frame="1"/>
          <w:lang w:val="en-US"/>
        </w:rPr>
        <w:t>Radiographics</w:t>
      </w:r>
      <w:r w:rsidRPr="003307F1">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w:t>
      </w:r>
      <w:r w:rsidRPr="003307F1">
        <w:rPr>
          <w:rFonts w:ascii="Times New Roman" w:hAnsi="Times New Roman"/>
          <w:sz w:val="28"/>
          <w:szCs w:val="28"/>
          <w:bdr w:val="none" w:sz="0" w:space="0" w:color="auto" w:frame="1"/>
          <w:lang w:val="en-US"/>
        </w:rPr>
        <w:t xml:space="preserve"> 2011. </w:t>
      </w:r>
      <w:r w:rsidRPr="003307F1">
        <w:rPr>
          <w:rFonts w:ascii="Times New Roman" w:hAnsi="Times New Roman"/>
          <w:sz w:val="28"/>
          <w:szCs w:val="28"/>
          <w:lang w:val="en-US"/>
        </w:rPr>
        <w:t>–</w:t>
      </w:r>
      <w:r w:rsidRPr="003307F1">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Vol.</w:t>
      </w:r>
      <w:r w:rsidRPr="003307F1">
        <w:rPr>
          <w:rFonts w:ascii="Times New Roman" w:hAnsi="Times New Roman"/>
          <w:sz w:val="28"/>
          <w:szCs w:val="28"/>
          <w:bdr w:val="none" w:sz="0" w:space="0" w:color="auto" w:frame="1"/>
          <w:lang w:val="en-US"/>
        </w:rPr>
        <w:t xml:space="preserve"> 31, № 3. </w:t>
      </w:r>
      <w:r w:rsidRPr="003307F1">
        <w:rPr>
          <w:rFonts w:ascii="Times New Roman" w:hAnsi="Times New Roman"/>
          <w:sz w:val="28"/>
          <w:szCs w:val="28"/>
          <w:lang w:val="en-US"/>
        </w:rPr>
        <w:t xml:space="preserve">– </w:t>
      </w:r>
      <w:r w:rsidRPr="003307F1">
        <w:rPr>
          <w:rFonts w:ascii="Times New Roman" w:hAnsi="Times New Roman"/>
          <w:sz w:val="28"/>
          <w:szCs w:val="28"/>
        </w:rPr>
        <w:t>Р</w:t>
      </w:r>
      <w:r w:rsidRPr="003307F1">
        <w:rPr>
          <w:rFonts w:ascii="Times New Roman" w:hAnsi="Times New Roman"/>
          <w:sz w:val="28"/>
          <w:szCs w:val="28"/>
          <w:lang w:val="en-US"/>
        </w:rPr>
        <w:t xml:space="preserve">. </w:t>
      </w:r>
      <w:r w:rsidRPr="003307F1">
        <w:rPr>
          <w:rFonts w:ascii="Times New Roman" w:hAnsi="Times New Roman"/>
          <w:sz w:val="28"/>
          <w:szCs w:val="28"/>
          <w:bdr w:val="none" w:sz="0" w:space="0" w:color="auto" w:frame="1"/>
          <w:lang w:val="en-US"/>
        </w:rPr>
        <w:t>47</w:t>
      </w:r>
      <w:r w:rsidRPr="00C62D22">
        <w:rPr>
          <w:rFonts w:ascii="Times New Roman" w:hAnsi="Times New Roman"/>
          <w:sz w:val="28"/>
          <w:szCs w:val="28"/>
          <w:bdr w:val="none" w:sz="0" w:space="0" w:color="auto" w:frame="1"/>
          <w:lang w:val="en-US"/>
        </w:rPr>
        <w:t>-</w:t>
      </w:r>
      <w:r w:rsidRPr="003307F1">
        <w:rPr>
          <w:rFonts w:ascii="Times New Roman" w:hAnsi="Times New Roman"/>
          <w:sz w:val="28"/>
          <w:szCs w:val="28"/>
          <w:bdr w:val="none" w:sz="0" w:space="0" w:color="auto" w:frame="1"/>
          <w:lang w:val="en-US"/>
        </w:rPr>
        <w:t>64</w:t>
      </w:r>
      <w:r w:rsidRPr="00C62D22">
        <w:rPr>
          <w:rFonts w:ascii="Times New Roman" w:hAnsi="Times New Roman"/>
          <w:sz w:val="28"/>
          <w:szCs w:val="28"/>
          <w:bdr w:val="none" w:sz="0" w:space="0" w:color="auto" w:frame="1"/>
          <w:lang w:val="en-US"/>
        </w:rPr>
        <w:t>.</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Does external pancreatic duct stent decrease pancreatic fistula rate after pancreatic resection? A meta–</w:t>
      </w:r>
      <w:r w:rsidRPr="003307F1">
        <w:rPr>
          <w:rFonts w:ascii="Times New Roman" w:hAnsi="Times New Roman"/>
          <w:sz w:val="28"/>
          <w:szCs w:val="28"/>
        </w:rPr>
        <w:t>а</w:t>
      </w:r>
      <w:r w:rsidRPr="003307F1">
        <w:rPr>
          <w:rFonts w:ascii="Times New Roman" w:hAnsi="Times New Roman"/>
          <w:sz w:val="28"/>
          <w:szCs w:val="28"/>
          <w:lang w:val="en-US"/>
        </w:rPr>
        <w:t>nalysis / Y. Zhou, C. Yang, S. Wang [et al.] // Pancreatology. – 2011. – Vol. 11,</w:t>
      </w:r>
      <w:r w:rsidRPr="00C62D22">
        <w:rPr>
          <w:rFonts w:ascii="Times New Roman" w:hAnsi="Times New Roman"/>
          <w:sz w:val="28"/>
          <w:szCs w:val="28"/>
          <w:lang w:val="en-US"/>
        </w:rPr>
        <w:t xml:space="preserve"> №</w:t>
      </w:r>
      <w:r>
        <w:rPr>
          <w:rFonts w:ascii="Times New Roman" w:hAnsi="Times New Roman"/>
          <w:sz w:val="28"/>
          <w:szCs w:val="28"/>
          <w:lang w:val="en-US"/>
        </w:rPr>
        <w:t xml:space="preserve"> 3. – P. 362</w:t>
      </w:r>
      <w:r w:rsidRPr="00C62D22">
        <w:rPr>
          <w:rFonts w:ascii="Times New Roman" w:hAnsi="Times New Roman"/>
          <w:sz w:val="28"/>
          <w:szCs w:val="28"/>
          <w:lang w:val="en-US"/>
        </w:rPr>
        <w:t>-</w:t>
      </w:r>
      <w:r w:rsidRPr="003307F1">
        <w:rPr>
          <w:rFonts w:ascii="Times New Roman" w:hAnsi="Times New Roman"/>
          <w:sz w:val="28"/>
          <w:szCs w:val="28"/>
          <w:lang w:val="en-US"/>
        </w:rPr>
        <w:t>370.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Durlik M</w:t>
      </w:r>
      <w:r w:rsidRPr="00C62D22">
        <w:rPr>
          <w:rFonts w:ascii="Times New Roman" w:hAnsi="Times New Roman"/>
          <w:sz w:val="28"/>
          <w:szCs w:val="28"/>
          <w:lang w:val="en-US"/>
        </w:rPr>
        <w:t xml:space="preserve">. </w:t>
      </w:r>
      <w:r w:rsidRPr="003307F1">
        <w:rPr>
          <w:rFonts w:ascii="Times New Roman" w:hAnsi="Times New Roman"/>
          <w:sz w:val="28"/>
          <w:szCs w:val="28"/>
          <w:lang w:val="en-US"/>
        </w:rPr>
        <w:t>Metalloproteinase 2 and 9 activity in the development of pancreatic cancer</w:t>
      </w:r>
      <w:r w:rsidRPr="00C62D22">
        <w:rPr>
          <w:rFonts w:ascii="Times New Roman" w:hAnsi="Times New Roman"/>
          <w:sz w:val="28"/>
          <w:szCs w:val="28"/>
          <w:lang w:val="en-US"/>
        </w:rPr>
        <w:t xml:space="preserve"> / </w:t>
      </w:r>
      <w:r w:rsidRPr="003307F1">
        <w:rPr>
          <w:rFonts w:ascii="Times New Roman" w:hAnsi="Times New Roman"/>
          <w:sz w:val="28"/>
          <w:szCs w:val="28"/>
        </w:rPr>
        <w:t>М</w:t>
      </w:r>
      <w:r w:rsidRPr="00C62D22">
        <w:rPr>
          <w:rFonts w:ascii="Times New Roman" w:hAnsi="Times New Roman"/>
          <w:sz w:val="28"/>
          <w:szCs w:val="28"/>
          <w:lang w:val="en-US"/>
        </w:rPr>
        <w:t xml:space="preserve">. </w:t>
      </w:r>
      <w:r w:rsidRPr="003307F1">
        <w:rPr>
          <w:rFonts w:ascii="Times New Roman" w:hAnsi="Times New Roman"/>
          <w:sz w:val="28"/>
          <w:szCs w:val="28"/>
          <w:lang w:val="en-US"/>
        </w:rPr>
        <w:t>Durlik</w:t>
      </w:r>
      <w:r w:rsidRPr="00C62D22">
        <w:rPr>
          <w:rFonts w:ascii="Times New Roman" w:hAnsi="Times New Roman"/>
          <w:sz w:val="28"/>
          <w:szCs w:val="28"/>
          <w:lang w:val="en-US"/>
        </w:rPr>
        <w:t xml:space="preserve">, </w:t>
      </w:r>
      <w:r w:rsidRPr="003307F1">
        <w:rPr>
          <w:rFonts w:ascii="Times New Roman" w:hAnsi="Times New Roman"/>
          <w:sz w:val="28"/>
          <w:szCs w:val="28"/>
        </w:rPr>
        <w:t>К</w:t>
      </w:r>
      <w:r w:rsidRPr="00C62D22">
        <w:rPr>
          <w:rFonts w:ascii="Times New Roman" w:hAnsi="Times New Roman"/>
          <w:sz w:val="28"/>
          <w:szCs w:val="28"/>
          <w:lang w:val="en-US"/>
        </w:rPr>
        <w:t>.</w:t>
      </w:r>
      <w:r w:rsidRPr="003307F1">
        <w:rPr>
          <w:rFonts w:ascii="Times New Roman" w:hAnsi="Times New Roman"/>
          <w:sz w:val="28"/>
          <w:szCs w:val="28"/>
          <w:lang w:val="en-US"/>
        </w:rPr>
        <w:t xml:space="preserve"> Gardian</w:t>
      </w:r>
      <w:r w:rsidRPr="00C62D22">
        <w:rPr>
          <w:rFonts w:ascii="Times New Roman" w:hAnsi="Times New Roman"/>
          <w:sz w:val="28"/>
          <w:szCs w:val="28"/>
          <w:lang w:val="en-US"/>
        </w:rPr>
        <w:t xml:space="preserve"> // </w:t>
      </w:r>
      <w:r w:rsidRPr="003307F1">
        <w:rPr>
          <w:rFonts w:ascii="Times New Roman" w:hAnsi="Times New Roman"/>
          <w:sz w:val="28"/>
          <w:szCs w:val="28"/>
          <w:lang w:val="en-US"/>
        </w:rPr>
        <w:t>Pol. Przegl. Chir</w:t>
      </w:r>
      <w:r w:rsidRPr="003307F1">
        <w:rPr>
          <w:rFonts w:ascii="Times New Roman" w:hAnsi="Times New Roman"/>
          <w:sz w:val="28"/>
          <w:szCs w:val="28"/>
        </w:rPr>
        <w:t>.</w:t>
      </w:r>
      <w:r w:rsidRPr="003307F1">
        <w:rPr>
          <w:rFonts w:ascii="Times New Roman" w:hAnsi="Times New Roman"/>
          <w:sz w:val="28"/>
          <w:szCs w:val="28"/>
          <w:lang w:val="en-US"/>
        </w:rPr>
        <w:t xml:space="preserve"> – 2012</w:t>
      </w:r>
      <w:r w:rsidRPr="003307F1">
        <w:rPr>
          <w:rFonts w:ascii="Times New Roman" w:hAnsi="Times New Roman"/>
          <w:sz w:val="28"/>
          <w:szCs w:val="28"/>
        </w:rPr>
        <w:t xml:space="preserve">. </w:t>
      </w:r>
      <w:r w:rsidRPr="003307F1">
        <w:rPr>
          <w:rFonts w:ascii="Times New Roman" w:hAnsi="Times New Roman"/>
          <w:sz w:val="28"/>
          <w:szCs w:val="28"/>
          <w:lang w:val="en-US"/>
        </w:rPr>
        <w:t>– Vol</w:t>
      </w:r>
      <w:r w:rsidRPr="003307F1">
        <w:rPr>
          <w:rFonts w:ascii="Times New Roman" w:hAnsi="Times New Roman"/>
          <w:sz w:val="28"/>
          <w:szCs w:val="28"/>
        </w:rPr>
        <w:t xml:space="preserve">. </w:t>
      </w:r>
      <w:r w:rsidRPr="003307F1">
        <w:rPr>
          <w:rFonts w:ascii="Times New Roman" w:hAnsi="Times New Roman"/>
          <w:sz w:val="28"/>
          <w:szCs w:val="28"/>
          <w:lang w:val="en-US"/>
        </w:rPr>
        <w:t>84</w:t>
      </w:r>
      <w:r w:rsidRPr="003307F1">
        <w:rPr>
          <w:rFonts w:ascii="Times New Roman" w:hAnsi="Times New Roman"/>
          <w:sz w:val="28"/>
          <w:szCs w:val="28"/>
        </w:rPr>
        <w:t xml:space="preserve">. </w:t>
      </w:r>
      <w:r w:rsidRPr="003307F1">
        <w:rPr>
          <w:rFonts w:ascii="Times New Roman" w:hAnsi="Times New Roman"/>
          <w:sz w:val="28"/>
          <w:szCs w:val="28"/>
          <w:lang w:val="en-US"/>
        </w:rPr>
        <w:t>–</w:t>
      </w:r>
      <w:r w:rsidRPr="003307F1">
        <w:rPr>
          <w:rFonts w:ascii="Times New Roman" w:hAnsi="Times New Roman"/>
          <w:sz w:val="28"/>
          <w:szCs w:val="28"/>
        </w:rPr>
        <w:t xml:space="preserve"> Р. </w:t>
      </w:r>
      <w:r w:rsidRPr="003307F1">
        <w:rPr>
          <w:rFonts w:ascii="Times New Roman" w:hAnsi="Times New Roman"/>
          <w:sz w:val="28"/>
          <w:szCs w:val="28"/>
          <w:lang w:val="en-US"/>
        </w:rPr>
        <w:t>377</w:t>
      </w:r>
      <w:r>
        <w:rPr>
          <w:rFonts w:ascii="Times New Roman" w:hAnsi="Times New Roman"/>
          <w:sz w:val="28"/>
          <w:szCs w:val="28"/>
        </w:rPr>
        <w:t>-</w:t>
      </w:r>
      <w:r w:rsidRPr="003307F1">
        <w:rPr>
          <w:rFonts w:ascii="Times New Roman" w:hAnsi="Times New Roman"/>
          <w:sz w:val="28"/>
          <w:szCs w:val="28"/>
          <w:lang w:val="en-US"/>
        </w:rPr>
        <w:t>382.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D'Egidio A. Pancreatic pseudocysts: a proposed classification and its management implications / </w:t>
      </w:r>
      <w:r w:rsidRPr="003307F1">
        <w:rPr>
          <w:rFonts w:ascii="Times New Roman" w:hAnsi="Times New Roman"/>
          <w:sz w:val="28"/>
          <w:szCs w:val="28"/>
        </w:rPr>
        <w:t>А</w:t>
      </w:r>
      <w:r w:rsidRPr="003307F1">
        <w:rPr>
          <w:rFonts w:ascii="Times New Roman" w:hAnsi="Times New Roman"/>
          <w:sz w:val="28"/>
          <w:szCs w:val="28"/>
          <w:lang w:val="en-US"/>
        </w:rPr>
        <w:t xml:space="preserve">. D'Egidio, </w:t>
      </w:r>
      <w:r w:rsidRPr="003307F1">
        <w:rPr>
          <w:rFonts w:ascii="Times New Roman" w:hAnsi="Times New Roman"/>
          <w:sz w:val="28"/>
          <w:szCs w:val="28"/>
        </w:rPr>
        <w:t>М</w:t>
      </w:r>
      <w:r w:rsidRPr="003307F1">
        <w:rPr>
          <w:rFonts w:ascii="Times New Roman" w:hAnsi="Times New Roman"/>
          <w:sz w:val="28"/>
          <w:szCs w:val="28"/>
          <w:lang w:val="en-US"/>
        </w:rPr>
        <w:t xml:space="preserve">. Schein // Br. J.Surg.  – 1991. – Vol. 78, № 8. – </w:t>
      </w:r>
      <w:r w:rsidRPr="003307F1">
        <w:rPr>
          <w:rFonts w:ascii="Times New Roman" w:hAnsi="Times New Roman"/>
          <w:sz w:val="28"/>
          <w:szCs w:val="28"/>
        </w:rPr>
        <w:t>Р</w:t>
      </w:r>
      <w:r w:rsidRPr="003307F1">
        <w:rPr>
          <w:rFonts w:ascii="Times New Roman" w:hAnsi="Times New Roman"/>
          <w:sz w:val="28"/>
          <w:szCs w:val="28"/>
          <w:lang w:val="en-US"/>
        </w:rPr>
        <w:t>. 981</w:t>
      </w:r>
      <w:r>
        <w:rPr>
          <w:rFonts w:ascii="Times New Roman" w:hAnsi="Times New Roman"/>
          <w:sz w:val="28"/>
          <w:szCs w:val="28"/>
        </w:rPr>
        <w:t>-</w:t>
      </w:r>
      <w:r w:rsidRPr="003307F1">
        <w:rPr>
          <w:rFonts w:ascii="Times New Roman" w:hAnsi="Times New Roman"/>
          <w:sz w:val="28"/>
          <w:szCs w:val="28"/>
          <w:lang w:val="en-US"/>
        </w:rPr>
        <w:t>984.</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Effects of medication on post-endoscopic retrograde cholangiopancreatography pancreatitis / N. </w:t>
      </w:r>
      <w:r w:rsidRPr="003307F1">
        <w:rPr>
          <w:rFonts w:ascii="Times New Roman" w:hAnsi="Times New Roman"/>
          <w:sz w:val="28"/>
          <w:szCs w:val="28"/>
          <w:lang w:val="fr-FR"/>
        </w:rPr>
        <w:t xml:space="preserve">Li, A. Tieng, S. Novak [ et al. ] </w:t>
      </w:r>
      <w:r w:rsidRPr="003307F1">
        <w:rPr>
          <w:rFonts w:ascii="Times New Roman" w:hAnsi="Times New Roman"/>
          <w:sz w:val="28"/>
          <w:szCs w:val="28"/>
          <w:lang w:val="en-US"/>
        </w:rPr>
        <w:t xml:space="preserve">// Pancreatology. – 2010. – Vol. 10, № (2-3). – P. </w:t>
      </w:r>
      <w:r>
        <w:rPr>
          <w:rFonts w:ascii="Times New Roman" w:hAnsi="Times New Roman"/>
          <w:sz w:val="28"/>
          <w:szCs w:val="28"/>
          <w:lang w:val="fr-FR"/>
        </w:rPr>
        <w:t>238</w:t>
      </w:r>
      <w:r w:rsidRPr="00C62D22">
        <w:rPr>
          <w:rFonts w:ascii="Times New Roman" w:hAnsi="Times New Roman"/>
          <w:sz w:val="28"/>
          <w:szCs w:val="28"/>
          <w:lang w:val="en-US"/>
        </w:rPr>
        <w:t>-</w:t>
      </w:r>
      <w:r w:rsidRPr="003307F1">
        <w:rPr>
          <w:rFonts w:ascii="Times New Roman" w:hAnsi="Times New Roman"/>
          <w:sz w:val="28"/>
          <w:szCs w:val="28"/>
          <w:lang w:val="fr-FR"/>
        </w:rPr>
        <w:t>242.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Endoscopic retrograde cholangiopancreatography outcome from a single referral center in Iran / A. H. Mohammad Alizadeh, E. S. Afzali, M. Mousavi [ et al. ] // Hepatobilliary Pancreat. Dis. Int. –</w:t>
      </w:r>
      <w:r w:rsidRPr="003307F1">
        <w:rPr>
          <w:rFonts w:ascii="Times New Roman" w:hAnsi="Times New Roman"/>
          <w:i/>
          <w:iCs/>
          <w:sz w:val="28"/>
          <w:szCs w:val="28"/>
          <w:lang w:val="en-US"/>
        </w:rPr>
        <w:t xml:space="preserve"> </w:t>
      </w:r>
      <w:r>
        <w:rPr>
          <w:rFonts w:ascii="Times New Roman" w:hAnsi="Times New Roman"/>
          <w:sz w:val="28"/>
          <w:szCs w:val="28"/>
          <w:lang w:val="en-US"/>
        </w:rPr>
        <w:t>2010. – Vol. 9, № 4. – P. 428</w:t>
      </w:r>
      <w:r>
        <w:rPr>
          <w:rFonts w:ascii="Times New Roman" w:hAnsi="Times New Roman"/>
          <w:sz w:val="28"/>
          <w:szCs w:val="28"/>
        </w:rPr>
        <w:t>-</w:t>
      </w:r>
      <w:r w:rsidRPr="003307F1">
        <w:rPr>
          <w:rFonts w:ascii="Times New Roman" w:hAnsi="Times New Roman"/>
          <w:sz w:val="28"/>
          <w:szCs w:val="28"/>
          <w:lang w:val="en-US"/>
        </w:rPr>
        <w:t>432.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Endoscopic ultrasound guided drainage of pancreatic fluid collections /</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 </w:t>
      </w:r>
      <w:r w:rsidRPr="003307F1">
        <w:rPr>
          <w:rFonts w:ascii="Times New Roman" w:hAnsi="Times New Roman"/>
          <w:sz w:val="28"/>
          <w:szCs w:val="28"/>
        </w:rPr>
        <w:t>С</w:t>
      </w:r>
      <w:r w:rsidRPr="003307F1">
        <w:rPr>
          <w:rFonts w:ascii="Times New Roman" w:hAnsi="Times New Roman"/>
          <w:sz w:val="28"/>
          <w:szCs w:val="28"/>
          <w:lang w:val="en-US"/>
        </w:rPr>
        <w:t xml:space="preserve">. Fabbri, </w:t>
      </w:r>
      <w:r w:rsidRPr="003307F1">
        <w:rPr>
          <w:rFonts w:ascii="Times New Roman" w:hAnsi="Times New Roman"/>
          <w:sz w:val="28"/>
          <w:szCs w:val="28"/>
        </w:rPr>
        <w:t>С</w:t>
      </w:r>
      <w:r w:rsidRPr="003307F1">
        <w:rPr>
          <w:rFonts w:ascii="Times New Roman" w:hAnsi="Times New Roman"/>
          <w:sz w:val="28"/>
          <w:szCs w:val="28"/>
          <w:lang w:val="en-US"/>
        </w:rPr>
        <w:t xml:space="preserve">. Luigiano, </w:t>
      </w:r>
      <w:r w:rsidRPr="003307F1">
        <w:rPr>
          <w:rFonts w:ascii="Times New Roman" w:hAnsi="Times New Roman"/>
          <w:sz w:val="28"/>
          <w:szCs w:val="28"/>
        </w:rPr>
        <w:t>А</w:t>
      </w:r>
      <w:r w:rsidRPr="003307F1">
        <w:rPr>
          <w:rFonts w:ascii="Times New Roman" w:hAnsi="Times New Roman"/>
          <w:sz w:val="28"/>
          <w:szCs w:val="28"/>
          <w:lang w:val="en-US"/>
        </w:rPr>
        <w:t xml:space="preserve">. Maimone [ et al. ] // World J. Gastrointest. Endosc. – 2012. – Vol. 4, № 11. – </w:t>
      </w:r>
      <w:r w:rsidRPr="003307F1">
        <w:rPr>
          <w:rFonts w:ascii="Times New Roman" w:hAnsi="Times New Roman"/>
          <w:sz w:val="28"/>
          <w:szCs w:val="28"/>
        </w:rPr>
        <w:t>Р</w:t>
      </w:r>
      <w:r>
        <w:rPr>
          <w:rFonts w:ascii="Times New Roman" w:hAnsi="Times New Roman"/>
          <w:sz w:val="28"/>
          <w:szCs w:val="28"/>
          <w:lang w:val="en-US"/>
        </w:rPr>
        <w:t>. 479</w:t>
      </w:r>
      <w:r>
        <w:rPr>
          <w:rFonts w:ascii="Times New Roman" w:hAnsi="Times New Roman"/>
          <w:sz w:val="28"/>
          <w:szCs w:val="28"/>
        </w:rPr>
        <w:t>-</w:t>
      </w:r>
      <w:r w:rsidRPr="003307F1">
        <w:rPr>
          <w:rFonts w:ascii="Times New Roman" w:hAnsi="Times New Roman"/>
          <w:sz w:val="28"/>
          <w:szCs w:val="28"/>
          <w:lang w:val="en-US"/>
        </w:rPr>
        <w:t>488.</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lastRenderedPageBreak/>
        <w:t xml:space="preserve">Endoscopic ultra-sonography-guided brushing increases cellular diagnosis of pancreatic cysts: a prospective study / </w:t>
      </w:r>
      <w:r w:rsidRPr="003307F1">
        <w:rPr>
          <w:rFonts w:ascii="Times New Roman" w:hAnsi="Times New Roman"/>
          <w:sz w:val="28"/>
          <w:szCs w:val="28"/>
        </w:rPr>
        <w:t>О</w:t>
      </w:r>
      <w:r w:rsidRPr="003307F1">
        <w:rPr>
          <w:rFonts w:ascii="Times New Roman" w:hAnsi="Times New Roman"/>
          <w:sz w:val="28"/>
          <w:szCs w:val="28"/>
          <w:lang w:val="en-US"/>
        </w:rPr>
        <w:t xml:space="preserve">. </w:t>
      </w:r>
      <w:r w:rsidRPr="003307F1">
        <w:rPr>
          <w:rFonts w:ascii="Times New Roman" w:hAnsi="Times New Roman"/>
          <w:sz w:val="28"/>
          <w:szCs w:val="28"/>
          <w:lang w:val="fr-FR"/>
        </w:rPr>
        <w:t>Sendino, G</w:t>
      </w:r>
      <w:r w:rsidRPr="003307F1">
        <w:rPr>
          <w:rFonts w:ascii="Times New Roman" w:hAnsi="Times New Roman"/>
          <w:sz w:val="28"/>
          <w:szCs w:val="28"/>
          <w:lang w:val="en-US"/>
        </w:rPr>
        <w:t>.</w:t>
      </w:r>
      <w:r w:rsidRPr="003307F1">
        <w:rPr>
          <w:rFonts w:ascii="Times New Roman" w:hAnsi="Times New Roman"/>
          <w:sz w:val="28"/>
          <w:szCs w:val="28"/>
          <w:lang w:val="fr-FR"/>
        </w:rPr>
        <w:t xml:space="preserve"> Fernandez-Esparrach., </w:t>
      </w:r>
      <w:r w:rsidRPr="003307F1">
        <w:rPr>
          <w:rFonts w:ascii="Times New Roman" w:hAnsi="Times New Roman"/>
          <w:sz w:val="28"/>
          <w:szCs w:val="28"/>
        </w:rPr>
        <w:t>М</w:t>
      </w:r>
      <w:r w:rsidRPr="003307F1">
        <w:rPr>
          <w:rFonts w:ascii="Times New Roman" w:hAnsi="Times New Roman"/>
          <w:sz w:val="28"/>
          <w:szCs w:val="28"/>
          <w:lang w:val="en-US"/>
        </w:rPr>
        <w:t xml:space="preserve">. </w:t>
      </w:r>
      <w:r w:rsidRPr="003307F1">
        <w:rPr>
          <w:rFonts w:ascii="Times New Roman" w:hAnsi="Times New Roman"/>
          <w:sz w:val="28"/>
          <w:szCs w:val="28"/>
          <w:lang w:val="fr-FR"/>
        </w:rPr>
        <w:t>Sole</w:t>
      </w:r>
      <w:r w:rsidRPr="003307F1">
        <w:rPr>
          <w:rFonts w:ascii="Times New Roman" w:hAnsi="Times New Roman"/>
          <w:sz w:val="28"/>
          <w:szCs w:val="28"/>
          <w:lang w:val="en-US"/>
        </w:rPr>
        <w:t xml:space="preserve"> [</w:t>
      </w:r>
      <w:r w:rsidRPr="003307F1">
        <w:rPr>
          <w:rFonts w:ascii="Times New Roman" w:hAnsi="Times New Roman"/>
          <w:sz w:val="28"/>
          <w:szCs w:val="28"/>
          <w:lang w:val="fr-FR"/>
        </w:rPr>
        <w:t xml:space="preserve"> et al. ]</w:t>
      </w:r>
      <w:r w:rsidRPr="003307F1">
        <w:rPr>
          <w:rFonts w:ascii="Times New Roman" w:hAnsi="Times New Roman"/>
          <w:sz w:val="28"/>
          <w:szCs w:val="28"/>
          <w:lang w:val="en-US"/>
        </w:rPr>
        <w:t xml:space="preserve"> // Dig. Eiver Dis. </w:t>
      </w:r>
      <w:r w:rsidRPr="003307F1">
        <w:rPr>
          <w:rFonts w:ascii="Times New Roman" w:hAnsi="Times New Roman"/>
          <w:sz w:val="28"/>
          <w:szCs w:val="28"/>
        </w:rPr>
        <w:t>–</w:t>
      </w:r>
      <w:r w:rsidRPr="003307F1">
        <w:rPr>
          <w:rFonts w:ascii="Times New Roman" w:hAnsi="Times New Roman"/>
          <w:sz w:val="28"/>
          <w:szCs w:val="28"/>
          <w:lang w:val="en-US"/>
        </w:rPr>
        <w:t xml:space="preserve"> 2010. </w:t>
      </w:r>
      <w:r w:rsidRPr="003307F1">
        <w:rPr>
          <w:rFonts w:ascii="Times New Roman" w:hAnsi="Times New Roman"/>
          <w:sz w:val="28"/>
          <w:szCs w:val="28"/>
        </w:rPr>
        <w:t>–</w:t>
      </w:r>
      <w:r w:rsidRPr="003307F1">
        <w:rPr>
          <w:rFonts w:ascii="Times New Roman" w:hAnsi="Times New Roman"/>
          <w:sz w:val="28"/>
          <w:szCs w:val="28"/>
          <w:lang w:val="en-US"/>
        </w:rPr>
        <w:t xml:space="preserve"> Vol. 42, № 12. </w:t>
      </w:r>
      <w:r w:rsidRPr="003307F1">
        <w:rPr>
          <w:rFonts w:ascii="Times New Roman" w:hAnsi="Times New Roman"/>
          <w:sz w:val="28"/>
          <w:szCs w:val="28"/>
        </w:rPr>
        <w:t>– Р</w:t>
      </w:r>
      <w:r>
        <w:rPr>
          <w:rFonts w:ascii="Times New Roman" w:hAnsi="Times New Roman"/>
          <w:sz w:val="28"/>
          <w:szCs w:val="28"/>
          <w:lang w:val="en-US"/>
        </w:rPr>
        <w:t>. 877</w:t>
      </w:r>
      <w:r>
        <w:rPr>
          <w:rFonts w:ascii="Times New Roman" w:hAnsi="Times New Roman"/>
          <w:sz w:val="28"/>
          <w:szCs w:val="28"/>
        </w:rPr>
        <w:t>-</w:t>
      </w:r>
      <w:r w:rsidRPr="003307F1">
        <w:rPr>
          <w:rFonts w:ascii="Times New Roman" w:hAnsi="Times New Roman"/>
          <w:sz w:val="28"/>
          <w:szCs w:val="28"/>
          <w:lang w:val="en-US"/>
        </w:rPr>
        <w:t>881.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Endoscopic ultrasound-guided fine needle aspiration cytology diagnosis of solid pseudopapillary tumor of the pancreas: a report of 3 cases / </w:t>
      </w:r>
      <w:r w:rsidRPr="003307F1">
        <w:rPr>
          <w:rFonts w:ascii="Times New Roman" w:hAnsi="Times New Roman"/>
          <w:sz w:val="28"/>
          <w:szCs w:val="28"/>
        </w:rPr>
        <w:t>Р</w:t>
      </w:r>
      <w:r w:rsidRPr="003307F1">
        <w:rPr>
          <w:rFonts w:ascii="Times New Roman" w:hAnsi="Times New Roman"/>
          <w:sz w:val="28"/>
          <w:szCs w:val="28"/>
          <w:lang w:val="en-US"/>
        </w:rPr>
        <w:t xml:space="preserve">. </w:t>
      </w:r>
      <w:r w:rsidRPr="003307F1">
        <w:rPr>
          <w:rFonts w:ascii="Times New Roman" w:hAnsi="Times New Roman"/>
          <w:sz w:val="28"/>
          <w:szCs w:val="28"/>
          <w:lang w:val="fr-FR"/>
        </w:rPr>
        <w:t>Chatzipantelis,</w:t>
      </w:r>
      <w:r w:rsidRPr="003307F1">
        <w:rPr>
          <w:rFonts w:ascii="Times New Roman" w:hAnsi="Times New Roman"/>
          <w:sz w:val="28"/>
          <w:szCs w:val="28"/>
          <w:lang w:val="en-US"/>
        </w:rPr>
        <w:t xml:space="preserve"> </w:t>
      </w:r>
      <w:r w:rsidRPr="003307F1">
        <w:rPr>
          <w:rFonts w:ascii="Times New Roman" w:hAnsi="Times New Roman"/>
          <w:sz w:val="28"/>
          <w:szCs w:val="28"/>
        </w:rPr>
        <w:t>С</w:t>
      </w:r>
      <w:r w:rsidRPr="003307F1">
        <w:rPr>
          <w:rFonts w:ascii="Times New Roman" w:hAnsi="Times New Roman"/>
          <w:sz w:val="28"/>
          <w:szCs w:val="28"/>
          <w:lang w:val="en-US"/>
        </w:rPr>
        <w:t>.</w:t>
      </w:r>
      <w:r w:rsidRPr="003307F1">
        <w:rPr>
          <w:rFonts w:ascii="Times New Roman" w:hAnsi="Times New Roman"/>
          <w:sz w:val="28"/>
          <w:szCs w:val="28"/>
          <w:lang w:val="fr-FR"/>
        </w:rPr>
        <w:t xml:space="preserve"> Salla</w:t>
      </w:r>
      <w:r w:rsidRPr="003307F1">
        <w:rPr>
          <w:rFonts w:ascii="Times New Roman" w:hAnsi="Times New Roman"/>
          <w:sz w:val="28"/>
          <w:szCs w:val="28"/>
          <w:lang w:val="en-US"/>
        </w:rPr>
        <w:t>,</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 </w:t>
      </w:r>
      <w:r w:rsidRPr="003307F1">
        <w:rPr>
          <w:rFonts w:ascii="Times New Roman" w:hAnsi="Times New Roman"/>
          <w:sz w:val="28"/>
          <w:szCs w:val="28"/>
          <w:lang w:val="fr-FR"/>
        </w:rPr>
        <w:t>G. Apostolou</w:t>
      </w:r>
      <w:r w:rsidRPr="003307F1">
        <w:rPr>
          <w:rFonts w:ascii="Times New Roman" w:hAnsi="Times New Roman"/>
          <w:sz w:val="28"/>
          <w:szCs w:val="28"/>
          <w:lang w:val="en-US"/>
        </w:rPr>
        <w:t xml:space="preserve"> </w:t>
      </w:r>
      <w:r w:rsidRPr="003307F1">
        <w:rPr>
          <w:rFonts w:ascii="Times New Roman" w:hAnsi="Times New Roman"/>
          <w:sz w:val="28"/>
          <w:szCs w:val="28"/>
          <w:lang w:val="fr-FR"/>
        </w:rPr>
        <w:t>[</w:t>
      </w:r>
      <w:r w:rsidRPr="003307F1">
        <w:rPr>
          <w:rFonts w:ascii="Times New Roman" w:hAnsi="Times New Roman"/>
          <w:sz w:val="28"/>
          <w:szCs w:val="28"/>
          <w:lang w:val="en-US"/>
        </w:rPr>
        <w:t xml:space="preserve"> </w:t>
      </w:r>
      <w:r w:rsidRPr="003307F1">
        <w:rPr>
          <w:rFonts w:ascii="Times New Roman" w:hAnsi="Times New Roman"/>
          <w:sz w:val="28"/>
          <w:szCs w:val="28"/>
          <w:lang w:val="fr-FR"/>
        </w:rPr>
        <w:t>et al</w:t>
      </w:r>
      <w:r w:rsidRPr="003307F1">
        <w:rPr>
          <w:rFonts w:ascii="Times New Roman" w:hAnsi="Times New Roman"/>
          <w:sz w:val="28"/>
          <w:szCs w:val="28"/>
          <w:lang w:val="en-US"/>
        </w:rPr>
        <w:t xml:space="preserve">. ] // Acta. Cytol. </w:t>
      </w:r>
      <w:r w:rsidRPr="003307F1">
        <w:rPr>
          <w:rFonts w:ascii="Times New Roman" w:hAnsi="Times New Roman"/>
          <w:sz w:val="28"/>
          <w:szCs w:val="28"/>
        </w:rPr>
        <w:t>–</w:t>
      </w:r>
      <w:r w:rsidRPr="003307F1">
        <w:rPr>
          <w:rFonts w:ascii="Times New Roman" w:hAnsi="Times New Roman"/>
          <w:sz w:val="28"/>
          <w:szCs w:val="28"/>
          <w:lang w:val="en-US"/>
        </w:rPr>
        <w:t xml:space="preserve"> 2010. </w:t>
      </w:r>
      <w:r w:rsidRPr="003307F1">
        <w:rPr>
          <w:rFonts w:ascii="Times New Roman" w:hAnsi="Times New Roman"/>
          <w:sz w:val="28"/>
          <w:szCs w:val="28"/>
        </w:rPr>
        <w:t>–</w:t>
      </w:r>
      <w:r w:rsidRPr="003307F1">
        <w:rPr>
          <w:rFonts w:ascii="Times New Roman" w:hAnsi="Times New Roman"/>
          <w:sz w:val="28"/>
          <w:szCs w:val="28"/>
          <w:lang w:val="en-US"/>
        </w:rPr>
        <w:t xml:space="preserve"> Vol. 54. </w:t>
      </w:r>
      <w:r w:rsidRPr="003307F1">
        <w:rPr>
          <w:rFonts w:ascii="Times New Roman" w:hAnsi="Times New Roman"/>
          <w:sz w:val="28"/>
          <w:szCs w:val="28"/>
        </w:rPr>
        <w:t xml:space="preserve">– </w:t>
      </w:r>
      <w:r>
        <w:rPr>
          <w:rFonts w:ascii="Times New Roman" w:hAnsi="Times New Roman"/>
          <w:sz w:val="28"/>
          <w:szCs w:val="28"/>
          <w:lang w:val="en-US"/>
        </w:rPr>
        <w:t>P. 701</w:t>
      </w:r>
      <w:r>
        <w:rPr>
          <w:rFonts w:ascii="Times New Roman" w:hAnsi="Times New Roman"/>
          <w:sz w:val="28"/>
          <w:szCs w:val="28"/>
        </w:rPr>
        <w:t>-</w:t>
      </w:r>
      <w:r w:rsidRPr="003307F1">
        <w:rPr>
          <w:rFonts w:ascii="Times New Roman" w:hAnsi="Times New Roman"/>
          <w:sz w:val="28"/>
          <w:szCs w:val="28"/>
          <w:lang w:val="en-US"/>
        </w:rPr>
        <w:t>706.</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European society of gastrointestinal endoscopy (ESGE) guideline: prophylaxis of post-ERCP pancreatitis / J. M. </w:t>
      </w:r>
      <w:r w:rsidRPr="003307F1">
        <w:rPr>
          <w:rFonts w:ascii="Times New Roman" w:hAnsi="Times New Roman"/>
          <w:sz w:val="28"/>
          <w:szCs w:val="28"/>
          <w:lang w:val="fr-FR"/>
        </w:rPr>
        <w:t xml:space="preserve">Dumonceau, A. Andriulli, J. Deviere [ et al. ] </w:t>
      </w:r>
      <w:r w:rsidRPr="003307F1">
        <w:rPr>
          <w:rFonts w:ascii="Times New Roman" w:hAnsi="Times New Roman"/>
          <w:sz w:val="28"/>
          <w:szCs w:val="28"/>
          <w:lang w:val="en-US"/>
        </w:rPr>
        <w:t>// Endoscopy. – 2</w:t>
      </w:r>
      <w:r>
        <w:rPr>
          <w:rFonts w:ascii="Times New Roman" w:hAnsi="Times New Roman"/>
          <w:sz w:val="28"/>
          <w:szCs w:val="28"/>
          <w:lang w:val="en-US"/>
        </w:rPr>
        <w:t>010. – Vol. 42, № 6. – P. 503</w:t>
      </w:r>
      <w:r w:rsidRPr="00C62D22">
        <w:rPr>
          <w:rFonts w:ascii="Times New Roman" w:hAnsi="Times New Roman"/>
          <w:sz w:val="28"/>
          <w:szCs w:val="28"/>
          <w:lang w:val="en-US"/>
        </w:rPr>
        <w:t>-</w:t>
      </w:r>
      <w:r w:rsidRPr="003307F1">
        <w:rPr>
          <w:rFonts w:ascii="Times New Roman" w:hAnsi="Times New Roman"/>
          <w:sz w:val="28"/>
          <w:szCs w:val="28"/>
          <w:lang w:val="en-US"/>
        </w:rPr>
        <w:t>515.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EUS 2008 working group document: evaluation of EUS-guided drainage of pancreatic-fluid collection (with video) / S. Seewald, T. L. Ang, M. Kida</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 et al</w:t>
      </w:r>
      <w:r w:rsidRPr="00C62D22">
        <w:rPr>
          <w:rFonts w:ascii="Times New Roman" w:hAnsi="Times New Roman"/>
          <w:sz w:val="28"/>
          <w:szCs w:val="28"/>
          <w:lang w:val="en-US"/>
        </w:rPr>
        <w:t>. ]</w:t>
      </w:r>
      <w:r w:rsidRPr="003307F1">
        <w:rPr>
          <w:rFonts w:ascii="Times New Roman" w:hAnsi="Times New Roman"/>
          <w:sz w:val="28"/>
          <w:szCs w:val="28"/>
          <w:lang w:val="en-US"/>
        </w:rPr>
        <w:t xml:space="preserve"> // Gastrointest. Endosc. </w:t>
      </w:r>
      <w:r>
        <w:rPr>
          <w:rFonts w:ascii="Times New Roman" w:hAnsi="Times New Roman"/>
          <w:sz w:val="28"/>
          <w:szCs w:val="28"/>
          <w:lang w:val="en-US"/>
        </w:rPr>
        <w:t>– 2009. – Vol. 69, № 2. – P. 13</w:t>
      </w:r>
      <w:r>
        <w:rPr>
          <w:rFonts w:ascii="Times New Roman" w:hAnsi="Times New Roman"/>
          <w:sz w:val="28"/>
          <w:szCs w:val="28"/>
        </w:rPr>
        <w:t>-</w:t>
      </w:r>
      <w:r w:rsidRPr="003307F1">
        <w:rPr>
          <w:rFonts w:ascii="Times New Roman" w:hAnsi="Times New Roman"/>
          <w:sz w:val="28"/>
          <w:szCs w:val="28"/>
          <w:lang w:val="en-US"/>
        </w:rPr>
        <w:t>21.</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Expression of transforming growth factor-beta in spontaneous chronic pancreatitis in the WBN / S. B. Su, Y. Motoo, M. J. Xie Kob // Rat. Dig. Dis. S</w:t>
      </w:r>
      <w:r>
        <w:rPr>
          <w:rFonts w:ascii="Times New Roman" w:hAnsi="Times New Roman"/>
          <w:sz w:val="28"/>
          <w:szCs w:val="28"/>
          <w:lang w:val="en-US"/>
        </w:rPr>
        <w:t>ci. – 2000 – Vol. 4. – P. 151</w:t>
      </w:r>
      <w:r w:rsidRPr="00C62D22">
        <w:rPr>
          <w:rFonts w:ascii="Times New Roman" w:hAnsi="Times New Roman"/>
          <w:sz w:val="28"/>
          <w:szCs w:val="28"/>
          <w:lang w:val="en-US"/>
        </w:rPr>
        <w:t>-</w:t>
      </w:r>
      <w:r w:rsidRPr="003307F1">
        <w:rPr>
          <w:rFonts w:ascii="Times New Roman" w:hAnsi="Times New Roman"/>
          <w:sz w:val="28"/>
          <w:szCs w:val="28"/>
          <w:lang w:val="en-US"/>
        </w:rPr>
        <w:t>159</w:t>
      </w:r>
      <w:r w:rsidRPr="00C62D22">
        <w:rPr>
          <w:rFonts w:ascii="Times New Roman" w:hAnsi="Times New Roman"/>
          <w:sz w:val="28"/>
          <w:szCs w:val="28"/>
          <w:lang w:val="en-US"/>
        </w:rPr>
        <w:t>.</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bCs/>
          <w:sz w:val="28"/>
          <w:szCs w:val="28"/>
          <w:bdr w:val="none" w:sz="0" w:space="0" w:color="auto" w:frame="1"/>
          <w:lang w:val="en-US"/>
        </w:rPr>
        <w:t>Extent of pancreatic fibrosis as a determinant of symptom resolution after the Frey procedure: a clinico-pathologic analysis</w:t>
      </w:r>
      <w:r w:rsidRPr="00C62D22">
        <w:rPr>
          <w:rFonts w:ascii="Times New Roman" w:hAnsi="Times New Roman"/>
          <w:bCs/>
          <w:sz w:val="28"/>
          <w:szCs w:val="28"/>
          <w:bdr w:val="none" w:sz="0" w:space="0" w:color="auto" w:frame="1"/>
          <w:lang w:val="en-US"/>
        </w:rPr>
        <w:t xml:space="preserve"> / </w:t>
      </w:r>
      <w:r w:rsidRPr="003307F1">
        <w:rPr>
          <w:rFonts w:ascii="Times New Roman" w:hAnsi="Times New Roman"/>
          <w:sz w:val="28"/>
          <w:szCs w:val="28"/>
        </w:rPr>
        <w:t>М</w:t>
      </w:r>
      <w:r w:rsidRPr="00C62D22">
        <w:rPr>
          <w:rFonts w:ascii="Times New Roman" w:hAnsi="Times New Roman"/>
          <w:sz w:val="28"/>
          <w:szCs w:val="28"/>
          <w:lang w:val="en-US"/>
        </w:rPr>
        <w:t xml:space="preserve">. </w:t>
      </w:r>
      <w:r w:rsidRPr="003307F1">
        <w:rPr>
          <w:rFonts w:ascii="Times New Roman" w:hAnsi="Times New Roman"/>
          <w:sz w:val="28"/>
          <w:szCs w:val="28"/>
        </w:rPr>
        <w:t>А</w:t>
      </w:r>
      <w:r w:rsidRPr="00C62D22">
        <w:rPr>
          <w:rFonts w:ascii="Times New Roman" w:hAnsi="Times New Roman"/>
          <w:sz w:val="28"/>
          <w:szCs w:val="28"/>
          <w:lang w:val="en-US"/>
        </w:rPr>
        <w:t>.</w:t>
      </w:r>
      <w:r w:rsidRPr="00C62D22">
        <w:rPr>
          <w:rFonts w:ascii="Times New Roman" w:hAnsi="Times New Roman"/>
          <w:b/>
          <w:i/>
          <w:sz w:val="28"/>
          <w:szCs w:val="28"/>
          <w:lang w:val="en-US"/>
        </w:rPr>
        <w:t xml:space="preserve"> </w:t>
      </w:r>
      <w:r w:rsidRPr="003307F1">
        <w:rPr>
          <w:rFonts w:ascii="Times New Roman" w:hAnsi="Times New Roman"/>
          <w:sz w:val="28"/>
          <w:szCs w:val="28"/>
          <w:bdr w:val="none" w:sz="0" w:space="0" w:color="auto" w:frame="1"/>
          <w:lang w:val="en-US"/>
        </w:rPr>
        <w:t xml:space="preserve">Cooper, </w:t>
      </w:r>
      <w:r w:rsidRPr="003307F1">
        <w:rPr>
          <w:rFonts w:ascii="Times New Roman" w:hAnsi="Times New Roman"/>
          <w:sz w:val="28"/>
          <w:szCs w:val="28"/>
          <w:bdr w:val="none" w:sz="0" w:space="0" w:color="auto" w:frame="1"/>
        </w:rPr>
        <w:t>М</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rPr>
        <w:t>А</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Makary, J</w:t>
      </w:r>
      <w:r w:rsidRPr="00C62D22">
        <w:rPr>
          <w:rFonts w:ascii="Times New Roman" w:hAnsi="Times New Roman"/>
          <w:sz w:val="28"/>
          <w:szCs w:val="28"/>
          <w:bdr w:val="none" w:sz="0" w:space="0" w:color="auto" w:frame="1"/>
          <w:lang w:val="en-US"/>
        </w:rPr>
        <w:t>.</w:t>
      </w:r>
      <w:r w:rsidRPr="003307F1">
        <w:rPr>
          <w:rFonts w:ascii="Times New Roman" w:hAnsi="Times New Roman"/>
          <w:sz w:val="28"/>
          <w:szCs w:val="28"/>
          <w:bdr w:val="none" w:sz="0" w:space="0" w:color="auto" w:frame="1"/>
          <w:lang w:val="en-US"/>
        </w:rPr>
        <w:t xml:space="preserve"> Ng </w:t>
      </w:r>
      <w:r w:rsidRPr="003307F1">
        <w:rPr>
          <w:rFonts w:ascii="Times New Roman" w:hAnsi="Times New Roman"/>
          <w:sz w:val="28"/>
          <w:szCs w:val="28"/>
          <w:lang w:val="en-US"/>
        </w:rPr>
        <w:t xml:space="preserve">[et al.] </w:t>
      </w:r>
      <w:r w:rsidRPr="00C62D22">
        <w:rPr>
          <w:rFonts w:ascii="Times New Roman" w:hAnsi="Times New Roman"/>
          <w:sz w:val="28"/>
          <w:szCs w:val="28"/>
          <w:bdr w:val="none" w:sz="0" w:space="0" w:color="auto" w:frame="1"/>
          <w:lang w:val="en-US"/>
        </w:rPr>
        <w:t xml:space="preserve">// </w:t>
      </w:r>
      <w:r w:rsidRPr="003307F1">
        <w:rPr>
          <w:rFonts w:ascii="Times New Roman" w:hAnsi="Times New Roman"/>
          <w:iCs/>
          <w:sz w:val="28"/>
          <w:szCs w:val="28"/>
          <w:bdr w:val="none" w:sz="0" w:space="0" w:color="auto" w:frame="1"/>
          <w:lang w:val="en-US"/>
        </w:rPr>
        <w:t>J. Gastrointest</w:t>
      </w:r>
      <w:r w:rsidRPr="00C62D22">
        <w:rPr>
          <w:rFonts w:ascii="Times New Roman" w:hAnsi="Times New Roman"/>
          <w:iCs/>
          <w:sz w:val="28"/>
          <w:szCs w:val="28"/>
          <w:bdr w:val="none" w:sz="0" w:space="0" w:color="auto" w:frame="1"/>
          <w:lang w:val="en-US"/>
        </w:rPr>
        <w:t>.</w:t>
      </w:r>
      <w:r w:rsidRPr="003307F1">
        <w:rPr>
          <w:rFonts w:ascii="Times New Roman" w:hAnsi="Times New Roman"/>
          <w:iCs/>
          <w:sz w:val="28"/>
          <w:szCs w:val="28"/>
          <w:bdr w:val="none" w:sz="0" w:space="0" w:color="auto" w:frame="1"/>
          <w:lang w:val="en-US"/>
        </w:rPr>
        <w:t xml:space="preserve"> Surg</w:t>
      </w:r>
      <w:r w:rsidRPr="003307F1">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w:t>
      </w:r>
      <w:r w:rsidRPr="003307F1">
        <w:rPr>
          <w:rFonts w:ascii="Times New Roman" w:hAnsi="Times New Roman"/>
          <w:sz w:val="28"/>
          <w:szCs w:val="28"/>
          <w:bdr w:val="none" w:sz="0" w:space="0" w:color="auto" w:frame="1"/>
          <w:lang w:val="en-US"/>
        </w:rPr>
        <w:t xml:space="preserve"> 2013</w:t>
      </w:r>
      <w:r w:rsidRPr="003307F1">
        <w:rPr>
          <w:rFonts w:ascii="Times New Roman" w:hAnsi="Times New Roman"/>
          <w:sz w:val="28"/>
          <w:szCs w:val="28"/>
          <w:bdr w:val="none" w:sz="0" w:space="0" w:color="auto" w:frame="1"/>
        </w:rPr>
        <w:t xml:space="preserve">. </w:t>
      </w:r>
      <w:r w:rsidRPr="003307F1">
        <w:rPr>
          <w:rFonts w:ascii="Times New Roman" w:hAnsi="Times New Roman"/>
          <w:sz w:val="28"/>
          <w:szCs w:val="28"/>
          <w:lang w:val="en-US"/>
        </w:rPr>
        <w:t>– Vol</w:t>
      </w:r>
      <w:r w:rsidRPr="003307F1">
        <w:rPr>
          <w:rFonts w:ascii="Times New Roman" w:hAnsi="Times New Roman"/>
          <w:sz w:val="28"/>
          <w:szCs w:val="28"/>
          <w:bdr w:val="none" w:sz="0" w:space="0" w:color="auto" w:frame="1"/>
          <w:lang w:val="en-US"/>
        </w:rPr>
        <w:t>. 17</w:t>
      </w:r>
      <w:r w:rsidRPr="003307F1">
        <w:rPr>
          <w:rFonts w:ascii="Times New Roman" w:hAnsi="Times New Roman"/>
          <w:sz w:val="28"/>
          <w:szCs w:val="28"/>
          <w:bdr w:val="none" w:sz="0" w:space="0" w:color="auto" w:frame="1"/>
        </w:rPr>
        <w:t xml:space="preserve">, № </w:t>
      </w:r>
      <w:r w:rsidRPr="003307F1">
        <w:rPr>
          <w:rFonts w:ascii="Times New Roman" w:hAnsi="Times New Roman"/>
          <w:sz w:val="28"/>
          <w:szCs w:val="28"/>
          <w:bdr w:val="none" w:sz="0" w:space="0" w:color="auto" w:frame="1"/>
          <w:lang w:val="en-US"/>
        </w:rPr>
        <w:t>4</w:t>
      </w:r>
      <w:r w:rsidRPr="003307F1">
        <w:rPr>
          <w:rFonts w:ascii="Times New Roman" w:hAnsi="Times New Roman"/>
          <w:sz w:val="28"/>
          <w:szCs w:val="28"/>
          <w:bdr w:val="none" w:sz="0" w:space="0" w:color="auto" w:frame="1"/>
        </w:rPr>
        <w:t xml:space="preserve">. </w:t>
      </w:r>
      <w:r w:rsidRPr="003307F1">
        <w:rPr>
          <w:rFonts w:ascii="Times New Roman" w:hAnsi="Times New Roman"/>
          <w:sz w:val="28"/>
          <w:szCs w:val="28"/>
          <w:lang w:val="en-US"/>
        </w:rPr>
        <w:t xml:space="preserve">– </w:t>
      </w:r>
      <w:r w:rsidRPr="003307F1">
        <w:rPr>
          <w:rFonts w:ascii="Times New Roman" w:hAnsi="Times New Roman"/>
          <w:sz w:val="28"/>
          <w:szCs w:val="28"/>
        </w:rPr>
        <w:t xml:space="preserve">Р. </w:t>
      </w:r>
      <w:r w:rsidRPr="003307F1">
        <w:rPr>
          <w:rFonts w:ascii="Times New Roman" w:hAnsi="Times New Roman"/>
          <w:sz w:val="28"/>
          <w:szCs w:val="28"/>
          <w:bdr w:val="none" w:sz="0" w:space="0" w:color="auto" w:frame="1"/>
          <w:lang w:val="en-US"/>
        </w:rPr>
        <w:t>682</w:t>
      </w:r>
      <w:r>
        <w:rPr>
          <w:rFonts w:ascii="Times New Roman" w:hAnsi="Times New Roman"/>
          <w:sz w:val="28"/>
          <w:szCs w:val="28"/>
          <w:bdr w:val="none" w:sz="0" w:space="0" w:color="auto" w:frame="1"/>
        </w:rPr>
        <w:t>-</w:t>
      </w:r>
      <w:r w:rsidRPr="003307F1">
        <w:rPr>
          <w:rFonts w:ascii="Times New Roman" w:hAnsi="Times New Roman"/>
          <w:sz w:val="28"/>
          <w:szCs w:val="28"/>
          <w:bdr w:val="none" w:sz="0" w:space="0" w:color="auto" w:frame="1"/>
        </w:rPr>
        <w:t>68</w:t>
      </w:r>
      <w:r w:rsidRPr="003307F1">
        <w:rPr>
          <w:rFonts w:ascii="Times New Roman" w:hAnsi="Times New Roman"/>
          <w:sz w:val="28"/>
          <w:szCs w:val="28"/>
          <w:bdr w:val="none" w:sz="0" w:space="0" w:color="auto" w:frame="1"/>
          <w:lang w:val="en-US"/>
        </w:rPr>
        <w:t>7</w:t>
      </w:r>
      <w:r w:rsidRPr="003307F1">
        <w:rPr>
          <w:rFonts w:ascii="Times New Roman" w:hAnsi="Times New Roman"/>
          <w:sz w:val="28"/>
          <w:szCs w:val="28"/>
          <w:bdr w:val="none" w:sz="0" w:space="0" w:color="auto" w:frame="1"/>
        </w:rPr>
        <w:t>.</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bdr w:val="none" w:sz="0" w:space="0" w:color="auto" w:frame="1"/>
          <w:lang w:val="en-US"/>
        </w:rPr>
        <w:t>Ferris H</w:t>
      </w:r>
      <w:r w:rsidRPr="00C62D22">
        <w:rPr>
          <w:rFonts w:ascii="Times New Roman" w:hAnsi="Times New Roman"/>
          <w:sz w:val="28"/>
          <w:szCs w:val="28"/>
          <w:bdr w:val="none" w:sz="0" w:space="0" w:color="auto" w:frame="1"/>
          <w:lang w:val="en-US"/>
        </w:rPr>
        <w:t xml:space="preserve">. </w:t>
      </w:r>
      <w:r w:rsidRPr="003307F1">
        <w:rPr>
          <w:rFonts w:ascii="Times New Roman" w:hAnsi="Times New Roman"/>
          <w:bCs/>
          <w:sz w:val="28"/>
          <w:szCs w:val="28"/>
          <w:bdr w:val="none" w:sz="0" w:space="0" w:color="auto" w:frame="1"/>
          <w:lang w:val="en-US"/>
        </w:rPr>
        <w:t>Pancreatico pleural fistula: an unusual complication of chronic pancreatitis</w:t>
      </w:r>
      <w:r w:rsidRPr="00C62D22">
        <w:rPr>
          <w:rFonts w:ascii="Times New Roman" w:hAnsi="Times New Roman"/>
          <w:bCs/>
          <w:sz w:val="28"/>
          <w:szCs w:val="28"/>
          <w:bdr w:val="none" w:sz="0" w:space="0" w:color="auto" w:frame="1"/>
          <w:lang w:val="en-US"/>
        </w:rPr>
        <w:t xml:space="preserve"> / </w:t>
      </w:r>
      <w:r w:rsidRPr="003307F1">
        <w:rPr>
          <w:rFonts w:ascii="Times New Roman" w:hAnsi="Times New Roman"/>
          <w:bCs/>
          <w:sz w:val="28"/>
          <w:szCs w:val="28"/>
          <w:bdr w:val="none" w:sz="0" w:space="0" w:color="auto" w:frame="1"/>
        </w:rPr>
        <w:t>Н</w:t>
      </w:r>
      <w:r w:rsidRPr="00C62D22">
        <w:rPr>
          <w:rFonts w:ascii="Times New Roman" w:hAnsi="Times New Roman"/>
          <w:bCs/>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 xml:space="preserve">Ferris, </w:t>
      </w:r>
      <w:r w:rsidRPr="003307F1">
        <w:rPr>
          <w:rFonts w:ascii="Times New Roman" w:hAnsi="Times New Roman"/>
          <w:sz w:val="28"/>
          <w:szCs w:val="28"/>
          <w:bdr w:val="none" w:sz="0" w:space="0" w:color="auto" w:frame="1"/>
        </w:rPr>
        <w:t>М</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Buckley</w:t>
      </w:r>
      <w:r w:rsidRPr="00C62D22">
        <w:rPr>
          <w:rFonts w:ascii="Times New Roman" w:hAnsi="Times New Roman"/>
          <w:sz w:val="28"/>
          <w:szCs w:val="28"/>
          <w:bdr w:val="none" w:sz="0" w:space="0" w:color="auto" w:frame="1"/>
          <w:lang w:val="en-US"/>
        </w:rPr>
        <w:t xml:space="preserve"> // </w:t>
      </w:r>
      <w:r w:rsidRPr="003307F1">
        <w:rPr>
          <w:rFonts w:ascii="Times New Roman" w:hAnsi="Times New Roman"/>
          <w:iCs/>
          <w:sz w:val="28"/>
          <w:szCs w:val="28"/>
          <w:bdr w:val="none" w:sz="0" w:space="0" w:color="auto" w:frame="1"/>
          <w:lang w:val="en-US"/>
        </w:rPr>
        <w:t>Ir. Med. J</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w:t>
      </w:r>
      <w:r w:rsidRPr="003307F1">
        <w:rPr>
          <w:rFonts w:ascii="Times New Roman" w:hAnsi="Times New Roman"/>
          <w:sz w:val="28"/>
          <w:szCs w:val="28"/>
          <w:bdr w:val="none" w:sz="0" w:space="0" w:color="auto" w:frame="1"/>
          <w:lang w:val="en-US"/>
        </w:rPr>
        <w:t xml:space="preserve"> 2012</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 xml:space="preserve">– Vol. </w:t>
      </w:r>
      <w:r w:rsidRPr="003307F1">
        <w:rPr>
          <w:rFonts w:ascii="Times New Roman" w:hAnsi="Times New Roman"/>
          <w:sz w:val="28"/>
          <w:szCs w:val="28"/>
          <w:bdr w:val="none" w:sz="0" w:space="0" w:color="auto" w:frame="1"/>
          <w:lang w:val="en-US"/>
        </w:rPr>
        <w:t>105</w:t>
      </w:r>
      <w:r w:rsidRPr="00C62D22">
        <w:rPr>
          <w:rFonts w:ascii="Times New Roman" w:hAnsi="Times New Roman"/>
          <w:sz w:val="28"/>
          <w:szCs w:val="28"/>
          <w:bdr w:val="none" w:sz="0" w:space="0" w:color="auto" w:frame="1"/>
          <w:lang w:val="en-US"/>
        </w:rPr>
        <w:t xml:space="preserve">, № </w:t>
      </w:r>
      <w:r w:rsidRPr="003307F1">
        <w:rPr>
          <w:rFonts w:ascii="Times New Roman" w:hAnsi="Times New Roman"/>
          <w:sz w:val="28"/>
          <w:szCs w:val="28"/>
          <w:bdr w:val="none" w:sz="0" w:space="0" w:color="auto" w:frame="1"/>
          <w:lang w:val="en-US"/>
        </w:rPr>
        <w:t>7</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w:t>
      </w:r>
      <w:r w:rsidRPr="00C62D22">
        <w:rPr>
          <w:rFonts w:ascii="Times New Roman" w:hAnsi="Times New Roman"/>
          <w:sz w:val="28"/>
          <w:szCs w:val="28"/>
          <w:lang w:val="en-US"/>
        </w:rPr>
        <w:t xml:space="preserve"> </w:t>
      </w:r>
      <w:r w:rsidRPr="003307F1">
        <w:rPr>
          <w:rFonts w:ascii="Times New Roman" w:hAnsi="Times New Roman"/>
          <w:sz w:val="28"/>
          <w:szCs w:val="28"/>
        </w:rPr>
        <w:t>Р</w:t>
      </w:r>
      <w:r w:rsidRPr="00C62D22">
        <w:rPr>
          <w:rFonts w:ascii="Times New Roman" w:hAnsi="Times New Roman"/>
          <w:sz w:val="28"/>
          <w:szCs w:val="28"/>
          <w:lang w:val="en-US"/>
        </w:rPr>
        <w:t>.</w:t>
      </w:r>
      <w:r w:rsidRPr="003307F1">
        <w:rPr>
          <w:rFonts w:ascii="Times New Roman" w:hAnsi="Times New Roman"/>
          <w:sz w:val="28"/>
          <w:szCs w:val="28"/>
          <w:bdr w:val="none" w:sz="0" w:space="0" w:color="auto" w:frame="1"/>
          <w:lang w:val="en-US"/>
        </w:rPr>
        <w:t>246</w:t>
      </w:r>
      <w:r w:rsidRPr="00C62D22">
        <w:rPr>
          <w:rFonts w:ascii="Times New Roman" w:hAnsi="Times New Roman"/>
          <w:sz w:val="28"/>
          <w:szCs w:val="28"/>
          <w:bdr w:val="none" w:sz="0" w:space="0" w:color="auto" w:frame="1"/>
          <w:lang w:val="en-US"/>
        </w:rPr>
        <w:t>-24</w:t>
      </w:r>
      <w:r w:rsidRPr="003307F1">
        <w:rPr>
          <w:rFonts w:ascii="Times New Roman" w:hAnsi="Times New Roman"/>
          <w:sz w:val="28"/>
          <w:szCs w:val="28"/>
          <w:bdr w:val="none" w:sz="0" w:space="0" w:color="auto" w:frame="1"/>
          <w:lang w:val="en-US"/>
        </w:rPr>
        <w:t>7</w:t>
      </w:r>
      <w:r w:rsidRPr="00C62D22">
        <w:rPr>
          <w:rFonts w:ascii="Times New Roman" w:hAnsi="Times New Roman"/>
          <w:sz w:val="28"/>
          <w:szCs w:val="28"/>
          <w:bdr w:val="none" w:sz="0" w:space="0" w:color="auto" w:frame="1"/>
          <w:lang w:val="en-US"/>
        </w:rPr>
        <w:t>.</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Gagner M. Laparoscopic Whipple procedure: review of literature / </w:t>
      </w:r>
      <w:r w:rsidRPr="003307F1">
        <w:rPr>
          <w:rFonts w:ascii="Times New Roman" w:hAnsi="Times New Roman"/>
          <w:sz w:val="28"/>
          <w:szCs w:val="28"/>
        </w:rPr>
        <w:t>М</w:t>
      </w:r>
      <w:r w:rsidRPr="003307F1">
        <w:rPr>
          <w:rFonts w:ascii="Times New Roman" w:hAnsi="Times New Roman"/>
          <w:sz w:val="28"/>
          <w:szCs w:val="28"/>
          <w:lang w:val="en-US"/>
        </w:rPr>
        <w:t>. Gagner, M. Palermo // J. Hepatobil. Pancreat. Surg</w:t>
      </w:r>
      <w:r>
        <w:rPr>
          <w:rFonts w:ascii="Times New Roman" w:hAnsi="Times New Roman"/>
          <w:sz w:val="28"/>
          <w:szCs w:val="28"/>
          <w:lang w:val="en-US"/>
        </w:rPr>
        <w:t>. – 2009. – Vol. 16. – P. 726</w:t>
      </w:r>
      <w:r>
        <w:rPr>
          <w:rFonts w:ascii="Times New Roman" w:hAnsi="Times New Roman"/>
          <w:sz w:val="28"/>
          <w:szCs w:val="28"/>
        </w:rPr>
        <w:t>-</w:t>
      </w:r>
      <w:r w:rsidRPr="003307F1">
        <w:rPr>
          <w:rFonts w:ascii="Times New Roman" w:hAnsi="Times New Roman"/>
          <w:sz w:val="28"/>
          <w:szCs w:val="28"/>
          <w:lang w:val="en-US"/>
        </w:rPr>
        <w:t>730.</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Gastrointestinal bleeding due to an erosion of the superior mesenteric</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artery: an exceptional fatal complication of pancreatic</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pseudocyst / M. Bouassida, M. Benali, </w:t>
      </w:r>
      <w:r w:rsidRPr="00C62D22">
        <w:rPr>
          <w:rFonts w:ascii="Times New Roman" w:hAnsi="Times New Roman"/>
          <w:sz w:val="28"/>
          <w:szCs w:val="28"/>
          <w:lang w:val="en-US"/>
        </w:rPr>
        <w:t xml:space="preserve">                   </w:t>
      </w:r>
      <w:r w:rsidRPr="003307F1">
        <w:rPr>
          <w:rFonts w:ascii="Times New Roman" w:hAnsi="Times New Roman"/>
          <w:sz w:val="28"/>
          <w:szCs w:val="28"/>
          <w:lang w:val="en-US"/>
        </w:rPr>
        <w:t>H. Charrada [</w:t>
      </w:r>
      <w:r w:rsidRPr="00C62D22">
        <w:rPr>
          <w:rFonts w:ascii="Times New Roman" w:hAnsi="Times New Roman"/>
          <w:sz w:val="28"/>
          <w:szCs w:val="28"/>
          <w:lang w:val="en-US"/>
        </w:rPr>
        <w:t xml:space="preserve"> </w:t>
      </w:r>
      <w:r w:rsidRPr="003307F1">
        <w:rPr>
          <w:rFonts w:ascii="Times New Roman" w:hAnsi="Times New Roman"/>
          <w:sz w:val="28"/>
          <w:szCs w:val="28"/>
        </w:rPr>
        <w:t>е</w:t>
      </w:r>
      <w:r w:rsidRPr="003307F1">
        <w:rPr>
          <w:rFonts w:ascii="Times New Roman" w:hAnsi="Times New Roman"/>
          <w:sz w:val="28"/>
          <w:szCs w:val="28"/>
          <w:lang w:val="en-US"/>
        </w:rPr>
        <w:t>t al. ] // Pan. Afr. Med. J. – 2012. – Vol. 12. – P. 62.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rPr>
      </w:pPr>
      <w:r w:rsidRPr="003307F1">
        <w:rPr>
          <w:rStyle w:val="A10"/>
          <w:rFonts w:ascii="Times New Roman" w:hAnsi="Times New Roman" w:cs="Times New Roman"/>
          <w:color w:val="auto"/>
          <w:sz w:val="28"/>
          <w:szCs w:val="28"/>
          <w:lang w:val="en-US"/>
        </w:rPr>
        <w:t>Genetic risk for alcoholic chronic pancreatitis</w:t>
      </w:r>
      <w:r w:rsidRPr="00C62D22">
        <w:rPr>
          <w:rStyle w:val="A10"/>
          <w:rFonts w:ascii="Times New Roman" w:hAnsi="Times New Roman" w:cs="Times New Roman"/>
          <w:color w:val="auto"/>
          <w:sz w:val="28"/>
          <w:szCs w:val="28"/>
          <w:lang w:val="en-US"/>
        </w:rPr>
        <w:t xml:space="preserve"> / </w:t>
      </w:r>
      <w:r w:rsidRPr="003307F1">
        <w:rPr>
          <w:rStyle w:val="A10"/>
          <w:rFonts w:ascii="Times New Roman" w:hAnsi="Times New Roman" w:cs="Times New Roman"/>
          <w:color w:val="auto"/>
          <w:sz w:val="28"/>
          <w:szCs w:val="28"/>
          <w:lang w:val="en-US"/>
        </w:rPr>
        <w:t>M</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Z</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da Costa, D</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R</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Guarita, </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S</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K</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Ono-Nita </w:t>
      </w:r>
      <w:r w:rsidRPr="003307F1">
        <w:rPr>
          <w:rFonts w:ascii="Times New Roman" w:hAnsi="Times New Roman"/>
          <w:sz w:val="28"/>
          <w:szCs w:val="28"/>
          <w:lang w:val="en-US"/>
        </w:rPr>
        <w:t xml:space="preserve">[ et al. ] </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Int. J. Environ. Res. Public Health</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w:t>
      </w:r>
      <w:r w:rsidRPr="003307F1">
        <w:rPr>
          <w:rStyle w:val="A10"/>
          <w:rFonts w:ascii="Times New Roman" w:hAnsi="Times New Roman" w:cs="Times New Roman"/>
          <w:color w:val="auto"/>
          <w:sz w:val="28"/>
          <w:szCs w:val="28"/>
          <w:lang w:val="en-US"/>
        </w:rPr>
        <w:t xml:space="preserve"> 2011</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 Vol</w:t>
      </w:r>
      <w:r w:rsidRPr="003307F1">
        <w:rPr>
          <w:rFonts w:ascii="Times New Roman" w:hAnsi="Times New Roman"/>
          <w:sz w:val="28"/>
          <w:szCs w:val="28"/>
        </w:rPr>
        <w:t>.</w:t>
      </w:r>
      <w:r w:rsidRPr="003307F1">
        <w:rPr>
          <w:rStyle w:val="A10"/>
          <w:rFonts w:ascii="Times New Roman" w:hAnsi="Times New Roman" w:cs="Times New Roman"/>
          <w:color w:val="auto"/>
          <w:sz w:val="28"/>
          <w:szCs w:val="28"/>
          <w:lang w:val="en-US"/>
        </w:rPr>
        <w:t xml:space="preserve"> 8</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w:t>
      </w:r>
      <w:r w:rsidRPr="003307F1">
        <w:rPr>
          <w:rFonts w:ascii="Times New Roman" w:hAnsi="Times New Roman"/>
          <w:sz w:val="28"/>
          <w:szCs w:val="28"/>
        </w:rPr>
        <w:t xml:space="preserve"> Р. </w:t>
      </w:r>
      <w:r w:rsidRPr="003307F1">
        <w:rPr>
          <w:rStyle w:val="A10"/>
          <w:rFonts w:ascii="Times New Roman" w:hAnsi="Times New Roman" w:cs="Times New Roman"/>
          <w:color w:val="auto"/>
          <w:sz w:val="28"/>
          <w:szCs w:val="28"/>
          <w:lang w:val="en-US"/>
        </w:rPr>
        <w:t>2747</w:t>
      </w:r>
      <w:r>
        <w:rPr>
          <w:rStyle w:val="A10"/>
          <w:rFonts w:ascii="Times New Roman" w:hAnsi="Times New Roman" w:cs="Times New Roman"/>
          <w:color w:val="auto"/>
          <w:sz w:val="28"/>
          <w:szCs w:val="28"/>
        </w:rPr>
        <w:t>-</w:t>
      </w:r>
      <w:r w:rsidRPr="003307F1">
        <w:rPr>
          <w:rStyle w:val="A10"/>
          <w:rFonts w:ascii="Times New Roman" w:hAnsi="Times New Roman" w:cs="Times New Roman"/>
          <w:color w:val="auto"/>
          <w:sz w:val="28"/>
          <w:szCs w:val="28"/>
          <w:lang w:val="en-US"/>
        </w:rPr>
        <w:t>2757.</w:t>
      </w:r>
    </w:p>
    <w:p w:rsid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rPr>
      </w:pPr>
      <w:r w:rsidRPr="003307F1">
        <w:rPr>
          <w:rStyle w:val="A10"/>
          <w:rFonts w:ascii="Times New Roman" w:hAnsi="Times New Roman" w:cs="Times New Roman"/>
          <w:color w:val="auto"/>
          <w:sz w:val="28"/>
          <w:szCs w:val="28"/>
          <w:lang w:val="en-US"/>
        </w:rPr>
        <w:lastRenderedPageBreak/>
        <w:t>Genetic variations in matrix metalloproteinases may be associated with increased risk of ulcerative colitis</w:t>
      </w:r>
      <w:r w:rsidRPr="00C62D22">
        <w:rPr>
          <w:rStyle w:val="A10"/>
          <w:rFonts w:ascii="Times New Roman" w:hAnsi="Times New Roman" w:cs="Times New Roman"/>
          <w:color w:val="auto"/>
          <w:sz w:val="28"/>
          <w:szCs w:val="28"/>
          <w:lang w:val="en-US"/>
        </w:rPr>
        <w:t xml:space="preserve"> / </w:t>
      </w:r>
      <w:r w:rsidRPr="003307F1">
        <w:rPr>
          <w:rStyle w:val="A10"/>
          <w:rFonts w:ascii="Times New Roman" w:hAnsi="Times New Roman" w:cs="Times New Roman"/>
          <w:color w:val="auto"/>
          <w:sz w:val="28"/>
          <w:szCs w:val="28"/>
          <w:lang w:val="en-US"/>
        </w:rPr>
        <w:t>A</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R</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Morgan</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D</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Y</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Han, W</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J</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Lam </w:t>
      </w:r>
      <w:r w:rsidRPr="003307F1">
        <w:rPr>
          <w:rFonts w:ascii="Times New Roman" w:hAnsi="Times New Roman"/>
          <w:sz w:val="28"/>
          <w:szCs w:val="28"/>
          <w:lang w:val="en-US"/>
        </w:rPr>
        <w:t xml:space="preserve">[ et al. ] </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Hum. Immunol</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w:t>
      </w:r>
      <w:r w:rsidRPr="003307F1">
        <w:rPr>
          <w:rStyle w:val="A10"/>
          <w:rFonts w:ascii="Times New Roman" w:hAnsi="Times New Roman" w:cs="Times New Roman"/>
          <w:color w:val="auto"/>
          <w:sz w:val="28"/>
          <w:szCs w:val="28"/>
          <w:lang w:val="en-US"/>
        </w:rPr>
        <w:t xml:space="preserve"> 2011</w:t>
      </w:r>
      <w:r w:rsidRPr="003307F1">
        <w:rPr>
          <w:rFonts w:ascii="Times New Roman" w:hAnsi="Times New Roman"/>
          <w:sz w:val="28"/>
          <w:szCs w:val="28"/>
        </w:rPr>
        <w:t xml:space="preserve">. </w:t>
      </w:r>
      <w:r w:rsidRPr="003307F1">
        <w:rPr>
          <w:rFonts w:ascii="Times New Roman" w:hAnsi="Times New Roman"/>
          <w:sz w:val="28"/>
          <w:szCs w:val="28"/>
          <w:lang w:val="en-US"/>
        </w:rPr>
        <w:t>– Vol</w:t>
      </w:r>
      <w:r w:rsidRPr="003307F1">
        <w:rPr>
          <w:rFonts w:ascii="Times New Roman" w:hAnsi="Times New Roman"/>
          <w:sz w:val="28"/>
          <w:szCs w:val="28"/>
        </w:rPr>
        <w:t>.</w:t>
      </w:r>
      <w:r w:rsidRPr="003307F1">
        <w:rPr>
          <w:rStyle w:val="A10"/>
          <w:rFonts w:ascii="Times New Roman" w:hAnsi="Times New Roman" w:cs="Times New Roman"/>
          <w:color w:val="auto"/>
          <w:sz w:val="28"/>
          <w:szCs w:val="28"/>
          <w:lang w:val="en-US"/>
        </w:rPr>
        <w:t xml:space="preserve"> 72</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 xml:space="preserve">– </w:t>
      </w:r>
      <w:r w:rsidRPr="003307F1">
        <w:rPr>
          <w:rFonts w:ascii="Times New Roman" w:hAnsi="Times New Roman"/>
          <w:sz w:val="28"/>
          <w:szCs w:val="28"/>
        </w:rPr>
        <w:t xml:space="preserve">Р. </w:t>
      </w:r>
      <w:r w:rsidRPr="003307F1">
        <w:rPr>
          <w:rStyle w:val="A10"/>
          <w:rFonts w:ascii="Times New Roman" w:hAnsi="Times New Roman" w:cs="Times New Roman"/>
          <w:color w:val="auto"/>
          <w:sz w:val="28"/>
          <w:szCs w:val="28"/>
          <w:lang w:val="en-US"/>
        </w:rPr>
        <w:t>1117</w:t>
      </w:r>
      <w:r>
        <w:rPr>
          <w:rStyle w:val="A10"/>
          <w:rFonts w:ascii="Times New Roman" w:hAnsi="Times New Roman" w:cs="Times New Roman"/>
          <w:color w:val="auto"/>
          <w:sz w:val="28"/>
          <w:szCs w:val="28"/>
        </w:rPr>
        <w:t>-</w:t>
      </w:r>
      <w:r w:rsidRPr="003307F1">
        <w:rPr>
          <w:rStyle w:val="A10"/>
          <w:rFonts w:ascii="Times New Roman" w:hAnsi="Times New Roman" w:cs="Times New Roman"/>
          <w:color w:val="auto"/>
          <w:sz w:val="28"/>
          <w:szCs w:val="28"/>
          <w:lang w:val="en-US"/>
        </w:rPr>
        <w:t>1127.</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lang w:val="en-US"/>
        </w:rPr>
      </w:pPr>
      <w:r w:rsidRPr="00C62D22">
        <w:rPr>
          <w:rFonts w:ascii="Times New Roman" w:hAnsi="Times New Roman"/>
          <w:sz w:val="28"/>
          <w:szCs w:val="28"/>
          <w:lang w:val="en-US"/>
        </w:rPr>
        <w:t xml:space="preserve">Goncharova N.M. Mini-invasive surgical treatment of complicated pseudocyst of pancreas second type / N.M. Goncharova // IX International Interdisciplinary conference of yoyng scientists and medical students «Actual problems of clinical and theoretical medicine»: </w:t>
      </w:r>
      <w:r w:rsidRPr="000F2B01">
        <w:rPr>
          <w:rFonts w:ascii="Times New Roman" w:hAnsi="Times New Roman"/>
          <w:sz w:val="28"/>
          <w:szCs w:val="28"/>
        </w:rPr>
        <w:t>мат</w:t>
      </w:r>
      <w:r w:rsidRPr="00C62D22">
        <w:rPr>
          <w:rFonts w:ascii="Times New Roman" w:hAnsi="Times New Roman"/>
          <w:sz w:val="28"/>
          <w:szCs w:val="28"/>
          <w:lang w:val="en-US"/>
        </w:rPr>
        <w:t xml:space="preserve">. </w:t>
      </w:r>
      <w:r w:rsidRPr="000F2B01">
        <w:rPr>
          <w:rFonts w:ascii="Times New Roman" w:hAnsi="Times New Roman"/>
          <w:sz w:val="28"/>
          <w:szCs w:val="28"/>
        </w:rPr>
        <w:t>конф</w:t>
      </w:r>
      <w:r w:rsidRPr="00C62D22">
        <w:rPr>
          <w:rFonts w:ascii="Times New Roman" w:hAnsi="Times New Roman"/>
          <w:sz w:val="28"/>
          <w:szCs w:val="28"/>
          <w:lang w:val="en-US"/>
        </w:rPr>
        <w:t xml:space="preserve">. – </w:t>
      </w:r>
      <w:r w:rsidRPr="000F2B01">
        <w:rPr>
          <w:rFonts w:ascii="Times New Roman" w:hAnsi="Times New Roman"/>
          <w:sz w:val="28"/>
          <w:szCs w:val="28"/>
        </w:rPr>
        <w:t>Харьков</w:t>
      </w:r>
      <w:r w:rsidRPr="00C62D22">
        <w:rPr>
          <w:rFonts w:ascii="Times New Roman" w:hAnsi="Times New Roman"/>
          <w:sz w:val="28"/>
          <w:szCs w:val="28"/>
          <w:lang w:val="en-US"/>
        </w:rPr>
        <w:t xml:space="preserve">, 2016. – </w:t>
      </w:r>
      <w:r w:rsidRPr="000F2B01">
        <w:rPr>
          <w:rFonts w:ascii="Times New Roman" w:hAnsi="Times New Roman"/>
          <w:sz w:val="28"/>
          <w:szCs w:val="28"/>
        </w:rPr>
        <w:t>С</w:t>
      </w:r>
      <w:r w:rsidRPr="00C62D22">
        <w:rPr>
          <w:rFonts w:ascii="Times New Roman" w:hAnsi="Times New Roman"/>
          <w:sz w:val="28"/>
          <w:szCs w:val="28"/>
          <w:lang w:val="en-US"/>
        </w:rPr>
        <w:t>. 278-279.</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lang w:val="en-US"/>
        </w:rPr>
      </w:pPr>
      <w:r w:rsidRPr="00C62D22">
        <w:rPr>
          <w:rFonts w:ascii="Times New Roman" w:hAnsi="Times New Roman"/>
          <w:iCs/>
          <w:sz w:val="28"/>
          <w:szCs w:val="28"/>
          <w:shd w:val="clear" w:color="auto" w:fill="FFFFFF"/>
          <w:lang w:val="en-US"/>
        </w:rPr>
        <w:t xml:space="preserve">Greenacre M. </w:t>
      </w:r>
      <w:r w:rsidRPr="00C62D22">
        <w:rPr>
          <w:rFonts w:ascii="Times New Roman" w:hAnsi="Times New Roman"/>
          <w:sz w:val="28"/>
          <w:szCs w:val="28"/>
          <w:shd w:val="clear" w:color="auto" w:fill="FFFFFF"/>
          <w:lang w:val="en-US"/>
        </w:rPr>
        <w:t>Correspondence Analysis in Practice, 2</w:t>
      </w:r>
      <w:r w:rsidRPr="00C62D22">
        <w:rPr>
          <w:rFonts w:ascii="Times New Roman" w:hAnsi="Times New Roman"/>
          <w:sz w:val="28"/>
          <w:szCs w:val="28"/>
          <w:shd w:val="clear" w:color="auto" w:fill="FFFFFF"/>
          <w:vertAlign w:val="superscript"/>
          <w:lang w:val="en-US"/>
        </w:rPr>
        <w:t>nd</w:t>
      </w:r>
      <w:r w:rsidRPr="00C62D22">
        <w:rPr>
          <w:rFonts w:ascii="Times New Roman" w:hAnsi="Times New Roman"/>
          <w:sz w:val="28"/>
          <w:szCs w:val="28"/>
          <w:shd w:val="clear" w:color="auto" w:fill="FFFFFF"/>
          <w:lang w:val="en-US"/>
        </w:rPr>
        <w:t xml:space="preserve"> edition</w:t>
      </w:r>
      <w:r w:rsidRPr="00C62D22">
        <w:rPr>
          <w:rFonts w:ascii="Times New Roman" w:hAnsi="Times New Roman"/>
          <w:iCs/>
          <w:sz w:val="28"/>
          <w:szCs w:val="28"/>
          <w:shd w:val="clear" w:color="auto" w:fill="FFFFFF"/>
          <w:lang w:val="en-US"/>
        </w:rPr>
        <w:t xml:space="preserve"> / </w:t>
      </w:r>
      <w:r w:rsidRPr="003307F1">
        <w:rPr>
          <w:rFonts w:ascii="Times New Roman" w:hAnsi="Times New Roman"/>
          <w:iCs/>
          <w:sz w:val="28"/>
          <w:szCs w:val="28"/>
          <w:shd w:val="clear" w:color="auto" w:fill="FFFFFF"/>
        </w:rPr>
        <w:t>М</w:t>
      </w:r>
      <w:r w:rsidRPr="00C62D22">
        <w:rPr>
          <w:rFonts w:ascii="Times New Roman" w:hAnsi="Times New Roman"/>
          <w:iCs/>
          <w:sz w:val="28"/>
          <w:szCs w:val="28"/>
          <w:shd w:val="clear" w:color="auto" w:fill="FFFFFF"/>
          <w:lang w:val="en-US"/>
        </w:rPr>
        <w:t xml:space="preserve">. Greenacre. –London: Chapman &amp; Hall/CRC, 2007. – 274 p.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Groblewska M. The role of selected matrix metalloproteinases and their inhibitors in colorectal cancer development / </w:t>
      </w:r>
      <w:r w:rsidRPr="003307F1">
        <w:rPr>
          <w:rFonts w:ascii="Times New Roman" w:hAnsi="Times New Roman"/>
          <w:sz w:val="28"/>
          <w:szCs w:val="28"/>
        </w:rPr>
        <w:t>М</w:t>
      </w:r>
      <w:r w:rsidRPr="003307F1">
        <w:rPr>
          <w:rFonts w:ascii="Times New Roman" w:hAnsi="Times New Roman"/>
          <w:sz w:val="28"/>
          <w:szCs w:val="28"/>
          <w:lang w:val="en-US"/>
        </w:rPr>
        <w:t xml:space="preserve">. Groblewska, </w:t>
      </w:r>
      <w:r w:rsidRPr="003307F1">
        <w:rPr>
          <w:rFonts w:ascii="Times New Roman" w:hAnsi="Times New Roman"/>
          <w:sz w:val="28"/>
          <w:szCs w:val="28"/>
        </w:rPr>
        <w:t>В</w:t>
      </w:r>
      <w:r w:rsidRPr="003307F1">
        <w:rPr>
          <w:rFonts w:ascii="Times New Roman" w:hAnsi="Times New Roman"/>
          <w:sz w:val="28"/>
          <w:szCs w:val="28"/>
          <w:lang w:val="en-US"/>
        </w:rPr>
        <w:t xml:space="preserve">. Mroczko, </w:t>
      </w:r>
      <w:r w:rsidRPr="00C62D22">
        <w:rPr>
          <w:rFonts w:ascii="Times New Roman" w:hAnsi="Times New Roman"/>
          <w:sz w:val="28"/>
          <w:szCs w:val="28"/>
          <w:lang w:val="en-US"/>
        </w:rPr>
        <w:t xml:space="preserve">                                 </w:t>
      </w:r>
      <w:r w:rsidRPr="003307F1">
        <w:rPr>
          <w:rFonts w:ascii="Times New Roman" w:hAnsi="Times New Roman"/>
          <w:sz w:val="28"/>
          <w:szCs w:val="28"/>
        </w:rPr>
        <w:t>М</w:t>
      </w:r>
      <w:r w:rsidRPr="003307F1">
        <w:rPr>
          <w:rFonts w:ascii="Times New Roman" w:hAnsi="Times New Roman"/>
          <w:sz w:val="28"/>
          <w:szCs w:val="28"/>
          <w:lang w:val="en-US"/>
        </w:rPr>
        <w:t>. Szmitkowski // Postepy. Hig. Med. Dosw. – 2010. –</w:t>
      </w:r>
      <w:r w:rsidRPr="003307F1">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Vol</w:t>
      </w:r>
      <w:r w:rsidRPr="003307F1">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 xml:space="preserve">64. – </w:t>
      </w:r>
      <w:r w:rsidRPr="003307F1">
        <w:rPr>
          <w:rFonts w:ascii="Times New Roman" w:hAnsi="Times New Roman"/>
          <w:sz w:val="28"/>
          <w:szCs w:val="28"/>
        </w:rPr>
        <w:t>Р</w:t>
      </w:r>
      <w:r>
        <w:rPr>
          <w:rFonts w:ascii="Times New Roman" w:hAnsi="Times New Roman"/>
          <w:sz w:val="28"/>
          <w:szCs w:val="28"/>
          <w:lang w:val="en-US"/>
        </w:rPr>
        <w:t>. 22</w:t>
      </w:r>
      <w:r>
        <w:rPr>
          <w:rFonts w:ascii="Times New Roman" w:hAnsi="Times New Roman"/>
          <w:sz w:val="28"/>
          <w:szCs w:val="28"/>
        </w:rPr>
        <w:t>-</w:t>
      </w:r>
      <w:r w:rsidRPr="003307F1">
        <w:rPr>
          <w:rFonts w:ascii="Times New Roman" w:hAnsi="Times New Roman"/>
          <w:sz w:val="28"/>
          <w:szCs w:val="28"/>
          <w:lang w:val="en-US"/>
        </w:rPr>
        <w:t>30.</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Habashi S. Pancreatic pseudocyst / </w:t>
      </w:r>
      <w:smartTag w:uri="urn:schemas-microsoft-com:office:smarttags" w:element="place">
        <w:r w:rsidRPr="003307F1">
          <w:rPr>
            <w:rFonts w:ascii="Times New Roman" w:hAnsi="Times New Roman"/>
            <w:sz w:val="28"/>
            <w:szCs w:val="28"/>
            <w:lang w:val="en-US"/>
          </w:rPr>
          <w:t>S. Habashi</w:t>
        </w:r>
      </w:smartTag>
      <w:r w:rsidRPr="003307F1">
        <w:rPr>
          <w:rFonts w:ascii="Times New Roman" w:hAnsi="Times New Roman"/>
          <w:sz w:val="28"/>
          <w:szCs w:val="28"/>
          <w:lang w:val="en-US"/>
        </w:rPr>
        <w:t xml:space="preserve">, P. V. Draganov // World J. Gastroenterol. – 2009. – Vol. 15, № 1. – </w:t>
      </w:r>
      <w:r w:rsidRPr="003307F1">
        <w:rPr>
          <w:rFonts w:ascii="Times New Roman" w:hAnsi="Times New Roman"/>
          <w:sz w:val="28"/>
          <w:szCs w:val="28"/>
        </w:rPr>
        <w:t>Р</w:t>
      </w:r>
      <w:r w:rsidRPr="003307F1">
        <w:rPr>
          <w:rFonts w:ascii="Times New Roman" w:hAnsi="Times New Roman"/>
          <w:sz w:val="28"/>
          <w:szCs w:val="28"/>
          <w:lang w:val="en-US"/>
        </w:rPr>
        <w:t xml:space="preserve">. 38 </w:t>
      </w:r>
      <w:r w:rsidRPr="00C62D22">
        <w:rPr>
          <w:rFonts w:ascii="Times New Roman" w:hAnsi="Times New Roman"/>
          <w:sz w:val="28"/>
          <w:szCs w:val="28"/>
          <w:lang w:val="en-US"/>
        </w:rPr>
        <w:t xml:space="preserve">– </w:t>
      </w:r>
      <w:r w:rsidRPr="003307F1">
        <w:rPr>
          <w:rFonts w:ascii="Times New Roman" w:hAnsi="Times New Roman"/>
          <w:sz w:val="28"/>
          <w:szCs w:val="28"/>
          <w:lang w:val="en-US"/>
        </w:rPr>
        <w:t>47.</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lang w:val="en-US"/>
        </w:rPr>
      </w:pPr>
      <w:r w:rsidRPr="003307F1">
        <w:rPr>
          <w:rStyle w:val="A10"/>
          <w:rFonts w:ascii="Times New Roman" w:hAnsi="Times New Roman" w:cs="Times New Roman"/>
          <w:color w:val="auto"/>
          <w:sz w:val="28"/>
          <w:szCs w:val="28"/>
          <w:lang w:val="en-US"/>
        </w:rPr>
        <w:t>Hayden D</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M</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The role of matrix metalloproteinases in intestinal epithelial wound healing during normal and inflammatory states</w:t>
      </w:r>
      <w:r w:rsidRPr="00C62D22">
        <w:rPr>
          <w:rStyle w:val="A10"/>
          <w:rFonts w:ascii="Times New Roman" w:hAnsi="Times New Roman" w:cs="Times New Roman"/>
          <w:color w:val="auto"/>
          <w:sz w:val="28"/>
          <w:szCs w:val="28"/>
          <w:lang w:val="en-US"/>
        </w:rPr>
        <w:t xml:space="preserve"> / </w:t>
      </w:r>
      <w:r w:rsidRPr="003307F1">
        <w:rPr>
          <w:rStyle w:val="A10"/>
          <w:rFonts w:ascii="Times New Roman" w:hAnsi="Times New Roman" w:cs="Times New Roman"/>
          <w:color w:val="auto"/>
          <w:sz w:val="28"/>
          <w:szCs w:val="28"/>
          <w:lang w:val="en-US"/>
        </w:rPr>
        <w:t>D</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M</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Hayden, </w:t>
      </w:r>
      <w:r w:rsidRPr="003307F1">
        <w:rPr>
          <w:rStyle w:val="A10"/>
          <w:rFonts w:ascii="Times New Roman" w:hAnsi="Times New Roman" w:cs="Times New Roman"/>
          <w:color w:val="auto"/>
          <w:sz w:val="28"/>
          <w:szCs w:val="28"/>
        </w:rPr>
        <w:t>С</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 xml:space="preserve">Forsyth, </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rPr>
        <w:t>А</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Keshavarzian</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 xml:space="preserve"> J. Surg Res</w:t>
      </w:r>
      <w:r w:rsidRPr="00C62D22">
        <w:rPr>
          <w:rStyle w:val="A10"/>
          <w:rFonts w:ascii="Times New Roman" w:hAnsi="Times New Roman" w:cs="Times New Roman"/>
          <w:color w:val="auto"/>
          <w:sz w:val="28"/>
          <w:szCs w:val="28"/>
          <w:lang w:val="en-US"/>
        </w:rPr>
        <w:t xml:space="preserve">. </w:t>
      </w:r>
      <w:r w:rsidRPr="003307F1">
        <w:rPr>
          <w:rFonts w:ascii="Times New Roman" w:hAnsi="Times New Roman"/>
          <w:sz w:val="28"/>
          <w:szCs w:val="28"/>
          <w:lang w:val="en-US"/>
        </w:rPr>
        <w:t>–</w:t>
      </w:r>
      <w:r w:rsidRPr="003307F1">
        <w:rPr>
          <w:rStyle w:val="A10"/>
          <w:rFonts w:ascii="Times New Roman" w:hAnsi="Times New Roman" w:cs="Times New Roman"/>
          <w:color w:val="auto"/>
          <w:sz w:val="28"/>
          <w:szCs w:val="28"/>
          <w:lang w:val="en-US"/>
        </w:rPr>
        <w:t xml:space="preserve"> 2011</w:t>
      </w:r>
      <w:r w:rsidRPr="00C62D22">
        <w:rPr>
          <w:rStyle w:val="A10"/>
          <w:rFonts w:ascii="Times New Roman" w:hAnsi="Times New Roman" w:cs="Times New Roman"/>
          <w:color w:val="auto"/>
          <w:sz w:val="28"/>
          <w:szCs w:val="28"/>
          <w:lang w:val="en-US"/>
        </w:rPr>
        <w:t>.</w:t>
      </w:r>
      <w:r w:rsidRPr="003307F1">
        <w:rPr>
          <w:rFonts w:ascii="Times New Roman" w:hAnsi="Times New Roman"/>
          <w:sz w:val="28"/>
          <w:szCs w:val="28"/>
          <w:lang w:val="en-US"/>
        </w:rPr>
        <w:t xml:space="preserve"> –</w:t>
      </w:r>
      <w:r w:rsidRPr="003307F1">
        <w:rPr>
          <w:rStyle w:val="A10"/>
          <w:rFonts w:ascii="Times New Roman" w:hAnsi="Times New Roman" w:cs="Times New Roman"/>
          <w:color w:val="auto"/>
          <w:sz w:val="28"/>
          <w:szCs w:val="28"/>
          <w:lang w:val="en-US"/>
        </w:rPr>
        <w:t xml:space="preserve"> </w:t>
      </w:r>
      <w:r w:rsidRPr="003307F1">
        <w:rPr>
          <w:rFonts w:ascii="Times New Roman" w:hAnsi="Times New Roman"/>
          <w:sz w:val="28"/>
          <w:szCs w:val="28"/>
          <w:lang w:val="en-US"/>
        </w:rPr>
        <w:t xml:space="preserve">Vol. </w:t>
      </w:r>
      <w:r w:rsidRPr="003307F1">
        <w:rPr>
          <w:rStyle w:val="A10"/>
          <w:rFonts w:ascii="Times New Roman" w:hAnsi="Times New Roman" w:cs="Times New Roman"/>
          <w:color w:val="auto"/>
          <w:sz w:val="28"/>
          <w:szCs w:val="28"/>
          <w:lang w:val="en-US"/>
        </w:rPr>
        <w:t>168</w:t>
      </w:r>
      <w:r w:rsidRPr="00C62D22">
        <w:rPr>
          <w:rStyle w:val="A10"/>
          <w:rFonts w:ascii="Times New Roman" w:hAnsi="Times New Roman" w:cs="Times New Roman"/>
          <w:color w:val="auto"/>
          <w:sz w:val="28"/>
          <w:szCs w:val="28"/>
          <w:lang w:val="en-US"/>
        </w:rPr>
        <w:t>.</w:t>
      </w:r>
      <w:r w:rsidRPr="003307F1">
        <w:rPr>
          <w:rFonts w:ascii="Times New Roman" w:hAnsi="Times New Roman"/>
          <w:sz w:val="28"/>
          <w:szCs w:val="28"/>
          <w:lang w:val="en-US"/>
        </w:rPr>
        <w:t xml:space="preserve"> –</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rPr>
        <w:t>Р</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315</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324.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rPr>
      </w:pPr>
      <w:r w:rsidRPr="003307F1">
        <w:rPr>
          <w:rFonts w:ascii="Times New Roman" w:hAnsi="Times New Roman"/>
          <w:sz w:val="28"/>
          <w:szCs w:val="28"/>
          <w:lang w:val="en-US"/>
        </w:rPr>
        <w:t>Hemosuccus pancreaticus in a patients with iodine allergy: successful diagnosis with magnetic resonance imaging and treatment with transarterial embolization using carbon dioxide as the contrast medium /</w:t>
      </w:r>
      <w:r w:rsidRPr="003307F1">
        <w:rPr>
          <w:rFonts w:ascii="Times New Roman" w:hAnsi="Times New Roman"/>
          <w:sz w:val="28"/>
          <w:szCs w:val="28"/>
          <w:lang w:val="fr-FR"/>
        </w:rPr>
        <w:t xml:space="preserve"> S. Miki, K. Mori, S. Masanari [ et al. ] /</w:t>
      </w:r>
      <w:r w:rsidRPr="003307F1">
        <w:rPr>
          <w:rFonts w:ascii="Times New Roman" w:hAnsi="Times New Roman"/>
          <w:sz w:val="28"/>
          <w:szCs w:val="28"/>
          <w:lang w:val="en-US"/>
        </w:rPr>
        <w:t xml:space="preserve">/ Cardiovasc. Intervent. Radiol. </w:t>
      </w:r>
      <w:r w:rsidRPr="003307F1">
        <w:rPr>
          <w:rFonts w:ascii="Times New Roman" w:hAnsi="Times New Roman"/>
          <w:sz w:val="28"/>
          <w:szCs w:val="28"/>
        </w:rPr>
        <w:t>–</w:t>
      </w:r>
      <w:r w:rsidRPr="003307F1">
        <w:rPr>
          <w:rFonts w:ascii="Times New Roman" w:hAnsi="Times New Roman"/>
          <w:sz w:val="28"/>
          <w:szCs w:val="28"/>
          <w:lang w:val="en-US"/>
        </w:rPr>
        <w:t xml:space="preserve"> 2009. </w:t>
      </w:r>
      <w:r w:rsidRPr="003307F1">
        <w:rPr>
          <w:rFonts w:ascii="Times New Roman" w:hAnsi="Times New Roman"/>
          <w:sz w:val="28"/>
          <w:szCs w:val="28"/>
        </w:rPr>
        <w:t>–</w:t>
      </w:r>
      <w:r w:rsidRPr="003307F1">
        <w:rPr>
          <w:rFonts w:ascii="Times New Roman" w:hAnsi="Times New Roman"/>
          <w:sz w:val="28"/>
          <w:szCs w:val="28"/>
          <w:lang w:val="en-US"/>
        </w:rPr>
        <w:t xml:space="preserve"> Vol. 32, № 6. </w:t>
      </w:r>
      <w:r w:rsidRPr="003307F1">
        <w:rPr>
          <w:rFonts w:ascii="Times New Roman" w:hAnsi="Times New Roman"/>
          <w:sz w:val="28"/>
          <w:szCs w:val="28"/>
        </w:rPr>
        <w:t>–</w:t>
      </w:r>
      <w:r>
        <w:rPr>
          <w:rFonts w:ascii="Times New Roman" w:hAnsi="Times New Roman"/>
          <w:sz w:val="28"/>
          <w:szCs w:val="28"/>
          <w:lang w:val="en-US"/>
        </w:rPr>
        <w:t xml:space="preserve"> P. 1296</w:t>
      </w:r>
      <w:r>
        <w:rPr>
          <w:rFonts w:ascii="Times New Roman" w:hAnsi="Times New Roman"/>
          <w:sz w:val="28"/>
          <w:szCs w:val="28"/>
        </w:rPr>
        <w:t>-</w:t>
      </w:r>
      <w:r w:rsidRPr="003307F1">
        <w:rPr>
          <w:rFonts w:ascii="Times New Roman" w:hAnsi="Times New Roman"/>
          <w:sz w:val="28"/>
          <w:szCs w:val="28"/>
          <w:lang w:val="en-US"/>
        </w:rPr>
        <w:t>1299.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rPr>
      </w:pPr>
      <w:r w:rsidRPr="003307F1">
        <w:rPr>
          <w:rFonts w:ascii="Times New Roman" w:hAnsi="Times New Roman"/>
          <w:sz w:val="28"/>
          <w:szCs w:val="28"/>
          <w:lang w:val="en-US"/>
        </w:rPr>
        <w:t>Hines O. J. Pancreatic Surgery / O. J. Hines, H. A. Reber // Curr. Opin. Gastroenterol. – 2</w:t>
      </w:r>
      <w:r>
        <w:rPr>
          <w:rFonts w:ascii="Times New Roman" w:hAnsi="Times New Roman"/>
          <w:sz w:val="28"/>
          <w:szCs w:val="28"/>
          <w:lang w:val="en-US"/>
        </w:rPr>
        <w:t>009. – Vol. 25, № 5. – P. 460</w:t>
      </w:r>
      <w:r>
        <w:rPr>
          <w:rFonts w:ascii="Times New Roman" w:hAnsi="Times New Roman"/>
          <w:sz w:val="28"/>
          <w:szCs w:val="28"/>
        </w:rPr>
        <w:t>-</w:t>
      </w:r>
      <w:r w:rsidRPr="003307F1">
        <w:rPr>
          <w:rFonts w:ascii="Times New Roman" w:hAnsi="Times New Roman"/>
          <w:sz w:val="28"/>
          <w:szCs w:val="28"/>
          <w:lang w:val="en-US"/>
        </w:rPr>
        <w:t>465.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bdr w:val="none" w:sz="0" w:space="0" w:color="auto" w:frame="1"/>
          <w:lang w:val="en-US"/>
        </w:rPr>
        <w:t>Houlihan M</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D</w:t>
      </w:r>
      <w:r w:rsidRPr="00C62D22">
        <w:rPr>
          <w:rFonts w:ascii="Times New Roman" w:hAnsi="Times New Roman"/>
          <w:sz w:val="28"/>
          <w:szCs w:val="28"/>
          <w:bdr w:val="none" w:sz="0" w:space="0" w:color="auto" w:frame="1"/>
          <w:lang w:val="en-US"/>
        </w:rPr>
        <w:t xml:space="preserve">. </w:t>
      </w:r>
      <w:r w:rsidRPr="003307F1">
        <w:rPr>
          <w:rFonts w:ascii="Times New Roman" w:hAnsi="Times New Roman"/>
          <w:bCs/>
          <w:sz w:val="28"/>
          <w:szCs w:val="28"/>
          <w:bdr w:val="none" w:sz="0" w:space="0" w:color="auto" w:frame="1"/>
          <w:lang w:val="en-US"/>
        </w:rPr>
        <w:t>Resolution of pancreatico-pleural fistula with endoscopic ultrasound-guided therapy</w:t>
      </w:r>
      <w:r w:rsidRPr="00C62D22">
        <w:rPr>
          <w:rFonts w:ascii="Times New Roman" w:hAnsi="Times New Roman"/>
          <w:bCs/>
          <w:sz w:val="28"/>
          <w:szCs w:val="28"/>
          <w:bdr w:val="none" w:sz="0" w:space="0" w:color="auto" w:frame="1"/>
          <w:lang w:val="en-US"/>
        </w:rPr>
        <w:t xml:space="preserve"> / </w:t>
      </w:r>
      <w:r w:rsidRPr="003307F1">
        <w:rPr>
          <w:rFonts w:ascii="Times New Roman" w:hAnsi="Times New Roman"/>
          <w:sz w:val="28"/>
          <w:szCs w:val="28"/>
          <w:bdr w:val="none" w:sz="0" w:space="0" w:color="auto" w:frame="1"/>
          <w:lang w:val="en-US"/>
        </w:rPr>
        <w:t>M</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D</w:t>
      </w:r>
      <w:r w:rsidRPr="00C62D22">
        <w:rPr>
          <w:rFonts w:ascii="Times New Roman" w:hAnsi="Times New Roman"/>
          <w:sz w:val="28"/>
          <w:szCs w:val="28"/>
          <w:bdr w:val="none" w:sz="0" w:space="0" w:color="auto" w:frame="1"/>
          <w:lang w:val="en-US"/>
        </w:rPr>
        <w:t>.</w:t>
      </w:r>
      <w:r w:rsidRPr="003307F1">
        <w:rPr>
          <w:rFonts w:ascii="Times New Roman" w:hAnsi="Times New Roman"/>
          <w:sz w:val="28"/>
          <w:szCs w:val="28"/>
          <w:bdr w:val="none" w:sz="0" w:space="0" w:color="auto" w:frame="1"/>
          <w:lang w:val="en-US"/>
        </w:rPr>
        <w:t xml:space="preserve"> Houlihan, B</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A</w:t>
      </w:r>
      <w:r w:rsidRPr="00C62D22">
        <w:rPr>
          <w:rFonts w:ascii="Times New Roman" w:hAnsi="Times New Roman"/>
          <w:sz w:val="28"/>
          <w:szCs w:val="28"/>
          <w:bdr w:val="none" w:sz="0" w:space="0" w:color="auto" w:frame="1"/>
          <w:lang w:val="en-US"/>
        </w:rPr>
        <w:t>.</w:t>
      </w:r>
      <w:r w:rsidRPr="003307F1">
        <w:rPr>
          <w:rFonts w:ascii="Times New Roman" w:hAnsi="Times New Roman"/>
          <w:sz w:val="28"/>
          <w:szCs w:val="28"/>
          <w:bdr w:val="none" w:sz="0" w:space="0" w:color="auto" w:frame="1"/>
          <w:lang w:val="en-US"/>
        </w:rPr>
        <w:t xml:space="preserve"> Bowyer, R</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L</w:t>
      </w:r>
      <w:r w:rsidRPr="00C62D22">
        <w:rPr>
          <w:rFonts w:ascii="Times New Roman" w:hAnsi="Times New Roman"/>
          <w:sz w:val="28"/>
          <w:szCs w:val="28"/>
          <w:bdr w:val="none" w:sz="0" w:space="0" w:color="auto" w:frame="1"/>
          <w:lang w:val="en-US"/>
        </w:rPr>
        <w:t>.</w:t>
      </w:r>
      <w:r w:rsidRPr="003307F1">
        <w:rPr>
          <w:rFonts w:ascii="Times New Roman" w:hAnsi="Times New Roman"/>
          <w:sz w:val="28"/>
          <w:szCs w:val="28"/>
          <w:bdr w:val="none" w:sz="0" w:space="0" w:color="auto" w:frame="1"/>
          <w:lang w:val="en-US"/>
        </w:rPr>
        <w:t xml:space="preserve"> Barclay</w:t>
      </w:r>
      <w:r w:rsidRPr="00C62D22">
        <w:rPr>
          <w:rFonts w:ascii="Times New Roman" w:hAnsi="Times New Roman"/>
          <w:sz w:val="28"/>
          <w:szCs w:val="28"/>
          <w:bdr w:val="none" w:sz="0" w:space="0" w:color="auto" w:frame="1"/>
          <w:lang w:val="en-US"/>
        </w:rPr>
        <w:t xml:space="preserve"> // </w:t>
      </w:r>
      <w:r w:rsidRPr="003307F1">
        <w:rPr>
          <w:rFonts w:ascii="Times New Roman" w:hAnsi="Times New Roman"/>
          <w:iCs/>
          <w:sz w:val="28"/>
          <w:szCs w:val="28"/>
          <w:bdr w:val="none" w:sz="0" w:space="0" w:color="auto" w:frame="1"/>
          <w:lang w:val="en-US"/>
        </w:rPr>
        <w:t>Respir</w:t>
      </w:r>
      <w:r w:rsidRPr="00C62D22">
        <w:rPr>
          <w:rFonts w:ascii="Times New Roman" w:hAnsi="Times New Roman"/>
          <w:iCs/>
          <w:sz w:val="28"/>
          <w:szCs w:val="28"/>
          <w:bdr w:val="none" w:sz="0" w:space="0" w:color="auto" w:frame="1"/>
          <w:lang w:val="en-US"/>
        </w:rPr>
        <w:t>.</w:t>
      </w:r>
      <w:r w:rsidRPr="003307F1">
        <w:rPr>
          <w:rFonts w:ascii="Times New Roman" w:hAnsi="Times New Roman"/>
          <w:iCs/>
          <w:sz w:val="28"/>
          <w:szCs w:val="28"/>
          <w:bdr w:val="none" w:sz="0" w:space="0" w:color="auto" w:frame="1"/>
          <w:lang w:val="en-US"/>
        </w:rPr>
        <w:t xml:space="preserve"> Med. Case Rep</w:t>
      </w:r>
      <w:r w:rsidRPr="003307F1">
        <w:rPr>
          <w:rFonts w:ascii="Times New Roman" w:hAnsi="Times New Roman"/>
          <w:iCs/>
          <w:sz w:val="28"/>
          <w:szCs w:val="28"/>
          <w:bdr w:val="none" w:sz="0" w:space="0" w:color="auto" w:frame="1"/>
        </w:rPr>
        <w:t>.</w:t>
      </w:r>
      <w:r w:rsidRPr="003307F1">
        <w:rPr>
          <w:rFonts w:ascii="Times New Roman" w:hAnsi="Times New Roman"/>
          <w:sz w:val="28"/>
          <w:szCs w:val="28"/>
          <w:lang w:val="en-US"/>
        </w:rPr>
        <w:t xml:space="preserve"> –</w:t>
      </w:r>
      <w:r w:rsidRPr="003307F1">
        <w:rPr>
          <w:rFonts w:ascii="Times New Roman" w:hAnsi="Times New Roman"/>
          <w:iCs/>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2013</w:t>
      </w:r>
      <w:r w:rsidRPr="003307F1">
        <w:rPr>
          <w:rFonts w:ascii="Times New Roman" w:hAnsi="Times New Roman"/>
          <w:sz w:val="28"/>
          <w:szCs w:val="28"/>
          <w:bdr w:val="none" w:sz="0" w:space="0" w:color="auto" w:frame="1"/>
        </w:rPr>
        <w:t xml:space="preserve">. </w:t>
      </w:r>
      <w:r w:rsidRPr="003307F1">
        <w:rPr>
          <w:rFonts w:ascii="Times New Roman" w:hAnsi="Times New Roman"/>
          <w:sz w:val="28"/>
          <w:szCs w:val="28"/>
          <w:lang w:val="en-US"/>
        </w:rPr>
        <w:t>– Vol</w:t>
      </w:r>
      <w:r w:rsidRPr="003307F1">
        <w:rPr>
          <w:rFonts w:ascii="Times New Roman" w:hAnsi="Times New Roman"/>
          <w:sz w:val="28"/>
          <w:szCs w:val="28"/>
          <w:bdr w:val="none" w:sz="0" w:space="0" w:color="auto" w:frame="1"/>
          <w:lang w:val="en-US"/>
        </w:rPr>
        <w:t>. 9</w:t>
      </w:r>
      <w:r w:rsidRPr="003307F1">
        <w:rPr>
          <w:rFonts w:ascii="Times New Roman" w:hAnsi="Times New Roman"/>
          <w:sz w:val="28"/>
          <w:szCs w:val="28"/>
          <w:bdr w:val="none" w:sz="0" w:space="0" w:color="auto" w:frame="1"/>
        </w:rPr>
        <w:t>.</w:t>
      </w:r>
      <w:r w:rsidRPr="003307F1">
        <w:rPr>
          <w:rFonts w:ascii="Times New Roman" w:hAnsi="Times New Roman"/>
          <w:sz w:val="28"/>
          <w:szCs w:val="28"/>
          <w:lang w:val="en-US"/>
        </w:rPr>
        <w:t xml:space="preserve"> –</w:t>
      </w:r>
      <w:r w:rsidRPr="003307F1">
        <w:rPr>
          <w:rFonts w:ascii="Times New Roman" w:hAnsi="Times New Roman"/>
          <w:sz w:val="28"/>
          <w:szCs w:val="28"/>
          <w:bdr w:val="none" w:sz="0" w:space="0" w:color="auto" w:frame="1"/>
        </w:rPr>
        <w:t xml:space="preserve"> Р. </w:t>
      </w:r>
      <w:r w:rsidRPr="003307F1">
        <w:rPr>
          <w:rFonts w:ascii="Times New Roman" w:hAnsi="Times New Roman"/>
          <w:sz w:val="28"/>
          <w:szCs w:val="28"/>
          <w:bdr w:val="none" w:sz="0" w:space="0" w:color="auto" w:frame="1"/>
          <w:lang w:val="en-US"/>
        </w:rPr>
        <w:t>30</w:t>
      </w:r>
      <w:r>
        <w:rPr>
          <w:rFonts w:ascii="Times New Roman" w:hAnsi="Times New Roman"/>
          <w:sz w:val="28"/>
          <w:szCs w:val="28"/>
          <w:bdr w:val="none" w:sz="0" w:space="0" w:color="auto" w:frame="1"/>
        </w:rPr>
        <w:t>-</w:t>
      </w:r>
      <w:r w:rsidRPr="003307F1">
        <w:rPr>
          <w:rFonts w:ascii="Times New Roman" w:hAnsi="Times New Roman"/>
          <w:sz w:val="28"/>
          <w:szCs w:val="28"/>
          <w:bdr w:val="none" w:sz="0" w:space="0" w:color="auto" w:frame="1"/>
        </w:rPr>
        <w:t>3</w:t>
      </w:r>
      <w:r w:rsidRPr="003307F1">
        <w:rPr>
          <w:rFonts w:ascii="Times New Roman" w:hAnsi="Times New Roman"/>
          <w:sz w:val="28"/>
          <w:szCs w:val="28"/>
          <w:bdr w:val="none" w:sz="0" w:space="0" w:color="auto" w:frame="1"/>
          <w:lang w:val="en-US"/>
        </w:rPr>
        <w:t>3</w:t>
      </w:r>
      <w:r w:rsidRPr="003307F1">
        <w:rPr>
          <w:rFonts w:ascii="Times New Roman" w:hAnsi="Times New Roman"/>
          <w:sz w:val="28"/>
          <w:szCs w:val="28"/>
          <w:bdr w:val="none" w:sz="0" w:space="0" w:color="auto" w:frame="1"/>
        </w:rPr>
        <w:t>.</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How much of the pancreatic head should we resect in Frey's procedure? / </w:t>
      </w:r>
      <w:r w:rsidRPr="00C62D22">
        <w:rPr>
          <w:rFonts w:ascii="Times New Roman" w:hAnsi="Times New Roman"/>
          <w:sz w:val="28"/>
          <w:szCs w:val="28"/>
          <w:lang w:val="en-US"/>
        </w:rPr>
        <w:t xml:space="preserve">                      </w:t>
      </w:r>
      <w:r w:rsidRPr="003307F1">
        <w:rPr>
          <w:rFonts w:ascii="Times New Roman" w:hAnsi="Times New Roman"/>
          <w:sz w:val="28"/>
          <w:szCs w:val="28"/>
          <w:lang w:val="fr-FR"/>
        </w:rPr>
        <w:t>N</w:t>
      </w:r>
      <w:r w:rsidRPr="003307F1">
        <w:rPr>
          <w:rFonts w:ascii="Times New Roman" w:hAnsi="Times New Roman"/>
          <w:sz w:val="28"/>
          <w:szCs w:val="28"/>
          <w:lang w:val="en-US"/>
        </w:rPr>
        <w:t xml:space="preserve">. </w:t>
      </w:r>
      <w:r w:rsidRPr="003307F1">
        <w:rPr>
          <w:rFonts w:ascii="Times New Roman" w:hAnsi="Times New Roman"/>
          <w:sz w:val="28"/>
          <w:szCs w:val="28"/>
          <w:lang w:val="fr-FR"/>
        </w:rPr>
        <w:t>Sakata, S</w:t>
      </w:r>
      <w:r w:rsidRPr="003307F1">
        <w:rPr>
          <w:rFonts w:ascii="Times New Roman" w:hAnsi="Times New Roman"/>
          <w:sz w:val="28"/>
          <w:szCs w:val="28"/>
          <w:lang w:val="en-US"/>
        </w:rPr>
        <w:t>.</w:t>
      </w:r>
      <w:r w:rsidRPr="003307F1">
        <w:rPr>
          <w:rFonts w:ascii="Times New Roman" w:hAnsi="Times New Roman"/>
          <w:sz w:val="28"/>
          <w:szCs w:val="28"/>
          <w:lang w:val="fr-FR"/>
        </w:rPr>
        <w:t xml:space="preserve"> Egawa, </w:t>
      </w:r>
      <w:r w:rsidRPr="003307F1">
        <w:rPr>
          <w:rFonts w:ascii="Times New Roman" w:hAnsi="Times New Roman"/>
          <w:sz w:val="28"/>
          <w:szCs w:val="28"/>
        </w:rPr>
        <w:t>Е</w:t>
      </w:r>
      <w:r w:rsidRPr="003307F1">
        <w:rPr>
          <w:rFonts w:ascii="Times New Roman" w:hAnsi="Times New Roman"/>
          <w:sz w:val="28"/>
          <w:szCs w:val="28"/>
          <w:lang w:val="en-US"/>
        </w:rPr>
        <w:t xml:space="preserve">. </w:t>
      </w:r>
      <w:r w:rsidRPr="003307F1">
        <w:rPr>
          <w:rFonts w:ascii="Times New Roman" w:hAnsi="Times New Roman"/>
          <w:sz w:val="28"/>
          <w:szCs w:val="28"/>
          <w:lang w:val="fr-FR"/>
        </w:rPr>
        <w:t>Motoi [</w:t>
      </w:r>
      <w:r w:rsidRPr="003307F1">
        <w:rPr>
          <w:rFonts w:ascii="Times New Roman" w:hAnsi="Times New Roman"/>
          <w:sz w:val="28"/>
          <w:szCs w:val="28"/>
          <w:lang w:val="en-US"/>
        </w:rPr>
        <w:t xml:space="preserve"> </w:t>
      </w:r>
      <w:r w:rsidRPr="003307F1">
        <w:rPr>
          <w:rFonts w:ascii="Times New Roman" w:hAnsi="Times New Roman"/>
          <w:sz w:val="28"/>
          <w:szCs w:val="28"/>
          <w:lang w:val="fr-FR"/>
        </w:rPr>
        <w:t>et al.</w:t>
      </w:r>
      <w:r w:rsidRPr="003307F1">
        <w:rPr>
          <w:rFonts w:ascii="Times New Roman" w:hAnsi="Times New Roman"/>
          <w:sz w:val="28"/>
          <w:szCs w:val="28"/>
          <w:lang w:val="en-US"/>
        </w:rPr>
        <w:t xml:space="preserve"> ]</w:t>
      </w:r>
      <w:r w:rsidRPr="003307F1">
        <w:rPr>
          <w:rFonts w:ascii="Times New Roman" w:hAnsi="Times New Roman"/>
          <w:sz w:val="28"/>
          <w:szCs w:val="28"/>
          <w:lang w:val="fr-FR"/>
        </w:rPr>
        <w:t xml:space="preserve"> </w:t>
      </w:r>
      <w:r w:rsidRPr="003307F1">
        <w:rPr>
          <w:rFonts w:ascii="Times New Roman" w:hAnsi="Times New Roman"/>
          <w:sz w:val="28"/>
          <w:szCs w:val="28"/>
          <w:lang w:val="en-US"/>
        </w:rPr>
        <w:t>// Surg. Today</w:t>
      </w:r>
      <w:r>
        <w:rPr>
          <w:rFonts w:ascii="Times New Roman" w:hAnsi="Times New Roman"/>
          <w:sz w:val="28"/>
          <w:szCs w:val="28"/>
          <w:lang w:val="en-US"/>
        </w:rPr>
        <w:t>. – 2009. – Vol. 39. – P. 120</w:t>
      </w:r>
      <w:r>
        <w:rPr>
          <w:rFonts w:ascii="Times New Roman" w:hAnsi="Times New Roman"/>
          <w:sz w:val="28"/>
          <w:szCs w:val="28"/>
        </w:rPr>
        <w:t>-</w:t>
      </w:r>
      <w:r w:rsidRPr="003307F1">
        <w:rPr>
          <w:rFonts w:ascii="Times New Roman" w:hAnsi="Times New Roman"/>
          <w:sz w:val="28"/>
          <w:szCs w:val="28"/>
          <w:lang w:val="en-US"/>
        </w:rPr>
        <w:t>127.</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lang w:val="en-US"/>
        </w:rPr>
      </w:pPr>
      <w:r w:rsidRPr="003307F1">
        <w:rPr>
          <w:rFonts w:ascii="Times New Roman" w:hAnsi="Times New Roman"/>
          <w:sz w:val="28"/>
          <w:szCs w:val="28"/>
          <w:bdr w:val="none" w:sz="0" w:space="0" w:color="auto" w:frame="1"/>
          <w:lang w:val="en-US"/>
        </w:rPr>
        <w:lastRenderedPageBreak/>
        <w:t xml:space="preserve">Huber W. Diagnosis and treatment of acute pancreatitis. Current recommendation / W. Huber, R. M. Schmid // Internist ( Berl ). </w:t>
      </w:r>
      <w:r w:rsidRPr="003307F1">
        <w:rPr>
          <w:rFonts w:ascii="Times New Roman" w:hAnsi="Times New Roman"/>
          <w:sz w:val="28"/>
          <w:szCs w:val="28"/>
          <w:lang w:val="en-US"/>
        </w:rPr>
        <w:t>–</w:t>
      </w:r>
      <w:r>
        <w:rPr>
          <w:rFonts w:ascii="Times New Roman" w:hAnsi="Times New Roman"/>
          <w:sz w:val="28"/>
          <w:szCs w:val="28"/>
          <w:lang w:val="en-US"/>
        </w:rPr>
        <w:t xml:space="preserve"> 2011. – Vol. 52, № 7. – P. 823</w:t>
      </w:r>
      <w:r w:rsidRPr="00C62D22">
        <w:rPr>
          <w:rFonts w:ascii="Times New Roman" w:hAnsi="Times New Roman"/>
          <w:sz w:val="28"/>
          <w:szCs w:val="28"/>
          <w:lang w:val="en-US"/>
        </w:rPr>
        <w:t>-</w:t>
      </w:r>
      <w:r w:rsidRPr="003307F1">
        <w:rPr>
          <w:rFonts w:ascii="Times New Roman" w:hAnsi="Times New Roman"/>
          <w:sz w:val="28"/>
          <w:szCs w:val="28"/>
          <w:lang w:val="en-US"/>
        </w:rPr>
        <w:t>830.</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Interventions for necrotizing pancreatitis: Summary of a Multidisciplinary Consensus Conference / M. L. Freeman, J. Werner, H. C.</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van Santvoort [ et al. ] // Pancreas. – </w:t>
      </w:r>
      <w:r>
        <w:rPr>
          <w:rFonts w:ascii="Times New Roman" w:hAnsi="Times New Roman"/>
          <w:sz w:val="28"/>
          <w:szCs w:val="28"/>
          <w:lang w:val="en-US"/>
        </w:rPr>
        <w:t>2012. – Vol. 41, № 8. – P. 1176</w:t>
      </w:r>
      <w:r w:rsidRPr="00C62D22">
        <w:rPr>
          <w:rFonts w:ascii="Times New Roman" w:hAnsi="Times New Roman"/>
          <w:sz w:val="28"/>
          <w:szCs w:val="28"/>
          <w:lang w:val="en-US"/>
        </w:rPr>
        <w:t>-</w:t>
      </w:r>
      <w:r w:rsidRPr="003307F1">
        <w:rPr>
          <w:rFonts w:ascii="Times New Roman" w:hAnsi="Times New Roman"/>
          <w:sz w:val="28"/>
          <w:szCs w:val="28"/>
          <w:lang w:val="en-US"/>
        </w:rPr>
        <w:t>1195.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Intraductal papillary mucinous neoplasms of the pancreas: differentiation of malignant and benign tumors by endoscopic ultrasonography findings of mural nodules / E. Ohno, Y. Hirooka, A. Ito [ et al. ] // Ann. Surg. – 20</w:t>
      </w:r>
      <w:r>
        <w:rPr>
          <w:rFonts w:ascii="Times New Roman" w:hAnsi="Times New Roman"/>
          <w:sz w:val="28"/>
          <w:szCs w:val="28"/>
          <w:lang w:val="en-US"/>
        </w:rPr>
        <w:t>09. – Vol. 249, № 4. – P. 628</w:t>
      </w:r>
      <w:r>
        <w:rPr>
          <w:rFonts w:ascii="Times New Roman" w:hAnsi="Times New Roman"/>
          <w:sz w:val="28"/>
          <w:szCs w:val="28"/>
        </w:rPr>
        <w:t>-</w:t>
      </w:r>
      <w:r w:rsidRPr="003307F1">
        <w:rPr>
          <w:rFonts w:ascii="Times New Roman" w:hAnsi="Times New Roman"/>
          <w:sz w:val="28"/>
          <w:szCs w:val="28"/>
          <w:lang w:val="en-US"/>
        </w:rPr>
        <w:t>634.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Intraductal ultrasonography (IDUS) for the diagnosis of biliopancreatic diseases / </w:t>
      </w:r>
      <w:smartTag w:uri="urn:schemas-microsoft-com:office:smarttags" w:element="place">
        <w:r w:rsidRPr="003307F1">
          <w:rPr>
            <w:rFonts w:ascii="Times New Roman" w:hAnsi="Times New Roman"/>
            <w:sz w:val="28"/>
            <w:szCs w:val="28"/>
            <w:lang w:val="en-US"/>
          </w:rPr>
          <w:t xml:space="preserve">N. </w:t>
        </w:r>
        <w:r w:rsidRPr="003307F1">
          <w:rPr>
            <w:rFonts w:ascii="Times New Roman" w:hAnsi="Times New Roman"/>
            <w:sz w:val="28"/>
            <w:szCs w:val="28"/>
            <w:lang w:val="fr-FR"/>
          </w:rPr>
          <w:t>Fujita</w:t>
        </w:r>
      </w:smartTag>
      <w:r w:rsidRPr="003307F1">
        <w:rPr>
          <w:rFonts w:ascii="Times New Roman" w:hAnsi="Times New Roman"/>
          <w:sz w:val="28"/>
          <w:szCs w:val="28"/>
          <w:lang w:val="fr-FR"/>
        </w:rPr>
        <w:t xml:space="preserve">, Y. Noda, G. Kobayashi [ et al .] </w:t>
      </w:r>
      <w:r w:rsidRPr="003307F1">
        <w:rPr>
          <w:rFonts w:ascii="Times New Roman" w:hAnsi="Times New Roman"/>
          <w:sz w:val="28"/>
          <w:szCs w:val="28"/>
          <w:lang w:val="en-US"/>
        </w:rPr>
        <w:t>// Best. Pract. Res. Clin. Gastroenterol. – 2009. – Vol. 23</w:t>
      </w:r>
      <w:r w:rsidRPr="003307F1">
        <w:rPr>
          <w:rFonts w:ascii="Times New Roman" w:hAnsi="Times New Roman"/>
          <w:sz w:val="28"/>
          <w:szCs w:val="28"/>
        </w:rPr>
        <w:t xml:space="preserve">, № </w:t>
      </w:r>
      <w:r>
        <w:rPr>
          <w:rFonts w:ascii="Times New Roman" w:hAnsi="Times New Roman"/>
          <w:sz w:val="28"/>
          <w:szCs w:val="28"/>
          <w:lang w:val="en-US"/>
        </w:rPr>
        <w:t>5. – P. 729</w:t>
      </w:r>
      <w:r>
        <w:rPr>
          <w:rFonts w:ascii="Times New Roman" w:hAnsi="Times New Roman"/>
          <w:sz w:val="28"/>
          <w:szCs w:val="28"/>
        </w:rPr>
        <w:t>-</w:t>
      </w:r>
      <w:r w:rsidRPr="003307F1">
        <w:rPr>
          <w:rFonts w:ascii="Times New Roman" w:hAnsi="Times New Roman"/>
          <w:sz w:val="28"/>
          <w:szCs w:val="28"/>
          <w:lang w:val="en-US"/>
        </w:rPr>
        <w:t>742.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Is outpatient ERCP suitable,</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feasible, and safe? The experience of Spanish community hospital /</w:t>
      </w:r>
      <w:r w:rsidRPr="003307F1">
        <w:rPr>
          <w:rFonts w:ascii="Times New Roman" w:hAnsi="Times New Roman"/>
          <w:sz w:val="28"/>
          <w:szCs w:val="28"/>
          <w:lang w:val="fr-FR"/>
        </w:rPr>
        <w:t xml:space="preserve"> L. Rabago, I. Guerra, M. Mpran [ et al. ] /</w:t>
      </w:r>
      <w:r w:rsidRPr="003307F1">
        <w:rPr>
          <w:rFonts w:ascii="Times New Roman" w:hAnsi="Times New Roman"/>
          <w:sz w:val="28"/>
          <w:szCs w:val="28"/>
          <w:lang w:val="en-US"/>
        </w:rPr>
        <w:t>/ Surg. Endosc. – 2010. – Vol. 24, № 7. – P. 1701</w:t>
      </w:r>
      <w:r>
        <w:rPr>
          <w:rFonts w:ascii="Times New Roman" w:hAnsi="Times New Roman"/>
          <w:sz w:val="28"/>
          <w:szCs w:val="28"/>
        </w:rPr>
        <w:t>-</w:t>
      </w:r>
      <w:r w:rsidRPr="003307F1">
        <w:rPr>
          <w:rFonts w:ascii="Times New Roman" w:hAnsi="Times New Roman"/>
          <w:sz w:val="28"/>
          <w:szCs w:val="28"/>
          <w:lang w:val="en-US"/>
        </w:rPr>
        <w:t>1706.</w:t>
      </w:r>
    </w:p>
    <w:p w:rsid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Khaled Y. S. Laparoscopic lateral pancreaticojejunostomy for chronic pancreatitis: a case report and review of the literature / Y. S. Khaled, M.B Ammori, </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B. J. Ammori // Surg. Endoscopy and Other Intervent. Techn. – 2011. – Vol. 21, № 1. – </w:t>
      </w:r>
      <w:r w:rsidRPr="003307F1">
        <w:rPr>
          <w:rFonts w:ascii="Times New Roman" w:hAnsi="Times New Roman"/>
          <w:sz w:val="28"/>
          <w:szCs w:val="28"/>
        </w:rPr>
        <w:t>Р</w:t>
      </w:r>
      <w:r>
        <w:rPr>
          <w:rFonts w:ascii="Times New Roman" w:hAnsi="Times New Roman"/>
          <w:sz w:val="28"/>
          <w:szCs w:val="28"/>
          <w:lang w:val="en-US"/>
        </w:rPr>
        <w:t>. 36</w:t>
      </w:r>
      <w:r>
        <w:rPr>
          <w:rFonts w:ascii="Times New Roman" w:hAnsi="Times New Roman"/>
          <w:sz w:val="28"/>
          <w:szCs w:val="28"/>
        </w:rPr>
        <w:t>-</w:t>
      </w:r>
      <w:r w:rsidRPr="003307F1">
        <w:rPr>
          <w:rFonts w:ascii="Times New Roman" w:hAnsi="Times New Roman"/>
          <w:sz w:val="28"/>
          <w:szCs w:val="28"/>
          <w:lang w:val="en-US"/>
        </w:rPr>
        <w:t>40.</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C62D22">
        <w:rPr>
          <w:rFonts w:ascii="Times New Roman" w:hAnsi="Times New Roman"/>
          <w:sz w:val="28"/>
          <w:szCs w:val="28"/>
          <w:lang w:val="en-US"/>
        </w:rPr>
        <w:t xml:space="preserve">Kryvoruchko </w:t>
      </w:r>
      <w:r>
        <w:rPr>
          <w:rFonts w:ascii="Times New Roman" w:hAnsi="Times New Roman"/>
          <w:sz w:val="28"/>
          <w:szCs w:val="28"/>
        </w:rPr>
        <w:t>І</w:t>
      </w:r>
      <w:r w:rsidRPr="00C62D22">
        <w:rPr>
          <w:rFonts w:ascii="Times New Roman" w:hAnsi="Times New Roman"/>
          <w:sz w:val="28"/>
          <w:szCs w:val="28"/>
          <w:lang w:val="en-US"/>
        </w:rPr>
        <w:t xml:space="preserve">. </w:t>
      </w:r>
      <w:r>
        <w:rPr>
          <w:rFonts w:ascii="Times New Roman" w:hAnsi="Times New Roman"/>
          <w:sz w:val="28"/>
          <w:szCs w:val="28"/>
        </w:rPr>
        <w:t>А</w:t>
      </w:r>
      <w:r w:rsidRPr="00C62D22">
        <w:rPr>
          <w:rFonts w:ascii="Times New Roman" w:hAnsi="Times New Roman"/>
          <w:sz w:val="28"/>
          <w:szCs w:val="28"/>
          <w:lang w:val="en-US"/>
        </w:rPr>
        <w:t>. The questions of a chronic pancreatitis pathogenesis and its complications / I.A. Kryvoruchko, N.M. Goncharova, O.A. Tonkoglas // Inter colleg</w:t>
      </w:r>
      <w:r>
        <w:rPr>
          <w:rFonts w:ascii="Times New Roman" w:hAnsi="Times New Roman"/>
          <w:sz w:val="28"/>
          <w:szCs w:val="28"/>
        </w:rPr>
        <w:t>а</w:t>
      </w:r>
      <w:r w:rsidRPr="00C62D22">
        <w:rPr>
          <w:rFonts w:ascii="Times New Roman" w:hAnsi="Times New Roman"/>
          <w:sz w:val="28"/>
          <w:szCs w:val="28"/>
          <w:lang w:val="en-US"/>
        </w:rPr>
        <w:t>s. – 2015. – №1 (2). – P. 77-94.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Laparoscopic distal pancreatectomy: evolution of a technique at a</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single institution / S. Jayaraman, M. Gonen, M. F. Brennan [ et al. ] //</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J. Am. Coll. Surg. – </w:t>
      </w:r>
      <w:r>
        <w:rPr>
          <w:rFonts w:ascii="Times New Roman" w:hAnsi="Times New Roman"/>
          <w:sz w:val="28"/>
          <w:szCs w:val="28"/>
          <w:lang w:val="en-US"/>
        </w:rPr>
        <w:t>2010. – Vol. 211, № 4. – P. 503</w:t>
      </w:r>
      <w:r>
        <w:rPr>
          <w:rFonts w:ascii="Times New Roman" w:hAnsi="Times New Roman"/>
          <w:sz w:val="28"/>
          <w:szCs w:val="28"/>
        </w:rPr>
        <w:t>-</w:t>
      </w:r>
      <w:r w:rsidRPr="003307F1">
        <w:rPr>
          <w:rFonts w:ascii="Times New Roman" w:hAnsi="Times New Roman"/>
          <w:sz w:val="28"/>
          <w:szCs w:val="28"/>
          <w:lang w:val="en-US"/>
        </w:rPr>
        <w:t>509.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Laparoscopic distal pancreatectomy offers shorter hospital stays</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with fewer complications / J. DiNorcia, B. A. Schrope, M. K. Lee [et</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al.] // J. Gastrointest. Surg. – 2</w:t>
      </w:r>
      <w:r>
        <w:rPr>
          <w:rFonts w:ascii="Times New Roman" w:hAnsi="Times New Roman"/>
          <w:sz w:val="28"/>
          <w:szCs w:val="28"/>
          <w:lang w:val="en-US"/>
        </w:rPr>
        <w:t>010. – Vol. 14, № 11. – P. 1804</w:t>
      </w:r>
      <w:r>
        <w:rPr>
          <w:rFonts w:ascii="Times New Roman" w:hAnsi="Times New Roman"/>
          <w:sz w:val="28"/>
          <w:szCs w:val="28"/>
        </w:rPr>
        <w:t>-</w:t>
      </w:r>
      <w:r w:rsidRPr="003307F1">
        <w:rPr>
          <w:rFonts w:ascii="Times New Roman" w:hAnsi="Times New Roman"/>
          <w:sz w:val="28"/>
          <w:szCs w:val="28"/>
          <w:lang w:val="en-US"/>
        </w:rPr>
        <w:t>1812.</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Laparoscopic interventions in patients with chronic pancreatitis / </w:t>
      </w:r>
      <w:r w:rsidRPr="003307F1">
        <w:rPr>
          <w:rFonts w:ascii="Times New Roman" w:hAnsi="Times New Roman"/>
          <w:sz w:val="28"/>
          <w:szCs w:val="28"/>
        </w:rPr>
        <w:t>А</w:t>
      </w:r>
      <w:r w:rsidRPr="003307F1">
        <w:rPr>
          <w:rFonts w:ascii="Times New Roman" w:hAnsi="Times New Roman"/>
          <w:sz w:val="28"/>
          <w:szCs w:val="28"/>
          <w:lang w:val="en-US"/>
        </w:rPr>
        <w:t xml:space="preserve">. Siatkouski, </w:t>
      </w:r>
      <w:r w:rsidRPr="003307F1">
        <w:rPr>
          <w:rFonts w:ascii="Times New Roman" w:hAnsi="Times New Roman"/>
          <w:sz w:val="28"/>
          <w:szCs w:val="28"/>
        </w:rPr>
        <w:t>А</w:t>
      </w:r>
      <w:r w:rsidRPr="003307F1">
        <w:rPr>
          <w:rFonts w:ascii="Times New Roman" w:hAnsi="Times New Roman"/>
          <w:sz w:val="28"/>
          <w:szCs w:val="28"/>
          <w:lang w:val="en-US"/>
        </w:rPr>
        <w:t xml:space="preserve">. Shchastny, </w:t>
      </w:r>
      <w:r w:rsidRPr="003307F1">
        <w:rPr>
          <w:rFonts w:ascii="Times New Roman" w:hAnsi="Times New Roman"/>
          <w:sz w:val="28"/>
          <w:szCs w:val="28"/>
        </w:rPr>
        <w:t>М</w:t>
      </w:r>
      <w:r w:rsidRPr="003307F1">
        <w:rPr>
          <w:rFonts w:ascii="Times New Roman" w:hAnsi="Times New Roman"/>
          <w:sz w:val="28"/>
          <w:szCs w:val="28"/>
          <w:lang w:val="en-US"/>
        </w:rPr>
        <w:t xml:space="preserve">. Kuhaeu [ et al. ] // Pancreatology. – 2012. – Vol. 12, № 6. – </w:t>
      </w:r>
      <w:r w:rsidRPr="003307F1">
        <w:rPr>
          <w:rFonts w:ascii="Times New Roman" w:hAnsi="Times New Roman"/>
          <w:sz w:val="28"/>
          <w:szCs w:val="28"/>
        </w:rPr>
        <w:t>Р</w:t>
      </w:r>
      <w:r w:rsidRPr="003307F1">
        <w:rPr>
          <w:rFonts w:ascii="Times New Roman" w:hAnsi="Times New Roman"/>
          <w:sz w:val="28"/>
          <w:szCs w:val="28"/>
          <w:lang w:val="en-US"/>
        </w:rPr>
        <w:t>. 522.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lastRenderedPageBreak/>
        <w:t xml:space="preserve">Laparoscopic lateral pancreaticojejunostomy, Beger''s and Frey's procedures for the treatment of chronic pancreatitis: The first UK experience / A. S. Khaled, </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Y. S. Khaled, B. J. Ammori [ et al. ] // Surg. Endoscopy and Other Intervent. Techn. – 2013. – Vol. 27, № 1. – </w:t>
      </w:r>
      <w:r w:rsidRPr="003307F1">
        <w:rPr>
          <w:rFonts w:ascii="Times New Roman" w:hAnsi="Times New Roman"/>
          <w:sz w:val="28"/>
          <w:szCs w:val="28"/>
        </w:rPr>
        <w:t>Р</w:t>
      </w:r>
      <w:r>
        <w:rPr>
          <w:rFonts w:ascii="Times New Roman" w:hAnsi="Times New Roman"/>
          <w:sz w:val="28"/>
          <w:szCs w:val="28"/>
          <w:lang w:val="en-US"/>
        </w:rPr>
        <w:t>. 249</w:t>
      </w:r>
      <w:r>
        <w:rPr>
          <w:rFonts w:ascii="Times New Roman" w:hAnsi="Times New Roman"/>
          <w:sz w:val="28"/>
          <w:szCs w:val="28"/>
        </w:rPr>
        <w:t>-</w:t>
      </w:r>
      <w:r w:rsidRPr="003307F1">
        <w:rPr>
          <w:rFonts w:ascii="Times New Roman" w:hAnsi="Times New Roman"/>
          <w:sz w:val="28"/>
          <w:szCs w:val="28"/>
          <w:lang w:val="en-US"/>
        </w:rPr>
        <w:t>250.</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Laparoscopic vs open distal pancreatectomy: a single-institution</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comparative study / S. S. Vijan, K. A. Ahmed, W. </w:t>
      </w:r>
      <w:smartTag w:uri="urn:schemas-microsoft-com:office:smarttags" w:element="place">
        <w:r w:rsidRPr="003307F1">
          <w:rPr>
            <w:rFonts w:ascii="Times New Roman" w:hAnsi="Times New Roman"/>
            <w:sz w:val="28"/>
            <w:szCs w:val="28"/>
            <w:lang w:val="en-US"/>
          </w:rPr>
          <w:t>S. Harmsen</w:t>
        </w:r>
      </w:smartTag>
      <w:r w:rsidRPr="003307F1">
        <w:rPr>
          <w:rFonts w:ascii="Times New Roman" w:hAnsi="Times New Roman"/>
          <w:sz w:val="28"/>
          <w:szCs w:val="28"/>
          <w:lang w:val="en-US"/>
        </w:rPr>
        <w:t xml:space="preserve"> [ et al. ] // Arch. Surg. – </w:t>
      </w:r>
      <w:r>
        <w:rPr>
          <w:rFonts w:ascii="Times New Roman" w:hAnsi="Times New Roman"/>
          <w:sz w:val="28"/>
          <w:szCs w:val="28"/>
          <w:lang w:val="en-US"/>
        </w:rPr>
        <w:t>2010. – Vol. 145, № 7. – P. 616</w:t>
      </w:r>
      <w:r>
        <w:rPr>
          <w:rFonts w:ascii="Times New Roman" w:hAnsi="Times New Roman"/>
          <w:sz w:val="28"/>
          <w:szCs w:val="28"/>
        </w:rPr>
        <w:t>-</w:t>
      </w:r>
      <w:r w:rsidRPr="003307F1">
        <w:rPr>
          <w:rFonts w:ascii="Times New Roman" w:hAnsi="Times New Roman"/>
          <w:sz w:val="28"/>
          <w:szCs w:val="28"/>
          <w:lang w:val="en-US"/>
        </w:rPr>
        <w:t>621.</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Pr>
          <w:rFonts w:ascii="Times New Roman" w:hAnsi="Times New Roman"/>
          <w:sz w:val="28"/>
          <w:szCs w:val="28"/>
          <w:lang w:val="en-US"/>
        </w:rPr>
        <w:t>Liliensiek</w:t>
      </w:r>
      <w:r w:rsidRPr="00C62D22">
        <w:rPr>
          <w:rFonts w:ascii="Times New Roman" w:hAnsi="Times New Roman"/>
          <w:sz w:val="28"/>
          <w:szCs w:val="28"/>
          <w:lang w:val="en-US"/>
        </w:rPr>
        <w:t xml:space="preserve"> </w:t>
      </w:r>
      <w:r w:rsidRPr="003307F1">
        <w:rPr>
          <w:rFonts w:ascii="Times New Roman" w:hAnsi="Times New Roman"/>
          <w:sz w:val="28"/>
          <w:szCs w:val="28"/>
          <w:lang w:val="en-US"/>
        </w:rPr>
        <w:t>S.</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J. Characterization of endothelial basement membrane nanotopography in rhesus macaque as a guide for vessel tissue engineering / </w:t>
      </w:r>
      <w:r w:rsidRPr="00C62D22">
        <w:rPr>
          <w:rFonts w:ascii="Times New Roman" w:hAnsi="Times New Roman"/>
          <w:sz w:val="28"/>
          <w:szCs w:val="28"/>
          <w:lang w:val="en-US"/>
        </w:rPr>
        <w:t xml:space="preserve">                              </w:t>
      </w:r>
      <w:r w:rsidRPr="003307F1">
        <w:rPr>
          <w:rFonts w:ascii="Times New Roman" w:hAnsi="Times New Roman"/>
          <w:sz w:val="28"/>
          <w:szCs w:val="28"/>
          <w:lang w:val="en-US"/>
        </w:rPr>
        <w:t>S.</w:t>
      </w:r>
      <w:r w:rsidRPr="00C62D22">
        <w:rPr>
          <w:rFonts w:ascii="Times New Roman" w:hAnsi="Times New Roman"/>
          <w:sz w:val="28"/>
          <w:szCs w:val="28"/>
          <w:lang w:val="en-US"/>
        </w:rPr>
        <w:t xml:space="preserve"> </w:t>
      </w:r>
      <w:r>
        <w:rPr>
          <w:rFonts w:ascii="Times New Roman" w:hAnsi="Times New Roman"/>
          <w:sz w:val="28"/>
          <w:szCs w:val="28"/>
          <w:lang w:val="en-US"/>
        </w:rPr>
        <w:t>J.</w:t>
      </w:r>
      <w:r w:rsidRPr="00C62D22">
        <w:rPr>
          <w:rFonts w:ascii="Times New Roman" w:hAnsi="Times New Roman"/>
          <w:sz w:val="28"/>
          <w:szCs w:val="28"/>
          <w:lang w:val="en-US"/>
        </w:rPr>
        <w:t xml:space="preserve"> </w:t>
      </w:r>
      <w:r>
        <w:rPr>
          <w:rFonts w:ascii="Times New Roman" w:hAnsi="Times New Roman"/>
          <w:sz w:val="28"/>
          <w:szCs w:val="28"/>
          <w:lang w:val="en-US"/>
        </w:rPr>
        <w:t>Liliensiek, P.</w:t>
      </w:r>
      <w:r w:rsidRPr="00C62D22">
        <w:rPr>
          <w:rFonts w:ascii="Times New Roman" w:hAnsi="Times New Roman"/>
          <w:sz w:val="28"/>
          <w:szCs w:val="28"/>
          <w:lang w:val="en-US"/>
        </w:rPr>
        <w:t xml:space="preserve"> </w:t>
      </w:r>
      <w:r w:rsidRPr="003307F1">
        <w:rPr>
          <w:rFonts w:ascii="Times New Roman" w:hAnsi="Times New Roman"/>
          <w:sz w:val="28"/>
          <w:szCs w:val="28"/>
          <w:lang w:val="en-US"/>
        </w:rPr>
        <w:t>Nealey, C.</w:t>
      </w:r>
      <w:r w:rsidRPr="00C62D22">
        <w:rPr>
          <w:rFonts w:ascii="Times New Roman" w:hAnsi="Times New Roman"/>
          <w:sz w:val="28"/>
          <w:szCs w:val="28"/>
          <w:lang w:val="en-US"/>
        </w:rPr>
        <w:t xml:space="preserve"> </w:t>
      </w:r>
      <w:r>
        <w:rPr>
          <w:rFonts w:ascii="Times New Roman" w:hAnsi="Times New Roman"/>
          <w:sz w:val="28"/>
          <w:szCs w:val="28"/>
          <w:lang w:val="en-US"/>
        </w:rPr>
        <w:t>J.</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Murphy // </w:t>
      </w:r>
      <w:r>
        <w:rPr>
          <w:rFonts w:ascii="Times New Roman" w:hAnsi="Times New Roman"/>
          <w:smallCaps/>
          <w:sz w:val="28"/>
          <w:szCs w:val="28"/>
          <w:shd w:val="clear" w:color="auto" w:fill="FFFFFF"/>
          <w:lang w:val="en-US"/>
        </w:rPr>
        <w:t>TISSUE ENGINEERING. – 2009. – №</w:t>
      </w:r>
      <w:r w:rsidRPr="00C62D22">
        <w:rPr>
          <w:rFonts w:ascii="Times New Roman" w:hAnsi="Times New Roman"/>
          <w:smallCaps/>
          <w:sz w:val="28"/>
          <w:szCs w:val="28"/>
          <w:shd w:val="clear" w:color="auto" w:fill="FFFFFF"/>
          <w:lang w:val="en-US"/>
        </w:rPr>
        <w:t xml:space="preserve"> </w:t>
      </w:r>
      <w:r>
        <w:rPr>
          <w:rFonts w:ascii="Times New Roman" w:hAnsi="Times New Roman"/>
          <w:smallCaps/>
          <w:sz w:val="28"/>
          <w:szCs w:val="28"/>
          <w:shd w:val="clear" w:color="auto" w:fill="FFFFFF"/>
          <w:lang w:val="en-US"/>
        </w:rPr>
        <w:t>9</w:t>
      </w:r>
      <w:r w:rsidRPr="00C62D22">
        <w:rPr>
          <w:rFonts w:ascii="Times New Roman" w:hAnsi="Times New Roman"/>
          <w:smallCaps/>
          <w:sz w:val="28"/>
          <w:szCs w:val="28"/>
          <w:shd w:val="clear" w:color="auto" w:fill="FFFFFF"/>
          <w:lang w:val="en-US"/>
        </w:rPr>
        <w:t xml:space="preserve"> </w:t>
      </w:r>
      <w:r>
        <w:rPr>
          <w:rFonts w:ascii="Times New Roman" w:hAnsi="Times New Roman"/>
          <w:smallCaps/>
          <w:sz w:val="28"/>
          <w:szCs w:val="28"/>
          <w:shd w:val="clear" w:color="auto" w:fill="FFFFFF"/>
          <w:lang w:val="en-US"/>
        </w:rPr>
        <w:t>(15)</w:t>
      </w:r>
      <w:r w:rsidRPr="00C62D22">
        <w:rPr>
          <w:rFonts w:ascii="Times New Roman" w:hAnsi="Times New Roman"/>
          <w:smallCaps/>
          <w:sz w:val="28"/>
          <w:szCs w:val="28"/>
          <w:shd w:val="clear" w:color="auto" w:fill="FFFFFF"/>
          <w:lang w:val="en-US"/>
        </w:rPr>
        <w:t>.</w:t>
      </w:r>
      <w:r w:rsidRPr="00E62578">
        <w:rPr>
          <w:rFonts w:ascii="Times New Roman" w:hAnsi="Times New Roman"/>
          <w:smallCaps/>
          <w:sz w:val="28"/>
          <w:szCs w:val="28"/>
          <w:shd w:val="clear" w:color="auto" w:fill="FFFFFF"/>
          <w:lang w:val="en-US"/>
        </w:rPr>
        <w:t xml:space="preserve"> – </w:t>
      </w:r>
      <w:r w:rsidRPr="00E62578">
        <w:rPr>
          <w:rFonts w:ascii="Times New Roman" w:hAnsi="Times New Roman"/>
          <w:smallCaps/>
          <w:sz w:val="28"/>
          <w:szCs w:val="28"/>
          <w:shd w:val="clear" w:color="auto" w:fill="FFFFFF"/>
        </w:rPr>
        <w:t>Р</w:t>
      </w:r>
      <w:r>
        <w:rPr>
          <w:rFonts w:ascii="Times New Roman" w:hAnsi="Times New Roman"/>
          <w:smallCaps/>
          <w:sz w:val="28"/>
          <w:szCs w:val="28"/>
          <w:shd w:val="clear" w:color="auto" w:fill="FFFFFF"/>
          <w:lang w:val="en-US"/>
        </w:rPr>
        <w:t>.</w:t>
      </w:r>
      <w:r w:rsidRPr="00C62D22">
        <w:rPr>
          <w:rFonts w:ascii="Times New Roman" w:hAnsi="Times New Roman"/>
          <w:smallCaps/>
          <w:sz w:val="28"/>
          <w:szCs w:val="28"/>
          <w:shd w:val="clear" w:color="auto" w:fill="FFFFFF"/>
          <w:lang w:val="en-US"/>
        </w:rPr>
        <w:t xml:space="preserve"> </w:t>
      </w:r>
      <w:r>
        <w:rPr>
          <w:rFonts w:ascii="Times New Roman" w:hAnsi="Times New Roman"/>
          <w:smallCaps/>
          <w:sz w:val="28"/>
          <w:szCs w:val="28"/>
          <w:shd w:val="clear" w:color="auto" w:fill="FFFFFF"/>
          <w:lang w:val="en-US"/>
        </w:rPr>
        <w:t>2643</w:t>
      </w:r>
      <w:r w:rsidRPr="00C62D22">
        <w:rPr>
          <w:rFonts w:ascii="Times New Roman" w:hAnsi="Times New Roman"/>
          <w:smallCaps/>
          <w:sz w:val="28"/>
          <w:szCs w:val="28"/>
          <w:shd w:val="clear" w:color="auto" w:fill="FFFFFF"/>
          <w:lang w:val="en-US"/>
        </w:rPr>
        <w:t>-</w:t>
      </w:r>
      <w:r w:rsidRPr="00E62578">
        <w:rPr>
          <w:rFonts w:ascii="Times New Roman" w:hAnsi="Times New Roman"/>
          <w:smallCaps/>
          <w:sz w:val="28"/>
          <w:szCs w:val="28"/>
          <w:shd w:val="clear" w:color="auto" w:fill="FFFFFF"/>
          <w:lang w:val="en-US"/>
        </w:rPr>
        <w:t>2651.</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Long-term outcome of laparoscopic cystogastrostomy performed using a posterior approach with a stapling device / </w:t>
      </w:r>
      <w:r w:rsidRPr="003307F1">
        <w:rPr>
          <w:rFonts w:ascii="Times New Roman" w:hAnsi="Times New Roman"/>
          <w:sz w:val="28"/>
          <w:szCs w:val="28"/>
        </w:rPr>
        <w:t>Т</w:t>
      </w:r>
      <w:r w:rsidRPr="003307F1">
        <w:rPr>
          <w:rFonts w:ascii="Times New Roman" w:hAnsi="Times New Roman"/>
          <w:sz w:val="28"/>
          <w:szCs w:val="28"/>
          <w:lang w:val="en-US"/>
        </w:rPr>
        <w:t xml:space="preserve">. </w:t>
      </w:r>
      <w:r w:rsidRPr="003307F1">
        <w:rPr>
          <w:rFonts w:ascii="Times New Roman" w:hAnsi="Times New Roman"/>
          <w:sz w:val="28"/>
          <w:szCs w:val="28"/>
          <w:lang w:val="fr-FR"/>
        </w:rPr>
        <w:t>Oida,</w:t>
      </w:r>
      <w:r w:rsidRPr="003307F1">
        <w:rPr>
          <w:rFonts w:ascii="Times New Roman" w:hAnsi="Times New Roman"/>
          <w:sz w:val="28"/>
          <w:szCs w:val="28"/>
          <w:lang w:val="en-US"/>
        </w:rPr>
        <w:t xml:space="preserve"> </w:t>
      </w:r>
      <w:r w:rsidRPr="003307F1">
        <w:rPr>
          <w:rFonts w:ascii="Times New Roman" w:hAnsi="Times New Roman"/>
          <w:sz w:val="28"/>
          <w:szCs w:val="28"/>
        </w:rPr>
        <w:t>К</w:t>
      </w:r>
      <w:r w:rsidRPr="003307F1">
        <w:rPr>
          <w:rFonts w:ascii="Times New Roman" w:hAnsi="Times New Roman"/>
          <w:sz w:val="28"/>
          <w:szCs w:val="28"/>
          <w:lang w:val="en-US"/>
        </w:rPr>
        <w:t>.</w:t>
      </w:r>
      <w:r w:rsidRPr="003307F1">
        <w:rPr>
          <w:rFonts w:ascii="Times New Roman" w:hAnsi="Times New Roman"/>
          <w:sz w:val="28"/>
          <w:szCs w:val="28"/>
          <w:lang w:val="fr-FR"/>
        </w:rPr>
        <w:t xml:space="preserve"> Mimatsu, </w:t>
      </w:r>
      <w:r w:rsidRPr="003307F1">
        <w:rPr>
          <w:rFonts w:ascii="Times New Roman" w:hAnsi="Times New Roman"/>
          <w:sz w:val="28"/>
          <w:szCs w:val="28"/>
        </w:rPr>
        <w:t>А</w:t>
      </w:r>
      <w:r w:rsidRPr="003307F1">
        <w:rPr>
          <w:rFonts w:ascii="Times New Roman" w:hAnsi="Times New Roman"/>
          <w:sz w:val="28"/>
          <w:szCs w:val="28"/>
          <w:lang w:val="en-US"/>
        </w:rPr>
        <w:t xml:space="preserve">. </w:t>
      </w:r>
      <w:smartTag w:uri="urn:schemas-microsoft-com:office:smarttags" w:element="place">
        <w:smartTag w:uri="urn:schemas-microsoft-com:office:smarttags" w:element="City">
          <w:r w:rsidRPr="003307F1">
            <w:rPr>
              <w:rFonts w:ascii="Times New Roman" w:hAnsi="Times New Roman"/>
              <w:sz w:val="28"/>
              <w:szCs w:val="28"/>
              <w:lang w:val="fr-FR"/>
            </w:rPr>
            <w:t>Kawasaki</w:t>
          </w:r>
        </w:smartTag>
      </w:smartTag>
      <w:r w:rsidRPr="003307F1">
        <w:rPr>
          <w:rFonts w:ascii="Times New Roman" w:hAnsi="Times New Roman"/>
          <w:sz w:val="28"/>
          <w:szCs w:val="28"/>
          <w:lang w:val="en-US"/>
        </w:rPr>
        <w:t xml:space="preserve"> </w:t>
      </w:r>
      <w:r w:rsidRPr="003307F1">
        <w:rPr>
          <w:rFonts w:ascii="Times New Roman" w:hAnsi="Times New Roman"/>
          <w:sz w:val="28"/>
          <w:szCs w:val="28"/>
          <w:lang w:val="fr-FR"/>
        </w:rPr>
        <w:t>[</w:t>
      </w:r>
      <w:r w:rsidRPr="003307F1">
        <w:rPr>
          <w:rFonts w:ascii="Times New Roman" w:hAnsi="Times New Roman"/>
          <w:sz w:val="28"/>
          <w:szCs w:val="28"/>
          <w:lang w:val="en-US"/>
        </w:rPr>
        <w:t xml:space="preserve"> </w:t>
      </w:r>
      <w:r w:rsidRPr="003307F1">
        <w:rPr>
          <w:rFonts w:ascii="Times New Roman" w:hAnsi="Times New Roman"/>
          <w:sz w:val="28"/>
          <w:szCs w:val="28"/>
          <w:lang w:val="fr-FR"/>
        </w:rPr>
        <w:t>et al.</w:t>
      </w:r>
      <w:r w:rsidRPr="003307F1">
        <w:rPr>
          <w:rFonts w:ascii="Times New Roman" w:hAnsi="Times New Roman"/>
          <w:sz w:val="28"/>
          <w:szCs w:val="28"/>
          <w:lang w:val="en-US"/>
        </w:rPr>
        <w:t xml:space="preserve"> </w:t>
      </w:r>
      <w:r w:rsidRPr="003307F1">
        <w:rPr>
          <w:rFonts w:ascii="Times New Roman" w:hAnsi="Times New Roman"/>
          <w:sz w:val="28"/>
          <w:szCs w:val="28"/>
          <w:lang w:val="fr-FR"/>
        </w:rPr>
        <w:t xml:space="preserve">] </w:t>
      </w:r>
      <w:r w:rsidRPr="003307F1">
        <w:rPr>
          <w:rFonts w:ascii="Times New Roman" w:hAnsi="Times New Roman"/>
          <w:sz w:val="28"/>
          <w:szCs w:val="28"/>
          <w:lang w:val="en-US"/>
        </w:rPr>
        <w:t>// Dig. Surg. – 2</w:t>
      </w:r>
      <w:r>
        <w:rPr>
          <w:rFonts w:ascii="Times New Roman" w:hAnsi="Times New Roman"/>
          <w:sz w:val="28"/>
          <w:szCs w:val="28"/>
          <w:lang w:val="en-US"/>
        </w:rPr>
        <w:t>009. – Vol. 26, № 2. – P. 110</w:t>
      </w:r>
      <w:r>
        <w:rPr>
          <w:rFonts w:ascii="Times New Roman" w:hAnsi="Times New Roman"/>
          <w:sz w:val="28"/>
          <w:szCs w:val="28"/>
        </w:rPr>
        <w:t>-</w:t>
      </w:r>
      <w:r w:rsidRPr="003307F1">
        <w:rPr>
          <w:rFonts w:ascii="Times New Roman" w:hAnsi="Times New Roman"/>
          <w:sz w:val="28"/>
          <w:szCs w:val="28"/>
          <w:lang w:val="en-US"/>
        </w:rPr>
        <w:t>114.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Magnetic resonance imaging in pancreas transplantation / </w:t>
      </w:r>
      <w:r w:rsidRPr="003307F1">
        <w:rPr>
          <w:rFonts w:ascii="Times New Roman" w:hAnsi="Times New Roman"/>
          <w:sz w:val="28"/>
          <w:szCs w:val="28"/>
          <w:lang w:val="fr-FR"/>
        </w:rPr>
        <w:t>R</w:t>
      </w:r>
      <w:r w:rsidRPr="003307F1">
        <w:rPr>
          <w:rFonts w:ascii="Times New Roman" w:hAnsi="Times New Roman"/>
          <w:sz w:val="28"/>
          <w:szCs w:val="28"/>
          <w:lang w:val="en-US"/>
        </w:rPr>
        <w:t>.</w:t>
      </w:r>
      <w:r w:rsidRPr="003307F1">
        <w:rPr>
          <w:rFonts w:ascii="Times New Roman" w:hAnsi="Times New Roman"/>
          <w:sz w:val="28"/>
          <w:szCs w:val="28"/>
          <w:lang w:val="fr-FR"/>
        </w:rPr>
        <w:t xml:space="preserve"> Fattahi, </w:t>
      </w:r>
      <w:r w:rsidRPr="00C62D22">
        <w:rPr>
          <w:rFonts w:ascii="Times New Roman" w:hAnsi="Times New Roman"/>
          <w:sz w:val="28"/>
          <w:szCs w:val="28"/>
          <w:lang w:val="en-US"/>
        </w:rPr>
        <w:t xml:space="preserve">                            </w:t>
      </w:r>
      <w:r w:rsidRPr="003307F1">
        <w:rPr>
          <w:rFonts w:ascii="Times New Roman" w:hAnsi="Times New Roman"/>
          <w:sz w:val="28"/>
          <w:szCs w:val="28"/>
        </w:rPr>
        <w:t>К</w:t>
      </w:r>
      <w:r w:rsidRPr="003307F1">
        <w:rPr>
          <w:rFonts w:ascii="Times New Roman" w:hAnsi="Times New Roman"/>
          <w:sz w:val="28"/>
          <w:szCs w:val="28"/>
          <w:lang w:val="en-US"/>
        </w:rPr>
        <w:t xml:space="preserve">. </w:t>
      </w:r>
      <w:r w:rsidRPr="003307F1">
        <w:rPr>
          <w:rFonts w:ascii="Times New Roman" w:hAnsi="Times New Roman"/>
          <w:sz w:val="28"/>
          <w:szCs w:val="28"/>
        </w:rPr>
        <w:t>А</w:t>
      </w:r>
      <w:r w:rsidRPr="003307F1">
        <w:rPr>
          <w:rFonts w:ascii="Times New Roman" w:hAnsi="Times New Roman"/>
          <w:sz w:val="28"/>
          <w:szCs w:val="28"/>
          <w:lang w:val="en-US"/>
        </w:rPr>
        <w:t xml:space="preserve">. </w:t>
      </w:r>
      <w:r w:rsidRPr="003307F1">
        <w:rPr>
          <w:rFonts w:ascii="Times New Roman" w:hAnsi="Times New Roman"/>
          <w:sz w:val="28"/>
          <w:szCs w:val="28"/>
          <w:lang w:val="fr-FR"/>
        </w:rPr>
        <w:t>Modanlou, N</w:t>
      </w:r>
      <w:r w:rsidRPr="003307F1">
        <w:rPr>
          <w:rFonts w:ascii="Times New Roman" w:hAnsi="Times New Roman"/>
          <w:sz w:val="28"/>
          <w:szCs w:val="28"/>
          <w:lang w:val="en-US"/>
        </w:rPr>
        <w:t>.</w:t>
      </w:r>
      <w:r w:rsidRPr="003307F1">
        <w:rPr>
          <w:rFonts w:ascii="Times New Roman" w:hAnsi="Times New Roman"/>
          <w:sz w:val="28"/>
          <w:szCs w:val="28"/>
          <w:lang w:val="fr-FR"/>
        </w:rPr>
        <w:t xml:space="preserve"> Soyada</w:t>
      </w:r>
      <w:r w:rsidRPr="003307F1">
        <w:rPr>
          <w:rFonts w:ascii="Times New Roman" w:hAnsi="Times New Roman"/>
          <w:sz w:val="28"/>
          <w:szCs w:val="28"/>
          <w:lang w:val="en-US"/>
        </w:rPr>
        <w:t xml:space="preserve"> [ et al. ]</w:t>
      </w:r>
      <w:r w:rsidRPr="003307F1">
        <w:rPr>
          <w:rFonts w:ascii="Times New Roman" w:hAnsi="Times New Roman"/>
          <w:sz w:val="28"/>
          <w:szCs w:val="28"/>
          <w:lang w:val="fr-FR"/>
        </w:rPr>
        <w:t xml:space="preserve"> </w:t>
      </w:r>
      <w:r w:rsidRPr="003307F1">
        <w:rPr>
          <w:rFonts w:ascii="Times New Roman" w:hAnsi="Times New Roman"/>
          <w:sz w:val="28"/>
          <w:szCs w:val="28"/>
          <w:lang w:val="en-US"/>
        </w:rPr>
        <w:t xml:space="preserve">// Top. </w:t>
      </w:r>
      <w:r w:rsidRPr="003307F1">
        <w:rPr>
          <w:rFonts w:ascii="Times New Roman" w:hAnsi="Times New Roman"/>
          <w:sz w:val="28"/>
          <w:szCs w:val="28"/>
          <w:lang w:val="fr-FR"/>
        </w:rPr>
        <w:t xml:space="preserve">Magn. Reson. Imaging. </w:t>
      </w:r>
      <w:r w:rsidRPr="003307F1">
        <w:rPr>
          <w:rFonts w:ascii="Times New Roman" w:hAnsi="Times New Roman"/>
          <w:sz w:val="28"/>
          <w:szCs w:val="28"/>
        </w:rPr>
        <w:t>–</w:t>
      </w:r>
      <w:r w:rsidRPr="003307F1">
        <w:rPr>
          <w:rFonts w:ascii="Times New Roman" w:hAnsi="Times New Roman"/>
          <w:sz w:val="28"/>
          <w:szCs w:val="28"/>
          <w:lang w:val="fr-FR"/>
        </w:rPr>
        <w:t xml:space="preserve"> 2009. </w:t>
      </w:r>
      <w:r w:rsidRPr="003307F1">
        <w:rPr>
          <w:rFonts w:ascii="Times New Roman" w:hAnsi="Times New Roman"/>
          <w:sz w:val="28"/>
          <w:szCs w:val="28"/>
        </w:rPr>
        <w:t>–</w:t>
      </w:r>
      <w:r w:rsidRPr="003307F1">
        <w:rPr>
          <w:rFonts w:ascii="Times New Roman" w:hAnsi="Times New Roman"/>
          <w:sz w:val="28"/>
          <w:szCs w:val="28"/>
          <w:lang w:val="fr-FR"/>
        </w:rPr>
        <w:t xml:space="preserve"> </w:t>
      </w:r>
      <w:r w:rsidRPr="003307F1">
        <w:rPr>
          <w:rFonts w:ascii="Times New Roman" w:hAnsi="Times New Roman"/>
          <w:sz w:val="28"/>
          <w:szCs w:val="28"/>
          <w:lang w:val="en-US"/>
        </w:rPr>
        <w:t xml:space="preserve">Vol. </w:t>
      </w:r>
      <w:r w:rsidRPr="003307F1">
        <w:rPr>
          <w:rFonts w:ascii="Times New Roman" w:hAnsi="Times New Roman"/>
          <w:sz w:val="28"/>
          <w:szCs w:val="28"/>
          <w:lang w:val="fr-FR"/>
        </w:rPr>
        <w:t>20</w:t>
      </w:r>
      <w:r w:rsidRPr="003307F1">
        <w:rPr>
          <w:rFonts w:ascii="Times New Roman" w:hAnsi="Times New Roman"/>
          <w:sz w:val="28"/>
          <w:szCs w:val="28"/>
        </w:rPr>
        <w:t xml:space="preserve">, № </w:t>
      </w:r>
      <w:r w:rsidRPr="003307F1">
        <w:rPr>
          <w:rFonts w:ascii="Times New Roman" w:hAnsi="Times New Roman"/>
          <w:sz w:val="28"/>
          <w:szCs w:val="28"/>
          <w:lang w:val="fr-FR"/>
        </w:rPr>
        <w:t xml:space="preserve">1. </w:t>
      </w:r>
      <w:r w:rsidRPr="003307F1">
        <w:rPr>
          <w:rFonts w:ascii="Times New Roman" w:hAnsi="Times New Roman"/>
          <w:sz w:val="28"/>
          <w:szCs w:val="28"/>
        </w:rPr>
        <w:t xml:space="preserve">– </w:t>
      </w:r>
      <w:r w:rsidRPr="003307F1">
        <w:rPr>
          <w:rFonts w:ascii="Times New Roman" w:hAnsi="Times New Roman"/>
          <w:sz w:val="28"/>
          <w:szCs w:val="28"/>
          <w:lang w:val="fr-FR"/>
        </w:rPr>
        <w:t>P. 49</w:t>
      </w:r>
      <w:r>
        <w:rPr>
          <w:rFonts w:ascii="Times New Roman" w:hAnsi="Times New Roman"/>
          <w:sz w:val="28"/>
          <w:szCs w:val="28"/>
        </w:rPr>
        <w:t>-</w:t>
      </w:r>
      <w:r w:rsidRPr="003307F1">
        <w:rPr>
          <w:rFonts w:ascii="Times New Roman" w:hAnsi="Times New Roman"/>
          <w:sz w:val="28"/>
          <w:szCs w:val="28"/>
          <w:lang w:val="fr-FR"/>
        </w:rPr>
        <w:t>55.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Magnetic resonance cholangiography: past, present and future: a review /</w:t>
      </w:r>
      <w:r w:rsidRPr="003307F1">
        <w:rPr>
          <w:rFonts w:ascii="Times New Roman" w:hAnsi="Times New Roman"/>
          <w:sz w:val="28"/>
          <w:szCs w:val="28"/>
          <w:lang w:val="fr-FR"/>
        </w:rPr>
        <w:t xml:space="preserve"> </w:t>
      </w:r>
      <w:r w:rsidRPr="00C62D22">
        <w:rPr>
          <w:rFonts w:ascii="Times New Roman" w:hAnsi="Times New Roman"/>
          <w:sz w:val="28"/>
          <w:szCs w:val="28"/>
          <w:lang w:val="en-US"/>
        </w:rPr>
        <w:t xml:space="preserve">                 </w:t>
      </w:r>
      <w:r w:rsidRPr="003307F1">
        <w:rPr>
          <w:rFonts w:ascii="Times New Roman" w:hAnsi="Times New Roman"/>
          <w:sz w:val="28"/>
          <w:szCs w:val="28"/>
          <w:lang w:val="fr-FR"/>
        </w:rPr>
        <w:t>F. Maccioni, M. Martinelli, N. Al Ansari [ et al</w:t>
      </w:r>
      <w:r w:rsidRPr="003307F1">
        <w:rPr>
          <w:rFonts w:ascii="Times New Roman" w:hAnsi="Times New Roman"/>
          <w:sz w:val="28"/>
          <w:szCs w:val="28"/>
          <w:lang w:val="en-US"/>
        </w:rPr>
        <w:t xml:space="preserve"> ] // Eur. Rev. Pharmacol. Sci. </w:t>
      </w:r>
      <w:r w:rsidRPr="003307F1">
        <w:rPr>
          <w:rFonts w:ascii="Times New Roman" w:hAnsi="Times New Roman"/>
          <w:sz w:val="28"/>
          <w:szCs w:val="28"/>
        </w:rPr>
        <w:t>–</w:t>
      </w:r>
      <w:r w:rsidRPr="003307F1">
        <w:rPr>
          <w:rFonts w:ascii="Times New Roman" w:hAnsi="Times New Roman"/>
          <w:sz w:val="28"/>
          <w:szCs w:val="28"/>
          <w:lang w:val="en-US"/>
        </w:rPr>
        <w:t>2010.</w:t>
      </w:r>
      <w:r w:rsidRPr="003307F1">
        <w:rPr>
          <w:rFonts w:ascii="Times New Roman" w:hAnsi="Times New Roman"/>
          <w:sz w:val="28"/>
          <w:szCs w:val="28"/>
        </w:rPr>
        <w:t xml:space="preserve"> –</w:t>
      </w:r>
      <w:r w:rsidRPr="003307F1">
        <w:rPr>
          <w:rFonts w:ascii="Times New Roman" w:hAnsi="Times New Roman"/>
          <w:sz w:val="28"/>
          <w:szCs w:val="28"/>
          <w:lang w:val="en-US"/>
        </w:rPr>
        <w:t xml:space="preserve">Vol. 14, </w:t>
      </w:r>
      <w:r w:rsidRPr="003307F1">
        <w:rPr>
          <w:rFonts w:ascii="Times New Roman" w:hAnsi="Times New Roman"/>
          <w:sz w:val="28"/>
          <w:szCs w:val="28"/>
        </w:rPr>
        <w:t>№</w:t>
      </w:r>
      <w:r w:rsidRPr="003307F1">
        <w:rPr>
          <w:rFonts w:ascii="Times New Roman" w:hAnsi="Times New Roman"/>
          <w:sz w:val="28"/>
          <w:szCs w:val="28"/>
          <w:lang w:val="en-US"/>
        </w:rPr>
        <w:t xml:space="preserve"> 8.</w:t>
      </w:r>
      <w:r w:rsidRPr="003307F1">
        <w:rPr>
          <w:rFonts w:ascii="Times New Roman" w:hAnsi="Times New Roman"/>
          <w:sz w:val="28"/>
          <w:szCs w:val="28"/>
        </w:rPr>
        <w:t xml:space="preserve"> –</w:t>
      </w:r>
      <w:r>
        <w:rPr>
          <w:rFonts w:ascii="Times New Roman" w:hAnsi="Times New Roman"/>
          <w:sz w:val="28"/>
          <w:szCs w:val="28"/>
          <w:lang w:val="en-US"/>
        </w:rPr>
        <w:t xml:space="preserve"> P. 721</w:t>
      </w:r>
      <w:r>
        <w:rPr>
          <w:rFonts w:ascii="Times New Roman" w:hAnsi="Times New Roman"/>
          <w:sz w:val="28"/>
          <w:szCs w:val="28"/>
        </w:rPr>
        <w:t>-</w:t>
      </w:r>
      <w:r w:rsidRPr="003307F1">
        <w:rPr>
          <w:rFonts w:ascii="Times New Roman" w:hAnsi="Times New Roman"/>
          <w:sz w:val="28"/>
          <w:szCs w:val="28"/>
          <w:lang w:val="en-US"/>
        </w:rPr>
        <w:t>725.</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lang w:val="en-US"/>
        </w:rPr>
      </w:pPr>
      <w:r w:rsidRPr="003307F1">
        <w:rPr>
          <w:rStyle w:val="A10"/>
          <w:rFonts w:ascii="Times New Roman" w:hAnsi="Times New Roman" w:cs="Times New Roman"/>
          <w:color w:val="auto"/>
          <w:sz w:val="28"/>
          <w:szCs w:val="28"/>
          <w:lang w:val="en-US"/>
        </w:rPr>
        <w:t>Matrix metalloproteinase-9, transforming growth factor-</w:t>
      </w:r>
      <w:r w:rsidRPr="003307F1">
        <w:rPr>
          <w:rStyle w:val="A10"/>
          <w:rFonts w:ascii="Times New Roman" w:hAnsi="Times New Roman" w:cs="Times New Roman"/>
          <w:color w:val="auto"/>
          <w:sz w:val="28"/>
          <w:szCs w:val="28"/>
        </w:rPr>
        <w:t>β</w:t>
      </w:r>
      <w:r w:rsidRPr="003307F1">
        <w:rPr>
          <w:rStyle w:val="A10"/>
          <w:rFonts w:ascii="Times New Roman" w:hAnsi="Times New Roman" w:cs="Times New Roman"/>
          <w:color w:val="auto"/>
          <w:sz w:val="28"/>
          <w:szCs w:val="28"/>
          <w:lang w:val="en-US"/>
        </w:rPr>
        <w:t>1, and tumor necrosis factor-</w:t>
      </w:r>
      <w:r w:rsidRPr="003307F1">
        <w:rPr>
          <w:rStyle w:val="A10"/>
          <w:rFonts w:ascii="Times New Roman" w:hAnsi="Times New Roman" w:cs="Times New Roman"/>
          <w:color w:val="auto"/>
          <w:sz w:val="28"/>
          <w:szCs w:val="28"/>
        </w:rPr>
        <w:t>α</w:t>
      </w:r>
      <w:r w:rsidRPr="003307F1">
        <w:rPr>
          <w:rStyle w:val="A10"/>
          <w:rFonts w:ascii="Times New Roman" w:hAnsi="Times New Roman" w:cs="Times New Roman"/>
          <w:color w:val="auto"/>
          <w:sz w:val="28"/>
          <w:szCs w:val="28"/>
          <w:lang w:val="en-US"/>
        </w:rPr>
        <w:t xml:space="preserve"> plasma levels in chronic pancreatitis</w:t>
      </w:r>
      <w:r w:rsidRPr="00C62D22">
        <w:rPr>
          <w:rStyle w:val="A10"/>
          <w:rFonts w:ascii="Times New Roman" w:hAnsi="Times New Roman" w:cs="Times New Roman"/>
          <w:color w:val="auto"/>
          <w:sz w:val="28"/>
          <w:szCs w:val="28"/>
          <w:lang w:val="en-US"/>
        </w:rPr>
        <w:t xml:space="preserve"> / </w:t>
      </w:r>
      <w:r w:rsidRPr="003307F1">
        <w:rPr>
          <w:rStyle w:val="A10"/>
          <w:rFonts w:ascii="Times New Roman" w:hAnsi="Times New Roman" w:cs="Times New Roman"/>
          <w:color w:val="auto"/>
          <w:sz w:val="28"/>
          <w:szCs w:val="28"/>
          <w:lang w:val="en-US"/>
        </w:rPr>
        <w:t>K</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S</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Manjari, </w:t>
      </w:r>
      <w:r w:rsidRPr="003307F1">
        <w:rPr>
          <w:rStyle w:val="A10"/>
          <w:rFonts w:ascii="Times New Roman" w:hAnsi="Times New Roman" w:cs="Times New Roman"/>
          <w:color w:val="auto"/>
          <w:sz w:val="28"/>
          <w:szCs w:val="28"/>
        </w:rPr>
        <w:t>А</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 xml:space="preserve">Jyothy, </w:t>
      </w:r>
      <w:r w:rsidRPr="003307F1">
        <w:rPr>
          <w:rStyle w:val="A10"/>
          <w:rFonts w:ascii="Times New Roman" w:hAnsi="Times New Roman" w:cs="Times New Roman"/>
          <w:color w:val="auto"/>
          <w:sz w:val="28"/>
          <w:szCs w:val="28"/>
        </w:rPr>
        <w:t>А</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 xml:space="preserve">Vidyasagar </w:t>
      </w:r>
      <w:r w:rsidRPr="003307F1">
        <w:rPr>
          <w:rFonts w:ascii="Times New Roman" w:hAnsi="Times New Roman"/>
          <w:sz w:val="28"/>
          <w:szCs w:val="28"/>
          <w:lang w:val="en-US"/>
        </w:rPr>
        <w:t xml:space="preserve">[ et al. ] </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Indian J. Gastroenterol</w:t>
      </w:r>
      <w:r w:rsidRPr="00C62D22">
        <w:rPr>
          <w:rStyle w:val="A10"/>
          <w:rFonts w:ascii="Times New Roman" w:hAnsi="Times New Roman" w:cs="Times New Roman"/>
          <w:color w:val="auto"/>
          <w:sz w:val="28"/>
          <w:szCs w:val="28"/>
          <w:lang w:val="en-US"/>
        </w:rPr>
        <w:t xml:space="preserve">. </w:t>
      </w:r>
      <w:r w:rsidRPr="003307F1">
        <w:rPr>
          <w:rFonts w:ascii="Times New Roman" w:hAnsi="Times New Roman"/>
          <w:sz w:val="28"/>
          <w:szCs w:val="28"/>
          <w:lang w:val="en-US"/>
        </w:rPr>
        <w:t>–</w:t>
      </w:r>
      <w:r w:rsidRPr="003307F1">
        <w:rPr>
          <w:rStyle w:val="A10"/>
          <w:rFonts w:ascii="Times New Roman" w:hAnsi="Times New Roman" w:cs="Times New Roman"/>
          <w:color w:val="auto"/>
          <w:sz w:val="28"/>
          <w:szCs w:val="28"/>
          <w:lang w:val="en-US"/>
        </w:rPr>
        <w:t xml:space="preserve"> 2013</w:t>
      </w:r>
      <w:r w:rsidRPr="00C62D22">
        <w:rPr>
          <w:rStyle w:val="A10"/>
          <w:rFonts w:ascii="Times New Roman" w:hAnsi="Times New Roman" w:cs="Times New Roman"/>
          <w:color w:val="auto"/>
          <w:sz w:val="28"/>
          <w:szCs w:val="28"/>
          <w:lang w:val="en-US"/>
        </w:rPr>
        <w:t xml:space="preserve">. </w:t>
      </w:r>
      <w:r w:rsidRPr="003307F1">
        <w:rPr>
          <w:rFonts w:ascii="Times New Roman" w:hAnsi="Times New Roman"/>
          <w:sz w:val="28"/>
          <w:szCs w:val="28"/>
          <w:lang w:val="en-US"/>
        </w:rPr>
        <w:t>– Vol</w:t>
      </w:r>
      <w:r w:rsidRPr="00C62D22">
        <w:rPr>
          <w:rFonts w:ascii="Times New Roman" w:hAnsi="Times New Roman"/>
          <w:sz w:val="28"/>
          <w:szCs w:val="28"/>
          <w:lang w:val="en-US"/>
        </w:rPr>
        <w:t xml:space="preserve">. </w:t>
      </w:r>
      <w:r w:rsidRPr="003307F1">
        <w:rPr>
          <w:rStyle w:val="A10"/>
          <w:rFonts w:ascii="Times New Roman" w:hAnsi="Times New Roman" w:cs="Times New Roman"/>
          <w:color w:val="auto"/>
          <w:sz w:val="28"/>
          <w:szCs w:val="28"/>
          <w:lang w:val="en-US"/>
        </w:rPr>
        <w:t>32</w:t>
      </w:r>
      <w:r w:rsidRPr="00C62D22">
        <w:rPr>
          <w:rFonts w:ascii="Times New Roman" w:hAnsi="Times New Roman"/>
          <w:sz w:val="28"/>
          <w:szCs w:val="28"/>
          <w:lang w:val="en-US"/>
        </w:rPr>
        <w:t xml:space="preserve">. </w:t>
      </w:r>
      <w:r w:rsidRPr="003307F1">
        <w:rPr>
          <w:rFonts w:ascii="Times New Roman" w:hAnsi="Times New Roman"/>
          <w:sz w:val="28"/>
          <w:szCs w:val="28"/>
          <w:lang w:val="en-US"/>
        </w:rPr>
        <w:t>–</w:t>
      </w:r>
      <w:r w:rsidRPr="00C62D22">
        <w:rPr>
          <w:rFonts w:ascii="Times New Roman" w:hAnsi="Times New Roman"/>
          <w:sz w:val="28"/>
          <w:szCs w:val="28"/>
          <w:lang w:val="en-US"/>
        </w:rPr>
        <w:t xml:space="preserve"> </w:t>
      </w:r>
      <w:r w:rsidRPr="003307F1">
        <w:rPr>
          <w:rFonts w:ascii="Times New Roman" w:hAnsi="Times New Roman"/>
          <w:sz w:val="28"/>
          <w:szCs w:val="28"/>
        </w:rPr>
        <w:t>Р</w:t>
      </w:r>
      <w:r w:rsidRPr="00C62D22">
        <w:rPr>
          <w:rFonts w:ascii="Times New Roman" w:hAnsi="Times New Roman"/>
          <w:sz w:val="28"/>
          <w:szCs w:val="28"/>
          <w:lang w:val="en-US"/>
        </w:rPr>
        <w:t xml:space="preserve">. </w:t>
      </w:r>
      <w:r w:rsidRPr="003307F1">
        <w:rPr>
          <w:rStyle w:val="A10"/>
          <w:rFonts w:ascii="Times New Roman" w:hAnsi="Times New Roman" w:cs="Times New Roman"/>
          <w:color w:val="auto"/>
          <w:sz w:val="28"/>
          <w:szCs w:val="28"/>
          <w:lang w:val="en-US"/>
        </w:rPr>
        <w:t>103</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107.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rPr>
      </w:pPr>
      <w:r w:rsidRPr="003307F1">
        <w:rPr>
          <w:rStyle w:val="A10"/>
          <w:rFonts w:ascii="Times New Roman" w:hAnsi="Times New Roman" w:cs="Times New Roman"/>
          <w:color w:val="auto"/>
          <w:sz w:val="28"/>
          <w:szCs w:val="28"/>
          <w:lang w:val="en-US"/>
        </w:rPr>
        <w:t>Matrix metalloproteinase-9-mediated tissue injury overrides the protective effect of matrix metalloproteinase-2 during colitis</w:t>
      </w:r>
      <w:r w:rsidRPr="00C62D22">
        <w:rPr>
          <w:rStyle w:val="A10"/>
          <w:rFonts w:ascii="Times New Roman" w:hAnsi="Times New Roman" w:cs="Times New Roman"/>
          <w:color w:val="auto"/>
          <w:sz w:val="28"/>
          <w:szCs w:val="28"/>
          <w:lang w:val="en-US"/>
        </w:rPr>
        <w:t xml:space="preserve"> / </w:t>
      </w:r>
      <w:r w:rsidRPr="003307F1">
        <w:rPr>
          <w:rStyle w:val="A10"/>
          <w:rFonts w:ascii="Times New Roman" w:hAnsi="Times New Roman" w:cs="Times New Roman"/>
          <w:color w:val="auto"/>
          <w:sz w:val="28"/>
          <w:szCs w:val="28"/>
        </w:rPr>
        <w:t>Р</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 xml:space="preserve">Garg, </w:t>
      </w:r>
      <w:r w:rsidRPr="003307F1">
        <w:rPr>
          <w:rStyle w:val="A10"/>
          <w:rFonts w:ascii="Times New Roman" w:hAnsi="Times New Roman" w:cs="Times New Roman"/>
          <w:color w:val="auto"/>
          <w:sz w:val="28"/>
          <w:szCs w:val="28"/>
        </w:rPr>
        <w:t>М</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Vijay-Kumar, L</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Wang </w:t>
      </w:r>
      <w:r w:rsidRPr="003307F1">
        <w:rPr>
          <w:rFonts w:ascii="Times New Roman" w:hAnsi="Times New Roman"/>
          <w:sz w:val="28"/>
          <w:szCs w:val="28"/>
          <w:lang w:val="en-US"/>
        </w:rPr>
        <w:t xml:space="preserve">[ et al. ] </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Am. J. Physiol. Gastrointest. Liver Physiol</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 xml:space="preserve">– </w:t>
      </w:r>
      <w:r w:rsidRPr="003307F1">
        <w:rPr>
          <w:rStyle w:val="A10"/>
          <w:rFonts w:ascii="Times New Roman" w:hAnsi="Times New Roman" w:cs="Times New Roman"/>
          <w:color w:val="auto"/>
          <w:sz w:val="28"/>
          <w:szCs w:val="28"/>
          <w:lang w:val="en-US"/>
        </w:rPr>
        <w:t>2009</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 Vol</w:t>
      </w:r>
      <w:r w:rsidRPr="003307F1">
        <w:rPr>
          <w:rFonts w:ascii="Times New Roman" w:hAnsi="Times New Roman"/>
          <w:sz w:val="28"/>
          <w:szCs w:val="28"/>
        </w:rPr>
        <w:t>.</w:t>
      </w:r>
      <w:r w:rsidRPr="003307F1">
        <w:rPr>
          <w:rStyle w:val="A10"/>
          <w:rFonts w:ascii="Times New Roman" w:hAnsi="Times New Roman" w:cs="Times New Roman"/>
          <w:color w:val="auto"/>
          <w:sz w:val="28"/>
          <w:szCs w:val="28"/>
          <w:lang w:val="en-US"/>
        </w:rPr>
        <w:t xml:space="preserve"> 296</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 xml:space="preserve">– </w:t>
      </w:r>
      <w:r w:rsidRPr="003307F1">
        <w:rPr>
          <w:rFonts w:ascii="Times New Roman" w:hAnsi="Times New Roman"/>
          <w:sz w:val="28"/>
          <w:szCs w:val="28"/>
        </w:rPr>
        <w:t xml:space="preserve">Р. </w:t>
      </w:r>
      <w:r w:rsidRPr="003307F1">
        <w:rPr>
          <w:rStyle w:val="A10"/>
          <w:rFonts w:ascii="Times New Roman" w:hAnsi="Times New Roman" w:cs="Times New Roman"/>
          <w:color w:val="auto"/>
          <w:sz w:val="28"/>
          <w:szCs w:val="28"/>
          <w:lang w:val="en-US"/>
        </w:rPr>
        <w:t>175</w:t>
      </w:r>
      <w:r>
        <w:rPr>
          <w:rStyle w:val="A10"/>
          <w:rFonts w:ascii="Times New Roman" w:hAnsi="Times New Roman" w:cs="Times New Roman"/>
          <w:color w:val="auto"/>
          <w:sz w:val="28"/>
          <w:szCs w:val="28"/>
        </w:rPr>
        <w:t>-</w:t>
      </w:r>
      <w:r w:rsidRPr="003307F1">
        <w:rPr>
          <w:rStyle w:val="A10"/>
          <w:rFonts w:ascii="Times New Roman" w:hAnsi="Times New Roman" w:cs="Times New Roman"/>
          <w:color w:val="auto"/>
          <w:sz w:val="28"/>
          <w:szCs w:val="28"/>
          <w:lang w:val="en-US"/>
        </w:rPr>
        <w:t>184.</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lang w:val="en-US"/>
        </w:rPr>
      </w:pPr>
      <w:r w:rsidRPr="003307F1">
        <w:rPr>
          <w:rStyle w:val="A10"/>
          <w:rFonts w:ascii="Times New Roman" w:hAnsi="Times New Roman" w:cs="Times New Roman"/>
          <w:color w:val="auto"/>
          <w:sz w:val="28"/>
          <w:szCs w:val="28"/>
          <w:lang w:val="en-US"/>
        </w:rPr>
        <w:t>Matrix metalloproteinases and their inhibitors as markers of inflammation and fibrosis in chronic liver disease (Review)</w:t>
      </w:r>
      <w:r w:rsidRPr="00C62D22">
        <w:rPr>
          <w:rStyle w:val="A10"/>
          <w:rFonts w:ascii="Times New Roman" w:hAnsi="Times New Roman" w:cs="Times New Roman"/>
          <w:color w:val="auto"/>
          <w:sz w:val="28"/>
          <w:szCs w:val="28"/>
          <w:lang w:val="en-US"/>
        </w:rPr>
        <w:t xml:space="preserve"> / </w:t>
      </w:r>
      <w:r w:rsidRPr="003307F1">
        <w:rPr>
          <w:rStyle w:val="A10"/>
          <w:rFonts w:ascii="Times New Roman" w:hAnsi="Times New Roman" w:cs="Times New Roman"/>
          <w:color w:val="auto"/>
          <w:sz w:val="28"/>
          <w:szCs w:val="28"/>
        </w:rPr>
        <w:t>М</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 xml:space="preserve">Consolo, </w:t>
      </w:r>
      <w:r w:rsidRPr="003307F1">
        <w:rPr>
          <w:rStyle w:val="A10"/>
          <w:rFonts w:ascii="Times New Roman" w:hAnsi="Times New Roman" w:cs="Times New Roman"/>
          <w:color w:val="auto"/>
          <w:sz w:val="28"/>
          <w:szCs w:val="28"/>
        </w:rPr>
        <w:t>А</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Amoroso, D</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A</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Spandidos </w:t>
      </w:r>
      <w:r w:rsidRPr="003307F1">
        <w:rPr>
          <w:rFonts w:ascii="Times New Roman" w:hAnsi="Times New Roman"/>
          <w:sz w:val="28"/>
          <w:szCs w:val="28"/>
          <w:lang w:val="en-US"/>
        </w:rPr>
        <w:t xml:space="preserve">[ et al. ] </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Int. J. Mol. Med</w:t>
      </w:r>
      <w:r w:rsidRPr="00C62D22">
        <w:rPr>
          <w:rStyle w:val="A10"/>
          <w:rFonts w:ascii="Times New Roman" w:hAnsi="Times New Roman" w:cs="Times New Roman"/>
          <w:color w:val="auto"/>
          <w:sz w:val="28"/>
          <w:szCs w:val="28"/>
          <w:lang w:val="en-US"/>
        </w:rPr>
        <w:t xml:space="preserve">. </w:t>
      </w:r>
      <w:r w:rsidRPr="003307F1">
        <w:rPr>
          <w:rFonts w:ascii="Times New Roman" w:hAnsi="Times New Roman"/>
          <w:sz w:val="28"/>
          <w:szCs w:val="28"/>
          <w:lang w:val="en-US"/>
        </w:rPr>
        <w:t xml:space="preserve">– </w:t>
      </w:r>
      <w:r w:rsidRPr="003307F1">
        <w:rPr>
          <w:rStyle w:val="A10"/>
          <w:rFonts w:ascii="Times New Roman" w:hAnsi="Times New Roman" w:cs="Times New Roman"/>
          <w:color w:val="auto"/>
          <w:sz w:val="28"/>
          <w:szCs w:val="28"/>
          <w:lang w:val="en-US"/>
        </w:rPr>
        <w:t>2009</w:t>
      </w:r>
      <w:r w:rsidRPr="00C62D22">
        <w:rPr>
          <w:rStyle w:val="A10"/>
          <w:rFonts w:ascii="Times New Roman" w:hAnsi="Times New Roman" w:cs="Times New Roman"/>
          <w:color w:val="auto"/>
          <w:sz w:val="28"/>
          <w:szCs w:val="28"/>
          <w:lang w:val="en-US"/>
        </w:rPr>
        <w:t xml:space="preserve">. </w:t>
      </w:r>
      <w:r w:rsidRPr="003307F1">
        <w:rPr>
          <w:rFonts w:ascii="Times New Roman" w:hAnsi="Times New Roman"/>
          <w:sz w:val="28"/>
          <w:szCs w:val="28"/>
          <w:lang w:val="en-US"/>
        </w:rPr>
        <w:t>– Vol</w:t>
      </w:r>
      <w:r w:rsidRPr="00C62D22">
        <w:rPr>
          <w:rFonts w:ascii="Times New Roman" w:hAnsi="Times New Roman"/>
          <w:sz w:val="28"/>
          <w:szCs w:val="28"/>
          <w:lang w:val="en-US"/>
        </w:rPr>
        <w:t>.</w:t>
      </w:r>
      <w:r w:rsidRPr="003307F1">
        <w:rPr>
          <w:rStyle w:val="A10"/>
          <w:rFonts w:ascii="Times New Roman" w:hAnsi="Times New Roman" w:cs="Times New Roman"/>
          <w:color w:val="auto"/>
          <w:sz w:val="28"/>
          <w:szCs w:val="28"/>
          <w:lang w:val="en-US"/>
        </w:rPr>
        <w:t xml:space="preserve"> 24</w:t>
      </w:r>
      <w:r w:rsidRPr="00C62D22">
        <w:rPr>
          <w:rStyle w:val="A10"/>
          <w:rFonts w:ascii="Times New Roman" w:hAnsi="Times New Roman" w:cs="Times New Roman"/>
          <w:color w:val="auto"/>
          <w:sz w:val="28"/>
          <w:szCs w:val="28"/>
          <w:lang w:val="en-US"/>
        </w:rPr>
        <w:t xml:space="preserve">. </w:t>
      </w:r>
      <w:r w:rsidRPr="003307F1">
        <w:rPr>
          <w:rFonts w:ascii="Times New Roman" w:hAnsi="Times New Roman"/>
          <w:sz w:val="28"/>
          <w:szCs w:val="28"/>
          <w:lang w:val="en-US"/>
        </w:rPr>
        <w:t>–</w:t>
      </w:r>
      <w:r w:rsidRPr="00C62D22">
        <w:rPr>
          <w:rFonts w:ascii="Times New Roman" w:hAnsi="Times New Roman"/>
          <w:sz w:val="28"/>
          <w:szCs w:val="28"/>
          <w:lang w:val="en-US"/>
        </w:rPr>
        <w:t xml:space="preserve"> </w:t>
      </w:r>
      <w:r w:rsidRPr="003307F1">
        <w:rPr>
          <w:rFonts w:ascii="Times New Roman" w:hAnsi="Times New Roman"/>
          <w:sz w:val="28"/>
          <w:szCs w:val="28"/>
        </w:rPr>
        <w:t>Р</w:t>
      </w:r>
      <w:r w:rsidRPr="00C62D22">
        <w:rPr>
          <w:rFonts w:ascii="Times New Roman" w:hAnsi="Times New Roman"/>
          <w:sz w:val="28"/>
          <w:szCs w:val="28"/>
          <w:lang w:val="en-US"/>
        </w:rPr>
        <w:t xml:space="preserve">. </w:t>
      </w:r>
      <w:r w:rsidRPr="003307F1">
        <w:rPr>
          <w:rStyle w:val="A10"/>
          <w:rFonts w:ascii="Times New Roman" w:hAnsi="Times New Roman" w:cs="Times New Roman"/>
          <w:color w:val="auto"/>
          <w:sz w:val="28"/>
          <w:szCs w:val="28"/>
          <w:lang w:val="en-US"/>
        </w:rPr>
        <w:t>143</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152.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lastRenderedPageBreak/>
        <w:t xml:space="preserve">Matrix metalloproteinases and atherosclerosis / </w:t>
      </w:r>
      <w:r w:rsidRPr="003307F1">
        <w:rPr>
          <w:rFonts w:ascii="Times New Roman" w:hAnsi="Times New Roman"/>
          <w:sz w:val="28"/>
          <w:szCs w:val="28"/>
        </w:rPr>
        <w:t>Р</w:t>
      </w:r>
      <w:r w:rsidRPr="003307F1">
        <w:rPr>
          <w:rFonts w:ascii="Times New Roman" w:hAnsi="Times New Roman"/>
          <w:sz w:val="28"/>
          <w:szCs w:val="28"/>
          <w:lang w:val="en-US"/>
        </w:rPr>
        <w:t xml:space="preserve">. Fic, </w:t>
      </w:r>
      <w:r w:rsidRPr="003307F1">
        <w:rPr>
          <w:rFonts w:ascii="Times New Roman" w:hAnsi="Times New Roman"/>
          <w:sz w:val="28"/>
          <w:szCs w:val="28"/>
        </w:rPr>
        <w:t>І</w:t>
      </w:r>
      <w:r w:rsidRPr="00C62D22">
        <w:rPr>
          <w:rFonts w:ascii="Times New Roman" w:hAnsi="Times New Roman"/>
          <w:sz w:val="28"/>
          <w:szCs w:val="28"/>
          <w:lang w:val="en-US"/>
        </w:rPr>
        <w:t xml:space="preserve">. </w:t>
      </w:r>
      <w:r w:rsidRPr="003307F1">
        <w:rPr>
          <w:rFonts w:ascii="Times New Roman" w:hAnsi="Times New Roman"/>
          <w:sz w:val="28"/>
          <w:szCs w:val="28"/>
          <w:lang w:val="en-US"/>
        </w:rPr>
        <w:t>Zakrocka, J. Kurzepa [ et al. ] // A. Postepy Hig. Med. Dosw. – 2011. – Vol</w:t>
      </w:r>
      <w:r w:rsidRPr="003307F1">
        <w:rPr>
          <w:rFonts w:ascii="Times New Roman" w:hAnsi="Times New Roman"/>
          <w:sz w:val="28"/>
          <w:szCs w:val="28"/>
          <w:bdr w:val="none" w:sz="0" w:space="0" w:color="auto" w:frame="1"/>
          <w:lang w:val="en-US"/>
        </w:rPr>
        <w:t>.</w:t>
      </w:r>
      <w:r w:rsidRPr="003307F1">
        <w:rPr>
          <w:rFonts w:ascii="Times New Roman" w:hAnsi="Times New Roman"/>
          <w:sz w:val="28"/>
          <w:szCs w:val="28"/>
          <w:lang w:val="en-US"/>
        </w:rPr>
        <w:t xml:space="preserve"> 65. – </w:t>
      </w:r>
      <w:r w:rsidRPr="003307F1">
        <w:rPr>
          <w:rFonts w:ascii="Times New Roman" w:hAnsi="Times New Roman"/>
          <w:sz w:val="28"/>
          <w:szCs w:val="28"/>
        </w:rPr>
        <w:t>Р</w:t>
      </w:r>
      <w:r>
        <w:rPr>
          <w:rFonts w:ascii="Times New Roman" w:hAnsi="Times New Roman"/>
          <w:sz w:val="28"/>
          <w:szCs w:val="28"/>
          <w:lang w:val="en-US"/>
        </w:rPr>
        <w:t>. 16</w:t>
      </w:r>
      <w:r>
        <w:rPr>
          <w:rFonts w:ascii="Times New Roman" w:hAnsi="Times New Roman"/>
          <w:sz w:val="28"/>
          <w:szCs w:val="28"/>
        </w:rPr>
        <w:t>-</w:t>
      </w:r>
      <w:r w:rsidRPr="003307F1">
        <w:rPr>
          <w:rFonts w:ascii="Times New Roman" w:hAnsi="Times New Roman"/>
          <w:sz w:val="28"/>
          <w:szCs w:val="28"/>
          <w:lang w:val="en-US"/>
        </w:rPr>
        <w:t>27.</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Merchant N. B. Should all distal pancreatectomies be performed</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laparoscopically? / N. B. Merchant, A. A. Parikh, D. A. Kooby // Adv.Su</w:t>
      </w:r>
      <w:r>
        <w:rPr>
          <w:rFonts w:ascii="Times New Roman" w:hAnsi="Times New Roman"/>
          <w:sz w:val="28"/>
          <w:szCs w:val="28"/>
          <w:lang w:val="en-US"/>
        </w:rPr>
        <w:t>rg. – 2009. – Vol. 43. – P. 283</w:t>
      </w:r>
      <w:r w:rsidRPr="00C62D22">
        <w:rPr>
          <w:rFonts w:ascii="Times New Roman" w:hAnsi="Times New Roman"/>
          <w:sz w:val="28"/>
          <w:szCs w:val="28"/>
          <w:lang w:val="en-US"/>
        </w:rPr>
        <w:t>-</w:t>
      </w:r>
      <w:r w:rsidRPr="003307F1">
        <w:rPr>
          <w:rFonts w:ascii="Times New Roman" w:hAnsi="Times New Roman"/>
          <w:sz w:val="28"/>
          <w:szCs w:val="28"/>
          <w:lang w:val="en-US"/>
        </w:rPr>
        <w:t>300.</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lang w:val="en-US"/>
        </w:rPr>
      </w:pPr>
      <w:r w:rsidRPr="003307F1">
        <w:rPr>
          <w:rStyle w:val="A10"/>
          <w:rFonts w:ascii="Times New Roman" w:hAnsi="Times New Roman" w:cs="Times New Roman"/>
          <w:color w:val="auto"/>
          <w:sz w:val="28"/>
          <w:szCs w:val="28"/>
          <w:lang w:val="en-US"/>
        </w:rPr>
        <w:t>Mesenchymal stem cells facilitate recovery from chemically induced liver damage and decrease liver fibrosis</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 xml:space="preserve"> Y</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J</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Chang, J</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W</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Liu, P</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C</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Lin </w:t>
      </w:r>
      <w:r w:rsidRPr="003307F1">
        <w:rPr>
          <w:rFonts w:ascii="Times New Roman" w:hAnsi="Times New Roman"/>
          <w:sz w:val="28"/>
          <w:szCs w:val="28"/>
          <w:lang w:val="en-US"/>
        </w:rPr>
        <w:t xml:space="preserve">[ et al. ] </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Life Sci</w:t>
      </w:r>
      <w:r w:rsidRPr="00C62D22">
        <w:rPr>
          <w:rStyle w:val="A10"/>
          <w:rFonts w:ascii="Times New Roman" w:hAnsi="Times New Roman" w:cs="Times New Roman"/>
          <w:color w:val="auto"/>
          <w:sz w:val="28"/>
          <w:szCs w:val="28"/>
          <w:lang w:val="en-US"/>
        </w:rPr>
        <w:t xml:space="preserve">. </w:t>
      </w:r>
      <w:r w:rsidRPr="003307F1">
        <w:rPr>
          <w:rFonts w:ascii="Times New Roman" w:hAnsi="Times New Roman"/>
          <w:sz w:val="28"/>
          <w:szCs w:val="28"/>
          <w:lang w:val="en-US"/>
        </w:rPr>
        <w:t xml:space="preserve">– </w:t>
      </w:r>
      <w:r w:rsidRPr="003307F1">
        <w:rPr>
          <w:rStyle w:val="A10"/>
          <w:rFonts w:ascii="Times New Roman" w:hAnsi="Times New Roman" w:cs="Times New Roman"/>
          <w:color w:val="auto"/>
          <w:sz w:val="28"/>
          <w:szCs w:val="28"/>
          <w:lang w:val="en-US"/>
        </w:rPr>
        <w:t>2009</w:t>
      </w:r>
      <w:r w:rsidRPr="00C62D22">
        <w:rPr>
          <w:rStyle w:val="A10"/>
          <w:rFonts w:ascii="Times New Roman" w:hAnsi="Times New Roman" w:cs="Times New Roman"/>
          <w:color w:val="auto"/>
          <w:sz w:val="28"/>
          <w:szCs w:val="28"/>
          <w:lang w:val="en-US"/>
        </w:rPr>
        <w:t xml:space="preserve">. </w:t>
      </w:r>
      <w:r w:rsidRPr="003307F1">
        <w:rPr>
          <w:rFonts w:ascii="Times New Roman" w:hAnsi="Times New Roman"/>
          <w:sz w:val="28"/>
          <w:szCs w:val="28"/>
          <w:lang w:val="en-US"/>
        </w:rPr>
        <w:t>– Vol</w:t>
      </w:r>
      <w:r w:rsidRPr="00C62D22">
        <w:rPr>
          <w:rFonts w:ascii="Times New Roman" w:hAnsi="Times New Roman"/>
          <w:sz w:val="28"/>
          <w:szCs w:val="28"/>
          <w:lang w:val="en-US"/>
        </w:rPr>
        <w:t>.</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85</w:t>
      </w:r>
      <w:r w:rsidRPr="00C62D22">
        <w:rPr>
          <w:rStyle w:val="A10"/>
          <w:rFonts w:ascii="Times New Roman" w:hAnsi="Times New Roman" w:cs="Times New Roman"/>
          <w:color w:val="auto"/>
          <w:sz w:val="28"/>
          <w:szCs w:val="28"/>
          <w:lang w:val="en-US"/>
        </w:rPr>
        <w:t xml:space="preserve">. </w:t>
      </w:r>
      <w:r w:rsidRPr="003307F1">
        <w:rPr>
          <w:rFonts w:ascii="Times New Roman" w:hAnsi="Times New Roman"/>
          <w:sz w:val="28"/>
          <w:szCs w:val="28"/>
          <w:lang w:val="en-US"/>
        </w:rPr>
        <w:t>–</w:t>
      </w:r>
      <w:r w:rsidRPr="00C62D22">
        <w:rPr>
          <w:rFonts w:ascii="Times New Roman" w:hAnsi="Times New Roman"/>
          <w:sz w:val="28"/>
          <w:szCs w:val="28"/>
          <w:lang w:val="en-US"/>
        </w:rPr>
        <w:t xml:space="preserve"> </w:t>
      </w:r>
      <w:r w:rsidRPr="003307F1">
        <w:rPr>
          <w:rFonts w:ascii="Times New Roman" w:hAnsi="Times New Roman"/>
          <w:sz w:val="28"/>
          <w:szCs w:val="28"/>
        </w:rPr>
        <w:t>Р</w:t>
      </w:r>
      <w:r w:rsidRPr="00C62D22">
        <w:rPr>
          <w:rFonts w:ascii="Times New Roman" w:hAnsi="Times New Roman"/>
          <w:sz w:val="28"/>
          <w:szCs w:val="28"/>
          <w:lang w:val="en-US"/>
        </w:rPr>
        <w:t xml:space="preserve">. </w:t>
      </w:r>
      <w:r w:rsidRPr="003307F1">
        <w:rPr>
          <w:rStyle w:val="A10"/>
          <w:rFonts w:ascii="Times New Roman" w:hAnsi="Times New Roman" w:cs="Times New Roman"/>
          <w:color w:val="auto"/>
          <w:sz w:val="28"/>
          <w:szCs w:val="28"/>
          <w:lang w:val="en-US"/>
        </w:rPr>
        <w:t>517</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525.</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lang w:val="en-US"/>
        </w:rPr>
      </w:pPr>
      <w:r w:rsidRPr="003307F1">
        <w:rPr>
          <w:rFonts w:ascii="Times New Roman" w:hAnsi="Times New Roman"/>
          <w:sz w:val="28"/>
          <w:szCs w:val="28"/>
          <w:lang w:val="en-US"/>
        </w:rPr>
        <w:t xml:space="preserve">MR imaging of cystic lesions of the pancreas / B. Kalb, J. M. Sarmiento, </w:t>
      </w:r>
      <w:r w:rsidRPr="00C62D22">
        <w:rPr>
          <w:rFonts w:ascii="Times New Roman" w:hAnsi="Times New Roman"/>
          <w:sz w:val="28"/>
          <w:szCs w:val="28"/>
          <w:lang w:val="en-US"/>
        </w:rPr>
        <w:t xml:space="preserve">                </w:t>
      </w:r>
      <w:r w:rsidRPr="003307F1">
        <w:rPr>
          <w:rFonts w:ascii="Times New Roman" w:hAnsi="Times New Roman"/>
          <w:sz w:val="28"/>
          <w:szCs w:val="28"/>
          <w:lang w:val="en-US"/>
        </w:rPr>
        <w:t>D. A. Kooby [ et al. ] // Radiographics. – 20</w:t>
      </w:r>
      <w:r>
        <w:rPr>
          <w:rFonts w:ascii="Times New Roman" w:hAnsi="Times New Roman"/>
          <w:sz w:val="28"/>
          <w:szCs w:val="28"/>
          <w:lang w:val="en-US"/>
        </w:rPr>
        <w:t>09. – Vol. 29, № 6. – P. 1749</w:t>
      </w:r>
      <w:r w:rsidRPr="00C62D22">
        <w:rPr>
          <w:rFonts w:ascii="Times New Roman" w:hAnsi="Times New Roman"/>
          <w:sz w:val="28"/>
          <w:szCs w:val="28"/>
          <w:lang w:val="en-US"/>
        </w:rPr>
        <w:t>-</w:t>
      </w:r>
      <w:r w:rsidRPr="003307F1">
        <w:rPr>
          <w:rFonts w:ascii="Times New Roman" w:hAnsi="Times New Roman"/>
          <w:sz w:val="28"/>
          <w:szCs w:val="28"/>
          <w:lang w:val="en-US"/>
        </w:rPr>
        <w:t>1765.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rPr>
      </w:pPr>
      <w:r w:rsidRPr="003307F1">
        <w:rPr>
          <w:rFonts w:ascii="Times New Roman" w:hAnsi="Times New Roman"/>
          <w:sz w:val="28"/>
          <w:szCs w:val="28"/>
          <w:lang w:val="en-US"/>
        </w:rPr>
        <w:t xml:space="preserve">Natural orifice versus conventional laparoscopic distal pancreatectomy in a porcine model: a randomized, controlled trial / F. F. Willingham, D. W. Gee, </w:t>
      </w:r>
      <w:r w:rsidRPr="003307F1">
        <w:rPr>
          <w:rFonts w:ascii="Times New Roman" w:hAnsi="Times New Roman"/>
          <w:sz w:val="28"/>
          <w:szCs w:val="28"/>
        </w:rPr>
        <w:t>Р</w:t>
      </w:r>
      <w:r w:rsidRPr="003307F1">
        <w:rPr>
          <w:rFonts w:ascii="Times New Roman" w:hAnsi="Times New Roman"/>
          <w:sz w:val="28"/>
          <w:szCs w:val="28"/>
          <w:lang w:val="en-US"/>
        </w:rPr>
        <w:t>. Sylla [ et al. ] // Gastrointest. Endosc. – 2009. – Vol</w:t>
      </w:r>
      <w:r w:rsidRPr="003307F1">
        <w:rPr>
          <w:rFonts w:ascii="Times New Roman" w:hAnsi="Times New Roman"/>
          <w:sz w:val="28"/>
          <w:szCs w:val="28"/>
        </w:rPr>
        <w:t>.</w:t>
      </w:r>
      <w:r w:rsidRPr="003307F1">
        <w:rPr>
          <w:rFonts w:ascii="Times New Roman" w:hAnsi="Times New Roman"/>
          <w:sz w:val="28"/>
          <w:szCs w:val="28"/>
          <w:lang w:val="en-US"/>
        </w:rPr>
        <w:t xml:space="preserve"> 70, № 4. </w:t>
      </w:r>
      <w:r w:rsidRPr="003307F1">
        <w:rPr>
          <w:rFonts w:ascii="Times New Roman" w:hAnsi="Times New Roman"/>
          <w:sz w:val="28"/>
          <w:szCs w:val="28"/>
        </w:rPr>
        <w:t>–</w:t>
      </w:r>
      <w:r>
        <w:rPr>
          <w:rFonts w:ascii="Times New Roman" w:hAnsi="Times New Roman"/>
          <w:sz w:val="28"/>
          <w:szCs w:val="28"/>
          <w:lang w:val="en-US"/>
        </w:rPr>
        <w:t xml:space="preserve"> P. 740</w:t>
      </w:r>
      <w:r>
        <w:rPr>
          <w:rFonts w:ascii="Times New Roman" w:hAnsi="Times New Roman"/>
          <w:sz w:val="28"/>
          <w:szCs w:val="28"/>
        </w:rPr>
        <w:t>-</w:t>
      </w:r>
      <w:r w:rsidRPr="003307F1">
        <w:rPr>
          <w:rFonts w:ascii="Times New Roman" w:hAnsi="Times New Roman"/>
          <w:sz w:val="28"/>
          <w:szCs w:val="28"/>
          <w:lang w:val="en-US"/>
        </w:rPr>
        <w:t>747.</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Nerve growth factor modulates TRPV1 expression and function and mediates pain in chronic pancreatitis / Y. Zhu, T. Colak, M. Shenoy</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[et al.] // Gastroenterology. – 2011. – Vol.</w:t>
      </w:r>
      <w:r>
        <w:rPr>
          <w:rFonts w:ascii="Times New Roman" w:hAnsi="Times New Roman"/>
          <w:sz w:val="28"/>
          <w:szCs w:val="28"/>
          <w:lang w:val="en-US"/>
        </w:rPr>
        <w:t xml:space="preserve"> 141, № 1. – P. 370</w:t>
      </w:r>
      <w:r w:rsidRPr="00C62D22">
        <w:rPr>
          <w:rFonts w:ascii="Times New Roman" w:hAnsi="Times New Roman"/>
          <w:sz w:val="28"/>
          <w:szCs w:val="28"/>
          <w:lang w:val="en-US"/>
        </w:rPr>
        <w:t>-</w:t>
      </w:r>
      <w:r w:rsidRPr="003307F1">
        <w:rPr>
          <w:rFonts w:ascii="Times New Roman" w:hAnsi="Times New Roman"/>
          <w:sz w:val="28"/>
          <w:szCs w:val="28"/>
          <w:lang w:val="en-US"/>
        </w:rPr>
        <w:t>377.</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Ojo E. O. Pancreatic pseudocyst in Federal Medical Center, Gombe and rewiew of literature / E. O. Ojo, U. D. Babayo // Niger. J. Med. – 2010. – Vol. 19, </w:t>
      </w:r>
      <w:r w:rsidRPr="003307F1">
        <w:rPr>
          <w:rFonts w:ascii="Times New Roman" w:hAnsi="Times New Roman"/>
          <w:sz w:val="28"/>
          <w:szCs w:val="28"/>
        </w:rPr>
        <w:t xml:space="preserve">№ </w:t>
      </w:r>
      <w:r>
        <w:rPr>
          <w:rFonts w:ascii="Times New Roman" w:hAnsi="Times New Roman"/>
          <w:sz w:val="28"/>
          <w:szCs w:val="28"/>
          <w:lang w:val="en-US"/>
        </w:rPr>
        <w:t>2. – P. 223</w:t>
      </w:r>
      <w:r>
        <w:rPr>
          <w:rFonts w:ascii="Times New Roman" w:hAnsi="Times New Roman"/>
          <w:sz w:val="28"/>
          <w:szCs w:val="28"/>
        </w:rPr>
        <w:t>-</w:t>
      </w:r>
      <w:r w:rsidRPr="003307F1">
        <w:rPr>
          <w:rFonts w:ascii="Times New Roman" w:hAnsi="Times New Roman"/>
          <w:sz w:val="28"/>
          <w:szCs w:val="28"/>
          <w:lang w:val="en-US"/>
        </w:rPr>
        <w:t>229.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Pallapothu R. NOTES(®) stapled cystgastrostomy: a novel approach for surgical management of pancreatic pseudocysts </w:t>
      </w:r>
      <w:r w:rsidRPr="00C62D22">
        <w:rPr>
          <w:rFonts w:ascii="Times New Roman" w:hAnsi="Times New Roman"/>
          <w:sz w:val="28"/>
          <w:szCs w:val="28"/>
          <w:lang w:val="en-US"/>
        </w:rPr>
        <w:t xml:space="preserve">/ </w:t>
      </w:r>
      <w:r w:rsidRPr="003307F1">
        <w:rPr>
          <w:rFonts w:ascii="Times New Roman" w:hAnsi="Times New Roman"/>
          <w:sz w:val="28"/>
          <w:szCs w:val="28"/>
          <w:lang w:val="en-US"/>
        </w:rPr>
        <w:t>R. Pallapothu // Surg. Endo</w:t>
      </w:r>
      <w:r>
        <w:rPr>
          <w:rFonts w:ascii="Times New Roman" w:hAnsi="Times New Roman"/>
          <w:sz w:val="28"/>
          <w:szCs w:val="28"/>
          <w:lang w:val="en-US"/>
        </w:rPr>
        <w:t>sc. – 2011. – Vol. 25. – P. 883</w:t>
      </w:r>
      <w:r>
        <w:rPr>
          <w:rFonts w:ascii="Times New Roman" w:hAnsi="Times New Roman"/>
          <w:sz w:val="28"/>
          <w:szCs w:val="28"/>
        </w:rPr>
        <w:t>-</w:t>
      </w:r>
      <w:r w:rsidRPr="003307F1">
        <w:rPr>
          <w:rFonts w:ascii="Times New Roman" w:hAnsi="Times New Roman"/>
          <w:sz w:val="28"/>
          <w:szCs w:val="28"/>
          <w:lang w:val="en-US"/>
        </w:rPr>
        <w:t>889.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Pan</w:t>
      </w:r>
      <w:r>
        <w:rPr>
          <w:rFonts w:ascii="Times New Roman" w:hAnsi="Times New Roman"/>
          <w:sz w:val="28"/>
          <w:szCs w:val="28"/>
          <w:lang w:val="en-US"/>
        </w:rPr>
        <w:t>amonta N. Endoscopic ultrasound</w:t>
      </w:r>
      <w:r w:rsidRPr="00C62D22">
        <w:rPr>
          <w:rFonts w:ascii="Times New Roman" w:hAnsi="Times New Roman"/>
          <w:sz w:val="28"/>
          <w:szCs w:val="28"/>
          <w:lang w:val="en-US"/>
        </w:rPr>
        <w:t>-</w:t>
      </w:r>
      <w:r w:rsidRPr="003307F1">
        <w:rPr>
          <w:rFonts w:ascii="Times New Roman" w:hAnsi="Times New Roman"/>
          <w:sz w:val="28"/>
          <w:szCs w:val="28"/>
          <w:lang w:val="en-US"/>
        </w:rPr>
        <w:t>guided versus conventional</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transmural techniques have comparable treatment outcomes in</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draining pancreatic pseudocysts / </w:t>
      </w:r>
      <w:r w:rsidRPr="00C62D22">
        <w:rPr>
          <w:rFonts w:ascii="Times New Roman" w:hAnsi="Times New Roman"/>
          <w:sz w:val="28"/>
          <w:szCs w:val="28"/>
          <w:lang w:val="en-US"/>
        </w:rPr>
        <w:t xml:space="preserve">          </w:t>
      </w:r>
      <w:r w:rsidRPr="003307F1">
        <w:rPr>
          <w:rFonts w:ascii="Times New Roman" w:hAnsi="Times New Roman"/>
          <w:sz w:val="28"/>
          <w:szCs w:val="28"/>
          <w:lang w:val="en-US"/>
        </w:rPr>
        <w:t>N. Panamonta,</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S. Ngamruengphong, K. Kijsirichareanchai // Eur. J. Gastroenterol.</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Hepatol. – 2012. – Vol. 24, </w:t>
      </w:r>
      <w:r w:rsidRPr="003307F1">
        <w:rPr>
          <w:rFonts w:ascii="Times New Roman" w:hAnsi="Times New Roman"/>
          <w:sz w:val="28"/>
          <w:szCs w:val="28"/>
        </w:rPr>
        <w:t>№</w:t>
      </w:r>
      <w:r w:rsidRPr="003307F1">
        <w:rPr>
          <w:rFonts w:ascii="Times New Roman" w:hAnsi="Times New Roman"/>
          <w:sz w:val="28"/>
          <w:szCs w:val="28"/>
          <w:lang w:val="en-US"/>
        </w:rPr>
        <w:t xml:space="preserve"> 12. – P. 1355</w:t>
      </w:r>
      <w:r>
        <w:rPr>
          <w:rFonts w:ascii="Times New Roman" w:hAnsi="Times New Roman"/>
          <w:sz w:val="28"/>
          <w:szCs w:val="28"/>
        </w:rPr>
        <w:t>-</w:t>
      </w:r>
      <w:r w:rsidRPr="003307F1">
        <w:rPr>
          <w:rFonts w:ascii="Times New Roman" w:hAnsi="Times New Roman"/>
          <w:sz w:val="28"/>
          <w:szCs w:val="28"/>
          <w:lang w:val="en-US"/>
        </w:rPr>
        <w:t>1362.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Pancreatic cyst fluid and serum mucin levels predict dysplasia in intraductal papillary mucinous neoplasms of the pancreas / A. V. Marek, N. Katabi, M. Gonen </w:t>
      </w:r>
      <w:r w:rsidRPr="00C62D22">
        <w:rPr>
          <w:rFonts w:ascii="Times New Roman" w:hAnsi="Times New Roman"/>
          <w:sz w:val="28"/>
          <w:szCs w:val="28"/>
          <w:lang w:val="en-US"/>
        </w:rPr>
        <w:t xml:space="preserve">               </w:t>
      </w:r>
      <w:r w:rsidRPr="003307F1">
        <w:rPr>
          <w:rFonts w:ascii="Times New Roman" w:hAnsi="Times New Roman"/>
          <w:sz w:val="28"/>
          <w:szCs w:val="28"/>
          <w:lang w:val="en-US"/>
        </w:rPr>
        <w:t>[ et al. ]</w:t>
      </w:r>
      <w:r w:rsidRPr="00C62D22">
        <w:rPr>
          <w:rFonts w:ascii="Times New Roman" w:hAnsi="Times New Roman"/>
          <w:sz w:val="28"/>
          <w:szCs w:val="28"/>
          <w:lang w:val="en-US"/>
        </w:rPr>
        <w:t xml:space="preserve"> </w:t>
      </w:r>
      <w:r w:rsidRPr="003307F1">
        <w:rPr>
          <w:rFonts w:ascii="Times New Roman" w:hAnsi="Times New Roman"/>
          <w:sz w:val="28"/>
          <w:szCs w:val="28"/>
          <w:lang w:val="en-US"/>
        </w:rPr>
        <w:t>// Ann. Surg. Oncol. – 2010. – [Epub ahead of print].</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lastRenderedPageBreak/>
        <w:t xml:space="preserve">Pancreatic endoscopic ultrasound-guided fine needle aspiration: complication rate and clinical course in single center / </w:t>
      </w:r>
      <w:smartTag w:uri="urn:schemas-microsoft-com:office:smarttags" w:element="place">
        <w:r w:rsidRPr="003307F1">
          <w:rPr>
            <w:rFonts w:ascii="Times New Roman" w:hAnsi="Times New Roman"/>
            <w:sz w:val="28"/>
            <w:szCs w:val="28"/>
            <w:lang w:val="fr-FR"/>
          </w:rPr>
          <w:t>S</w:t>
        </w:r>
        <w:r w:rsidRPr="003307F1">
          <w:rPr>
            <w:rFonts w:ascii="Times New Roman" w:hAnsi="Times New Roman"/>
            <w:sz w:val="28"/>
            <w:szCs w:val="28"/>
            <w:lang w:val="en-US"/>
          </w:rPr>
          <w:t>.</w:t>
        </w:r>
        <w:r w:rsidRPr="003307F1">
          <w:rPr>
            <w:rFonts w:ascii="Times New Roman" w:hAnsi="Times New Roman"/>
            <w:sz w:val="28"/>
            <w:szCs w:val="28"/>
            <w:lang w:val="fr-FR"/>
          </w:rPr>
          <w:t xml:space="preserve"> Carrara</w:t>
        </w:r>
      </w:smartTag>
      <w:r w:rsidRPr="003307F1">
        <w:rPr>
          <w:rFonts w:ascii="Times New Roman" w:hAnsi="Times New Roman"/>
          <w:sz w:val="28"/>
          <w:szCs w:val="28"/>
          <w:lang w:val="fr-FR"/>
        </w:rPr>
        <w:t>, P.</w:t>
      </w:r>
      <w:r w:rsidRPr="003307F1">
        <w:rPr>
          <w:rFonts w:ascii="Times New Roman" w:hAnsi="Times New Roman"/>
          <w:sz w:val="28"/>
          <w:szCs w:val="28"/>
          <w:lang w:val="en-US"/>
        </w:rPr>
        <w:t xml:space="preserve"> </w:t>
      </w:r>
      <w:r w:rsidRPr="003307F1">
        <w:rPr>
          <w:rFonts w:ascii="Times New Roman" w:hAnsi="Times New Roman"/>
          <w:sz w:val="28"/>
          <w:szCs w:val="28"/>
          <w:lang w:val="fr-FR"/>
        </w:rPr>
        <w:t>G.</w:t>
      </w:r>
      <w:r w:rsidRPr="003307F1">
        <w:rPr>
          <w:rFonts w:ascii="Times New Roman" w:hAnsi="Times New Roman"/>
          <w:sz w:val="28"/>
          <w:szCs w:val="28"/>
          <w:lang w:val="en-US"/>
        </w:rPr>
        <w:t xml:space="preserve"> </w:t>
      </w:r>
      <w:r w:rsidRPr="003307F1">
        <w:rPr>
          <w:rFonts w:ascii="Times New Roman" w:hAnsi="Times New Roman"/>
          <w:sz w:val="28"/>
          <w:szCs w:val="28"/>
          <w:lang w:val="fr-FR"/>
        </w:rPr>
        <w:t>Arcidiacono</w:t>
      </w:r>
      <w:r w:rsidRPr="003307F1">
        <w:rPr>
          <w:rFonts w:ascii="Times New Roman" w:hAnsi="Times New Roman"/>
          <w:sz w:val="28"/>
          <w:szCs w:val="28"/>
          <w:lang w:val="en-US"/>
        </w:rPr>
        <w:t xml:space="preserve">, </w:t>
      </w:r>
      <w:r w:rsidRPr="003307F1">
        <w:rPr>
          <w:rFonts w:ascii="Times New Roman" w:hAnsi="Times New Roman"/>
          <w:sz w:val="28"/>
          <w:szCs w:val="28"/>
          <w:lang w:val="fr-FR"/>
        </w:rPr>
        <w:t>G</w:t>
      </w:r>
      <w:r w:rsidRPr="003307F1">
        <w:rPr>
          <w:rFonts w:ascii="Times New Roman" w:hAnsi="Times New Roman"/>
          <w:sz w:val="28"/>
          <w:szCs w:val="28"/>
          <w:lang w:val="en-US"/>
        </w:rPr>
        <w:t>.</w:t>
      </w:r>
      <w:r w:rsidRPr="003307F1">
        <w:rPr>
          <w:rFonts w:ascii="Times New Roman" w:hAnsi="Times New Roman"/>
          <w:sz w:val="28"/>
          <w:szCs w:val="28"/>
          <w:lang w:val="fr-FR"/>
        </w:rPr>
        <w:t xml:space="preserve"> Mezzi</w:t>
      </w:r>
      <w:r w:rsidRPr="003307F1">
        <w:rPr>
          <w:rFonts w:ascii="Times New Roman" w:hAnsi="Times New Roman"/>
          <w:sz w:val="28"/>
          <w:szCs w:val="28"/>
          <w:lang w:val="en-US"/>
        </w:rPr>
        <w:t xml:space="preserve"> [ et al. ] // Dig. Liver Dis. – 2</w:t>
      </w:r>
      <w:r>
        <w:rPr>
          <w:rFonts w:ascii="Times New Roman" w:hAnsi="Times New Roman"/>
          <w:sz w:val="28"/>
          <w:szCs w:val="28"/>
          <w:lang w:val="en-US"/>
        </w:rPr>
        <w:t>010. – Vol. 42, № 7. – P. 520</w:t>
      </w:r>
      <w:r>
        <w:rPr>
          <w:rFonts w:ascii="Times New Roman" w:hAnsi="Times New Roman"/>
          <w:sz w:val="28"/>
          <w:szCs w:val="28"/>
        </w:rPr>
        <w:t>-</w:t>
      </w:r>
      <w:r w:rsidRPr="003307F1">
        <w:rPr>
          <w:rFonts w:ascii="Times New Roman" w:hAnsi="Times New Roman"/>
          <w:sz w:val="28"/>
          <w:szCs w:val="28"/>
          <w:lang w:val="en-US"/>
        </w:rPr>
        <w:t>523.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Pancreatic injury in 284 patients with severe abdominal trauma: outcome, course, and treatment algorithm / </w:t>
      </w:r>
      <w:r w:rsidRPr="003307F1">
        <w:rPr>
          <w:rFonts w:ascii="Times New Roman" w:hAnsi="Times New Roman"/>
          <w:sz w:val="28"/>
          <w:szCs w:val="28"/>
        </w:rPr>
        <w:t>М</w:t>
      </w:r>
      <w:r w:rsidRPr="003307F1">
        <w:rPr>
          <w:rFonts w:ascii="Times New Roman" w:hAnsi="Times New Roman"/>
          <w:sz w:val="28"/>
          <w:szCs w:val="28"/>
          <w:lang w:val="en-US"/>
        </w:rPr>
        <w:t xml:space="preserve">. Heuer, </w:t>
      </w:r>
      <w:r w:rsidRPr="003307F1">
        <w:rPr>
          <w:rFonts w:ascii="Times New Roman" w:hAnsi="Times New Roman"/>
          <w:sz w:val="28"/>
          <w:szCs w:val="28"/>
        </w:rPr>
        <w:t>В</w:t>
      </w:r>
      <w:r w:rsidRPr="003307F1">
        <w:rPr>
          <w:rFonts w:ascii="Times New Roman" w:hAnsi="Times New Roman"/>
          <w:sz w:val="28"/>
          <w:szCs w:val="28"/>
          <w:lang w:val="en-US"/>
        </w:rPr>
        <w:t xml:space="preserve">. Hussmann, R. Lefering [ et al. ] // Langenbecks Arch. Surg. – 2011. – Vol. 396, № 7. – </w:t>
      </w:r>
      <w:r w:rsidRPr="003307F1">
        <w:rPr>
          <w:rFonts w:ascii="Times New Roman" w:hAnsi="Times New Roman"/>
          <w:sz w:val="28"/>
          <w:szCs w:val="28"/>
        </w:rPr>
        <w:t>Р</w:t>
      </w:r>
      <w:r>
        <w:rPr>
          <w:rFonts w:ascii="Times New Roman" w:hAnsi="Times New Roman"/>
          <w:sz w:val="28"/>
          <w:szCs w:val="28"/>
          <w:lang w:val="en-US"/>
        </w:rPr>
        <w:t>. 1067</w:t>
      </w:r>
      <w:r>
        <w:rPr>
          <w:rFonts w:ascii="Times New Roman" w:hAnsi="Times New Roman"/>
          <w:sz w:val="28"/>
          <w:szCs w:val="28"/>
        </w:rPr>
        <w:t>-</w:t>
      </w:r>
      <w:r w:rsidRPr="003307F1">
        <w:rPr>
          <w:rFonts w:ascii="Times New Roman" w:hAnsi="Times New Roman"/>
          <w:sz w:val="28"/>
          <w:szCs w:val="28"/>
          <w:lang w:val="en-US"/>
        </w:rPr>
        <w:t xml:space="preserve">1076. </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bCs/>
          <w:sz w:val="28"/>
          <w:szCs w:val="28"/>
          <w:bdr w:val="none" w:sz="0" w:space="0" w:color="auto" w:frame="1"/>
          <w:lang w:val="en-US"/>
        </w:rPr>
        <w:t>Pancreatic pseudocysts: prognostic factors for their development and their spontaneous resolution in the setting of acute pancreatitis</w:t>
      </w:r>
      <w:r w:rsidRPr="00C62D22">
        <w:rPr>
          <w:rFonts w:ascii="Times New Roman" w:hAnsi="Times New Roman"/>
          <w:bCs/>
          <w:sz w:val="28"/>
          <w:szCs w:val="28"/>
          <w:bdr w:val="none" w:sz="0" w:space="0" w:color="auto" w:frame="1"/>
          <w:lang w:val="en-US"/>
        </w:rPr>
        <w:t xml:space="preserve"> / </w:t>
      </w:r>
      <w:r w:rsidRPr="003307F1">
        <w:rPr>
          <w:rFonts w:ascii="Times New Roman" w:hAnsi="Times New Roman"/>
          <w:sz w:val="28"/>
          <w:szCs w:val="28"/>
          <w:bdr w:val="none" w:sz="0" w:space="0" w:color="auto" w:frame="1"/>
          <w:lang w:val="en-US"/>
        </w:rPr>
        <w:t>P</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G</w:t>
      </w:r>
      <w:r w:rsidRPr="00C62D22">
        <w:rPr>
          <w:rFonts w:ascii="Times New Roman" w:hAnsi="Times New Roman"/>
          <w:sz w:val="28"/>
          <w:szCs w:val="28"/>
          <w:bdr w:val="none" w:sz="0" w:space="0" w:color="auto" w:frame="1"/>
          <w:lang w:val="en-US"/>
        </w:rPr>
        <w:t>.</w:t>
      </w:r>
      <w:r w:rsidRPr="003307F1">
        <w:rPr>
          <w:rFonts w:ascii="Times New Roman" w:hAnsi="Times New Roman"/>
          <w:sz w:val="28"/>
          <w:szCs w:val="28"/>
          <w:bdr w:val="none" w:sz="0" w:space="0" w:color="auto" w:frame="1"/>
          <w:lang w:val="en-US"/>
        </w:rPr>
        <w:t xml:space="preserve"> Lankisch, </w:t>
      </w:r>
      <w:r w:rsidRPr="003307F1">
        <w:rPr>
          <w:rFonts w:ascii="Times New Roman" w:hAnsi="Times New Roman"/>
          <w:sz w:val="28"/>
          <w:szCs w:val="28"/>
          <w:bdr w:val="none" w:sz="0" w:space="0" w:color="auto" w:frame="1"/>
        </w:rPr>
        <w:t>В</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 xml:space="preserve">Weber-Dany, </w:t>
      </w:r>
      <w:r w:rsidRPr="003307F1">
        <w:rPr>
          <w:rFonts w:ascii="Times New Roman" w:hAnsi="Times New Roman"/>
          <w:sz w:val="28"/>
          <w:szCs w:val="28"/>
          <w:bdr w:val="none" w:sz="0" w:space="0" w:color="auto" w:frame="1"/>
        </w:rPr>
        <w:t>Р</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 xml:space="preserve">Maisonneuve, </w:t>
      </w:r>
      <w:r w:rsidRPr="003307F1">
        <w:rPr>
          <w:rFonts w:ascii="Times New Roman" w:hAnsi="Times New Roman"/>
          <w:sz w:val="28"/>
          <w:szCs w:val="28"/>
          <w:bdr w:val="none" w:sz="0" w:space="0" w:color="auto" w:frame="1"/>
        </w:rPr>
        <w:t>А</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rPr>
        <w:t>В</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 xml:space="preserve">Lowenfels </w:t>
      </w:r>
      <w:r w:rsidRPr="00C62D22">
        <w:rPr>
          <w:rFonts w:ascii="Times New Roman" w:hAnsi="Times New Roman"/>
          <w:sz w:val="28"/>
          <w:szCs w:val="28"/>
          <w:bdr w:val="none" w:sz="0" w:space="0" w:color="auto" w:frame="1"/>
          <w:lang w:val="en-US"/>
        </w:rPr>
        <w:t xml:space="preserve">// </w:t>
      </w:r>
      <w:r w:rsidRPr="003307F1">
        <w:rPr>
          <w:rFonts w:ascii="Times New Roman" w:hAnsi="Times New Roman"/>
          <w:iCs/>
          <w:sz w:val="28"/>
          <w:szCs w:val="28"/>
          <w:bdr w:val="none" w:sz="0" w:space="0" w:color="auto" w:frame="1"/>
          <w:lang w:val="en-US"/>
        </w:rPr>
        <w:t>Pancreatology</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w:t>
      </w:r>
      <w:r w:rsidRPr="003307F1">
        <w:rPr>
          <w:rFonts w:ascii="Times New Roman" w:hAnsi="Times New Roman"/>
          <w:sz w:val="28"/>
          <w:szCs w:val="28"/>
          <w:bdr w:val="none" w:sz="0" w:space="0" w:color="auto" w:frame="1"/>
          <w:lang w:val="en-US"/>
        </w:rPr>
        <w:t xml:space="preserve"> 2012</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 Vol</w:t>
      </w:r>
      <w:r w:rsidRPr="00C62D22">
        <w:rPr>
          <w:rFonts w:ascii="Times New Roman" w:hAnsi="Times New Roman"/>
          <w:sz w:val="28"/>
          <w:szCs w:val="28"/>
          <w:lang w:val="en-US"/>
        </w:rPr>
        <w:t>.</w:t>
      </w:r>
      <w:r w:rsidRPr="003307F1">
        <w:rPr>
          <w:rFonts w:ascii="Times New Roman" w:hAnsi="Times New Roman"/>
          <w:sz w:val="28"/>
          <w:szCs w:val="28"/>
          <w:bdr w:val="none" w:sz="0" w:space="0" w:color="auto" w:frame="1"/>
          <w:lang w:val="en-US"/>
        </w:rPr>
        <w:t xml:space="preserve"> 12</w:t>
      </w:r>
      <w:r w:rsidRPr="00C62D22">
        <w:rPr>
          <w:rFonts w:ascii="Times New Roman" w:hAnsi="Times New Roman"/>
          <w:sz w:val="28"/>
          <w:szCs w:val="28"/>
          <w:bdr w:val="none" w:sz="0" w:space="0" w:color="auto" w:frame="1"/>
          <w:lang w:val="en-US"/>
        </w:rPr>
        <w:t xml:space="preserve">, № </w:t>
      </w:r>
      <w:r w:rsidRPr="003307F1">
        <w:rPr>
          <w:rFonts w:ascii="Times New Roman" w:hAnsi="Times New Roman"/>
          <w:sz w:val="28"/>
          <w:szCs w:val="28"/>
          <w:bdr w:val="none" w:sz="0" w:space="0" w:color="auto" w:frame="1"/>
          <w:lang w:val="en-US"/>
        </w:rPr>
        <w:t>2</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w:t>
      </w:r>
      <w:r w:rsidRPr="00C62D22">
        <w:rPr>
          <w:rFonts w:ascii="Times New Roman" w:hAnsi="Times New Roman"/>
          <w:sz w:val="28"/>
          <w:szCs w:val="28"/>
          <w:lang w:val="en-US"/>
        </w:rPr>
        <w:t xml:space="preserve"> </w:t>
      </w:r>
      <w:r w:rsidRPr="003307F1">
        <w:rPr>
          <w:rFonts w:ascii="Times New Roman" w:hAnsi="Times New Roman"/>
          <w:sz w:val="28"/>
          <w:szCs w:val="28"/>
        </w:rPr>
        <w:t>Р</w:t>
      </w:r>
      <w:r w:rsidRPr="00C62D22">
        <w:rPr>
          <w:rFonts w:ascii="Times New Roman" w:hAnsi="Times New Roman"/>
          <w:sz w:val="28"/>
          <w:szCs w:val="28"/>
          <w:bdr w:val="none" w:sz="0" w:space="0" w:color="auto" w:frame="1"/>
          <w:lang w:val="en-US"/>
        </w:rPr>
        <w:t xml:space="preserve">. </w:t>
      </w:r>
      <w:r w:rsidRPr="003307F1">
        <w:rPr>
          <w:rFonts w:ascii="Times New Roman" w:hAnsi="Times New Roman"/>
          <w:sz w:val="28"/>
          <w:szCs w:val="28"/>
          <w:bdr w:val="none" w:sz="0" w:space="0" w:color="auto" w:frame="1"/>
          <w:lang w:val="en-US"/>
        </w:rPr>
        <w:t>85</w:t>
      </w:r>
      <w:r w:rsidRPr="00C62D22">
        <w:rPr>
          <w:rFonts w:ascii="Times New Roman" w:hAnsi="Times New Roman"/>
          <w:sz w:val="28"/>
          <w:szCs w:val="28"/>
          <w:bdr w:val="none" w:sz="0" w:space="0" w:color="auto" w:frame="1"/>
          <w:lang w:val="en-US"/>
        </w:rPr>
        <w:t>-</w:t>
      </w:r>
      <w:r w:rsidRPr="003307F1">
        <w:rPr>
          <w:rFonts w:ascii="Times New Roman" w:hAnsi="Times New Roman"/>
          <w:sz w:val="28"/>
          <w:szCs w:val="28"/>
          <w:bdr w:val="none" w:sz="0" w:space="0" w:color="auto" w:frame="1"/>
          <w:lang w:val="en-US"/>
        </w:rPr>
        <w:t>90</w:t>
      </w:r>
      <w:r w:rsidRPr="00C62D22">
        <w:rPr>
          <w:rFonts w:ascii="Times New Roman" w:hAnsi="Times New Roman"/>
          <w:sz w:val="28"/>
          <w:szCs w:val="28"/>
          <w:bdr w:val="none" w:sz="0" w:space="0" w:color="auto" w:frame="1"/>
          <w:lang w:val="en-US"/>
        </w:rPr>
        <w:t>.</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Pancreatic pseudocysts: observation, endoscopic drainage, or resection? /</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 </w:t>
      </w:r>
      <w:r w:rsidRPr="003307F1">
        <w:rPr>
          <w:rFonts w:ascii="Times New Roman" w:hAnsi="Times New Roman"/>
          <w:sz w:val="28"/>
          <w:szCs w:val="28"/>
        </w:rPr>
        <w:t>М</w:t>
      </w:r>
      <w:r w:rsidRPr="003307F1">
        <w:rPr>
          <w:rFonts w:ascii="Times New Roman" w:hAnsi="Times New Roman"/>
          <w:sz w:val="28"/>
          <w:szCs w:val="28"/>
          <w:lang w:val="en-US"/>
        </w:rPr>
        <w:t xml:space="preserve">. </w:t>
      </w:r>
      <w:r w:rsidRPr="003307F1">
        <w:rPr>
          <w:rFonts w:ascii="Times New Roman" w:hAnsi="Times New Roman"/>
          <w:sz w:val="28"/>
          <w:szCs w:val="28"/>
        </w:rPr>
        <w:t>М</w:t>
      </w:r>
      <w:r w:rsidRPr="003307F1">
        <w:rPr>
          <w:rFonts w:ascii="Times New Roman" w:hAnsi="Times New Roman"/>
          <w:sz w:val="28"/>
          <w:szCs w:val="28"/>
          <w:lang w:val="en-US"/>
        </w:rPr>
        <w:t xml:space="preserve">. Lerch, </w:t>
      </w:r>
      <w:r w:rsidRPr="003307F1">
        <w:rPr>
          <w:rFonts w:ascii="Times New Roman" w:hAnsi="Times New Roman"/>
          <w:sz w:val="28"/>
          <w:szCs w:val="28"/>
        </w:rPr>
        <w:t>А</w:t>
      </w:r>
      <w:r w:rsidRPr="003307F1">
        <w:rPr>
          <w:rFonts w:ascii="Times New Roman" w:hAnsi="Times New Roman"/>
          <w:sz w:val="28"/>
          <w:szCs w:val="28"/>
          <w:lang w:val="en-US"/>
        </w:rPr>
        <w:t>. Stier, U. Wahnschaffe [et</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al.] // Deutsches Arzteblatt International. – 2009. – Vol. 106, № 38. – </w:t>
      </w:r>
      <w:r w:rsidRPr="003307F1">
        <w:rPr>
          <w:rFonts w:ascii="Times New Roman" w:hAnsi="Times New Roman"/>
          <w:sz w:val="28"/>
          <w:szCs w:val="28"/>
        </w:rPr>
        <w:t>Р</w:t>
      </w:r>
      <w:r>
        <w:rPr>
          <w:rFonts w:ascii="Times New Roman" w:hAnsi="Times New Roman"/>
          <w:sz w:val="28"/>
          <w:szCs w:val="28"/>
          <w:lang w:val="en-US"/>
        </w:rPr>
        <w:t>. 614</w:t>
      </w:r>
      <w:r w:rsidRPr="00C62D22">
        <w:rPr>
          <w:rFonts w:ascii="Times New Roman" w:hAnsi="Times New Roman"/>
          <w:sz w:val="28"/>
          <w:szCs w:val="28"/>
          <w:lang w:val="en-US"/>
        </w:rPr>
        <w:t>-</w:t>
      </w:r>
      <w:r w:rsidRPr="003307F1">
        <w:rPr>
          <w:rFonts w:ascii="Times New Roman" w:hAnsi="Times New Roman"/>
          <w:sz w:val="28"/>
          <w:szCs w:val="28"/>
          <w:lang w:val="en-US"/>
        </w:rPr>
        <w:t>621.</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Pancreatic resection guided by pre-operative intraductal ultrasonography for intraductal papillary mucinous neoplasm / Y. K. Cheon, Y. D. Cho, S. R. Jeon [ et</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al. ] // Am. J. Gastroenterol. – 2010. – Vol. 105, № 9. – P. </w:t>
      </w:r>
      <w:r>
        <w:rPr>
          <w:rFonts w:ascii="Times New Roman" w:hAnsi="Times New Roman"/>
          <w:sz w:val="28"/>
          <w:szCs w:val="28"/>
          <w:lang w:val="en-US"/>
        </w:rPr>
        <w:t>1963</w:t>
      </w:r>
      <w:r w:rsidRPr="00C62D22">
        <w:rPr>
          <w:rFonts w:ascii="Times New Roman" w:hAnsi="Times New Roman"/>
          <w:sz w:val="28"/>
          <w:szCs w:val="28"/>
          <w:lang w:val="en-US"/>
        </w:rPr>
        <w:t>-</w:t>
      </w:r>
      <w:r w:rsidRPr="003307F1">
        <w:rPr>
          <w:rFonts w:ascii="Times New Roman" w:hAnsi="Times New Roman"/>
          <w:sz w:val="28"/>
          <w:szCs w:val="28"/>
          <w:lang w:val="en-US"/>
        </w:rPr>
        <w:t>1969.</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Protective role of angiotensin II type 2 receptor signaling in a mouse model of pancreatic fibrosis / B. Ulmasov, Z. Xu, L. H. Tetri [ et</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al. ] // Am. J. Physiol. Gastrointest. Liver Physio</w:t>
      </w:r>
      <w:r>
        <w:rPr>
          <w:rFonts w:ascii="Times New Roman" w:hAnsi="Times New Roman"/>
          <w:sz w:val="28"/>
          <w:szCs w:val="28"/>
          <w:lang w:val="en-US"/>
        </w:rPr>
        <w:t>l. – 2009. – Vol. 296. – P. 284</w:t>
      </w:r>
      <w:r>
        <w:rPr>
          <w:rFonts w:ascii="Times New Roman" w:hAnsi="Times New Roman"/>
          <w:sz w:val="28"/>
          <w:szCs w:val="28"/>
        </w:rPr>
        <w:t>-</w:t>
      </w:r>
      <w:r w:rsidRPr="003307F1">
        <w:rPr>
          <w:rFonts w:ascii="Times New Roman" w:hAnsi="Times New Roman"/>
          <w:sz w:val="28"/>
          <w:szCs w:val="28"/>
          <w:lang w:val="en-US"/>
        </w:rPr>
        <w:t>294.</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Rat pancreatic stellate cells secrete matrix metalloproteinases: implications for extracellular matrix turnover / P.A. Phillips, J.A. McCarroll, S. Park [et al.] // Gut. – 2003. – Vol. 52, № 10. – P. 2</w:t>
      </w:r>
      <w:r>
        <w:rPr>
          <w:rFonts w:ascii="Times New Roman" w:hAnsi="Times New Roman"/>
          <w:sz w:val="28"/>
          <w:szCs w:val="28"/>
          <w:lang w:val="en-US"/>
        </w:rPr>
        <w:t>75</w:t>
      </w:r>
      <w:r w:rsidRPr="00C62D22">
        <w:rPr>
          <w:rFonts w:ascii="Times New Roman" w:hAnsi="Times New Roman"/>
          <w:sz w:val="28"/>
          <w:szCs w:val="28"/>
          <w:lang w:val="en-US"/>
        </w:rPr>
        <w:t>-</w:t>
      </w:r>
      <w:r w:rsidRPr="003307F1">
        <w:rPr>
          <w:rFonts w:ascii="Times New Roman" w:hAnsi="Times New Roman"/>
          <w:sz w:val="28"/>
          <w:szCs w:val="28"/>
          <w:lang w:val="en-US"/>
        </w:rPr>
        <w:t>282.</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Risk factors for surgical complications in distal pancreatectomy / </w:t>
      </w:r>
      <w:r w:rsidRPr="003307F1">
        <w:rPr>
          <w:rFonts w:ascii="Times New Roman" w:hAnsi="Times New Roman"/>
          <w:sz w:val="28"/>
          <w:szCs w:val="28"/>
        </w:rPr>
        <w:t>Н</w:t>
      </w:r>
      <w:r w:rsidRPr="003307F1">
        <w:rPr>
          <w:rFonts w:ascii="Times New Roman" w:hAnsi="Times New Roman"/>
          <w:sz w:val="28"/>
          <w:szCs w:val="28"/>
          <w:lang w:val="en-US"/>
        </w:rPr>
        <w:t xml:space="preserve">. Seeliger, </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S. Christians., </w:t>
      </w:r>
      <w:r w:rsidRPr="003307F1">
        <w:rPr>
          <w:rFonts w:ascii="Times New Roman" w:hAnsi="Times New Roman"/>
          <w:sz w:val="28"/>
          <w:szCs w:val="28"/>
        </w:rPr>
        <w:t>М</w:t>
      </w:r>
      <w:r w:rsidRPr="003307F1">
        <w:rPr>
          <w:rFonts w:ascii="Times New Roman" w:hAnsi="Times New Roman"/>
          <w:sz w:val="28"/>
          <w:szCs w:val="28"/>
          <w:lang w:val="en-US"/>
        </w:rPr>
        <w:t xml:space="preserve">. </w:t>
      </w:r>
      <w:r w:rsidRPr="003307F1">
        <w:rPr>
          <w:rFonts w:ascii="Times New Roman" w:hAnsi="Times New Roman"/>
          <w:sz w:val="28"/>
          <w:szCs w:val="28"/>
        </w:rPr>
        <w:t>К</w:t>
      </w:r>
      <w:r w:rsidRPr="003307F1">
        <w:rPr>
          <w:rFonts w:ascii="Times New Roman" w:hAnsi="Times New Roman"/>
          <w:sz w:val="28"/>
          <w:szCs w:val="28"/>
          <w:lang w:val="en-US"/>
        </w:rPr>
        <w:t>. Angele [ et al. ] // Am. J. Surg. – 20</w:t>
      </w:r>
      <w:r>
        <w:rPr>
          <w:rFonts w:ascii="Times New Roman" w:hAnsi="Times New Roman"/>
          <w:sz w:val="28"/>
          <w:szCs w:val="28"/>
          <w:lang w:val="en-US"/>
        </w:rPr>
        <w:t>10. – Vol. 200, № 3. – P. 311</w:t>
      </w:r>
      <w:r w:rsidRPr="00C62D22">
        <w:rPr>
          <w:rFonts w:ascii="Times New Roman" w:hAnsi="Times New Roman"/>
          <w:sz w:val="28"/>
          <w:szCs w:val="28"/>
          <w:lang w:val="en-US"/>
        </w:rPr>
        <w:t>-</w:t>
      </w:r>
      <w:r w:rsidRPr="003307F1">
        <w:rPr>
          <w:rFonts w:ascii="Times New Roman" w:hAnsi="Times New Roman"/>
          <w:sz w:val="28"/>
          <w:szCs w:val="28"/>
          <w:lang w:val="en-US"/>
        </w:rPr>
        <w:t>317.</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Robles L. Role of oxidative stress in the pathogenesis of pancreatitis: effect of antioxidant therapy / L. Robles, N. D. Vaziri, H. Ichii // Pancreatic Diseases Therapy. – 2013. – Vol. 3, № 1. – </w:t>
      </w:r>
      <w:r w:rsidRPr="003307F1">
        <w:rPr>
          <w:rFonts w:ascii="Times New Roman" w:hAnsi="Times New Roman"/>
          <w:sz w:val="28"/>
          <w:szCs w:val="28"/>
        </w:rPr>
        <w:t>Р</w:t>
      </w:r>
      <w:r w:rsidRPr="003307F1">
        <w:rPr>
          <w:rFonts w:ascii="Times New Roman" w:hAnsi="Times New Roman"/>
          <w:sz w:val="28"/>
          <w:szCs w:val="28"/>
          <w:lang w:val="en-US"/>
        </w:rPr>
        <w:t>. 112.</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Rodero M.R. Skin wound healing modulation by macrophages / M.R. Rodero, </w:t>
      </w:r>
      <w:r w:rsidRPr="00C62D22">
        <w:rPr>
          <w:rFonts w:ascii="Times New Roman" w:hAnsi="Times New Roman"/>
          <w:sz w:val="28"/>
          <w:szCs w:val="28"/>
          <w:lang w:val="en-US"/>
        </w:rPr>
        <w:t xml:space="preserve">   </w:t>
      </w:r>
      <w:r w:rsidRPr="003307F1">
        <w:rPr>
          <w:rFonts w:ascii="Times New Roman" w:hAnsi="Times New Roman"/>
          <w:sz w:val="28"/>
          <w:szCs w:val="28"/>
          <w:lang w:val="en-US"/>
        </w:rPr>
        <w:t>K. Khosrotehrani // Int J Clin Exp P</w:t>
      </w:r>
      <w:r w:rsidRPr="003307F1">
        <w:rPr>
          <w:rFonts w:ascii="Times New Roman" w:hAnsi="Times New Roman"/>
          <w:sz w:val="28"/>
          <w:szCs w:val="28"/>
          <w:lang w:val="en-US"/>
        </w:rPr>
        <w:t>a</w:t>
      </w:r>
      <w:r w:rsidRPr="003307F1">
        <w:rPr>
          <w:rFonts w:ascii="Times New Roman" w:hAnsi="Times New Roman"/>
          <w:sz w:val="28"/>
          <w:szCs w:val="28"/>
          <w:lang w:val="en-US"/>
        </w:rPr>
        <w:t xml:space="preserve">tol. – 2010. </w:t>
      </w:r>
      <w:r>
        <w:rPr>
          <w:rFonts w:ascii="Times New Roman" w:hAnsi="Times New Roman"/>
          <w:sz w:val="28"/>
          <w:szCs w:val="28"/>
          <w:lang w:val="en-US"/>
        </w:rPr>
        <w:t>– Vol. 25, №7. – P.643</w:t>
      </w:r>
      <w:r w:rsidRPr="00C62D22">
        <w:rPr>
          <w:rFonts w:ascii="Times New Roman" w:hAnsi="Times New Roman"/>
          <w:sz w:val="28"/>
          <w:szCs w:val="28"/>
          <w:lang w:val="en-US"/>
        </w:rPr>
        <w:t>-</w:t>
      </w:r>
      <w:r w:rsidRPr="003307F1">
        <w:rPr>
          <w:rFonts w:ascii="Times New Roman" w:hAnsi="Times New Roman"/>
          <w:sz w:val="28"/>
          <w:szCs w:val="28"/>
          <w:lang w:val="en-US"/>
        </w:rPr>
        <w:t>653.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lastRenderedPageBreak/>
        <w:t xml:space="preserve">Role and limitations of 18F-FDG positron emission tomography (PET) in the management of patients with pancreatic lesions / C. </w:t>
      </w:r>
      <w:r w:rsidRPr="003307F1">
        <w:rPr>
          <w:rFonts w:ascii="Times New Roman" w:hAnsi="Times New Roman"/>
          <w:sz w:val="28"/>
          <w:szCs w:val="28"/>
          <w:lang w:val="fr-FR"/>
        </w:rPr>
        <w:t xml:space="preserve">Pery, G. Meurette, C. Ansquer [ et al. ] </w:t>
      </w:r>
      <w:r w:rsidRPr="003307F1">
        <w:rPr>
          <w:rFonts w:ascii="Times New Roman" w:hAnsi="Times New Roman"/>
          <w:sz w:val="28"/>
          <w:szCs w:val="28"/>
          <w:lang w:val="en-US"/>
        </w:rPr>
        <w:t>// Gastroenterol. Clin. Biol. – 2010. – Vol. 34, № 8</w:t>
      </w:r>
      <w:r w:rsidRPr="003307F1">
        <w:rPr>
          <w:rFonts w:ascii="Times New Roman" w:hAnsi="Times New Roman"/>
          <w:sz w:val="28"/>
          <w:szCs w:val="28"/>
        </w:rPr>
        <w:t xml:space="preserve"> – </w:t>
      </w:r>
      <w:r>
        <w:rPr>
          <w:rFonts w:ascii="Times New Roman" w:hAnsi="Times New Roman"/>
          <w:sz w:val="28"/>
          <w:szCs w:val="28"/>
          <w:lang w:val="en-US"/>
        </w:rPr>
        <w:t>9. – P. 465</w:t>
      </w:r>
      <w:r>
        <w:rPr>
          <w:rFonts w:ascii="Times New Roman" w:hAnsi="Times New Roman"/>
          <w:sz w:val="28"/>
          <w:szCs w:val="28"/>
        </w:rPr>
        <w:t>-</w:t>
      </w:r>
      <w:r w:rsidRPr="003307F1">
        <w:rPr>
          <w:rFonts w:ascii="Times New Roman" w:hAnsi="Times New Roman"/>
          <w:sz w:val="28"/>
          <w:szCs w:val="28"/>
          <w:lang w:val="en-US"/>
        </w:rPr>
        <w:t>474.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Sahora K. The role of surgery in severe acute pancreatitis / K. Sahora, R. Jakesz, P. Gotzinger // Eur. Surg. – 2009. – </w:t>
      </w:r>
      <w:r w:rsidRPr="003307F1">
        <w:rPr>
          <w:rFonts w:ascii="Times New Roman" w:hAnsi="Times New Roman"/>
          <w:sz w:val="28"/>
          <w:szCs w:val="28"/>
        </w:rPr>
        <w:t>№</w:t>
      </w:r>
      <w:r>
        <w:rPr>
          <w:rFonts w:ascii="Times New Roman" w:hAnsi="Times New Roman"/>
          <w:sz w:val="28"/>
          <w:szCs w:val="28"/>
          <w:lang w:val="en-US"/>
        </w:rPr>
        <w:t xml:space="preserve"> 6. – P. 280</w:t>
      </w:r>
      <w:r>
        <w:rPr>
          <w:rFonts w:ascii="Times New Roman" w:hAnsi="Times New Roman"/>
          <w:sz w:val="28"/>
          <w:szCs w:val="28"/>
        </w:rPr>
        <w:t>-</w:t>
      </w:r>
      <w:r w:rsidRPr="003307F1">
        <w:rPr>
          <w:rFonts w:ascii="Times New Roman" w:hAnsi="Times New Roman"/>
          <w:sz w:val="28"/>
          <w:szCs w:val="28"/>
          <w:lang w:val="en-US"/>
        </w:rPr>
        <w:t>285.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Style w:val="A10"/>
          <w:rFonts w:ascii="Times New Roman" w:eastAsia="TimesNewRoman" w:hAnsi="Times New Roman" w:cs="Times New Roman"/>
          <w:color w:val="auto"/>
          <w:sz w:val="28"/>
          <w:szCs w:val="28"/>
        </w:rPr>
      </w:pPr>
      <w:r w:rsidRPr="003307F1">
        <w:rPr>
          <w:rStyle w:val="A10"/>
          <w:rFonts w:ascii="Times New Roman" w:hAnsi="Times New Roman" w:cs="Times New Roman"/>
          <w:color w:val="auto"/>
          <w:sz w:val="28"/>
          <w:szCs w:val="28"/>
          <w:lang w:val="en-US"/>
        </w:rPr>
        <w:t>Selective inhibition of ADAM12 catalytic activity through engineering of tissue inhibitor of metalloproteinase 2 (TIMP-2)</w:t>
      </w:r>
      <w:r w:rsidRPr="00C62D22">
        <w:rPr>
          <w:rStyle w:val="A10"/>
          <w:rFonts w:ascii="Times New Roman" w:hAnsi="Times New Roman" w:cs="Times New Roman"/>
          <w:color w:val="auto"/>
          <w:sz w:val="28"/>
          <w:szCs w:val="28"/>
          <w:lang w:val="en-US"/>
        </w:rPr>
        <w:t xml:space="preserve"> / </w:t>
      </w:r>
      <w:r w:rsidRPr="003307F1">
        <w:rPr>
          <w:rStyle w:val="A10"/>
          <w:rFonts w:ascii="Times New Roman" w:hAnsi="Times New Roman" w:cs="Times New Roman"/>
          <w:color w:val="auto"/>
          <w:sz w:val="28"/>
          <w:szCs w:val="28"/>
        </w:rPr>
        <w:t>М</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Kveiborg, J</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Jacobsen, </w:t>
      </w:r>
      <w:r w:rsidRPr="003307F1">
        <w:rPr>
          <w:rStyle w:val="A10"/>
          <w:rFonts w:ascii="Times New Roman" w:hAnsi="Times New Roman" w:cs="Times New Roman"/>
          <w:color w:val="auto"/>
          <w:sz w:val="28"/>
          <w:szCs w:val="28"/>
        </w:rPr>
        <w:t>М</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rPr>
        <w:t>Н</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 xml:space="preserve">Lee </w:t>
      </w:r>
      <w:r w:rsidRPr="003307F1">
        <w:rPr>
          <w:rFonts w:ascii="Times New Roman" w:hAnsi="Times New Roman"/>
          <w:sz w:val="28"/>
          <w:szCs w:val="28"/>
          <w:lang w:val="en-US"/>
        </w:rPr>
        <w:t xml:space="preserve">[ et al. ] </w:t>
      </w:r>
      <w:r w:rsidRPr="00C62D22">
        <w:rPr>
          <w:rStyle w:val="A10"/>
          <w:rFonts w:ascii="Times New Roman" w:hAnsi="Times New Roman" w:cs="Times New Roman"/>
          <w:color w:val="auto"/>
          <w:sz w:val="28"/>
          <w:szCs w:val="28"/>
          <w:lang w:val="en-US"/>
        </w:rPr>
        <w:t>//</w:t>
      </w:r>
      <w:r w:rsidRPr="003307F1">
        <w:rPr>
          <w:rStyle w:val="A10"/>
          <w:rFonts w:ascii="Times New Roman" w:hAnsi="Times New Roman" w:cs="Times New Roman"/>
          <w:color w:val="auto"/>
          <w:sz w:val="28"/>
          <w:szCs w:val="28"/>
          <w:lang w:val="en-US"/>
        </w:rPr>
        <w:t xml:space="preserve"> Biochem. J</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w:t>
      </w:r>
      <w:r w:rsidRPr="003307F1">
        <w:rPr>
          <w:rStyle w:val="A10"/>
          <w:rFonts w:ascii="Times New Roman" w:hAnsi="Times New Roman" w:cs="Times New Roman"/>
          <w:color w:val="auto"/>
          <w:sz w:val="28"/>
          <w:szCs w:val="28"/>
          <w:lang w:val="en-US"/>
        </w:rPr>
        <w:t xml:space="preserve"> 2010</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 Vol</w:t>
      </w:r>
      <w:r w:rsidRPr="003307F1">
        <w:rPr>
          <w:rFonts w:ascii="Times New Roman" w:hAnsi="Times New Roman"/>
          <w:sz w:val="28"/>
          <w:szCs w:val="28"/>
        </w:rPr>
        <w:t>.</w:t>
      </w:r>
      <w:r w:rsidRPr="003307F1">
        <w:rPr>
          <w:rStyle w:val="A10"/>
          <w:rFonts w:ascii="Times New Roman" w:hAnsi="Times New Roman" w:cs="Times New Roman"/>
          <w:color w:val="auto"/>
          <w:sz w:val="28"/>
          <w:szCs w:val="28"/>
          <w:lang w:val="en-US"/>
        </w:rPr>
        <w:t xml:space="preserve"> 430</w:t>
      </w:r>
      <w:r w:rsidRPr="003307F1">
        <w:rPr>
          <w:rStyle w:val="A10"/>
          <w:rFonts w:ascii="Times New Roman" w:hAnsi="Times New Roman" w:cs="Times New Roman"/>
          <w:color w:val="auto"/>
          <w:sz w:val="28"/>
          <w:szCs w:val="28"/>
        </w:rPr>
        <w:t xml:space="preserve">. </w:t>
      </w:r>
      <w:r w:rsidRPr="003307F1">
        <w:rPr>
          <w:rFonts w:ascii="Times New Roman" w:hAnsi="Times New Roman"/>
          <w:sz w:val="28"/>
          <w:szCs w:val="28"/>
          <w:lang w:val="en-US"/>
        </w:rPr>
        <w:t>–</w:t>
      </w:r>
      <w:r w:rsidRPr="003307F1">
        <w:rPr>
          <w:rFonts w:ascii="Times New Roman" w:hAnsi="Times New Roman"/>
          <w:sz w:val="28"/>
          <w:szCs w:val="28"/>
        </w:rPr>
        <w:t xml:space="preserve"> Р. </w:t>
      </w:r>
      <w:r w:rsidRPr="003307F1">
        <w:rPr>
          <w:rStyle w:val="A10"/>
          <w:rFonts w:ascii="Times New Roman" w:hAnsi="Times New Roman" w:cs="Times New Roman"/>
          <w:color w:val="auto"/>
          <w:sz w:val="28"/>
          <w:szCs w:val="28"/>
          <w:lang w:val="en-US"/>
        </w:rPr>
        <w:t>79</w:t>
      </w:r>
      <w:r>
        <w:rPr>
          <w:rStyle w:val="A10"/>
          <w:rFonts w:ascii="Times New Roman" w:hAnsi="Times New Roman" w:cs="Times New Roman"/>
          <w:color w:val="auto"/>
          <w:sz w:val="28"/>
          <w:szCs w:val="28"/>
        </w:rPr>
        <w:t>-</w:t>
      </w:r>
      <w:r w:rsidRPr="003307F1">
        <w:rPr>
          <w:rStyle w:val="A10"/>
          <w:rFonts w:ascii="Times New Roman" w:hAnsi="Times New Roman" w:cs="Times New Roman"/>
          <w:color w:val="auto"/>
          <w:sz w:val="28"/>
          <w:szCs w:val="28"/>
          <w:lang w:val="en-US"/>
        </w:rPr>
        <w:t>86</w:t>
      </w:r>
      <w:r w:rsidRPr="003307F1">
        <w:rPr>
          <w:rStyle w:val="A10"/>
          <w:rFonts w:ascii="Times New Roman" w:hAnsi="Times New Roman" w:cs="Times New Roman"/>
          <w:color w:val="auto"/>
          <w:sz w:val="28"/>
          <w:szCs w:val="28"/>
        </w:rPr>
        <w:t>.</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Pr>
          <w:rStyle w:val="A10"/>
          <w:rFonts w:ascii="Times New Roman" w:hAnsi="Times New Roman" w:cs="Times New Roman"/>
          <w:color w:val="auto"/>
          <w:sz w:val="28"/>
          <w:szCs w:val="28"/>
          <w:lang w:val="en-US"/>
        </w:rPr>
        <w:t>Short-</w:t>
      </w:r>
      <w:r w:rsidRPr="00C62D22">
        <w:rPr>
          <w:rStyle w:val="A10"/>
          <w:rFonts w:ascii="Times New Roman" w:hAnsi="Times New Roman" w:cs="Times New Roman"/>
          <w:color w:val="auto"/>
          <w:sz w:val="28"/>
          <w:szCs w:val="28"/>
          <w:lang w:val="en-US"/>
        </w:rPr>
        <w:t xml:space="preserve"> </w:t>
      </w:r>
      <w:r w:rsidRPr="003307F1">
        <w:rPr>
          <w:rStyle w:val="A10"/>
          <w:rFonts w:ascii="Times New Roman" w:hAnsi="Times New Roman" w:cs="Times New Roman"/>
          <w:color w:val="auto"/>
          <w:sz w:val="28"/>
          <w:szCs w:val="28"/>
          <w:lang w:val="en-US"/>
        </w:rPr>
        <w:t xml:space="preserve">and long-term results of pancreaticojejunostomy for chronic pancreatitis: a retrospective Japanese single-center study / T. Sudo, Y. Muracami, Y. Uemura [ et al. ] // Hepatobiliary Pancreat. Sci. </w:t>
      </w:r>
      <w:r>
        <w:rPr>
          <w:rFonts w:ascii="Times New Roman" w:hAnsi="Times New Roman"/>
          <w:sz w:val="28"/>
          <w:szCs w:val="28"/>
          <w:lang w:val="en-US"/>
        </w:rPr>
        <w:t>– 2014. – № 21. – P. 426</w:t>
      </w:r>
      <w:r>
        <w:rPr>
          <w:rFonts w:ascii="Times New Roman" w:hAnsi="Times New Roman"/>
          <w:sz w:val="28"/>
          <w:szCs w:val="28"/>
        </w:rPr>
        <w:t>-</w:t>
      </w:r>
      <w:r w:rsidRPr="003307F1">
        <w:rPr>
          <w:rFonts w:ascii="Times New Roman" w:hAnsi="Times New Roman"/>
          <w:sz w:val="28"/>
          <w:szCs w:val="28"/>
          <w:lang w:val="en-US"/>
        </w:rPr>
        <w:t>432.</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Silveira H.J.V. Trauma do pancreas: fatores preditivos de morbidade e mortalidade relacionados a indices de trauma / H. J. V. Silveira, </w:t>
      </w:r>
      <w:r w:rsidRPr="003307F1">
        <w:rPr>
          <w:rFonts w:ascii="Times New Roman" w:hAnsi="Times New Roman"/>
          <w:sz w:val="28"/>
          <w:szCs w:val="28"/>
        </w:rPr>
        <w:t>М</w:t>
      </w:r>
      <w:r w:rsidRPr="003307F1">
        <w:rPr>
          <w:rFonts w:ascii="Times New Roman" w:hAnsi="Times New Roman"/>
          <w:sz w:val="28"/>
          <w:szCs w:val="28"/>
          <w:lang w:val="en-US"/>
        </w:rPr>
        <w:t xml:space="preserve">. Mantovani, </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G. P. Fraga // Arq. Gastroenterol. – 2009. – Vol. 46, № 4. – </w:t>
      </w:r>
      <w:r w:rsidRPr="003307F1">
        <w:rPr>
          <w:rFonts w:ascii="Times New Roman" w:hAnsi="Times New Roman"/>
          <w:sz w:val="28"/>
          <w:szCs w:val="28"/>
        </w:rPr>
        <w:t>Р</w:t>
      </w:r>
      <w:r>
        <w:rPr>
          <w:rFonts w:ascii="Times New Roman" w:hAnsi="Times New Roman"/>
          <w:sz w:val="28"/>
          <w:szCs w:val="28"/>
          <w:lang w:val="en-US"/>
        </w:rPr>
        <w:t>. 270</w:t>
      </w:r>
      <w:r>
        <w:rPr>
          <w:rFonts w:ascii="Times New Roman" w:hAnsi="Times New Roman"/>
          <w:sz w:val="28"/>
          <w:szCs w:val="28"/>
        </w:rPr>
        <w:t>-</w:t>
      </w:r>
      <w:r w:rsidRPr="003307F1">
        <w:rPr>
          <w:rFonts w:ascii="Times New Roman" w:hAnsi="Times New Roman"/>
          <w:sz w:val="28"/>
          <w:szCs w:val="28"/>
          <w:lang w:val="en-US"/>
        </w:rPr>
        <w:t xml:space="preserve">278. </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Soper N. J. Mastery of endoscopic and laparoscopic surgery / N. J. Soper, </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L. L. Swanstrom, W. S. Eubanks. – </w:t>
      </w:r>
      <w:smartTag w:uri="urn:schemas-microsoft-com:office:smarttags" w:element="place">
        <w:smartTag w:uri="urn:schemas-microsoft-com:office:smarttags" w:element="City">
          <w:r w:rsidRPr="003307F1">
            <w:rPr>
              <w:rFonts w:ascii="Times New Roman" w:hAnsi="Times New Roman"/>
              <w:sz w:val="28"/>
              <w:szCs w:val="28"/>
              <w:lang w:val="en-US"/>
            </w:rPr>
            <w:t>Philadelphia</w:t>
          </w:r>
        </w:smartTag>
      </w:smartTag>
      <w:r w:rsidRPr="003307F1">
        <w:rPr>
          <w:rFonts w:ascii="Times New Roman" w:hAnsi="Times New Roman"/>
          <w:sz w:val="28"/>
          <w:szCs w:val="28"/>
          <w:lang w:val="en-US"/>
        </w:rPr>
        <w:t>: Lippincott</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Williams &amp; Wilkins, 2009. – 639 p.</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Surgical versus nonsurgical management of pancreatic pseudocysts / </w:t>
      </w:r>
      <w:r w:rsidRPr="00C62D22">
        <w:rPr>
          <w:rFonts w:ascii="Times New Roman" w:hAnsi="Times New Roman"/>
          <w:sz w:val="28"/>
          <w:szCs w:val="28"/>
          <w:lang w:val="en-US"/>
        </w:rPr>
        <w:t xml:space="preserve">                       </w:t>
      </w:r>
      <w:r w:rsidRPr="003307F1">
        <w:rPr>
          <w:rFonts w:ascii="Times New Roman" w:hAnsi="Times New Roman"/>
          <w:sz w:val="28"/>
          <w:szCs w:val="28"/>
          <w:lang w:val="en-US"/>
        </w:rPr>
        <w:t>M. D. Johnson, R. M Walsh, J. M Henderson [ et al. ] //J. Clin. Gastroeneterol. – 2</w:t>
      </w:r>
      <w:r>
        <w:rPr>
          <w:rFonts w:ascii="Times New Roman" w:hAnsi="Times New Roman"/>
          <w:sz w:val="28"/>
          <w:szCs w:val="28"/>
          <w:lang w:val="en-US"/>
        </w:rPr>
        <w:t>009. – Vol. 43, № 6. – P. 586</w:t>
      </w:r>
      <w:r>
        <w:rPr>
          <w:rFonts w:ascii="Times New Roman" w:hAnsi="Times New Roman"/>
          <w:sz w:val="28"/>
          <w:szCs w:val="28"/>
        </w:rPr>
        <w:t>-</w:t>
      </w:r>
      <w:r w:rsidRPr="003307F1">
        <w:rPr>
          <w:rFonts w:ascii="Times New Roman" w:hAnsi="Times New Roman"/>
          <w:sz w:val="28"/>
          <w:szCs w:val="28"/>
          <w:lang w:val="en-US"/>
        </w:rPr>
        <w:t>590.</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Stapler vs suture of pancreatic remnant after distal pancreatectomy: a meta-analysis / </w:t>
      </w:r>
      <w:r w:rsidRPr="003307F1">
        <w:rPr>
          <w:rFonts w:ascii="Times New Roman" w:hAnsi="Times New Roman"/>
          <w:sz w:val="28"/>
          <w:szCs w:val="28"/>
          <w:lang w:val="fr-FR"/>
        </w:rPr>
        <w:t>W</w:t>
      </w:r>
      <w:r w:rsidRPr="003307F1">
        <w:rPr>
          <w:rFonts w:ascii="Times New Roman" w:hAnsi="Times New Roman"/>
          <w:sz w:val="28"/>
          <w:szCs w:val="28"/>
          <w:lang w:val="en-US"/>
        </w:rPr>
        <w:t>.</w:t>
      </w:r>
      <w:r w:rsidRPr="003307F1">
        <w:rPr>
          <w:rFonts w:ascii="Times New Roman" w:hAnsi="Times New Roman"/>
          <w:sz w:val="28"/>
          <w:szCs w:val="28"/>
          <w:lang w:val="fr-FR"/>
        </w:rPr>
        <w:t xml:space="preserve"> Zhou, R</w:t>
      </w:r>
      <w:r w:rsidRPr="003307F1">
        <w:rPr>
          <w:rFonts w:ascii="Times New Roman" w:hAnsi="Times New Roman"/>
          <w:sz w:val="28"/>
          <w:szCs w:val="28"/>
          <w:lang w:val="en-US"/>
        </w:rPr>
        <w:t>.</w:t>
      </w:r>
      <w:r w:rsidRPr="003307F1">
        <w:rPr>
          <w:rFonts w:ascii="Times New Roman" w:hAnsi="Times New Roman"/>
          <w:sz w:val="28"/>
          <w:szCs w:val="28"/>
          <w:lang w:val="fr-FR"/>
        </w:rPr>
        <w:t xml:space="preserve"> Lv, </w:t>
      </w:r>
      <w:r w:rsidRPr="003307F1">
        <w:rPr>
          <w:rFonts w:ascii="Times New Roman" w:hAnsi="Times New Roman"/>
          <w:sz w:val="28"/>
          <w:szCs w:val="28"/>
        </w:rPr>
        <w:t>Х</w:t>
      </w:r>
      <w:r w:rsidRPr="003307F1">
        <w:rPr>
          <w:rFonts w:ascii="Times New Roman" w:hAnsi="Times New Roman"/>
          <w:sz w:val="28"/>
          <w:szCs w:val="28"/>
          <w:lang w:val="en-US"/>
        </w:rPr>
        <w:t xml:space="preserve">. </w:t>
      </w:r>
      <w:r w:rsidRPr="003307F1">
        <w:rPr>
          <w:rFonts w:ascii="Times New Roman" w:hAnsi="Times New Roman"/>
          <w:sz w:val="28"/>
          <w:szCs w:val="28"/>
          <w:lang w:val="fr-FR"/>
        </w:rPr>
        <w:t>Wang</w:t>
      </w:r>
      <w:r w:rsidRPr="003307F1">
        <w:rPr>
          <w:rFonts w:ascii="Times New Roman" w:hAnsi="Times New Roman"/>
          <w:sz w:val="28"/>
          <w:szCs w:val="28"/>
          <w:lang w:val="en-US"/>
        </w:rPr>
        <w:t xml:space="preserve"> [ </w:t>
      </w:r>
      <w:r w:rsidRPr="003307F1">
        <w:rPr>
          <w:rFonts w:ascii="Times New Roman" w:hAnsi="Times New Roman"/>
          <w:sz w:val="28"/>
          <w:szCs w:val="28"/>
          <w:lang w:val="fr-FR"/>
        </w:rPr>
        <w:t>et al.</w:t>
      </w:r>
      <w:r w:rsidRPr="003307F1">
        <w:rPr>
          <w:rFonts w:ascii="Times New Roman" w:hAnsi="Times New Roman"/>
          <w:sz w:val="28"/>
          <w:szCs w:val="28"/>
          <w:lang w:val="en-US"/>
        </w:rPr>
        <w:t xml:space="preserve"> ]</w:t>
      </w:r>
      <w:r w:rsidRPr="003307F1">
        <w:rPr>
          <w:rFonts w:ascii="Times New Roman" w:hAnsi="Times New Roman"/>
          <w:sz w:val="28"/>
          <w:szCs w:val="28"/>
          <w:lang w:val="fr-FR"/>
        </w:rPr>
        <w:t xml:space="preserve"> </w:t>
      </w:r>
      <w:r w:rsidRPr="003307F1">
        <w:rPr>
          <w:rFonts w:ascii="Times New Roman" w:hAnsi="Times New Roman"/>
          <w:sz w:val="28"/>
          <w:szCs w:val="28"/>
          <w:lang w:val="en-US"/>
        </w:rPr>
        <w:t>// Am. J. Surg. – 20</w:t>
      </w:r>
      <w:r>
        <w:rPr>
          <w:rFonts w:ascii="Times New Roman" w:hAnsi="Times New Roman"/>
          <w:sz w:val="28"/>
          <w:szCs w:val="28"/>
          <w:lang w:val="en-US"/>
        </w:rPr>
        <w:t>10. – Vol. 200, № 4. – P. 529</w:t>
      </w:r>
      <w:r w:rsidRPr="00C62D22">
        <w:rPr>
          <w:rFonts w:ascii="Times New Roman" w:hAnsi="Times New Roman"/>
          <w:sz w:val="28"/>
          <w:szCs w:val="28"/>
          <w:lang w:val="en-US"/>
        </w:rPr>
        <w:t>-</w:t>
      </w:r>
      <w:r w:rsidRPr="003307F1">
        <w:rPr>
          <w:rFonts w:ascii="Times New Roman" w:hAnsi="Times New Roman"/>
          <w:sz w:val="28"/>
          <w:szCs w:val="28"/>
          <w:lang w:val="en-US"/>
        </w:rPr>
        <w:t>536.</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Stauffer J. A. Comparison of open with laparoscopic distal pancreatectomy: a single ins</w:t>
      </w:r>
      <w:r>
        <w:rPr>
          <w:rFonts w:ascii="Times New Roman" w:hAnsi="Times New Roman"/>
          <w:sz w:val="28"/>
          <w:szCs w:val="28"/>
          <w:lang w:val="en-US"/>
        </w:rPr>
        <w:t>titution's transition over a 7</w:t>
      </w:r>
      <w:r w:rsidRPr="00C62D22">
        <w:rPr>
          <w:rFonts w:ascii="Times New Roman" w:hAnsi="Times New Roman"/>
          <w:sz w:val="28"/>
          <w:szCs w:val="28"/>
          <w:lang w:val="en-US"/>
        </w:rPr>
        <w:t>-</w:t>
      </w:r>
      <w:r w:rsidRPr="003307F1">
        <w:rPr>
          <w:rFonts w:ascii="Times New Roman" w:hAnsi="Times New Roman"/>
          <w:sz w:val="28"/>
          <w:szCs w:val="28"/>
          <w:lang w:val="en-US"/>
        </w:rPr>
        <w:t>year period /</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J. A. Stauffer, A. Rosales</w:t>
      </w:r>
      <w:r w:rsidRPr="00C62D22">
        <w:rPr>
          <w:rFonts w:ascii="Times New Roman" w:hAnsi="Times New Roman"/>
          <w:sz w:val="28"/>
          <w:szCs w:val="28"/>
          <w:lang w:val="en-US"/>
        </w:rPr>
        <w:t>-</w:t>
      </w:r>
      <w:r w:rsidRPr="003307F1">
        <w:rPr>
          <w:rFonts w:ascii="Times New Roman" w:hAnsi="Times New Roman"/>
          <w:sz w:val="28"/>
          <w:szCs w:val="28"/>
          <w:lang w:val="en-US"/>
        </w:rPr>
        <w:t>Velderrain, R. F. Goldberg // HPB</w:t>
      </w:r>
      <w:r>
        <w:rPr>
          <w:rFonts w:ascii="Times New Roman" w:hAnsi="Times New Roman"/>
          <w:sz w:val="28"/>
          <w:szCs w:val="28"/>
          <w:lang w:val="en-US"/>
        </w:rPr>
        <w:t>. – 2013. – Vol. 15. – P. 149</w:t>
      </w:r>
      <w:r w:rsidRPr="00C62D22">
        <w:rPr>
          <w:rFonts w:ascii="Times New Roman" w:hAnsi="Times New Roman"/>
          <w:sz w:val="28"/>
          <w:szCs w:val="28"/>
          <w:lang w:val="en-US"/>
        </w:rPr>
        <w:t>-</w:t>
      </w:r>
      <w:r w:rsidRPr="003307F1">
        <w:rPr>
          <w:rFonts w:ascii="Times New Roman" w:hAnsi="Times New Roman"/>
          <w:sz w:val="28"/>
          <w:szCs w:val="28"/>
          <w:lang w:val="en-US"/>
        </w:rPr>
        <w:t>155.</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Stetter</w:t>
      </w:r>
      <w:r w:rsidRPr="00C62D22">
        <w:rPr>
          <w:rFonts w:ascii="Times New Roman" w:hAnsi="Times New Roman"/>
          <w:sz w:val="28"/>
          <w:szCs w:val="28"/>
          <w:lang w:val="en-US"/>
        </w:rPr>
        <w:t>-</w:t>
      </w:r>
      <w:r w:rsidRPr="003307F1">
        <w:rPr>
          <w:rFonts w:ascii="Times New Roman" w:hAnsi="Times New Roman"/>
          <w:sz w:val="28"/>
          <w:szCs w:val="28"/>
          <w:lang w:val="en-US"/>
        </w:rPr>
        <w:t>Stevenson</w:t>
      </w:r>
      <w:r w:rsidRPr="00C62D22">
        <w:rPr>
          <w:rFonts w:ascii="Times New Roman" w:hAnsi="Times New Roman"/>
          <w:sz w:val="28"/>
          <w:szCs w:val="28"/>
          <w:lang w:val="en-US"/>
        </w:rPr>
        <w:t xml:space="preserve"> </w:t>
      </w:r>
      <w:r w:rsidRPr="003307F1">
        <w:rPr>
          <w:rFonts w:ascii="Times New Roman" w:hAnsi="Times New Roman"/>
          <w:sz w:val="28"/>
          <w:szCs w:val="28"/>
          <w:lang w:val="en-US"/>
        </w:rPr>
        <w:t>W</w:t>
      </w:r>
      <w:r w:rsidRPr="00C62D22">
        <w:rPr>
          <w:rFonts w:ascii="Times New Roman" w:hAnsi="Times New Roman"/>
          <w:sz w:val="28"/>
          <w:szCs w:val="28"/>
          <w:lang w:val="en-US"/>
        </w:rPr>
        <w:t xml:space="preserve">. </w:t>
      </w:r>
      <w:r w:rsidRPr="003307F1">
        <w:rPr>
          <w:rFonts w:ascii="Times New Roman" w:hAnsi="Times New Roman"/>
          <w:sz w:val="28"/>
          <w:szCs w:val="28"/>
          <w:lang w:val="en-US"/>
        </w:rPr>
        <w:t>G</w:t>
      </w:r>
      <w:r w:rsidRPr="00C62D22">
        <w:rPr>
          <w:rFonts w:ascii="Times New Roman" w:hAnsi="Times New Roman"/>
          <w:sz w:val="28"/>
          <w:szCs w:val="28"/>
          <w:lang w:val="en-US"/>
        </w:rPr>
        <w:t xml:space="preserve">. </w:t>
      </w:r>
      <w:r w:rsidRPr="003307F1">
        <w:rPr>
          <w:rFonts w:ascii="Times New Roman" w:hAnsi="Times New Roman"/>
          <w:sz w:val="28"/>
          <w:szCs w:val="28"/>
          <w:lang w:val="en-US"/>
        </w:rPr>
        <w:t>Matrix</w:t>
      </w:r>
      <w:r w:rsidRPr="00C62D22">
        <w:rPr>
          <w:rFonts w:ascii="Times New Roman" w:hAnsi="Times New Roman"/>
          <w:sz w:val="28"/>
          <w:szCs w:val="28"/>
          <w:lang w:val="en-US"/>
        </w:rPr>
        <w:t xml:space="preserve"> </w:t>
      </w:r>
      <w:r w:rsidRPr="003307F1">
        <w:rPr>
          <w:rFonts w:ascii="Times New Roman" w:hAnsi="Times New Roman"/>
          <w:sz w:val="28"/>
          <w:szCs w:val="28"/>
          <w:lang w:val="en-US"/>
        </w:rPr>
        <w:t>melalloproteinases</w:t>
      </w:r>
      <w:r w:rsidRPr="00C62D22">
        <w:rPr>
          <w:rFonts w:ascii="Times New Roman" w:hAnsi="Times New Roman"/>
          <w:sz w:val="28"/>
          <w:szCs w:val="28"/>
          <w:lang w:val="en-US"/>
        </w:rPr>
        <w:t xml:space="preserve"> </w:t>
      </w:r>
      <w:r w:rsidRPr="003307F1">
        <w:rPr>
          <w:rFonts w:ascii="Times New Roman" w:hAnsi="Times New Roman"/>
          <w:sz w:val="28"/>
          <w:szCs w:val="28"/>
          <w:lang w:val="en-US"/>
        </w:rPr>
        <w:t>in</w:t>
      </w:r>
      <w:r w:rsidRPr="00C62D22">
        <w:rPr>
          <w:rFonts w:ascii="Times New Roman" w:hAnsi="Times New Roman"/>
          <w:sz w:val="28"/>
          <w:szCs w:val="28"/>
          <w:lang w:val="en-US"/>
        </w:rPr>
        <w:t xml:space="preserve"> </w:t>
      </w:r>
      <w:r w:rsidRPr="003307F1">
        <w:rPr>
          <w:rFonts w:ascii="Times New Roman" w:hAnsi="Times New Roman"/>
          <w:sz w:val="28"/>
          <w:szCs w:val="28"/>
          <w:lang w:val="en-US"/>
        </w:rPr>
        <w:t>angiogenesis</w:t>
      </w:r>
      <w:r w:rsidRPr="00C62D22">
        <w:rPr>
          <w:rFonts w:ascii="Times New Roman" w:hAnsi="Times New Roman"/>
          <w:sz w:val="28"/>
          <w:szCs w:val="28"/>
          <w:lang w:val="en-US"/>
        </w:rPr>
        <w:t xml:space="preserve">: </w:t>
      </w:r>
      <w:r w:rsidRPr="003307F1">
        <w:rPr>
          <w:rFonts w:ascii="Times New Roman" w:hAnsi="Times New Roman"/>
          <w:sz w:val="28"/>
          <w:szCs w:val="28"/>
          <w:lang w:val="en-US"/>
        </w:rPr>
        <w:t>a</w:t>
      </w:r>
      <w:r w:rsidRPr="00C62D22">
        <w:rPr>
          <w:rFonts w:ascii="Times New Roman" w:hAnsi="Times New Roman"/>
          <w:sz w:val="28"/>
          <w:szCs w:val="28"/>
          <w:lang w:val="en-US"/>
        </w:rPr>
        <w:t xml:space="preserve"> </w:t>
      </w:r>
      <w:r w:rsidRPr="003307F1">
        <w:rPr>
          <w:rFonts w:ascii="Times New Roman" w:hAnsi="Times New Roman"/>
          <w:sz w:val="28"/>
          <w:szCs w:val="28"/>
          <w:lang w:val="en-US"/>
        </w:rPr>
        <w:t>moving</w:t>
      </w:r>
      <w:r w:rsidRPr="00C62D22">
        <w:rPr>
          <w:rFonts w:ascii="Times New Roman" w:hAnsi="Times New Roman"/>
          <w:sz w:val="28"/>
          <w:szCs w:val="28"/>
          <w:lang w:val="en-US"/>
        </w:rPr>
        <w:t xml:space="preserve"> </w:t>
      </w:r>
      <w:r w:rsidRPr="003307F1">
        <w:rPr>
          <w:rFonts w:ascii="Times New Roman" w:hAnsi="Times New Roman"/>
          <w:sz w:val="28"/>
          <w:szCs w:val="28"/>
          <w:lang w:val="en-US"/>
        </w:rPr>
        <w:t>terget</w:t>
      </w:r>
      <w:r w:rsidRPr="00C62D22">
        <w:rPr>
          <w:rFonts w:ascii="Times New Roman" w:hAnsi="Times New Roman"/>
          <w:sz w:val="28"/>
          <w:szCs w:val="28"/>
          <w:lang w:val="en-US"/>
        </w:rPr>
        <w:t xml:space="preserve"> </w:t>
      </w:r>
      <w:r w:rsidRPr="003307F1">
        <w:rPr>
          <w:rFonts w:ascii="Times New Roman" w:hAnsi="Times New Roman"/>
          <w:sz w:val="28"/>
          <w:szCs w:val="28"/>
          <w:lang w:val="en-US"/>
        </w:rPr>
        <w:t>for</w:t>
      </w:r>
      <w:r w:rsidRPr="00C62D22">
        <w:rPr>
          <w:rFonts w:ascii="Times New Roman" w:hAnsi="Times New Roman"/>
          <w:sz w:val="28"/>
          <w:szCs w:val="28"/>
          <w:lang w:val="en-US"/>
        </w:rPr>
        <w:t xml:space="preserve"> </w:t>
      </w:r>
      <w:r w:rsidRPr="003307F1">
        <w:rPr>
          <w:rFonts w:ascii="Times New Roman" w:hAnsi="Times New Roman"/>
          <w:sz w:val="28"/>
          <w:szCs w:val="28"/>
          <w:lang w:val="en-US"/>
        </w:rPr>
        <w:t>therapeutic</w:t>
      </w:r>
      <w:r w:rsidRPr="00C62D22">
        <w:rPr>
          <w:rFonts w:ascii="Times New Roman" w:hAnsi="Times New Roman"/>
          <w:sz w:val="28"/>
          <w:szCs w:val="28"/>
          <w:lang w:val="en-US"/>
        </w:rPr>
        <w:t xml:space="preserve"> </w:t>
      </w:r>
      <w:r w:rsidRPr="003307F1">
        <w:rPr>
          <w:rFonts w:ascii="Times New Roman" w:hAnsi="Times New Roman"/>
          <w:sz w:val="28"/>
          <w:szCs w:val="28"/>
          <w:lang w:val="en-US"/>
        </w:rPr>
        <w:t>intervention</w:t>
      </w:r>
      <w:r w:rsidRPr="00C62D22">
        <w:rPr>
          <w:rFonts w:ascii="Times New Roman" w:hAnsi="Times New Roman"/>
          <w:sz w:val="28"/>
          <w:szCs w:val="28"/>
          <w:lang w:val="en-US"/>
        </w:rPr>
        <w:t xml:space="preserve"> / </w:t>
      </w:r>
      <w:r w:rsidRPr="003307F1">
        <w:rPr>
          <w:rFonts w:ascii="Times New Roman" w:hAnsi="Times New Roman"/>
          <w:sz w:val="28"/>
          <w:szCs w:val="28"/>
          <w:lang w:val="en-US"/>
        </w:rPr>
        <w:t>W</w:t>
      </w:r>
      <w:r w:rsidRPr="00C62D22">
        <w:rPr>
          <w:rFonts w:ascii="Times New Roman" w:hAnsi="Times New Roman"/>
          <w:sz w:val="28"/>
          <w:szCs w:val="28"/>
          <w:lang w:val="en-US"/>
        </w:rPr>
        <w:t xml:space="preserve">. </w:t>
      </w:r>
      <w:r w:rsidRPr="003307F1">
        <w:rPr>
          <w:rFonts w:ascii="Times New Roman" w:hAnsi="Times New Roman"/>
          <w:sz w:val="28"/>
          <w:szCs w:val="28"/>
          <w:lang w:val="en-US"/>
        </w:rPr>
        <w:t>G</w:t>
      </w:r>
      <w:r w:rsidRPr="00C62D22">
        <w:rPr>
          <w:rFonts w:ascii="Times New Roman" w:hAnsi="Times New Roman"/>
          <w:sz w:val="28"/>
          <w:szCs w:val="28"/>
          <w:lang w:val="en-US"/>
        </w:rPr>
        <w:t xml:space="preserve">. </w:t>
      </w:r>
      <w:r w:rsidRPr="003307F1">
        <w:rPr>
          <w:rFonts w:ascii="Times New Roman" w:hAnsi="Times New Roman"/>
          <w:sz w:val="28"/>
          <w:szCs w:val="28"/>
          <w:lang w:val="en-US"/>
        </w:rPr>
        <w:t>Stetter</w:t>
      </w:r>
      <w:r w:rsidRPr="00C62D22">
        <w:rPr>
          <w:rFonts w:ascii="Times New Roman" w:hAnsi="Times New Roman"/>
          <w:sz w:val="28"/>
          <w:szCs w:val="28"/>
          <w:lang w:val="en-US"/>
        </w:rPr>
        <w:t>-</w:t>
      </w:r>
      <w:r w:rsidRPr="003307F1">
        <w:rPr>
          <w:rFonts w:ascii="Times New Roman" w:hAnsi="Times New Roman"/>
          <w:sz w:val="28"/>
          <w:szCs w:val="28"/>
          <w:lang w:val="en-US"/>
        </w:rPr>
        <w:t>Stevenson</w:t>
      </w:r>
      <w:r w:rsidRPr="00C62D22">
        <w:rPr>
          <w:rFonts w:ascii="Times New Roman" w:hAnsi="Times New Roman"/>
          <w:sz w:val="28"/>
          <w:szCs w:val="28"/>
          <w:lang w:val="en-US"/>
        </w:rPr>
        <w:t xml:space="preserve"> // </w:t>
      </w:r>
      <w:r w:rsidRPr="003307F1">
        <w:rPr>
          <w:rFonts w:ascii="Times New Roman" w:hAnsi="Times New Roman"/>
          <w:sz w:val="28"/>
          <w:szCs w:val="28"/>
          <w:lang w:val="en-US"/>
        </w:rPr>
        <w:t>J</w:t>
      </w:r>
      <w:r w:rsidRPr="00C62D22">
        <w:rPr>
          <w:rFonts w:ascii="Times New Roman" w:hAnsi="Times New Roman"/>
          <w:sz w:val="28"/>
          <w:szCs w:val="28"/>
          <w:lang w:val="en-US"/>
        </w:rPr>
        <w:t xml:space="preserve">. </w:t>
      </w:r>
      <w:r w:rsidRPr="003307F1">
        <w:rPr>
          <w:rFonts w:ascii="Times New Roman" w:hAnsi="Times New Roman"/>
          <w:sz w:val="28"/>
          <w:szCs w:val="28"/>
          <w:lang w:val="en-US"/>
        </w:rPr>
        <w:t>Clin</w:t>
      </w:r>
      <w:r w:rsidRPr="00C62D22">
        <w:rPr>
          <w:rFonts w:ascii="Times New Roman" w:hAnsi="Times New Roman"/>
          <w:sz w:val="28"/>
          <w:szCs w:val="28"/>
          <w:lang w:val="en-US"/>
        </w:rPr>
        <w:t xml:space="preserve">. </w:t>
      </w:r>
      <w:r w:rsidRPr="003307F1">
        <w:rPr>
          <w:rFonts w:ascii="Times New Roman" w:hAnsi="Times New Roman"/>
          <w:sz w:val="28"/>
          <w:szCs w:val="28"/>
          <w:lang w:val="en-US"/>
        </w:rPr>
        <w:t>Invest</w:t>
      </w:r>
      <w:r w:rsidRPr="003307F1">
        <w:rPr>
          <w:rFonts w:ascii="Times New Roman" w:hAnsi="Times New Roman"/>
          <w:sz w:val="28"/>
          <w:szCs w:val="28"/>
        </w:rPr>
        <w:t>. – 1999.</w:t>
      </w:r>
      <w:r w:rsidRPr="00641D9E">
        <w:rPr>
          <w:rFonts w:ascii="Times New Roman" w:hAnsi="Times New Roman"/>
          <w:sz w:val="28"/>
          <w:szCs w:val="28"/>
          <w:lang w:val="en-US"/>
        </w:rPr>
        <w:t xml:space="preserve"> –</w:t>
      </w:r>
      <w:r w:rsidRPr="003307F1">
        <w:rPr>
          <w:rFonts w:ascii="Times New Roman" w:hAnsi="Times New Roman"/>
          <w:sz w:val="28"/>
          <w:szCs w:val="28"/>
        </w:rPr>
        <w:t xml:space="preserve"> </w:t>
      </w:r>
      <w:r w:rsidRPr="003307F1">
        <w:rPr>
          <w:rFonts w:ascii="Times New Roman" w:hAnsi="Times New Roman"/>
          <w:sz w:val="28"/>
          <w:szCs w:val="28"/>
          <w:lang w:val="en-US"/>
        </w:rPr>
        <w:t>Vol</w:t>
      </w:r>
      <w:r w:rsidRPr="003307F1">
        <w:rPr>
          <w:rFonts w:ascii="Times New Roman" w:hAnsi="Times New Roman"/>
          <w:sz w:val="28"/>
          <w:szCs w:val="28"/>
        </w:rPr>
        <w:t>. 103</w:t>
      </w:r>
      <w:r w:rsidRPr="00641D9E">
        <w:rPr>
          <w:rFonts w:ascii="Times New Roman" w:hAnsi="Times New Roman"/>
          <w:sz w:val="28"/>
          <w:szCs w:val="28"/>
          <w:lang w:val="en-US"/>
        </w:rPr>
        <w:t>, №</w:t>
      </w:r>
      <w:r w:rsidRPr="003307F1">
        <w:rPr>
          <w:rFonts w:ascii="Times New Roman" w:hAnsi="Times New Roman"/>
          <w:sz w:val="28"/>
          <w:szCs w:val="28"/>
        </w:rPr>
        <w:t xml:space="preserve">9. – </w:t>
      </w:r>
      <w:r w:rsidRPr="003307F1">
        <w:rPr>
          <w:rFonts w:ascii="Times New Roman" w:hAnsi="Times New Roman"/>
          <w:sz w:val="28"/>
          <w:szCs w:val="28"/>
          <w:lang w:val="en-US"/>
        </w:rPr>
        <w:t>P</w:t>
      </w:r>
      <w:r w:rsidRPr="003307F1">
        <w:rPr>
          <w:rFonts w:ascii="Times New Roman" w:hAnsi="Times New Roman"/>
          <w:sz w:val="28"/>
          <w:szCs w:val="28"/>
        </w:rPr>
        <w:t>. 1237</w:t>
      </w:r>
      <w:r>
        <w:rPr>
          <w:rFonts w:ascii="Times New Roman" w:hAnsi="Times New Roman"/>
          <w:sz w:val="28"/>
          <w:szCs w:val="28"/>
        </w:rPr>
        <w:t>-</w:t>
      </w:r>
      <w:r w:rsidRPr="003307F1">
        <w:rPr>
          <w:rFonts w:ascii="Times New Roman" w:hAnsi="Times New Roman"/>
          <w:sz w:val="28"/>
          <w:szCs w:val="28"/>
        </w:rPr>
        <w:t>1241.</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iCs/>
          <w:sz w:val="28"/>
          <w:szCs w:val="28"/>
          <w:lang w:val="en-US"/>
        </w:rPr>
        <w:lastRenderedPageBreak/>
        <w:t xml:space="preserve">Strobel O. </w:t>
      </w:r>
      <w:r w:rsidRPr="003307F1">
        <w:rPr>
          <w:rFonts w:ascii="Times New Roman" w:hAnsi="Times New Roman"/>
          <w:sz w:val="28"/>
          <w:szCs w:val="28"/>
          <w:lang w:val="en-US"/>
        </w:rPr>
        <w:t xml:space="preserve">Duodenum-preserving pancreatic head resection: technique according to Beger, technique according to Frey and </w:t>
      </w:r>
      <w:smartTag w:uri="urn:schemas-microsoft-com:office:smarttags" w:element="place">
        <w:r w:rsidRPr="003307F1">
          <w:rPr>
            <w:rFonts w:ascii="Times New Roman" w:hAnsi="Times New Roman"/>
            <w:sz w:val="28"/>
            <w:szCs w:val="28"/>
            <w:lang w:val="en-US"/>
          </w:rPr>
          <w:t>Berne</w:t>
        </w:r>
      </w:smartTag>
      <w:r w:rsidRPr="003307F1">
        <w:rPr>
          <w:rFonts w:ascii="Times New Roman" w:hAnsi="Times New Roman"/>
          <w:sz w:val="28"/>
          <w:szCs w:val="28"/>
          <w:lang w:val="en-US"/>
        </w:rPr>
        <w:t xml:space="preserve"> modifications / </w:t>
      </w:r>
      <w:r w:rsidRPr="003307F1">
        <w:rPr>
          <w:rFonts w:ascii="Times New Roman" w:hAnsi="Times New Roman"/>
          <w:sz w:val="28"/>
          <w:szCs w:val="28"/>
        </w:rPr>
        <w:t>О</w:t>
      </w:r>
      <w:r w:rsidRPr="003307F1">
        <w:rPr>
          <w:rFonts w:ascii="Times New Roman" w:hAnsi="Times New Roman"/>
          <w:sz w:val="28"/>
          <w:szCs w:val="28"/>
          <w:lang w:val="en-US"/>
        </w:rPr>
        <w:t xml:space="preserve">. </w:t>
      </w:r>
      <w:r w:rsidRPr="003307F1">
        <w:rPr>
          <w:rFonts w:ascii="Times New Roman" w:hAnsi="Times New Roman"/>
          <w:iCs/>
          <w:sz w:val="28"/>
          <w:szCs w:val="28"/>
          <w:lang w:val="en-US"/>
        </w:rPr>
        <w:t xml:space="preserve">Strobel, </w:t>
      </w:r>
      <w:r w:rsidRPr="00C62D22">
        <w:rPr>
          <w:rFonts w:ascii="Times New Roman" w:hAnsi="Times New Roman"/>
          <w:iCs/>
          <w:sz w:val="28"/>
          <w:szCs w:val="28"/>
          <w:lang w:val="en-US"/>
        </w:rPr>
        <w:t xml:space="preserve">                             </w:t>
      </w:r>
      <w:r w:rsidRPr="003307F1">
        <w:rPr>
          <w:rFonts w:ascii="Times New Roman" w:hAnsi="Times New Roman"/>
          <w:iCs/>
          <w:sz w:val="28"/>
          <w:szCs w:val="28"/>
          <w:lang w:val="en-US"/>
        </w:rPr>
        <w:t xml:space="preserve">M. W. Buchler., J. Werner </w:t>
      </w:r>
      <w:r w:rsidRPr="003307F1">
        <w:rPr>
          <w:rFonts w:ascii="Times New Roman" w:hAnsi="Times New Roman"/>
          <w:sz w:val="28"/>
          <w:szCs w:val="28"/>
          <w:lang w:val="en-US"/>
        </w:rPr>
        <w:t>// Chirurg. – 2009. – Vol. 80, № 1. – P. 2</w:t>
      </w:r>
      <w:r>
        <w:rPr>
          <w:rFonts w:ascii="Times New Roman" w:hAnsi="Times New Roman"/>
          <w:sz w:val="28"/>
          <w:szCs w:val="28"/>
          <w:lang w:val="en-US"/>
        </w:rPr>
        <w:t>2</w:t>
      </w:r>
      <w:r w:rsidRPr="00C62D22">
        <w:rPr>
          <w:rFonts w:ascii="Times New Roman" w:hAnsi="Times New Roman"/>
          <w:sz w:val="28"/>
          <w:szCs w:val="28"/>
          <w:lang w:val="en-US"/>
        </w:rPr>
        <w:t>-</w:t>
      </w:r>
      <w:r w:rsidRPr="003307F1">
        <w:rPr>
          <w:rFonts w:ascii="Times New Roman" w:hAnsi="Times New Roman"/>
          <w:sz w:val="28"/>
          <w:szCs w:val="28"/>
          <w:lang w:val="en-US"/>
        </w:rPr>
        <w:t>27.</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Study of cytomorphology of solid pseudopapillary tumor of pancreas and its differential diagnosis / </w:t>
      </w:r>
      <w:r w:rsidRPr="003307F1">
        <w:rPr>
          <w:rFonts w:ascii="Times New Roman" w:hAnsi="Times New Roman"/>
          <w:sz w:val="28"/>
          <w:szCs w:val="28"/>
          <w:lang w:val="fr-FR"/>
        </w:rPr>
        <w:t>N</w:t>
      </w:r>
      <w:r w:rsidRPr="003307F1">
        <w:rPr>
          <w:rFonts w:ascii="Times New Roman" w:hAnsi="Times New Roman"/>
          <w:sz w:val="28"/>
          <w:szCs w:val="28"/>
          <w:lang w:val="en-US"/>
        </w:rPr>
        <w:t xml:space="preserve">. </w:t>
      </w:r>
      <w:r w:rsidRPr="003307F1">
        <w:rPr>
          <w:rFonts w:ascii="Times New Roman" w:hAnsi="Times New Roman"/>
          <w:sz w:val="28"/>
          <w:szCs w:val="28"/>
          <w:lang w:val="fr-FR"/>
        </w:rPr>
        <w:t>Mehta, L</w:t>
      </w:r>
      <w:r w:rsidRPr="003307F1">
        <w:rPr>
          <w:rFonts w:ascii="Times New Roman" w:hAnsi="Times New Roman"/>
          <w:sz w:val="28"/>
          <w:szCs w:val="28"/>
          <w:lang w:val="en-US"/>
        </w:rPr>
        <w:t xml:space="preserve">. </w:t>
      </w:r>
      <w:r w:rsidRPr="003307F1">
        <w:rPr>
          <w:rFonts w:ascii="Times New Roman" w:hAnsi="Times New Roman"/>
          <w:sz w:val="28"/>
          <w:szCs w:val="28"/>
          <w:lang w:val="fr-FR"/>
        </w:rPr>
        <w:t>Modi,</w:t>
      </w:r>
      <w:r w:rsidRPr="003307F1">
        <w:rPr>
          <w:rFonts w:ascii="Times New Roman" w:hAnsi="Times New Roman"/>
          <w:sz w:val="28"/>
          <w:szCs w:val="28"/>
          <w:lang w:val="en-US"/>
        </w:rPr>
        <w:t xml:space="preserve"> </w:t>
      </w:r>
      <w:r w:rsidRPr="003307F1">
        <w:rPr>
          <w:rFonts w:ascii="Times New Roman" w:hAnsi="Times New Roman"/>
          <w:sz w:val="28"/>
          <w:szCs w:val="28"/>
        </w:rPr>
        <w:t>Т</w:t>
      </w:r>
      <w:r w:rsidRPr="003307F1">
        <w:rPr>
          <w:rFonts w:ascii="Times New Roman" w:hAnsi="Times New Roman"/>
          <w:sz w:val="28"/>
          <w:szCs w:val="28"/>
          <w:lang w:val="en-US"/>
        </w:rPr>
        <w:t>.</w:t>
      </w:r>
      <w:r w:rsidRPr="003307F1">
        <w:rPr>
          <w:rFonts w:ascii="Times New Roman" w:hAnsi="Times New Roman"/>
          <w:sz w:val="28"/>
          <w:szCs w:val="28"/>
          <w:lang w:val="fr-FR"/>
        </w:rPr>
        <w:t xml:space="preserve"> Patel </w:t>
      </w:r>
      <w:r w:rsidRPr="003307F1">
        <w:rPr>
          <w:rFonts w:ascii="Times New Roman" w:hAnsi="Times New Roman"/>
          <w:sz w:val="28"/>
          <w:szCs w:val="28"/>
          <w:lang w:val="en-US"/>
        </w:rPr>
        <w:t>[</w:t>
      </w:r>
      <w:r w:rsidRPr="003307F1">
        <w:rPr>
          <w:rFonts w:ascii="Times New Roman" w:hAnsi="Times New Roman"/>
          <w:sz w:val="28"/>
          <w:szCs w:val="28"/>
          <w:lang w:val="fr-FR"/>
        </w:rPr>
        <w:t>et al</w:t>
      </w:r>
      <w:r w:rsidRPr="003307F1">
        <w:rPr>
          <w:rFonts w:ascii="Times New Roman" w:hAnsi="Times New Roman"/>
          <w:sz w:val="28"/>
          <w:szCs w:val="28"/>
          <w:lang w:val="en-US"/>
        </w:rPr>
        <w:t>. ] // J. Cytol. – 2</w:t>
      </w:r>
      <w:r>
        <w:rPr>
          <w:rFonts w:ascii="Times New Roman" w:hAnsi="Times New Roman"/>
          <w:sz w:val="28"/>
          <w:szCs w:val="28"/>
          <w:lang w:val="en-US"/>
        </w:rPr>
        <w:t>010. – Vol. 27, № 4. – P. 118</w:t>
      </w:r>
      <w:r w:rsidRPr="00C62D22">
        <w:rPr>
          <w:rFonts w:ascii="Times New Roman" w:hAnsi="Times New Roman"/>
          <w:sz w:val="28"/>
          <w:szCs w:val="28"/>
          <w:lang w:val="en-US"/>
        </w:rPr>
        <w:t>-</w:t>
      </w:r>
      <w:r w:rsidRPr="003307F1">
        <w:rPr>
          <w:rFonts w:ascii="Times New Roman" w:hAnsi="Times New Roman"/>
          <w:sz w:val="28"/>
          <w:szCs w:val="28"/>
          <w:lang w:val="en-US"/>
        </w:rPr>
        <w:t>122.</w:t>
      </w:r>
    </w:p>
    <w:p w:rsidR="00C62D22" w:rsidRPr="00292C4C" w:rsidRDefault="00C62D22" w:rsidP="00C62D22">
      <w:pPr>
        <w:numPr>
          <w:ilvl w:val="0"/>
          <w:numId w:val="34"/>
        </w:numPr>
        <w:shd w:val="clear" w:color="auto" w:fill="FFFFFF"/>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Pr>
          <w:rFonts w:ascii="Times New Roman" w:eastAsia="TimesNewRoman" w:hAnsi="Times New Roman"/>
          <w:sz w:val="28"/>
          <w:szCs w:val="28"/>
          <w:lang w:val="en-US"/>
        </w:rPr>
        <w:t xml:space="preserve">Sun S. Endoscopic ultrasound's vision: Probing our way to NOTES / S. Sun // Endosc. Ultrasound. – 2014. – Vol. 3, </w:t>
      </w:r>
      <w:r w:rsidRPr="00292C4C">
        <w:rPr>
          <w:rFonts w:ascii="Times New Roman" w:eastAsia="TimesNewRoman" w:hAnsi="Times New Roman"/>
          <w:sz w:val="28"/>
          <w:szCs w:val="28"/>
          <w:lang w:val="en-US"/>
        </w:rPr>
        <w:t xml:space="preserve">№ </w:t>
      </w:r>
      <w:r>
        <w:rPr>
          <w:rFonts w:ascii="Times New Roman" w:eastAsia="TimesNewRoman" w:hAnsi="Times New Roman"/>
          <w:sz w:val="28"/>
          <w:szCs w:val="28"/>
          <w:lang w:val="en-US"/>
        </w:rPr>
        <w:t>3.</w:t>
      </w:r>
      <w:r w:rsidRPr="00292C4C">
        <w:rPr>
          <w:rFonts w:ascii="Times New Roman" w:eastAsia="TimesNewRoman" w:hAnsi="Times New Roman"/>
          <w:sz w:val="28"/>
          <w:szCs w:val="28"/>
          <w:lang w:val="en-US"/>
        </w:rPr>
        <w:t xml:space="preserve"> – </w:t>
      </w:r>
      <w:r>
        <w:rPr>
          <w:rFonts w:ascii="Times New Roman" w:eastAsia="TimesNewRoman" w:hAnsi="Times New Roman"/>
          <w:sz w:val="28"/>
          <w:szCs w:val="28"/>
        </w:rPr>
        <w:t>Р</w:t>
      </w:r>
      <w:r>
        <w:rPr>
          <w:rFonts w:ascii="Times New Roman" w:eastAsia="TimesNewRoman" w:hAnsi="Times New Roman"/>
          <w:sz w:val="28"/>
          <w:szCs w:val="28"/>
          <w:lang w:val="en-US"/>
        </w:rPr>
        <w:t>. 141</w:t>
      </w:r>
      <w:r>
        <w:rPr>
          <w:rFonts w:ascii="Times New Roman" w:eastAsia="TimesNewRoman" w:hAnsi="Times New Roman"/>
          <w:sz w:val="28"/>
          <w:szCs w:val="28"/>
        </w:rPr>
        <w:t>-</w:t>
      </w:r>
      <w:r w:rsidRPr="00292C4C">
        <w:rPr>
          <w:rFonts w:ascii="Times New Roman" w:eastAsia="TimesNewRoman" w:hAnsi="Times New Roman"/>
          <w:sz w:val="28"/>
          <w:szCs w:val="28"/>
          <w:lang w:val="en-US"/>
        </w:rPr>
        <w:t>142.</w:t>
      </w:r>
      <w:r>
        <w:rPr>
          <w:rFonts w:ascii="Times New Roman" w:eastAsia="TimesNewRoman" w:hAnsi="Times New Roman"/>
          <w:sz w:val="28"/>
          <w:szCs w:val="28"/>
          <w:lang w:val="en-US"/>
        </w:rPr>
        <w:t xml:space="preserve">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eastAsia="LiberationSerif-Italic" w:hAnsi="Times New Roman"/>
          <w:sz w:val="28"/>
          <w:szCs w:val="28"/>
          <w:lang w:val="en-US"/>
        </w:rPr>
        <w:t>Systematic</w:t>
      </w:r>
      <w:r w:rsidRPr="003307F1">
        <w:rPr>
          <w:rFonts w:ascii="Times New Roman" w:eastAsia="LiberationSerif-Italic" w:hAnsi="Times New Roman"/>
          <w:iCs/>
          <w:sz w:val="28"/>
          <w:szCs w:val="28"/>
          <w:lang w:val="en-US"/>
        </w:rPr>
        <w:t xml:space="preserve"> </w:t>
      </w:r>
      <w:r w:rsidRPr="003307F1">
        <w:rPr>
          <w:rFonts w:ascii="Times New Roman" w:eastAsia="LiberationSerif-Italic" w:hAnsi="Times New Roman"/>
          <w:sz w:val="28"/>
          <w:szCs w:val="28"/>
          <w:lang w:val="en-US"/>
        </w:rPr>
        <w:t>review: pancreatic enzyme treatment of malabsorption</w:t>
      </w:r>
      <w:r w:rsidRPr="003307F1">
        <w:rPr>
          <w:rFonts w:ascii="Times New Roman" w:eastAsia="LiberationSerif-Italic" w:hAnsi="Times New Roman"/>
          <w:iCs/>
          <w:sz w:val="28"/>
          <w:szCs w:val="28"/>
          <w:lang w:val="en-US"/>
        </w:rPr>
        <w:t xml:space="preserve"> </w:t>
      </w:r>
      <w:r w:rsidRPr="003307F1">
        <w:rPr>
          <w:rFonts w:ascii="Times New Roman" w:eastAsia="LiberationSerif-Italic" w:hAnsi="Times New Roman"/>
          <w:sz w:val="28"/>
          <w:szCs w:val="28"/>
          <w:lang w:val="en-US"/>
        </w:rPr>
        <w:t>associated with chronic pancreatitis /</w:t>
      </w:r>
      <w:r w:rsidRPr="003307F1">
        <w:rPr>
          <w:rFonts w:ascii="Times New Roman" w:eastAsia="LiberationSerif-Italic" w:hAnsi="Times New Roman"/>
          <w:iCs/>
          <w:sz w:val="28"/>
          <w:szCs w:val="28"/>
          <w:lang w:val="en-US"/>
        </w:rPr>
        <w:t xml:space="preserve"> </w:t>
      </w:r>
      <w:r w:rsidRPr="003307F1">
        <w:rPr>
          <w:rFonts w:ascii="Times New Roman" w:eastAsia="LiberationSerif-Italic" w:hAnsi="Times New Roman"/>
          <w:iCs/>
          <w:sz w:val="28"/>
          <w:szCs w:val="28"/>
        </w:rPr>
        <w:t>А</w:t>
      </w:r>
      <w:r w:rsidRPr="003307F1">
        <w:rPr>
          <w:rFonts w:ascii="Times New Roman" w:eastAsia="LiberationSerif-Italic" w:hAnsi="Times New Roman"/>
          <w:iCs/>
          <w:sz w:val="28"/>
          <w:szCs w:val="28"/>
          <w:lang w:val="en-US"/>
        </w:rPr>
        <w:t xml:space="preserve">. </w:t>
      </w:r>
      <w:r w:rsidRPr="003307F1">
        <w:rPr>
          <w:rFonts w:ascii="Times New Roman" w:eastAsia="LiberationSerif-Italic" w:hAnsi="Times New Roman"/>
          <w:iCs/>
          <w:sz w:val="28"/>
          <w:szCs w:val="28"/>
        </w:rPr>
        <w:t>К</w:t>
      </w:r>
      <w:r w:rsidRPr="003307F1">
        <w:rPr>
          <w:rFonts w:ascii="Times New Roman" w:eastAsia="LiberationSerif-Italic" w:hAnsi="Times New Roman"/>
          <w:iCs/>
          <w:sz w:val="28"/>
          <w:szCs w:val="28"/>
          <w:lang w:val="en-US"/>
        </w:rPr>
        <w:t xml:space="preserve">. Waljee, M. J. Dimagno B. U. Wu </w:t>
      </w:r>
      <w:r w:rsidRPr="00C62D22">
        <w:rPr>
          <w:rFonts w:ascii="Times New Roman" w:hAnsi="Times New Roman"/>
          <w:sz w:val="28"/>
          <w:szCs w:val="28"/>
          <w:lang w:val="en-US"/>
        </w:rPr>
        <w:t>[</w:t>
      </w:r>
      <w:r w:rsidRPr="003307F1">
        <w:rPr>
          <w:rFonts w:ascii="Times New Roman" w:hAnsi="Times New Roman"/>
          <w:sz w:val="28"/>
          <w:szCs w:val="28"/>
          <w:lang w:val="en-US"/>
        </w:rPr>
        <w:t xml:space="preserve"> et al</w:t>
      </w:r>
      <w:r w:rsidRPr="00C62D22">
        <w:rPr>
          <w:rFonts w:ascii="Times New Roman" w:hAnsi="Times New Roman"/>
          <w:sz w:val="28"/>
          <w:szCs w:val="28"/>
          <w:lang w:val="en-US"/>
        </w:rPr>
        <w:t>. ]</w:t>
      </w:r>
      <w:r w:rsidRPr="003307F1">
        <w:rPr>
          <w:rFonts w:ascii="Times New Roman" w:hAnsi="Times New Roman"/>
          <w:sz w:val="28"/>
          <w:szCs w:val="28"/>
          <w:lang w:val="en-US"/>
        </w:rPr>
        <w:t xml:space="preserve"> </w:t>
      </w:r>
      <w:r w:rsidRPr="003307F1">
        <w:rPr>
          <w:rFonts w:ascii="Times New Roman" w:eastAsia="LiberationSerif-Italic" w:hAnsi="Times New Roman"/>
          <w:sz w:val="28"/>
          <w:szCs w:val="28"/>
          <w:lang w:val="en-US"/>
        </w:rPr>
        <w:t xml:space="preserve">//Aliment. Pharmacol. Ther. </w:t>
      </w:r>
      <w:r w:rsidRPr="003307F1">
        <w:rPr>
          <w:rFonts w:ascii="Times New Roman" w:hAnsi="Times New Roman"/>
          <w:sz w:val="28"/>
          <w:szCs w:val="28"/>
          <w:lang w:val="en-US"/>
        </w:rPr>
        <w:t xml:space="preserve">– </w:t>
      </w:r>
      <w:r w:rsidRPr="003307F1">
        <w:rPr>
          <w:rFonts w:ascii="Times New Roman" w:eastAsia="LiberationSerif-Italic" w:hAnsi="Times New Roman"/>
          <w:sz w:val="28"/>
          <w:szCs w:val="28"/>
          <w:lang w:val="en-US"/>
        </w:rPr>
        <w:t>2009.</w:t>
      </w:r>
      <w:r w:rsidRPr="003307F1">
        <w:rPr>
          <w:rFonts w:ascii="Times New Roman" w:hAnsi="Times New Roman"/>
          <w:sz w:val="28"/>
          <w:szCs w:val="28"/>
        </w:rPr>
        <w:t xml:space="preserve"> –</w:t>
      </w:r>
      <w:r w:rsidRPr="003307F1">
        <w:rPr>
          <w:rFonts w:ascii="Times New Roman" w:eastAsia="LiberationSerif-Italic" w:hAnsi="Times New Roman"/>
          <w:sz w:val="28"/>
          <w:szCs w:val="28"/>
          <w:lang w:val="en-US"/>
        </w:rPr>
        <w:t xml:space="preserve"> Vol. 29, № 3.</w:t>
      </w:r>
      <w:r w:rsidRPr="003307F1">
        <w:rPr>
          <w:rFonts w:ascii="Times New Roman" w:hAnsi="Times New Roman"/>
          <w:sz w:val="28"/>
          <w:szCs w:val="28"/>
          <w:lang w:val="en-US"/>
        </w:rPr>
        <w:t xml:space="preserve"> – </w:t>
      </w:r>
      <w:r w:rsidRPr="003307F1">
        <w:rPr>
          <w:rFonts w:ascii="Times New Roman" w:eastAsia="LiberationSerif-Italic" w:hAnsi="Times New Roman"/>
          <w:sz w:val="28"/>
          <w:szCs w:val="28"/>
        </w:rPr>
        <w:t>Р</w:t>
      </w:r>
      <w:r>
        <w:rPr>
          <w:rFonts w:ascii="Times New Roman" w:eastAsia="LiberationSerif-Italic" w:hAnsi="Times New Roman"/>
          <w:sz w:val="28"/>
          <w:szCs w:val="28"/>
          <w:lang w:val="en-US"/>
        </w:rPr>
        <w:t>. 235</w:t>
      </w:r>
      <w:r>
        <w:rPr>
          <w:rFonts w:ascii="Times New Roman" w:eastAsia="LiberationSerif-Italic" w:hAnsi="Times New Roman"/>
          <w:sz w:val="28"/>
          <w:szCs w:val="28"/>
        </w:rPr>
        <w:t>-</w:t>
      </w:r>
      <w:r w:rsidRPr="003307F1">
        <w:rPr>
          <w:rFonts w:ascii="Times New Roman" w:eastAsia="LiberationSerif-Italic" w:hAnsi="Times New Roman"/>
          <w:sz w:val="28"/>
          <w:szCs w:val="28"/>
          <w:lang w:val="en-US"/>
        </w:rPr>
        <w:t>246.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Systematic review of minimally invasive pancreatic resection / C. D.</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Briggs, </w:t>
      </w:r>
      <w:r w:rsidRPr="00C62D22">
        <w:rPr>
          <w:rFonts w:ascii="Times New Roman" w:hAnsi="Times New Roman"/>
          <w:sz w:val="28"/>
          <w:szCs w:val="28"/>
          <w:lang w:val="en-US"/>
        </w:rPr>
        <w:t xml:space="preserve">         </w:t>
      </w:r>
      <w:r w:rsidRPr="003307F1">
        <w:rPr>
          <w:rFonts w:ascii="Times New Roman" w:hAnsi="Times New Roman"/>
          <w:sz w:val="28"/>
          <w:szCs w:val="28"/>
          <w:lang w:val="en-US"/>
        </w:rPr>
        <w:t>C. D. Mann, G. R. B. Irving [et al.] // J. Gastrointest. Surg. – 2009. – Vol. 13. – P. 1129</w:t>
      </w:r>
      <w:r>
        <w:rPr>
          <w:rFonts w:ascii="Times New Roman" w:hAnsi="Times New Roman"/>
          <w:sz w:val="28"/>
          <w:szCs w:val="28"/>
        </w:rPr>
        <w:t>-</w:t>
      </w:r>
      <w:r w:rsidRPr="003307F1">
        <w:rPr>
          <w:rFonts w:ascii="Times New Roman" w:hAnsi="Times New Roman"/>
          <w:sz w:val="28"/>
          <w:szCs w:val="28"/>
          <w:lang w:val="en-US"/>
        </w:rPr>
        <w:t>1137.</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Tan W. J. Moving towards the New International Study Group for Pancreatic Surgery (ISGPS) definitions in pancreaticoduodenectomy: a comparison between the old and new / W. J. Tan, A. W. Kow, </w:t>
      </w:r>
      <w:r w:rsidRPr="003307F1">
        <w:rPr>
          <w:rFonts w:ascii="Times New Roman" w:hAnsi="Times New Roman"/>
          <w:sz w:val="28"/>
          <w:szCs w:val="28"/>
        </w:rPr>
        <w:t>К</w:t>
      </w:r>
      <w:r w:rsidRPr="003307F1">
        <w:rPr>
          <w:rFonts w:ascii="Times New Roman" w:hAnsi="Times New Roman"/>
          <w:sz w:val="28"/>
          <w:szCs w:val="28"/>
          <w:lang w:val="en-US"/>
        </w:rPr>
        <w:t xml:space="preserve">. </w:t>
      </w:r>
      <w:r w:rsidRPr="003307F1">
        <w:rPr>
          <w:rFonts w:ascii="Times New Roman" w:hAnsi="Times New Roman"/>
          <w:sz w:val="28"/>
          <w:szCs w:val="28"/>
        </w:rPr>
        <w:t>Н</w:t>
      </w:r>
      <w:r w:rsidRPr="003307F1">
        <w:rPr>
          <w:rFonts w:ascii="Times New Roman" w:hAnsi="Times New Roman"/>
          <w:sz w:val="28"/>
          <w:szCs w:val="28"/>
          <w:lang w:val="en-US"/>
        </w:rPr>
        <w:t xml:space="preserve">. Liau // HPB (Oxford). – 2011. – Vol. 13, № 8. – </w:t>
      </w:r>
      <w:r w:rsidRPr="003307F1">
        <w:rPr>
          <w:rFonts w:ascii="Times New Roman" w:hAnsi="Times New Roman"/>
          <w:sz w:val="28"/>
          <w:szCs w:val="28"/>
        </w:rPr>
        <w:t>Р</w:t>
      </w:r>
      <w:r>
        <w:rPr>
          <w:rFonts w:ascii="Times New Roman" w:hAnsi="Times New Roman"/>
          <w:sz w:val="28"/>
          <w:szCs w:val="28"/>
          <w:lang w:val="en-US"/>
        </w:rPr>
        <w:t>. 566</w:t>
      </w:r>
      <w:r w:rsidRPr="00C62D22">
        <w:rPr>
          <w:rFonts w:ascii="Times New Roman" w:hAnsi="Times New Roman"/>
          <w:sz w:val="28"/>
          <w:szCs w:val="28"/>
          <w:lang w:val="en-US"/>
        </w:rPr>
        <w:t>-</w:t>
      </w:r>
      <w:r w:rsidRPr="003307F1">
        <w:rPr>
          <w:rFonts w:ascii="Times New Roman" w:hAnsi="Times New Roman"/>
          <w:sz w:val="28"/>
          <w:szCs w:val="28"/>
          <w:lang w:val="en-US"/>
        </w:rPr>
        <w:t xml:space="preserve">572. </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Thanapaisal C. A comparison of the Acute Physiology and Chronic Health Evaluation (APACHE) II score and the Trauma-Injury Severity Score (TRISS) for outcome assessment in Srinagarind Intensive Care Unit trauma patients / </w:t>
      </w:r>
      <w:r w:rsidRPr="003307F1">
        <w:rPr>
          <w:rFonts w:ascii="Times New Roman" w:hAnsi="Times New Roman"/>
          <w:sz w:val="28"/>
          <w:szCs w:val="28"/>
        </w:rPr>
        <w:t>С</w:t>
      </w:r>
      <w:r w:rsidRPr="003307F1">
        <w:rPr>
          <w:rFonts w:ascii="Times New Roman" w:hAnsi="Times New Roman"/>
          <w:sz w:val="28"/>
          <w:szCs w:val="28"/>
          <w:lang w:val="en-US"/>
        </w:rPr>
        <w:t xml:space="preserve">. Thanapaisal, P. J. Saksaen // Med. Assoc. Thai. – 2012. – Vol. 95, № 11. – </w:t>
      </w:r>
      <w:r w:rsidRPr="003307F1">
        <w:rPr>
          <w:rFonts w:ascii="Times New Roman" w:hAnsi="Times New Roman"/>
          <w:sz w:val="28"/>
          <w:szCs w:val="28"/>
        </w:rPr>
        <w:t>Р</w:t>
      </w:r>
      <w:r>
        <w:rPr>
          <w:rFonts w:ascii="Times New Roman" w:hAnsi="Times New Roman"/>
          <w:sz w:val="28"/>
          <w:szCs w:val="28"/>
          <w:lang w:val="en-US"/>
        </w:rPr>
        <w:t>. 25</w:t>
      </w:r>
      <w:r>
        <w:rPr>
          <w:rFonts w:ascii="Times New Roman" w:hAnsi="Times New Roman"/>
          <w:sz w:val="28"/>
          <w:szCs w:val="28"/>
        </w:rPr>
        <w:t>-</w:t>
      </w:r>
      <w:r w:rsidRPr="003307F1">
        <w:rPr>
          <w:rFonts w:ascii="Times New Roman" w:hAnsi="Times New Roman"/>
          <w:sz w:val="28"/>
          <w:szCs w:val="28"/>
          <w:lang w:val="en-US"/>
        </w:rPr>
        <w:t>33.</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 xml:space="preserve">Tests of pancreatic exocrine function </w:t>
      </w:r>
      <w:r w:rsidRPr="00C62D22">
        <w:rPr>
          <w:rFonts w:ascii="Times New Roman" w:hAnsi="Times New Roman"/>
          <w:sz w:val="28"/>
          <w:szCs w:val="28"/>
          <w:lang w:val="en-US"/>
        </w:rPr>
        <w:t>–</w:t>
      </w:r>
      <w:r w:rsidRPr="003307F1">
        <w:rPr>
          <w:rFonts w:ascii="Times New Roman" w:hAnsi="Times New Roman"/>
          <w:sz w:val="28"/>
          <w:szCs w:val="28"/>
          <w:lang w:val="en-US"/>
        </w:rPr>
        <w:t xml:space="preserve"> Clinical significance in</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pancreatic and non</w:t>
      </w:r>
      <w:r w:rsidRPr="00C62D22">
        <w:rPr>
          <w:rFonts w:ascii="Times New Roman" w:hAnsi="Times New Roman"/>
          <w:sz w:val="28"/>
          <w:szCs w:val="28"/>
          <w:lang w:val="en-US"/>
        </w:rPr>
        <w:t>–</w:t>
      </w:r>
      <w:r w:rsidRPr="003307F1">
        <w:rPr>
          <w:rFonts w:ascii="Times New Roman" w:hAnsi="Times New Roman"/>
          <w:sz w:val="28"/>
          <w:szCs w:val="28"/>
          <w:lang w:val="en-US"/>
        </w:rPr>
        <w:t>pancreatic disorders / J. Keller, A. A.</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Aghdassi, M. M. Lerch [et al.] // Best Pract. Res. Clin.</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Gastroenterol. </w:t>
      </w:r>
      <w:r w:rsidRPr="003307F1">
        <w:rPr>
          <w:rFonts w:ascii="Times New Roman" w:hAnsi="Times New Roman"/>
          <w:sz w:val="28"/>
          <w:szCs w:val="28"/>
        </w:rPr>
        <w:t>–</w:t>
      </w:r>
      <w:r w:rsidRPr="003307F1">
        <w:rPr>
          <w:rFonts w:ascii="Times New Roman" w:hAnsi="Times New Roman"/>
          <w:sz w:val="28"/>
          <w:szCs w:val="28"/>
          <w:lang w:val="en-US"/>
        </w:rPr>
        <w:t xml:space="preserve"> 2009. </w:t>
      </w:r>
      <w:r w:rsidRPr="003307F1">
        <w:rPr>
          <w:rFonts w:ascii="Times New Roman" w:hAnsi="Times New Roman"/>
          <w:sz w:val="28"/>
          <w:szCs w:val="28"/>
        </w:rPr>
        <w:t>–</w:t>
      </w:r>
      <w:r w:rsidRPr="003307F1">
        <w:rPr>
          <w:rFonts w:ascii="Times New Roman" w:hAnsi="Times New Roman"/>
          <w:sz w:val="28"/>
          <w:szCs w:val="28"/>
          <w:lang w:val="en-US"/>
        </w:rPr>
        <w:t xml:space="preserve"> Vol. 23. </w:t>
      </w:r>
      <w:r w:rsidRPr="003307F1">
        <w:rPr>
          <w:rFonts w:ascii="Times New Roman" w:hAnsi="Times New Roman"/>
          <w:sz w:val="28"/>
          <w:szCs w:val="28"/>
        </w:rPr>
        <w:t>–</w:t>
      </w:r>
      <w:r>
        <w:rPr>
          <w:rFonts w:ascii="Times New Roman" w:hAnsi="Times New Roman"/>
          <w:sz w:val="28"/>
          <w:szCs w:val="28"/>
          <w:lang w:val="en-US"/>
        </w:rPr>
        <w:t xml:space="preserve"> P. 425</w:t>
      </w:r>
      <w:r>
        <w:rPr>
          <w:rFonts w:ascii="Times New Roman" w:hAnsi="Times New Roman"/>
          <w:sz w:val="28"/>
          <w:szCs w:val="28"/>
        </w:rPr>
        <w:t>-</w:t>
      </w:r>
      <w:r w:rsidRPr="003307F1">
        <w:rPr>
          <w:rFonts w:ascii="Times New Roman" w:hAnsi="Times New Roman"/>
          <w:sz w:val="28"/>
          <w:szCs w:val="28"/>
          <w:lang w:val="en-US"/>
        </w:rPr>
        <w:t>439.</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The behavior of matrix metalloproteinases and their inhibitors in colorectal cancer</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 L. Herszényi, </w:t>
      </w:r>
      <w:r w:rsidRPr="003307F1">
        <w:rPr>
          <w:rFonts w:ascii="Times New Roman" w:hAnsi="Times New Roman"/>
          <w:sz w:val="28"/>
          <w:szCs w:val="28"/>
        </w:rPr>
        <w:t>І</w:t>
      </w:r>
      <w:r w:rsidRPr="00C62D22">
        <w:rPr>
          <w:rFonts w:ascii="Times New Roman" w:hAnsi="Times New Roman"/>
          <w:sz w:val="28"/>
          <w:szCs w:val="28"/>
          <w:lang w:val="en-US"/>
        </w:rPr>
        <w:t xml:space="preserve">. </w:t>
      </w:r>
      <w:r w:rsidRPr="003307F1">
        <w:rPr>
          <w:rFonts w:ascii="Times New Roman" w:hAnsi="Times New Roman"/>
          <w:sz w:val="28"/>
          <w:szCs w:val="28"/>
          <w:lang w:val="en-US"/>
        </w:rPr>
        <w:t>Hritz</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G. Lakatos [ et al. ] </w:t>
      </w:r>
      <w:r w:rsidRPr="00C62D22">
        <w:rPr>
          <w:rFonts w:ascii="Times New Roman" w:hAnsi="Times New Roman"/>
          <w:sz w:val="28"/>
          <w:szCs w:val="28"/>
          <w:lang w:val="en-US"/>
        </w:rPr>
        <w:t>//</w:t>
      </w:r>
      <w:r w:rsidRPr="003307F1">
        <w:rPr>
          <w:rFonts w:ascii="Times New Roman" w:hAnsi="Times New Roman"/>
          <w:sz w:val="28"/>
          <w:szCs w:val="28"/>
          <w:lang w:val="en-US"/>
        </w:rPr>
        <w:t xml:space="preserve"> Int. J. Mol. Sci</w:t>
      </w:r>
      <w:r w:rsidRPr="00C62D22">
        <w:rPr>
          <w:rFonts w:ascii="Times New Roman" w:hAnsi="Times New Roman"/>
          <w:sz w:val="28"/>
          <w:szCs w:val="28"/>
          <w:lang w:val="en-US"/>
        </w:rPr>
        <w:t xml:space="preserve">. </w:t>
      </w:r>
      <w:r w:rsidRPr="003307F1">
        <w:rPr>
          <w:rFonts w:ascii="Times New Roman" w:hAnsi="Times New Roman"/>
          <w:sz w:val="28"/>
          <w:szCs w:val="28"/>
          <w:lang w:val="en-US"/>
        </w:rPr>
        <w:t>– 2012</w:t>
      </w:r>
      <w:r w:rsidRPr="00C62D22">
        <w:rPr>
          <w:rFonts w:ascii="Times New Roman" w:hAnsi="Times New Roman"/>
          <w:sz w:val="28"/>
          <w:szCs w:val="28"/>
          <w:lang w:val="en-US"/>
        </w:rPr>
        <w:t xml:space="preserve">. </w:t>
      </w:r>
      <w:r w:rsidRPr="003307F1">
        <w:rPr>
          <w:rFonts w:ascii="Times New Roman" w:hAnsi="Times New Roman"/>
          <w:sz w:val="28"/>
          <w:szCs w:val="28"/>
          <w:lang w:val="en-US"/>
        </w:rPr>
        <w:t>– Vol</w:t>
      </w:r>
      <w:r w:rsidRPr="003307F1">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13</w:t>
      </w:r>
      <w:r w:rsidRPr="00C62D22">
        <w:rPr>
          <w:rFonts w:ascii="Times New Roman" w:hAnsi="Times New Roman"/>
          <w:sz w:val="28"/>
          <w:szCs w:val="28"/>
          <w:lang w:val="en-US"/>
        </w:rPr>
        <w:t xml:space="preserve">. </w:t>
      </w:r>
      <w:r w:rsidRPr="003307F1">
        <w:rPr>
          <w:rFonts w:ascii="Times New Roman" w:hAnsi="Times New Roman"/>
          <w:sz w:val="28"/>
          <w:szCs w:val="28"/>
          <w:lang w:val="en-US"/>
        </w:rPr>
        <w:t>–</w:t>
      </w:r>
      <w:r w:rsidRPr="00C62D22">
        <w:rPr>
          <w:rFonts w:ascii="Times New Roman" w:hAnsi="Times New Roman"/>
          <w:sz w:val="28"/>
          <w:szCs w:val="28"/>
          <w:lang w:val="en-US"/>
        </w:rPr>
        <w:t xml:space="preserve"> </w:t>
      </w:r>
      <w:r w:rsidRPr="003307F1">
        <w:rPr>
          <w:rFonts w:ascii="Times New Roman" w:hAnsi="Times New Roman"/>
          <w:sz w:val="28"/>
          <w:szCs w:val="28"/>
        </w:rPr>
        <w:t>Р</w:t>
      </w:r>
      <w:r w:rsidRPr="00C62D22">
        <w:rPr>
          <w:rFonts w:ascii="Times New Roman" w:hAnsi="Times New Roman"/>
          <w:sz w:val="28"/>
          <w:szCs w:val="28"/>
          <w:lang w:val="en-US"/>
        </w:rPr>
        <w:t xml:space="preserve">. </w:t>
      </w:r>
      <w:r>
        <w:rPr>
          <w:rFonts w:ascii="Times New Roman" w:hAnsi="Times New Roman"/>
          <w:sz w:val="28"/>
          <w:szCs w:val="28"/>
          <w:lang w:val="en-US"/>
        </w:rPr>
        <w:t>13240</w:t>
      </w:r>
      <w:r w:rsidRPr="00C62D22">
        <w:rPr>
          <w:rFonts w:ascii="Times New Roman" w:hAnsi="Times New Roman"/>
          <w:sz w:val="28"/>
          <w:szCs w:val="28"/>
          <w:lang w:val="en-US"/>
        </w:rPr>
        <w:t>-</w:t>
      </w:r>
      <w:r w:rsidRPr="003307F1">
        <w:rPr>
          <w:rFonts w:ascii="Times New Roman" w:hAnsi="Times New Roman"/>
          <w:sz w:val="28"/>
          <w:szCs w:val="28"/>
          <w:lang w:val="en-US"/>
        </w:rPr>
        <w:t>13263.</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lastRenderedPageBreak/>
        <w:t>The revised Atlanta classification for acute pancreatitis: a CT imaging guide for radiologists / Y. Sheu, A. Furlan, O. Almusa [</w:t>
      </w:r>
      <w:r w:rsidRPr="003307F1">
        <w:rPr>
          <w:rFonts w:ascii="Times New Roman" w:hAnsi="Times New Roman"/>
          <w:sz w:val="28"/>
          <w:szCs w:val="28"/>
        </w:rPr>
        <w:t>е</w:t>
      </w:r>
      <w:r w:rsidRPr="003307F1">
        <w:rPr>
          <w:rFonts w:ascii="Times New Roman" w:hAnsi="Times New Roman"/>
          <w:sz w:val="28"/>
          <w:szCs w:val="28"/>
          <w:lang w:val="en-US"/>
        </w:rPr>
        <w:t>t al.] //</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Emerg Radiol. </w:t>
      </w:r>
      <w:r w:rsidRPr="00C62D22">
        <w:rPr>
          <w:rFonts w:ascii="Times New Roman" w:hAnsi="Times New Roman"/>
          <w:sz w:val="28"/>
          <w:szCs w:val="28"/>
          <w:lang w:val="en-US"/>
        </w:rPr>
        <w:t>–</w:t>
      </w:r>
      <w:r w:rsidRPr="003307F1">
        <w:rPr>
          <w:rFonts w:ascii="Times New Roman" w:hAnsi="Times New Roman"/>
          <w:sz w:val="28"/>
          <w:szCs w:val="28"/>
          <w:lang w:val="en-US"/>
        </w:rPr>
        <w:t xml:space="preserve"> 2012. </w:t>
      </w:r>
      <w:r w:rsidRPr="00C62D22">
        <w:rPr>
          <w:rFonts w:ascii="Times New Roman" w:hAnsi="Times New Roman"/>
          <w:sz w:val="28"/>
          <w:szCs w:val="28"/>
          <w:lang w:val="en-US"/>
        </w:rPr>
        <w:t>–</w:t>
      </w:r>
      <w:r w:rsidRPr="003307F1">
        <w:rPr>
          <w:rFonts w:ascii="Times New Roman" w:hAnsi="Times New Roman"/>
          <w:sz w:val="28"/>
          <w:szCs w:val="28"/>
          <w:lang w:val="en-US"/>
        </w:rPr>
        <w:t xml:space="preserve"> Vol. 19, </w:t>
      </w:r>
      <w:r w:rsidRPr="00C62D22">
        <w:rPr>
          <w:rFonts w:ascii="Times New Roman" w:hAnsi="Times New Roman"/>
          <w:sz w:val="28"/>
          <w:szCs w:val="28"/>
          <w:lang w:val="en-US"/>
        </w:rPr>
        <w:t>№</w:t>
      </w:r>
      <w:r w:rsidRPr="003307F1">
        <w:rPr>
          <w:rFonts w:ascii="Times New Roman" w:hAnsi="Times New Roman"/>
          <w:sz w:val="28"/>
          <w:szCs w:val="28"/>
          <w:lang w:val="en-US"/>
        </w:rPr>
        <w:t xml:space="preserve"> 3. </w:t>
      </w:r>
      <w:r w:rsidRPr="00C62D22">
        <w:rPr>
          <w:rFonts w:ascii="Times New Roman" w:hAnsi="Times New Roman"/>
          <w:sz w:val="28"/>
          <w:szCs w:val="28"/>
          <w:lang w:val="en-US"/>
        </w:rPr>
        <w:t>–</w:t>
      </w:r>
      <w:r>
        <w:rPr>
          <w:rFonts w:ascii="Times New Roman" w:hAnsi="Times New Roman"/>
          <w:sz w:val="28"/>
          <w:szCs w:val="28"/>
          <w:lang w:val="en-US"/>
        </w:rPr>
        <w:t xml:space="preserve"> P. 237</w:t>
      </w:r>
      <w:r w:rsidRPr="00C62D22">
        <w:rPr>
          <w:rFonts w:ascii="Times New Roman" w:hAnsi="Times New Roman"/>
          <w:sz w:val="28"/>
          <w:szCs w:val="28"/>
          <w:lang w:val="en-US"/>
        </w:rPr>
        <w:t>-</w:t>
      </w:r>
      <w:r w:rsidRPr="003307F1">
        <w:rPr>
          <w:rFonts w:ascii="Times New Roman" w:hAnsi="Times New Roman"/>
          <w:sz w:val="28"/>
          <w:szCs w:val="28"/>
          <w:lang w:val="en-US"/>
        </w:rPr>
        <w:t>243.</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The role of IL–6, 8, and 10, sTNFr, CRP, and pancreatic elastase in the</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prediction of systemic complications in patients with acute pancreatitis</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[Electronic resourse] / E. Fisic, G. Poropat, L. Bilic–Zulle [et al.]</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Gastr. Res. Prac. – 2013. – Article ID 282645. – 6 p. – Mode of</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access: </w:t>
      </w:r>
      <w:hyperlink r:id="rId196" w:history="1">
        <w:r w:rsidRPr="003307F1">
          <w:rPr>
            <w:rStyle w:val="af1"/>
            <w:rFonts w:ascii="Times New Roman" w:hAnsi="Times New Roman"/>
            <w:sz w:val="28"/>
            <w:szCs w:val="28"/>
            <w:lang w:val="en-US"/>
          </w:rPr>
          <w:t>http://dx.doi.org/10.1155/2013/282645</w:t>
        </w:r>
      </w:hyperlink>
      <w:r w:rsidRPr="003307F1">
        <w:rPr>
          <w:rFonts w:ascii="Times New Roman" w:hAnsi="Times New Roman"/>
          <w:sz w:val="28"/>
          <w:szCs w:val="28"/>
          <w:lang w:val="en-US"/>
        </w:rPr>
        <w:t>.</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The role of inflammation and proteinases in tumor progression / L. Herszényi, </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G. Lakatos, </w:t>
      </w:r>
      <w:r w:rsidRPr="003307F1">
        <w:rPr>
          <w:rFonts w:ascii="Times New Roman" w:hAnsi="Times New Roman"/>
          <w:sz w:val="28"/>
          <w:szCs w:val="28"/>
        </w:rPr>
        <w:t>І</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Hritz [ et al. ] </w:t>
      </w:r>
      <w:r w:rsidRPr="00C62D22">
        <w:rPr>
          <w:rFonts w:ascii="Times New Roman" w:hAnsi="Times New Roman"/>
          <w:sz w:val="28"/>
          <w:szCs w:val="28"/>
          <w:lang w:val="en-US"/>
        </w:rPr>
        <w:t>//</w:t>
      </w:r>
      <w:r w:rsidRPr="003307F1">
        <w:rPr>
          <w:rFonts w:ascii="Times New Roman" w:hAnsi="Times New Roman"/>
          <w:sz w:val="28"/>
          <w:szCs w:val="28"/>
          <w:lang w:val="en-US"/>
        </w:rPr>
        <w:t xml:space="preserve"> Dig Dis</w:t>
      </w:r>
      <w:r w:rsidRPr="00C62D22">
        <w:rPr>
          <w:rFonts w:ascii="Times New Roman" w:hAnsi="Times New Roman"/>
          <w:sz w:val="28"/>
          <w:szCs w:val="28"/>
          <w:lang w:val="en-US"/>
        </w:rPr>
        <w:t xml:space="preserve">. </w:t>
      </w:r>
      <w:r w:rsidRPr="003307F1">
        <w:rPr>
          <w:rFonts w:ascii="Times New Roman" w:hAnsi="Times New Roman"/>
          <w:sz w:val="28"/>
          <w:szCs w:val="28"/>
          <w:lang w:val="en-US"/>
        </w:rPr>
        <w:t>– 2012</w:t>
      </w:r>
      <w:r w:rsidRPr="00C62D22">
        <w:rPr>
          <w:rFonts w:ascii="Times New Roman" w:hAnsi="Times New Roman"/>
          <w:sz w:val="28"/>
          <w:szCs w:val="28"/>
          <w:lang w:val="en-US"/>
        </w:rPr>
        <w:t>.</w:t>
      </w:r>
      <w:r w:rsidRPr="003307F1">
        <w:rPr>
          <w:rFonts w:ascii="Times New Roman" w:hAnsi="Times New Roman"/>
          <w:sz w:val="28"/>
          <w:szCs w:val="28"/>
          <w:lang w:val="en-US"/>
        </w:rPr>
        <w:t xml:space="preserve"> – Vol</w:t>
      </w:r>
      <w:r w:rsidRPr="003307F1">
        <w:rPr>
          <w:rFonts w:ascii="Times New Roman" w:hAnsi="Times New Roman"/>
          <w:sz w:val="28"/>
          <w:szCs w:val="28"/>
          <w:bdr w:val="none" w:sz="0" w:space="0" w:color="auto" w:frame="1"/>
          <w:lang w:val="en-US"/>
        </w:rPr>
        <w:t>.</w:t>
      </w:r>
      <w:r w:rsidRPr="003307F1">
        <w:rPr>
          <w:rFonts w:ascii="Times New Roman" w:hAnsi="Times New Roman"/>
          <w:sz w:val="28"/>
          <w:szCs w:val="28"/>
          <w:lang w:val="en-US"/>
        </w:rPr>
        <w:t xml:space="preserve"> 30</w:t>
      </w:r>
      <w:r w:rsidRPr="00C62D22">
        <w:rPr>
          <w:rFonts w:ascii="Times New Roman" w:hAnsi="Times New Roman"/>
          <w:sz w:val="28"/>
          <w:szCs w:val="28"/>
          <w:lang w:val="en-US"/>
        </w:rPr>
        <w:t xml:space="preserve">. </w:t>
      </w:r>
      <w:r w:rsidRPr="003307F1">
        <w:rPr>
          <w:rFonts w:ascii="Times New Roman" w:hAnsi="Times New Roman"/>
          <w:sz w:val="28"/>
          <w:szCs w:val="28"/>
          <w:lang w:val="en-US"/>
        </w:rPr>
        <w:t>–</w:t>
      </w:r>
      <w:r w:rsidRPr="00C62D22">
        <w:rPr>
          <w:rFonts w:ascii="Times New Roman" w:hAnsi="Times New Roman"/>
          <w:sz w:val="28"/>
          <w:szCs w:val="28"/>
          <w:lang w:val="en-US"/>
        </w:rPr>
        <w:t xml:space="preserve"> </w:t>
      </w:r>
      <w:r w:rsidRPr="003307F1">
        <w:rPr>
          <w:rFonts w:ascii="Times New Roman" w:hAnsi="Times New Roman"/>
          <w:sz w:val="28"/>
          <w:szCs w:val="28"/>
        </w:rPr>
        <w:t>Р</w:t>
      </w:r>
      <w:r w:rsidRPr="00C62D22">
        <w:rPr>
          <w:rFonts w:ascii="Times New Roman" w:hAnsi="Times New Roman"/>
          <w:sz w:val="28"/>
          <w:szCs w:val="28"/>
          <w:lang w:val="en-US"/>
        </w:rPr>
        <w:t xml:space="preserve">. </w:t>
      </w:r>
      <w:r>
        <w:rPr>
          <w:rFonts w:ascii="Times New Roman" w:hAnsi="Times New Roman"/>
          <w:sz w:val="28"/>
          <w:szCs w:val="28"/>
          <w:lang w:val="en-US"/>
        </w:rPr>
        <w:t>249</w:t>
      </w:r>
      <w:r w:rsidRPr="00C62D22">
        <w:rPr>
          <w:rFonts w:ascii="Times New Roman" w:hAnsi="Times New Roman"/>
          <w:sz w:val="28"/>
          <w:szCs w:val="28"/>
          <w:lang w:val="en-US"/>
        </w:rPr>
        <w:t>-</w:t>
      </w:r>
      <w:r w:rsidRPr="003307F1">
        <w:rPr>
          <w:rFonts w:ascii="Times New Roman" w:hAnsi="Times New Roman"/>
          <w:sz w:val="28"/>
          <w:szCs w:val="28"/>
          <w:lang w:val="en-US"/>
        </w:rPr>
        <w:t>254.</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Ultrasound-guided percutaneus drainage may decrease the mortality of severe acute pancreatitis / X. Ai, X. Qian, W. Pain [ et al. ] // J. Gastroenterol. – 2009. [Epub ahead of print].</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eastAsia="TimesNewRoman" w:hAnsi="Times New Roman"/>
          <w:sz w:val="28"/>
          <w:szCs w:val="28"/>
          <w:lang w:val="en-US"/>
        </w:rPr>
        <w:t xml:space="preserve">Uncomplicated spontaneous rupture of pancreatic pseudocyst into stomac: A case report / P. O. Somani, S. S. Jain, D. K. Shan </w:t>
      </w:r>
      <w:r w:rsidRPr="00C62D22">
        <w:rPr>
          <w:rFonts w:ascii="Times New Roman" w:hAnsi="Times New Roman"/>
          <w:sz w:val="28"/>
          <w:szCs w:val="28"/>
          <w:lang w:val="en-US"/>
        </w:rPr>
        <w:t>[</w:t>
      </w:r>
      <w:r w:rsidRPr="003307F1">
        <w:rPr>
          <w:rFonts w:ascii="Times New Roman" w:hAnsi="Times New Roman"/>
          <w:sz w:val="28"/>
          <w:szCs w:val="28"/>
          <w:lang w:val="en-US"/>
        </w:rPr>
        <w:t xml:space="preserve"> et al</w:t>
      </w:r>
      <w:r w:rsidRPr="00C62D22">
        <w:rPr>
          <w:rFonts w:ascii="Times New Roman" w:hAnsi="Times New Roman"/>
          <w:sz w:val="28"/>
          <w:szCs w:val="28"/>
          <w:lang w:val="en-US"/>
        </w:rPr>
        <w:t>. ]</w:t>
      </w:r>
      <w:r w:rsidRPr="003307F1">
        <w:rPr>
          <w:rFonts w:ascii="Times New Roman" w:eastAsia="TimesNewRoman" w:hAnsi="Times New Roman"/>
          <w:sz w:val="28"/>
          <w:szCs w:val="28"/>
          <w:lang w:val="en-US"/>
        </w:rPr>
        <w:t xml:space="preserve"> // World J. Gastrointestinal Endoscopy. </w:t>
      </w:r>
      <w:r>
        <w:rPr>
          <w:rFonts w:ascii="Times New Roman" w:hAnsi="Times New Roman"/>
          <w:sz w:val="28"/>
          <w:szCs w:val="28"/>
          <w:lang w:val="en-US"/>
        </w:rPr>
        <w:t>– 2013. – Vol. 5, № 9. – P. 461</w:t>
      </w:r>
      <w:r w:rsidRPr="00C62D22">
        <w:rPr>
          <w:rFonts w:ascii="Times New Roman" w:hAnsi="Times New Roman"/>
          <w:sz w:val="28"/>
          <w:szCs w:val="28"/>
          <w:lang w:val="en-US"/>
        </w:rPr>
        <w:t>-</w:t>
      </w:r>
      <w:r w:rsidRPr="003307F1">
        <w:rPr>
          <w:rFonts w:ascii="Times New Roman" w:hAnsi="Times New Roman"/>
          <w:sz w:val="28"/>
          <w:szCs w:val="28"/>
          <w:lang w:val="en-US"/>
        </w:rPr>
        <w:t xml:space="preserve">464. </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eastAsia="TimesNewRoman" w:hAnsi="Times New Roman"/>
          <w:sz w:val="28"/>
          <w:szCs w:val="28"/>
          <w:lang w:val="en-US"/>
        </w:rPr>
        <w:t>Uncomplicated spontaneous rupture of pancr</w:t>
      </w:r>
      <w:r>
        <w:rPr>
          <w:rFonts w:ascii="Times New Roman" w:eastAsia="TimesNewRoman" w:hAnsi="Times New Roman"/>
          <w:sz w:val="28"/>
          <w:szCs w:val="28"/>
          <w:lang w:val="en-US"/>
        </w:rPr>
        <w:t>eatic pseudocyst into the gut</w:t>
      </w:r>
      <w:r w:rsidRPr="00C62D22">
        <w:rPr>
          <w:rFonts w:ascii="Times New Roman" w:eastAsia="TimesNewRoman" w:hAnsi="Times New Roman"/>
          <w:sz w:val="28"/>
          <w:szCs w:val="28"/>
          <w:lang w:val="en-US"/>
        </w:rPr>
        <w:t>-</w:t>
      </w:r>
      <w:r w:rsidRPr="003307F1">
        <w:rPr>
          <w:rFonts w:ascii="Times New Roman" w:eastAsia="TimesNewRoman" w:hAnsi="Times New Roman"/>
          <w:sz w:val="28"/>
          <w:szCs w:val="28"/>
          <w:lang w:val="en-US"/>
        </w:rPr>
        <w:t>CT documentation: a series of two cases // M. F. Mir, F. Shaheen, T. A. Gojwari</w:t>
      </w:r>
      <w:r w:rsidRPr="00C62D22">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 et al. ] </w:t>
      </w:r>
      <w:r w:rsidRPr="003307F1">
        <w:rPr>
          <w:rFonts w:ascii="Times New Roman" w:eastAsia="TimesNewRoman" w:hAnsi="Times New Roman"/>
          <w:sz w:val="28"/>
          <w:szCs w:val="28"/>
          <w:lang w:val="en-US"/>
        </w:rPr>
        <w:t xml:space="preserve">// Saudi Gastroenterol. </w:t>
      </w:r>
      <w:r>
        <w:rPr>
          <w:rFonts w:ascii="Times New Roman" w:hAnsi="Times New Roman"/>
          <w:sz w:val="28"/>
          <w:szCs w:val="28"/>
          <w:lang w:val="en-US"/>
        </w:rPr>
        <w:t>– 2009. – Vol. 15. – P. 135</w:t>
      </w:r>
      <w:r w:rsidRPr="00C62D22">
        <w:rPr>
          <w:rFonts w:ascii="Times New Roman" w:hAnsi="Times New Roman"/>
          <w:sz w:val="28"/>
          <w:szCs w:val="28"/>
          <w:lang w:val="en-US"/>
        </w:rPr>
        <w:t>-</w:t>
      </w:r>
      <w:r w:rsidRPr="003307F1">
        <w:rPr>
          <w:rFonts w:ascii="Times New Roman" w:hAnsi="Times New Roman"/>
          <w:sz w:val="28"/>
          <w:szCs w:val="28"/>
          <w:lang w:val="en-US"/>
        </w:rPr>
        <w:t>136.</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eastAsia="TimesNewRoman" w:hAnsi="Times New Roman"/>
          <w:sz w:val="28"/>
          <w:szCs w:val="28"/>
          <w:lang w:val="en-US"/>
        </w:rPr>
        <w:t xml:space="preserve">Van Baal M. C. Systematic rewiew of percutaneus catheter drainage as primary treatment for necrozing pancreatitis </w:t>
      </w:r>
      <w:r w:rsidRPr="00C62D22">
        <w:rPr>
          <w:rFonts w:ascii="Times New Roman" w:eastAsia="TimesNewRoman" w:hAnsi="Times New Roman"/>
          <w:sz w:val="28"/>
          <w:szCs w:val="28"/>
          <w:lang w:val="en-US"/>
        </w:rPr>
        <w:t xml:space="preserve">/ </w:t>
      </w:r>
      <w:r>
        <w:rPr>
          <w:rFonts w:ascii="Times New Roman" w:eastAsia="TimesNewRoman" w:hAnsi="Times New Roman"/>
          <w:sz w:val="28"/>
          <w:szCs w:val="28"/>
        </w:rPr>
        <w:t>М</w:t>
      </w:r>
      <w:r w:rsidRPr="00C62D22">
        <w:rPr>
          <w:rFonts w:ascii="Times New Roman" w:eastAsia="TimesNewRoman" w:hAnsi="Times New Roman"/>
          <w:sz w:val="28"/>
          <w:szCs w:val="28"/>
          <w:lang w:val="en-US"/>
        </w:rPr>
        <w:t xml:space="preserve">. </w:t>
      </w:r>
      <w:r>
        <w:rPr>
          <w:rFonts w:ascii="Times New Roman" w:eastAsia="TimesNewRoman" w:hAnsi="Times New Roman"/>
          <w:sz w:val="28"/>
          <w:szCs w:val="28"/>
        </w:rPr>
        <w:t>С</w:t>
      </w:r>
      <w:r w:rsidRPr="00C62D22">
        <w:rPr>
          <w:rFonts w:ascii="Times New Roman" w:eastAsia="TimesNewRoman" w:hAnsi="Times New Roman"/>
          <w:sz w:val="28"/>
          <w:szCs w:val="28"/>
          <w:lang w:val="en-US"/>
        </w:rPr>
        <w:t xml:space="preserve">. </w:t>
      </w:r>
      <w:r>
        <w:rPr>
          <w:rFonts w:ascii="Times New Roman" w:eastAsia="TimesNewRoman" w:hAnsi="Times New Roman"/>
          <w:sz w:val="28"/>
          <w:szCs w:val="28"/>
          <w:lang w:val="en-US"/>
        </w:rPr>
        <w:t>Van Baal</w:t>
      </w:r>
      <w:r w:rsidRPr="00C62D22">
        <w:rPr>
          <w:rFonts w:ascii="Times New Roman" w:eastAsia="TimesNewRoman" w:hAnsi="Times New Roman"/>
          <w:sz w:val="28"/>
          <w:szCs w:val="28"/>
          <w:lang w:val="en-US"/>
        </w:rPr>
        <w:t xml:space="preserve"> </w:t>
      </w:r>
      <w:r w:rsidRPr="003307F1">
        <w:rPr>
          <w:rFonts w:ascii="Times New Roman" w:eastAsia="TimesNewRoman" w:hAnsi="Times New Roman"/>
          <w:sz w:val="28"/>
          <w:szCs w:val="28"/>
          <w:lang w:val="en-US"/>
        </w:rPr>
        <w:t xml:space="preserve">// Br. J. Surg. </w:t>
      </w:r>
      <w:r>
        <w:rPr>
          <w:rFonts w:ascii="Times New Roman" w:hAnsi="Times New Roman"/>
          <w:sz w:val="28"/>
          <w:szCs w:val="28"/>
          <w:lang w:val="en-US"/>
        </w:rPr>
        <w:t>– 2011. – Vol. 98. – P. 18</w:t>
      </w:r>
      <w:r w:rsidRPr="00C62D22">
        <w:rPr>
          <w:rFonts w:ascii="Times New Roman" w:hAnsi="Times New Roman"/>
          <w:sz w:val="28"/>
          <w:szCs w:val="28"/>
          <w:lang w:val="en-US"/>
        </w:rPr>
        <w:t>-</w:t>
      </w:r>
      <w:r w:rsidRPr="003307F1">
        <w:rPr>
          <w:rFonts w:ascii="Times New Roman" w:hAnsi="Times New Roman"/>
          <w:sz w:val="28"/>
          <w:szCs w:val="28"/>
          <w:lang w:val="en-US"/>
        </w:rPr>
        <w:t>27.</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Vege S. Peripancreatic collections in acute pancreatitis: correlation between computerized tomography and operative findings /</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S. Vege, J. Fletcher // World J. Gastroenterol. </w:t>
      </w:r>
      <w:r w:rsidRPr="00C62D22">
        <w:rPr>
          <w:rFonts w:ascii="Times New Roman" w:hAnsi="Times New Roman"/>
          <w:sz w:val="28"/>
          <w:szCs w:val="28"/>
          <w:lang w:val="en-US"/>
        </w:rPr>
        <w:t>–</w:t>
      </w:r>
      <w:r w:rsidRPr="003307F1">
        <w:rPr>
          <w:rFonts w:ascii="Times New Roman" w:hAnsi="Times New Roman"/>
          <w:sz w:val="28"/>
          <w:szCs w:val="28"/>
          <w:lang w:val="en-US"/>
        </w:rPr>
        <w:t xml:space="preserve"> 2010. </w:t>
      </w:r>
      <w:r w:rsidRPr="00C62D22">
        <w:rPr>
          <w:rFonts w:ascii="Times New Roman" w:hAnsi="Times New Roman"/>
          <w:sz w:val="28"/>
          <w:szCs w:val="28"/>
          <w:lang w:val="en-US"/>
        </w:rPr>
        <w:t>–</w:t>
      </w:r>
      <w:r w:rsidRPr="003307F1">
        <w:rPr>
          <w:rFonts w:ascii="Times New Roman" w:hAnsi="Times New Roman"/>
          <w:sz w:val="28"/>
          <w:szCs w:val="28"/>
          <w:lang w:val="en-US"/>
        </w:rPr>
        <w:t xml:space="preserve"> Vol. 6,</w:t>
      </w:r>
      <w:r w:rsidRPr="003307F1">
        <w:rPr>
          <w:rFonts w:ascii="Times New Roman" w:eastAsia="TimesNewRoman" w:hAnsi="Times New Roman"/>
          <w:sz w:val="28"/>
          <w:szCs w:val="28"/>
          <w:lang w:val="en-US"/>
        </w:rPr>
        <w:t xml:space="preserve"> </w:t>
      </w:r>
      <w:r w:rsidRPr="00C62D22">
        <w:rPr>
          <w:rFonts w:ascii="Times New Roman" w:hAnsi="Times New Roman"/>
          <w:sz w:val="28"/>
          <w:szCs w:val="28"/>
          <w:lang w:val="en-US"/>
        </w:rPr>
        <w:t>№</w:t>
      </w:r>
      <w:r w:rsidRPr="003307F1">
        <w:rPr>
          <w:rFonts w:ascii="Times New Roman" w:hAnsi="Times New Roman"/>
          <w:sz w:val="28"/>
          <w:szCs w:val="28"/>
          <w:lang w:val="en-US"/>
        </w:rPr>
        <w:t xml:space="preserve"> 34. </w:t>
      </w:r>
      <w:r w:rsidRPr="00C62D22">
        <w:rPr>
          <w:rFonts w:ascii="Times New Roman" w:hAnsi="Times New Roman"/>
          <w:sz w:val="28"/>
          <w:szCs w:val="28"/>
          <w:lang w:val="en-US"/>
        </w:rPr>
        <w:t>–</w:t>
      </w:r>
      <w:r w:rsidRPr="003307F1">
        <w:rPr>
          <w:rFonts w:ascii="Times New Roman" w:hAnsi="Times New Roman"/>
          <w:sz w:val="28"/>
          <w:szCs w:val="28"/>
          <w:lang w:val="en-US"/>
        </w:rPr>
        <w:t xml:space="preserve"> </w:t>
      </w:r>
      <w:r w:rsidRPr="003307F1">
        <w:rPr>
          <w:rFonts w:ascii="Times New Roman" w:hAnsi="Times New Roman"/>
          <w:sz w:val="28"/>
          <w:szCs w:val="28"/>
        </w:rPr>
        <w:t>Р</w:t>
      </w:r>
      <w:r>
        <w:rPr>
          <w:rFonts w:ascii="Times New Roman" w:hAnsi="Times New Roman"/>
          <w:sz w:val="28"/>
          <w:szCs w:val="28"/>
          <w:lang w:val="en-US"/>
        </w:rPr>
        <w:t>. 4291</w:t>
      </w:r>
      <w:r w:rsidRPr="00C62D22">
        <w:rPr>
          <w:rFonts w:ascii="Times New Roman" w:hAnsi="Times New Roman"/>
          <w:sz w:val="28"/>
          <w:szCs w:val="28"/>
          <w:lang w:val="en-US"/>
        </w:rPr>
        <w:t>-</w:t>
      </w:r>
      <w:r w:rsidRPr="003307F1">
        <w:rPr>
          <w:rFonts w:ascii="Times New Roman" w:hAnsi="Times New Roman"/>
          <w:sz w:val="28"/>
          <w:szCs w:val="28"/>
          <w:lang w:val="en-US"/>
        </w:rPr>
        <w:t>4296.</w:t>
      </w:r>
    </w:p>
    <w:p w:rsidR="00C62D22" w:rsidRPr="003307F1"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rPr>
      </w:pPr>
      <w:r w:rsidRPr="003307F1">
        <w:rPr>
          <w:rFonts w:ascii="Times New Roman" w:hAnsi="Times New Roman"/>
          <w:sz w:val="28"/>
          <w:szCs w:val="28"/>
          <w:lang w:val="en-US"/>
        </w:rPr>
        <w:t>Warshaw A. L. Distal pancreatectomy with preservation of the</w:t>
      </w:r>
      <w:r w:rsidRPr="003307F1">
        <w:rPr>
          <w:rFonts w:ascii="Times New Roman" w:eastAsia="TimesNewRoman" w:hAnsi="Times New Roman"/>
          <w:sz w:val="28"/>
          <w:szCs w:val="28"/>
          <w:lang w:val="en-US"/>
        </w:rPr>
        <w:t xml:space="preserve"> </w:t>
      </w:r>
      <w:r w:rsidRPr="003307F1">
        <w:rPr>
          <w:rFonts w:ascii="Times New Roman" w:hAnsi="Times New Roman"/>
          <w:sz w:val="28"/>
          <w:szCs w:val="28"/>
          <w:lang w:val="en-US"/>
        </w:rPr>
        <w:t xml:space="preserve">spleen / </w:t>
      </w:r>
      <w:r w:rsidRPr="00C62D22">
        <w:rPr>
          <w:rFonts w:ascii="Times New Roman" w:hAnsi="Times New Roman"/>
          <w:sz w:val="28"/>
          <w:szCs w:val="28"/>
          <w:lang w:val="en-US"/>
        </w:rPr>
        <w:t xml:space="preserve">                  </w:t>
      </w:r>
      <w:r w:rsidRPr="003307F1">
        <w:rPr>
          <w:rFonts w:ascii="Times New Roman" w:hAnsi="Times New Roman"/>
          <w:sz w:val="28"/>
          <w:szCs w:val="28"/>
          <w:lang w:val="en-US"/>
        </w:rPr>
        <w:t>A. L. Warshaw // J. Hepatobil. Pancr. Sci. –</w:t>
      </w:r>
      <w:r>
        <w:rPr>
          <w:rFonts w:ascii="Times New Roman" w:hAnsi="Times New Roman"/>
          <w:sz w:val="28"/>
          <w:szCs w:val="28"/>
          <w:lang w:val="en-US"/>
        </w:rPr>
        <w:t xml:space="preserve"> 2010. – Vol. 17, № 6. – P. 808</w:t>
      </w:r>
      <w:r>
        <w:rPr>
          <w:rFonts w:ascii="Times New Roman" w:hAnsi="Times New Roman"/>
          <w:sz w:val="28"/>
          <w:szCs w:val="28"/>
        </w:rPr>
        <w:t>-</w:t>
      </w:r>
      <w:r w:rsidRPr="003307F1">
        <w:rPr>
          <w:rFonts w:ascii="Times New Roman" w:hAnsi="Times New Roman"/>
          <w:sz w:val="28"/>
          <w:szCs w:val="28"/>
          <w:lang w:val="en-US"/>
        </w:rPr>
        <w:t>812.</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bdr w:val="none" w:sz="0" w:space="0" w:color="auto" w:frame="1"/>
          <w:lang w:val="en-US"/>
        </w:rPr>
        <w:t>Wensil A. M.</w:t>
      </w:r>
      <w:r w:rsidRPr="003307F1">
        <w:rPr>
          <w:rStyle w:val="apple-converted-space"/>
          <w:rFonts w:ascii="Times New Roman" w:hAnsi="Times New Roman"/>
          <w:sz w:val="28"/>
          <w:szCs w:val="28"/>
          <w:bdr w:val="none" w:sz="0" w:space="0" w:color="auto" w:frame="1"/>
          <w:lang w:val="en-US"/>
        </w:rPr>
        <w:t xml:space="preserve"> </w:t>
      </w:r>
      <w:r w:rsidRPr="003307F1">
        <w:rPr>
          <w:rFonts w:ascii="Times New Roman" w:hAnsi="Times New Roman"/>
          <w:bCs/>
          <w:sz w:val="28"/>
          <w:szCs w:val="28"/>
          <w:bdr w:val="none" w:sz="0" w:space="0" w:color="auto" w:frame="1"/>
          <w:lang w:val="en-US"/>
        </w:rPr>
        <w:t xml:space="preserve">Resolution of a posttraumatic pancreatic pseudocyst with octreotide acetate in a pediatric patient / </w:t>
      </w:r>
      <w:r w:rsidRPr="003307F1">
        <w:rPr>
          <w:rFonts w:ascii="Times New Roman" w:hAnsi="Times New Roman"/>
          <w:sz w:val="28"/>
          <w:szCs w:val="28"/>
        </w:rPr>
        <w:t>А</w:t>
      </w:r>
      <w:r w:rsidRPr="003307F1">
        <w:rPr>
          <w:rFonts w:ascii="Times New Roman" w:hAnsi="Times New Roman"/>
          <w:sz w:val="28"/>
          <w:szCs w:val="28"/>
          <w:lang w:val="en-US"/>
        </w:rPr>
        <w:t xml:space="preserve">. </w:t>
      </w:r>
      <w:r w:rsidRPr="003307F1">
        <w:rPr>
          <w:rFonts w:ascii="Times New Roman" w:hAnsi="Times New Roman"/>
          <w:sz w:val="28"/>
          <w:szCs w:val="28"/>
        </w:rPr>
        <w:t>М</w:t>
      </w:r>
      <w:r w:rsidRPr="003307F1">
        <w:rPr>
          <w:rFonts w:ascii="Times New Roman" w:hAnsi="Times New Roman"/>
          <w:sz w:val="28"/>
          <w:szCs w:val="28"/>
          <w:lang w:val="en-US"/>
        </w:rPr>
        <w:t xml:space="preserve">. </w:t>
      </w:r>
      <w:r w:rsidRPr="003307F1">
        <w:rPr>
          <w:rFonts w:ascii="Times New Roman" w:hAnsi="Times New Roman"/>
          <w:sz w:val="28"/>
          <w:szCs w:val="28"/>
          <w:bdr w:val="none" w:sz="0" w:space="0" w:color="auto" w:frame="1"/>
          <w:lang w:val="en-US"/>
        </w:rPr>
        <w:t xml:space="preserve">Wensil, S. A. Balasubramanian, T. L. Bell // </w:t>
      </w:r>
      <w:r w:rsidRPr="003307F1">
        <w:rPr>
          <w:rFonts w:ascii="Times New Roman" w:hAnsi="Times New Roman"/>
          <w:iCs/>
          <w:sz w:val="28"/>
          <w:szCs w:val="28"/>
          <w:bdr w:val="none" w:sz="0" w:space="0" w:color="auto" w:frame="1"/>
          <w:lang w:val="en-US"/>
        </w:rPr>
        <w:t>Pharmacotherapy</w:t>
      </w:r>
      <w:r w:rsidRPr="003307F1">
        <w:rPr>
          <w:rFonts w:ascii="Times New Roman" w:hAnsi="Times New Roman"/>
          <w:sz w:val="28"/>
          <w:szCs w:val="28"/>
          <w:bdr w:val="none" w:sz="0" w:space="0" w:color="auto" w:frame="1"/>
          <w:lang w:val="en-US"/>
        </w:rPr>
        <w:t xml:space="preserve">. </w:t>
      </w:r>
      <w:r w:rsidRPr="003307F1">
        <w:rPr>
          <w:rFonts w:ascii="Times New Roman" w:hAnsi="Times New Roman"/>
          <w:sz w:val="28"/>
          <w:szCs w:val="28"/>
          <w:lang w:val="en-US"/>
        </w:rPr>
        <w:t xml:space="preserve">– </w:t>
      </w:r>
      <w:r w:rsidRPr="003307F1">
        <w:rPr>
          <w:rFonts w:ascii="Times New Roman" w:hAnsi="Times New Roman"/>
          <w:sz w:val="28"/>
          <w:szCs w:val="28"/>
          <w:bdr w:val="none" w:sz="0" w:space="0" w:color="auto" w:frame="1"/>
          <w:lang w:val="en-US"/>
        </w:rPr>
        <w:t xml:space="preserve">2011. </w:t>
      </w:r>
      <w:r w:rsidRPr="003307F1">
        <w:rPr>
          <w:rFonts w:ascii="Times New Roman" w:hAnsi="Times New Roman"/>
          <w:sz w:val="28"/>
          <w:szCs w:val="28"/>
          <w:lang w:val="en-US"/>
        </w:rPr>
        <w:t>– Vol.</w:t>
      </w:r>
      <w:r w:rsidRPr="003307F1">
        <w:rPr>
          <w:rFonts w:ascii="Times New Roman" w:hAnsi="Times New Roman"/>
          <w:sz w:val="28"/>
          <w:szCs w:val="28"/>
          <w:bdr w:val="none" w:sz="0" w:space="0" w:color="auto" w:frame="1"/>
          <w:lang w:val="en-US"/>
        </w:rPr>
        <w:t xml:space="preserve"> 31, № 9.</w:t>
      </w:r>
      <w:r w:rsidRPr="003307F1">
        <w:rPr>
          <w:rFonts w:ascii="Times New Roman" w:hAnsi="Times New Roman"/>
          <w:sz w:val="28"/>
          <w:szCs w:val="28"/>
          <w:lang w:val="en-US"/>
        </w:rPr>
        <w:t xml:space="preserve"> – </w:t>
      </w:r>
      <w:r w:rsidRPr="003307F1">
        <w:rPr>
          <w:rFonts w:ascii="Times New Roman" w:hAnsi="Times New Roman"/>
          <w:sz w:val="28"/>
          <w:szCs w:val="28"/>
        </w:rPr>
        <w:t>Р</w:t>
      </w:r>
      <w:r w:rsidRPr="003307F1">
        <w:rPr>
          <w:rFonts w:ascii="Times New Roman" w:hAnsi="Times New Roman"/>
          <w:sz w:val="28"/>
          <w:szCs w:val="28"/>
          <w:lang w:val="en-US"/>
        </w:rPr>
        <w:t xml:space="preserve">. </w:t>
      </w:r>
      <w:r w:rsidRPr="003307F1">
        <w:rPr>
          <w:rFonts w:ascii="Times New Roman" w:hAnsi="Times New Roman"/>
          <w:sz w:val="28"/>
          <w:szCs w:val="28"/>
          <w:bdr w:val="none" w:sz="0" w:space="0" w:color="auto" w:frame="1"/>
          <w:lang w:val="en-US"/>
        </w:rPr>
        <w:t>924.</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lastRenderedPageBreak/>
        <w:t xml:space="preserve">Wilson S.R. Microbubble-enhanced US in body imaging: what role? / </w:t>
      </w:r>
      <w:r w:rsidRPr="00C62D22">
        <w:rPr>
          <w:rFonts w:ascii="Times New Roman" w:hAnsi="Times New Roman"/>
          <w:sz w:val="28"/>
          <w:szCs w:val="28"/>
          <w:lang w:val="en-US"/>
        </w:rPr>
        <w:t xml:space="preserve">                      </w:t>
      </w:r>
      <w:r w:rsidRPr="003307F1">
        <w:rPr>
          <w:rFonts w:ascii="Times New Roman" w:hAnsi="Times New Roman"/>
          <w:sz w:val="28"/>
          <w:szCs w:val="28"/>
          <w:lang w:val="en-US"/>
        </w:rPr>
        <w:t xml:space="preserve">S. R. Wilson, P. N. Burns // Radiology. – 2010. – Vol. 257, </w:t>
      </w:r>
      <w:r w:rsidRPr="003307F1">
        <w:rPr>
          <w:rFonts w:ascii="Times New Roman" w:hAnsi="Times New Roman"/>
          <w:sz w:val="28"/>
          <w:szCs w:val="28"/>
          <w:bdr w:val="none" w:sz="0" w:space="0" w:color="auto" w:frame="1"/>
          <w:lang w:val="en-US"/>
        </w:rPr>
        <w:t xml:space="preserve">№ </w:t>
      </w:r>
      <w:r>
        <w:rPr>
          <w:rFonts w:ascii="Times New Roman" w:hAnsi="Times New Roman"/>
          <w:sz w:val="28"/>
          <w:szCs w:val="28"/>
          <w:lang w:val="en-US"/>
        </w:rPr>
        <w:t>1. – P. 24</w:t>
      </w:r>
      <w:r w:rsidRPr="00C62D22">
        <w:rPr>
          <w:rFonts w:ascii="Times New Roman" w:hAnsi="Times New Roman"/>
          <w:sz w:val="28"/>
          <w:szCs w:val="28"/>
          <w:lang w:val="en-US"/>
        </w:rPr>
        <w:t>-</w:t>
      </w:r>
      <w:r w:rsidRPr="003307F1">
        <w:rPr>
          <w:rFonts w:ascii="Times New Roman" w:hAnsi="Times New Roman"/>
          <w:sz w:val="28"/>
          <w:szCs w:val="28"/>
          <w:lang w:val="en-US"/>
        </w:rPr>
        <w:t>39.</w:t>
      </w:r>
    </w:p>
    <w:p w:rsidR="00C62D22" w:rsidRPr="00C62D22" w:rsidRDefault="00C62D22" w:rsidP="00C62D22">
      <w:pPr>
        <w:numPr>
          <w:ilvl w:val="0"/>
          <w:numId w:val="34"/>
        </w:numPr>
        <w:tabs>
          <w:tab w:val="clear" w:pos="720"/>
          <w:tab w:val="left" w:pos="360"/>
          <w:tab w:val="left" w:pos="1080"/>
        </w:tabs>
        <w:autoSpaceDE w:val="0"/>
        <w:autoSpaceDN w:val="0"/>
        <w:adjustRightInd w:val="0"/>
        <w:spacing w:after="0" w:line="360" w:lineRule="auto"/>
        <w:ind w:left="0" w:firstLine="360"/>
        <w:jc w:val="both"/>
        <w:rPr>
          <w:rFonts w:ascii="Times New Roman" w:eastAsia="TimesNewRoman" w:hAnsi="Times New Roman"/>
          <w:sz w:val="28"/>
          <w:szCs w:val="28"/>
          <w:lang w:val="en-US"/>
        </w:rPr>
      </w:pPr>
      <w:r w:rsidRPr="003307F1">
        <w:rPr>
          <w:rFonts w:ascii="Times New Roman" w:hAnsi="Times New Roman"/>
          <w:sz w:val="28"/>
          <w:szCs w:val="28"/>
          <w:lang w:val="en-US"/>
        </w:rPr>
        <w:t xml:space="preserve">Wynn T. A. Cellular and molecular mechanisms of fibrosis / </w:t>
      </w:r>
      <w:r w:rsidRPr="003307F1">
        <w:rPr>
          <w:rFonts w:ascii="Times New Roman" w:hAnsi="Times New Roman"/>
          <w:sz w:val="28"/>
          <w:szCs w:val="28"/>
        </w:rPr>
        <w:t>Т</w:t>
      </w:r>
      <w:r w:rsidRPr="003307F1">
        <w:rPr>
          <w:rFonts w:ascii="Times New Roman" w:hAnsi="Times New Roman"/>
          <w:sz w:val="28"/>
          <w:szCs w:val="28"/>
          <w:lang w:val="en-US"/>
        </w:rPr>
        <w:t>.</w:t>
      </w:r>
      <w:r w:rsidRPr="00C62D22">
        <w:rPr>
          <w:rFonts w:ascii="Times New Roman" w:hAnsi="Times New Roman"/>
          <w:sz w:val="28"/>
          <w:szCs w:val="28"/>
          <w:lang w:val="en-US"/>
        </w:rPr>
        <w:t xml:space="preserve"> </w:t>
      </w:r>
      <w:r w:rsidRPr="003307F1">
        <w:rPr>
          <w:rFonts w:ascii="Times New Roman" w:hAnsi="Times New Roman"/>
          <w:sz w:val="28"/>
          <w:szCs w:val="28"/>
        </w:rPr>
        <w:t>А</w:t>
      </w:r>
      <w:r w:rsidRPr="003307F1">
        <w:rPr>
          <w:rFonts w:ascii="Times New Roman" w:hAnsi="Times New Roman"/>
          <w:sz w:val="28"/>
          <w:szCs w:val="28"/>
          <w:lang w:val="en-US"/>
        </w:rPr>
        <w:t xml:space="preserve">. Wynn // </w:t>
      </w:r>
      <w:r w:rsidRPr="00C62D22">
        <w:rPr>
          <w:rFonts w:ascii="Times New Roman" w:hAnsi="Times New Roman"/>
          <w:sz w:val="28"/>
          <w:szCs w:val="28"/>
          <w:lang w:val="en-US"/>
        </w:rPr>
        <w:t xml:space="preserve">                   </w:t>
      </w:r>
      <w:r w:rsidRPr="003307F1">
        <w:rPr>
          <w:rFonts w:ascii="Times New Roman" w:hAnsi="Times New Roman"/>
          <w:sz w:val="28"/>
          <w:szCs w:val="28"/>
          <w:lang w:val="en-US"/>
        </w:rPr>
        <w:t>J. Patho</w:t>
      </w:r>
      <w:r>
        <w:rPr>
          <w:rFonts w:ascii="Times New Roman" w:hAnsi="Times New Roman"/>
          <w:sz w:val="28"/>
          <w:szCs w:val="28"/>
          <w:lang w:val="en-US"/>
        </w:rPr>
        <w:t>l. – 2008. – Vol. 214. – P. 199</w:t>
      </w:r>
      <w:r w:rsidRPr="00C62D22">
        <w:rPr>
          <w:rFonts w:ascii="Times New Roman" w:hAnsi="Times New Roman"/>
          <w:sz w:val="28"/>
          <w:szCs w:val="28"/>
          <w:lang w:val="en-US"/>
        </w:rPr>
        <w:t>-</w:t>
      </w:r>
      <w:r w:rsidRPr="003307F1">
        <w:rPr>
          <w:rFonts w:ascii="Times New Roman" w:hAnsi="Times New Roman"/>
          <w:sz w:val="28"/>
          <w:szCs w:val="28"/>
          <w:lang w:val="en-US"/>
        </w:rPr>
        <w:t>210.</w:t>
      </w:r>
    </w:p>
    <w:p w:rsidR="00C62D22" w:rsidRDefault="00C62D22">
      <w:pPr>
        <w:rPr>
          <w:rFonts w:ascii="Times New Roman" w:hAnsi="Times New Roman" w:cs="Times New Roman"/>
          <w:sz w:val="28"/>
          <w:szCs w:val="28"/>
          <w:lang w:val="en-US"/>
        </w:rPr>
      </w:pPr>
      <w:r>
        <w:rPr>
          <w:rFonts w:ascii="Times New Roman" w:hAnsi="Times New Roman" w:cs="Times New Roman"/>
          <w:sz w:val="28"/>
          <w:szCs w:val="28"/>
          <w:lang w:val="en-US"/>
        </w:rPr>
        <w:br w:type="page"/>
      </w:r>
    </w:p>
    <w:p w:rsidR="00C62D22" w:rsidRDefault="00C62D22" w:rsidP="00C62D22">
      <w:pPr>
        <w:spacing w:after="0" w:line="360" w:lineRule="auto"/>
        <w:ind w:firstLine="708"/>
        <w:jc w:val="center"/>
        <w:rPr>
          <w:rFonts w:ascii="Times New Roman" w:hAnsi="Times New Roman"/>
          <w:sz w:val="28"/>
          <w:szCs w:val="28"/>
          <w:lang w:val="uk-UA"/>
        </w:rPr>
      </w:pPr>
      <w:r>
        <w:rPr>
          <w:rFonts w:ascii="Times New Roman" w:hAnsi="Times New Roman"/>
          <w:sz w:val="28"/>
          <w:szCs w:val="28"/>
          <w:lang w:val="uk-UA"/>
        </w:rPr>
        <w:lastRenderedPageBreak/>
        <w:t>Додаток А</w:t>
      </w:r>
    </w:p>
    <w:p w:rsidR="00C62D22" w:rsidRDefault="00C62D22" w:rsidP="00C62D22">
      <w:pPr>
        <w:spacing w:after="0" w:line="360" w:lineRule="auto"/>
        <w:ind w:firstLine="708"/>
        <w:jc w:val="right"/>
        <w:rPr>
          <w:rFonts w:ascii="Times New Roman" w:hAnsi="Times New Roman"/>
          <w:sz w:val="28"/>
          <w:szCs w:val="28"/>
          <w:lang w:val="uk-UA"/>
        </w:rPr>
      </w:pPr>
    </w:p>
    <w:p w:rsidR="00C62D22" w:rsidRDefault="00C62D22" w:rsidP="00C62D22">
      <w:pPr>
        <w:spacing w:after="0" w:line="360" w:lineRule="auto"/>
        <w:ind w:firstLine="708"/>
        <w:jc w:val="right"/>
        <w:rPr>
          <w:rFonts w:ascii="Times New Roman" w:hAnsi="Times New Roman"/>
          <w:sz w:val="28"/>
          <w:szCs w:val="28"/>
          <w:lang w:val="uk-UA"/>
        </w:rPr>
      </w:pPr>
    </w:p>
    <w:p w:rsidR="00C62D22" w:rsidRPr="000F2B01" w:rsidRDefault="00C62D22" w:rsidP="00C62D22">
      <w:pPr>
        <w:spacing w:after="0" w:line="360" w:lineRule="auto"/>
        <w:ind w:firstLine="708"/>
        <w:jc w:val="right"/>
        <w:rPr>
          <w:rFonts w:ascii="Times New Roman" w:hAnsi="Times New Roman"/>
          <w:sz w:val="28"/>
          <w:szCs w:val="28"/>
          <w:lang w:val="uk-UA"/>
        </w:rPr>
      </w:pPr>
    </w:p>
    <w:p w:rsidR="00C62D22" w:rsidRPr="000F2B01" w:rsidRDefault="00C62D22" w:rsidP="00C62D22">
      <w:pPr>
        <w:tabs>
          <w:tab w:val="left" w:pos="720"/>
        </w:tabs>
        <w:spacing w:after="0" w:line="360" w:lineRule="auto"/>
        <w:ind w:firstLine="360"/>
        <w:jc w:val="center"/>
        <w:rPr>
          <w:rFonts w:ascii="Times New Roman" w:hAnsi="Times New Roman"/>
          <w:b/>
          <w:sz w:val="28"/>
          <w:szCs w:val="28"/>
          <w:lang w:val="uk-UA"/>
        </w:rPr>
      </w:pPr>
      <w:r w:rsidRPr="000F2B01">
        <w:rPr>
          <w:rFonts w:ascii="Times New Roman" w:hAnsi="Times New Roman"/>
          <w:b/>
          <w:sz w:val="28"/>
          <w:szCs w:val="28"/>
          <w:lang w:val="uk-UA"/>
        </w:rPr>
        <w:t>Список публікацій здобувача</w:t>
      </w:r>
    </w:p>
    <w:p w:rsidR="00C62D22" w:rsidRPr="000F2B01" w:rsidRDefault="00C62D22" w:rsidP="00C62D22">
      <w:pPr>
        <w:widowControl w:val="0"/>
        <w:numPr>
          <w:ilvl w:val="0"/>
          <w:numId w:val="1"/>
        </w:numPr>
        <w:shd w:val="clear" w:color="auto" w:fill="FFFFFF"/>
        <w:tabs>
          <w:tab w:val="left" w:pos="284"/>
          <w:tab w:val="left" w:pos="72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Н.М. Використання сучасних мініінвазивних технологій при лікуванні ускладнених псевдокіст підшлункової залози / Н.М. Гончарова // Харківська хірургічна школа. – 2015. – №6 (75). – С. 71-74.</w:t>
      </w:r>
    </w:p>
    <w:p w:rsidR="00C62D22" w:rsidRPr="000F2B01" w:rsidRDefault="00C62D22" w:rsidP="00C62D22">
      <w:pPr>
        <w:widowControl w:val="0"/>
        <w:numPr>
          <w:ilvl w:val="0"/>
          <w:numId w:val="1"/>
        </w:numPr>
        <w:shd w:val="clear" w:color="auto" w:fill="FFFFFF"/>
        <w:tabs>
          <w:tab w:val="left" w:pos="284"/>
          <w:tab w:val="left" w:pos="72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Застосування мініінвазивних методів хірургічного лікування хворих на ускладнені гострі псевдокісти підшлункової залози / Н.М. Гончарова // Харківська хірургічна школа. – 2016. – №1 (76). – С.160-162. </w:t>
      </w:r>
    </w:p>
    <w:p w:rsidR="00C62D22" w:rsidRPr="000F2B01" w:rsidRDefault="00C62D22" w:rsidP="00C62D22">
      <w:pPr>
        <w:widowControl w:val="0"/>
        <w:numPr>
          <w:ilvl w:val="0"/>
          <w:numId w:val="1"/>
        </w:numPr>
        <w:shd w:val="clear" w:color="auto" w:fill="FFFFFF"/>
        <w:tabs>
          <w:tab w:val="left" w:pos="284"/>
          <w:tab w:val="left" w:pos="72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Прогнозування вибору методу оперативного втручання при ускладнених псевдокістах підшлункової залози третього типу / І. А. Криворучко, Н.М. Гончарова, О.В. Арсен' єв // Journal of education, Health and Sport. – 2016. – Vol. 6, №6. – С. 59-68. </w:t>
      </w:r>
    </w:p>
    <w:p w:rsidR="00C62D22" w:rsidRPr="000F2B01" w:rsidRDefault="00C62D22" w:rsidP="00C62D22">
      <w:pPr>
        <w:widowControl w:val="0"/>
        <w:numPr>
          <w:ilvl w:val="0"/>
          <w:numId w:val="1"/>
        </w:numPr>
        <w:shd w:val="clear" w:color="auto" w:fill="FFFFFF"/>
        <w:tabs>
          <w:tab w:val="left" w:pos="284"/>
          <w:tab w:val="left" w:pos="72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Н.Н. Морфологические особенности полостных образований при остром панкреатите / И.А. Криворучко, И.А. Тарабан, И.В. Сорокина,                          Н.Н. Гончарова // Новости хирургии. – 2015. – Vol. 23, №2. – С. 154-159.</w:t>
      </w:r>
    </w:p>
    <w:p w:rsidR="00C62D22" w:rsidRPr="000F2B01" w:rsidRDefault="00C62D22" w:rsidP="00C62D22">
      <w:pPr>
        <w:widowControl w:val="0"/>
        <w:numPr>
          <w:ilvl w:val="0"/>
          <w:numId w:val="1"/>
        </w:numPr>
        <w:shd w:val="clear" w:color="auto" w:fill="FFFFFF"/>
        <w:tabs>
          <w:tab w:val="left" w:pos="284"/>
          <w:tab w:val="left" w:pos="72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 Гончарова Н.М. Хірургічне лікування псевдокіст підшлункової залози, ускладнених механічною жовтяницею / І. А. Криворучко, Н.М. Гончарова // Науковий вісник Ужгородського університету. – 2015. – Випуск 2 (52). – С. 45-48. </w:t>
      </w:r>
    </w:p>
    <w:p w:rsidR="00C62D22" w:rsidRPr="000F2B01" w:rsidRDefault="00C62D22" w:rsidP="00C62D22">
      <w:pPr>
        <w:widowControl w:val="0"/>
        <w:numPr>
          <w:ilvl w:val="0"/>
          <w:numId w:val="1"/>
        </w:numPr>
        <w:shd w:val="clear" w:color="auto" w:fill="FFFFFF"/>
        <w:tabs>
          <w:tab w:val="left" w:pos="284"/>
          <w:tab w:val="left" w:pos="72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Н.Н. Особенности морфогенеза осложненных псевдокист поджелудочной железы / И.А. Криворучко, И.А. Тарабан, И.В. Сорокина,                     Н.Н. Гончарова // Новости хирургии. – 2016. – Vol. 24, №1. – С. 47-54. </w:t>
      </w:r>
    </w:p>
    <w:p w:rsidR="00C62D22" w:rsidRPr="000F2B01" w:rsidRDefault="00C62D22" w:rsidP="00C62D22">
      <w:pPr>
        <w:widowControl w:val="0"/>
        <w:numPr>
          <w:ilvl w:val="0"/>
          <w:numId w:val="1"/>
        </w:numPr>
        <w:shd w:val="clear" w:color="auto" w:fill="FFFFFF"/>
        <w:tabs>
          <w:tab w:val="left" w:pos="284"/>
          <w:tab w:val="left" w:pos="72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Н.Н. Хирургическое лечение инфицированных псевдокист поджелудочной железы / И.А. Криворучко, Н.Н. Гончарова // Клиническая и экспериментальная хирургия. Электронный научно-практический журнал. – 2015. [http:jecs.ru/viev/434.html] </w:t>
      </w:r>
    </w:p>
    <w:p w:rsidR="00C62D22" w:rsidRPr="000F2B01" w:rsidRDefault="00C62D22" w:rsidP="00C62D22">
      <w:pPr>
        <w:widowControl w:val="0"/>
        <w:numPr>
          <w:ilvl w:val="0"/>
          <w:numId w:val="1"/>
        </w:numPr>
        <w:shd w:val="clear" w:color="auto" w:fill="FFFFFF"/>
        <w:tabs>
          <w:tab w:val="left" w:pos="284"/>
          <w:tab w:val="left" w:pos="72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Особливості патоморфологічних змін у хворих з різними типами псевдокіст підшлункової залози / І.А. Криворучко, Н.М. Гончарова, І.В. </w:t>
      </w:r>
      <w:r w:rsidRPr="000F2B01">
        <w:rPr>
          <w:rFonts w:ascii="Times New Roman" w:hAnsi="Times New Roman"/>
          <w:sz w:val="28"/>
          <w:szCs w:val="28"/>
          <w:lang w:val="uk-UA"/>
        </w:rPr>
        <w:lastRenderedPageBreak/>
        <w:t xml:space="preserve">Сорокіна // Морфологія. – 2015. – Т.9, № 3. – С. 31-41. </w:t>
      </w:r>
    </w:p>
    <w:p w:rsidR="00C62D22" w:rsidRPr="000F2B01" w:rsidRDefault="00C62D22" w:rsidP="00C62D22">
      <w:pPr>
        <w:widowControl w:val="0"/>
        <w:numPr>
          <w:ilvl w:val="0"/>
          <w:numId w:val="1"/>
        </w:numPr>
        <w:shd w:val="clear" w:color="auto" w:fill="FFFFFF"/>
        <w:tabs>
          <w:tab w:val="left" w:pos="284"/>
          <w:tab w:val="left" w:pos="72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Сучасні погляди щодо хірургічного лікування псевдокіст підшлункової залози з компресією суміжних органів / І.А. Криворучко, Н.М. Гончарова, В.М. Чеверда // Харківська хірургічна школа. – 2015. </w:t>
      </w:r>
      <w:r w:rsidRPr="000F2B01">
        <w:rPr>
          <w:rFonts w:ascii="Tahoma" w:hAnsi="Tahoma" w:cs="Tahoma"/>
          <w:sz w:val="28"/>
          <w:szCs w:val="28"/>
          <w:lang w:val="uk-UA"/>
        </w:rPr>
        <w:t>̶</w:t>
      </w:r>
      <w:r w:rsidRPr="000F2B01">
        <w:rPr>
          <w:rFonts w:ascii="Times New Roman" w:hAnsi="Times New Roman"/>
          <w:sz w:val="28"/>
          <w:szCs w:val="28"/>
          <w:lang w:val="uk-UA"/>
        </w:rPr>
        <w:t xml:space="preserve">  №4(73). – С. 29-31. </w:t>
      </w:r>
    </w:p>
    <w:p w:rsidR="00C62D22" w:rsidRPr="000F2B01" w:rsidRDefault="00C62D22" w:rsidP="00C62D22">
      <w:pPr>
        <w:widowControl w:val="0"/>
        <w:numPr>
          <w:ilvl w:val="0"/>
          <w:numId w:val="1"/>
        </w:numPr>
        <w:shd w:val="clear" w:color="auto" w:fill="FFFFFF"/>
        <w:tabs>
          <w:tab w:val="left" w:pos="284"/>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Хірургічне лікування ускладнених псевдокіст підшлункової залози: мініінвазивні чи «відкриті» втручання? / В.М. Копчак, І.А. Криворучко, Н.М. Гончарова // Харківська хірургічна школа. – 2014. – №1(64). – С. 103-106.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Застосування відкритих операційних втручань у хворих на ускладнені псевдокісти підшлункової залози першого типу / І.А. Криворучко, Н.М. Гончарова // Шпитальна хірургія. – 2016. – №2 (74). – С. 32-35.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Н.Н. Хирургическое лечение псевдокист поджелудочной железы, осложненных кровотечением в их полость, с применением миниинвазивных технологий / И.А. Криворучко, Н.Н. Гончарова, С.Н. Тесленко, А.А. Тонкоглас [ и др.] // Харківська хірургічна школа. – 2016. – №2 (77). – С. 33-37.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Н.Н. Патофизиологические нарушения при осложненных псевдокистах поджелудочной железы / О.Ю. Гербали, И.А. Криворучко, Н.Н. Гончарова // Казанский медицинский журнал. – 2015. – Т. 96, №2. ‒ С.191-197.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Сучасні методи діагностики та хірургічного лікування інфікованих псевдокіст підшлункової залози / І.А. Криворучко, Н.М. Гончарова // Ліки України плюс. – 2015. – № 4(25). – С. 45-48.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Роль матриксних металопротеїназ та їх інгібіторів у патогенезі псевдокіст підшлункової залози / І.А. Криворучко, Н.М. Гончарова, С.А. Андреєщев // Клінічна хірургія. – 2015. – №2. – С. 35-41.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Використання сучасних методів хірургічного лікування псевдокіст підшлункової залози, ускладнених кровотечею / І.А. Криворучко, В.М. Копчак, Н.М. Гончарова // Харківська хірургічна школа. – 2015. – №2(71.) – С. 36-39.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Н.Н. Комплексное лечение острых псевдокист поджелудочной железы / И.А. Криворучко, Н.Н. Гончарова, С.Н. Тесленко, Н.Н. Тесленко // </w:t>
      </w:r>
      <w:r w:rsidRPr="000F2B01">
        <w:rPr>
          <w:rFonts w:ascii="Times New Roman" w:hAnsi="Times New Roman"/>
          <w:sz w:val="28"/>
          <w:szCs w:val="28"/>
          <w:lang w:val="uk-UA"/>
        </w:rPr>
        <w:lastRenderedPageBreak/>
        <w:t xml:space="preserve">Оралдын гылым жаршысы. – 2014. – №34 (113). – С.5-11.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Лікування ускладнених гострих псевдокіст підшлункової залози / В.М. Копчак, І.А. Криворучко, Н.М. Гончарова // Архів клінічної медицини. – 2014. – № 2(20), частина ІІ. – С.59-60.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Стан печінкового і спланхнічного кровотоку за різних типів ускладнених псевдокіст підшлункової залози / І.А. Криворучко, Н.М. Гончарова, С.А. Андреєщев, Т.П. Яворська // Клінічна хірургія. – 2015. – № 5. – С.5-9.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Міждисциплінарний підхід у вивченні патогенезу гострих рідинних скупчень при панкреатиті / І.А. Криворучко, І.В. Сорокіна, С.М. Балака, Н.М. Гончарова // Науковий вісник Ужгородського університету. – 2014. – Вип. 1 (49). – С. 118-122.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Н.М. Хірургічне лікування ускладнених псевдокіст підшлункової залози другого типу за D’Egidio - Shein / В.М. Копчак, І.А. Криворучко, Н.М. Гончарова, С.М. Тесленко // Науковий вісник Ужгородського університету». – 2016. – Вип. 1 (53). – С.51-52.</w:t>
      </w:r>
    </w:p>
    <w:p w:rsidR="00C62D22"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Н.М. Хірургічне лікування ускладнених псевдокіст підшлункової залози третього типу / І.А. Криворучко, Н.М. Гончарова // Хірургія України. – 2016. – № 3. – С. 32-36.</w:t>
      </w:r>
    </w:p>
    <w:p w:rsidR="00C62D22" w:rsidRDefault="00C62D22" w:rsidP="00C62D22">
      <w:pPr>
        <w:widowControl w:val="0"/>
        <w:numPr>
          <w:ilvl w:val="0"/>
          <w:numId w:val="1"/>
        </w:numPr>
        <w:shd w:val="clear" w:color="auto" w:fill="FFFFFF"/>
        <w:tabs>
          <w:tab w:val="left" w:pos="360"/>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FD2CA2">
        <w:rPr>
          <w:rFonts w:ascii="Times New Roman" w:hAnsi="Times New Roman"/>
          <w:sz w:val="28"/>
          <w:szCs w:val="28"/>
          <w:lang w:val="uk-UA"/>
        </w:rPr>
        <w:t>Гончарова Н.М. Хірургічне лікування псевдокіст підшлункової залози третього типу, ускладнених вторинною портальною гіпертензією / Н.М. Гончарова // Харківська хірургічна школа. – 2017. – № 2 (82). – С.70-72.</w:t>
      </w:r>
    </w:p>
    <w:p w:rsidR="00C62D22" w:rsidRPr="004416C3" w:rsidRDefault="00C62D22" w:rsidP="00C62D22">
      <w:pPr>
        <w:widowControl w:val="0"/>
        <w:numPr>
          <w:ilvl w:val="0"/>
          <w:numId w:val="1"/>
        </w:numPr>
        <w:shd w:val="clear" w:color="auto" w:fill="FFFFFF"/>
        <w:tabs>
          <w:tab w:val="left" w:pos="360"/>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4416C3">
        <w:rPr>
          <w:rFonts w:ascii="Times New Roman" w:hAnsi="Times New Roman"/>
          <w:sz w:val="28"/>
          <w:szCs w:val="28"/>
          <w:lang w:val="en-US"/>
        </w:rPr>
        <w:t>Goncharova N.M. Treatment of acute complicated pancreatic pseudocysts / I.A. Kryvoruchko, N.M. Goncharova, V.F. Gontar // Journal of Education, Health and Sport. – 2017. – Vol. 7, №3. – P. 551-558.</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6E5838">
        <w:rPr>
          <w:rFonts w:ascii="Times New Roman" w:hAnsi="Times New Roman"/>
          <w:sz w:val="28"/>
          <w:szCs w:val="28"/>
          <w:lang w:val="uk-UA"/>
        </w:rPr>
        <w:t xml:space="preserve">Пат. 95265 Україна, МПК (2014.01) А 61В 17/00. Спосіб хірургічного лікування псевдокіст підшлункової залози, ускладнених арозивною кровотечею у порожнину псевдокісти / І.А. Криворучко, Н.М. Гончарова, С.М. Тесленко, М.М. Тесленко, П.В. Свірепо, В.П. Колесник, В.А. Вовк. – № u 2014 08811. Заявл. 04.08.2014; опубл. 10.12.2014. Бюл. № 23.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Пат. 95264 Україна, МПК (2014.01) А 61В 17/00. Спосіб хірургічного </w:t>
      </w:r>
      <w:r w:rsidRPr="000F2B01">
        <w:rPr>
          <w:rFonts w:ascii="Times New Roman" w:hAnsi="Times New Roman"/>
          <w:sz w:val="28"/>
          <w:szCs w:val="28"/>
          <w:lang w:val="uk-UA"/>
        </w:rPr>
        <w:lastRenderedPageBreak/>
        <w:t xml:space="preserve">лікування псевдокіст підшлункової залози, ускладнених нагноєнням / І.А. Криворучко, Н.М. Гончарова, С.М. Тесленко, М.М. Тесленко, П.В. Свірепо, О.А. Тонкоглас, В.А. Вовк. – № u 2014 08810. Заявл. 04.08.2014; опубл. 10.12.2014. Бюл. № 23.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Пат. 100586 Україна, МПК G01N 33/49 (2006.01). Спосіб прогнозування ускладненого перебігу післяопераційного панкреатиту / І.А. Криворучко, В.В. Бойко, Н.М. Гончарова, С.М. Тесленко, П.В. Свірепо, М.М. Тесленко.– № u 2015 02998. Заявл. 31.03.15; опубл. 27.07.15. Бюл. № 14.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 Пат. 100246 Україна, МПК (2015.01) А61В 17/00, А61В 17/115 (2006.01). Спосіб формування панкреатогастроанастомозу / І.А. Криворучко, Н.М. Гончарова, С.М. Тесленко, М.М. Тесленко.– № u 2015 02999. Заявл. 31.03.2015; опубл. 10.07.2015. Бюл. № 13. </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Пат. 92451 Україна, МПК (2014.01) А 61В 17/00. Спосіб формування панкреатоентероанастомозу / І.А. Криворучко, М.М. Тесленко, Н.М. Гончарова, С.М. Тесленко, О.А. Тонкоглас, П.В. Свірепо, В.П. Колесник, А.В. Сивожелізов.– № u 2014 04485. Заявл. 28.04.14; опубл. 11.08.14. Бюл. № 15. </w:t>
      </w:r>
    </w:p>
    <w:p w:rsidR="00C62D22"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Пат. 77100 Україна, МПК (2013.01) А 61В17/00.Спосіб лікування хронічного панкреатиту, ускладненого непрохідністю термінальної частини холедоха / І.А. Криворучко, В.В. Бойко, М.В. Красносельський, С.М. Тесленко, Н.М. Гончарова, М.М. Тесленко, А.В. Сивожелізов, П.В. Свірепо. .– № u 2012 09414. Заявл. 02.08.12.; опубл. 25.01.13. Бюл. № 2.</w:t>
      </w:r>
    </w:p>
    <w:p w:rsidR="00C62D22" w:rsidRPr="000F2B01" w:rsidRDefault="00C62D22" w:rsidP="00C62D22">
      <w:pPr>
        <w:widowControl w:val="0"/>
        <w:numPr>
          <w:ilvl w:val="0"/>
          <w:numId w:val="1"/>
        </w:numPr>
        <w:shd w:val="clear" w:color="auto" w:fill="FFFFFF"/>
        <w:tabs>
          <w:tab w:val="left" w:pos="360"/>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Спосіб лікування інфікованих псевдокіст підшлункової залози позаочеревної локалізації на фоні хронічного панкреатиту / Н.М. Гончарова, І.А. Криворучко, С.М. Тесленко. – Заявка на винахід № а201610033 від 3.10.16.</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Goncharova N.M. The questions of a chronic pancreatitis pathogenesis and its complications / I.A. Kryvoruchko, N.M. Goncharova, O.A. Tonkoglas // Inter collegаs. – 2015. – №1 (2). – P. 77- 94.</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Н.М. Псевдокісти підшлункової залози: діагностика й лікування / І.А. Криворучко, Н.М. Гончарова, С.А. Андреєщев // Клінічна хірургія. – 2014. – № 2. – С. 67-72.</w:t>
      </w:r>
    </w:p>
    <w:p w:rsidR="00C62D22"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lastRenderedPageBreak/>
        <w:t>Гончарова Н.М. Класифікація гострого панкреатиту: перегляд інтернаціональним консенсусом у 2012 р. класифікації, прийнятої в Атланті / І.А. Криворучко, В.М. Копчак, О.Ю. Усенко, Н.М. Гончарова [і ін.] // Клінічна хірургія. – 2014. – № 9. – С. 19-24.</w:t>
      </w:r>
    </w:p>
    <w:p w:rsidR="00C62D22" w:rsidRPr="009D1E5B"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9D1E5B">
        <w:rPr>
          <w:rFonts w:ascii="Times New Roman" w:hAnsi="Times New Roman"/>
          <w:sz w:val="28"/>
          <w:szCs w:val="28"/>
          <w:lang w:val="uk-UA"/>
        </w:rPr>
        <w:t xml:space="preserve">Гончарова Н.М. Визначення змін рівня </w:t>
      </w:r>
      <w:r w:rsidRPr="009D1E5B">
        <w:rPr>
          <w:rFonts w:ascii="Times New Roman" w:eastAsia="MyriadPro-Bold" w:hAnsi="Times New Roman"/>
          <w:bCs/>
          <w:sz w:val="28"/>
          <w:szCs w:val="28"/>
          <w:lang w:val="uk-UA"/>
        </w:rPr>
        <w:t>деяких показників системи пероксидації крові у хворих на різні типи ускладнених псевдокіст підшлункової залози</w:t>
      </w:r>
      <w:r w:rsidRPr="009D1E5B">
        <w:rPr>
          <w:rFonts w:ascii="Times New Roman" w:hAnsi="Times New Roman"/>
          <w:sz w:val="28"/>
          <w:szCs w:val="28"/>
          <w:lang w:val="uk-UA"/>
        </w:rPr>
        <w:t xml:space="preserve"> / Н.М. Гончарова // Український журнал медицини, біології та спорту. – 2017. – № 1(3) – С.75-77.</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Goncharova N.M. Mini-invasive surgical treatment of complicated pseudocyst of pancreas second type / N.M. Goncharova // IX International Interdisciplinary conference of yoyng scientists and medical students «Actual problems of clinical and theoretical medicine»: мат. конф. – Харьков, 2016. – С. 278-279.</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Н.М. Лікування ускладнених псевдокіст підшлункової залози / Н.М. Гончарова, А.Г. Дроздова, А.С. Гончаров // Зб. Тез міжвузівської конференції молодих вчених та студентів «Медицина третього тисячоліття». – Харків, 2014. – С. 104-105.</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Н.М. Використання мініінвазивних втручань при лікуванні ускладнених псевдокіст підшлункової залози / Н.М. Гончарова // Зб. Тез міжвузівської конференції молодих вчених та студентів «Медицина третього тисячоліття». – Харків, 2015. – С. 146-147.</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Н.Н. Хирургическое лечение псевдокист поджелудочной железы, осложненных кровотечением с использованием миниинвазивных методик / Н.Н. Гончарова, К.П. Старов, А.С. Гончаров // Зб. Тез міжвузівської конференції молодих вчених та студентів «Медицина третього тисячоліття». – Харків, 2016. – С. 170-171.</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Н.М. Застосування мініінвазивних технологій при лікуванні псевдокіст підшлункової залози, ускладнених механічною жовтяницею / Н.М. Гончарова, О.С. Тесленко // Зб. Тез міжвузівської конференції молодих вчених та студентів «Медицина третього тисячоліття». – Харків, 2016. – С. 169-170.</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Лікування псевдокіст підшлункової залози з компресією суміжних органів / Н.М. Гончарова, А.Г. Дроздова, Н.А. Гладун, К.О. Кожем'яка // </w:t>
      </w:r>
      <w:r w:rsidRPr="000F2B01">
        <w:rPr>
          <w:rFonts w:ascii="Times New Roman" w:hAnsi="Times New Roman"/>
          <w:sz w:val="28"/>
          <w:szCs w:val="28"/>
          <w:lang w:val="uk-UA"/>
        </w:rPr>
        <w:lastRenderedPageBreak/>
        <w:t>Мат. ХІХ Міжнародного медичного конгресу студентів та молодих вчених. – Тернопіль, 2015. – С. 87.</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Н.М. Особливості діагностики та хірургічного лікування гострих інфікованих псевдокіст підшлункової залози / Н.М. Гончарова, А.Г. Дроздова, О.Є. Чернякова, Д.В. Каушнян // Зб. Тез міжвузівської конференції молодих вчених та студентів «Медицина третього тисячоліття». – Харків, 2015. – С. 147-148.</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Н.Н. Применение миниинвазивных технологий при лечении осложненных псевдокист поджелудочной железы, возникших на фоне хронического панкреатита / В.М. Копчак, И.А. Криворучко, В.И. Лупольцов, Н.Н. Гончарова // Мат. ХХIII Международного Конгресса Ассоциации гепатопанкреатобилиарных хирургов стран СНГ «Актуальные проблемы гепатопанкреатобилиарной хирургии». – Минск, 2016. – С. 182-183.</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Н.Н. Эндоскопическое лечение осложненных псевдокист поджелудочной железы / Н.Н. Гончарова // Мат. ХХIII Международного Конгресса Ассоциации гепатопанкреатобилиарных хирургов стран СНГ «Актуальные проблемы гепатопанкреатобилиарной хирургии». – Минск, 2016. – С. 323-324.</w:t>
      </w:r>
    </w:p>
    <w:p w:rsidR="00C62D22" w:rsidRPr="000F2B01"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Гончарова Н.М. Імуногістохімічні особливості псевдокіст підшлункової залози третього типу / Н.М. Гончарова // Зб. матеріалів заочної науково-практичної конференції з міжнародною участю «Сучасні аспекти морфології людини: успіхи, проблеми та перспективи».– Харків, 2016. – С. 53-54.</w:t>
      </w:r>
    </w:p>
    <w:p w:rsidR="00C62D22"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0F2B01">
        <w:rPr>
          <w:rFonts w:ascii="Times New Roman" w:hAnsi="Times New Roman"/>
          <w:sz w:val="28"/>
          <w:szCs w:val="28"/>
          <w:lang w:val="uk-UA"/>
        </w:rPr>
        <w:t xml:space="preserve">Гончарова Н.М. Прогнозування ранніх післяопераційних ускладнень у хворих, оперованих з приводу ускладнених псевдокіст підшлункової залози І типу / Н.М. Гончарова // Зб. Тез міжвузівської конференції молодих вчених та студентів «Медицина третього тисячоліття». – Харків, 2017. – С.170-171. </w:t>
      </w:r>
    </w:p>
    <w:p w:rsidR="00C62D22" w:rsidRPr="009D1E5B"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9D1E5B">
        <w:rPr>
          <w:rFonts w:ascii="Times New Roman" w:hAnsi="Times New Roman"/>
          <w:sz w:val="28"/>
          <w:szCs w:val="28"/>
          <w:lang w:val="uk-UA"/>
        </w:rPr>
        <w:t xml:space="preserve">Гончарова Н.М. </w:t>
      </w:r>
      <w:r w:rsidRPr="009D1E5B">
        <w:rPr>
          <w:rFonts w:ascii="Times New Roman" w:eastAsia="MyriadPro-Bold" w:hAnsi="Times New Roman"/>
          <w:bCs/>
          <w:sz w:val="28"/>
          <w:szCs w:val="28"/>
          <w:lang w:val="uk-UA"/>
        </w:rPr>
        <w:t>Вивчення динаміки змін рівня деяких цитокінів крові у хворих на різні типи ускладнених псевдокіст підшлункової залози / Н.М. Гончарова // Зб. тез ІV Всеукраїнської наукової конференції студентів та молодих вчених «Фізіологія – медицині, фармації та педагогіці: Актуальні проблеми та сучасні досягнення». – Харків, 2017. – С.49.</w:t>
      </w:r>
    </w:p>
    <w:p w:rsidR="00C62D22" w:rsidRDefault="00C62D22" w:rsidP="00C62D22">
      <w:pPr>
        <w:widowControl w:val="0"/>
        <w:numPr>
          <w:ilvl w:val="0"/>
          <w:numId w:val="1"/>
        </w:numPr>
        <w:shd w:val="clear" w:color="auto" w:fill="FFFFFF"/>
        <w:tabs>
          <w:tab w:val="left" w:pos="284"/>
          <w:tab w:val="left" w:pos="426"/>
          <w:tab w:val="left" w:pos="900"/>
        </w:tabs>
        <w:autoSpaceDE w:val="0"/>
        <w:autoSpaceDN w:val="0"/>
        <w:adjustRightInd w:val="0"/>
        <w:spacing w:after="0" w:line="360" w:lineRule="auto"/>
        <w:ind w:left="0" w:firstLine="360"/>
        <w:jc w:val="both"/>
        <w:rPr>
          <w:rFonts w:ascii="Times New Roman" w:hAnsi="Times New Roman"/>
          <w:sz w:val="28"/>
          <w:szCs w:val="28"/>
          <w:lang w:val="uk-UA"/>
        </w:rPr>
      </w:pPr>
      <w:r w:rsidRPr="00E14AC1">
        <w:rPr>
          <w:rFonts w:ascii="Times New Roman" w:hAnsi="Times New Roman"/>
          <w:sz w:val="28"/>
          <w:szCs w:val="28"/>
          <w:lang w:val="uk-UA"/>
        </w:rPr>
        <w:t xml:space="preserve">Гончарова Н.М. Імуногістохімічні особливості ускладнених хронічних </w:t>
      </w:r>
      <w:r w:rsidRPr="00E14AC1">
        <w:rPr>
          <w:rFonts w:ascii="Times New Roman" w:hAnsi="Times New Roman"/>
          <w:sz w:val="28"/>
          <w:szCs w:val="28"/>
          <w:lang w:val="uk-UA"/>
        </w:rPr>
        <w:lastRenderedPageBreak/>
        <w:t xml:space="preserve">псевдокіст підшлункової залози / Н.М. Гончарова //«ХИСТ» </w:t>
      </w:r>
      <w:r>
        <w:rPr>
          <w:rFonts w:ascii="Times New Roman" w:hAnsi="Times New Roman"/>
          <w:sz w:val="28"/>
          <w:szCs w:val="28"/>
          <w:lang w:val="uk-UA"/>
        </w:rPr>
        <w:t>В</w:t>
      </w:r>
      <w:r w:rsidRPr="00E14AC1">
        <w:rPr>
          <w:rFonts w:ascii="Times New Roman" w:hAnsi="Times New Roman"/>
          <w:sz w:val="28"/>
          <w:szCs w:val="28"/>
          <w:lang w:val="uk-UA"/>
        </w:rPr>
        <w:t>сеукраїнський медичний журнал молодих вчени</w:t>
      </w:r>
      <w:r w:rsidRPr="00C62D22">
        <w:rPr>
          <w:rFonts w:ascii="Times New Roman" w:hAnsi="Times New Roman"/>
          <w:sz w:val="28"/>
          <w:szCs w:val="28"/>
          <w:lang w:val="uk-UA"/>
        </w:rPr>
        <w:t>х</w:t>
      </w:r>
      <w:r w:rsidRPr="00C62D22">
        <w:rPr>
          <w:rStyle w:val="ab"/>
          <w:rFonts w:ascii="Times New Roman" w:hAnsi="Times New Roman"/>
          <w:b w:val="0"/>
          <w:sz w:val="28"/>
          <w:szCs w:val="28"/>
          <w:lang w:val="uk-UA"/>
        </w:rPr>
        <w:t xml:space="preserve">. </w:t>
      </w:r>
      <w:r>
        <w:rPr>
          <w:rStyle w:val="ab"/>
          <w:rFonts w:ascii="Times New Roman" w:hAnsi="Times New Roman"/>
          <w:b w:val="0"/>
          <w:sz w:val="28"/>
          <w:szCs w:val="28"/>
          <w:lang w:val="uk-UA"/>
        </w:rPr>
        <w:t>–</w:t>
      </w:r>
      <w:r w:rsidRPr="00C62D22">
        <w:rPr>
          <w:rStyle w:val="ab"/>
          <w:rFonts w:ascii="Times New Roman" w:hAnsi="Times New Roman"/>
          <w:b w:val="0"/>
          <w:sz w:val="28"/>
          <w:szCs w:val="28"/>
          <w:lang w:val="uk-UA"/>
        </w:rPr>
        <w:t xml:space="preserve"> 2017.</w:t>
      </w:r>
      <w:r>
        <w:rPr>
          <w:rStyle w:val="ab"/>
          <w:rFonts w:ascii="Times New Roman" w:hAnsi="Times New Roman"/>
          <w:sz w:val="28"/>
          <w:szCs w:val="28"/>
          <w:lang w:val="uk-UA"/>
        </w:rPr>
        <w:t xml:space="preserve"> </w:t>
      </w:r>
      <w:r>
        <w:rPr>
          <w:rStyle w:val="ab"/>
          <w:rFonts w:ascii="Times New Roman" w:hAnsi="Times New Roman"/>
          <w:b w:val="0"/>
          <w:sz w:val="28"/>
          <w:szCs w:val="28"/>
          <w:lang w:val="uk-UA"/>
        </w:rPr>
        <w:t>–</w:t>
      </w:r>
      <w:r w:rsidRPr="00C62D22">
        <w:rPr>
          <w:rStyle w:val="ab"/>
          <w:rFonts w:ascii="Times New Roman" w:hAnsi="Times New Roman"/>
          <w:sz w:val="28"/>
          <w:szCs w:val="28"/>
          <w:lang w:val="uk-UA"/>
        </w:rPr>
        <w:t xml:space="preserve"> </w:t>
      </w:r>
      <w:r w:rsidRPr="00C62D22">
        <w:rPr>
          <w:rFonts w:ascii="Times New Roman" w:hAnsi="Times New Roman"/>
          <w:sz w:val="28"/>
          <w:szCs w:val="28"/>
          <w:lang w:val="uk-UA"/>
        </w:rPr>
        <w:t>Вип. 19. – С.514</w:t>
      </w:r>
      <w:r w:rsidRPr="00E14AC1">
        <w:rPr>
          <w:rFonts w:ascii="Times New Roman" w:hAnsi="Times New Roman"/>
          <w:sz w:val="28"/>
          <w:szCs w:val="28"/>
          <w:lang w:val="uk-UA"/>
        </w:rPr>
        <w:t>.</w:t>
      </w:r>
    </w:p>
    <w:p w:rsidR="00C62D22" w:rsidRPr="00B703BA" w:rsidRDefault="00C62D22" w:rsidP="00C62D22">
      <w:pPr>
        <w:widowControl w:val="0"/>
        <w:numPr>
          <w:ilvl w:val="0"/>
          <w:numId w:val="1"/>
        </w:numPr>
        <w:shd w:val="clear" w:color="auto" w:fill="FFFFFF"/>
        <w:tabs>
          <w:tab w:val="left" w:pos="284"/>
          <w:tab w:val="left" w:pos="426"/>
        </w:tabs>
        <w:autoSpaceDE w:val="0"/>
        <w:autoSpaceDN w:val="0"/>
        <w:adjustRightInd w:val="0"/>
        <w:spacing w:after="0" w:line="360" w:lineRule="auto"/>
        <w:ind w:left="0" w:firstLine="0"/>
        <w:jc w:val="both"/>
        <w:rPr>
          <w:rFonts w:ascii="Times New Roman" w:hAnsi="Times New Roman"/>
          <w:sz w:val="28"/>
          <w:szCs w:val="28"/>
          <w:lang w:val="en-US"/>
        </w:rPr>
      </w:pPr>
      <w:r>
        <w:rPr>
          <w:rFonts w:ascii="Times New Roman" w:hAnsi="Times New Roman"/>
          <w:sz w:val="28"/>
          <w:szCs w:val="28"/>
          <w:lang w:val="en-US"/>
        </w:rPr>
        <w:t>Goncharova</w:t>
      </w:r>
      <w:r w:rsidRPr="00C62D22">
        <w:rPr>
          <w:rFonts w:ascii="Times New Roman" w:hAnsi="Times New Roman"/>
          <w:sz w:val="28"/>
          <w:szCs w:val="28"/>
          <w:lang w:val="uk-UA"/>
        </w:rPr>
        <w:t xml:space="preserve"> </w:t>
      </w:r>
      <w:r>
        <w:rPr>
          <w:rFonts w:ascii="Times New Roman" w:hAnsi="Times New Roman"/>
          <w:sz w:val="28"/>
          <w:szCs w:val="28"/>
          <w:lang w:val="en-US"/>
        </w:rPr>
        <w:t>N</w:t>
      </w:r>
      <w:r w:rsidRPr="00C62D22">
        <w:rPr>
          <w:rFonts w:ascii="Times New Roman" w:hAnsi="Times New Roman"/>
          <w:sz w:val="28"/>
          <w:szCs w:val="28"/>
          <w:lang w:val="uk-UA"/>
        </w:rPr>
        <w:t>.</w:t>
      </w:r>
      <w:r>
        <w:rPr>
          <w:rFonts w:ascii="Times New Roman" w:hAnsi="Times New Roman"/>
          <w:sz w:val="28"/>
          <w:szCs w:val="28"/>
          <w:lang w:val="en-US"/>
        </w:rPr>
        <w:t>N</w:t>
      </w:r>
      <w:r w:rsidRPr="00C62D22">
        <w:rPr>
          <w:rFonts w:ascii="Times New Roman" w:hAnsi="Times New Roman"/>
          <w:sz w:val="28"/>
          <w:szCs w:val="28"/>
          <w:lang w:val="uk-UA"/>
        </w:rPr>
        <w:t xml:space="preserve">. </w:t>
      </w:r>
      <w:r>
        <w:rPr>
          <w:rFonts w:ascii="Times New Roman" w:hAnsi="Times New Roman"/>
          <w:sz w:val="28"/>
          <w:szCs w:val="28"/>
          <w:lang w:val="en-US"/>
        </w:rPr>
        <w:t>Surgical</w:t>
      </w:r>
      <w:r w:rsidRPr="00C62D22">
        <w:rPr>
          <w:rFonts w:ascii="Times New Roman" w:hAnsi="Times New Roman"/>
          <w:sz w:val="28"/>
          <w:szCs w:val="28"/>
          <w:lang w:val="uk-UA"/>
        </w:rPr>
        <w:t xml:space="preserve"> </w:t>
      </w:r>
      <w:r>
        <w:rPr>
          <w:rFonts w:ascii="Times New Roman" w:hAnsi="Times New Roman"/>
          <w:sz w:val="28"/>
          <w:szCs w:val="28"/>
          <w:lang w:val="en-US"/>
        </w:rPr>
        <w:t>treatment</w:t>
      </w:r>
      <w:r w:rsidRPr="00C62D22">
        <w:rPr>
          <w:rFonts w:ascii="Times New Roman" w:hAnsi="Times New Roman"/>
          <w:sz w:val="28"/>
          <w:szCs w:val="28"/>
          <w:lang w:val="uk-UA"/>
        </w:rPr>
        <w:t xml:space="preserve"> </w:t>
      </w:r>
      <w:r>
        <w:rPr>
          <w:rFonts w:ascii="Times New Roman" w:hAnsi="Times New Roman"/>
          <w:sz w:val="28"/>
          <w:szCs w:val="28"/>
          <w:lang w:val="en-US"/>
        </w:rPr>
        <w:t>of</w:t>
      </w:r>
      <w:r w:rsidRPr="00C62D22">
        <w:rPr>
          <w:rFonts w:ascii="Times New Roman" w:hAnsi="Times New Roman"/>
          <w:sz w:val="28"/>
          <w:szCs w:val="28"/>
          <w:lang w:val="uk-UA"/>
        </w:rPr>
        <w:t xml:space="preserve"> </w:t>
      </w:r>
      <w:r>
        <w:rPr>
          <w:rFonts w:ascii="Times New Roman" w:hAnsi="Times New Roman"/>
          <w:sz w:val="28"/>
          <w:szCs w:val="28"/>
          <w:lang w:val="en-US"/>
        </w:rPr>
        <w:t>complicated</w:t>
      </w:r>
      <w:r w:rsidRPr="00C62D22">
        <w:rPr>
          <w:rFonts w:ascii="Times New Roman" w:hAnsi="Times New Roman"/>
          <w:sz w:val="28"/>
          <w:szCs w:val="28"/>
          <w:lang w:val="uk-UA"/>
        </w:rPr>
        <w:t xml:space="preserve"> </w:t>
      </w:r>
      <w:r>
        <w:rPr>
          <w:rFonts w:ascii="Times New Roman" w:hAnsi="Times New Roman"/>
          <w:sz w:val="28"/>
          <w:szCs w:val="28"/>
          <w:lang w:val="en-US"/>
        </w:rPr>
        <w:t>pseudocyst</w:t>
      </w:r>
      <w:r w:rsidRPr="00C62D22">
        <w:rPr>
          <w:rFonts w:ascii="Times New Roman" w:hAnsi="Times New Roman"/>
          <w:sz w:val="28"/>
          <w:szCs w:val="28"/>
          <w:lang w:val="uk-UA"/>
        </w:rPr>
        <w:t xml:space="preserve"> </w:t>
      </w:r>
      <w:r>
        <w:rPr>
          <w:rFonts w:ascii="Times New Roman" w:hAnsi="Times New Roman"/>
          <w:sz w:val="28"/>
          <w:szCs w:val="28"/>
          <w:lang w:val="en-US"/>
        </w:rPr>
        <w:t>of</w:t>
      </w:r>
      <w:r w:rsidRPr="00C62D22">
        <w:rPr>
          <w:rFonts w:ascii="Times New Roman" w:hAnsi="Times New Roman"/>
          <w:sz w:val="28"/>
          <w:szCs w:val="28"/>
          <w:lang w:val="uk-UA"/>
        </w:rPr>
        <w:t xml:space="preserve"> </w:t>
      </w:r>
      <w:r>
        <w:rPr>
          <w:rFonts w:ascii="Times New Roman" w:hAnsi="Times New Roman"/>
          <w:sz w:val="28"/>
          <w:szCs w:val="28"/>
          <w:lang w:val="en-US"/>
        </w:rPr>
        <w:t>pancreas</w:t>
      </w:r>
      <w:r w:rsidRPr="00C62D22">
        <w:rPr>
          <w:rFonts w:ascii="Times New Roman" w:hAnsi="Times New Roman"/>
          <w:sz w:val="28"/>
          <w:szCs w:val="28"/>
          <w:lang w:val="uk-UA"/>
        </w:rPr>
        <w:t xml:space="preserve"> / </w:t>
      </w:r>
      <w:r>
        <w:rPr>
          <w:rFonts w:ascii="Times New Roman" w:hAnsi="Times New Roman"/>
          <w:sz w:val="28"/>
          <w:szCs w:val="28"/>
          <w:lang w:val="en-US"/>
        </w:rPr>
        <w:t>I</w:t>
      </w:r>
      <w:r w:rsidRPr="00C62D22">
        <w:rPr>
          <w:rFonts w:ascii="Times New Roman" w:hAnsi="Times New Roman"/>
          <w:sz w:val="28"/>
          <w:szCs w:val="28"/>
          <w:lang w:val="uk-UA"/>
        </w:rPr>
        <w:t>.</w:t>
      </w:r>
      <w:r>
        <w:rPr>
          <w:rFonts w:ascii="Times New Roman" w:hAnsi="Times New Roman"/>
          <w:sz w:val="28"/>
          <w:szCs w:val="28"/>
          <w:lang w:val="en-US"/>
        </w:rPr>
        <w:t>A</w:t>
      </w:r>
      <w:r w:rsidRPr="00C62D22">
        <w:rPr>
          <w:rFonts w:ascii="Times New Roman" w:hAnsi="Times New Roman"/>
          <w:sz w:val="28"/>
          <w:szCs w:val="28"/>
          <w:lang w:val="uk-UA"/>
        </w:rPr>
        <w:t xml:space="preserve">. </w:t>
      </w:r>
      <w:r>
        <w:rPr>
          <w:rFonts w:ascii="Times New Roman" w:hAnsi="Times New Roman"/>
          <w:sz w:val="28"/>
          <w:szCs w:val="28"/>
          <w:lang w:val="en-US"/>
        </w:rPr>
        <w:t>Kryvoruchko</w:t>
      </w:r>
      <w:r w:rsidRPr="00C62D22">
        <w:rPr>
          <w:rFonts w:ascii="Times New Roman" w:hAnsi="Times New Roman"/>
          <w:sz w:val="28"/>
          <w:szCs w:val="28"/>
          <w:lang w:val="uk-UA"/>
        </w:rPr>
        <w:t xml:space="preserve">, </w:t>
      </w:r>
      <w:r>
        <w:rPr>
          <w:rFonts w:ascii="Times New Roman" w:hAnsi="Times New Roman"/>
          <w:sz w:val="28"/>
          <w:szCs w:val="28"/>
          <w:lang w:val="en-US"/>
        </w:rPr>
        <w:t>N</w:t>
      </w:r>
      <w:r w:rsidRPr="00C62D22">
        <w:rPr>
          <w:rFonts w:ascii="Times New Roman" w:hAnsi="Times New Roman"/>
          <w:sz w:val="28"/>
          <w:szCs w:val="28"/>
          <w:lang w:val="uk-UA"/>
        </w:rPr>
        <w:t>.</w:t>
      </w:r>
      <w:r>
        <w:rPr>
          <w:rFonts w:ascii="Times New Roman" w:hAnsi="Times New Roman"/>
          <w:sz w:val="28"/>
          <w:szCs w:val="28"/>
          <w:lang w:val="en-US"/>
        </w:rPr>
        <w:t>N</w:t>
      </w:r>
      <w:r w:rsidRPr="00C62D22">
        <w:rPr>
          <w:rFonts w:ascii="Times New Roman" w:hAnsi="Times New Roman"/>
          <w:sz w:val="28"/>
          <w:szCs w:val="28"/>
          <w:lang w:val="uk-UA"/>
        </w:rPr>
        <w:t xml:space="preserve">. </w:t>
      </w:r>
      <w:r>
        <w:rPr>
          <w:rFonts w:ascii="Times New Roman" w:hAnsi="Times New Roman"/>
          <w:sz w:val="28"/>
          <w:szCs w:val="28"/>
          <w:lang w:val="en-US"/>
        </w:rPr>
        <w:t>Goncharova</w:t>
      </w:r>
      <w:r w:rsidRPr="00C62D22">
        <w:rPr>
          <w:rFonts w:ascii="Times New Roman" w:hAnsi="Times New Roman"/>
          <w:sz w:val="28"/>
          <w:szCs w:val="28"/>
          <w:lang w:val="uk-UA"/>
        </w:rPr>
        <w:t xml:space="preserve"> // </w:t>
      </w:r>
      <w:r>
        <w:rPr>
          <w:rFonts w:ascii="Times New Roman" w:hAnsi="Times New Roman"/>
          <w:sz w:val="28"/>
          <w:szCs w:val="28"/>
          <w:lang w:val="en-US"/>
        </w:rPr>
        <w:t>Book</w:t>
      </w:r>
      <w:r w:rsidRPr="00C62D22">
        <w:rPr>
          <w:rFonts w:ascii="Times New Roman" w:hAnsi="Times New Roman"/>
          <w:sz w:val="28"/>
          <w:szCs w:val="28"/>
          <w:lang w:val="uk-UA"/>
        </w:rPr>
        <w:t xml:space="preserve"> </w:t>
      </w:r>
      <w:r>
        <w:rPr>
          <w:rFonts w:ascii="Times New Roman" w:hAnsi="Times New Roman"/>
          <w:sz w:val="28"/>
          <w:szCs w:val="28"/>
          <w:lang w:val="en-US"/>
        </w:rPr>
        <w:t>of</w:t>
      </w:r>
      <w:r w:rsidRPr="00C62D22">
        <w:rPr>
          <w:rFonts w:ascii="Times New Roman" w:hAnsi="Times New Roman"/>
          <w:sz w:val="28"/>
          <w:szCs w:val="28"/>
          <w:lang w:val="uk-UA"/>
        </w:rPr>
        <w:t xml:space="preserve"> </w:t>
      </w:r>
      <w:r>
        <w:rPr>
          <w:rFonts w:ascii="Times New Roman" w:hAnsi="Times New Roman"/>
          <w:sz w:val="28"/>
          <w:szCs w:val="28"/>
          <w:lang w:val="en-US"/>
        </w:rPr>
        <w:t>abstracts «</w:t>
      </w:r>
      <w:r>
        <w:rPr>
          <w:rFonts w:ascii="Times New Roman" w:hAnsi="Times New Roman"/>
          <w:sz w:val="28"/>
          <w:szCs w:val="28"/>
        </w:rPr>
        <w:t>Р</w:t>
      </w:r>
      <w:r>
        <w:rPr>
          <w:rFonts w:ascii="Times New Roman" w:hAnsi="Times New Roman"/>
          <w:sz w:val="28"/>
          <w:szCs w:val="28"/>
          <w:lang w:val="en-US"/>
        </w:rPr>
        <w:t>ancreas» 12 th Biennale E-AHPBA Congress, Mainz, Germany, 2017. – P16.01</w:t>
      </w:r>
    </w:p>
    <w:p w:rsidR="00C62D22" w:rsidRPr="00451414" w:rsidRDefault="00C62D22" w:rsidP="00C62D22">
      <w:pPr>
        <w:widowControl w:val="0"/>
        <w:shd w:val="clear" w:color="auto" w:fill="FFFFFF"/>
        <w:tabs>
          <w:tab w:val="left" w:pos="284"/>
          <w:tab w:val="left" w:pos="426"/>
          <w:tab w:val="left" w:pos="900"/>
        </w:tabs>
        <w:autoSpaceDE w:val="0"/>
        <w:autoSpaceDN w:val="0"/>
        <w:adjustRightInd w:val="0"/>
        <w:spacing w:line="360" w:lineRule="auto"/>
        <w:jc w:val="both"/>
        <w:rPr>
          <w:rFonts w:ascii="Times New Roman" w:hAnsi="Times New Roman"/>
          <w:sz w:val="28"/>
          <w:szCs w:val="28"/>
          <w:lang w:val="uk-UA"/>
        </w:rPr>
      </w:pPr>
    </w:p>
    <w:p w:rsidR="00C62D22" w:rsidRPr="000F2B01" w:rsidRDefault="00C62D22" w:rsidP="00C62D22">
      <w:pPr>
        <w:spacing w:line="360" w:lineRule="auto"/>
        <w:ind w:firstLine="540"/>
        <w:jc w:val="center"/>
        <w:rPr>
          <w:rFonts w:ascii="Times New Roman" w:hAnsi="Times New Roman"/>
          <w:sz w:val="28"/>
          <w:szCs w:val="28"/>
        </w:rPr>
      </w:pPr>
      <w:r w:rsidRPr="000F2B01">
        <w:rPr>
          <w:rFonts w:ascii="Times New Roman" w:hAnsi="Times New Roman"/>
          <w:b/>
          <w:sz w:val="28"/>
          <w:szCs w:val="28"/>
        </w:rPr>
        <w:t>Апробація результатів дисертації.</w:t>
      </w:r>
    </w:p>
    <w:p w:rsidR="00C62D22" w:rsidRPr="00B703BA" w:rsidRDefault="00C62D22" w:rsidP="00C62D22">
      <w:pPr>
        <w:spacing w:line="360" w:lineRule="auto"/>
        <w:ind w:firstLine="540"/>
        <w:jc w:val="both"/>
        <w:rPr>
          <w:rFonts w:ascii="Times New Roman" w:hAnsi="Times New Roman"/>
          <w:b/>
          <w:sz w:val="28"/>
          <w:szCs w:val="28"/>
          <w:lang w:val="uk-UA"/>
        </w:rPr>
      </w:pPr>
      <w:r w:rsidRPr="000F2B01">
        <w:rPr>
          <w:rFonts w:ascii="Times New Roman" w:hAnsi="Times New Roman"/>
          <w:sz w:val="28"/>
          <w:szCs w:val="28"/>
        </w:rPr>
        <w:t>Основні положення дисертації повідомлені та обговорені на науково-практичних конференціях та з'їздах: на науково-практичній конференції з міжнародною участю «Актуальні питання невідкладної хірургії» (м. Харків,                 3-4 к</w:t>
      </w:r>
      <w:r w:rsidRPr="000F2B01">
        <w:rPr>
          <w:rFonts w:ascii="Times New Roman" w:hAnsi="Times New Roman"/>
          <w:sz w:val="28"/>
          <w:szCs w:val="28"/>
          <w:lang w:val="uk-UA"/>
        </w:rPr>
        <w:t xml:space="preserve">вітня </w:t>
      </w:r>
      <w:r w:rsidRPr="000F2B01">
        <w:rPr>
          <w:rFonts w:ascii="Times New Roman" w:hAnsi="Times New Roman"/>
          <w:sz w:val="28"/>
          <w:szCs w:val="28"/>
        </w:rPr>
        <w:t>2014 р.</w:t>
      </w:r>
      <w:r w:rsidRPr="000F2B01">
        <w:rPr>
          <w:rFonts w:ascii="Times New Roman" w:hAnsi="Times New Roman"/>
          <w:sz w:val="28"/>
          <w:szCs w:val="28"/>
          <w:lang w:val="uk-UA"/>
        </w:rPr>
        <w:t>, доповідь</w:t>
      </w:r>
      <w:r w:rsidRPr="000F2B01">
        <w:rPr>
          <w:rFonts w:ascii="Times New Roman" w:hAnsi="Times New Roman"/>
          <w:sz w:val="28"/>
          <w:szCs w:val="28"/>
        </w:rPr>
        <w:t xml:space="preserve">), на науково-практичній конференції з міжнародною участю «Загальнотерапевтична практика: нові технології та міждисциплінарні питання» (м. Харків, </w:t>
      </w:r>
      <w:r w:rsidRPr="000F2B01">
        <w:rPr>
          <w:rFonts w:ascii="Times New Roman" w:hAnsi="Times New Roman"/>
          <w:sz w:val="28"/>
          <w:szCs w:val="28"/>
          <w:lang w:val="uk-UA"/>
        </w:rPr>
        <w:t xml:space="preserve">7 листопада </w:t>
      </w:r>
      <w:r w:rsidRPr="000F2B01">
        <w:rPr>
          <w:rFonts w:ascii="Times New Roman" w:hAnsi="Times New Roman"/>
          <w:sz w:val="28"/>
          <w:szCs w:val="28"/>
        </w:rPr>
        <w:t>2013 р.</w:t>
      </w:r>
      <w:r w:rsidRPr="000F2B01">
        <w:rPr>
          <w:rFonts w:ascii="Times New Roman" w:hAnsi="Times New Roman"/>
          <w:sz w:val="28"/>
          <w:szCs w:val="28"/>
          <w:lang w:val="uk-UA"/>
        </w:rPr>
        <w:t>, доповідь</w:t>
      </w:r>
      <w:r w:rsidRPr="000F2B01">
        <w:rPr>
          <w:rFonts w:ascii="Times New Roman" w:hAnsi="Times New Roman"/>
          <w:sz w:val="28"/>
          <w:szCs w:val="28"/>
        </w:rPr>
        <w:t xml:space="preserve">), на міжвузівській конференції молодих вчених та студентів «Медицина третього тисячоліття» (м. Харків, </w:t>
      </w:r>
      <w:r w:rsidRPr="000F2B01">
        <w:rPr>
          <w:rFonts w:ascii="Times New Roman" w:hAnsi="Times New Roman"/>
          <w:sz w:val="28"/>
          <w:szCs w:val="28"/>
          <w:lang w:val="uk-UA"/>
        </w:rPr>
        <w:t xml:space="preserve">13-15 січня </w:t>
      </w:r>
      <w:r w:rsidRPr="000F2B01">
        <w:rPr>
          <w:rFonts w:ascii="Times New Roman" w:hAnsi="Times New Roman"/>
          <w:sz w:val="28"/>
          <w:szCs w:val="28"/>
        </w:rPr>
        <w:t>2014 р.</w:t>
      </w:r>
      <w:r w:rsidRPr="000F2B01">
        <w:rPr>
          <w:rFonts w:ascii="Times New Roman" w:hAnsi="Times New Roman"/>
          <w:sz w:val="28"/>
          <w:szCs w:val="28"/>
          <w:lang w:val="uk-UA"/>
        </w:rPr>
        <w:t>, доповідь</w:t>
      </w:r>
      <w:r w:rsidRPr="000F2B01">
        <w:rPr>
          <w:rFonts w:ascii="Times New Roman" w:hAnsi="Times New Roman"/>
          <w:sz w:val="28"/>
          <w:szCs w:val="28"/>
        </w:rPr>
        <w:t xml:space="preserve">), на міжвузівській конференції молодих вчених та студентів «Медицина третього тисячоліття» (м. Харків, </w:t>
      </w:r>
      <w:r w:rsidRPr="000F2B01">
        <w:rPr>
          <w:rFonts w:ascii="Times New Roman" w:hAnsi="Times New Roman"/>
          <w:sz w:val="28"/>
          <w:szCs w:val="28"/>
          <w:lang w:val="uk-UA"/>
        </w:rPr>
        <w:t xml:space="preserve">19-21 січня </w:t>
      </w:r>
      <w:r w:rsidRPr="000F2B01">
        <w:rPr>
          <w:rFonts w:ascii="Times New Roman" w:hAnsi="Times New Roman"/>
          <w:sz w:val="28"/>
          <w:szCs w:val="28"/>
        </w:rPr>
        <w:t>2015 р.</w:t>
      </w:r>
      <w:r w:rsidRPr="000F2B01">
        <w:rPr>
          <w:rFonts w:ascii="Times New Roman" w:hAnsi="Times New Roman"/>
          <w:sz w:val="28"/>
          <w:szCs w:val="28"/>
          <w:lang w:val="uk-UA"/>
        </w:rPr>
        <w:t>, доповідь</w:t>
      </w:r>
      <w:r w:rsidRPr="000F2B01">
        <w:rPr>
          <w:rFonts w:ascii="Times New Roman" w:hAnsi="Times New Roman"/>
          <w:sz w:val="28"/>
          <w:szCs w:val="28"/>
        </w:rPr>
        <w:t xml:space="preserve">), на міжнародній науково-практичній конференції «Вісцеро–васкулярний континіум – фізіологія, патологія, клінічні прояви, шляхи корекції» (м. Ужгород, </w:t>
      </w:r>
      <w:r w:rsidRPr="000F2B01">
        <w:rPr>
          <w:rFonts w:ascii="Times New Roman" w:hAnsi="Times New Roman"/>
          <w:sz w:val="28"/>
          <w:szCs w:val="28"/>
          <w:lang w:val="uk-UA"/>
        </w:rPr>
        <w:t xml:space="preserve">18-19 вересня </w:t>
      </w:r>
      <w:r w:rsidRPr="000F2B01">
        <w:rPr>
          <w:rFonts w:ascii="Times New Roman" w:hAnsi="Times New Roman"/>
          <w:sz w:val="28"/>
          <w:szCs w:val="28"/>
        </w:rPr>
        <w:t>2014 р.</w:t>
      </w:r>
      <w:r w:rsidRPr="000F2B01">
        <w:rPr>
          <w:rFonts w:ascii="Times New Roman" w:hAnsi="Times New Roman"/>
          <w:sz w:val="28"/>
          <w:szCs w:val="28"/>
          <w:lang w:val="uk-UA"/>
        </w:rPr>
        <w:t>, доповідь</w:t>
      </w:r>
      <w:r w:rsidRPr="000F2B01">
        <w:rPr>
          <w:rFonts w:ascii="Times New Roman" w:hAnsi="Times New Roman"/>
          <w:sz w:val="28"/>
          <w:szCs w:val="28"/>
        </w:rPr>
        <w:t>), на «ІІ Прикарпатському хірургічному форумі» (м. Івано-Франківськ-Яремча,</w:t>
      </w:r>
      <w:r w:rsidRPr="000F2B01">
        <w:rPr>
          <w:rFonts w:ascii="Times New Roman" w:hAnsi="Times New Roman"/>
          <w:sz w:val="28"/>
          <w:szCs w:val="28"/>
          <w:lang w:val="uk-UA"/>
        </w:rPr>
        <w:t xml:space="preserve"> 23-24 жовтня</w:t>
      </w:r>
      <w:r w:rsidRPr="000F2B01">
        <w:rPr>
          <w:rFonts w:ascii="Times New Roman" w:hAnsi="Times New Roman"/>
          <w:sz w:val="28"/>
          <w:szCs w:val="28"/>
        </w:rPr>
        <w:t xml:space="preserve"> 2014 р</w:t>
      </w:r>
      <w:r w:rsidRPr="000F2B01">
        <w:rPr>
          <w:rFonts w:ascii="Times New Roman" w:hAnsi="Times New Roman"/>
          <w:sz w:val="28"/>
          <w:szCs w:val="28"/>
          <w:lang w:val="uk-UA"/>
        </w:rPr>
        <w:t>., доповідь</w:t>
      </w:r>
      <w:r w:rsidRPr="000F2B01">
        <w:rPr>
          <w:rFonts w:ascii="Times New Roman" w:hAnsi="Times New Roman"/>
          <w:sz w:val="28"/>
          <w:szCs w:val="28"/>
        </w:rPr>
        <w:t xml:space="preserve">), на XІX міжнародному медичному конгресі студентів та молодих вчених (м. Тернопіль, </w:t>
      </w:r>
      <w:r w:rsidRPr="000F2B01">
        <w:rPr>
          <w:rFonts w:ascii="Times New Roman" w:hAnsi="Times New Roman"/>
          <w:sz w:val="28"/>
          <w:szCs w:val="28"/>
          <w:lang w:val="uk-UA"/>
        </w:rPr>
        <w:t xml:space="preserve">27-29 квітня </w:t>
      </w:r>
      <w:r w:rsidRPr="000F2B01">
        <w:rPr>
          <w:rFonts w:ascii="Times New Roman" w:hAnsi="Times New Roman"/>
          <w:sz w:val="28"/>
          <w:szCs w:val="28"/>
        </w:rPr>
        <w:t>2015 р.</w:t>
      </w:r>
      <w:r w:rsidRPr="000F2B01">
        <w:rPr>
          <w:rFonts w:ascii="Times New Roman" w:hAnsi="Times New Roman"/>
          <w:sz w:val="28"/>
          <w:szCs w:val="28"/>
          <w:lang w:val="uk-UA"/>
        </w:rPr>
        <w:t>, доповідь</w:t>
      </w:r>
      <w:r w:rsidRPr="000F2B01">
        <w:rPr>
          <w:rFonts w:ascii="Times New Roman" w:hAnsi="Times New Roman"/>
          <w:sz w:val="28"/>
          <w:szCs w:val="28"/>
        </w:rPr>
        <w:t xml:space="preserve">), на науково-практичній конференції з міжнародною участю «Актуальні питання торакоабдомінальної хірургії» (м. Харків, </w:t>
      </w:r>
      <w:r w:rsidRPr="000F2B01">
        <w:rPr>
          <w:rFonts w:ascii="Times New Roman" w:hAnsi="Times New Roman"/>
          <w:sz w:val="28"/>
          <w:szCs w:val="28"/>
          <w:lang w:val="uk-UA"/>
        </w:rPr>
        <w:t xml:space="preserve">15-16 травня </w:t>
      </w:r>
      <w:r w:rsidRPr="000F2B01">
        <w:rPr>
          <w:rFonts w:ascii="Times New Roman" w:hAnsi="Times New Roman"/>
          <w:sz w:val="28"/>
          <w:szCs w:val="28"/>
        </w:rPr>
        <w:t>2015 р.</w:t>
      </w:r>
      <w:r w:rsidRPr="000F2B01">
        <w:rPr>
          <w:rFonts w:ascii="Times New Roman" w:hAnsi="Times New Roman"/>
          <w:sz w:val="28"/>
          <w:szCs w:val="28"/>
          <w:lang w:val="uk-UA"/>
        </w:rPr>
        <w:t>, доповідь</w:t>
      </w:r>
      <w:r w:rsidRPr="000F2B01">
        <w:rPr>
          <w:rFonts w:ascii="Times New Roman" w:hAnsi="Times New Roman"/>
          <w:sz w:val="28"/>
          <w:szCs w:val="28"/>
        </w:rPr>
        <w:t xml:space="preserve">), на науково-практичній конференції молодих вчених «Тенденції розвитку клінічної та експериментальної хірургії» (м. Харків, </w:t>
      </w:r>
      <w:r w:rsidRPr="000F2B01">
        <w:rPr>
          <w:rFonts w:ascii="Times New Roman" w:hAnsi="Times New Roman"/>
          <w:sz w:val="28"/>
          <w:szCs w:val="28"/>
          <w:lang w:val="uk-UA"/>
        </w:rPr>
        <w:t xml:space="preserve">12 червня </w:t>
      </w:r>
      <w:r w:rsidRPr="000F2B01">
        <w:rPr>
          <w:rFonts w:ascii="Times New Roman" w:hAnsi="Times New Roman"/>
          <w:sz w:val="28"/>
          <w:szCs w:val="28"/>
        </w:rPr>
        <w:t>2015 р.</w:t>
      </w:r>
      <w:r w:rsidRPr="000F2B01">
        <w:rPr>
          <w:rFonts w:ascii="Times New Roman" w:hAnsi="Times New Roman"/>
          <w:sz w:val="28"/>
          <w:szCs w:val="28"/>
          <w:lang w:val="uk-UA"/>
        </w:rPr>
        <w:t>, доповідь</w:t>
      </w:r>
      <w:r w:rsidRPr="000F2B01">
        <w:rPr>
          <w:rFonts w:ascii="Times New Roman" w:hAnsi="Times New Roman"/>
          <w:sz w:val="28"/>
          <w:szCs w:val="28"/>
        </w:rPr>
        <w:t xml:space="preserve">), на міжвузівській конференції молодих вчених та студентів «Медицина третього тисячоліття» (м. Харків, </w:t>
      </w:r>
      <w:r w:rsidRPr="000F2B01">
        <w:rPr>
          <w:rFonts w:ascii="Times New Roman" w:hAnsi="Times New Roman"/>
          <w:sz w:val="28"/>
          <w:szCs w:val="28"/>
          <w:lang w:val="uk-UA"/>
        </w:rPr>
        <w:t xml:space="preserve">18 січня </w:t>
      </w:r>
      <w:r w:rsidRPr="000F2B01">
        <w:rPr>
          <w:rFonts w:ascii="Times New Roman" w:hAnsi="Times New Roman"/>
          <w:sz w:val="28"/>
          <w:szCs w:val="28"/>
        </w:rPr>
        <w:t>2016 р.</w:t>
      </w:r>
      <w:r w:rsidRPr="000F2B01">
        <w:rPr>
          <w:rFonts w:ascii="Times New Roman" w:hAnsi="Times New Roman"/>
          <w:sz w:val="28"/>
          <w:szCs w:val="28"/>
          <w:lang w:val="uk-UA"/>
        </w:rPr>
        <w:t>, доповідь</w:t>
      </w:r>
      <w:r w:rsidRPr="000F2B01">
        <w:rPr>
          <w:rFonts w:ascii="Times New Roman" w:hAnsi="Times New Roman"/>
          <w:sz w:val="28"/>
          <w:szCs w:val="28"/>
        </w:rPr>
        <w:t>), на ІХ-</w:t>
      </w:r>
      <w:r w:rsidRPr="000F2B01">
        <w:rPr>
          <w:rFonts w:ascii="Times New Roman" w:hAnsi="Times New Roman"/>
          <w:sz w:val="28"/>
          <w:szCs w:val="28"/>
          <w:lang w:val="en-US"/>
        </w:rPr>
        <w:t>th</w:t>
      </w:r>
      <w:r w:rsidRPr="000F2B01">
        <w:rPr>
          <w:rFonts w:ascii="Times New Roman" w:hAnsi="Times New Roman"/>
          <w:sz w:val="28"/>
          <w:szCs w:val="28"/>
        </w:rPr>
        <w:t xml:space="preserve"> </w:t>
      </w:r>
      <w:r w:rsidRPr="000F2B01">
        <w:rPr>
          <w:rFonts w:ascii="Times New Roman" w:hAnsi="Times New Roman"/>
          <w:sz w:val="28"/>
          <w:szCs w:val="28"/>
          <w:lang w:val="en-US"/>
        </w:rPr>
        <w:t>International</w:t>
      </w:r>
      <w:r w:rsidRPr="000F2B01">
        <w:rPr>
          <w:rFonts w:ascii="Times New Roman" w:hAnsi="Times New Roman"/>
          <w:sz w:val="28"/>
          <w:szCs w:val="28"/>
        </w:rPr>
        <w:t xml:space="preserve"> </w:t>
      </w:r>
      <w:r w:rsidRPr="000F2B01">
        <w:rPr>
          <w:rFonts w:ascii="Times New Roman" w:hAnsi="Times New Roman"/>
          <w:sz w:val="28"/>
          <w:szCs w:val="28"/>
          <w:lang w:val="en-US"/>
        </w:rPr>
        <w:t>Interdisciplinary</w:t>
      </w:r>
      <w:r w:rsidRPr="000F2B01">
        <w:rPr>
          <w:rFonts w:ascii="Times New Roman" w:hAnsi="Times New Roman"/>
          <w:sz w:val="28"/>
          <w:szCs w:val="28"/>
        </w:rPr>
        <w:t xml:space="preserve"> </w:t>
      </w:r>
      <w:r w:rsidRPr="000F2B01">
        <w:rPr>
          <w:rFonts w:ascii="Times New Roman" w:hAnsi="Times New Roman"/>
          <w:sz w:val="28"/>
          <w:szCs w:val="28"/>
          <w:lang w:val="en-US"/>
        </w:rPr>
        <w:t>scientific</w:t>
      </w:r>
      <w:r w:rsidRPr="000F2B01">
        <w:rPr>
          <w:rFonts w:ascii="Times New Roman" w:hAnsi="Times New Roman"/>
          <w:sz w:val="28"/>
          <w:szCs w:val="28"/>
        </w:rPr>
        <w:t xml:space="preserve"> </w:t>
      </w:r>
      <w:r w:rsidRPr="000F2B01">
        <w:rPr>
          <w:rFonts w:ascii="Times New Roman" w:hAnsi="Times New Roman"/>
          <w:sz w:val="28"/>
          <w:szCs w:val="28"/>
          <w:lang w:val="en-US"/>
        </w:rPr>
        <w:t>conference</w:t>
      </w:r>
      <w:r w:rsidRPr="000F2B01">
        <w:rPr>
          <w:rFonts w:ascii="Times New Roman" w:hAnsi="Times New Roman"/>
          <w:sz w:val="28"/>
          <w:szCs w:val="28"/>
        </w:rPr>
        <w:t xml:space="preserve"> </w:t>
      </w:r>
      <w:r w:rsidRPr="000F2B01">
        <w:rPr>
          <w:rFonts w:ascii="Times New Roman" w:hAnsi="Times New Roman"/>
          <w:sz w:val="28"/>
          <w:szCs w:val="28"/>
          <w:lang w:val="en-US"/>
        </w:rPr>
        <w:t>of</w:t>
      </w:r>
      <w:r w:rsidRPr="000F2B01">
        <w:rPr>
          <w:rFonts w:ascii="Times New Roman" w:hAnsi="Times New Roman"/>
          <w:sz w:val="28"/>
          <w:szCs w:val="28"/>
        </w:rPr>
        <w:t xml:space="preserve"> </w:t>
      </w:r>
      <w:r w:rsidRPr="000F2B01">
        <w:rPr>
          <w:rFonts w:ascii="Times New Roman" w:hAnsi="Times New Roman"/>
          <w:sz w:val="28"/>
          <w:szCs w:val="28"/>
          <w:lang w:val="en-US"/>
        </w:rPr>
        <w:t>young</w:t>
      </w:r>
      <w:r w:rsidRPr="000F2B01">
        <w:rPr>
          <w:rFonts w:ascii="Times New Roman" w:hAnsi="Times New Roman"/>
          <w:sz w:val="28"/>
          <w:szCs w:val="28"/>
        </w:rPr>
        <w:t xml:space="preserve"> </w:t>
      </w:r>
      <w:r w:rsidRPr="000F2B01">
        <w:rPr>
          <w:rFonts w:ascii="Times New Roman" w:hAnsi="Times New Roman"/>
          <w:sz w:val="28"/>
          <w:szCs w:val="28"/>
          <w:lang w:val="en-US"/>
        </w:rPr>
        <w:t>scientists</w:t>
      </w:r>
      <w:r w:rsidRPr="000F2B01">
        <w:rPr>
          <w:rFonts w:ascii="Times New Roman" w:hAnsi="Times New Roman"/>
          <w:sz w:val="28"/>
          <w:szCs w:val="28"/>
        </w:rPr>
        <w:t xml:space="preserve"> </w:t>
      </w:r>
      <w:r w:rsidRPr="000F2B01">
        <w:rPr>
          <w:rFonts w:ascii="Times New Roman" w:hAnsi="Times New Roman"/>
          <w:sz w:val="28"/>
          <w:szCs w:val="28"/>
          <w:lang w:val="en-US"/>
        </w:rPr>
        <w:t>and</w:t>
      </w:r>
      <w:r w:rsidRPr="000F2B01">
        <w:rPr>
          <w:rFonts w:ascii="Times New Roman" w:hAnsi="Times New Roman"/>
          <w:sz w:val="28"/>
          <w:szCs w:val="28"/>
        </w:rPr>
        <w:t xml:space="preserve"> </w:t>
      </w:r>
      <w:r w:rsidRPr="000F2B01">
        <w:rPr>
          <w:rFonts w:ascii="Times New Roman" w:hAnsi="Times New Roman"/>
          <w:sz w:val="28"/>
          <w:szCs w:val="28"/>
          <w:lang w:val="en-US"/>
        </w:rPr>
        <w:t>medical</w:t>
      </w:r>
      <w:r w:rsidRPr="000F2B01">
        <w:rPr>
          <w:rFonts w:ascii="Times New Roman" w:hAnsi="Times New Roman"/>
          <w:sz w:val="28"/>
          <w:szCs w:val="28"/>
        </w:rPr>
        <w:t xml:space="preserve"> </w:t>
      </w:r>
      <w:r w:rsidRPr="000F2B01">
        <w:rPr>
          <w:rFonts w:ascii="Times New Roman" w:hAnsi="Times New Roman"/>
          <w:sz w:val="28"/>
          <w:szCs w:val="28"/>
          <w:lang w:val="en-US"/>
        </w:rPr>
        <w:t>students</w:t>
      </w:r>
      <w:r w:rsidRPr="000F2B01">
        <w:rPr>
          <w:rFonts w:ascii="Times New Roman" w:hAnsi="Times New Roman"/>
          <w:sz w:val="28"/>
          <w:szCs w:val="28"/>
        </w:rPr>
        <w:t xml:space="preserve"> «</w:t>
      </w:r>
      <w:r w:rsidRPr="000F2B01">
        <w:rPr>
          <w:rFonts w:ascii="Times New Roman" w:hAnsi="Times New Roman"/>
          <w:sz w:val="28"/>
          <w:szCs w:val="28"/>
          <w:lang w:val="en-US"/>
        </w:rPr>
        <w:t>Actual</w:t>
      </w:r>
      <w:r w:rsidRPr="000F2B01">
        <w:rPr>
          <w:rFonts w:ascii="Times New Roman" w:hAnsi="Times New Roman"/>
          <w:sz w:val="28"/>
          <w:szCs w:val="28"/>
        </w:rPr>
        <w:t xml:space="preserve"> </w:t>
      </w:r>
      <w:r w:rsidRPr="000F2B01">
        <w:rPr>
          <w:rFonts w:ascii="Times New Roman" w:hAnsi="Times New Roman"/>
          <w:sz w:val="28"/>
          <w:szCs w:val="28"/>
          <w:lang w:val="en-US"/>
        </w:rPr>
        <w:t>problems</w:t>
      </w:r>
      <w:r w:rsidRPr="000F2B01">
        <w:rPr>
          <w:rFonts w:ascii="Times New Roman" w:hAnsi="Times New Roman"/>
          <w:sz w:val="28"/>
          <w:szCs w:val="28"/>
        </w:rPr>
        <w:t xml:space="preserve"> </w:t>
      </w:r>
      <w:r w:rsidRPr="000F2B01">
        <w:rPr>
          <w:rFonts w:ascii="Times New Roman" w:hAnsi="Times New Roman"/>
          <w:sz w:val="28"/>
          <w:szCs w:val="28"/>
          <w:lang w:val="en-US"/>
        </w:rPr>
        <w:t>of</w:t>
      </w:r>
      <w:r w:rsidRPr="000F2B01">
        <w:rPr>
          <w:rFonts w:ascii="Times New Roman" w:hAnsi="Times New Roman"/>
          <w:sz w:val="28"/>
          <w:szCs w:val="28"/>
        </w:rPr>
        <w:t xml:space="preserve"> </w:t>
      </w:r>
      <w:r w:rsidRPr="000F2B01">
        <w:rPr>
          <w:rFonts w:ascii="Times New Roman" w:hAnsi="Times New Roman"/>
          <w:sz w:val="28"/>
          <w:szCs w:val="28"/>
          <w:lang w:val="en-US"/>
        </w:rPr>
        <w:t>clinical</w:t>
      </w:r>
      <w:r w:rsidRPr="000F2B01">
        <w:rPr>
          <w:rFonts w:ascii="Times New Roman" w:hAnsi="Times New Roman"/>
          <w:sz w:val="28"/>
          <w:szCs w:val="28"/>
        </w:rPr>
        <w:t xml:space="preserve"> </w:t>
      </w:r>
      <w:r w:rsidRPr="000F2B01">
        <w:rPr>
          <w:rFonts w:ascii="Times New Roman" w:hAnsi="Times New Roman"/>
          <w:sz w:val="28"/>
          <w:szCs w:val="28"/>
          <w:lang w:val="en-US"/>
        </w:rPr>
        <w:t>and</w:t>
      </w:r>
      <w:r w:rsidRPr="000F2B01">
        <w:rPr>
          <w:rFonts w:ascii="Times New Roman" w:hAnsi="Times New Roman"/>
          <w:sz w:val="28"/>
          <w:szCs w:val="28"/>
        </w:rPr>
        <w:t xml:space="preserve"> </w:t>
      </w:r>
      <w:r w:rsidRPr="000F2B01">
        <w:rPr>
          <w:rFonts w:ascii="Times New Roman" w:hAnsi="Times New Roman"/>
          <w:sz w:val="28"/>
          <w:szCs w:val="28"/>
          <w:lang w:val="en-US"/>
        </w:rPr>
        <w:t>theoretical</w:t>
      </w:r>
      <w:r w:rsidRPr="000F2B01">
        <w:rPr>
          <w:rFonts w:ascii="Times New Roman" w:hAnsi="Times New Roman"/>
          <w:sz w:val="28"/>
          <w:szCs w:val="28"/>
        </w:rPr>
        <w:t xml:space="preserve"> </w:t>
      </w:r>
      <w:r w:rsidRPr="000F2B01">
        <w:rPr>
          <w:rFonts w:ascii="Times New Roman" w:hAnsi="Times New Roman"/>
          <w:sz w:val="28"/>
          <w:szCs w:val="28"/>
          <w:lang w:val="en-US"/>
        </w:rPr>
        <w:t>medicine</w:t>
      </w:r>
      <w:r w:rsidRPr="000F2B01">
        <w:rPr>
          <w:rFonts w:ascii="Times New Roman" w:hAnsi="Times New Roman"/>
          <w:sz w:val="28"/>
          <w:szCs w:val="28"/>
        </w:rPr>
        <w:t>» (</w:t>
      </w:r>
      <w:r w:rsidRPr="000F2B01">
        <w:rPr>
          <w:rFonts w:ascii="Times New Roman" w:hAnsi="Times New Roman"/>
          <w:sz w:val="28"/>
          <w:szCs w:val="28"/>
          <w:lang w:val="en-US"/>
        </w:rPr>
        <w:t>Kharkiv</w:t>
      </w:r>
      <w:r w:rsidRPr="000F2B01">
        <w:rPr>
          <w:rFonts w:ascii="Times New Roman" w:hAnsi="Times New Roman"/>
          <w:sz w:val="28"/>
          <w:szCs w:val="28"/>
        </w:rPr>
        <w:t xml:space="preserve">, </w:t>
      </w:r>
      <w:r w:rsidRPr="000F2B01">
        <w:rPr>
          <w:rFonts w:ascii="Times New Roman" w:hAnsi="Times New Roman"/>
          <w:sz w:val="28"/>
          <w:szCs w:val="28"/>
          <w:lang w:val="uk-UA"/>
        </w:rPr>
        <w:t xml:space="preserve">20 травня </w:t>
      </w:r>
      <w:r w:rsidRPr="000F2B01">
        <w:rPr>
          <w:rFonts w:ascii="Times New Roman" w:hAnsi="Times New Roman"/>
          <w:sz w:val="28"/>
          <w:szCs w:val="28"/>
        </w:rPr>
        <w:t>2016</w:t>
      </w:r>
      <w:r w:rsidRPr="000F2B01">
        <w:rPr>
          <w:rFonts w:ascii="Times New Roman" w:hAnsi="Times New Roman"/>
          <w:sz w:val="28"/>
          <w:szCs w:val="28"/>
          <w:lang w:val="uk-UA"/>
        </w:rPr>
        <w:t xml:space="preserve"> р., доповідь</w:t>
      </w:r>
      <w:r w:rsidRPr="000F2B01">
        <w:rPr>
          <w:rFonts w:ascii="Times New Roman" w:hAnsi="Times New Roman"/>
          <w:sz w:val="28"/>
          <w:szCs w:val="28"/>
        </w:rPr>
        <w:t xml:space="preserve">), на </w:t>
      </w:r>
      <w:r w:rsidRPr="000F2B01">
        <w:rPr>
          <w:rFonts w:ascii="Times New Roman" w:hAnsi="Times New Roman"/>
          <w:sz w:val="28"/>
          <w:szCs w:val="28"/>
        </w:rPr>
        <w:lastRenderedPageBreak/>
        <w:t xml:space="preserve">науково-практичній конференції з міжнародною участю «Актуальні питання невідкладної хірургії» (м. Харків, </w:t>
      </w:r>
      <w:r w:rsidRPr="000F2B01">
        <w:rPr>
          <w:rFonts w:ascii="Times New Roman" w:hAnsi="Times New Roman"/>
          <w:sz w:val="28"/>
          <w:szCs w:val="28"/>
          <w:lang w:val="uk-UA"/>
        </w:rPr>
        <w:t xml:space="preserve">7-8 квітня </w:t>
      </w:r>
      <w:r w:rsidRPr="000F2B01">
        <w:rPr>
          <w:rFonts w:ascii="Times New Roman" w:hAnsi="Times New Roman"/>
          <w:sz w:val="28"/>
          <w:szCs w:val="28"/>
        </w:rPr>
        <w:t>2016 р.</w:t>
      </w:r>
      <w:r w:rsidRPr="000F2B01">
        <w:rPr>
          <w:rFonts w:ascii="Times New Roman" w:hAnsi="Times New Roman"/>
          <w:sz w:val="28"/>
          <w:szCs w:val="28"/>
          <w:lang w:val="uk-UA"/>
        </w:rPr>
        <w:t>, доповідь</w:t>
      </w:r>
      <w:r w:rsidRPr="000F2B01">
        <w:rPr>
          <w:rFonts w:ascii="Times New Roman" w:hAnsi="Times New Roman"/>
          <w:sz w:val="28"/>
          <w:szCs w:val="28"/>
        </w:rPr>
        <w:t xml:space="preserve">), на науково-практичній конференції молодих вчених «Тенденції розвитку клінічної та експериментальної хірургії» (м. Харків, </w:t>
      </w:r>
      <w:r w:rsidRPr="000F2B01">
        <w:rPr>
          <w:rFonts w:ascii="Times New Roman" w:hAnsi="Times New Roman"/>
          <w:sz w:val="28"/>
          <w:szCs w:val="28"/>
          <w:lang w:val="uk-UA"/>
        </w:rPr>
        <w:t xml:space="preserve">10 червня </w:t>
      </w:r>
      <w:r w:rsidRPr="000F2B01">
        <w:rPr>
          <w:rFonts w:ascii="Times New Roman" w:hAnsi="Times New Roman"/>
          <w:sz w:val="28"/>
          <w:szCs w:val="28"/>
        </w:rPr>
        <w:t>2016 р.</w:t>
      </w:r>
      <w:r w:rsidRPr="000F2B01">
        <w:rPr>
          <w:rFonts w:ascii="Times New Roman" w:hAnsi="Times New Roman"/>
          <w:sz w:val="28"/>
          <w:szCs w:val="28"/>
          <w:lang w:val="uk-UA"/>
        </w:rPr>
        <w:t>, доповідь</w:t>
      </w:r>
      <w:r w:rsidRPr="000F2B01">
        <w:rPr>
          <w:rFonts w:ascii="Times New Roman" w:hAnsi="Times New Roman"/>
          <w:sz w:val="28"/>
          <w:szCs w:val="28"/>
        </w:rPr>
        <w:t xml:space="preserve">), </w:t>
      </w:r>
      <w:r w:rsidRPr="000F2B01">
        <w:rPr>
          <w:rFonts w:ascii="Times New Roman" w:hAnsi="Times New Roman"/>
          <w:sz w:val="28"/>
          <w:szCs w:val="28"/>
          <w:shd w:val="clear" w:color="auto" w:fill="FFFFFF"/>
        </w:rPr>
        <w:t xml:space="preserve">на ХХII Международном Конгрессе Ассоциации гепатопанкреатобилиарных хирургов стран СНГ «Актуальные проблемы гепатопанкреатобилиарной хирургии» (м. Мінськ, </w:t>
      </w:r>
      <w:r w:rsidRPr="000F2B01">
        <w:rPr>
          <w:rFonts w:ascii="Times New Roman" w:hAnsi="Times New Roman"/>
          <w:sz w:val="28"/>
          <w:szCs w:val="28"/>
          <w:shd w:val="clear" w:color="auto" w:fill="FFFFFF"/>
          <w:lang w:val="uk-UA"/>
        </w:rPr>
        <w:t xml:space="preserve">14-16 вересня </w:t>
      </w:r>
      <w:r w:rsidRPr="000F2B01">
        <w:rPr>
          <w:rFonts w:ascii="Times New Roman" w:hAnsi="Times New Roman"/>
          <w:sz w:val="28"/>
          <w:szCs w:val="28"/>
          <w:shd w:val="clear" w:color="auto" w:fill="FFFFFF"/>
        </w:rPr>
        <w:t>2016 р.</w:t>
      </w:r>
      <w:r w:rsidRPr="000F2B01">
        <w:rPr>
          <w:rFonts w:ascii="Times New Roman" w:hAnsi="Times New Roman"/>
          <w:sz w:val="28"/>
          <w:szCs w:val="28"/>
          <w:shd w:val="clear" w:color="auto" w:fill="FFFFFF"/>
          <w:lang w:val="uk-UA"/>
        </w:rPr>
        <w:t>, стендова доповідь</w:t>
      </w:r>
      <w:r w:rsidRPr="000F2B01">
        <w:rPr>
          <w:rFonts w:ascii="Times New Roman" w:hAnsi="Times New Roman"/>
          <w:sz w:val="28"/>
          <w:szCs w:val="28"/>
          <w:shd w:val="clear" w:color="auto" w:fill="FFFFFF"/>
        </w:rPr>
        <w:t xml:space="preserve">), </w:t>
      </w:r>
      <w:r w:rsidRPr="000F2B01">
        <w:rPr>
          <w:rFonts w:ascii="Times New Roman" w:hAnsi="Times New Roman"/>
          <w:sz w:val="28"/>
          <w:szCs w:val="28"/>
        </w:rPr>
        <w:t xml:space="preserve">на заочній науково-практичній конференції з міжнародною участю «Сучасні аспекти морфології людини: успіхи, проблеми та перспективи» (м. Харків, </w:t>
      </w:r>
      <w:r w:rsidRPr="000F2B01">
        <w:rPr>
          <w:rFonts w:ascii="Times New Roman" w:hAnsi="Times New Roman"/>
          <w:sz w:val="28"/>
          <w:szCs w:val="28"/>
          <w:lang w:val="uk-UA"/>
        </w:rPr>
        <w:t xml:space="preserve">24 грудня </w:t>
      </w:r>
      <w:r w:rsidRPr="000F2B01">
        <w:rPr>
          <w:rFonts w:ascii="Times New Roman" w:hAnsi="Times New Roman"/>
          <w:sz w:val="28"/>
          <w:szCs w:val="28"/>
        </w:rPr>
        <w:t>2016 р.</w:t>
      </w:r>
      <w:r w:rsidRPr="000F2B01">
        <w:rPr>
          <w:rFonts w:ascii="Times New Roman" w:hAnsi="Times New Roman"/>
          <w:sz w:val="28"/>
          <w:szCs w:val="28"/>
          <w:lang w:val="uk-UA"/>
        </w:rPr>
        <w:t>, публікація тез</w:t>
      </w:r>
      <w:r w:rsidRPr="000F2B01">
        <w:rPr>
          <w:rFonts w:ascii="Times New Roman" w:hAnsi="Times New Roman"/>
          <w:sz w:val="28"/>
          <w:szCs w:val="28"/>
        </w:rPr>
        <w:t xml:space="preserve">), на міжвузівській конференції молодих вчених та студентів «Медицина третього тисячоліття» </w:t>
      </w:r>
      <w:r>
        <w:rPr>
          <w:rFonts w:ascii="Times New Roman" w:hAnsi="Times New Roman"/>
          <w:sz w:val="28"/>
          <w:szCs w:val="28"/>
          <w:lang w:val="uk-UA"/>
        </w:rPr>
        <w:t xml:space="preserve">           </w:t>
      </w:r>
      <w:r w:rsidRPr="000F2B01">
        <w:rPr>
          <w:rFonts w:ascii="Times New Roman" w:hAnsi="Times New Roman"/>
          <w:sz w:val="28"/>
          <w:szCs w:val="28"/>
        </w:rPr>
        <w:t xml:space="preserve">(м. Харків, </w:t>
      </w:r>
      <w:r w:rsidRPr="000F2B01">
        <w:rPr>
          <w:rFonts w:ascii="Times New Roman" w:hAnsi="Times New Roman"/>
          <w:sz w:val="28"/>
          <w:szCs w:val="28"/>
          <w:lang w:val="uk-UA"/>
        </w:rPr>
        <w:t xml:space="preserve">16-17 січня </w:t>
      </w:r>
      <w:r w:rsidRPr="000F2B01">
        <w:rPr>
          <w:rFonts w:ascii="Times New Roman" w:hAnsi="Times New Roman"/>
          <w:sz w:val="28"/>
          <w:szCs w:val="28"/>
        </w:rPr>
        <w:t>2017 р</w:t>
      </w:r>
      <w:r w:rsidRPr="000F2B01">
        <w:rPr>
          <w:rFonts w:ascii="Times New Roman" w:hAnsi="Times New Roman"/>
          <w:sz w:val="28"/>
          <w:szCs w:val="28"/>
          <w:lang w:val="uk-UA"/>
        </w:rPr>
        <w:t>., стендова доповідь</w:t>
      </w:r>
      <w:r w:rsidRPr="000F2B01">
        <w:rPr>
          <w:rFonts w:ascii="Times New Roman" w:hAnsi="Times New Roman"/>
          <w:sz w:val="28"/>
          <w:szCs w:val="28"/>
        </w:rPr>
        <w:t>)</w:t>
      </w:r>
      <w:r w:rsidRPr="000F2B01">
        <w:rPr>
          <w:rFonts w:ascii="Times New Roman" w:hAnsi="Times New Roman"/>
          <w:sz w:val="28"/>
          <w:szCs w:val="28"/>
          <w:shd w:val="clear" w:color="auto" w:fill="FFFFFF"/>
        </w:rPr>
        <w:t xml:space="preserve">, </w:t>
      </w:r>
      <w:r w:rsidRPr="000F2B01">
        <w:rPr>
          <w:rFonts w:ascii="Times New Roman" w:hAnsi="Times New Roman"/>
          <w:sz w:val="28"/>
          <w:szCs w:val="28"/>
          <w:shd w:val="clear" w:color="auto" w:fill="FFFFFF"/>
          <w:lang w:val="uk-UA"/>
        </w:rPr>
        <w:t xml:space="preserve">на науково-практичній конференції з міжнародною участю «Актуальні питання невідкладної хірургії» </w:t>
      </w:r>
      <w:r>
        <w:rPr>
          <w:rFonts w:ascii="Times New Roman" w:hAnsi="Times New Roman"/>
          <w:sz w:val="28"/>
          <w:szCs w:val="28"/>
          <w:shd w:val="clear" w:color="auto" w:fill="FFFFFF"/>
          <w:lang w:val="uk-UA"/>
        </w:rPr>
        <w:t xml:space="preserve">                  </w:t>
      </w:r>
      <w:r w:rsidRPr="000F2B01">
        <w:rPr>
          <w:rFonts w:ascii="Times New Roman" w:hAnsi="Times New Roman"/>
          <w:sz w:val="28"/>
          <w:szCs w:val="28"/>
          <w:shd w:val="clear" w:color="auto" w:fill="FFFFFF"/>
          <w:lang w:val="uk-UA"/>
        </w:rPr>
        <w:t xml:space="preserve">(м. Харків, 6-7 квітня 2017 р., доповідь), на ІV Всеукраїнській науковій конференції студентів та молодих вчених з фізіології з міжнародною участю «Фізіологія ‒ медицині, фармації та педагогіці: Актуальні проблеми та сучасні досягнення» </w:t>
      </w:r>
      <w:r>
        <w:rPr>
          <w:rFonts w:ascii="Times New Roman" w:hAnsi="Times New Roman"/>
          <w:sz w:val="28"/>
          <w:szCs w:val="28"/>
          <w:shd w:val="clear" w:color="auto" w:fill="FFFFFF"/>
          <w:lang w:val="uk-UA"/>
        </w:rPr>
        <w:t xml:space="preserve">                   </w:t>
      </w:r>
      <w:r w:rsidRPr="000F2B01">
        <w:rPr>
          <w:rFonts w:ascii="Times New Roman" w:hAnsi="Times New Roman"/>
          <w:sz w:val="28"/>
          <w:szCs w:val="28"/>
          <w:shd w:val="clear" w:color="auto" w:fill="FFFFFF"/>
          <w:lang w:val="uk-UA"/>
        </w:rPr>
        <w:t>(м. Харків, 16-17 травня 2017 р., стендова доповідь)</w:t>
      </w:r>
      <w:r>
        <w:rPr>
          <w:rFonts w:ascii="Times New Roman" w:hAnsi="Times New Roman"/>
          <w:sz w:val="28"/>
          <w:szCs w:val="28"/>
          <w:shd w:val="clear" w:color="auto" w:fill="FFFFFF"/>
          <w:lang w:val="uk-UA"/>
        </w:rPr>
        <w:t xml:space="preserve">, </w:t>
      </w:r>
      <w:r w:rsidRPr="00C62D22">
        <w:rPr>
          <w:rFonts w:ascii="Times New Roman" w:hAnsi="Times New Roman"/>
          <w:sz w:val="28"/>
          <w:szCs w:val="28"/>
          <w:lang w:val="uk-UA"/>
        </w:rPr>
        <w:t xml:space="preserve">на </w:t>
      </w:r>
      <w:r w:rsidRPr="00C62D22">
        <w:rPr>
          <w:rStyle w:val="ab"/>
          <w:rFonts w:ascii="Times New Roman" w:hAnsi="Times New Roman"/>
          <w:b w:val="0"/>
          <w:sz w:val="28"/>
          <w:szCs w:val="28"/>
          <w:lang w:val="uk-UA"/>
        </w:rPr>
        <w:t>І</w:t>
      </w:r>
      <w:r w:rsidRPr="00C62D22">
        <w:rPr>
          <w:rStyle w:val="ab"/>
          <w:rFonts w:ascii="Times New Roman" w:hAnsi="Times New Roman"/>
          <w:b w:val="0"/>
          <w:sz w:val="28"/>
          <w:szCs w:val="28"/>
        </w:rPr>
        <w:t>V</w:t>
      </w:r>
      <w:r w:rsidRPr="00C62D22">
        <w:rPr>
          <w:rStyle w:val="ab"/>
          <w:rFonts w:ascii="Times New Roman" w:hAnsi="Times New Roman"/>
          <w:b w:val="0"/>
          <w:sz w:val="28"/>
          <w:szCs w:val="28"/>
          <w:lang w:val="uk-UA"/>
        </w:rPr>
        <w:t xml:space="preserve"> Міжнародному медико-фармацевтичному конгресі студентів і молодих учених «Інновації та перспективи сучасної медицини» (м. Чернівці, 5-7 квітня 2017 р., публікація тез), на</w:t>
      </w:r>
      <w:r w:rsidRPr="00C62D22">
        <w:rPr>
          <w:rStyle w:val="ab"/>
          <w:rFonts w:ascii="Times New Roman" w:hAnsi="Times New Roman"/>
          <w:sz w:val="28"/>
          <w:szCs w:val="28"/>
          <w:lang w:val="uk-UA"/>
        </w:rPr>
        <w:t xml:space="preserve"> «</w:t>
      </w:r>
      <w:r w:rsidRPr="00C62D22">
        <w:rPr>
          <w:rFonts w:ascii="Times New Roman" w:hAnsi="Times New Roman"/>
          <w:sz w:val="28"/>
          <w:szCs w:val="28"/>
          <w:lang w:val="uk-UA"/>
        </w:rPr>
        <w:t xml:space="preserve">12 </w:t>
      </w:r>
      <w:r w:rsidRPr="00C62D22">
        <w:rPr>
          <w:rFonts w:ascii="Times New Roman" w:hAnsi="Times New Roman"/>
          <w:sz w:val="28"/>
          <w:szCs w:val="28"/>
          <w:lang w:val="en-US"/>
        </w:rPr>
        <w:t>th</w:t>
      </w:r>
      <w:r w:rsidRPr="00C62D22">
        <w:rPr>
          <w:rFonts w:ascii="Times New Roman" w:hAnsi="Times New Roman"/>
          <w:sz w:val="28"/>
          <w:szCs w:val="28"/>
          <w:lang w:val="uk-UA"/>
        </w:rPr>
        <w:t xml:space="preserve"> </w:t>
      </w:r>
      <w:r w:rsidRPr="00C62D22">
        <w:rPr>
          <w:rFonts w:ascii="Times New Roman" w:hAnsi="Times New Roman"/>
          <w:sz w:val="28"/>
          <w:szCs w:val="28"/>
          <w:lang w:val="en-US"/>
        </w:rPr>
        <w:t>Biennale</w:t>
      </w:r>
      <w:r w:rsidRPr="00C62D22">
        <w:rPr>
          <w:rFonts w:ascii="Times New Roman" w:hAnsi="Times New Roman"/>
          <w:sz w:val="28"/>
          <w:szCs w:val="28"/>
          <w:lang w:val="uk-UA"/>
        </w:rPr>
        <w:t xml:space="preserve"> </w:t>
      </w:r>
      <w:r w:rsidRPr="00C62D22">
        <w:rPr>
          <w:rFonts w:ascii="Times New Roman" w:hAnsi="Times New Roman"/>
          <w:sz w:val="28"/>
          <w:szCs w:val="28"/>
          <w:lang w:val="en-US"/>
        </w:rPr>
        <w:t>E</w:t>
      </w:r>
      <w:r w:rsidRPr="00C62D22">
        <w:rPr>
          <w:rFonts w:ascii="Times New Roman" w:hAnsi="Times New Roman"/>
          <w:sz w:val="28"/>
          <w:szCs w:val="28"/>
          <w:lang w:val="uk-UA"/>
        </w:rPr>
        <w:t>-</w:t>
      </w:r>
      <w:r w:rsidRPr="00C62D22">
        <w:rPr>
          <w:rFonts w:ascii="Times New Roman" w:hAnsi="Times New Roman"/>
          <w:sz w:val="28"/>
          <w:szCs w:val="28"/>
          <w:lang w:val="en-US"/>
        </w:rPr>
        <w:t>AHPBA</w:t>
      </w:r>
      <w:r w:rsidRPr="00C62D22">
        <w:rPr>
          <w:rFonts w:ascii="Times New Roman" w:hAnsi="Times New Roman"/>
          <w:sz w:val="28"/>
          <w:szCs w:val="28"/>
          <w:lang w:val="uk-UA"/>
        </w:rPr>
        <w:t xml:space="preserve"> </w:t>
      </w:r>
      <w:r w:rsidRPr="00C62D22">
        <w:rPr>
          <w:rFonts w:ascii="Times New Roman" w:hAnsi="Times New Roman"/>
          <w:sz w:val="28"/>
          <w:szCs w:val="28"/>
          <w:lang w:val="en-US"/>
        </w:rPr>
        <w:t>Congress</w:t>
      </w:r>
      <w:r w:rsidRPr="00C62D22">
        <w:rPr>
          <w:rFonts w:ascii="Times New Roman" w:hAnsi="Times New Roman"/>
          <w:sz w:val="28"/>
          <w:szCs w:val="28"/>
          <w:lang w:val="uk-UA"/>
        </w:rPr>
        <w:t>» (</w:t>
      </w:r>
      <w:r w:rsidRPr="00C62D22">
        <w:rPr>
          <w:rFonts w:ascii="Times New Roman" w:hAnsi="Times New Roman"/>
          <w:sz w:val="28"/>
          <w:szCs w:val="28"/>
          <w:lang w:val="en-US"/>
        </w:rPr>
        <w:t>Mainz</w:t>
      </w:r>
      <w:r w:rsidRPr="00C62D22">
        <w:rPr>
          <w:rFonts w:ascii="Times New Roman" w:hAnsi="Times New Roman"/>
          <w:sz w:val="28"/>
          <w:szCs w:val="28"/>
          <w:lang w:val="uk-UA"/>
        </w:rPr>
        <w:t xml:space="preserve">, </w:t>
      </w:r>
      <w:r w:rsidRPr="00C62D22">
        <w:rPr>
          <w:rFonts w:ascii="Times New Roman" w:hAnsi="Times New Roman"/>
          <w:sz w:val="28"/>
          <w:szCs w:val="28"/>
          <w:lang w:val="en-US"/>
        </w:rPr>
        <w:t>Germany</w:t>
      </w:r>
      <w:r w:rsidRPr="00C62D22">
        <w:rPr>
          <w:rFonts w:ascii="Times New Roman" w:hAnsi="Times New Roman"/>
          <w:sz w:val="28"/>
          <w:szCs w:val="28"/>
          <w:lang w:val="uk-UA"/>
        </w:rPr>
        <w:t>, 23-26 травня 2017 р.,</w:t>
      </w:r>
      <w:r>
        <w:rPr>
          <w:rFonts w:ascii="Times New Roman" w:hAnsi="Times New Roman"/>
          <w:sz w:val="28"/>
          <w:szCs w:val="28"/>
          <w:lang w:val="uk-UA"/>
        </w:rPr>
        <w:t xml:space="preserve"> стендова доповідь).</w:t>
      </w:r>
    </w:p>
    <w:p w:rsidR="00C62D22" w:rsidRPr="00C62D22" w:rsidRDefault="00C62D22">
      <w:pPr>
        <w:rPr>
          <w:rFonts w:ascii="Times New Roman" w:hAnsi="Times New Roman" w:cs="Times New Roman"/>
          <w:sz w:val="28"/>
          <w:szCs w:val="28"/>
          <w:lang w:val="uk-UA"/>
        </w:rPr>
      </w:pPr>
    </w:p>
    <w:sectPr w:rsidR="00C62D22" w:rsidRPr="00C62D22" w:rsidSect="006E5FD4">
      <w:headerReference w:type="even" r:id="rId197"/>
      <w:headerReference w:type="default" r:id="rId198"/>
      <w:pgSz w:w="11906" w:h="16838"/>
      <w:pgMar w:top="1134" w:right="567"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1764E" w:rsidRDefault="0021764E" w:rsidP="0021764E">
      <w:pPr>
        <w:spacing w:after="0" w:line="240" w:lineRule="auto"/>
      </w:pPr>
      <w:r>
        <w:separator/>
      </w:r>
    </w:p>
  </w:endnote>
  <w:endnote w:type="continuationSeparator" w:id="1">
    <w:p w:rsidR="0021764E" w:rsidRDefault="0021764E" w:rsidP="0021764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Minio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A00002EF" w:usb1="420020EB" w:usb2="00000000" w:usb3="00000000" w:csb0="0000009F" w:csb1="00000000"/>
  </w:font>
  <w:font w:name="MyriadPro-Bold">
    <w:altName w:val="Arial Unicode MS"/>
    <w:panose1 w:val="00000000000000000000"/>
    <w:charset w:val="80"/>
    <w:family w:val="auto"/>
    <w:notTrueType/>
    <w:pitch w:val="default"/>
    <w:sig w:usb0="00000001" w:usb1="08070000" w:usb2="00000010" w:usb3="00000000" w:csb0="00020000" w:csb1="00000000"/>
  </w:font>
  <w:font w:name="TimesNewRomanPSMT">
    <w:altName w:val="Times New Roman"/>
    <w:panose1 w:val="00000000000000000000"/>
    <w:charset w:val="00"/>
    <w:family w:val="roman"/>
    <w:notTrueType/>
    <w:pitch w:val="default"/>
    <w:sig w:usb0="00000203" w:usb1="00000000" w:usb2="00000000" w:usb3="00000000" w:csb0="00000005" w:csb1="00000000"/>
  </w:font>
  <w:font w:name="TimesNewRomanPS-ItalicMT">
    <w:altName w:val="MS Mincho"/>
    <w:panose1 w:val="00000000000000000000"/>
    <w:charset w:val="80"/>
    <w:family w:val="auto"/>
    <w:notTrueType/>
    <w:pitch w:val="default"/>
    <w:sig w:usb0="00000203" w:usb1="08070000" w:usb2="00000010" w:usb3="00000000" w:csb0="00020005"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Roman">
    <w:altName w:val="Arial Unicode MS"/>
    <w:panose1 w:val="00000000000000000000"/>
    <w:charset w:val="80"/>
    <w:family w:val="roman"/>
    <w:notTrueType/>
    <w:pitch w:val="default"/>
    <w:sig w:usb0="00000001" w:usb1="08070000" w:usb2="00000010" w:usb3="00000000" w:csb0="00020000" w:csb1="00000000"/>
  </w:font>
  <w:font w:name="GaramondC-Light">
    <w:altName w:val="MS Mincho"/>
    <w:panose1 w:val="00000000000000000000"/>
    <w:charset w:val="80"/>
    <w:family w:val="auto"/>
    <w:notTrueType/>
    <w:pitch w:val="default"/>
    <w:sig w:usb0="00000001" w:usb1="08070000" w:usb2="00000010" w:usb3="00000000" w:csb0="00020000" w:csb1="00000000"/>
  </w:font>
  <w:font w:name="MyriadPro-Regular">
    <w:altName w:val="MS Mincho"/>
    <w:panose1 w:val="00000000000000000000"/>
    <w:charset w:val="80"/>
    <w:family w:val="auto"/>
    <w:notTrueType/>
    <w:pitch w:val="default"/>
    <w:sig w:usb0="00000001" w:usb1="08070000" w:usb2="00000010" w:usb3="00000000" w:csb0="00020000" w:csb1="00000000"/>
  </w:font>
  <w:font w:name="ArialMT">
    <w:altName w:val="Times New Roman"/>
    <w:panose1 w:val="00000000000000000000"/>
    <w:charset w:val="CC"/>
    <w:family w:val="auto"/>
    <w:notTrueType/>
    <w:pitch w:val="default"/>
    <w:sig w:usb0="00000203" w:usb1="00000000" w:usb2="00000000" w:usb3="00000000" w:csb0="00000005" w:csb1="00000000"/>
  </w:font>
  <w:font w:name="TimesNewRomanPS-BoldMT">
    <w:altName w:val="MS Mincho"/>
    <w:panose1 w:val="00000000000000000000"/>
    <w:charset w:val="80"/>
    <w:family w:val="auto"/>
    <w:notTrueType/>
    <w:pitch w:val="default"/>
    <w:sig w:usb0="00000203" w:usb1="08070000" w:usb2="00000010" w:usb3="00000000" w:csb0="00020005" w:csb1="00000000"/>
  </w:font>
  <w:font w:name="Arial,Italic">
    <w:altName w:val="MS Mincho"/>
    <w:panose1 w:val="00000000000000000000"/>
    <w:charset w:val="80"/>
    <w:family w:val="auto"/>
    <w:notTrueType/>
    <w:pitch w:val="default"/>
    <w:sig w:usb0="00000003" w:usb1="08070000" w:usb2="00000010" w:usb3="00000000" w:csb0="0002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Newton-BoldItalic">
    <w:altName w:val="MS Mincho"/>
    <w:panose1 w:val="00000000000000000000"/>
    <w:charset w:val="80"/>
    <w:family w:val="auto"/>
    <w:notTrueType/>
    <w:pitch w:val="default"/>
    <w:sig w:usb0="00000001" w:usb1="08070000" w:usb2="00000010" w:usb3="00000000" w:csb0="00020000" w:csb1="00000000"/>
  </w:font>
  <w:font w:name="LiberationSerif-Italic">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1764E" w:rsidRDefault="0021764E" w:rsidP="0021764E">
      <w:pPr>
        <w:spacing w:after="0" w:line="240" w:lineRule="auto"/>
      </w:pPr>
      <w:r>
        <w:separator/>
      </w:r>
    </w:p>
  </w:footnote>
  <w:footnote w:type="continuationSeparator" w:id="1">
    <w:p w:rsidR="0021764E" w:rsidRDefault="0021764E" w:rsidP="0021764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5FD4" w:rsidRDefault="006E5FD4" w:rsidP="006E5FD4">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6E5FD4" w:rsidRDefault="006E5FD4" w:rsidP="006E5FD4">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5FD4" w:rsidRPr="0021764E" w:rsidRDefault="006E5FD4" w:rsidP="0021764E">
    <w:pPr>
      <w:pStyle w:val="a4"/>
      <w:framePr w:wrap="around" w:vAnchor="text" w:hAnchor="page" w:x="11026" w:y="-3"/>
      <w:rPr>
        <w:rStyle w:val="a6"/>
        <w:rFonts w:ascii="Times New Roman" w:hAnsi="Times New Roman" w:cs="Times New Roman"/>
        <w:sz w:val="28"/>
        <w:szCs w:val="28"/>
      </w:rPr>
    </w:pPr>
    <w:r w:rsidRPr="0021764E">
      <w:rPr>
        <w:rStyle w:val="a6"/>
        <w:rFonts w:ascii="Times New Roman" w:hAnsi="Times New Roman" w:cs="Times New Roman"/>
        <w:sz w:val="28"/>
        <w:szCs w:val="28"/>
      </w:rPr>
      <w:fldChar w:fldCharType="begin"/>
    </w:r>
    <w:r w:rsidRPr="0021764E">
      <w:rPr>
        <w:rStyle w:val="a6"/>
        <w:rFonts w:ascii="Times New Roman" w:hAnsi="Times New Roman" w:cs="Times New Roman"/>
        <w:sz w:val="28"/>
        <w:szCs w:val="28"/>
      </w:rPr>
      <w:instrText xml:space="preserve">PAGE  </w:instrText>
    </w:r>
    <w:r w:rsidRPr="0021764E">
      <w:rPr>
        <w:rStyle w:val="a6"/>
        <w:rFonts w:ascii="Times New Roman" w:hAnsi="Times New Roman" w:cs="Times New Roman"/>
        <w:sz w:val="28"/>
        <w:szCs w:val="28"/>
      </w:rPr>
      <w:fldChar w:fldCharType="separate"/>
    </w:r>
    <w:r w:rsidR="00130279">
      <w:rPr>
        <w:rStyle w:val="a6"/>
        <w:rFonts w:ascii="Times New Roman" w:hAnsi="Times New Roman" w:cs="Times New Roman"/>
        <w:noProof/>
        <w:sz w:val="28"/>
        <w:szCs w:val="28"/>
      </w:rPr>
      <w:t>360</w:t>
    </w:r>
    <w:r w:rsidRPr="0021764E">
      <w:rPr>
        <w:rStyle w:val="a6"/>
        <w:rFonts w:ascii="Times New Roman" w:hAnsi="Times New Roman" w:cs="Times New Roman"/>
        <w:sz w:val="28"/>
        <w:szCs w:val="28"/>
      </w:rPr>
      <w:fldChar w:fldCharType="end"/>
    </w:r>
  </w:p>
  <w:p w:rsidR="006E5FD4" w:rsidRDefault="006E5FD4" w:rsidP="006E5FD4">
    <w:pPr>
      <w:pStyle w:val="a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3" o:spid="_x0000_i1027" type="#_x0000_t75" style="width:18.75pt;height:11.25pt;visibility:visible" o:bullet="t">
        <v:imagedata r:id="rId1" o:title=""/>
      </v:shape>
    </w:pict>
  </w:numPicBullet>
  <w:abstractNum w:abstractNumId="0">
    <w:nsid w:val="06867ABF"/>
    <w:multiLevelType w:val="hybridMultilevel"/>
    <w:tmpl w:val="A30CB13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08653A82"/>
    <w:multiLevelType w:val="hybridMultilevel"/>
    <w:tmpl w:val="7A50C5C4"/>
    <w:lvl w:ilvl="0" w:tplc="0419000F">
      <w:start w:val="1"/>
      <w:numFmt w:val="decimal"/>
      <w:lvlText w:val="%1."/>
      <w:lvlJc w:val="left"/>
      <w:pPr>
        <w:tabs>
          <w:tab w:val="num" w:pos="900"/>
        </w:tabs>
        <w:ind w:left="90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E1B4C1A"/>
    <w:multiLevelType w:val="multilevel"/>
    <w:tmpl w:val="8FAC2F32"/>
    <w:lvl w:ilvl="0">
      <w:start w:val="6"/>
      <w:numFmt w:val="decimal"/>
      <w:lvlText w:val="%1."/>
      <w:lvlJc w:val="left"/>
      <w:pPr>
        <w:tabs>
          <w:tab w:val="num" w:pos="435"/>
        </w:tabs>
        <w:ind w:left="435" w:hanging="435"/>
      </w:pPr>
      <w:rPr>
        <w:rFonts w:hint="default"/>
      </w:r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0EA32EF6"/>
    <w:multiLevelType w:val="hybridMultilevel"/>
    <w:tmpl w:val="A6C2DF2C"/>
    <w:lvl w:ilvl="0" w:tplc="4740ED1A">
      <w:start w:val="1"/>
      <w:numFmt w:val="decimal"/>
      <w:lvlText w:val="%1."/>
      <w:lvlJc w:val="left"/>
      <w:pPr>
        <w:tabs>
          <w:tab w:val="num" w:pos="1063"/>
        </w:tabs>
        <w:ind w:left="1063" w:hanging="495"/>
      </w:pPr>
      <w:rPr>
        <w:rFonts w:hint="default"/>
      </w:rPr>
    </w:lvl>
    <w:lvl w:ilvl="1" w:tplc="04190019" w:tentative="1">
      <w:start w:val="1"/>
      <w:numFmt w:val="lowerLetter"/>
      <w:lvlText w:val="%2."/>
      <w:lvlJc w:val="left"/>
      <w:pPr>
        <w:tabs>
          <w:tab w:val="num" w:pos="1260"/>
        </w:tabs>
        <w:ind w:left="1260" w:hanging="360"/>
      </w:pPr>
    </w:lvl>
    <w:lvl w:ilvl="2" w:tplc="0419001B" w:tentative="1">
      <w:start w:val="1"/>
      <w:numFmt w:val="lowerRoman"/>
      <w:lvlText w:val="%3."/>
      <w:lvlJc w:val="right"/>
      <w:pPr>
        <w:tabs>
          <w:tab w:val="num" w:pos="1980"/>
        </w:tabs>
        <w:ind w:left="1980" w:hanging="180"/>
      </w:pPr>
    </w:lvl>
    <w:lvl w:ilvl="3" w:tplc="0419000F" w:tentative="1">
      <w:start w:val="1"/>
      <w:numFmt w:val="decimal"/>
      <w:lvlText w:val="%4."/>
      <w:lvlJc w:val="left"/>
      <w:pPr>
        <w:tabs>
          <w:tab w:val="num" w:pos="2700"/>
        </w:tabs>
        <w:ind w:left="2700" w:hanging="360"/>
      </w:pPr>
    </w:lvl>
    <w:lvl w:ilvl="4" w:tplc="04190019" w:tentative="1">
      <w:start w:val="1"/>
      <w:numFmt w:val="lowerLetter"/>
      <w:lvlText w:val="%5."/>
      <w:lvlJc w:val="left"/>
      <w:pPr>
        <w:tabs>
          <w:tab w:val="num" w:pos="3420"/>
        </w:tabs>
        <w:ind w:left="3420" w:hanging="360"/>
      </w:pPr>
    </w:lvl>
    <w:lvl w:ilvl="5" w:tplc="0419001B" w:tentative="1">
      <w:start w:val="1"/>
      <w:numFmt w:val="lowerRoman"/>
      <w:lvlText w:val="%6."/>
      <w:lvlJc w:val="right"/>
      <w:pPr>
        <w:tabs>
          <w:tab w:val="num" w:pos="4140"/>
        </w:tabs>
        <w:ind w:left="4140" w:hanging="180"/>
      </w:pPr>
    </w:lvl>
    <w:lvl w:ilvl="6" w:tplc="0419000F" w:tentative="1">
      <w:start w:val="1"/>
      <w:numFmt w:val="decimal"/>
      <w:lvlText w:val="%7."/>
      <w:lvlJc w:val="left"/>
      <w:pPr>
        <w:tabs>
          <w:tab w:val="num" w:pos="4860"/>
        </w:tabs>
        <w:ind w:left="4860" w:hanging="360"/>
      </w:pPr>
    </w:lvl>
    <w:lvl w:ilvl="7" w:tplc="04190019" w:tentative="1">
      <w:start w:val="1"/>
      <w:numFmt w:val="lowerLetter"/>
      <w:lvlText w:val="%8."/>
      <w:lvlJc w:val="left"/>
      <w:pPr>
        <w:tabs>
          <w:tab w:val="num" w:pos="5580"/>
        </w:tabs>
        <w:ind w:left="5580" w:hanging="360"/>
      </w:pPr>
    </w:lvl>
    <w:lvl w:ilvl="8" w:tplc="0419001B" w:tentative="1">
      <w:start w:val="1"/>
      <w:numFmt w:val="lowerRoman"/>
      <w:lvlText w:val="%9."/>
      <w:lvlJc w:val="right"/>
      <w:pPr>
        <w:tabs>
          <w:tab w:val="num" w:pos="6300"/>
        </w:tabs>
        <w:ind w:left="6300" w:hanging="180"/>
      </w:pPr>
    </w:lvl>
  </w:abstractNum>
  <w:abstractNum w:abstractNumId="4">
    <w:nsid w:val="2050663B"/>
    <w:multiLevelType w:val="multilevel"/>
    <w:tmpl w:val="BC521AC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
    <w:nsid w:val="21CE0F89"/>
    <w:multiLevelType w:val="multilevel"/>
    <w:tmpl w:val="60704030"/>
    <w:lvl w:ilvl="0">
      <w:start w:val="1"/>
      <w:numFmt w:val="decimal"/>
      <w:lvlText w:val="%1."/>
      <w:lvlJc w:val="left"/>
      <w:pPr>
        <w:tabs>
          <w:tab w:val="num" w:pos="360"/>
        </w:tabs>
        <w:ind w:left="360" w:hanging="360"/>
      </w:pPr>
      <w:rPr>
        <w:rFonts w:hint="default"/>
        <w:sz w:val="24"/>
      </w:rPr>
    </w:lvl>
    <w:lvl w:ilvl="1">
      <w:start w:val="2"/>
      <w:numFmt w:val="decimal"/>
      <w:lvlText w:val="%1.%2."/>
      <w:lvlJc w:val="left"/>
      <w:pPr>
        <w:tabs>
          <w:tab w:val="num" w:pos="720"/>
        </w:tabs>
        <w:ind w:left="720" w:hanging="720"/>
      </w:pPr>
      <w:rPr>
        <w:rFonts w:hint="default"/>
        <w:sz w:val="24"/>
      </w:rPr>
    </w:lvl>
    <w:lvl w:ilvl="2">
      <w:start w:val="1"/>
      <w:numFmt w:val="decimal"/>
      <w:lvlText w:val="%1.%2.%3."/>
      <w:lvlJc w:val="left"/>
      <w:pPr>
        <w:tabs>
          <w:tab w:val="num" w:pos="720"/>
        </w:tabs>
        <w:ind w:left="720" w:hanging="720"/>
      </w:pPr>
      <w:rPr>
        <w:rFonts w:hint="default"/>
        <w:sz w:val="24"/>
      </w:rPr>
    </w:lvl>
    <w:lvl w:ilvl="3">
      <w:start w:val="1"/>
      <w:numFmt w:val="decimal"/>
      <w:lvlText w:val="%1.%2.%3.%4."/>
      <w:lvlJc w:val="left"/>
      <w:pPr>
        <w:tabs>
          <w:tab w:val="num" w:pos="1080"/>
        </w:tabs>
        <w:ind w:left="1080" w:hanging="1080"/>
      </w:pPr>
      <w:rPr>
        <w:rFonts w:hint="default"/>
        <w:sz w:val="24"/>
      </w:rPr>
    </w:lvl>
    <w:lvl w:ilvl="4">
      <w:start w:val="1"/>
      <w:numFmt w:val="decimal"/>
      <w:lvlText w:val="%1.%2.%3.%4.%5."/>
      <w:lvlJc w:val="left"/>
      <w:pPr>
        <w:tabs>
          <w:tab w:val="num" w:pos="1080"/>
        </w:tabs>
        <w:ind w:left="1080" w:hanging="1080"/>
      </w:pPr>
      <w:rPr>
        <w:rFonts w:hint="default"/>
        <w:sz w:val="24"/>
      </w:rPr>
    </w:lvl>
    <w:lvl w:ilvl="5">
      <w:start w:val="1"/>
      <w:numFmt w:val="decimal"/>
      <w:lvlText w:val="%1.%2.%3.%4.%5.%6."/>
      <w:lvlJc w:val="left"/>
      <w:pPr>
        <w:tabs>
          <w:tab w:val="num" w:pos="1440"/>
        </w:tabs>
        <w:ind w:left="1440" w:hanging="1440"/>
      </w:pPr>
      <w:rPr>
        <w:rFonts w:hint="default"/>
        <w:sz w:val="24"/>
      </w:rPr>
    </w:lvl>
    <w:lvl w:ilvl="6">
      <w:start w:val="1"/>
      <w:numFmt w:val="decimal"/>
      <w:lvlText w:val="%1.%2.%3.%4.%5.%6.%7."/>
      <w:lvlJc w:val="left"/>
      <w:pPr>
        <w:tabs>
          <w:tab w:val="num" w:pos="1800"/>
        </w:tabs>
        <w:ind w:left="1800" w:hanging="1800"/>
      </w:pPr>
      <w:rPr>
        <w:rFonts w:hint="default"/>
        <w:sz w:val="24"/>
      </w:rPr>
    </w:lvl>
    <w:lvl w:ilvl="7">
      <w:start w:val="1"/>
      <w:numFmt w:val="decimal"/>
      <w:lvlText w:val="%1.%2.%3.%4.%5.%6.%7.%8."/>
      <w:lvlJc w:val="left"/>
      <w:pPr>
        <w:tabs>
          <w:tab w:val="num" w:pos="1800"/>
        </w:tabs>
        <w:ind w:left="1800" w:hanging="1800"/>
      </w:pPr>
      <w:rPr>
        <w:rFonts w:hint="default"/>
        <w:sz w:val="24"/>
      </w:rPr>
    </w:lvl>
    <w:lvl w:ilvl="8">
      <w:start w:val="1"/>
      <w:numFmt w:val="decimal"/>
      <w:lvlText w:val="%1.%2.%3.%4.%5.%6.%7.%8.%9."/>
      <w:lvlJc w:val="left"/>
      <w:pPr>
        <w:tabs>
          <w:tab w:val="num" w:pos="2160"/>
        </w:tabs>
        <w:ind w:left="2160" w:hanging="2160"/>
      </w:pPr>
      <w:rPr>
        <w:rFonts w:hint="default"/>
        <w:sz w:val="24"/>
      </w:rPr>
    </w:lvl>
  </w:abstractNum>
  <w:abstractNum w:abstractNumId="6">
    <w:nsid w:val="271F03FE"/>
    <w:multiLevelType w:val="hybridMultilevel"/>
    <w:tmpl w:val="922C3F4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316528D7"/>
    <w:multiLevelType w:val="hybridMultilevel"/>
    <w:tmpl w:val="37F28B36"/>
    <w:lvl w:ilvl="0" w:tplc="D0D87E06">
      <w:start w:val="1"/>
      <w:numFmt w:val="decimal"/>
      <w:lvlText w:val="%1."/>
      <w:lvlJc w:val="left"/>
      <w:pPr>
        <w:tabs>
          <w:tab w:val="num" w:pos="1410"/>
        </w:tabs>
        <w:ind w:left="1410" w:hanging="87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8">
    <w:nsid w:val="331273E8"/>
    <w:multiLevelType w:val="multilevel"/>
    <w:tmpl w:val="D2F6C9CE"/>
    <w:lvl w:ilvl="0">
      <w:start w:val="5"/>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Zero"/>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9">
    <w:nsid w:val="39F82579"/>
    <w:multiLevelType w:val="hybridMultilevel"/>
    <w:tmpl w:val="E108942E"/>
    <w:lvl w:ilvl="0" w:tplc="FFFFFFFF">
      <w:start w:val="1"/>
      <w:numFmt w:val="decimal"/>
      <w:lvlText w:val="%1."/>
      <w:lvlJc w:val="left"/>
      <w:pPr>
        <w:ind w:left="1260" w:hanging="360"/>
      </w:pPr>
      <w:rPr>
        <w:rFonts w:ascii="Times New Roman" w:eastAsia="Times New Roman" w:hAnsi="Times New Roman" w:cs="Times New Roman"/>
      </w:rPr>
    </w:lvl>
    <w:lvl w:ilvl="1" w:tplc="FFFFFFFF" w:tentative="1">
      <w:start w:val="1"/>
      <w:numFmt w:val="lowerLetter"/>
      <w:lvlText w:val="%2."/>
      <w:lvlJc w:val="left"/>
      <w:pPr>
        <w:ind w:left="1980" w:hanging="360"/>
      </w:pPr>
    </w:lvl>
    <w:lvl w:ilvl="2" w:tplc="FFFFFFFF" w:tentative="1">
      <w:start w:val="1"/>
      <w:numFmt w:val="lowerRoman"/>
      <w:lvlText w:val="%3."/>
      <w:lvlJc w:val="right"/>
      <w:pPr>
        <w:ind w:left="2700" w:hanging="180"/>
      </w:pPr>
    </w:lvl>
    <w:lvl w:ilvl="3" w:tplc="FFFFFFFF" w:tentative="1">
      <w:start w:val="1"/>
      <w:numFmt w:val="decimal"/>
      <w:lvlText w:val="%4."/>
      <w:lvlJc w:val="left"/>
      <w:pPr>
        <w:ind w:left="3420" w:hanging="360"/>
      </w:pPr>
    </w:lvl>
    <w:lvl w:ilvl="4" w:tplc="FFFFFFFF" w:tentative="1">
      <w:start w:val="1"/>
      <w:numFmt w:val="lowerLetter"/>
      <w:lvlText w:val="%5."/>
      <w:lvlJc w:val="left"/>
      <w:pPr>
        <w:ind w:left="4140" w:hanging="360"/>
      </w:pPr>
    </w:lvl>
    <w:lvl w:ilvl="5" w:tplc="FFFFFFFF" w:tentative="1">
      <w:start w:val="1"/>
      <w:numFmt w:val="lowerRoman"/>
      <w:lvlText w:val="%6."/>
      <w:lvlJc w:val="right"/>
      <w:pPr>
        <w:ind w:left="4860" w:hanging="180"/>
      </w:pPr>
    </w:lvl>
    <w:lvl w:ilvl="6" w:tplc="FFFFFFFF" w:tentative="1">
      <w:start w:val="1"/>
      <w:numFmt w:val="decimal"/>
      <w:lvlText w:val="%7."/>
      <w:lvlJc w:val="left"/>
      <w:pPr>
        <w:ind w:left="5580" w:hanging="360"/>
      </w:pPr>
    </w:lvl>
    <w:lvl w:ilvl="7" w:tplc="FFFFFFFF" w:tentative="1">
      <w:start w:val="1"/>
      <w:numFmt w:val="lowerLetter"/>
      <w:lvlText w:val="%8."/>
      <w:lvlJc w:val="left"/>
      <w:pPr>
        <w:ind w:left="6300" w:hanging="360"/>
      </w:pPr>
    </w:lvl>
    <w:lvl w:ilvl="8" w:tplc="FFFFFFFF" w:tentative="1">
      <w:start w:val="1"/>
      <w:numFmt w:val="lowerRoman"/>
      <w:lvlText w:val="%9."/>
      <w:lvlJc w:val="right"/>
      <w:pPr>
        <w:ind w:left="7020" w:hanging="180"/>
      </w:pPr>
    </w:lvl>
  </w:abstractNum>
  <w:abstractNum w:abstractNumId="10">
    <w:nsid w:val="4A5D22DF"/>
    <w:multiLevelType w:val="hybridMultilevel"/>
    <w:tmpl w:val="0DC8F500"/>
    <w:lvl w:ilvl="0" w:tplc="50683B3A">
      <w:start w:val="1"/>
      <w:numFmt w:val="bullet"/>
      <w:lvlText w:val=""/>
      <w:lvlJc w:val="left"/>
      <w:pPr>
        <w:tabs>
          <w:tab w:val="num" w:pos="0"/>
        </w:tabs>
        <w:ind w:left="0" w:firstLine="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nsid w:val="4C866872"/>
    <w:multiLevelType w:val="hybridMultilevel"/>
    <w:tmpl w:val="6B64633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4D876D30"/>
    <w:multiLevelType w:val="hybridMultilevel"/>
    <w:tmpl w:val="3D2892A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512A0E29"/>
    <w:multiLevelType w:val="multilevel"/>
    <w:tmpl w:val="B97C7884"/>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52BF299C"/>
    <w:multiLevelType w:val="hybridMultilevel"/>
    <w:tmpl w:val="EADCB51A"/>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5">
    <w:nsid w:val="56A654FA"/>
    <w:multiLevelType w:val="multilevel"/>
    <w:tmpl w:val="B97C7884"/>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nsid w:val="58630C11"/>
    <w:multiLevelType w:val="multilevel"/>
    <w:tmpl w:val="3C9803E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nsid w:val="5A6C2D23"/>
    <w:multiLevelType w:val="hybridMultilevel"/>
    <w:tmpl w:val="C68C7F32"/>
    <w:lvl w:ilvl="0" w:tplc="3B521938">
      <w:start w:val="1"/>
      <w:numFmt w:val="decimal"/>
      <w:lvlText w:val="%1."/>
      <w:lvlJc w:val="left"/>
      <w:pPr>
        <w:ind w:left="1260" w:hanging="360"/>
      </w:pPr>
      <w:rPr>
        <w:rFonts w:cs="Times New Roman"/>
        <w:color w:val="auto"/>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8">
    <w:nsid w:val="5FC95C8C"/>
    <w:multiLevelType w:val="multilevel"/>
    <w:tmpl w:val="6B64633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
    <w:nsid w:val="65E831A7"/>
    <w:multiLevelType w:val="multilevel"/>
    <w:tmpl w:val="B97C788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nsid w:val="6760135E"/>
    <w:multiLevelType w:val="hybridMultilevel"/>
    <w:tmpl w:val="CB2C1542"/>
    <w:lvl w:ilvl="0" w:tplc="0422000F">
      <w:start w:val="19"/>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1">
    <w:nsid w:val="677701FC"/>
    <w:multiLevelType w:val="hybridMultilevel"/>
    <w:tmpl w:val="85DA91E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69576F73"/>
    <w:multiLevelType w:val="multilevel"/>
    <w:tmpl w:val="C8B20F1E"/>
    <w:lvl w:ilvl="0">
      <w:start w:val="4"/>
      <w:numFmt w:val="decimal"/>
      <w:lvlText w:val="%1."/>
      <w:lvlJc w:val="left"/>
      <w:pPr>
        <w:tabs>
          <w:tab w:val="num" w:pos="360"/>
        </w:tabs>
        <w:ind w:left="360" w:hanging="360"/>
      </w:pPr>
      <w:rPr>
        <w:rFonts w:hint="default"/>
        <w:b w:val="0"/>
      </w:rPr>
    </w:lvl>
    <w:lvl w:ilvl="1">
      <w:start w:val="1"/>
      <w:numFmt w:val="decimal"/>
      <w:lvlText w:val="%1.%2."/>
      <w:lvlJc w:val="left"/>
      <w:pPr>
        <w:tabs>
          <w:tab w:val="num" w:pos="720"/>
        </w:tabs>
        <w:ind w:left="720" w:hanging="36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3">
    <w:nsid w:val="6D227E55"/>
    <w:multiLevelType w:val="hybridMultilevel"/>
    <w:tmpl w:val="15C47BC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nsid w:val="6D2A2BEF"/>
    <w:multiLevelType w:val="hybridMultilevel"/>
    <w:tmpl w:val="32C4F43A"/>
    <w:lvl w:ilvl="0" w:tplc="04190001">
      <w:start w:val="1"/>
      <w:numFmt w:val="bullet"/>
      <w:lvlText w:val=""/>
      <w:lvlJc w:val="left"/>
      <w:pPr>
        <w:tabs>
          <w:tab w:val="num" w:pos="720"/>
        </w:tabs>
        <w:ind w:left="720" w:hanging="360"/>
      </w:pPr>
      <w:rPr>
        <w:rFonts w:ascii="Symbol" w:hAnsi="Symbol"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6D7D190E"/>
    <w:multiLevelType w:val="hybridMultilevel"/>
    <w:tmpl w:val="582E3372"/>
    <w:lvl w:ilvl="0" w:tplc="0422000F">
      <w:start w:val="13"/>
      <w:numFmt w:val="decimal"/>
      <w:lvlText w:val="%1."/>
      <w:lvlJc w:val="left"/>
      <w:pPr>
        <w:ind w:left="720" w:hanging="360"/>
      </w:pPr>
      <w:rPr>
        <w:rFonts w:ascii="Times New Roman" w:hAnsi="Times New Roman"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6">
    <w:nsid w:val="6F1557A7"/>
    <w:multiLevelType w:val="multilevel"/>
    <w:tmpl w:val="E25694E2"/>
    <w:lvl w:ilvl="0">
      <w:start w:val="1"/>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7">
    <w:nsid w:val="6F3B68CD"/>
    <w:multiLevelType w:val="hybridMultilevel"/>
    <w:tmpl w:val="934432AE"/>
    <w:lvl w:ilvl="0" w:tplc="A89E373A">
      <w:start w:val="1"/>
      <w:numFmt w:val="bullet"/>
      <w:lvlText w:val=""/>
      <w:lvlPicBulletId w:val="0"/>
      <w:lvlJc w:val="left"/>
      <w:pPr>
        <w:tabs>
          <w:tab w:val="num" w:pos="720"/>
        </w:tabs>
        <w:ind w:left="720" w:hanging="360"/>
      </w:pPr>
      <w:rPr>
        <w:rFonts w:ascii="Symbol" w:hAnsi="Symbol" w:hint="default"/>
      </w:rPr>
    </w:lvl>
    <w:lvl w:ilvl="1" w:tplc="3DB6E6E2" w:tentative="1">
      <w:start w:val="1"/>
      <w:numFmt w:val="bullet"/>
      <w:lvlText w:val=""/>
      <w:lvlJc w:val="left"/>
      <w:pPr>
        <w:tabs>
          <w:tab w:val="num" w:pos="1440"/>
        </w:tabs>
        <w:ind w:left="1440" w:hanging="360"/>
      </w:pPr>
      <w:rPr>
        <w:rFonts w:ascii="Symbol" w:hAnsi="Symbol" w:hint="default"/>
      </w:rPr>
    </w:lvl>
    <w:lvl w:ilvl="2" w:tplc="FA4E3FDC" w:tentative="1">
      <w:start w:val="1"/>
      <w:numFmt w:val="bullet"/>
      <w:lvlText w:val=""/>
      <w:lvlJc w:val="left"/>
      <w:pPr>
        <w:tabs>
          <w:tab w:val="num" w:pos="2160"/>
        </w:tabs>
        <w:ind w:left="2160" w:hanging="360"/>
      </w:pPr>
      <w:rPr>
        <w:rFonts w:ascii="Symbol" w:hAnsi="Symbol" w:hint="default"/>
      </w:rPr>
    </w:lvl>
    <w:lvl w:ilvl="3" w:tplc="4BE86A26" w:tentative="1">
      <w:start w:val="1"/>
      <w:numFmt w:val="bullet"/>
      <w:lvlText w:val=""/>
      <w:lvlJc w:val="left"/>
      <w:pPr>
        <w:tabs>
          <w:tab w:val="num" w:pos="2880"/>
        </w:tabs>
        <w:ind w:left="2880" w:hanging="360"/>
      </w:pPr>
      <w:rPr>
        <w:rFonts w:ascii="Symbol" w:hAnsi="Symbol" w:hint="default"/>
      </w:rPr>
    </w:lvl>
    <w:lvl w:ilvl="4" w:tplc="B1F2236A" w:tentative="1">
      <w:start w:val="1"/>
      <w:numFmt w:val="bullet"/>
      <w:lvlText w:val=""/>
      <w:lvlJc w:val="left"/>
      <w:pPr>
        <w:tabs>
          <w:tab w:val="num" w:pos="3600"/>
        </w:tabs>
        <w:ind w:left="3600" w:hanging="360"/>
      </w:pPr>
      <w:rPr>
        <w:rFonts w:ascii="Symbol" w:hAnsi="Symbol" w:hint="default"/>
      </w:rPr>
    </w:lvl>
    <w:lvl w:ilvl="5" w:tplc="2668E1E4" w:tentative="1">
      <w:start w:val="1"/>
      <w:numFmt w:val="bullet"/>
      <w:lvlText w:val=""/>
      <w:lvlJc w:val="left"/>
      <w:pPr>
        <w:tabs>
          <w:tab w:val="num" w:pos="4320"/>
        </w:tabs>
        <w:ind w:left="4320" w:hanging="360"/>
      </w:pPr>
      <w:rPr>
        <w:rFonts w:ascii="Symbol" w:hAnsi="Symbol" w:hint="default"/>
      </w:rPr>
    </w:lvl>
    <w:lvl w:ilvl="6" w:tplc="65A8574A" w:tentative="1">
      <w:start w:val="1"/>
      <w:numFmt w:val="bullet"/>
      <w:lvlText w:val=""/>
      <w:lvlJc w:val="left"/>
      <w:pPr>
        <w:tabs>
          <w:tab w:val="num" w:pos="5040"/>
        </w:tabs>
        <w:ind w:left="5040" w:hanging="360"/>
      </w:pPr>
      <w:rPr>
        <w:rFonts w:ascii="Symbol" w:hAnsi="Symbol" w:hint="default"/>
      </w:rPr>
    </w:lvl>
    <w:lvl w:ilvl="7" w:tplc="4710A5AE" w:tentative="1">
      <w:start w:val="1"/>
      <w:numFmt w:val="bullet"/>
      <w:lvlText w:val=""/>
      <w:lvlJc w:val="left"/>
      <w:pPr>
        <w:tabs>
          <w:tab w:val="num" w:pos="5760"/>
        </w:tabs>
        <w:ind w:left="5760" w:hanging="360"/>
      </w:pPr>
      <w:rPr>
        <w:rFonts w:ascii="Symbol" w:hAnsi="Symbol" w:hint="default"/>
      </w:rPr>
    </w:lvl>
    <w:lvl w:ilvl="8" w:tplc="AA88B4F4" w:tentative="1">
      <w:start w:val="1"/>
      <w:numFmt w:val="bullet"/>
      <w:lvlText w:val=""/>
      <w:lvlJc w:val="left"/>
      <w:pPr>
        <w:tabs>
          <w:tab w:val="num" w:pos="6480"/>
        </w:tabs>
        <w:ind w:left="6480" w:hanging="360"/>
      </w:pPr>
      <w:rPr>
        <w:rFonts w:ascii="Symbol" w:hAnsi="Symbol" w:hint="default"/>
      </w:rPr>
    </w:lvl>
  </w:abstractNum>
  <w:abstractNum w:abstractNumId="28">
    <w:nsid w:val="72CC55C0"/>
    <w:multiLevelType w:val="hybridMultilevel"/>
    <w:tmpl w:val="113444DA"/>
    <w:lvl w:ilvl="0" w:tplc="DEAAB1D6">
      <w:start w:val="1"/>
      <w:numFmt w:val="decimal"/>
      <w:pStyle w:val="ListParagraph"/>
      <w:lvlText w:val="%1."/>
      <w:lvlJc w:val="left"/>
      <w:pPr>
        <w:tabs>
          <w:tab w:val="num" w:pos="567"/>
        </w:tabs>
        <w:ind w:left="567" w:hanging="56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73A37514"/>
    <w:multiLevelType w:val="hybridMultilevel"/>
    <w:tmpl w:val="3796FDB0"/>
    <w:lvl w:ilvl="0" w:tplc="2DF43226">
      <w:start w:val="1"/>
      <w:numFmt w:val="decimal"/>
      <w:lvlText w:val="%1."/>
      <w:lvlJc w:val="left"/>
      <w:pPr>
        <w:tabs>
          <w:tab w:val="num" w:pos="735"/>
        </w:tabs>
        <w:ind w:left="735" w:hanging="375"/>
      </w:pPr>
      <w:rPr>
        <w:rFonts w:hint="default"/>
        <w:color w:val="00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7FB46872"/>
    <w:multiLevelType w:val="multilevel"/>
    <w:tmpl w:val="351CE9EC"/>
    <w:lvl w:ilvl="0">
      <w:start w:val="1"/>
      <w:numFmt w:val="decimal"/>
      <w:lvlText w:val="%1."/>
      <w:lvlJc w:val="left"/>
      <w:pPr>
        <w:tabs>
          <w:tab w:val="num" w:pos="1305"/>
        </w:tabs>
        <w:ind w:left="1305" w:hanging="1305"/>
      </w:pPr>
      <w:rPr>
        <w:rFonts w:hint="default"/>
      </w:rPr>
    </w:lvl>
    <w:lvl w:ilvl="1">
      <w:start w:val="1"/>
      <w:numFmt w:val="decimal"/>
      <w:lvlText w:val="%1.%2."/>
      <w:lvlJc w:val="left"/>
      <w:pPr>
        <w:tabs>
          <w:tab w:val="num" w:pos="1305"/>
        </w:tabs>
        <w:ind w:left="1305" w:hanging="1305"/>
      </w:pPr>
      <w:rPr>
        <w:rFonts w:hint="default"/>
      </w:rPr>
    </w:lvl>
    <w:lvl w:ilvl="2">
      <w:start w:val="1"/>
      <w:numFmt w:val="decimal"/>
      <w:lvlText w:val="%1.%2.%3."/>
      <w:lvlJc w:val="left"/>
      <w:pPr>
        <w:tabs>
          <w:tab w:val="num" w:pos="2723"/>
        </w:tabs>
        <w:ind w:left="2723" w:hanging="1305"/>
      </w:pPr>
      <w:rPr>
        <w:rFonts w:hint="default"/>
      </w:rPr>
    </w:lvl>
    <w:lvl w:ilvl="3">
      <w:start w:val="1"/>
      <w:numFmt w:val="decimal"/>
      <w:lvlText w:val="%1.%2.%3.%4."/>
      <w:lvlJc w:val="left"/>
      <w:pPr>
        <w:tabs>
          <w:tab w:val="num" w:pos="3432"/>
        </w:tabs>
        <w:ind w:left="3432" w:hanging="1305"/>
      </w:pPr>
      <w:rPr>
        <w:rFonts w:hint="default"/>
      </w:rPr>
    </w:lvl>
    <w:lvl w:ilvl="4">
      <w:start w:val="1"/>
      <w:numFmt w:val="decimal"/>
      <w:lvlText w:val="%1.%2.%3.%4.%5."/>
      <w:lvlJc w:val="left"/>
      <w:pPr>
        <w:tabs>
          <w:tab w:val="num" w:pos="4141"/>
        </w:tabs>
        <w:ind w:left="4141" w:hanging="1305"/>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9"/>
  </w:num>
  <w:num w:numId="3">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6"/>
  </w:num>
  <w:num w:numId="5">
    <w:abstractNumId w:val="22"/>
  </w:num>
  <w:num w:numId="6">
    <w:abstractNumId w:val="4"/>
  </w:num>
  <w:num w:numId="7">
    <w:abstractNumId w:val="19"/>
  </w:num>
  <w:num w:numId="8">
    <w:abstractNumId w:val="13"/>
  </w:num>
  <w:num w:numId="9">
    <w:abstractNumId w:val="15"/>
  </w:num>
  <w:num w:numId="10">
    <w:abstractNumId w:val="5"/>
  </w:num>
  <w:num w:numId="11">
    <w:abstractNumId w:val="30"/>
  </w:num>
  <w:num w:numId="12">
    <w:abstractNumId w:val="24"/>
  </w:num>
  <w:num w:numId="13">
    <w:abstractNumId w:val="8"/>
  </w:num>
  <w:num w:numId="14">
    <w:abstractNumId w:val="2"/>
  </w:num>
  <w:num w:numId="15">
    <w:abstractNumId w:val="23"/>
  </w:num>
  <w:num w:numId="16">
    <w:abstractNumId w:val="11"/>
  </w:num>
  <w:num w:numId="17">
    <w:abstractNumId w:val="18"/>
  </w:num>
  <w:num w:numId="18">
    <w:abstractNumId w:val="6"/>
  </w:num>
  <w:num w:numId="19">
    <w:abstractNumId w:val="1"/>
  </w:num>
  <w:num w:numId="20">
    <w:abstractNumId w:val="16"/>
  </w:num>
  <w:num w:numId="21">
    <w:abstractNumId w:val="28"/>
  </w:num>
  <w:num w:numId="22">
    <w:abstractNumId w:val="17"/>
  </w:num>
  <w:num w:numId="23">
    <w:abstractNumId w:val="20"/>
  </w:num>
  <w:num w:numId="24">
    <w:abstractNumId w:val="25"/>
  </w:num>
  <w:num w:numId="25">
    <w:abstractNumId w:val="21"/>
  </w:num>
  <w:num w:numId="26">
    <w:abstractNumId w:val="0"/>
  </w:num>
  <w:num w:numId="27">
    <w:abstractNumId w:val="14"/>
  </w:num>
  <w:num w:numId="28">
    <w:abstractNumId w:val="27"/>
  </w:num>
  <w:num w:numId="29">
    <w:abstractNumId w:val="3"/>
  </w:num>
  <w:num w:numId="30">
    <w:abstractNumId w:val="9"/>
  </w:num>
  <w:num w:numId="3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num>
  <w:num w:numId="34">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characterSpacingControl w:val="doNotCompress"/>
  <w:footnotePr>
    <w:footnote w:id="0"/>
    <w:footnote w:id="1"/>
  </w:footnotePr>
  <w:endnotePr>
    <w:endnote w:id="0"/>
    <w:endnote w:id="1"/>
  </w:endnotePr>
  <w:compat>
    <w:useFELayout/>
  </w:compat>
  <w:rsids>
    <w:rsidRoot w:val="0021764E"/>
    <w:rsid w:val="00130279"/>
    <w:rsid w:val="0021764E"/>
    <w:rsid w:val="006E5FD4"/>
    <w:rsid w:val="00C62D2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City"/>
  <w:smartTagType w:namespaceuri="urn:schemas-microsoft-com:office:smarttags" w:name="place"/>
  <w:smartTagType w:namespaceuri="urn:schemas-microsoft-com:office:smarttags" w:name="metricconverter"/>
  <w:smartTagType w:namespaceuri="urn:schemas-microsoft-com:office:smarttags" w:name="State"/>
  <w:shapeDefaults>
    <o:shapedefaults v:ext="edit" spidmax="2050"/>
    <o:shapelayout v:ext="edit">
      <o:idmap v:ext="edit" data="1"/>
      <o:rules v:ext="edit">
        <o:r id="V:Rule1" type="connector" idref="#_x0000_s1168"/>
        <o:r id="V:Rule2" type="connector" idref="#_x0000_s1169"/>
        <o:r id="V:Rule3" type="connector" idref="#_x0000_s117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2" w:uiPriority="0"/>
    <w:lsdException w:name="Body Text Indent 2" w:uiPriority="0"/>
    <w:lsdException w:name="Hyperlink" w:uiPriority="0"/>
    <w:lsdException w:name="FollowedHyperlink" w:uiPriority="0"/>
    <w:lsdException w:name="Strong" w:semiHidden="0" w:unhideWhenUsed="0" w:qFormat="1"/>
    <w:lsdException w:name="Emphasis" w:semiHidden="0" w:uiPriority="20" w:unhideWhenUsed="0" w:qFormat="1"/>
    <w:lsdException w:name="Document Map" w:uiPriority="0"/>
    <w:lsdException w:name="Plain Text" w:uiPriority="0"/>
    <w:lsdException w:name="Normal (Web)"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21764E"/>
    <w:pPr>
      <w:keepNext/>
      <w:spacing w:before="240" w:after="60" w:line="240" w:lineRule="auto"/>
      <w:outlineLvl w:val="0"/>
    </w:pPr>
    <w:rPr>
      <w:rFonts w:ascii="Arial" w:eastAsia="Times New Roman" w:hAnsi="Arial" w:cs="Arial"/>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semiHidden/>
    <w:unhideWhenUsed/>
  </w:style>
  <w:style w:type="character" w:customStyle="1" w:styleId="10">
    <w:name w:val="Заголовок 1 Знак"/>
    <w:basedOn w:val="a0"/>
    <w:link w:val="1"/>
    <w:rsid w:val="0021764E"/>
    <w:rPr>
      <w:rFonts w:ascii="Arial" w:eastAsia="Times New Roman" w:hAnsi="Arial" w:cs="Arial"/>
      <w:b/>
      <w:bCs/>
      <w:kern w:val="32"/>
      <w:sz w:val="32"/>
      <w:szCs w:val="32"/>
    </w:rPr>
  </w:style>
  <w:style w:type="character" w:customStyle="1" w:styleId="a3">
    <w:name w:val="Верхний колонтитул Знак"/>
    <w:basedOn w:val="a0"/>
    <w:link w:val="a4"/>
    <w:uiPriority w:val="99"/>
    <w:locked/>
    <w:rsid w:val="0021764E"/>
    <w:rPr>
      <w:sz w:val="24"/>
      <w:szCs w:val="24"/>
      <w:lang w:val="uk-UA"/>
    </w:rPr>
  </w:style>
  <w:style w:type="paragraph" w:styleId="a4">
    <w:name w:val="header"/>
    <w:basedOn w:val="a"/>
    <w:link w:val="a3"/>
    <w:uiPriority w:val="99"/>
    <w:rsid w:val="0021764E"/>
    <w:pPr>
      <w:tabs>
        <w:tab w:val="center" w:pos="4677"/>
        <w:tab w:val="right" w:pos="9355"/>
      </w:tabs>
      <w:spacing w:after="0" w:line="240" w:lineRule="auto"/>
    </w:pPr>
    <w:rPr>
      <w:sz w:val="24"/>
      <w:szCs w:val="24"/>
      <w:lang w:val="uk-UA"/>
    </w:rPr>
  </w:style>
  <w:style w:type="character" w:customStyle="1" w:styleId="11">
    <w:name w:val="Верхний колонтитул Знак1"/>
    <w:basedOn w:val="a0"/>
    <w:link w:val="a4"/>
    <w:semiHidden/>
    <w:rsid w:val="0021764E"/>
  </w:style>
  <w:style w:type="character" w:customStyle="1" w:styleId="hps">
    <w:name w:val="hps"/>
    <w:basedOn w:val="a0"/>
    <w:rsid w:val="0021764E"/>
  </w:style>
  <w:style w:type="paragraph" w:styleId="a5">
    <w:name w:val="Normal (Web)"/>
    <w:basedOn w:val="a"/>
    <w:rsid w:val="0021764E"/>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page number"/>
    <w:basedOn w:val="a0"/>
    <w:rsid w:val="0021764E"/>
  </w:style>
  <w:style w:type="character" w:customStyle="1" w:styleId="a7">
    <w:name w:val="Основной текст с отступом Знак"/>
    <w:basedOn w:val="a0"/>
    <w:link w:val="a8"/>
    <w:locked/>
    <w:rsid w:val="0021764E"/>
    <w:rPr>
      <w:sz w:val="24"/>
      <w:szCs w:val="24"/>
      <w:lang w:val="uk-UA"/>
    </w:rPr>
  </w:style>
  <w:style w:type="paragraph" w:styleId="a8">
    <w:name w:val="Body Text Indent"/>
    <w:basedOn w:val="a"/>
    <w:link w:val="a7"/>
    <w:rsid w:val="0021764E"/>
    <w:pPr>
      <w:spacing w:after="120" w:line="240" w:lineRule="auto"/>
      <w:ind w:left="283"/>
    </w:pPr>
    <w:rPr>
      <w:sz w:val="24"/>
      <w:szCs w:val="24"/>
      <w:lang w:val="uk-UA"/>
    </w:rPr>
  </w:style>
  <w:style w:type="character" w:customStyle="1" w:styleId="12">
    <w:name w:val="Основной текст с отступом Знак1"/>
    <w:basedOn w:val="a0"/>
    <w:link w:val="a8"/>
    <w:semiHidden/>
    <w:rsid w:val="0021764E"/>
  </w:style>
  <w:style w:type="character" w:customStyle="1" w:styleId="shorttext">
    <w:name w:val="short_text"/>
    <w:basedOn w:val="a0"/>
    <w:rsid w:val="0021764E"/>
  </w:style>
  <w:style w:type="paragraph" w:customStyle="1" w:styleId="rvps7">
    <w:name w:val="rvps7"/>
    <w:basedOn w:val="a"/>
    <w:rsid w:val="0021764E"/>
    <w:pPr>
      <w:spacing w:before="100" w:beforeAutospacing="1" w:after="100" w:afterAutospacing="1" w:line="240" w:lineRule="auto"/>
    </w:pPr>
    <w:rPr>
      <w:rFonts w:ascii="Times New Roman" w:eastAsia="MS Mincho" w:hAnsi="Times New Roman" w:cs="Times New Roman"/>
      <w:sz w:val="24"/>
      <w:szCs w:val="24"/>
      <w:lang w:eastAsia="ja-JP"/>
    </w:rPr>
  </w:style>
  <w:style w:type="character" w:customStyle="1" w:styleId="rvts15">
    <w:name w:val="rvts15"/>
    <w:rsid w:val="0021764E"/>
    <w:rPr>
      <w:rFonts w:cs="Times New Roman"/>
    </w:rPr>
  </w:style>
  <w:style w:type="paragraph" w:styleId="a9">
    <w:name w:val="footer"/>
    <w:basedOn w:val="a"/>
    <w:link w:val="aa"/>
    <w:uiPriority w:val="99"/>
    <w:unhideWhenUsed/>
    <w:rsid w:val="0021764E"/>
    <w:pPr>
      <w:tabs>
        <w:tab w:val="center" w:pos="4677"/>
        <w:tab w:val="right" w:pos="9355"/>
      </w:tabs>
      <w:spacing w:after="0" w:line="240" w:lineRule="auto"/>
    </w:pPr>
  </w:style>
  <w:style w:type="character" w:customStyle="1" w:styleId="aa">
    <w:name w:val="Нижний колонтитул Знак"/>
    <w:basedOn w:val="a0"/>
    <w:link w:val="a9"/>
    <w:uiPriority w:val="99"/>
    <w:rsid w:val="0021764E"/>
  </w:style>
  <w:style w:type="character" w:styleId="ab">
    <w:name w:val="Strong"/>
    <w:uiPriority w:val="99"/>
    <w:qFormat/>
    <w:rsid w:val="0021764E"/>
    <w:rPr>
      <w:b/>
      <w:bCs/>
    </w:rPr>
  </w:style>
  <w:style w:type="character" w:customStyle="1" w:styleId="apple-style-span">
    <w:name w:val="apple-style-span"/>
    <w:basedOn w:val="a0"/>
    <w:rsid w:val="0021764E"/>
  </w:style>
  <w:style w:type="paragraph" w:styleId="2">
    <w:name w:val="Body Text 2"/>
    <w:basedOn w:val="a"/>
    <w:link w:val="20"/>
    <w:rsid w:val="0021764E"/>
    <w:pPr>
      <w:spacing w:after="120" w:line="480" w:lineRule="auto"/>
    </w:pPr>
    <w:rPr>
      <w:rFonts w:ascii="Times New Roman" w:eastAsia="Times New Roman" w:hAnsi="Times New Roman" w:cs="Times New Roman"/>
      <w:sz w:val="28"/>
      <w:szCs w:val="20"/>
    </w:rPr>
  </w:style>
  <w:style w:type="character" w:customStyle="1" w:styleId="20">
    <w:name w:val="Основной текст 2 Знак"/>
    <w:basedOn w:val="a0"/>
    <w:link w:val="2"/>
    <w:rsid w:val="0021764E"/>
    <w:rPr>
      <w:rFonts w:ascii="Times New Roman" w:eastAsia="Times New Roman" w:hAnsi="Times New Roman" w:cs="Times New Roman"/>
      <w:sz w:val="28"/>
      <w:szCs w:val="20"/>
    </w:rPr>
  </w:style>
  <w:style w:type="paragraph" w:customStyle="1" w:styleId="Default">
    <w:name w:val="Default"/>
    <w:rsid w:val="0021764E"/>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atn">
    <w:name w:val="atn"/>
    <w:basedOn w:val="a0"/>
    <w:rsid w:val="0021764E"/>
  </w:style>
  <w:style w:type="character" w:customStyle="1" w:styleId="alt-edited1">
    <w:name w:val="alt-edited1"/>
    <w:rsid w:val="0021764E"/>
    <w:rPr>
      <w:color w:val="4D90F0"/>
    </w:rPr>
  </w:style>
  <w:style w:type="character" w:customStyle="1" w:styleId="apple-converted-space">
    <w:name w:val="apple-converted-space"/>
    <w:basedOn w:val="a0"/>
    <w:rsid w:val="0021764E"/>
  </w:style>
  <w:style w:type="character" w:customStyle="1" w:styleId="A10">
    <w:name w:val="A1"/>
    <w:rsid w:val="0021764E"/>
    <w:rPr>
      <w:rFonts w:cs="Minion"/>
      <w:color w:val="000000"/>
      <w:sz w:val="19"/>
      <w:szCs w:val="19"/>
    </w:rPr>
  </w:style>
  <w:style w:type="paragraph" w:customStyle="1" w:styleId="Pa8">
    <w:name w:val="Pa8"/>
    <w:basedOn w:val="a"/>
    <w:next w:val="a"/>
    <w:rsid w:val="0021764E"/>
    <w:pPr>
      <w:autoSpaceDE w:val="0"/>
      <w:autoSpaceDN w:val="0"/>
      <w:adjustRightInd w:val="0"/>
      <w:spacing w:after="0" w:line="241" w:lineRule="atLeast"/>
    </w:pPr>
    <w:rPr>
      <w:rFonts w:ascii="Minion" w:eastAsia="Times New Roman" w:hAnsi="Minion" w:cs="Times New Roman"/>
      <w:sz w:val="24"/>
      <w:szCs w:val="24"/>
    </w:rPr>
  </w:style>
  <w:style w:type="character" w:customStyle="1" w:styleId="A100">
    <w:name w:val="A10"/>
    <w:rsid w:val="0021764E"/>
    <w:rPr>
      <w:rFonts w:cs="Arial"/>
      <w:b/>
      <w:bCs/>
      <w:color w:val="000000"/>
      <w:sz w:val="48"/>
      <w:szCs w:val="48"/>
    </w:rPr>
  </w:style>
  <w:style w:type="character" w:customStyle="1" w:styleId="A11">
    <w:name w:val="A11"/>
    <w:rsid w:val="0021764E"/>
    <w:rPr>
      <w:rFonts w:cs="Minion"/>
      <w:b/>
      <w:bCs/>
      <w:color w:val="000000"/>
      <w:sz w:val="27"/>
      <w:szCs w:val="27"/>
    </w:rPr>
  </w:style>
  <w:style w:type="paragraph" w:customStyle="1" w:styleId="ac">
    <w:name w:val="Литература Сидоренко"/>
    <w:basedOn w:val="a"/>
    <w:rsid w:val="0021764E"/>
    <w:pPr>
      <w:widowControl w:val="0"/>
      <w:tabs>
        <w:tab w:val="num" w:pos="720"/>
      </w:tabs>
      <w:spacing w:after="0" w:line="360" w:lineRule="auto"/>
      <w:ind w:left="720" w:hanging="360"/>
      <w:jc w:val="both"/>
    </w:pPr>
    <w:rPr>
      <w:rFonts w:ascii="Times New Roman" w:eastAsia="Times New Roman" w:hAnsi="Times New Roman" w:cs="Times New Roman"/>
      <w:sz w:val="28"/>
      <w:szCs w:val="24"/>
    </w:rPr>
  </w:style>
  <w:style w:type="paragraph" w:customStyle="1" w:styleId="13">
    <w:name w:val="Абзац списка1"/>
    <w:basedOn w:val="a"/>
    <w:rsid w:val="0021764E"/>
    <w:pPr>
      <w:spacing w:after="0" w:line="240" w:lineRule="auto"/>
      <w:ind w:left="720"/>
    </w:pPr>
    <w:rPr>
      <w:rFonts w:ascii="Times New Roman" w:eastAsia="Calibri" w:hAnsi="Times New Roman" w:cs="Times New Roman"/>
      <w:sz w:val="24"/>
      <w:szCs w:val="24"/>
    </w:rPr>
  </w:style>
  <w:style w:type="paragraph" w:customStyle="1" w:styleId="ListParagraph">
    <w:name w:val="List Paragraph"/>
    <w:basedOn w:val="a"/>
    <w:rsid w:val="0021764E"/>
    <w:pPr>
      <w:numPr>
        <w:numId w:val="21"/>
      </w:numPr>
      <w:tabs>
        <w:tab w:val="clear" w:pos="567"/>
      </w:tabs>
      <w:spacing w:after="0" w:line="240" w:lineRule="auto"/>
      <w:ind w:left="720" w:firstLine="0"/>
      <w:contextualSpacing/>
    </w:pPr>
    <w:rPr>
      <w:rFonts w:ascii="Times New Roman" w:eastAsia="Calibri" w:hAnsi="Times New Roman" w:cs="Times New Roman"/>
      <w:sz w:val="24"/>
      <w:szCs w:val="24"/>
    </w:rPr>
  </w:style>
  <w:style w:type="paragraph" w:styleId="21">
    <w:name w:val="Body Text Indent 2"/>
    <w:basedOn w:val="a"/>
    <w:link w:val="22"/>
    <w:unhideWhenUsed/>
    <w:rsid w:val="0021764E"/>
    <w:pPr>
      <w:spacing w:after="120" w:line="480" w:lineRule="auto"/>
      <w:ind w:left="283"/>
    </w:pPr>
    <w:rPr>
      <w:rFonts w:ascii="Calibri" w:eastAsia="Times New Roman" w:hAnsi="Calibri" w:cs="Times New Roman"/>
      <w:lang w:val="uk-UA" w:eastAsia="uk-UA"/>
    </w:rPr>
  </w:style>
  <w:style w:type="character" w:customStyle="1" w:styleId="22">
    <w:name w:val="Основной текст с отступом 2 Знак"/>
    <w:basedOn w:val="a0"/>
    <w:link w:val="21"/>
    <w:rsid w:val="0021764E"/>
    <w:rPr>
      <w:rFonts w:ascii="Calibri" w:eastAsia="Times New Roman" w:hAnsi="Calibri" w:cs="Times New Roman"/>
      <w:lang w:val="uk-UA" w:eastAsia="uk-UA"/>
    </w:rPr>
  </w:style>
  <w:style w:type="character" w:customStyle="1" w:styleId="ad">
    <w:name w:val="Схема документа Знак"/>
    <w:basedOn w:val="a0"/>
    <w:link w:val="ae"/>
    <w:semiHidden/>
    <w:rsid w:val="0021764E"/>
    <w:rPr>
      <w:rFonts w:ascii="Tahoma" w:eastAsia="Times New Roman" w:hAnsi="Tahoma" w:cs="Tahoma"/>
      <w:sz w:val="20"/>
      <w:szCs w:val="20"/>
      <w:shd w:val="clear" w:color="auto" w:fill="000080"/>
      <w:lang w:val="uk-UA" w:eastAsia="uk-UA"/>
    </w:rPr>
  </w:style>
  <w:style w:type="paragraph" w:styleId="ae">
    <w:name w:val="Document Map"/>
    <w:basedOn w:val="a"/>
    <w:link w:val="ad"/>
    <w:semiHidden/>
    <w:rsid w:val="0021764E"/>
    <w:pPr>
      <w:shd w:val="clear" w:color="auto" w:fill="000080"/>
    </w:pPr>
    <w:rPr>
      <w:rFonts w:ascii="Tahoma" w:eastAsia="Times New Roman" w:hAnsi="Tahoma" w:cs="Tahoma"/>
      <w:sz w:val="20"/>
      <w:szCs w:val="20"/>
      <w:lang w:val="uk-UA" w:eastAsia="uk-UA"/>
    </w:rPr>
  </w:style>
  <w:style w:type="paragraph" w:styleId="af">
    <w:name w:val="Balloon Text"/>
    <w:basedOn w:val="a"/>
    <w:link w:val="af0"/>
    <w:rsid w:val="0021764E"/>
    <w:pPr>
      <w:spacing w:after="0" w:line="240" w:lineRule="auto"/>
    </w:pPr>
    <w:rPr>
      <w:rFonts w:ascii="Tahoma" w:eastAsia="Times New Roman" w:hAnsi="Tahoma" w:cs="Tahoma"/>
      <w:sz w:val="16"/>
      <w:szCs w:val="16"/>
      <w:lang w:val="uk-UA" w:eastAsia="uk-UA"/>
    </w:rPr>
  </w:style>
  <w:style w:type="character" w:customStyle="1" w:styleId="af0">
    <w:name w:val="Текст выноски Знак"/>
    <w:basedOn w:val="a0"/>
    <w:link w:val="af"/>
    <w:rsid w:val="0021764E"/>
    <w:rPr>
      <w:rFonts w:ascii="Tahoma" w:eastAsia="Times New Roman" w:hAnsi="Tahoma" w:cs="Tahoma"/>
      <w:sz w:val="16"/>
      <w:szCs w:val="16"/>
      <w:lang w:val="uk-UA" w:eastAsia="uk-UA"/>
    </w:rPr>
  </w:style>
  <w:style w:type="character" w:styleId="af1">
    <w:name w:val="Hyperlink"/>
    <w:semiHidden/>
    <w:rsid w:val="0021764E"/>
    <w:rPr>
      <w:color w:val="0000FF"/>
      <w:u w:val="single"/>
    </w:rPr>
  </w:style>
  <w:style w:type="character" w:customStyle="1" w:styleId="BodyText2Char">
    <w:name w:val="Body Text 2 Char"/>
    <w:locked/>
    <w:rsid w:val="0021764E"/>
    <w:rPr>
      <w:rFonts w:ascii="Times New Roman" w:hAnsi="Times New Roman" w:cs="Times New Roman"/>
      <w:sz w:val="20"/>
      <w:szCs w:val="20"/>
      <w:lang w:val="ru-RU" w:eastAsia="ru-RU"/>
    </w:rPr>
  </w:style>
  <w:style w:type="paragraph" w:customStyle="1" w:styleId="23">
    <w:name w:val="Абзац списка2"/>
    <w:basedOn w:val="a"/>
    <w:rsid w:val="0021764E"/>
    <w:pPr>
      <w:spacing w:after="0" w:line="240" w:lineRule="auto"/>
      <w:ind w:left="720"/>
      <w:contextualSpacing/>
    </w:pPr>
    <w:rPr>
      <w:rFonts w:ascii="Times New Roman" w:eastAsia="Times New Roman" w:hAnsi="Times New Roman" w:cs="Times New Roman"/>
      <w:sz w:val="24"/>
      <w:szCs w:val="24"/>
    </w:rPr>
  </w:style>
  <w:style w:type="numbering" w:customStyle="1" w:styleId="14">
    <w:name w:val="Нет списка1"/>
    <w:next w:val="a2"/>
    <w:semiHidden/>
    <w:rsid w:val="00C62D22"/>
  </w:style>
  <w:style w:type="table" w:styleId="af2">
    <w:name w:val="Table Grid"/>
    <w:basedOn w:val="a1"/>
    <w:rsid w:val="00C62D22"/>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24">
    <w:name w:val="Нет списка2"/>
    <w:next w:val="a2"/>
    <w:semiHidden/>
    <w:unhideWhenUsed/>
    <w:rsid w:val="00C62D22"/>
  </w:style>
  <w:style w:type="numbering" w:customStyle="1" w:styleId="3">
    <w:name w:val="Нет списка3"/>
    <w:next w:val="a2"/>
    <w:semiHidden/>
    <w:rsid w:val="00C62D22"/>
  </w:style>
  <w:style w:type="paragraph" w:customStyle="1" w:styleId="af3">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
    <w:rsid w:val="00C62D22"/>
    <w:pPr>
      <w:spacing w:before="120" w:after="160" w:line="240" w:lineRule="exact"/>
      <w:ind w:firstLine="700"/>
      <w:jc w:val="both"/>
    </w:pPr>
    <w:rPr>
      <w:rFonts w:ascii="Times New Roman" w:eastAsia="Times New Roman" w:hAnsi="Times New Roman" w:cs="Times New Roman"/>
      <w:sz w:val="20"/>
      <w:szCs w:val="20"/>
      <w:lang w:val="en-US" w:eastAsia="en-US"/>
    </w:rPr>
  </w:style>
  <w:style w:type="paragraph" w:styleId="af4">
    <w:name w:val="Plain Text"/>
    <w:basedOn w:val="a"/>
    <w:link w:val="af5"/>
    <w:unhideWhenUsed/>
    <w:rsid w:val="00C62D22"/>
    <w:pPr>
      <w:spacing w:after="0" w:line="240" w:lineRule="auto"/>
    </w:pPr>
    <w:rPr>
      <w:rFonts w:ascii="Courier New" w:eastAsia="Times New Roman" w:hAnsi="Courier New" w:cs="Times New Roman"/>
      <w:sz w:val="20"/>
      <w:szCs w:val="20"/>
    </w:rPr>
  </w:style>
  <w:style w:type="character" w:customStyle="1" w:styleId="af5">
    <w:name w:val="Текст Знак"/>
    <w:basedOn w:val="a0"/>
    <w:link w:val="af4"/>
    <w:rsid w:val="00C62D22"/>
    <w:rPr>
      <w:rFonts w:ascii="Courier New" w:eastAsia="Times New Roman" w:hAnsi="Courier New" w:cs="Times New Roman"/>
      <w:sz w:val="20"/>
      <w:szCs w:val="20"/>
    </w:rPr>
  </w:style>
  <w:style w:type="character" w:styleId="af6">
    <w:name w:val="FollowedHyperlink"/>
    <w:basedOn w:val="a0"/>
    <w:rsid w:val="00C62D22"/>
    <w:rPr>
      <w:color w:val="800080"/>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17" Type="http://schemas.openxmlformats.org/officeDocument/2006/relationships/image" Target="media/image105.png"/><Relationship Id="rId21" Type="http://schemas.openxmlformats.org/officeDocument/2006/relationships/image" Target="media/image16.png"/><Relationship Id="rId42" Type="http://schemas.openxmlformats.org/officeDocument/2006/relationships/image" Target="media/image34.png"/><Relationship Id="rId63" Type="http://schemas.openxmlformats.org/officeDocument/2006/relationships/image" Target="media/image51.jpeg"/><Relationship Id="rId84" Type="http://schemas.openxmlformats.org/officeDocument/2006/relationships/image" Target="media/image72.png"/><Relationship Id="rId13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5922" TargetMode="External"/><Relationship Id="rId159" Type="http://schemas.openxmlformats.org/officeDocument/2006/relationships/hyperlink" Target="http://vidar.ru/@getfile.asp?fid=ASH_2010_1_74" TargetMode="External"/><Relationship Id="rId17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C%D0%B5%D0%B4." TargetMode="External"/><Relationship Id="rId191" Type="http://schemas.openxmlformats.org/officeDocument/2006/relationships/hyperlink" Target="http://vidar.ru/Library.asp?fid=ASH_2012_4_49" TargetMode="External"/><Relationship Id="rId196" Type="http://schemas.openxmlformats.org/officeDocument/2006/relationships/hyperlink" Target="http://dx.doi.org/10.1155/2013/282645" TargetMode="External"/><Relationship Id="rId200" Type="http://schemas.openxmlformats.org/officeDocument/2006/relationships/theme" Target="theme/theme1.xml"/><Relationship Id="rId16" Type="http://schemas.openxmlformats.org/officeDocument/2006/relationships/image" Target="media/image11.png"/><Relationship Id="rId107" Type="http://schemas.openxmlformats.org/officeDocument/2006/relationships/image" Target="media/image95.png"/><Relationship Id="rId11" Type="http://schemas.openxmlformats.org/officeDocument/2006/relationships/image" Target="media/image6.png"/><Relationship Id="rId32" Type="http://schemas.openxmlformats.org/officeDocument/2006/relationships/image" Target="media/image27.png"/><Relationship Id="rId37" Type="http://schemas.openxmlformats.org/officeDocument/2006/relationships/chart" Target="charts/chart1.xml"/><Relationship Id="rId53" Type="http://schemas.openxmlformats.org/officeDocument/2006/relationships/oleObject" Target="embeddings/oleObject3.bin"/><Relationship Id="rId58" Type="http://schemas.openxmlformats.org/officeDocument/2006/relationships/image" Target="media/image46.png"/><Relationship Id="rId74" Type="http://schemas.openxmlformats.org/officeDocument/2006/relationships/image" Target="media/image62.jpeg"/><Relationship Id="rId79" Type="http://schemas.openxmlformats.org/officeDocument/2006/relationships/image" Target="media/image67.jpeg"/><Relationship Id="rId102" Type="http://schemas.openxmlformats.org/officeDocument/2006/relationships/image" Target="media/image90.png"/><Relationship Id="rId123" Type="http://schemas.openxmlformats.org/officeDocument/2006/relationships/image" Target="media/image111.png"/><Relationship Id="rId128" Type="http://schemas.openxmlformats.org/officeDocument/2006/relationships/image" Target="media/image116.png"/><Relationship Id="rId144" Type="http://schemas.openxmlformats.org/officeDocument/2006/relationships/hyperlink" Target="http://vidar.ru/Library.asp?fid=ASH_2012_4_57" TargetMode="External"/><Relationship Id="rId14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211" TargetMode="External"/><Relationship Id="rId5" Type="http://schemas.openxmlformats.org/officeDocument/2006/relationships/footnotes" Target="footnotes.xml"/><Relationship Id="rId90" Type="http://schemas.openxmlformats.org/officeDocument/2006/relationships/image" Target="media/image78.png"/><Relationship Id="rId95" Type="http://schemas.openxmlformats.org/officeDocument/2006/relationships/image" Target="media/image83.png"/><Relationship Id="rId160" Type="http://schemas.openxmlformats.org/officeDocument/2006/relationships/hyperlink" Target="http://vidar.ru/Library.asp?fid=ASH" TargetMode="External"/><Relationship Id="rId165" Type="http://schemas.openxmlformats.org/officeDocument/2006/relationships/hyperlink" Target="http://vidar.ru/Library.asp?fid=ASH" TargetMode="External"/><Relationship Id="rId181" Type="http://schemas.openxmlformats.org/officeDocument/2006/relationships/hyperlink" Target="http://vidar.ru/Library.asp?fid=ASH_2014" TargetMode="External"/><Relationship Id="rId186" Type="http://schemas.openxmlformats.org/officeDocument/2006/relationships/hyperlink" Target="http://vidar.ru/Library.asp?fid=ASH_2012_2" TargetMode="External"/><Relationship Id="rId22" Type="http://schemas.openxmlformats.org/officeDocument/2006/relationships/image" Target="media/image17.png"/><Relationship Id="rId27" Type="http://schemas.openxmlformats.org/officeDocument/2006/relationships/image" Target="media/image22.png"/><Relationship Id="rId43" Type="http://schemas.openxmlformats.org/officeDocument/2006/relationships/chart" Target="charts/chart4.xml"/><Relationship Id="rId48" Type="http://schemas.openxmlformats.org/officeDocument/2006/relationships/image" Target="media/image38.png"/><Relationship Id="rId64" Type="http://schemas.openxmlformats.org/officeDocument/2006/relationships/image" Target="media/image52.jpeg"/><Relationship Id="rId69" Type="http://schemas.openxmlformats.org/officeDocument/2006/relationships/image" Target="media/image57.jpeg"/><Relationship Id="rId113" Type="http://schemas.openxmlformats.org/officeDocument/2006/relationships/image" Target="media/image101.png"/><Relationship Id="rId118" Type="http://schemas.openxmlformats.org/officeDocument/2006/relationships/image" Target="media/image106.png"/><Relationship Id="rId134" Type="http://schemas.openxmlformats.org/officeDocument/2006/relationships/image" Target="media/image122.png"/><Relationship Id="rId13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211" TargetMode="External"/><Relationship Id="rId80" Type="http://schemas.openxmlformats.org/officeDocument/2006/relationships/image" Target="media/image68.jpeg"/><Relationship Id="rId85" Type="http://schemas.openxmlformats.org/officeDocument/2006/relationships/image" Target="media/image73.png"/><Relationship Id="rId150" Type="http://schemas.openxmlformats.org/officeDocument/2006/relationships/hyperlink" Target="http://vidar.ru/Library.asp?fid=ASH" TargetMode="External"/><Relationship Id="rId155" Type="http://schemas.openxmlformats.org/officeDocument/2006/relationships/hyperlink" Target="http://vidar.ru/Library.asp?fid=ASH_2014" TargetMode="External"/><Relationship Id="rId171"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C%D0%B5%D0%B4." TargetMode="External"/><Relationship Id="rId17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211" TargetMode="External"/><Relationship Id="rId192" Type="http://schemas.openxmlformats.org/officeDocument/2006/relationships/hyperlink" Target="http://vidar.ru/Library.asp?fid=ASH" TargetMode="External"/><Relationship Id="rId197" Type="http://schemas.openxmlformats.org/officeDocument/2006/relationships/header" Target="header1.xml"/><Relationship Id="rId12" Type="http://schemas.openxmlformats.org/officeDocument/2006/relationships/image" Target="media/image7.jpeg"/><Relationship Id="rId17" Type="http://schemas.openxmlformats.org/officeDocument/2006/relationships/image" Target="media/image12.png"/><Relationship Id="rId33" Type="http://schemas.openxmlformats.org/officeDocument/2006/relationships/image" Target="media/image28.png"/><Relationship Id="rId38" Type="http://schemas.openxmlformats.org/officeDocument/2006/relationships/chart" Target="charts/chart2.xml"/><Relationship Id="rId59" Type="http://schemas.openxmlformats.org/officeDocument/2006/relationships/image" Target="media/image47.png"/><Relationship Id="rId103" Type="http://schemas.openxmlformats.org/officeDocument/2006/relationships/image" Target="media/image91.png"/><Relationship Id="rId108" Type="http://schemas.openxmlformats.org/officeDocument/2006/relationships/image" Target="media/image96.jpeg"/><Relationship Id="rId124" Type="http://schemas.openxmlformats.org/officeDocument/2006/relationships/image" Target="media/image112.png"/><Relationship Id="rId129" Type="http://schemas.openxmlformats.org/officeDocument/2006/relationships/image" Target="media/image117.png"/><Relationship Id="rId54" Type="http://schemas.openxmlformats.org/officeDocument/2006/relationships/image" Target="media/image42.png"/><Relationship Id="rId70" Type="http://schemas.openxmlformats.org/officeDocument/2006/relationships/image" Target="media/image58.jpeg"/><Relationship Id="rId75" Type="http://schemas.openxmlformats.org/officeDocument/2006/relationships/image" Target="media/image63.jpeg"/><Relationship Id="rId91" Type="http://schemas.openxmlformats.org/officeDocument/2006/relationships/image" Target="media/image79.jpeg"/><Relationship Id="rId96" Type="http://schemas.openxmlformats.org/officeDocument/2006/relationships/image" Target="media/image84.png"/><Relationship Id="rId14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211" TargetMode="External"/><Relationship Id="rId145" Type="http://schemas.openxmlformats.org/officeDocument/2006/relationships/hyperlink" Target="http://vidar.ru/Library.asp?fid=ASH" TargetMode="External"/><Relationship Id="rId161" Type="http://schemas.openxmlformats.org/officeDocument/2006/relationships/hyperlink" Target="http://vidar.ru/Library.asp?fid=ASH_2010" TargetMode="External"/><Relationship Id="rId166" Type="http://schemas.openxmlformats.org/officeDocument/2006/relationships/hyperlink" Target="http://vidar.ru/Library.asp?fid=ASH_2009" TargetMode="External"/><Relationship Id="rId182" Type="http://schemas.openxmlformats.org/officeDocument/2006/relationships/hyperlink" Target="http://vidar.ru/Library.asp?fid=ASH_2014_2" TargetMode="External"/><Relationship Id="rId187" Type="http://schemas.openxmlformats.org/officeDocument/2006/relationships/hyperlink" Target="http://vidar.ru/Library.asp?fid=ASH_2012_2_80" TargetMode="External"/><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image" Target="media/image18.png"/><Relationship Id="rId28" Type="http://schemas.openxmlformats.org/officeDocument/2006/relationships/image" Target="media/image23.png"/><Relationship Id="rId49" Type="http://schemas.openxmlformats.org/officeDocument/2006/relationships/image" Target="media/image39.png"/><Relationship Id="rId114" Type="http://schemas.openxmlformats.org/officeDocument/2006/relationships/image" Target="media/image102.png"/><Relationship Id="rId119" Type="http://schemas.openxmlformats.org/officeDocument/2006/relationships/image" Target="media/image107.png"/><Relationship Id="rId44" Type="http://schemas.openxmlformats.org/officeDocument/2006/relationships/image" Target="media/image35.png"/><Relationship Id="rId60" Type="http://schemas.openxmlformats.org/officeDocument/2006/relationships/image" Target="media/image48.jpeg"/><Relationship Id="rId65" Type="http://schemas.openxmlformats.org/officeDocument/2006/relationships/image" Target="media/image53.jpeg"/><Relationship Id="rId81" Type="http://schemas.openxmlformats.org/officeDocument/2006/relationships/image" Target="media/image69.jpeg"/><Relationship Id="rId86" Type="http://schemas.openxmlformats.org/officeDocument/2006/relationships/image" Target="media/image74.png"/><Relationship Id="rId130" Type="http://schemas.openxmlformats.org/officeDocument/2006/relationships/image" Target="media/image118.png"/><Relationship Id="rId135" Type="http://schemas.openxmlformats.org/officeDocument/2006/relationships/image" Target="media/image123.png"/><Relationship Id="rId151" Type="http://schemas.openxmlformats.org/officeDocument/2006/relationships/hyperlink" Target="http://vidar.ru/Library.asp?fid=ASH_2014" TargetMode="External"/><Relationship Id="rId156" Type="http://schemas.openxmlformats.org/officeDocument/2006/relationships/hyperlink" Target="http://vidar.ru/Library.asp?fid=ASH_2014_3" TargetMode="External"/><Relationship Id="rId17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C%D0%B5%D0%B4." TargetMode="External"/><Relationship Id="rId198" Type="http://schemas.openxmlformats.org/officeDocument/2006/relationships/header" Target="header2.xml"/><Relationship Id="rId172" Type="http://schemas.openxmlformats.org/officeDocument/2006/relationships/hyperlink" Target="http://vidar.ru/Library.asp?fid=ASH" TargetMode="External"/><Relationship Id="rId193" Type="http://schemas.openxmlformats.org/officeDocument/2006/relationships/hyperlink" Target="http://vidar.ru/Library.asp?fid=ASH_2014" TargetMode="External"/><Relationship Id="rId13" Type="http://schemas.openxmlformats.org/officeDocument/2006/relationships/image" Target="media/image8.jpeg"/><Relationship Id="rId18" Type="http://schemas.openxmlformats.org/officeDocument/2006/relationships/image" Target="media/image13.png"/><Relationship Id="rId39" Type="http://schemas.openxmlformats.org/officeDocument/2006/relationships/chart" Target="charts/chart3.xml"/><Relationship Id="rId109" Type="http://schemas.openxmlformats.org/officeDocument/2006/relationships/image" Target="media/image97.jpeg"/><Relationship Id="rId34" Type="http://schemas.openxmlformats.org/officeDocument/2006/relationships/image" Target="media/image29.png"/><Relationship Id="rId50" Type="http://schemas.openxmlformats.org/officeDocument/2006/relationships/oleObject" Target="embeddings/oleObject2.bin"/><Relationship Id="rId55" Type="http://schemas.openxmlformats.org/officeDocument/2006/relationships/image" Target="media/image43.png"/><Relationship Id="rId76" Type="http://schemas.openxmlformats.org/officeDocument/2006/relationships/image" Target="media/image64.jpeg"/><Relationship Id="rId97" Type="http://schemas.openxmlformats.org/officeDocument/2006/relationships/image" Target="media/image85.png"/><Relationship Id="rId104" Type="http://schemas.openxmlformats.org/officeDocument/2006/relationships/image" Target="media/image92.png"/><Relationship Id="rId120" Type="http://schemas.openxmlformats.org/officeDocument/2006/relationships/image" Target="media/image108.png"/><Relationship Id="rId125" Type="http://schemas.openxmlformats.org/officeDocument/2006/relationships/image" Target="media/image113.png"/><Relationship Id="rId141" Type="http://schemas.openxmlformats.org/officeDocument/2006/relationships/hyperlink" Target="http://vidar.ru/Library.asp?fid=ASH" TargetMode="External"/><Relationship Id="rId146" Type="http://schemas.openxmlformats.org/officeDocument/2006/relationships/hyperlink" Target="http://vidar.ru/Library.asp?fid=ASH_2013" TargetMode="External"/><Relationship Id="rId167" Type="http://schemas.openxmlformats.org/officeDocument/2006/relationships/hyperlink" Target="http://vidar.ru/Library.asp?fid=ASH_2009_3" TargetMode="External"/><Relationship Id="rId188" Type="http://schemas.openxmlformats.org/officeDocument/2006/relationships/hyperlink" Target="http://vidar.ru/Library.asp?fid=ASH" TargetMode="External"/><Relationship Id="rId7" Type="http://schemas.openxmlformats.org/officeDocument/2006/relationships/image" Target="media/image2.png"/><Relationship Id="rId71" Type="http://schemas.openxmlformats.org/officeDocument/2006/relationships/image" Target="media/image59.jpeg"/><Relationship Id="rId92" Type="http://schemas.openxmlformats.org/officeDocument/2006/relationships/image" Target="media/image80.jpeg"/><Relationship Id="rId162" Type="http://schemas.openxmlformats.org/officeDocument/2006/relationships/hyperlink" Target="http://vidar.ru/Library.asp?fid=ASH_2010_1" TargetMode="External"/><Relationship Id="rId183" Type="http://schemas.openxmlformats.org/officeDocument/2006/relationships/hyperlink" Target="http://vidar.ru/Library.asp?fid=ASH_2014_2_117" TargetMode="External"/><Relationship Id="rId2" Type="http://schemas.openxmlformats.org/officeDocument/2006/relationships/styles" Target="styles.xml"/><Relationship Id="rId29" Type="http://schemas.openxmlformats.org/officeDocument/2006/relationships/image" Target="media/image24.png"/><Relationship Id="rId24" Type="http://schemas.openxmlformats.org/officeDocument/2006/relationships/image" Target="media/image19.png"/><Relationship Id="rId40" Type="http://schemas.openxmlformats.org/officeDocument/2006/relationships/image" Target="media/image32.png"/><Relationship Id="rId45" Type="http://schemas.openxmlformats.org/officeDocument/2006/relationships/image" Target="media/image36.png"/><Relationship Id="rId66" Type="http://schemas.openxmlformats.org/officeDocument/2006/relationships/image" Target="media/image54.jpeg"/><Relationship Id="rId87" Type="http://schemas.openxmlformats.org/officeDocument/2006/relationships/image" Target="media/image75.png"/><Relationship Id="rId110" Type="http://schemas.openxmlformats.org/officeDocument/2006/relationships/image" Target="media/image98.png"/><Relationship Id="rId115" Type="http://schemas.openxmlformats.org/officeDocument/2006/relationships/image" Target="media/image103.png"/><Relationship Id="rId131" Type="http://schemas.openxmlformats.org/officeDocument/2006/relationships/image" Target="media/image119.png"/><Relationship Id="rId13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667" TargetMode="External"/><Relationship Id="rId157" Type="http://schemas.openxmlformats.org/officeDocument/2006/relationships/hyperlink" Target="http://vidar.ru/Library.asp?fid=ASH_2014_3_10" TargetMode="External"/><Relationship Id="rId17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C%D0%B5%D0%B4." TargetMode="External"/><Relationship Id="rId61" Type="http://schemas.openxmlformats.org/officeDocument/2006/relationships/image" Target="media/image49.jpeg"/><Relationship Id="rId82" Type="http://schemas.openxmlformats.org/officeDocument/2006/relationships/image" Target="media/image70.png"/><Relationship Id="rId152" Type="http://schemas.openxmlformats.org/officeDocument/2006/relationships/hyperlink" Target="http://vidar.ru/Library.asp?fid=ASH_2014_4" TargetMode="External"/><Relationship Id="rId173" Type="http://schemas.openxmlformats.org/officeDocument/2006/relationships/hyperlink" Target="http://vidar.ru/Library.asp?fid=ASH_2013" TargetMode="External"/><Relationship Id="rId194" Type="http://schemas.openxmlformats.org/officeDocument/2006/relationships/hyperlink" Target="http://vidar.ru/Library.asp?fid=ASH_2014_4" TargetMode="External"/><Relationship Id="rId199" Type="http://schemas.openxmlformats.org/officeDocument/2006/relationships/fontTable" Target="fontTable.xml"/><Relationship Id="rId19" Type="http://schemas.openxmlformats.org/officeDocument/2006/relationships/image" Target="media/image14.png"/><Relationship Id="rId14" Type="http://schemas.openxmlformats.org/officeDocument/2006/relationships/image" Target="media/image9.png"/><Relationship Id="rId30" Type="http://schemas.openxmlformats.org/officeDocument/2006/relationships/image" Target="media/image25.png"/><Relationship Id="rId35" Type="http://schemas.openxmlformats.org/officeDocument/2006/relationships/image" Target="media/image30.png"/><Relationship Id="rId56" Type="http://schemas.openxmlformats.org/officeDocument/2006/relationships/image" Target="media/image44.png"/><Relationship Id="rId77" Type="http://schemas.openxmlformats.org/officeDocument/2006/relationships/image" Target="media/image65.jpeg"/><Relationship Id="rId100" Type="http://schemas.openxmlformats.org/officeDocument/2006/relationships/image" Target="media/image88.png"/><Relationship Id="rId105" Type="http://schemas.openxmlformats.org/officeDocument/2006/relationships/image" Target="media/image93.png"/><Relationship Id="rId126" Type="http://schemas.openxmlformats.org/officeDocument/2006/relationships/image" Target="media/image114.png"/><Relationship Id="rId147" Type="http://schemas.openxmlformats.org/officeDocument/2006/relationships/hyperlink" Target="http://vidar.ru/Library.asp?fid=ASH_2013_3" TargetMode="External"/><Relationship Id="rId168" Type="http://schemas.openxmlformats.org/officeDocument/2006/relationships/hyperlink" Target="http://vidar.ru/Library.asp?fid=ASH_2009_3_85" TargetMode="External"/><Relationship Id="rId8" Type="http://schemas.openxmlformats.org/officeDocument/2006/relationships/image" Target="media/image3.emf"/><Relationship Id="rId51" Type="http://schemas.openxmlformats.org/officeDocument/2006/relationships/image" Target="media/image40.png"/><Relationship Id="rId72" Type="http://schemas.openxmlformats.org/officeDocument/2006/relationships/image" Target="media/image60.jpeg"/><Relationship Id="rId93" Type="http://schemas.openxmlformats.org/officeDocument/2006/relationships/image" Target="media/image81.jpeg"/><Relationship Id="rId98" Type="http://schemas.openxmlformats.org/officeDocument/2006/relationships/image" Target="media/image86.png"/><Relationship Id="rId121" Type="http://schemas.openxmlformats.org/officeDocument/2006/relationships/image" Target="media/image109.png"/><Relationship Id="rId142" Type="http://schemas.openxmlformats.org/officeDocument/2006/relationships/hyperlink" Target="http://vidar.ru/Library.asp?fid=ASH_2012" TargetMode="External"/><Relationship Id="rId163" Type="http://schemas.openxmlformats.org/officeDocument/2006/relationships/hyperlink" Target="http://vidar.ru/Library.asp?fid=ASH_2010_1_74" TargetMode="External"/><Relationship Id="rId184" Type="http://schemas.openxmlformats.org/officeDocument/2006/relationships/hyperlink" Target="http://vidar.ru/Library.asp?fid=ASH" TargetMode="External"/><Relationship Id="rId189" Type="http://schemas.openxmlformats.org/officeDocument/2006/relationships/hyperlink" Target="http://vidar.ru/Library.asp?fid=ASH_2012" TargetMode="External"/><Relationship Id="rId3" Type="http://schemas.openxmlformats.org/officeDocument/2006/relationships/settings" Target="settings.xml"/><Relationship Id="rId25" Type="http://schemas.openxmlformats.org/officeDocument/2006/relationships/image" Target="media/image20.png"/><Relationship Id="rId46" Type="http://schemas.openxmlformats.org/officeDocument/2006/relationships/image" Target="media/image37.png"/><Relationship Id="rId67" Type="http://schemas.openxmlformats.org/officeDocument/2006/relationships/image" Target="media/image55.jpeg"/><Relationship Id="rId116" Type="http://schemas.openxmlformats.org/officeDocument/2006/relationships/image" Target="media/image104.png"/><Relationship Id="rId13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6676" TargetMode="External"/><Relationship Id="rId15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C%D0%B5%D0%B4." TargetMode="External"/><Relationship Id="rId20" Type="http://schemas.openxmlformats.org/officeDocument/2006/relationships/image" Target="media/image15.jpeg"/><Relationship Id="rId41" Type="http://schemas.openxmlformats.org/officeDocument/2006/relationships/image" Target="media/image33.png"/><Relationship Id="rId62" Type="http://schemas.openxmlformats.org/officeDocument/2006/relationships/image" Target="media/image50.jpeg"/><Relationship Id="rId83" Type="http://schemas.openxmlformats.org/officeDocument/2006/relationships/image" Target="media/image71.png"/><Relationship Id="rId88" Type="http://schemas.openxmlformats.org/officeDocument/2006/relationships/image" Target="media/image76.png"/><Relationship Id="rId111" Type="http://schemas.openxmlformats.org/officeDocument/2006/relationships/image" Target="media/image99.png"/><Relationship Id="rId132" Type="http://schemas.openxmlformats.org/officeDocument/2006/relationships/image" Target="media/image120.png"/><Relationship Id="rId153" Type="http://schemas.openxmlformats.org/officeDocument/2006/relationships/hyperlink" Target="http://vidar.ru/Library.asp?fid=ASH_2014_4_76" TargetMode="External"/><Relationship Id="rId174" Type="http://schemas.openxmlformats.org/officeDocument/2006/relationships/hyperlink" Target="http://vidar.ru/Library.asp?fid=ASH_2013_4" TargetMode="External"/><Relationship Id="rId17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850:%D0%9C%D0%B5%D0%B4." TargetMode="External"/><Relationship Id="rId195" Type="http://schemas.openxmlformats.org/officeDocument/2006/relationships/hyperlink" Target="http://vidar.ru/Library.asp?fid=ASH_2014_4_89" TargetMode="External"/><Relationship Id="rId190" Type="http://schemas.openxmlformats.org/officeDocument/2006/relationships/hyperlink" Target="http://vidar.ru/Library.asp?fid=ASH_2012_4" TargetMode="External"/><Relationship Id="rId15" Type="http://schemas.openxmlformats.org/officeDocument/2006/relationships/image" Target="media/image10.png"/><Relationship Id="rId36" Type="http://schemas.openxmlformats.org/officeDocument/2006/relationships/image" Target="media/image31.png"/><Relationship Id="rId57" Type="http://schemas.openxmlformats.org/officeDocument/2006/relationships/image" Target="media/image45.jpeg"/><Relationship Id="rId106" Type="http://schemas.openxmlformats.org/officeDocument/2006/relationships/image" Target="media/image94.png"/><Relationship Id="rId127" Type="http://schemas.openxmlformats.org/officeDocument/2006/relationships/image" Target="media/image115.png"/><Relationship Id="rId10" Type="http://schemas.openxmlformats.org/officeDocument/2006/relationships/image" Target="media/image5.emf"/><Relationship Id="rId31" Type="http://schemas.openxmlformats.org/officeDocument/2006/relationships/image" Target="media/image26.png"/><Relationship Id="rId52" Type="http://schemas.openxmlformats.org/officeDocument/2006/relationships/image" Target="media/image41.png"/><Relationship Id="rId73" Type="http://schemas.openxmlformats.org/officeDocument/2006/relationships/image" Target="media/image61.jpeg"/><Relationship Id="rId78" Type="http://schemas.openxmlformats.org/officeDocument/2006/relationships/image" Target="media/image66.jpeg"/><Relationship Id="rId94" Type="http://schemas.openxmlformats.org/officeDocument/2006/relationships/image" Target="media/image82.png"/><Relationship Id="rId99" Type="http://schemas.openxmlformats.org/officeDocument/2006/relationships/image" Target="media/image87.png"/><Relationship Id="rId101" Type="http://schemas.openxmlformats.org/officeDocument/2006/relationships/image" Target="media/image89.png"/><Relationship Id="rId122" Type="http://schemas.openxmlformats.org/officeDocument/2006/relationships/image" Target="media/image110.png"/><Relationship Id="rId143" Type="http://schemas.openxmlformats.org/officeDocument/2006/relationships/hyperlink" Target="http://vidar.ru/Library.asp?fid=ASH_2012_4" TargetMode="External"/><Relationship Id="rId148" Type="http://schemas.openxmlformats.org/officeDocument/2006/relationships/hyperlink" Target="http://vidar.ru/Library.asp?fid=ASH_2013_3_79" TargetMode="External"/><Relationship Id="rId164" Type="http://schemas.openxmlformats.org/officeDocument/2006/relationships/hyperlink" Target="http://vidar.ru/@getfile.asp?fid=ASH_2009_3_85" TargetMode="External"/><Relationship Id="rId16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667" TargetMode="External"/><Relationship Id="rId185" Type="http://schemas.openxmlformats.org/officeDocument/2006/relationships/hyperlink" Target="http://vidar.ru/Library.asp?fid=ASH_2012" TargetMode="External"/><Relationship Id="rId4" Type="http://schemas.openxmlformats.org/officeDocument/2006/relationships/webSettings" Target="webSettings.xml"/><Relationship Id="rId9" Type="http://schemas.openxmlformats.org/officeDocument/2006/relationships/image" Target="media/image4.emf"/><Relationship Id="rId180" Type="http://schemas.openxmlformats.org/officeDocument/2006/relationships/hyperlink" Target="http://vidar.ru/Library.asp?fid=ASH" TargetMode="External"/><Relationship Id="rId26" Type="http://schemas.openxmlformats.org/officeDocument/2006/relationships/image" Target="media/image21.png"/><Relationship Id="rId47" Type="http://schemas.openxmlformats.org/officeDocument/2006/relationships/oleObject" Target="embeddings/oleObject1.bin"/><Relationship Id="rId68" Type="http://schemas.openxmlformats.org/officeDocument/2006/relationships/image" Target="media/image56.jpeg"/><Relationship Id="rId89" Type="http://schemas.openxmlformats.org/officeDocument/2006/relationships/image" Target="media/image77.png"/><Relationship Id="rId112" Type="http://schemas.openxmlformats.org/officeDocument/2006/relationships/image" Target="media/image100.png"/><Relationship Id="rId133" Type="http://schemas.openxmlformats.org/officeDocument/2006/relationships/image" Target="media/image121.png"/><Relationship Id="rId154" Type="http://schemas.openxmlformats.org/officeDocument/2006/relationships/hyperlink" Target="http://vidar.ru/Library.asp?fid=ASH" TargetMode="External"/><Relationship Id="rId175" Type="http://schemas.openxmlformats.org/officeDocument/2006/relationships/hyperlink" Target="http://vidar.ru/Library.asp?fid=ASH_2013_4_94"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wmf"/></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package" Target="../embeddings/_____Microsoft_Office_Excel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autoTitleDeleted val="1"/>
    <c:view3D>
      <c:perspective val="30"/>
    </c:view3D>
    <c:plotArea>
      <c:layout/>
      <c:pie3DChart>
        <c:varyColors val="1"/>
        <c:ser>
          <c:idx val="0"/>
          <c:order val="0"/>
          <c:tx>
            <c:strRef>
              <c:f>Лист1!$B$1</c:f>
              <c:strCache>
                <c:ptCount val="1"/>
                <c:pt idx="0">
                  <c:v>p&lt;0,001</c:v>
                </c:pt>
              </c:strCache>
            </c:strRef>
          </c:tx>
          <c:dLbls>
            <c:dLbl>
              <c:idx val="0"/>
              <c:layout>
                <c:manualLayout>
                  <c:x val="-0.10868930446194226"/>
                  <c:y val="-0.15555461817272859"/>
                </c:manualLayout>
              </c:layout>
              <c:dLblPos val="bestFit"/>
              <c:showVal val="1"/>
            </c:dLbl>
            <c:dLbl>
              <c:idx val="1"/>
              <c:layout>
                <c:manualLayout>
                  <c:x val="9.8323490813648357E-2"/>
                  <c:y val="-0.31961286089238905"/>
                </c:manualLayout>
              </c:layout>
              <c:dLblPos val="bestFit"/>
              <c:showVal val="1"/>
            </c:dLbl>
            <c:spPr>
              <a:noFill/>
              <a:ln w="18937">
                <a:noFill/>
              </a:ln>
            </c:spPr>
            <c:txPr>
              <a:bodyPr/>
              <a:lstStyle/>
              <a:p>
                <a:pPr>
                  <a:defRPr lang="uk-UA" sz="1044">
                    <a:latin typeface="Times New Roman" pitchFamily="18" charset="0"/>
                    <a:cs typeface="Times New Roman" pitchFamily="18" charset="0"/>
                  </a:defRPr>
                </a:pPr>
                <a:endParaRPr lang="ru-RU"/>
              </a:p>
            </c:txPr>
            <c:showVal val="1"/>
            <c:showLeaderLines val="1"/>
          </c:dLbls>
          <c:cat>
            <c:strRef>
              <c:f>Лист1!$A$2:$A$3</c:f>
              <c:strCache>
                <c:ptCount val="2"/>
                <c:pt idx="0">
                  <c:v>МДА</c:v>
                </c:pt>
                <c:pt idx="1">
                  <c:v>ГПО 1</c:v>
                </c:pt>
              </c:strCache>
            </c:strRef>
          </c:cat>
          <c:val>
            <c:numRef>
              <c:f>Лист1!$B$2:$B$3</c:f>
              <c:numCache>
                <c:formatCode>General</c:formatCode>
                <c:ptCount val="2"/>
                <c:pt idx="0">
                  <c:v>0.78</c:v>
                </c:pt>
                <c:pt idx="1">
                  <c:v>0.82000000000000017</c:v>
                </c:pt>
              </c:numCache>
            </c:numRef>
          </c:val>
        </c:ser>
      </c:pie3DChart>
      <c:spPr>
        <a:noFill/>
        <a:ln w="18937">
          <a:noFill/>
        </a:ln>
      </c:spPr>
    </c:plotArea>
    <c:legend>
      <c:legendPos val="r"/>
      <c:layout>
        <c:manualLayout>
          <c:xMode val="edge"/>
          <c:yMode val="edge"/>
          <c:x val="0.36159169550173009"/>
          <c:y val="0.88958990536277593"/>
          <c:w val="0.27508650519031153"/>
          <c:h val="8.8328075709779255E-2"/>
        </c:manualLayout>
      </c:layout>
      <c:txPr>
        <a:bodyPr/>
        <a:lstStyle/>
        <a:p>
          <a:pPr>
            <a:defRPr lang="uk-UA" sz="1044">
              <a:latin typeface="Times New Roman" pitchFamily="18" charset="0"/>
              <a:cs typeface="Times New Roman" pitchFamily="18" charset="0"/>
            </a:defRPr>
          </a:pPr>
          <a:endParaRPr lang="ru-RU"/>
        </a:p>
      </c:txPr>
    </c:legend>
    <c:plotVisOnly val="1"/>
    <c:dispBlanksAs val="zero"/>
  </c:chart>
  <c:externalData r:id="rId2"/>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view3D>
      <c:perspective val="30"/>
    </c:view3D>
    <c:plotArea>
      <c:layout>
        <c:manualLayout>
          <c:layoutTarget val="inner"/>
          <c:xMode val="edge"/>
          <c:yMode val="edge"/>
          <c:x val="8.5964912280701758E-2"/>
          <c:y val="0.13694267515923575"/>
          <c:w val="0.81052631578947354"/>
          <c:h val="0.58598726114649657"/>
        </c:manualLayout>
      </c:layout>
      <c:pie3DChart>
        <c:varyColors val="1"/>
        <c:ser>
          <c:idx val="0"/>
          <c:order val="0"/>
          <c:tx>
            <c:strRef>
              <c:f>Лист1!$B$1</c:f>
              <c:strCache>
                <c:ptCount val="1"/>
                <c:pt idx="0">
                  <c:v>p&lt;0,05</c:v>
                </c:pt>
              </c:strCache>
            </c:strRef>
          </c:tx>
          <c:dLbls>
            <c:dLbl>
              <c:idx val="0"/>
              <c:layout>
                <c:manualLayout>
                  <c:x val="-3.8002333041703161E-2"/>
                  <c:y val="-2.1223284589426378E-2"/>
                </c:manualLayout>
              </c:layout>
              <c:dLblPos val="bestFit"/>
              <c:showVal val="1"/>
            </c:dLbl>
            <c:dLbl>
              <c:idx val="1"/>
              <c:layout>
                <c:manualLayout>
                  <c:x val="-2.5218540390784468E-2"/>
                  <c:y val="-4.0335583052118536E-3"/>
                </c:manualLayout>
              </c:layout>
              <c:dLblPos val="bestFit"/>
              <c:showVal val="1"/>
            </c:dLbl>
            <c:dLbl>
              <c:idx val="2"/>
              <c:layout>
                <c:manualLayout>
                  <c:x val="-9.7289661708953052E-3"/>
                  <c:y val="-1.04374453193351E-2"/>
                </c:manualLayout>
              </c:layout>
              <c:dLblPos val="bestFit"/>
              <c:showVal val="1"/>
            </c:dLbl>
            <c:dLbl>
              <c:idx val="3"/>
              <c:layout>
                <c:manualLayout>
                  <c:x val="3.6770833333333336E-2"/>
                  <c:y val="3.4612548431446066E-2"/>
                </c:manualLayout>
              </c:layout>
              <c:dLblPos val="bestFit"/>
              <c:showVal val="1"/>
            </c:dLbl>
            <c:dLbl>
              <c:idx val="4"/>
              <c:layout>
                <c:manualLayout>
                  <c:x val="0.10037848133566638"/>
                  <c:y val="-5.4205099362579667E-2"/>
                </c:manualLayout>
              </c:layout>
              <c:dLblPos val="bestFit"/>
              <c:showVal val="1"/>
            </c:dLbl>
            <c:spPr>
              <a:noFill/>
              <a:ln w="21649">
                <a:noFill/>
              </a:ln>
            </c:spPr>
            <c:txPr>
              <a:bodyPr/>
              <a:lstStyle/>
              <a:p>
                <a:pPr>
                  <a:defRPr lang="uk-UA" sz="1193">
                    <a:latin typeface="Times New Roman" pitchFamily="18" charset="0"/>
                    <a:cs typeface="Times New Roman" pitchFamily="18" charset="0"/>
                  </a:defRPr>
                </a:pPr>
                <a:endParaRPr lang="ru-RU"/>
              </a:p>
            </c:txPr>
            <c:showVal val="1"/>
            <c:showLeaderLines val="1"/>
          </c:dLbls>
          <c:cat>
            <c:strRef>
              <c:f>Лист1!$A$2:$A$7</c:f>
              <c:strCache>
                <c:ptCount val="5"/>
                <c:pt idx="0">
                  <c:v>TGF-b1</c:v>
                </c:pt>
                <c:pt idx="1">
                  <c:v>IL-6</c:v>
                </c:pt>
                <c:pt idx="2">
                  <c:v>IL-8</c:v>
                </c:pt>
                <c:pt idx="3">
                  <c:v>IL-10</c:v>
                </c:pt>
                <c:pt idx="4">
                  <c:v>IL-18</c:v>
                </c:pt>
              </c:strCache>
            </c:strRef>
          </c:cat>
          <c:val>
            <c:numRef>
              <c:f>Лист1!$B$2:$B$7</c:f>
              <c:numCache>
                <c:formatCode>General</c:formatCode>
                <c:ptCount val="6"/>
                <c:pt idx="0">
                  <c:v>0.69000000000000017</c:v>
                </c:pt>
                <c:pt idx="1">
                  <c:v>0.68</c:v>
                </c:pt>
                <c:pt idx="2">
                  <c:v>0.56999999999999995</c:v>
                </c:pt>
                <c:pt idx="3">
                  <c:v>0.7300000000000002</c:v>
                </c:pt>
                <c:pt idx="4">
                  <c:v>0.82000000000000017</c:v>
                </c:pt>
              </c:numCache>
            </c:numRef>
          </c:val>
        </c:ser>
      </c:pie3DChart>
      <c:spPr>
        <a:noFill/>
        <a:ln w="21649">
          <a:noFill/>
        </a:ln>
      </c:spPr>
    </c:plotArea>
    <c:legend>
      <c:legendPos val="r"/>
      <c:legendEntry>
        <c:idx val="5"/>
        <c:delete val="1"/>
      </c:legendEntry>
      <c:layout>
        <c:manualLayout>
          <c:xMode val="edge"/>
          <c:yMode val="edge"/>
          <c:x val="0.16491231282957539"/>
          <c:y val="0.89171972825274259"/>
          <c:w val="0.68596482818140569"/>
          <c:h val="8.9172106041244689E-2"/>
        </c:manualLayout>
      </c:layout>
      <c:txPr>
        <a:bodyPr/>
        <a:lstStyle/>
        <a:p>
          <a:pPr>
            <a:defRPr lang="uk-UA" sz="1193">
              <a:latin typeface="Times New Roman" pitchFamily="18" charset="0"/>
              <a:cs typeface="Times New Roman" pitchFamily="18" charset="0"/>
            </a:defRPr>
          </a:pPr>
          <a:endParaRPr lang="ru-RU"/>
        </a:p>
      </c:txPr>
    </c:legend>
    <c:plotVisOnly val="1"/>
    <c:dispBlanksAs val="zero"/>
  </c:chart>
  <c:externalData r:id="rId2"/>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7.0422535211267623E-2"/>
          <c:y val="9.0909090909090981E-2"/>
          <c:w val="0.44131455399061043"/>
          <c:h val="0.81385281385281383"/>
        </c:manualLayout>
      </c:layout>
      <c:pieChart>
        <c:varyColors val="1"/>
        <c:ser>
          <c:idx val="0"/>
          <c:order val="0"/>
          <c:tx>
            <c:strRef>
              <c:f>Лист1!$B$1</c:f>
              <c:strCache>
                <c:ptCount val="1"/>
                <c:pt idx="0">
                  <c:v>Групи хворих</c:v>
                </c:pt>
              </c:strCache>
            </c:strRef>
          </c:tx>
          <c:dLbls>
            <c:spPr>
              <a:noFill/>
              <a:ln w="20962">
                <a:noFill/>
              </a:ln>
            </c:spPr>
            <c:txPr>
              <a:bodyPr/>
              <a:lstStyle/>
              <a:p>
                <a:pPr>
                  <a:defRPr lang="uk-UA" sz="1155">
                    <a:latin typeface="Times New Roman" pitchFamily="18" charset="0"/>
                    <a:cs typeface="Times New Roman" pitchFamily="18" charset="0"/>
                  </a:defRPr>
                </a:pPr>
                <a:endParaRPr lang="ru-RU"/>
              </a:p>
            </c:txPr>
            <c:dLblPos val="inEnd"/>
            <c:showVal val="1"/>
            <c:showLeaderLines val="1"/>
          </c:dLbls>
          <c:cat>
            <c:strRef>
              <c:f>Лист1!$A$2:$A$5</c:f>
              <c:strCache>
                <c:ptCount val="4"/>
                <c:pt idx="0">
                  <c:v>Контрольна група</c:v>
                </c:pt>
                <c:pt idx="1">
                  <c:v>Хворі на I тип псевдокіст</c:v>
                </c:pt>
                <c:pt idx="2">
                  <c:v>Хворі на II тип псевдокіст</c:v>
                </c:pt>
                <c:pt idx="3">
                  <c:v>Хворі на III тип псевдокіст</c:v>
                </c:pt>
              </c:strCache>
            </c:strRef>
          </c:cat>
          <c:val>
            <c:numRef>
              <c:f>Лист1!$B$2:$B$5</c:f>
              <c:numCache>
                <c:formatCode>General</c:formatCode>
                <c:ptCount val="4"/>
                <c:pt idx="0">
                  <c:v>81.3</c:v>
                </c:pt>
                <c:pt idx="1">
                  <c:v>5</c:v>
                </c:pt>
                <c:pt idx="2">
                  <c:v>3.2600000000000002</c:v>
                </c:pt>
                <c:pt idx="3">
                  <c:v>4.4000000000000004</c:v>
                </c:pt>
              </c:numCache>
            </c:numRef>
          </c:val>
        </c:ser>
        <c:firstSliceAng val="0"/>
      </c:pieChart>
      <c:spPr>
        <a:noFill/>
        <a:ln w="20962">
          <a:noFill/>
        </a:ln>
      </c:spPr>
    </c:plotArea>
    <c:legend>
      <c:legendPos val="r"/>
      <c:legendEntry>
        <c:idx val="0"/>
        <c:txPr>
          <a:bodyPr/>
          <a:lstStyle/>
          <a:p>
            <a:pPr>
              <a:defRPr sz="1060" b="0" i="0" u="none" strike="noStrike" baseline="0">
                <a:solidFill>
                  <a:srgbClr val="000000"/>
                </a:solidFill>
                <a:latin typeface="Times New Roman"/>
                <a:ea typeface="Times New Roman"/>
                <a:cs typeface="Times New Roman"/>
              </a:defRPr>
            </a:pPr>
            <a:endParaRPr lang="ru-RU"/>
          </a:p>
        </c:txPr>
      </c:legendEntry>
      <c:layout>
        <c:manualLayout>
          <c:xMode val="edge"/>
          <c:yMode val="edge"/>
          <c:x val="0.54460093896713613"/>
          <c:y val="1.2987012987012988E-2"/>
          <c:w val="0.39671361502347435"/>
          <c:h val="0.84848484848484862"/>
        </c:manualLayout>
      </c:layout>
      <c:txPr>
        <a:bodyPr/>
        <a:lstStyle/>
        <a:p>
          <a:pPr>
            <a:defRPr lang="uk-UA" sz="1155">
              <a:latin typeface="Times New Roman" pitchFamily="18" charset="0"/>
              <a:cs typeface="Times New Roman" pitchFamily="18" charset="0"/>
            </a:defRPr>
          </a:pPr>
          <a:endParaRPr lang="ru-RU"/>
        </a:p>
      </c:txPr>
    </c:legend>
    <c:plotVisOnly val="1"/>
    <c:dispBlanksAs val="zero"/>
  </c:chart>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31314878892733577"/>
          <c:y val="0.1009463722397476"/>
          <c:w val="0.37197231833910055"/>
          <c:h val="0.67823343848580475"/>
        </c:manualLayout>
      </c:layout>
      <c:pieChart>
        <c:varyColors val="1"/>
        <c:ser>
          <c:idx val="0"/>
          <c:order val="0"/>
          <c:tx>
            <c:strRef>
              <c:f>Лист1!$B$1</c:f>
              <c:strCache>
                <c:ptCount val="1"/>
                <c:pt idx="0">
                  <c:v>p&lt;0,05</c:v>
                </c:pt>
              </c:strCache>
            </c:strRef>
          </c:tx>
          <c:dLbls>
            <c:spPr>
              <a:noFill/>
              <a:ln w="18107">
                <a:noFill/>
              </a:ln>
            </c:spPr>
            <c:txPr>
              <a:bodyPr/>
              <a:lstStyle/>
              <a:p>
                <a:pPr>
                  <a:defRPr lang="uk-UA" sz="998">
                    <a:latin typeface="Times New Roman" pitchFamily="18" charset="0"/>
                    <a:cs typeface="Times New Roman" pitchFamily="18" charset="0"/>
                  </a:defRPr>
                </a:pPr>
                <a:endParaRPr lang="ru-RU"/>
              </a:p>
            </c:txPr>
            <c:showVal val="1"/>
            <c:showLeaderLines val="1"/>
          </c:dLbls>
          <c:cat>
            <c:strRef>
              <c:f>Лист1!$A$2:$A$4</c:f>
              <c:strCache>
                <c:ptCount val="3"/>
                <c:pt idx="0">
                  <c:v>ММП-9</c:v>
                </c:pt>
                <c:pt idx="1">
                  <c:v>ТІМП-2</c:v>
                </c:pt>
                <c:pt idx="2">
                  <c:v>VEGF</c:v>
                </c:pt>
              </c:strCache>
            </c:strRef>
          </c:cat>
          <c:val>
            <c:numRef>
              <c:f>Лист1!$B$2:$B$4</c:f>
              <c:numCache>
                <c:formatCode>General</c:formatCode>
                <c:ptCount val="3"/>
                <c:pt idx="0">
                  <c:v>0.63000000000000023</c:v>
                </c:pt>
                <c:pt idx="1">
                  <c:v>0.56999999999999995</c:v>
                </c:pt>
                <c:pt idx="2">
                  <c:v>0.71000000000000019</c:v>
                </c:pt>
              </c:numCache>
            </c:numRef>
          </c:val>
        </c:ser>
        <c:firstSliceAng val="0"/>
      </c:pieChart>
      <c:spPr>
        <a:noFill/>
        <a:ln w="18107">
          <a:noFill/>
        </a:ln>
      </c:spPr>
    </c:plotArea>
    <c:legend>
      <c:legendPos val="r"/>
      <c:layout>
        <c:manualLayout>
          <c:xMode val="edge"/>
          <c:yMode val="edge"/>
          <c:x val="0.26124567474048443"/>
          <c:y val="0.88328075709779164"/>
          <c:w val="0.47750865051903124"/>
          <c:h val="8.8328075709779241E-2"/>
        </c:manualLayout>
      </c:layout>
      <c:txPr>
        <a:bodyPr/>
        <a:lstStyle/>
        <a:p>
          <a:pPr>
            <a:defRPr lang="uk-UA" sz="998">
              <a:latin typeface="Times New Roman" pitchFamily="18" charset="0"/>
              <a:cs typeface="Times New Roman" pitchFamily="18" charset="0"/>
            </a:defRPr>
          </a:pPr>
          <a:endParaRPr lang="ru-RU"/>
        </a:p>
      </c:txPr>
    </c:legend>
    <c:plotVisOnly val="1"/>
    <c:dispBlanksAs val="zero"/>
  </c:chart>
  <c:externalData r:id="rId2"/>
  <c:userShapes r:id="rId3"/>
</c:chartSpace>
</file>

<file path=word/drawings/drawing1.xml><?xml version="1.0" encoding="utf-8"?>
<c:userShapes xmlns:c="http://schemas.openxmlformats.org/drawingml/2006/chart">
  <cdr:relSizeAnchor xmlns:cdr="http://schemas.openxmlformats.org/drawingml/2006/chartDrawing">
    <cdr:from>
      <cdr:x>0.44543</cdr:x>
      <cdr:y>0.73869</cdr:y>
    </cdr:from>
    <cdr:to>
      <cdr:x>0.59003</cdr:x>
      <cdr:y>0.8287</cdr:y>
    </cdr:to>
    <cdr:sp macro="" textlink="">
      <cdr:nvSpPr>
        <cdr:cNvPr id="2" name="TextBox 1"/>
        <cdr:cNvSpPr txBox="1"/>
      </cdr:nvSpPr>
      <cdr:spPr>
        <a:xfrm xmlns:a="http://schemas.openxmlformats.org/drawingml/2006/main">
          <a:off x="2447925" y="2324100"/>
          <a:ext cx="790575" cy="295275"/>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400">
              <a:latin typeface="Times New Roman" pitchFamily="18" charset="0"/>
              <a:cs typeface="Times New Roman" pitchFamily="18" charset="0"/>
            </a:rPr>
            <a:t>p</a:t>
          </a:r>
          <a:r>
            <a:rPr lang="en-US" sz="1400">
              <a:latin typeface="Times New Roman" pitchFamily="18" charset="0"/>
              <a:cs typeface="Times New Roman" pitchFamily="18" charset="0"/>
              <a:sym typeface="Symbol"/>
            </a:rPr>
            <a:t>0,05</a:t>
          </a:r>
          <a:endParaRPr lang="uk-UA" sz="1400">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0.4184</cdr:x>
      <cdr:y>0.7764</cdr:y>
    </cdr:from>
    <cdr:to>
      <cdr:x>0.56275</cdr:x>
      <cdr:y>0.86242</cdr:y>
    </cdr:to>
    <cdr:sp macro="" textlink="">
      <cdr:nvSpPr>
        <cdr:cNvPr id="2" name="TextBox 1"/>
        <cdr:cNvSpPr txBox="1"/>
      </cdr:nvSpPr>
      <cdr:spPr>
        <a:xfrm xmlns:a="http://schemas.openxmlformats.org/drawingml/2006/main">
          <a:off x="2295525" y="2438400"/>
          <a:ext cx="790575" cy="29527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400">
              <a:latin typeface="Times New Roman" pitchFamily="18" charset="0"/>
              <a:cs typeface="Times New Roman" pitchFamily="18" charset="0"/>
            </a:rPr>
            <a:t>p</a:t>
          </a:r>
          <a:r>
            <a:rPr lang="en-US" sz="1400">
              <a:latin typeface="Times New Roman" pitchFamily="18" charset="0"/>
              <a:cs typeface="Times New Roman" pitchFamily="18" charset="0"/>
              <a:sym typeface="Symbol"/>
            </a:rPr>
            <a:t>0,05</a:t>
          </a:r>
          <a:endParaRPr lang="uk-UA" sz="1400">
            <a:latin typeface="Times New Roman" pitchFamily="18" charset="0"/>
            <a:cs typeface="Times New Roman" pitchFamily="18" charset="0"/>
          </a:endParaRPr>
        </a:p>
      </cdr:txBody>
    </cdr:sp>
  </cdr:relSizeAnchor>
</c:userShapes>
</file>

<file path=word/drawings/drawing3.xml><?xml version="1.0" encoding="utf-8"?>
<c:userShapes xmlns:c="http://schemas.openxmlformats.org/drawingml/2006/chart">
  <cdr:relSizeAnchor xmlns:cdr="http://schemas.openxmlformats.org/drawingml/2006/chartDrawing">
    <cdr:from>
      <cdr:x>0.39155</cdr:x>
      <cdr:y>0.79262</cdr:y>
    </cdr:from>
    <cdr:to>
      <cdr:x>0.61889</cdr:x>
      <cdr:y>0.875</cdr:y>
    </cdr:to>
    <cdr:sp macro="" textlink="">
      <cdr:nvSpPr>
        <cdr:cNvPr id="2" name="TextBox 1"/>
        <cdr:cNvSpPr txBox="1"/>
      </cdr:nvSpPr>
      <cdr:spPr>
        <a:xfrm xmlns:a="http://schemas.openxmlformats.org/drawingml/2006/main">
          <a:off x="1943100" y="1811929"/>
          <a:ext cx="1128143" cy="18832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400">
              <a:latin typeface="Times New Roman" pitchFamily="18" charset="0"/>
              <a:cs typeface="Times New Roman" pitchFamily="18" charset="0"/>
            </a:rPr>
            <a:t>p</a:t>
          </a:r>
          <a:r>
            <a:rPr lang="en-US" sz="1400">
              <a:latin typeface="Times New Roman" pitchFamily="18" charset="0"/>
              <a:cs typeface="Times New Roman" pitchFamily="18" charset="0"/>
              <a:sym typeface="Symbol"/>
            </a:rPr>
            <a:t>0,05</a:t>
          </a:r>
          <a:endParaRPr lang="uk-UA" sz="1400">
            <a:latin typeface="Times New Roman" pitchFamily="18" charset="0"/>
            <a:cs typeface="Times New Roman"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44</TotalTime>
  <Pages>360</Pages>
  <Words>86322</Words>
  <Characters>492036</Characters>
  <Application>Microsoft Office Word</Application>
  <DocSecurity>0</DocSecurity>
  <Lines>4100</Lines>
  <Paragraphs>1154</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577204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2017-09-27T14:36:00Z</dcterms:created>
  <dcterms:modified xsi:type="dcterms:W3CDTF">2017-09-27T15:48:00Z</dcterms:modified>
</cp:coreProperties>
</file>