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CB0" w:rsidRPr="00FF7CB0" w:rsidRDefault="00443011" w:rsidP="00FF7CB0">
      <w:pPr>
        <w:spacing w:after="0" w:line="360" w:lineRule="auto"/>
        <w:jc w:val="center"/>
        <w:rPr>
          <w:rFonts w:ascii="Times New Roman" w:hAnsi="Times New Roman" w:cs="Times New Roman"/>
          <w:b/>
          <w:sz w:val="28"/>
          <w:szCs w:val="28"/>
          <w:lang w:val="fr-FR"/>
        </w:rPr>
      </w:pPr>
      <w:r w:rsidRPr="00FF7CB0">
        <w:rPr>
          <w:rFonts w:ascii="Times New Roman" w:hAnsi="Times New Roman" w:cs="Times New Roman"/>
          <w:b/>
          <w:sz w:val="28"/>
          <w:szCs w:val="28"/>
          <w:lang w:val="fr-FR"/>
        </w:rPr>
        <w:t>V.A. Mitrofanyuk, T.A. Zhdanova</w:t>
      </w:r>
    </w:p>
    <w:p w:rsidR="00FF7CB0" w:rsidRDefault="00443011" w:rsidP="00FF7CB0">
      <w:pPr>
        <w:spacing w:after="0" w:line="360" w:lineRule="auto"/>
        <w:jc w:val="center"/>
        <w:rPr>
          <w:rFonts w:ascii="Times New Roman" w:hAnsi="Times New Roman" w:cs="Times New Roman"/>
          <w:sz w:val="28"/>
          <w:szCs w:val="28"/>
          <w:lang w:val="fr-FR"/>
        </w:rPr>
      </w:pPr>
      <w:r w:rsidRPr="00FF7CB0">
        <w:rPr>
          <w:rFonts w:ascii="Times New Roman" w:hAnsi="Times New Roman" w:cs="Times New Roman"/>
          <w:sz w:val="28"/>
          <w:szCs w:val="28"/>
          <w:lang w:val="fr-FR"/>
        </w:rPr>
        <w:t>L’Université nationale de médecine de Kharkiv</w:t>
      </w:r>
    </w:p>
    <w:p w:rsidR="00FF7CB0" w:rsidRPr="00FF7CB0" w:rsidRDefault="00443011" w:rsidP="00FF7CB0">
      <w:pPr>
        <w:spacing w:after="0" w:line="360" w:lineRule="auto"/>
        <w:jc w:val="center"/>
        <w:rPr>
          <w:rFonts w:ascii="Times New Roman" w:hAnsi="Times New Roman" w:cs="Times New Roman"/>
          <w:b/>
          <w:sz w:val="28"/>
          <w:szCs w:val="28"/>
          <w:lang w:val="fr-FR"/>
        </w:rPr>
      </w:pPr>
      <w:r w:rsidRPr="00FF7CB0">
        <w:rPr>
          <w:rFonts w:ascii="Times New Roman" w:hAnsi="Times New Roman" w:cs="Times New Roman"/>
          <w:b/>
          <w:sz w:val="28"/>
          <w:szCs w:val="28"/>
          <w:lang w:val="fr-FR"/>
        </w:rPr>
        <w:t>La spondylarthrite ankylosante</w:t>
      </w:r>
    </w:p>
    <w:p w:rsidR="00FF7CB0" w:rsidRDefault="00FF7CB0" w:rsidP="00FF7CB0">
      <w:pPr>
        <w:spacing w:after="0" w:line="360" w:lineRule="auto"/>
        <w:jc w:val="both"/>
        <w:rPr>
          <w:rFonts w:ascii="Times New Roman" w:hAnsi="Times New Roman" w:cs="Times New Roman"/>
          <w:sz w:val="28"/>
          <w:szCs w:val="28"/>
          <w:lang w:val="fr-FR"/>
        </w:rPr>
      </w:pP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La spondylarthrite ankylosante (SA), aussi appelée spondylite ankylosante, la maladie de Bechterew, la maladie de Bechterew-Marie-Strümpell, est une maladie rhumatismale qui atteint surtout la colonne vertébrale et le bas du dos. Elle commence chez les personnes jeunes, généralement chez des hommes de 15 ans à 40 ans.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Aujourd’hui, on ne connaît pas la cause de la SA. Il semble que l'antigène HLA B27 soit impliqué: il est beaucoup plus fréquemment retrouvé au cours de la spondylarthrite que dans la population générale, mais sa seule présence ne suffit pas à provoquer la maladie et on ne le retrouve pas chez tous les patients [1].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La cause exacte de la spondylarthrite ankylosante n’est pas connue. Il s’agit d’une maladie inflammatoire, c’est-à-dire qu’elle induit une inflammation chronique des articulations. La maladie est probablement liée à un ensemble de facteurs génétiques </w:t>
      </w:r>
      <w:r>
        <w:rPr>
          <w:rFonts w:ascii="Times New Roman" w:hAnsi="Times New Roman" w:cs="Times New Roman"/>
          <w:sz w:val="28"/>
          <w:szCs w:val="28"/>
          <w:lang w:val="fr-FR"/>
        </w:rPr>
        <w:t>et environnementaux.  Facteurs génétiques</w:t>
      </w:r>
      <w:r w:rsidR="00443011" w:rsidRPr="00FF7CB0">
        <w:rPr>
          <w:rFonts w:ascii="Times New Roman" w:hAnsi="Times New Roman" w:cs="Times New Roman"/>
          <w:sz w:val="28"/>
          <w:szCs w:val="28"/>
          <w:lang w:val="fr-FR"/>
        </w:rPr>
        <w:t>: la spondylarthrite ankylosante survient surtout chez les personnes qui possèdent un gène particulier, appelé HLA-B27. C’est pourquoi elle est plus fréquente dans certaines populations ou dans certaines familles. Cependant, ce gène n’est pas la cause de la maladie : il s’agit seulement d’un facteur prédisposant. Le gène HLA-B27 est présent chez 6 % de la population et chez 93 % des personnes atteintes de spondylarthrite ankylosante [1]. En outre, d’autres gènes sont très certaineme</w:t>
      </w:r>
      <w:r>
        <w:rPr>
          <w:rFonts w:ascii="Times New Roman" w:hAnsi="Times New Roman" w:cs="Times New Roman"/>
          <w:sz w:val="28"/>
          <w:szCs w:val="28"/>
          <w:lang w:val="fr-FR"/>
        </w:rPr>
        <w:t>nt impliqués dans la maladie</w:t>
      </w:r>
      <w:r w:rsidR="00443011" w:rsidRPr="00FF7CB0">
        <w:rPr>
          <w:rFonts w:ascii="Times New Roman" w:hAnsi="Times New Roman" w:cs="Times New Roman"/>
          <w:sz w:val="28"/>
          <w:szCs w:val="28"/>
          <w:lang w:val="fr-FR"/>
        </w:rPr>
        <w:t xml:space="preserve">. Facteurs extérieurs : les chercheurs pensent que des facteurs environnementaux jouent un rôle dans le déclenchement de la maladie chez les personnes génétiquement prédisposées. Il pourrait notamment s’agir de bactéries, responsables d’infections digestives (bactéries Klebsiella) ou génitales, qui entraîneraient des modifications du système immunitaire et déclencheraient la maladie. Les symptômes articulaires de la spondylarthrite apparaissent souvent dans les semaines qui suivent une infection génitale ou digestive.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lastRenderedPageBreak/>
        <w:t xml:space="preserve">       </w:t>
      </w:r>
      <w:r w:rsidR="00443011" w:rsidRPr="00FF7CB0">
        <w:rPr>
          <w:rFonts w:ascii="Times New Roman" w:hAnsi="Times New Roman" w:cs="Times New Roman"/>
          <w:sz w:val="28"/>
          <w:szCs w:val="28"/>
          <w:lang w:val="fr-FR"/>
        </w:rPr>
        <w:t xml:space="preserve">La spondylarthrite ankylosante, aussi appelée spondyloarthrite ankylosante est une maladie inflammatoire articulaire chronique. Elle se manifeste par des crises douloureuses (dites "poussées"), alternant avec des périodes d'accalmie (dites "de rémission").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Cependant, la maladie peut aussi toucher d’autres articulations, comme les chevilles ou les genoux. Elle peut aussi s’accompagner d’une inflammation de l’oeil ou de symptômes digestifs.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SA est la maladie chronique et évolutive, qui conduit à un enraidissement (rigidité) progressif des articulations, d’où le terme «ankylosante». À la longue, les vertèbres peuvent même se souder, provoquant alors une rigidité prononcée de la colonne vertébrale. Cependant, grâce à un traitement précoce, il est possible de maîtriser efficacement les symptômes et de limiter l’ankylose. Aujourd’hui, les formes graves de spondylarthrite avec ankylose sont de plus en plus rares et les spécialistes tendent même à ne plus employer le terme «ankylosante» [2].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Les premiers symptômes d’une maladie de Bechterew surviennent la plupart du temps chez l’adolescent ou le jeune adulte. Le symptôme dominant est la dorsalgie inflammatoire. L’éventail des manifestations cliniques est vaste, avec outre l’atteinte du squelette axial, des arthrites périphériques, enthésites et manifestations extrasquelettiques.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La spondylite caractéristique des angles des corps vertébraux (spondylite antérieure ou postérieure) est le reflet d’une inflammation des insertions (enthésite) de l’anneau fibreux des disques intervertébraux. Cette enthésite vertébrale provoque une ossification des fibres périphériques de l’anneau, avec formation de ponts osseux annulaires entre les segments vertébraux («colonne de bambou» au stade avancé) [3]. </w:t>
      </w:r>
      <w:r>
        <w:rPr>
          <w:rFonts w:ascii="Times New Roman" w:hAnsi="Times New Roman" w:cs="Times New Roman"/>
          <w:sz w:val="28"/>
          <w:szCs w:val="28"/>
          <w:lang w:val="fr-FR"/>
        </w:rPr>
        <w:t xml:space="preserve">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Des signes autres qu’articulaires peuvent parfois se manifester, en particulier au niveau de l’œil. Il s'agit de l’uvéite antérieure, une inflammation de la partie antérieure de l'œil qui se traduit le plus souvent par un oeil rouge et douloureux dans son ensemble et parfois un flou visuel.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Enfin, on peut également observer un psoriasis cutané ou une inflammation du tube digestif.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lastRenderedPageBreak/>
        <w:t xml:space="preserve">       </w:t>
      </w:r>
      <w:r w:rsidR="00443011" w:rsidRPr="00FF7CB0">
        <w:rPr>
          <w:rFonts w:ascii="Times New Roman" w:hAnsi="Times New Roman" w:cs="Times New Roman"/>
          <w:sz w:val="28"/>
          <w:szCs w:val="28"/>
          <w:lang w:val="fr-FR"/>
        </w:rPr>
        <w:t xml:space="preserve">Le traitement de la SA est purement symptomatique. Il vise à limiter l'inflammation articulaire et à prévenir les attitudes vicieuses. Deux types de traitement sont complémentaires: médical et kinésithérapique. La chirurgie ne s'adresse qu'aux séquelles.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Des médicaments: </w:t>
      </w:r>
    </w:p>
    <w:p w:rsidR="00FF7CB0" w:rsidRDefault="00443011" w:rsidP="00FF7CB0">
      <w:pPr>
        <w:spacing w:after="0" w:line="360" w:lineRule="auto"/>
        <w:jc w:val="both"/>
        <w:rPr>
          <w:rFonts w:ascii="Times New Roman" w:hAnsi="Times New Roman" w:cs="Times New Roman"/>
          <w:sz w:val="28"/>
          <w:szCs w:val="28"/>
          <w:lang w:val="fr-FR"/>
        </w:rPr>
      </w:pPr>
      <w:r w:rsidRPr="00FF7CB0">
        <w:rPr>
          <w:rFonts w:ascii="Times New Roman" w:hAnsi="Times New Roman" w:cs="Times New Roman"/>
          <w:sz w:val="28"/>
          <w:szCs w:val="28"/>
          <w:lang w:val="fr-FR"/>
        </w:rPr>
        <w:t xml:space="preserve">● Anti inflammatoires non stéroïdiens (AINS): Parmi les différentes familles, les pyrazolés sont les plus efficaces. Le seul encore commercialisé dans cette indication est la phénylbutazone qui s'emploie de préférence per os ou en suppositoires à des doses d'attaque ne devant pas dépasser 600 mg/24 h. Une protection gastrique est souvent associée. Un traitement d'entretien à dose moindre sera ensuite mis en œuvre. Avant la phénylbutazone, il faut essayer les autres familles d'AINS tels que l'indométacine, les propioniques et le diclofénac, voire de simples antalgiques [3]. </w:t>
      </w:r>
    </w:p>
    <w:p w:rsidR="00FF7CB0" w:rsidRDefault="00443011" w:rsidP="00FF7CB0">
      <w:pPr>
        <w:spacing w:after="0" w:line="360" w:lineRule="auto"/>
        <w:jc w:val="both"/>
        <w:rPr>
          <w:rFonts w:ascii="Times New Roman" w:hAnsi="Times New Roman" w:cs="Times New Roman"/>
          <w:sz w:val="28"/>
          <w:szCs w:val="28"/>
          <w:lang w:val="fr-FR"/>
        </w:rPr>
      </w:pPr>
      <w:r w:rsidRPr="00FF7CB0">
        <w:rPr>
          <w:rFonts w:ascii="Times New Roman" w:hAnsi="Times New Roman" w:cs="Times New Roman"/>
          <w:sz w:val="28"/>
          <w:szCs w:val="28"/>
          <w:lang w:val="fr-FR"/>
        </w:rPr>
        <w:t xml:space="preserve">● Corticoïdes: Ils ne doivent pas être utilisés car ils sont généralement moins efficaces que les anti-inflammatoires non stéroïdiens. Certains les utilisent en cas d'ulcère gastroduodénal provoqué par les traitements précédents, sous couvert d'anti-ulcéreux et sans dépasser l0 mg de prednisone/24 h. </w:t>
      </w:r>
    </w:p>
    <w:p w:rsidR="00FF7CB0" w:rsidRDefault="00443011" w:rsidP="00FF7CB0">
      <w:pPr>
        <w:spacing w:after="0" w:line="360" w:lineRule="auto"/>
        <w:jc w:val="both"/>
        <w:rPr>
          <w:rFonts w:ascii="Times New Roman" w:hAnsi="Times New Roman" w:cs="Times New Roman"/>
          <w:sz w:val="28"/>
          <w:szCs w:val="28"/>
          <w:lang w:val="fr-FR"/>
        </w:rPr>
      </w:pPr>
      <w:r w:rsidRPr="00FF7CB0">
        <w:rPr>
          <w:rFonts w:ascii="Times New Roman" w:hAnsi="Times New Roman" w:cs="Times New Roman"/>
          <w:sz w:val="28"/>
          <w:szCs w:val="28"/>
          <w:lang w:val="fr-FR"/>
        </w:rPr>
        <w:t xml:space="preserve">● Les médicaments antirhumatismaux modificateurs de la maladie ou ARMM (par ex. le méthotrexate) sont utilisés pour soulager les symptômes de la SA et ralentir l'évolution de l'affection. Ces médicaments peuvent s'avérer bénéfiques pour les personnes qui ont une spondylarthrite ankylosante périphérique (qui touche des articulations autres que celles du dos). Ils ne soulagent pas l'inflammation de la colonne vertébrale. Les effets secondaires possibles comprennent la nausée, la diarrhée, un risque accru d'infection, une atteinte hépatique, une atteinte des poumons ou des saignements [4]. </w:t>
      </w:r>
    </w:p>
    <w:p w:rsidR="00FF7CB0" w:rsidRDefault="00443011" w:rsidP="00FF7CB0">
      <w:pPr>
        <w:spacing w:after="0" w:line="360" w:lineRule="auto"/>
        <w:jc w:val="both"/>
        <w:rPr>
          <w:rFonts w:ascii="Times New Roman" w:hAnsi="Times New Roman" w:cs="Times New Roman"/>
          <w:sz w:val="28"/>
          <w:szCs w:val="28"/>
          <w:lang w:val="fr-FR"/>
        </w:rPr>
      </w:pPr>
      <w:r w:rsidRPr="00FF7CB0">
        <w:rPr>
          <w:rFonts w:ascii="Times New Roman" w:hAnsi="Times New Roman" w:cs="Times New Roman"/>
          <w:sz w:val="28"/>
          <w:szCs w:val="28"/>
          <w:lang w:val="fr-FR"/>
        </w:rPr>
        <w:t>● Les biothérapies anti-TNF</w:t>
      </w:r>
      <w:r w:rsidRPr="00FF7CB0">
        <w:rPr>
          <w:rFonts w:ascii="Times New Roman" w:hAnsi="Times New Roman" w:cs="Times New Roman"/>
          <w:sz w:val="28"/>
          <w:szCs w:val="28"/>
        </w:rPr>
        <w:t>α</w:t>
      </w:r>
      <w:r w:rsidRPr="00FF7CB0">
        <w:rPr>
          <w:rFonts w:ascii="Times New Roman" w:hAnsi="Times New Roman" w:cs="Times New Roman"/>
          <w:sz w:val="28"/>
          <w:szCs w:val="28"/>
          <w:lang w:val="fr-FR"/>
        </w:rPr>
        <w:t xml:space="preserve"> sont très efficaces sur les manifestations inflammatoires axiales et périphériques de la SA après échec avéré des AINS. C’est l’étanercept, l’infliximab, l’adalimumab et bientôt le golimumab [5]. Les anti-TNF</w:t>
      </w:r>
      <w:r w:rsidRPr="00FF7CB0">
        <w:rPr>
          <w:rFonts w:ascii="Times New Roman" w:hAnsi="Times New Roman" w:cs="Times New Roman"/>
          <w:sz w:val="28"/>
          <w:szCs w:val="28"/>
        </w:rPr>
        <w:t>α</w:t>
      </w:r>
      <w:r w:rsidRPr="00FF7CB0">
        <w:rPr>
          <w:rFonts w:ascii="Times New Roman" w:hAnsi="Times New Roman" w:cs="Times New Roman"/>
          <w:sz w:val="28"/>
          <w:szCs w:val="28"/>
          <w:lang w:val="fr-FR"/>
        </w:rPr>
        <w:t xml:space="preserve"> n’empêchent pas la constitution des syndesmophytes et ne semblent pas stopper ni freiner les dégradations radiographiques. En cas d’échec ou de contre-indication aux anti-TNF</w:t>
      </w:r>
      <w:r w:rsidRPr="00FF7CB0">
        <w:rPr>
          <w:rFonts w:ascii="Times New Roman" w:hAnsi="Times New Roman" w:cs="Times New Roman"/>
          <w:sz w:val="28"/>
          <w:szCs w:val="28"/>
        </w:rPr>
        <w:t>α</w:t>
      </w:r>
      <w:r w:rsidRPr="00FF7CB0">
        <w:rPr>
          <w:rFonts w:ascii="Times New Roman" w:hAnsi="Times New Roman" w:cs="Times New Roman"/>
          <w:sz w:val="28"/>
          <w:szCs w:val="28"/>
          <w:lang w:val="fr-FR"/>
        </w:rPr>
        <w:t xml:space="preserve">, les possibilités restent limitées et sont actuellement effectuées hors AMM </w:t>
      </w:r>
      <w:r w:rsidRPr="00FF7CB0">
        <w:rPr>
          <w:rFonts w:ascii="Times New Roman" w:hAnsi="Times New Roman" w:cs="Times New Roman"/>
          <w:sz w:val="28"/>
          <w:szCs w:val="28"/>
          <w:lang w:val="fr-FR"/>
        </w:rPr>
        <w:lastRenderedPageBreak/>
        <w:t xml:space="preserve">faute d’études contrôlées : Bisphosphates IV en cures séquentielles (pamidronate); Inhibiteurs de l’IL-1 (Anakinra); L’abatacept, protéine de fusion inhibant l’interaction de CD80/86 des lymphocytes avec le CD28 des cellules présentatrices d’antigène (cosignal d’activation). </w:t>
      </w:r>
    </w:p>
    <w:p w:rsidR="00FF7CB0" w:rsidRDefault="00FF7CB0" w:rsidP="00FF7CB0">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443011" w:rsidRPr="00FF7CB0">
        <w:rPr>
          <w:rFonts w:ascii="Times New Roman" w:hAnsi="Times New Roman" w:cs="Times New Roman"/>
          <w:sz w:val="28"/>
          <w:szCs w:val="28"/>
          <w:lang w:val="fr-FR"/>
        </w:rPr>
        <w:t xml:space="preserve">Il n’y a pour l’heure aucune option thérapeutique capable de modifier l’évolution d’une maladie de Bechterew. Dans une telle situation où les options médicamenteuses restent actuellement très limitées, l’intérêt se concentre sur l’éventuelle modification de l’évo-lution par les inhibiteurs du TNF-a [5]. </w:t>
      </w:r>
    </w:p>
    <w:p w:rsidR="00CA421E" w:rsidRDefault="00443011" w:rsidP="00FF7CB0">
      <w:pPr>
        <w:spacing w:after="0" w:line="360" w:lineRule="auto"/>
        <w:jc w:val="both"/>
        <w:rPr>
          <w:rFonts w:ascii="Times New Roman" w:hAnsi="Times New Roman" w:cs="Times New Roman"/>
          <w:sz w:val="28"/>
          <w:szCs w:val="28"/>
          <w:lang w:val="fr-FR"/>
        </w:rPr>
      </w:pPr>
      <w:r w:rsidRPr="00FF7CB0">
        <w:rPr>
          <w:rFonts w:ascii="Times New Roman" w:hAnsi="Times New Roman" w:cs="Times New Roman"/>
          <w:sz w:val="28"/>
          <w:szCs w:val="28"/>
          <w:lang w:val="fr-FR"/>
        </w:rPr>
        <w:t xml:space="preserve">Fig. 1. Changements pathologiques de la maladie de Bechterew. </w:t>
      </w:r>
    </w:p>
    <w:p w:rsidR="00CA421E" w:rsidRDefault="00443011" w:rsidP="00FF7CB0">
      <w:pPr>
        <w:spacing w:after="0" w:line="360" w:lineRule="auto"/>
        <w:jc w:val="both"/>
        <w:rPr>
          <w:rFonts w:ascii="Times New Roman" w:hAnsi="Times New Roman" w:cs="Times New Roman"/>
          <w:sz w:val="28"/>
          <w:szCs w:val="28"/>
          <w:lang w:val="fr-FR"/>
        </w:rPr>
      </w:pPr>
      <w:r w:rsidRPr="00FF7CB0">
        <w:rPr>
          <w:rFonts w:ascii="Times New Roman" w:hAnsi="Times New Roman" w:cs="Times New Roman"/>
          <w:sz w:val="28"/>
          <w:szCs w:val="28"/>
          <w:lang w:val="fr-FR"/>
        </w:rPr>
        <w:t xml:space="preserve">Fig. 2. Radiographie de profil de la colonne vertébral lombaire. Ponts osseux entre les corps vertebraux (fleches) et les arcs posterieurs (tetes de fleches) realisant une ankylosante complete ("colonne bambou"). </w:t>
      </w:r>
    </w:p>
    <w:p w:rsidR="00CA421E" w:rsidRDefault="00CA421E" w:rsidP="00FF7CB0">
      <w:pPr>
        <w:spacing w:after="0" w:line="360" w:lineRule="auto"/>
        <w:jc w:val="both"/>
        <w:rPr>
          <w:rFonts w:ascii="Times New Roman" w:hAnsi="Times New Roman" w:cs="Times New Roman"/>
          <w:sz w:val="28"/>
          <w:szCs w:val="28"/>
          <w:lang w:val="fr-FR"/>
        </w:rPr>
      </w:pPr>
    </w:p>
    <w:p w:rsidR="00CA421E" w:rsidRDefault="00443011" w:rsidP="00FF7CB0">
      <w:pPr>
        <w:spacing w:after="0" w:line="360" w:lineRule="auto"/>
        <w:jc w:val="both"/>
        <w:rPr>
          <w:rFonts w:ascii="Times New Roman" w:hAnsi="Times New Roman" w:cs="Times New Roman"/>
          <w:sz w:val="28"/>
          <w:szCs w:val="28"/>
          <w:lang w:val="fr-FR"/>
        </w:rPr>
      </w:pPr>
      <w:r w:rsidRPr="00CA421E">
        <w:rPr>
          <w:rFonts w:ascii="Times New Roman" w:hAnsi="Times New Roman" w:cs="Times New Roman"/>
          <w:b/>
          <w:sz w:val="28"/>
          <w:szCs w:val="28"/>
          <w:lang w:val="fr-FR"/>
        </w:rPr>
        <w:t>Source d'information:</w:t>
      </w:r>
      <w:r w:rsidRPr="00FF7CB0">
        <w:rPr>
          <w:rFonts w:ascii="Times New Roman" w:hAnsi="Times New Roman" w:cs="Times New Roman"/>
          <w:sz w:val="28"/>
          <w:szCs w:val="28"/>
          <w:lang w:val="fr-FR"/>
        </w:rPr>
        <w:t xml:space="preserve"> </w:t>
      </w:r>
    </w:p>
    <w:p w:rsidR="00CA421E" w:rsidRDefault="00443011" w:rsidP="00FF7CB0">
      <w:pPr>
        <w:spacing w:after="0" w:line="360" w:lineRule="auto"/>
        <w:jc w:val="both"/>
        <w:rPr>
          <w:rFonts w:ascii="Times New Roman" w:hAnsi="Times New Roman" w:cs="Times New Roman"/>
          <w:sz w:val="28"/>
          <w:szCs w:val="28"/>
          <w:lang w:val="fr-FR"/>
        </w:rPr>
      </w:pPr>
      <w:r w:rsidRPr="00FF7CB0">
        <w:rPr>
          <w:rFonts w:ascii="Times New Roman" w:hAnsi="Times New Roman" w:cs="Times New Roman"/>
          <w:sz w:val="28"/>
          <w:szCs w:val="28"/>
          <w:lang w:val="fr-FR"/>
        </w:rPr>
        <w:t xml:space="preserve">1. Cours DCEM3 – SPA – Mise à jour du 30/5/2011. Service de rhumatologie du Pr Meyer, CHU Bichat. </w:t>
      </w:r>
    </w:p>
    <w:p w:rsidR="00CA421E" w:rsidRDefault="00443011" w:rsidP="00FF7CB0">
      <w:pPr>
        <w:spacing w:after="0" w:line="360" w:lineRule="auto"/>
        <w:jc w:val="both"/>
        <w:rPr>
          <w:rFonts w:ascii="Times New Roman" w:hAnsi="Times New Roman" w:cs="Times New Roman"/>
          <w:sz w:val="28"/>
          <w:szCs w:val="28"/>
          <w:lang w:val="fr-FR"/>
        </w:rPr>
      </w:pPr>
      <w:r w:rsidRPr="00FF7CB0">
        <w:rPr>
          <w:rFonts w:ascii="Times New Roman" w:hAnsi="Times New Roman" w:cs="Times New Roman"/>
          <w:sz w:val="28"/>
          <w:szCs w:val="28"/>
          <w:lang w:val="fr-FR"/>
        </w:rPr>
        <w:t xml:space="preserve">2. La maladie de Bechterew – nouveaux traitements, questions en suspens. Forum Med Suisse 2006;6:163–171. </w:t>
      </w:r>
    </w:p>
    <w:p w:rsidR="00CA421E" w:rsidRPr="00CA421E" w:rsidRDefault="00443011" w:rsidP="00FF7CB0">
      <w:pPr>
        <w:spacing w:after="0" w:line="360" w:lineRule="auto"/>
        <w:jc w:val="both"/>
        <w:rPr>
          <w:rFonts w:ascii="Times New Roman" w:hAnsi="Times New Roman" w:cs="Times New Roman"/>
          <w:sz w:val="28"/>
          <w:szCs w:val="28"/>
        </w:rPr>
      </w:pPr>
      <w:r w:rsidRPr="00CA421E">
        <w:rPr>
          <w:rFonts w:ascii="Times New Roman" w:hAnsi="Times New Roman" w:cs="Times New Roman"/>
          <w:sz w:val="28"/>
          <w:szCs w:val="28"/>
        </w:rPr>
        <w:t xml:space="preserve">3. </w:t>
      </w:r>
      <w:r w:rsidR="00CA421E" w:rsidRPr="00CA421E">
        <w:rPr>
          <w:rFonts w:ascii="Times New Roman" w:hAnsi="Times New Roman" w:cs="Times New Roman"/>
          <w:sz w:val="28"/>
          <w:szCs w:val="28"/>
        </w:rPr>
        <w:t>[</w:t>
      </w:r>
      <w:r w:rsidR="00CA421E">
        <w:rPr>
          <w:rFonts w:ascii="Times New Roman" w:hAnsi="Times New Roman" w:cs="Times New Roman"/>
          <w:sz w:val="28"/>
          <w:szCs w:val="28"/>
        </w:rPr>
        <w:t>Е</w:t>
      </w:r>
      <w:proofErr w:type="spellStart"/>
      <w:r w:rsidR="00CA421E">
        <w:rPr>
          <w:rFonts w:ascii="Times New Roman" w:hAnsi="Times New Roman" w:cs="Times New Roman"/>
          <w:sz w:val="28"/>
          <w:szCs w:val="28"/>
          <w:lang w:val="uk-UA"/>
        </w:rPr>
        <w:t>лектронний</w:t>
      </w:r>
      <w:proofErr w:type="spellEnd"/>
      <w:r w:rsidR="00CA421E">
        <w:rPr>
          <w:rFonts w:ascii="Times New Roman" w:hAnsi="Times New Roman" w:cs="Times New Roman"/>
          <w:sz w:val="28"/>
          <w:szCs w:val="28"/>
          <w:lang w:val="uk-UA"/>
        </w:rPr>
        <w:t xml:space="preserve"> ресурс</w:t>
      </w:r>
      <w:r w:rsidR="00CA421E" w:rsidRPr="00CA421E">
        <w:rPr>
          <w:rFonts w:ascii="Times New Roman" w:hAnsi="Times New Roman" w:cs="Times New Roman"/>
          <w:sz w:val="28"/>
          <w:szCs w:val="28"/>
        </w:rPr>
        <w:t>]</w:t>
      </w:r>
      <w:r w:rsidR="00CA421E">
        <w:rPr>
          <w:rFonts w:ascii="Times New Roman" w:hAnsi="Times New Roman" w:cs="Times New Roman"/>
          <w:sz w:val="28"/>
          <w:szCs w:val="28"/>
        </w:rPr>
        <w:t xml:space="preserve"> – Режим доступу </w:t>
      </w:r>
      <w:proofErr w:type="gramStart"/>
      <w:r w:rsidR="00CA421E">
        <w:rPr>
          <w:rFonts w:ascii="Times New Roman" w:hAnsi="Times New Roman" w:cs="Times New Roman"/>
          <w:sz w:val="28"/>
          <w:szCs w:val="28"/>
        </w:rPr>
        <w:t>до</w:t>
      </w:r>
      <w:proofErr w:type="gramEnd"/>
      <w:r w:rsidR="00CA421E">
        <w:rPr>
          <w:rFonts w:ascii="Times New Roman" w:hAnsi="Times New Roman" w:cs="Times New Roman"/>
          <w:sz w:val="28"/>
          <w:szCs w:val="28"/>
        </w:rPr>
        <w:t xml:space="preserve"> ресурсу: </w:t>
      </w:r>
      <w:hyperlink r:id="rId5" w:history="1">
        <w:r w:rsidR="00CA421E" w:rsidRPr="00CA421E">
          <w:rPr>
            <w:rStyle w:val="a3"/>
            <w:rFonts w:ascii="Times New Roman" w:hAnsi="Times New Roman" w:cs="Times New Roman"/>
            <w:color w:val="auto"/>
            <w:sz w:val="28"/>
            <w:szCs w:val="28"/>
            <w:u w:val="none"/>
            <w:lang w:val="fr-FR"/>
          </w:rPr>
          <w:t>http</w:t>
        </w:r>
        <w:r w:rsidR="00CA421E" w:rsidRPr="00CA421E">
          <w:rPr>
            <w:rStyle w:val="a3"/>
            <w:rFonts w:ascii="Times New Roman" w:hAnsi="Times New Roman" w:cs="Times New Roman"/>
            <w:color w:val="auto"/>
            <w:sz w:val="28"/>
            <w:szCs w:val="28"/>
            <w:u w:val="none"/>
          </w:rPr>
          <w:t>://</w:t>
        </w:r>
        <w:r w:rsidR="00CA421E" w:rsidRPr="00CA421E">
          <w:rPr>
            <w:rStyle w:val="a3"/>
            <w:rFonts w:ascii="Times New Roman" w:hAnsi="Times New Roman" w:cs="Times New Roman"/>
            <w:color w:val="auto"/>
            <w:sz w:val="28"/>
            <w:szCs w:val="28"/>
            <w:u w:val="none"/>
            <w:lang w:val="fr-FR"/>
          </w:rPr>
          <w:t>www</w:t>
        </w:r>
        <w:r w:rsidR="00CA421E" w:rsidRPr="00CA421E">
          <w:rPr>
            <w:rStyle w:val="a3"/>
            <w:rFonts w:ascii="Times New Roman" w:hAnsi="Times New Roman" w:cs="Times New Roman"/>
            <w:color w:val="auto"/>
            <w:sz w:val="28"/>
            <w:szCs w:val="28"/>
            <w:u w:val="none"/>
          </w:rPr>
          <w:t>.</w:t>
        </w:r>
        <w:r w:rsidR="00CA421E" w:rsidRPr="00CA421E">
          <w:rPr>
            <w:rStyle w:val="a3"/>
            <w:rFonts w:ascii="Times New Roman" w:hAnsi="Times New Roman" w:cs="Times New Roman"/>
            <w:color w:val="auto"/>
            <w:sz w:val="28"/>
            <w:szCs w:val="28"/>
            <w:u w:val="none"/>
            <w:lang w:val="fr-FR"/>
          </w:rPr>
          <w:t>arthrolink</w:t>
        </w:r>
        <w:r w:rsidR="00CA421E" w:rsidRPr="00CA421E">
          <w:rPr>
            <w:rStyle w:val="a3"/>
            <w:rFonts w:ascii="Times New Roman" w:hAnsi="Times New Roman" w:cs="Times New Roman"/>
            <w:color w:val="auto"/>
            <w:sz w:val="28"/>
            <w:szCs w:val="28"/>
            <w:u w:val="none"/>
          </w:rPr>
          <w:t>.</w:t>
        </w:r>
        <w:r w:rsidR="00CA421E" w:rsidRPr="00CA421E">
          <w:rPr>
            <w:rStyle w:val="a3"/>
            <w:rFonts w:ascii="Times New Roman" w:hAnsi="Times New Roman" w:cs="Times New Roman"/>
            <w:color w:val="auto"/>
            <w:sz w:val="28"/>
            <w:szCs w:val="28"/>
            <w:u w:val="none"/>
            <w:lang w:val="fr-FR"/>
          </w:rPr>
          <w:t>com</w:t>
        </w:r>
      </w:hyperlink>
      <w:r w:rsidRPr="00CA421E">
        <w:rPr>
          <w:rFonts w:ascii="Times New Roman" w:hAnsi="Times New Roman" w:cs="Times New Roman"/>
          <w:sz w:val="28"/>
          <w:szCs w:val="28"/>
        </w:rPr>
        <w:t xml:space="preserve"> </w:t>
      </w:r>
    </w:p>
    <w:p w:rsidR="00CA421E" w:rsidRPr="00CA421E" w:rsidRDefault="00443011" w:rsidP="00FF7CB0">
      <w:pPr>
        <w:spacing w:after="0" w:line="360" w:lineRule="auto"/>
        <w:jc w:val="both"/>
        <w:rPr>
          <w:rFonts w:ascii="Times New Roman" w:hAnsi="Times New Roman" w:cs="Times New Roman"/>
          <w:sz w:val="28"/>
          <w:szCs w:val="28"/>
        </w:rPr>
      </w:pPr>
      <w:r w:rsidRPr="00CA421E">
        <w:rPr>
          <w:rFonts w:ascii="Times New Roman" w:hAnsi="Times New Roman" w:cs="Times New Roman"/>
          <w:sz w:val="28"/>
          <w:szCs w:val="28"/>
        </w:rPr>
        <w:t xml:space="preserve">4. </w:t>
      </w:r>
      <w:r w:rsidR="00CA421E" w:rsidRPr="00CA421E">
        <w:rPr>
          <w:rFonts w:ascii="Times New Roman" w:hAnsi="Times New Roman" w:cs="Times New Roman"/>
          <w:sz w:val="28"/>
          <w:szCs w:val="28"/>
        </w:rPr>
        <w:t>[</w:t>
      </w:r>
      <w:r w:rsidR="00CA421E">
        <w:rPr>
          <w:rFonts w:ascii="Times New Roman" w:hAnsi="Times New Roman" w:cs="Times New Roman"/>
          <w:sz w:val="28"/>
          <w:szCs w:val="28"/>
        </w:rPr>
        <w:t>Е</w:t>
      </w:r>
      <w:proofErr w:type="spellStart"/>
      <w:r w:rsidR="00CA421E">
        <w:rPr>
          <w:rFonts w:ascii="Times New Roman" w:hAnsi="Times New Roman" w:cs="Times New Roman"/>
          <w:sz w:val="28"/>
          <w:szCs w:val="28"/>
          <w:lang w:val="uk-UA"/>
        </w:rPr>
        <w:t>лектронний</w:t>
      </w:r>
      <w:proofErr w:type="spellEnd"/>
      <w:r w:rsidR="00CA421E">
        <w:rPr>
          <w:rFonts w:ascii="Times New Roman" w:hAnsi="Times New Roman" w:cs="Times New Roman"/>
          <w:sz w:val="28"/>
          <w:szCs w:val="28"/>
          <w:lang w:val="uk-UA"/>
        </w:rPr>
        <w:t xml:space="preserve"> ресурс</w:t>
      </w:r>
      <w:r w:rsidR="00CA421E" w:rsidRPr="00CA421E">
        <w:rPr>
          <w:rFonts w:ascii="Times New Roman" w:hAnsi="Times New Roman" w:cs="Times New Roman"/>
          <w:sz w:val="28"/>
          <w:szCs w:val="28"/>
        </w:rPr>
        <w:t>]</w:t>
      </w:r>
      <w:r w:rsidR="00CA421E">
        <w:rPr>
          <w:rFonts w:ascii="Times New Roman" w:hAnsi="Times New Roman" w:cs="Times New Roman"/>
          <w:sz w:val="28"/>
          <w:szCs w:val="28"/>
        </w:rPr>
        <w:t xml:space="preserve"> – Режим доступу </w:t>
      </w:r>
      <w:proofErr w:type="gramStart"/>
      <w:r w:rsidR="00CA421E">
        <w:rPr>
          <w:rFonts w:ascii="Times New Roman" w:hAnsi="Times New Roman" w:cs="Times New Roman"/>
          <w:sz w:val="28"/>
          <w:szCs w:val="28"/>
        </w:rPr>
        <w:t>до</w:t>
      </w:r>
      <w:proofErr w:type="gramEnd"/>
      <w:r w:rsidR="00CA421E">
        <w:rPr>
          <w:rFonts w:ascii="Times New Roman" w:hAnsi="Times New Roman" w:cs="Times New Roman"/>
          <w:sz w:val="28"/>
          <w:szCs w:val="28"/>
        </w:rPr>
        <w:t xml:space="preserve"> ресурсу: </w:t>
      </w:r>
      <w:hyperlink r:id="rId6" w:history="1">
        <w:r w:rsidR="00CA421E" w:rsidRPr="00CA421E">
          <w:rPr>
            <w:rStyle w:val="a3"/>
            <w:rFonts w:ascii="Times New Roman" w:hAnsi="Times New Roman" w:cs="Times New Roman"/>
            <w:color w:val="auto"/>
            <w:sz w:val="28"/>
            <w:szCs w:val="28"/>
            <w:u w:val="none"/>
            <w:lang w:val="fr-FR"/>
          </w:rPr>
          <w:t>http</w:t>
        </w:r>
        <w:r w:rsidR="00CA421E" w:rsidRPr="00CA421E">
          <w:rPr>
            <w:rStyle w:val="a3"/>
            <w:rFonts w:ascii="Times New Roman" w:hAnsi="Times New Roman" w:cs="Times New Roman"/>
            <w:color w:val="auto"/>
            <w:sz w:val="28"/>
            <w:szCs w:val="28"/>
            <w:u w:val="none"/>
          </w:rPr>
          <w:t>://</w:t>
        </w:r>
        <w:r w:rsidR="00CA421E" w:rsidRPr="00CA421E">
          <w:rPr>
            <w:rStyle w:val="a3"/>
            <w:rFonts w:ascii="Times New Roman" w:hAnsi="Times New Roman" w:cs="Times New Roman"/>
            <w:color w:val="auto"/>
            <w:sz w:val="28"/>
            <w:szCs w:val="28"/>
            <w:u w:val="none"/>
            <w:lang w:val="fr-FR"/>
          </w:rPr>
          <w:t>outils</w:t>
        </w:r>
        <w:r w:rsidR="00CA421E" w:rsidRPr="00CA421E">
          <w:rPr>
            <w:rStyle w:val="a3"/>
            <w:rFonts w:ascii="Times New Roman" w:hAnsi="Times New Roman" w:cs="Times New Roman"/>
            <w:color w:val="auto"/>
            <w:sz w:val="28"/>
            <w:szCs w:val="28"/>
            <w:u w:val="none"/>
          </w:rPr>
          <w:t>.</w:t>
        </w:r>
        <w:r w:rsidR="00CA421E" w:rsidRPr="00CA421E">
          <w:rPr>
            <w:rStyle w:val="a3"/>
            <w:rFonts w:ascii="Times New Roman" w:hAnsi="Times New Roman" w:cs="Times New Roman"/>
            <w:color w:val="auto"/>
            <w:sz w:val="28"/>
            <w:szCs w:val="28"/>
            <w:u w:val="none"/>
            <w:lang w:val="fr-FR"/>
          </w:rPr>
          <w:t>sante</w:t>
        </w:r>
        <w:r w:rsidR="00CA421E" w:rsidRPr="00CA421E">
          <w:rPr>
            <w:rStyle w:val="a3"/>
            <w:rFonts w:ascii="Times New Roman" w:hAnsi="Times New Roman" w:cs="Times New Roman"/>
            <w:color w:val="auto"/>
            <w:sz w:val="28"/>
            <w:szCs w:val="28"/>
            <w:u w:val="none"/>
          </w:rPr>
          <w:t>.</w:t>
        </w:r>
        <w:r w:rsidR="00CA421E" w:rsidRPr="00CA421E">
          <w:rPr>
            <w:rStyle w:val="a3"/>
            <w:rFonts w:ascii="Times New Roman" w:hAnsi="Times New Roman" w:cs="Times New Roman"/>
            <w:color w:val="auto"/>
            <w:sz w:val="28"/>
            <w:szCs w:val="28"/>
            <w:u w:val="none"/>
            <w:lang w:val="fr-FR"/>
          </w:rPr>
          <w:t>canoe</w:t>
        </w:r>
        <w:r w:rsidR="00CA421E" w:rsidRPr="00CA421E">
          <w:rPr>
            <w:rStyle w:val="a3"/>
            <w:rFonts w:ascii="Times New Roman" w:hAnsi="Times New Roman" w:cs="Times New Roman"/>
            <w:color w:val="auto"/>
            <w:sz w:val="28"/>
            <w:szCs w:val="28"/>
            <w:u w:val="none"/>
          </w:rPr>
          <w:t>.</w:t>
        </w:r>
        <w:r w:rsidR="00CA421E" w:rsidRPr="00CA421E">
          <w:rPr>
            <w:rStyle w:val="a3"/>
            <w:rFonts w:ascii="Times New Roman" w:hAnsi="Times New Roman" w:cs="Times New Roman"/>
            <w:color w:val="auto"/>
            <w:sz w:val="28"/>
            <w:szCs w:val="28"/>
            <w:u w:val="none"/>
            <w:lang w:val="fr-FR"/>
          </w:rPr>
          <w:t>ca</w:t>
        </w:r>
      </w:hyperlink>
      <w:r w:rsidRPr="00CA421E">
        <w:rPr>
          <w:rFonts w:ascii="Times New Roman" w:hAnsi="Times New Roman" w:cs="Times New Roman"/>
          <w:sz w:val="28"/>
          <w:szCs w:val="28"/>
        </w:rPr>
        <w:t xml:space="preserve"> </w:t>
      </w:r>
    </w:p>
    <w:p w:rsidR="00445C25" w:rsidRPr="00FF7CB0" w:rsidRDefault="00443011" w:rsidP="00FF7CB0">
      <w:pPr>
        <w:spacing w:after="0" w:line="360" w:lineRule="auto"/>
        <w:jc w:val="both"/>
        <w:rPr>
          <w:rFonts w:ascii="Times New Roman" w:hAnsi="Times New Roman" w:cs="Times New Roman"/>
          <w:sz w:val="28"/>
          <w:szCs w:val="28"/>
          <w:lang w:val="fr-FR"/>
        </w:rPr>
      </w:pPr>
      <w:r w:rsidRPr="00FF7CB0">
        <w:rPr>
          <w:rFonts w:ascii="Times New Roman" w:hAnsi="Times New Roman" w:cs="Times New Roman"/>
          <w:sz w:val="28"/>
          <w:szCs w:val="28"/>
          <w:lang w:val="fr-FR"/>
        </w:rPr>
        <w:t xml:space="preserve">5. </w:t>
      </w:r>
      <w:r w:rsidR="00CA421E" w:rsidRPr="00CA421E">
        <w:rPr>
          <w:rFonts w:ascii="Times New Roman" w:hAnsi="Times New Roman" w:cs="Times New Roman"/>
          <w:sz w:val="28"/>
          <w:szCs w:val="28"/>
        </w:rPr>
        <w:t>[</w:t>
      </w:r>
      <w:r w:rsidR="00CA421E">
        <w:rPr>
          <w:rFonts w:ascii="Times New Roman" w:hAnsi="Times New Roman" w:cs="Times New Roman"/>
          <w:sz w:val="28"/>
          <w:szCs w:val="28"/>
        </w:rPr>
        <w:t>Е</w:t>
      </w:r>
      <w:proofErr w:type="spellStart"/>
      <w:r w:rsidR="00CA421E">
        <w:rPr>
          <w:rFonts w:ascii="Times New Roman" w:hAnsi="Times New Roman" w:cs="Times New Roman"/>
          <w:sz w:val="28"/>
          <w:szCs w:val="28"/>
          <w:lang w:val="uk-UA"/>
        </w:rPr>
        <w:t>лектронний</w:t>
      </w:r>
      <w:proofErr w:type="spellEnd"/>
      <w:r w:rsidR="00CA421E">
        <w:rPr>
          <w:rFonts w:ascii="Times New Roman" w:hAnsi="Times New Roman" w:cs="Times New Roman"/>
          <w:sz w:val="28"/>
          <w:szCs w:val="28"/>
          <w:lang w:val="uk-UA"/>
        </w:rPr>
        <w:t xml:space="preserve"> ресурс</w:t>
      </w:r>
      <w:r w:rsidR="00CA421E" w:rsidRPr="00CA421E">
        <w:rPr>
          <w:rFonts w:ascii="Times New Roman" w:hAnsi="Times New Roman" w:cs="Times New Roman"/>
          <w:sz w:val="28"/>
          <w:szCs w:val="28"/>
        </w:rPr>
        <w:t>]</w:t>
      </w:r>
      <w:r w:rsidR="00CA421E">
        <w:rPr>
          <w:rFonts w:ascii="Times New Roman" w:hAnsi="Times New Roman" w:cs="Times New Roman"/>
          <w:sz w:val="28"/>
          <w:szCs w:val="28"/>
        </w:rPr>
        <w:t xml:space="preserve"> – Режим доступу до ресурсу: </w:t>
      </w:r>
      <w:bookmarkStart w:id="0" w:name="_GoBack"/>
      <w:bookmarkEnd w:id="0"/>
      <w:r w:rsidRPr="00FF7CB0">
        <w:rPr>
          <w:rFonts w:ascii="Times New Roman" w:hAnsi="Times New Roman" w:cs="Times New Roman"/>
          <w:sz w:val="28"/>
          <w:szCs w:val="28"/>
          <w:lang w:val="fr-FR"/>
        </w:rPr>
        <w:t>https://gecni.medixen.fr</w:t>
      </w:r>
    </w:p>
    <w:sectPr w:rsidR="00445C25" w:rsidRPr="00FF7CB0" w:rsidSect="00443011">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3011"/>
    <w:rsid w:val="00443011"/>
    <w:rsid w:val="00445C25"/>
    <w:rsid w:val="00CA421E"/>
    <w:rsid w:val="00FF7C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A421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A421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outils.sante.canoe.ca" TargetMode="External"/><Relationship Id="rId5" Type="http://schemas.openxmlformats.org/officeDocument/2006/relationships/hyperlink" Target="http://www.arthrolink.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4</Pages>
  <Words>1191</Words>
  <Characters>6791</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Таня</Company>
  <LinksUpToDate>false</LinksUpToDate>
  <CharactersWithSpaces>7967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dc:creator>
  <cp:keywords/>
  <dc:description/>
  <cp:lastModifiedBy>Таня</cp:lastModifiedBy>
  <cp:revision>2</cp:revision>
  <dcterms:created xsi:type="dcterms:W3CDTF">2018-06-22T10:29:00Z</dcterms:created>
  <dcterms:modified xsi:type="dcterms:W3CDTF">2018-06-22T10:49:00Z</dcterms:modified>
</cp:coreProperties>
</file>