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6974" w:rsidRDefault="00BF6974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Оцінка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ефективності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застосування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статинів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у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хворих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ішемічну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хворобу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серця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й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ожиріння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залежності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від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поліморфізму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гена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ендотеліальної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синтази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оксиду азоту (glu298asp)</w:t>
      </w:r>
    </w:p>
    <w:p w:rsidR="00BF6974" w:rsidRDefault="00BF69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Кадикова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О. І. </w:t>
      </w:r>
    </w:p>
    <w:p w:rsidR="00BF6974" w:rsidRDefault="00BF6974">
      <w:pPr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BF6974">
        <w:rPr>
          <w:rFonts w:ascii="Times New Roman" w:hAnsi="Times New Roman" w:cs="Times New Roman"/>
          <w:i/>
          <w:iCs/>
          <w:sz w:val="28"/>
          <w:szCs w:val="28"/>
        </w:rPr>
        <w:t>Харківський</w:t>
      </w:r>
      <w:proofErr w:type="spellEnd"/>
      <w:r w:rsidRPr="00BF697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i/>
          <w:iCs/>
          <w:sz w:val="28"/>
          <w:szCs w:val="28"/>
        </w:rPr>
        <w:t>національний</w:t>
      </w:r>
      <w:proofErr w:type="spellEnd"/>
      <w:r w:rsidRPr="00BF697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i/>
          <w:iCs/>
          <w:sz w:val="28"/>
          <w:szCs w:val="28"/>
        </w:rPr>
        <w:t>медичний</w:t>
      </w:r>
      <w:proofErr w:type="spellEnd"/>
      <w:r w:rsidRPr="00BF697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i/>
          <w:iCs/>
          <w:sz w:val="28"/>
          <w:szCs w:val="28"/>
        </w:rPr>
        <w:t>університет</w:t>
      </w:r>
      <w:proofErr w:type="spellEnd"/>
      <w:r w:rsidRPr="00BF6974">
        <w:rPr>
          <w:rFonts w:ascii="Times New Roman" w:hAnsi="Times New Roman" w:cs="Times New Roman"/>
          <w:i/>
          <w:iCs/>
          <w:sz w:val="28"/>
          <w:szCs w:val="28"/>
        </w:rPr>
        <w:t xml:space="preserve">, м. </w:t>
      </w:r>
      <w:proofErr w:type="spellStart"/>
      <w:r w:rsidRPr="00BF6974">
        <w:rPr>
          <w:rFonts w:ascii="Times New Roman" w:hAnsi="Times New Roman" w:cs="Times New Roman"/>
          <w:i/>
          <w:iCs/>
          <w:sz w:val="28"/>
          <w:szCs w:val="28"/>
        </w:rPr>
        <w:t>Харків</w:t>
      </w:r>
      <w:proofErr w:type="spellEnd"/>
      <w:r w:rsidRPr="00BF6974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BF6974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  <w:proofErr w:type="spellEnd"/>
      <w:r w:rsidRPr="00BF697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BF6974" w:rsidRDefault="00BF6974">
      <w:pPr>
        <w:rPr>
          <w:rFonts w:ascii="Times New Roman" w:hAnsi="Times New Roman" w:cs="Times New Roman"/>
          <w:sz w:val="28"/>
          <w:szCs w:val="28"/>
        </w:rPr>
      </w:pPr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Мета </w:t>
      </w:r>
      <w:r w:rsidRPr="00BF697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оцінити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статинів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поліморфізму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гена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синтази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оксиду азоту (Glu298Asp). </w:t>
      </w:r>
    </w:p>
    <w:p w:rsidR="00BF6974" w:rsidRDefault="00BF69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BF6974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проводилось на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підгрупах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: 1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підгрупа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– 112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ішемічну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хворобу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(ІХС) та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ожирінням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призначено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аторвастатином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добовій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20 мг, 2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підгрупа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– 110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котрі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гіполіпідемічної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розувастатин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добовій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10 мг.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параметрів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включало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холестерину (ЗХС),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тригліцеридів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(ТГ), холестерину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ліпопротеїдів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високої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(ХС ЛПВЩ),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розрахунком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вмісту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холестерину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ліпопротеїдів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(ХС ЛПНЩ), холестерину в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ліпопротеїдів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низької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щільності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(ХС ЛПДНЩ),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коефіцієнту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атерогенності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(КА). </w:t>
      </w:r>
    </w:p>
    <w:p w:rsidR="00BF6974" w:rsidRDefault="00BF69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Результати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співставлення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до та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на ІХС й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продемонструвало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виразний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підгруп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. Так,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з GG генотипом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аторвастатину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знизило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ЗХС на 17,4 %, ТГ – 18,6 %, ХС ЛПНЩ – 16,4 %, ХС ЛПДНЩ – 17,1 %, КА – 11,4 % та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підвищило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ХС ЛПВЩ на 9,6 %.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з GА генотипом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ліпідограми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ту саму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тенденцію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й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з GG генотипом: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ЗХС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знизився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на 18,5 %, ТГ – 19,2 %, ХС ЛПНЩ – 17,9 %, ХС ЛПДНЩ – 18,3 %, КА – 11,8 % та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підвищило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ХС ЛПВЩ на 10,3 %.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Носії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АА генотипу,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аторвастатин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гіполіпідемічного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засобу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нижчі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ЗХС на 19,1 %, ТГ на 20,5 %, ХС ЛПНЩ на 18,2 %, ХС ЛПДНЩ на 19,7 %, КА на 12,3 % та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вищий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ХС ЛПВЩ на 10,8 %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з такими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підгрупи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ліпідограми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мали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характер: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носіїв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GG, GА і АА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генотипів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ЗХС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знизився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на 17,8 %, 18,9 % і 20,3 %; ТГ – на 18,9 %, 19,9 % і 20,6 %; ХС ЛПНЩ – на 16,7 %, 18,1 % і 19,3 %; ХС ЛПДНЩ – на 17,4 %, 18,9 % і 20,2 %; КА – на 11,6 %, 11,9 % і 12,5 % та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підвищився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ХС ЛПВЩ на 9,9 %, 10,8 % і 11,1 %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103" w:rsidRPr="00BF6974" w:rsidRDefault="00BF697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974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: таким чином,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аторвастатином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розувастатином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рівній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мірі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призводила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нормалізації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ліпідного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обміну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на ІХС й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не залежало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генотипів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поліморфного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локусу Glu298Asp гена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ендотеліальної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6974">
        <w:rPr>
          <w:rFonts w:ascii="Times New Roman" w:hAnsi="Times New Roman" w:cs="Times New Roman"/>
          <w:sz w:val="28"/>
          <w:szCs w:val="28"/>
        </w:rPr>
        <w:t>синтази</w:t>
      </w:r>
      <w:proofErr w:type="spellEnd"/>
      <w:r w:rsidRPr="00BF6974">
        <w:rPr>
          <w:rFonts w:ascii="Times New Roman" w:hAnsi="Times New Roman" w:cs="Times New Roman"/>
          <w:sz w:val="28"/>
          <w:szCs w:val="28"/>
        </w:rPr>
        <w:t xml:space="preserve"> оксиду азоту.</w:t>
      </w:r>
    </w:p>
    <w:sectPr w:rsidR="00CA1103" w:rsidRPr="00BF6974" w:rsidSect="00BF69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74"/>
    <w:rsid w:val="00BF6974"/>
    <w:rsid w:val="00CA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B1B99"/>
  <w15:chartTrackingRefBased/>
  <w15:docId w15:val="{58D58596-06B6-4A41-8178-19D2BAEC3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Denis</cp:lastModifiedBy>
  <cp:revision>1</cp:revision>
  <dcterms:created xsi:type="dcterms:W3CDTF">2019-05-22T07:29:00Z</dcterms:created>
  <dcterms:modified xsi:type="dcterms:W3CDTF">2019-05-22T07:30:00Z</dcterms:modified>
</cp:coreProperties>
</file>