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729C" w:rsidRDefault="004A729C" w:rsidP="004A729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УДК 616.517-018.2:612.017</w:t>
      </w:r>
    </w:p>
    <w:p w:rsidR="004A729C" w:rsidRDefault="004A729C" w:rsidP="004A729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81DE5">
        <w:rPr>
          <w:rFonts w:ascii="Times New Roman" w:hAnsi="Times New Roman" w:cs="Times New Roman"/>
          <w:b/>
          <w:sz w:val="28"/>
          <w:szCs w:val="28"/>
        </w:rPr>
        <w:t>Стан реактив</w:t>
      </w:r>
      <w:proofErr w:type="spellStart"/>
      <w:r w:rsidRPr="00181DE5">
        <w:rPr>
          <w:rFonts w:ascii="Times New Roman" w:hAnsi="Times New Roman" w:cs="Times New Roman"/>
          <w:b/>
          <w:sz w:val="28"/>
          <w:szCs w:val="28"/>
          <w:lang w:val="uk-UA"/>
        </w:rPr>
        <w:t>ності</w:t>
      </w:r>
      <w:proofErr w:type="spellEnd"/>
      <w:r w:rsidRPr="00181DE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сполучено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ї тканини у хворих на пошир</w:t>
      </w:r>
      <w:r w:rsidRPr="00181DE5">
        <w:rPr>
          <w:rFonts w:ascii="Times New Roman" w:hAnsi="Times New Roman" w:cs="Times New Roman"/>
          <w:b/>
          <w:sz w:val="28"/>
          <w:szCs w:val="28"/>
          <w:lang w:val="uk-UA"/>
        </w:rPr>
        <w:t>ений псоріаз.</w:t>
      </w:r>
    </w:p>
    <w:p w:rsidR="004A729C" w:rsidRDefault="004A729C" w:rsidP="004A729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Біловол А.М., </w:t>
      </w: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Ніколаєва В.Б.,</w:t>
      </w:r>
      <w:r w:rsidRPr="000B5A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Галузинська Л.В.</w:t>
      </w:r>
    </w:p>
    <w:p w:rsidR="004A729C" w:rsidRDefault="004A729C" w:rsidP="004A729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університет, Україна</w:t>
      </w:r>
    </w:p>
    <w:p w:rsidR="004A729C" w:rsidRDefault="004A729C" w:rsidP="004A729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фармакологічний університет, Україна</w:t>
      </w:r>
    </w:p>
    <w:p w:rsidR="004A729C" w:rsidRDefault="004A729C" w:rsidP="004A729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7175">
        <w:rPr>
          <w:rFonts w:ascii="Times New Roman" w:hAnsi="Times New Roman" w:cs="Times New Roman"/>
          <w:b/>
          <w:noProof/>
          <w:sz w:val="28"/>
          <w:szCs w:val="28"/>
          <w:lang w:val="uk-UA"/>
        </w:rPr>
        <w:t>Мета роботи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вивчення стану сполучної тканини у хворих на поширений псоріаз і визначення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критеріально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- значущих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оцінкових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показників.</w:t>
      </w:r>
    </w:p>
    <w:p w:rsidR="004A729C" w:rsidRDefault="004A729C" w:rsidP="004A729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7175">
        <w:rPr>
          <w:rFonts w:ascii="Times New Roman" w:hAnsi="Times New Roman" w:cs="Times New Roman"/>
          <w:b/>
          <w:noProof/>
          <w:sz w:val="28"/>
          <w:szCs w:val="28"/>
          <w:lang w:val="uk-UA"/>
        </w:rPr>
        <w:t>Матеріали та методи.</w:t>
      </w:r>
      <w:r>
        <w:rPr>
          <w:rFonts w:ascii="Times New Roman" w:hAnsi="Times New Roman" w:cs="Times New Roman"/>
          <w:b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Наведено результати </w:t>
      </w:r>
      <w:r>
        <w:rPr>
          <w:rFonts w:ascii="Times New Roman" w:hAnsi="Times New Roman" w:cs="Times New Roman"/>
          <w:sz w:val="28"/>
          <w:szCs w:val="28"/>
          <w:lang w:val="uk-UA"/>
        </w:rPr>
        <w:t>дослідження обміну колагену і еластину у 124 хворих на поширений псоріаз.</w:t>
      </w:r>
      <w:r w:rsidRPr="007404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Колагенолітичну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активність плазми крові визначали за сумарною кількістю, за ферментативного розщеплення, вільного і пептидно-зв'язаного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оксипроліну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4044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Гіалуронову кислоту визначали за методом імуноферментного аналізу.</w:t>
      </w:r>
    </w:p>
    <w:p w:rsidR="004A729C" w:rsidRPr="00740449" w:rsidRDefault="004A729C" w:rsidP="004A729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07175">
        <w:rPr>
          <w:rFonts w:ascii="Times New Roman" w:hAnsi="Times New Roman" w:cs="Times New Roman"/>
          <w:b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noProof/>
          <w:sz w:val="28"/>
          <w:szCs w:val="28"/>
          <w:lang w:val="uk-UA"/>
        </w:rPr>
        <w:t>Результати та</w:t>
      </w:r>
      <w:r w:rsidRPr="0004503F">
        <w:rPr>
          <w:rFonts w:ascii="Times New Roman" w:hAnsi="Times New Roman" w:cs="Times New Roman"/>
          <w:b/>
          <w:noProof/>
          <w:sz w:val="28"/>
          <w:szCs w:val="28"/>
          <w:lang w:val="uk-UA"/>
        </w:rPr>
        <w:t xml:space="preserve"> обговорення</w:t>
      </w:r>
      <w:r>
        <w:rPr>
          <w:rFonts w:ascii="Times New Roman" w:hAnsi="Times New Roman" w:cs="Times New Roman"/>
          <w:b/>
          <w:noProof/>
          <w:sz w:val="28"/>
          <w:szCs w:val="28"/>
          <w:lang w:val="uk-UA"/>
        </w:rPr>
        <w:t>.</w:t>
      </w:r>
      <w:r w:rsidRPr="0074044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У процесі дослідження виявили зниження гіалуронової кислоти в стаціонарну стадію, колагенолітичної активності, глікозаміногліканів, вільного оксипроліну, зв'язаного оксипроліну і еластази   порівняно зі стадією прогресування захворювання. Ці показники оцінки стану сполучної тканини тісно корелюють з активністю патологічного процесу.</w:t>
      </w:r>
    </w:p>
    <w:p w:rsidR="004A729C" w:rsidRPr="00740449" w:rsidRDefault="004A729C" w:rsidP="004A729C">
      <w:pPr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uk-UA"/>
        </w:rPr>
        <w:t>Висновки.</w:t>
      </w:r>
      <w:r w:rsidRPr="00014017">
        <w:rPr>
          <w:rFonts w:ascii="Times New Roman" w:hAnsi="Times New Roman" w:cs="Times New Roman"/>
          <w:b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Аналіз свідчить про зміни в сполучній тканині таких показників, як адгезія і міжклітинна взаємодія, ангіогенез і реактивність імунної системи, транспорт поживних речовин, іонів металів і трансдукторна функція гормонів і нейромедіаторів, цілісність структурно-функціональних одиниць клітин і внутрішньоклітинних органел.</w:t>
      </w:r>
    </w:p>
    <w:p w:rsidR="004A729C" w:rsidRPr="0034079D" w:rsidRDefault="004A729C" w:rsidP="004A729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181DE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Ключові слова: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181DE5">
        <w:rPr>
          <w:rFonts w:ascii="Times New Roman" w:eastAsia="Times New Roman" w:hAnsi="Times New Roman" w:cs="Times New Roman"/>
          <w:sz w:val="28"/>
          <w:szCs w:val="28"/>
          <w:lang w:val="uk-UA"/>
        </w:rPr>
        <w:t>гіалуронова</w:t>
      </w:r>
      <w:proofErr w:type="spellEnd"/>
      <w:r w:rsidRPr="00181DE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кислота, </w:t>
      </w:r>
      <w:proofErr w:type="spellStart"/>
      <w:r w:rsidRPr="00181DE5">
        <w:rPr>
          <w:rFonts w:ascii="Times New Roman" w:eastAsia="Times New Roman" w:hAnsi="Times New Roman" w:cs="Times New Roman"/>
          <w:sz w:val="28"/>
          <w:szCs w:val="28"/>
          <w:lang w:val="uk-UA"/>
        </w:rPr>
        <w:t>еластаза</w:t>
      </w:r>
      <w:proofErr w:type="spellEnd"/>
      <w:r w:rsidRPr="00181DE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181DE5">
        <w:rPr>
          <w:rFonts w:ascii="Times New Roman" w:eastAsia="Times New Roman" w:hAnsi="Times New Roman" w:cs="Times New Roman"/>
          <w:sz w:val="28"/>
          <w:szCs w:val="28"/>
          <w:lang w:val="uk-UA"/>
        </w:rPr>
        <w:t>оксипролін</w:t>
      </w:r>
      <w:proofErr w:type="spellEnd"/>
      <w:r w:rsidRPr="00181DE5">
        <w:rPr>
          <w:rFonts w:ascii="Times New Roman" w:eastAsia="Times New Roman" w:hAnsi="Times New Roman" w:cs="Times New Roman"/>
          <w:sz w:val="28"/>
          <w:szCs w:val="28"/>
          <w:lang w:val="uk-UA"/>
        </w:rPr>
        <w:t>, сполучна тканина.</w:t>
      </w:r>
    </w:p>
    <w:p w:rsidR="004A729C" w:rsidRDefault="004A729C" w:rsidP="004A729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Псоріаз є одним із найпоширеніших хронічних рецидивних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мультифакторних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дерматозів, що характеризується запаленням дерми з порушенням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кератизації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бік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гіперпроліферації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епідермальних клітин, а також ураженням нігтів, суглобів і волосяної ділянки голови [1-3]. За результатами клініко-діагностичних даних, на псоріаз хворіють 3-4% населення планети незалежно від статі, віку та етнічної належності [4-6]. При цьому питома вага хворих на цю патологію в загальній структурі </w:t>
      </w:r>
    </w:p>
    <w:p w:rsidR="004A729C" w:rsidRDefault="004A729C" w:rsidP="004A729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                                 1</w:t>
      </w:r>
    </w:p>
    <w:p w:rsidR="004A729C" w:rsidRDefault="004A729C" w:rsidP="004A729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шкірних хвороб сягає, за даними різних авторів, від 10% до 40% [6, 7]. Однак, попри значне поширення псоріазу і численність досліджень із цієї проблеми, досі не склалося однозначного уявлення про патогенез дерматозу.   Більшість дослідників вирішальну роль у механізмах розвитку псоріазу віддають спадковій схильності, автоімунним захворюванням,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провокативним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хімічним, біологічним, інфекційним факторам, а також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метаболічно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неадаптованому харчуванню, емоційному або психогенному стресу і ін. [6, 7]. На думку  інших авторів, у патогенезі псоріазу  провідну роль відіграють порушення адаптаційно-компенсаторних та нейроендокринних механізмів регуляції гомеостазу, хронічні запальні хвороби внутрішніх органів, розвиток ендогенної інтоксикації та структурно-метаболічні порушення сполучної тканини [8]. На підставі аналізу літературних джерел можна визначити псоріаз як хворобу, в патогенезі якої поряд зі спадковою схильністю, важливу роль відіграють порушення стану адаптації, регуляції нейроендокринної системи і метаболічних процесів, механізми яких потребують подальшого дослідження ланцюгів розвитку згаданої патології. На сьогодні відомо, що численні патологічні стани і захворювання                                                                                                                           супроводжуються структурно - метаболічними розладами сполучної тканини.                                                                                                                                                             До них можуть бути зараховані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пнемофіброз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ревматоїдний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артрит, остеопороз, цироз печінки, склеродермія, хронічні запальні процеси внутрішніх органів і тканин, а також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псоріатична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патологія [ 5 - 7 ].</w:t>
      </w:r>
    </w:p>
    <w:p w:rsidR="004A729C" w:rsidRDefault="004A729C" w:rsidP="004A729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 w:rsidRPr="00752F6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роботи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вивчення стану сполучної тканини у хворих на поширений псоріаз і визначення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критеріально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- значущих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оцінкових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показників.</w:t>
      </w:r>
    </w:p>
    <w:p w:rsidR="004A729C" w:rsidRDefault="004A729C" w:rsidP="004A729C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52F61">
        <w:rPr>
          <w:rFonts w:ascii="Times New Roman" w:hAnsi="Times New Roman" w:cs="Times New Roman"/>
          <w:b/>
          <w:sz w:val="28"/>
          <w:szCs w:val="28"/>
          <w:lang w:val="uk-UA"/>
        </w:rPr>
        <w:t>Матеріали і методи дослідження</w:t>
      </w:r>
    </w:p>
    <w:p w:rsidR="004A729C" w:rsidRDefault="004A729C" w:rsidP="004A729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</w:t>
      </w:r>
      <w:r>
        <w:rPr>
          <w:rFonts w:ascii="Times New Roman" w:hAnsi="Times New Roman" w:cs="Times New Roman"/>
          <w:sz w:val="28"/>
          <w:szCs w:val="28"/>
          <w:lang w:val="uk-UA"/>
        </w:rPr>
        <w:t>З огляду на важливу роль сполучної тканини в забезпеченні цілісності структурно-функціональних одиниць організму, органів і тканин, актуальним є дослідження стану обміну колагену і еластину у хворих</w:t>
      </w:r>
      <w:r w:rsidRPr="00314B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поширений на псоріаз. Для реалізації цієї задачі було сформовано дві групи хворих на поширений псоріаз</w:t>
      </w:r>
      <w:r w:rsidRPr="005B0F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віком від 22 до 56 років: з прогресивною (38 чоловіків та 27 жінок) і стаціонарною (35 чоловіків та 24 жінки) стадіями. Контрольну групу складали 28 умовно-здорових пацієнти (16 чоловіків і 12 жінок). Для оцінки стану сполучної тканини у хворих і пацієнтів  контрольної групи визначали вміст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глікозаміногліканів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активность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ферменту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еластази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колагенолітичну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активность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сироватки крові і рівень</w:t>
      </w:r>
      <w:r w:rsidRPr="00DD77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гіалуронової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кислоти,</w:t>
      </w:r>
    </w:p>
    <w:p w:rsidR="004A729C" w:rsidRDefault="004A729C" w:rsidP="004A729C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                                 2</w:t>
      </w:r>
    </w:p>
    <w:p w:rsidR="004A729C" w:rsidRPr="003B4475" w:rsidRDefault="004A729C" w:rsidP="004A729C">
      <w:pPr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які надають цінну інформацію про стан міжклітинного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матриксу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обмінних процесів у сполучній тканині при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псоріатичній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патології [8 - 10]. </w:t>
      </w:r>
      <w:r w:rsidRPr="004D7EB5">
        <w:rPr>
          <w:rFonts w:ascii="Times New Roman" w:hAnsi="Times New Roman" w:cs="Times New Roman"/>
          <w:sz w:val="28"/>
          <w:szCs w:val="28"/>
          <w:lang w:val="uk-UA"/>
        </w:rPr>
        <w:t>Джерелом</w:t>
      </w:r>
      <w:r w:rsidRPr="00DD7721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колагенолітичної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активності (КЛА) сироватки крові можуть бути фермент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колагеназа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інші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протеази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тканин, органів травлення, селезінки і формених елементів крові. Відомо, що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колагеназа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відіграє пускову роль у розщепленні колагену. Визначення КЛА плазми крові здійснювали за сумарною кількості, при ферментативному розщепленні вільного і пептидно-зв'язаного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оксипроліну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діагностованій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пробі.  Для цього знаходили по калібрувальній кривій відповідне оптичній щільності значення кількості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оксипроліну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 довжини хвилі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=570мкм. Значення КЛА сироватки крові виражали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мікромолях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оксипроліну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1 л плазми крові за 1 годину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мкмоль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л·год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.) [11]. Сумарні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глікозаміноглікани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(ГАГ) (кислі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мукополісахариди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) визначали в сироватці крові з використанням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трихлороцтової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кислоти і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карбозольної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реакції, яка забезпечує  фіолетово-рожеве забарвлення.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Фотометрування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дослідних проб здійснювали за довжиною </w:t>
      </w:r>
      <w:r w:rsidRPr="005945BD">
        <w:rPr>
          <w:rFonts w:ascii="Times New Roman" w:hAnsi="Times New Roman" w:cs="Times New Roman"/>
          <w:sz w:val="28"/>
          <w:szCs w:val="28"/>
          <w:lang w:val="uk-UA"/>
        </w:rPr>
        <w:t xml:space="preserve">хвилі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λ</w:t>
      </w:r>
      <w:r w:rsidRPr="005945B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= 530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нм. Вміст ГАГ виражали через гексуронові кислоти в мкмоль/л [12]. Еластазу в сироватці крові визначали імуноферментним методом за допомогою моноклональних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антитіл та набору реагентів (</w:t>
      </w:r>
      <w:r>
        <w:rPr>
          <w:rFonts w:ascii="Times New Roman" w:hAnsi="Times New Roman" w:cs="Times New Roman"/>
          <w:noProof/>
          <w:sz w:val="28"/>
          <w:szCs w:val="28"/>
          <w:lang w:val="en-US"/>
        </w:rPr>
        <w:t>HumanPMN</w:t>
      </w:r>
      <w:r w:rsidRPr="00842D98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en-US"/>
        </w:rPr>
        <w:t>Elastasa</w:t>
      </w:r>
      <w:r w:rsidRPr="00842D98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en-US"/>
        </w:rPr>
        <w:t>Elisa</w:t>
      </w:r>
      <w:r w:rsidRPr="00842D98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en-US"/>
        </w:rPr>
        <w:t>RD</w:t>
      </w:r>
      <w:r w:rsidRPr="00B649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191021100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) по інструкції фірми </w:t>
      </w:r>
      <w:r>
        <w:rPr>
          <w:rFonts w:ascii="Times New Roman" w:hAnsi="Times New Roman" w:cs="Times New Roman"/>
          <w:noProof/>
          <w:sz w:val="28"/>
          <w:szCs w:val="28"/>
          <w:lang w:val="en-US"/>
        </w:rPr>
        <w:t>Biovendor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Німеччина. Гіалуронову кислоту досліджували за методом імуноферментного аналізу за допомогою тест – системи </w:t>
      </w:r>
      <w:r>
        <w:rPr>
          <w:rFonts w:ascii="Times New Roman" w:hAnsi="Times New Roman" w:cs="Times New Roman"/>
          <w:noProof/>
          <w:sz w:val="28"/>
          <w:szCs w:val="28"/>
          <w:lang w:val="en-US"/>
        </w:rPr>
        <w:t>Hialyronic</w:t>
      </w:r>
      <w:r w:rsidRPr="00A52B73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en-US"/>
        </w:rPr>
        <w:t>Acid</w:t>
      </w:r>
      <w:r w:rsidRPr="001220C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noProof/>
          <w:sz w:val="28"/>
          <w:szCs w:val="28"/>
          <w:lang w:val="en-US"/>
        </w:rPr>
        <w:t>HA</w:t>
      </w:r>
      <w:r w:rsidRPr="001220C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) </w:t>
      </w:r>
      <w:r>
        <w:rPr>
          <w:rFonts w:ascii="Times New Roman" w:hAnsi="Times New Roman" w:cs="Times New Roman"/>
          <w:noProof/>
          <w:sz w:val="28"/>
          <w:szCs w:val="28"/>
          <w:lang w:val="en-US"/>
        </w:rPr>
        <w:t>testKit</w:t>
      </w:r>
      <w:r w:rsidRPr="001220C9"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1220C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- </w:t>
      </w:r>
      <w:r>
        <w:rPr>
          <w:rFonts w:ascii="Times New Roman" w:hAnsi="Times New Roman" w:cs="Times New Roman"/>
          <w:noProof/>
          <w:sz w:val="28"/>
          <w:szCs w:val="28"/>
          <w:lang w:val="en-US"/>
        </w:rPr>
        <w:t>Corgenix</w:t>
      </w:r>
      <w:r w:rsidRPr="00FF3C8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en-US"/>
        </w:rPr>
        <w:t>Inc</w:t>
      </w:r>
      <w:r w:rsidRPr="001220C9"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, США. Для статичного опрацювання результатів використовували критерій Стьюдента – Фішера.</w:t>
      </w:r>
    </w:p>
    <w:p w:rsidR="004A729C" w:rsidRPr="00385CB8" w:rsidRDefault="004A729C" w:rsidP="004A729C">
      <w:pPr>
        <w:jc w:val="both"/>
        <w:rPr>
          <w:rFonts w:ascii="Times New Roman" w:hAnsi="Times New Roman" w:cs="Times New Roman"/>
          <w:b/>
          <w:noProof/>
          <w:sz w:val="28"/>
          <w:szCs w:val="28"/>
          <w:lang w:val="uk-UA"/>
        </w:rPr>
      </w:pPr>
      <w:r w:rsidRPr="00385CB8">
        <w:rPr>
          <w:rFonts w:ascii="Times New Roman" w:hAnsi="Times New Roman" w:cs="Times New Roman"/>
          <w:b/>
          <w:noProof/>
          <w:sz w:val="28"/>
          <w:szCs w:val="28"/>
          <w:lang w:val="uk-UA"/>
        </w:rPr>
        <w:t>Результати та  обговорення</w:t>
      </w:r>
    </w:p>
    <w:p w:rsidR="004A729C" w:rsidRPr="00640A85" w:rsidRDefault="004A729C" w:rsidP="004A729C">
      <w:pPr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Результати дослідження свідчать, що в разі прогресування псоріатичної патології в сироватці крові значно зростає вміст гіалуронової кислоти, глікозаміногліканів, оксипроліну вільного і пептидно зв'язаного на тлі підвищення активності еластази і колагенолітичної активності сироватки крові (таблиця). У хворих цієї групи рівень гіалуронової кислоти підвищувався  на 137,46%, ГАГ на 132,63%, вільного  оксипроліну на 288,33%, оксипроліну пептидно зв'язаного на 149,86%, колагенолітична активність сироватки крові зросла на 692,49% і вміст еластази на 541,97%.  Найбільше підвищувалися рівні таких оцінкових показників, як КЛА, еластаза і вільний оксипролін, які зростали відповідно</w:t>
      </w:r>
      <w:r w:rsidRPr="00B649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з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групою контролю у 7,92; 6,41 і 3,88 рази.</w:t>
      </w:r>
    </w:p>
    <w:p w:rsidR="004A729C" w:rsidRDefault="004A729C" w:rsidP="004A729C">
      <w:pPr>
        <w:jc w:val="both"/>
        <w:rPr>
          <w:rFonts w:ascii="Times New Roman" w:hAnsi="Times New Roman" w:cs="Times New Roman"/>
          <w:b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uk-UA"/>
        </w:rPr>
        <w:t xml:space="preserve">                                                                                                                       </w:t>
      </w:r>
    </w:p>
    <w:p w:rsidR="004A729C" w:rsidRPr="006D6660" w:rsidRDefault="004A729C" w:rsidP="004A729C">
      <w:pPr>
        <w:jc w:val="both"/>
        <w:rPr>
          <w:rFonts w:ascii="Times New Roman" w:hAnsi="Times New Roman" w:cs="Times New Roman"/>
          <w:b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uk-UA"/>
        </w:rPr>
        <w:t xml:space="preserve">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3</w:t>
      </w:r>
    </w:p>
    <w:p w:rsidR="004A729C" w:rsidRDefault="004A729C" w:rsidP="004A729C">
      <w:pPr>
        <w:jc w:val="both"/>
        <w:rPr>
          <w:rFonts w:ascii="Times New Roman" w:hAnsi="Times New Roman" w:cs="Times New Roman"/>
          <w:b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uk-UA"/>
        </w:rPr>
        <w:lastRenderedPageBreak/>
        <w:t xml:space="preserve">   </w:t>
      </w:r>
    </w:p>
    <w:p w:rsidR="004A729C" w:rsidRDefault="004A729C" w:rsidP="004A729C">
      <w:pPr>
        <w:jc w:val="both"/>
        <w:rPr>
          <w:rFonts w:ascii="Times New Roman" w:hAnsi="Times New Roman" w:cs="Times New Roman"/>
          <w:b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uk-UA"/>
        </w:rPr>
        <w:t xml:space="preserve">                                                                                                 Таблиця </w:t>
      </w:r>
    </w:p>
    <w:p w:rsidR="004A729C" w:rsidRPr="0083113F" w:rsidRDefault="004A729C" w:rsidP="004A729C">
      <w:pPr>
        <w:jc w:val="center"/>
        <w:rPr>
          <w:rFonts w:ascii="Times New Roman" w:hAnsi="Times New Roman" w:cs="Times New Roman"/>
          <w:b/>
          <w:noProof/>
          <w:sz w:val="28"/>
          <w:szCs w:val="28"/>
          <w:lang w:val="uk-UA"/>
        </w:rPr>
      </w:pPr>
      <w:r w:rsidRPr="0083113F">
        <w:rPr>
          <w:rFonts w:ascii="Times New Roman" w:hAnsi="Times New Roman" w:cs="Times New Roman"/>
          <w:b/>
          <w:noProof/>
          <w:sz w:val="28"/>
          <w:szCs w:val="28"/>
          <w:lang w:val="uk-UA"/>
        </w:rPr>
        <w:t xml:space="preserve">Стан сполучної тканини у хворих на </w:t>
      </w:r>
      <w:r>
        <w:rPr>
          <w:rFonts w:ascii="Times New Roman" w:hAnsi="Times New Roman" w:cs="Times New Roman"/>
          <w:b/>
          <w:noProof/>
          <w:sz w:val="28"/>
          <w:szCs w:val="28"/>
          <w:lang w:val="uk-UA"/>
        </w:rPr>
        <w:t>поширений</w:t>
      </w:r>
      <w:r w:rsidRPr="0083113F">
        <w:rPr>
          <w:rFonts w:ascii="Times New Roman" w:hAnsi="Times New Roman" w:cs="Times New Roman"/>
          <w:b/>
          <w:noProof/>
          <w:sz w:val="28"/>
          <w:szCs w:val="28"/>
          <w:lang w:val="uk-UA"/>
        </w:rPr>
        <w:t xml:space="preserve">  псоріаз</w:t>
      </w:r>
    </w:p>
    <w:tbl>
      <w:tblPr>
        <w:tblStyle w:val="a3"/>
        <w:tblW w:w="0" w:type="auto"/>
        <w:tblLook w:val="04A0"/>
      </w:tblPr>
      <w:tblGrid>
        <w:gridCol w:w="2544"/>
        <w:gridCol w:w="2352"/>
        <w:gridCol w:w="2345"/>
        <w:gridCol w:w="2330"/>
      </w:tblGrid>
      <w:tr w:rsidR="004A729C" w:rsidTr="00926BBA">
        <w:tc>
          <w:tcPr>
            <w:tcW w:w="2392" w:type="dxa"/>
            <w:vMerge w:val="restart"/>
          </w:tcPr>
          <w:p w:rsidR="004A729C" w:rsidRDefault="004A729C" w:rsidP="00926BBA">
            <w:pPr>
              <w:jc w:val="both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</w:p>
          <w:p w:rsidR="004A729C" w:rsidRDefault="004A729C" w:rsidP="00926BBA">
            <w:pPr>
              <w:jc w:val="both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 xml:space="preserve">    Показники</w:t>
            </w:r>
          </w:p>
        </w:tc>
        <w:tc>
          <w:tcPr>
            <w:tcW w:w="7179" w:type="dxa"/>
            <w:gridSpan w:val="3"/>
          </w:tcPr>
          <w:p w:rsidR="004A729C" w:rsidRPr="00E97FE5" w:rsidRDefault="004A729C" w:rsidP="00926BBA">
            <w:pPr>
              <w:jc w:val="both"/>
              <w:rPr>
                <w:rFonts w:ascii="Times New Roman" w:hAnsi="Times New Roman" w:cs="Times New Roman"/>
                <w:noProof/>
                <w:sz w:val="28"/>
                <w:szCs w:val="28"/>
                <w:lang w:val="en-US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 xml:space="preserve">                   Група спостереження, М±</w:t>
            </w:r>
            <w:r>
              <w:rPr>
                <w:rFonts w:ascii="Times New Roman" w:hAnsi="Times New Roman" w:cs="Times New Roman"/>
                <w:noProof/>
                <w:sz w:val="28"/>
                <w:szCs w:val="28"/>
                <w:lang w:val="en-US" w:eastAsia="ru-RU"/>
              </w:rPr>
              <w:t>m</w:t>
            </w:r>
          </w:p>
        </w:tc>
      </w:tr>
      <w:tr w:rsidR="004A729C" w:rsidTr="00926BBA">
        <w:tc>
          <w:tcPr>
            <w:tcW w:w="2392" w:type="dxa"/>
            <w:vMerge/>
          </w:tcPr>
          <w:p w:rsidR="004A729C" w:rsidRDefault="004A729C" w:rsidP="00926BBA">
            <w:pPr>
              <w:jc w:val="both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</w:p>
        </w:tc>
        <w:tc>
          <w:tcPr>
            <w:tcW w:w="2393" w:type="dxa"/>
          </w:tcPr>
          <w:p w:rsidR="004A729C" w:rsidRDefault="004A729C" w:rsidP="00926BBA">
            <w:pPr>
              <w:jc w:val="both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 xml:space="preserve">   Прогресуюча                               </w:t>
            </w:r>
          </w:p>
          <w:p w:rsidR="004A729C" w:rsidRPr="00E97FE5" w:rsidRDefault="004A729C" w:rsidP="00926BBA">
            <w:pPr>
              <w:jc w:val="both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 xml:space="preserve">         стадія</w:t>
            </w:r>
          </w:p>
        </w:tc>
        <w:tc>
          <w:tcPr>
            <w:tcW w:w="2393" w:type="dxa"/>
          </w:tcPr>
          <w:p w:rsidR="004A729C" w:rsidRDefault="004A729C" w:rsidP="00926BBA">
            <w:pPr>
              <w:jc w:val="both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 xml:space="preserve">   Стаціонарна</w:t>
            </w:r>
          </w:p>
          <w:p w:rsidR="004A729C" w:rsidRDefault="004A729C" w:rsidP="00926BBA">
            <w:pPr>
              <w:jc w:val="both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 xml:space="preserve">        стадія</w:t>
            </w:r>
          </w:p>
        </w:tc>
        <w:tc>
          <w:tcPr>
            <w:tcW w:w="2393" w:type="dxa"/>
          </w:tcPr>
          <w:p w:rsidR="004A729C" w:rsidRDefault="004A729C" w:rsidP="00926BBA">
            <w:pPr>
              <w:jc w:val="both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Умовно-здорова</w:t>
            </w:r>
          </w:p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група</w:t>
            </w:r>
          </w:p>
        </w:tc>
      </w:tr>
      <w:tr w:rsidR="004A729C" w:rsidTr="00926BBA">
        <w:tc>
          <w:tcPr>
            <w:tcW w:w="2392" w:type="dxa"/>
          </w:tcPr>
          <w:p w:rsidR="004A729C" w:rsidRDefault="004A729C" w:rsidP="00926BBA">
            <w:pPr>
              <w:jc w:val="both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Гіалуронова  кислота (нг/мл)</w:t>
            </w:r>
          </w:p>
        </w:tc>
        <w:tc>
          <w:tcPr>
            <w:tcW w:w="2393" w:type="dxa"/>
          </w:tcPr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137,46*</w:t>
            </w:r>
          </w:p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58,37±4,25</w:t>
            </w:r>
          </w:p>
        </w:tc>
        <w:tc>
          <w:tcPr>
            <w:tcW w:w="2393" w:type="dxa"/>
          </w:tcPr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73,43*</w:t>
            </w:r>
          </w:p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42,63±3,22</w:t>
            </w:r>
          </w:p>
        </w:tc>
        <w:tc>
          <w:tcPr>
            <w:tcW w:w="2393" w:type="dxa"/>
          </w:tcPr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</w:p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24,58±1,67</w:t>
            </w:r>
          </w:p>
        </w:tc>
      </w:tr>
      <w:tr w:rsidR="004A729C" w:rsidTr="00926BBA">
        <w:tc>
          <w:tcPr>
            <w:tcW w:w="2392" w:type="dxa"/>
          </w:tcPr>
          <w:p w:rsidR="004A729C" w:rsidRDefault="004A729C" w:rsidP="00926BBA">
            <w:pPr>
              <w:jc w:val="both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Колагенолітична активність сироватки крові</w:t>
            </w:r>
          </w:p>
          <w:p w:rsidR="004A729C" w:rsidRDefault="004A729C" w:rsidP="00926BBA">
            <w:pPr>
              <w:jc w:val="both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(мкмоль оксипроліна/л·год)</w:t>
            </w:r>
          </w:p>
        </w:tc>
        <w:tc>
          <w:tcPr>
            <w:tcW w:w="2393" w:type="dxa"/>
          </w:tcPr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692,49*</w:t>
            </w:r>
          </w:p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</w:p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64,43±5,28</w:t>
            </w:r>
          </w:p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</w:p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7,92</w:t>
            </w:r>
          </w:p>
        </w:tc>
        <w:tc>
          <w:tcPr>
            <w:tcW w:w="2393" w:type="dxa"/>
          </w:tcPr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358,17*</w:t>
            </w:r>
          </w:p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</w:p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37,25±1,66</w:t>
            </w:r>
          </w:p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</w:p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4,58</w:t>
            </w:r>
          </w:p>
        </w:tc>
        <w:tc>
          <w:tcPr>
            <w:tcW w:w="2393" w:type="dxa"/>
          </w:tcPr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</w:p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</w:p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8,13±0,75</w:t>
            </w:r>
          </w:p>
        </w:tc>
      </w:tr>
      <w:tr w:rsidR="004A729C" w:rsidTr="00926BBA">
        <w:tc>
          <w:tcPr>
            <w:tcW w:w="2392" w:type="dxa"/>
          </w:tcPr>
          <w:p w:rsidR="004A729C" w:rsidRDefault="004A729C" w:rsidP="00926BBA">
            <w:pPr>
              <w:jc w:val="both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Глікозаміноглікани</w:t>
            </w:r>
          </w:p>
          <w:p w:rsidR="004A729C" w:rsidRDefault="004A729C" w:rsidP="00926BBA">
            <w:pPr>
              <w:jc w:val="both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 xml:space="preserve">      (мкмоль/л)</w:t>
            </w:r>
          </w:p>
        </w:tc>
        <w:tc>
          <w:tcPr>
            <w:tcW w:w="2393" w:type="dxa"/>
          </w:tcPr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132,63*</w:t>
            </w:r>
          </w:p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73,56±6,32</w:t>
            </w:r>
          </w:p>
        </w:tc>
        <w:tc>
          <w:tcPr>
            <w:tcW w:w="2393" w:type="dxa"/>
          </w:tcPr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65,90*</w:t>
            </w:r>
          </w:p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52,46±3,85</w:t>
            </w:r>
          </w:p>
        </w:tc>
        <w:tc>
          <w:tcPr>
            <w:tcW w:w="2393" w:type="dxa"/>
          </w:tcPr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</w:p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31,62±2,34</w:t>
            </w:r>
          </w:p>
        </w:tc>
      </w:tr>
      <w:tr w:rsidR="004A729C" w:rsidTr="00926BBA">
        <w:tc>
          <w:tcPr>
            <w:tcW w:w="2392" w:type="dxa"/>
          </w:tcPr>
          <w:p w:rsidR="004A729C" w:rsidRDefault="004A729C" w:rsidP="00926BBA">
            <w:pPr>
              <w:jc w:val="both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Оксипролін вільний (мкмоль/л)</w:t>
            </w:r>
          </w:p>
        </w:tc>
        <w:tc>
          <w:tcPr>
            <w:tcW w:w="2393" w:type="dxa"/>
          </w:tcPr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288,33*</w:t>
            </w:r>
          </w:p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48,27±4,35</w:t>
            </w:r>
          </w:p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3,88</w:t>
            </w:r>
          </w:p>
        </w:tc>
        <w:tc>
          <w:tcPr>
            <w:tcW w:w="2393" w:type="dxa"/>
          </w:tcPr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143,12*</w:t>
            </w:r>
          </w:p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30,22±1,76</w:t>
            </w:r>
          </w:p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</w:p>
        </w:tc>
        <w:tc>
          <w:tcPr>
            <w:tcW w:w="2393" w:type="dxa"/>
          </w:tcPr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</w:p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12,43±1,26</w:t>
            </w:r>
          </w:p>
        </w:tc>
      </w:tr>
      <w:tr w:rsidR="004A729C" w:rsidTr="00926BBA">
        <w:tc>
          <w:tcPr>
            <w:tcW w:w="2392" w:type="dxa"/>
          </w:tcPr>
          <w:p w:rsidR="004A729C" w:rsidRDefault="004A729C" w:rsidP="00926BBA">
            <w:pPr>
              <w:jc w:val="both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Оксипролін     зв'язаний     (мкмоль/л)</w:t>
            </w:r>
          </w:p>
        </w:tc>
        <w:tc>
          <w:tcPr>
            <w:tcW w:w="2393" w:type="dxa"/>
          </w:tcPr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149,86*</w:t>
            </w:r>
          </w:p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</w:p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56,32±4,16</w:t>
            </w:r>
          </w:p>
        </w:tc>
        <w:tc>
          <w:tcPr>
            <w:tcW w:w="2393" w:type="dxa"/>
          </w:tcPr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71,11*</w:t>
            </w:r>
          </w:p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</w:p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38,57±3,65</w:t>
            </w:r>
          </w:p>
        </w:tc>
        <w:tc>
          <w:tcPr>
            <w:tcW w:w="2393" w:type="dxa"/>
          </w:tcPr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</w:p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</w:p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22,54±1,68</w:t>
            </w:r>
          </w:p>
        </w:tc>
      </w:tr>
      <w:tr w:rsidR="004A729C" w:rsidTr="00926BBA">
        <w:tc>
          <w:tcPr>
            <w:tcW w:w="2392" w:type="dxa"/>
          </w:tcPr>
          <w:p w:rsidR="004A729C" w:rsidRDefault="004A729C" w:rsidP="00926BBA">
            <w:pPr>
              <w:jc w:val="both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Еластаза (пг/мл)</w:t>
            </w:r>
          </w:p>
        </w:tc>
        <w:tc>
          <w:tcPr>
            <w:tcW w:w="2393" w:type="dxa"/>
          </w:tcPr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541,97*</w:t>
            </w:r>
          </w:p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184,76±6,5</w:t>
            </w:r>
          </w:p>
        </w:tc>
        <w:tc>
          <w:tcPr>
            <w:tcW w:w="2393" w:type="dxa"/>
          </w:tcPr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344,16*</w:t>
            </w:r>
          </w:p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127,83±5,73</w:t>
            </w:r>
          </w:p>
        </w:tc>
        <w:tc>
          <w:tcPr>
            <w:tcW w:w="2393" w:type="dxa"/>
          </w:tcPr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</w:p>
          <w:p w:rsidR="004A729C" w:rsidRDefault="004A729C" w:rsidP="00926BBA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val="uk-UA" w:eastAsia="ru-RU"/>
              </w:rPr>
              <w:t>28,78±1,42</w:t>
            </w:r>
          </w:p>
        </w:tc>
      </w:tr>
    </w:tbl>
    <w:p w:rsidR="004A729C" w:rsidRDefault="004A729C" w:rsidP="004A729C">
      <w:pPr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Примітка: * різниця вірогідна (</w:t>
      </w:r>
      <w:r>
        <w:rPr>
          <w:rFonts w:ascii="Times New Roman" w:hAnsi="Times New Roman" w:cs="Times New Roman"/>
          <w:noProof/>
          <w:sz w:val="28"/>
          <w:szCs w:val="28"/>
          <w:lang w:val="en-US"/>
        </w:rPr>
        <w:t>P</w:t>
      </w:r>
      <w:r w:rsidRPr="00354F4A">
        <w:rPr>
          <w:rFonts w:ascii="Times New Roman" w:hAnsi="Times New Roman" w:cs="Times New Roman"/>
          <w:noProof/>
          <w:sz w:val="28"/>
          <w:szCs w:val="28"/>
        </w:rPr>
        <w:t>&lt;</w:t>
      </w:r>
      <w:r w:rsidRPr="00B649AF">
        <w:rPr>
          <w:rFonts w:ascii="Times New Roman" w:hAnsi="Times New Roman" w:cs="Times New Roman"/>
          <w:noProof/>
          <w:sz w:val="28"/>
          <w:szCs w:val="28"/>
        </w:rPr>
        <w:t xml:space="preserve"> 0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,05) з контролем.         </w:t>
      </w:r>
    </w:p>
    <w:p w:rsidR="004A729C" w:rsidRPr="00014017" w:rsidRDefault="004A729C" w:rsidP="004A729C">
      <w:pPr>
        <w:jc w:val="both"/>
        <w:rPr>
          <w:rFonts w:ascii="Times New Roman" w:hAnsi="Times New Roman" w:cs="Times New Roman"/>
          <w:b/>
          <w:noProof/>
          <w:sz w:val="28"/>
          <w:szCs w:val="28"/>
          <w:lang w:val="uk-UA"/>
        </w:rPr>
      </w:pPr>
      <w:r w:rsidRPr="00014017">
        <w:rPr>
          <w:rFonts w:ascii="Times New Roman" w:hAnsi="Times New Roman" w:cs="Times New Roman"/>
          <w:b/>
          <w:noProof/>
          <w:sz w:val="28"/>
          <w:szCs w:val="28"/>
          <w:lang w:val="uk-UA"/>
        </w:rPr>
        <w:t xml:space="preserve">Висновки:                                </w:t>
      </w:r>
    </w:p>
    <w:p w:rsidR="004A729C" w:rsidRPr="00014017" w:rsidRDefault="004A729C" w:rsidP="004A729C">
      <w:pPr>
        <w:pStyle w:val="a4"/>
        <w:ind w:left="840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      </w:t>
      </w:r>
      <w:r w:rsidRPr="00014017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При стаціонарній стадії псоріатичної патології всі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показники були значно нижчими </w:t>
      </w:r>
      <w:r w:rsidRPr="00014017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порівня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но</w:t>
      </w:r>
      <w:r w:rsidRPr="00014017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з прогресуючою, проте залишалися суттєво підвищеними 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щодо умовно </w:t>
      </w:r>
      <w:r w:rsidRPr="00014017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здорової групи спостереження. Так,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рівень гіалуронової кислоти</w:t>
      </w:r>
      <w:r w:rsidRPr="00014017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підвищувався у разі стаціонарної</w:t>
      </w:r>
      <w:r w:rsidRPr="00014017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стад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ії на 73,43%, глікозаміногліканів -</w:t>
      </w:r>
      <w:r w:rsidRPr="00014017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на 65,90%, оксипролін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у</w:t>
      </w:r>
      <w:r w:rsidRPr="00014017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ві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льного -</w:t>
      </w:r>
      <w:r w:rsidRPr="00014017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143,12%, оксипролін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у</w:t>
      </w:r>
      <w:r w:rsidRPr="00014017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зв'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язаного -</w:t>
      </w:r>
      <w:r w:rsidRPr="00014017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71,11%, активність еластази зростала на 344,16%, а колагенолітична активність сироватки крові на 358,17%.</w:t>
      </w:r>
    </w:p>
    <w:p w:rsidR="004A729C" w:rsidRDefault="004A729C" w:rsidP="004A729C">
      <w:pPr>
        <w:pStyle w:val="a4"/>
        <w:ind w:left="840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       </w:t>
      </w:r>
      <w:r w:rsidRPr="00014017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Аналіз свідчить, що динамічні показники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оцінки стану сполучної тканини</w:t>
      </w:r>
      <w:r w:rsidRPr="00014017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тісно корелюють з активністю патологічного процесу. 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У</w:t>
      </w:r>
      <w:r w:rsidRPr="00014017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стаціонарну 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стадію знижуються рівень гіалуронової кислоти </w:t>
      </w:r>
      <w:r w:rsidRPr="00014017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на 39,92%, колагеноліт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ична активність -</w:t>
      </w:r>
      <w:r w:rsidRPr="00014017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на 72,96%, ГАГ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-</w:t>
      </w:r>
      <w:r w:rsidRPr="00014017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на 40,22%, 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вміст </w:t>
      </w:r>
      <w:r w:rsidRPr="00014017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вільного оксипроліну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-</w:t>
      </w:r>
      <w:r w:rsidRPr="00014017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н</w:t>
      </w:r>
      <w:r w:rsidRPr="00014017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а 59,72%, зв'язаного оксипроліну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-</w:t>
      </w:r>
      <w:r w:rsidRPr="00014017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на </w:t>
      </w:r>
    </w:p>
    <w:p w:rsidR="004A729C" w:rsidRDefault="004A729C" w:rsidP="004A729C">
      <w:pPr>
        <w:pStyle w:val="a4"/>
        <w:ind w:left="840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                                                                                                            4</w:t>
      </w:r>
    </w:p>
    <w:p w:rsidR="004A729C" w:rsidRDefault="004A729C" w:rsidP="004A729C">
      <w:pPr>
        <w:pStyle w:val="a4"/>
        <w:ind w:left="840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014017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lastRenderedPageBreak/>
        <w:t>46,02% і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 w:rsidRPr="00CB66F1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еластази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- </w:t>
      </w:r>
      <w:r w:rsidRPr="00CB66F1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на 44,53% 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порівняно з прогресуючою.</w:t>
      </w:r>
      <w:r w:rsidRPr="00CB66F1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Ці дані </w:t>
      </w:r>
    </w:p>
    <w:p w:rsidR="004A729C" w:rsidRPr="00CB66F1" w:rsidRDefault="004A729C" w:rsidP="004A729C">
      <w:pPr>
        <w:pStyle w:val="a4"/>
        <w:ind w:left="840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CB66F1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можуть свідчити, що глікозаміноглікани і вільний оксипролін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мають прогностичне значення для визначення</w:t>
      </w:r>
      <w:r w:rsidRPr="00CB66F1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ступеня активності перебігу патологічного процесу і здатні слугувати моніторинговими показниками ефективності патогенетичного лікування. </w:t>
      </w:r>
    </w:p>
    <w:p w:rsidR="004A729C" w:rsidRPr="0053247B" w:rsidRDefault="004A729C" w:rsidP="004A729C">
      <w:pPr>
        <w:pStyle w:val="a4"/>
        <w:ind w:left="840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       </w:t>
      </w:r>
      <w:r w:rsidRPr="00014017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Рез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ультати вказують, що у хворих із псоріатичною</w:t>
      </w:r>
      <w:r w:rsidRPr="00014017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патологі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є</w:t>
      </w:r>
      <w:r w:rsidRPr="00014017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ю підвищені к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атаболічні процеси розпаду білка</w:t>
      </w:r>
      <w:r w:rsidRPr="00014017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колагену і еластину (які продукуються 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 w:rsidRPr="00014017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фібробластами)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,</w:t>
      </w:r>
      <w:r w:rsidRPr="00014017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і відбува</w:t>
      </w:r>
      <w:r w:rsidRPr="00014017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ються ці процеси 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за допомогою колагенази</w:t>
      </w:r>
      <w:r w:rsidRPr="00014017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та еластази</w:t>
      </w:r>
      <w:r w:rsidRPr="00014017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. При цьому, спостерігаються значні порушення міжклітинного матриксу сполучної тканини,  дисфункція її реактивності і метаболічної активності, які здатні змінювати внутрішньокл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ітинний метаболізм, що може  поєднуватися</w:t>
      </w:r>
      <w:r w:rsidRPr="00014017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з прискоренням процесів диференціювання і проліферації клітин. 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При цьому </w:t>
      </w:r>
      <w:r w:rsidRPr="0053247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в сполучній тканині можуть змінюватися адгезія і міжклітинна взаємодія, ангіогенез і реактивність імунної системи, транспорт поживних речовин, іонів металів і трансдукторна функція гормонів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та</w:t>
      </w:r>
      <w:r w:rsidRPr="0053247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нейромедіаторів, цілісність структурно-функціональних одиниць клітин і внутрішньоклітинних органел.</w:t>
      </w:r>
    </w:p>
    <w:p w:rsidR="004A729C" w:rsidRDefault="004A729C" w:rsidP="004A729C">
      <w:pPr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</w:p>
    <w:p w:rsidR="004A729C" w:rsidRDefault="004A729C" w:rsidP="004A729C">
      <w:pPr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</w:p>
    <w:p w:rsidR="004A729C" w:rsidRDefault="004A729C" w:rsidP="004A729C">
      <w:pPr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</w:p>
    <w:p w:rsidR="004A729C" w:rsidRDefault="004A729C" w:rsidP="004A729C">
      <w:pPr>
        <w:ind w:left="840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</w:p>
    <w:p w:rsidR="004A729C" w:rsidRDefault="004A729C" w:rsidP="004A729C">
      <w:pPr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</w:p>
    <w:p w:rsidR="004A729C" w:rsidRDefault="004A729C" w:rsidP="004A729C">
      <w:pPr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</w:p>
    <w:p w:rsidR="004A729C" w:rsidRDefault="004A729C" w:rsidP="004A729C">
      <w:pPr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</w:p>
    <w:p w:rsidR="004A729C" w:rsidRDefault="004A729C" w:rsidP="004A729C">
      <w:pPr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</w:p>
    <w:p w:rsidR="004A729C" w:rsidRDefault="004A729C" w:rsidP="004A729C">
      <w:pPr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</w:p>
    <w:p w:rsidR="004A729C" w:rsidRDefault="004A729C" w:rsidP="004A729C">
      <w:pPr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</w:p>
    <w:p w:rsidR="004A729C" w:rsidRDefault="004A729C" w:rsidP="004A729C">
      <w:pPr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</w:p>
    <w:p w:rsidR="004A729C" w:rsidRDefault="004A729C" w:rsidP="004A729C">
      <w:pPr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                </w:t>
      </w:r>
    </w:p>
    <w:p w:rsidR="004A729C" w:rsidRDefault="004A729C" w:rsidP="004A729C">
      <w:pPr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                                                                                                                         5                                                                                                                      </w:t>
      </w:r>
    </w:p>
    <w:p w:rsidR="004A729C" w:rsidRPr="0083113F" w:rsidRDefault="004A729C" w:rsidP="004A729C">
      <w:pPr>
        <w:jc w:val="both"/>
        <w:rPr>
          <w:rFonts w:ascii="Times New Roman" w:hAnsi="Times New Roman" w:cs="Times New Roman"/>
          <w:b/>
          <w:noProof/>
          <w:sz w:val="28"/>
          <w:szCs w:val="28"/>
          <w:lang w:val="uk-UA"/>
        </w:rPr>
      </w:pPr>
      <w:r w:rsidRPr="0083113F">
        <w:rPr>
          <w:rFonts w:ascii="Times New Roman" w:hAnsi="Times New Roman" w:cs="Times New Roman"/>
          <w:b/>
          <w:noProof/>
          <w:sz w:val="28"/>
          <w:szCs w:val="28"/>
          <w:lang w:val="uk-UA"/>
        </w:rPr>
        <w:lastRenderedPageBreak/>
        <w:t>Література:</w:t>
      </w:r>
    </w:p>
    <w:p w:rsidR="004A729C" w:rsidRPr="00E85C1A" w:rsidRDefault="004A729C" w:rsidP="004A729C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Ананьев О.Л. Кожно-венерические заболевания. Полный справочник /О.Л. Ананьев, Е.В. Анисимова, Н.В. Иваничкина и др.- </w:t>
      </w:r>
      <w:r w:rsidRPr="00803255">
        <w:rPr>
          <w:rFonts w:ascii="Times New Roman" w:hAnsi="Times New Roman" w:cs="Times New Roman"/>
          <w:noProof/>
          <w:sz w:val="28"/>
          <w:szCs w:val="28"/>
          <w:lang w:eastAsia="ru-RU"/>
        </w:rPr>
        <w:t>М</w: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: Эксмо,2005.-608с.</w:t>
      </w:r>
    </w:p>
    <w:p w:rsidR="004A729C" w:rsidRPr="00621699" w:rsidRDefault="004A729C" w:rsidP="004A729C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Дядюша Г.Ф. Система соединительной ткани и злокачественные опухоли / Г.Д. Дядюша, Э.П. Булкина.- Киев: Наукова думка, 1978.-310с</w:t>
      </w:r>
      <w:r w:rsidRPr="00621699">
        <w:rPr>
          <w:rFonts w:ascii="Times New Roman" w:hAnsi="Times New Roman" w:cs="Times New Roman"/>
          <w:noProof/>
          <w:sz w:val="28"/>
          <w:szCs w:val="28"/>
          <w:lang w:eastAsia="ru-RU"/>
        </w:rPr>
        <w:t>.</w:t>
      </w:r>
      <w:r w:rsidRPr="00621699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                                                  </w:t>
      </w:r>
    </w:p>
    <w:p w:rsidR="004A729C" w:rsidRPr="00F7716B" w:rsidRDefault="004A729C" w:rsidP="004A729C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Зайцева В.О. Анализ мониторинговых метаболических показателей у больных распространённым псориазом / О.В. Зайцева, Н.В. Жукова, Е.Г. Татузян, Л.В. Рощенюк // Експериментальна та клінічна медицина. – Харків: ХНМУ, 2009,-1.-с.89-93.</w:t>
      </w:r>
    </w:p>
    <w:p w:rsidR="004A729C" w:rsidRDefault="004A729C" w:rsidP="004A729C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Зайцева О.В. Состояние </w:t>
      </w:r>
      <w:r>
        <w:rPr>
          <w:rFonts w:ascii="Times New Roman" w:hAnsi="Times New Roman" w:cs="Times New Roman"/>
          <w:noProof/>
          <w:sz w:val="28"/>
          <w:szCs w:val="28"/>
          <w:lang w:val="en-US" w:eastAsia="ru-RU"/>
        </w:rPr>
        <w:t>NO</w:t>
      </w:r>
      <w:r w:rsidRPr="00B649AF">
        <w:rPr>
          <w:rFonts w:ascii="Times New Roman" w:hAnsi="Times New Roman" w:cs="Times New Roman"/>
          <w:noProof/>
          <w:sz w:val="28"/>
          <w:szCs w:val="28"/>
          <w:lang w:eastAsia="ru-RU"/>
        </w:rPr>
        <w:t>-</w: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синтазы и содержание оксида азота у больных псориазом /О.В. Зайцева, Н.В. Жукова, Е.А. Броше // 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Вісник проблем біології і медицини.- Полтава: УМСА,2002, в</w: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ы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п.6-с.80-86.</w:t>
      </w:r>
    </w:p>
    <w:p w:rsidR="004A729C" w:rsidRPr="0057413C" w:rsidRDefault="004A729C" w:rsidP="004A729C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Канунго М. Биохимия старения / М. Канунго.-М.: Мир,1982.-238с.</w:t>
      </w:r>
    </w:p>
    <w:p w:rsidR="004A729C" w:rsidRPr="00C27A4D" w:rsidRDefault="004A729C" w:rsidP="004A729C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C27A4D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Короткий Н.Г. Современная терапия тяжёлых форм псориаза /Н.Г. Короткий, А.А. Полякова // </w:t>
      </w:r>
      <w:r w:rsidRPr="00C27A4D">
        <w:rPr>
          <w:rFonts w:ascii="Times New Roman" w:hAnsi="Times New Roman" w:cs="Times New Roman"/>
          <w:noProof/>
          <w:sz w:val="28"/>
          <w:szCs w:val="28"/>
          <w:lang w:val="en-US" w:eastAsia="ru-RU"/>
        </w:rPr>
        <w:t>Consilium</w:t>
      </w:r>
      <w:r w:rsidRPr="00D4194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 w:rsidRPr="00C27A4D">
        <w:rPr>
          <w:rFonts w:ascii="Times New Roman" w:hAnsi="Times New Roman" w:cs="Times New Roman"/>
          <w:noProof/>
          <w:sz w:val="28"/>
          <w:szCs w:val="28"/>
          <w:lang w:val="en-US" w:eastAsia="ru-RU"/>
        </w:rPr>
        <w:t>medicum</w:t>
      </w:r>
      <w:r w:rsidRPr="00C27A4D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.-2005.Т.7, №1.-с.64-67.</w:t>
      </w:r>
    </w:p>
    <w:p w:rsidR="004A729C" w:rsidRPr="00747A6D" w:rsidRDefault="004A729C" w:rsidP="004A729C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Криницына Ю.М. Современные методы лечения больных псориазом./ Ю.М. Криницына, Б.Н. Кривошей, М.Н. Ермаков // Методические рекомендации.- Новосибирск, 1997.-с.-16.</w:t>
      </w:r>
    </w:p>
    <w:p w:rsidR="004A729C" w:rsidRPr="00E85C1A" w:rsidRDefault="004A729C" w:rsidP="004A729C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Кутасевич Я.Ф. Современный взгляд на проблему псориаза / Я.Ф. Кутасевич // Дерматоло</w: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гия и венерология.-2002.-№2.-с.3-9</w:t>
      </w:r>
    </w:p>
    <w:p w:rsidR="004A729C" w:rsidRPr="00C27A4D" w:rsidRDefault="004A729C" w:rsidP="004A729C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Мавров И.И. Дерматология и венерология в контексте </w:t>
      </w:r>
      <w:r w:rsidRPr="00C078B2">
        <w:rPr>
          <w:rFonts w:ascii="Times New Roman" w:hAnsi="Times New Roman" w:cs="Times New Roman"/>
          <w:noProof/>
          <w:sz w:val="28"/>
          <w:szCs w:val="28"/>
          <w:lang w:eastAsia="ru-RU"/>
        </w:rPr>
        <w:t>общемедицинских</w: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проблем / И.И. Мавров //  Дерматология и венерология.- №5, Харьков, 2003.-с.10-21</w:t>
      </w:r>
    </w:p>
    <w:p w:rsidR="004A729C" w:rsidRPr="0057413C" w:rsidRDefault="004A729C" w:rsidP="004A729C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Серов В.В. Соединительная ткань (функциональная морфология и общая патология) / В.В. Серов, А.Б. Шехтер.-М.: Медицина,1981.-312с.</w:t>
      </w:r>
    </w:p>
    <w:p w:rsidR="004A729C" w:rsidRPr="00747A6D" w:rsidRDefault="004A729C" w:rsidP="004A729C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Шараев П.Н. Метод определения гликозаминогликанов в биологических жидкостях / П.Н. Шараев, В.Н. Пишков, Н.И. Соловьёва и др.// Лабораторное дело.-1987.-№5.-С.330-332.</w:t>
      </w:r>
    </w:p>
    <w:p w:rsidR="004A729C" w:rsidRPr="0057413C" w:rsidRDefault="004A729C" w:rsidP="004A729C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Шараев П.Н. Определение коллагенолитической активности плазмы крови / П.Н. Шараев, В.Н. Пишков, Н.Г. Зворыгина и др. // Лабораторное дело.-1987.- №1.-с.60-62.</w:t>
      </w:r>
    </w:p>
    <w:p w:rsidR="004A729C" w:rsidRDefault="004A729C" w:rsidP="004A729C">
      <w:pPr>
        <w:ind w:left="142"/>
        <w:jc w:val="both"/>
        <w:rPr>
          <w:rFonts w:ascii="Times New Roman" w:hAnsi="Times New Roman" w:cs="Times New Roman"/>
          <w:noProof/>
          <w:sz w:val="28"/>
          <w:szCs w:val="28"/>
        </w:rPr>
      </w:pPr>
    </w:p>
    <w:p w:rsidR="004A729C" w:rsidRDefault="004A729C" w:rsidP="004A729C">
      <w:pPr>
        <w:ind w:left="142"/>
        <w:jc w:val="both"/>
        <w:rPr>
          <w:rFonts w:ascii="Times New Roman" w:hAnsi="Times New Roman" w:cs="Times New Roman"/>
          <w:noProof/>
          <w:sz w:val="28"/>
          <w:szCs w:val="28"/>
        </w:rPr>
      </w:pPr>
    </w:p>
    <w:p w:rsidR="004A729C" w:rsidRDefault="004A729C" w:rsidP="004A729C">
      <w:pPr>
        <w:ind w:left="142"/>
        <w:jc w:val="both"/>
        <w:rPr>
          <w:rFonts w:ascii="Times New Roman" w:hAnsi="Times New Roman" w:cs="Times New Roman"/>
          <w:noProof/>
          <w:sz w:val="28"/>
          <w:szCs w:val="28"/>
        </w:rPr>
      </w:pPr>
    </w:p>
    <w:p w:rsidR="007A6E93" w:rsidRPr="004A729C" w:rsidRDefault="004A729C" w:rsidP="004A729C">
      <w:pPr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                                                                                                                         6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                                                                                                       </w:t>
      </w:r>
    </w:p>
    <w:sectPr w:rsidR="007A6E93" w:rsidRPr="004A729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BD39EF"/>
    <w:multiLevelType w:val="hybridMultilevel"/>
    <w:tmpl w:val="EE06EB3C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4A729C"/>
    <w:rsid w:val="004A729C"/>
    <w:rsid w:val="007A6E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A729C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4A729C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1919</Words>
  <Characters>10943</Characters>
  <Application>Microsoft Office Word</Application>
  <DocSecurity>0</DocSecurity>
  <Lines>91</Lines>
  <Paragraphs>25</Paragraphs>
  <ScaleCrop>false</ScaleCrop>
  <Company/>
  <LinksUpToDate>false</LinksUpToDate>
  <CharactersWithSpaces>12837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2017-05-13T08:40:00Z</dcterms:created>
  <dcterms:modified xsi:type="dcterms:W3CDTF">2017-05-13T08:40:00Z</dcterms:modified>
</cp:coreProperties>
</file>