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9C" w:rsidRDefault="004A729C" w:rsidP="004A72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УДК 616.517-018.2:612.017</w:t>
      </w:r>
    </w:p>
    <w:p w:rsidR="004A729C" w:rsidRDefault="004A729C" w:rsidP="004A729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DE5">
        <w:rPr>
          <w:rFonts w:ascii="Times New Roman" w:hAnsi="Times New Roman" w:cs="Times New Roman"/>
          <w:b/>
          <w:sz w:val="28"/>
          <w:szCs w:val="28"/>
        </w:rPr>
        <w:t>Стан реактив</w:t>
      </w:r>
      <w:proofErr w:type="spellStart"/>
      <w:r w:rsidRPr="00181DE5">
        <w:rPr>
          <w:rFonts w:ascii="Times New Roman" w:hAnsi="Times New Roman" w:cs="Times New Roman"/>
          <w:b/>
          <w:sz w:val="28"/>
          <w:szCs w:val="28"/>
          <w:lang w:val="uk-UA"/>
        </w:rPr>
        <w:t>ності</w:t>
      </w:r>
      <w:proofErr w:type="spellEnd"/>
      <w:r w:rsidRPr="00181D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сполучено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ї тканини у хворих на пошир</w:t>
      </w:r>
      <w:r w:rsidRPr="00181DE5">
        <w:rPr>
          <w:rFonts w:ascii="Times New Roman" w:hAnsi="Times New Roman" w:cs="Times New Roman"/>
          <w:b/>
          <w:sz w:val="28"/>
          <w:szCs w:val="28"/>
          <w:lang w:val="uk-UA"/>
        </w:rPr>
        <w:t>ений псоріаз.</w:t>
      </w:r>
    </w:p>
    <w:p w:rsidR="004A729C" w:rsidRDefault="004A729C" w:rsidP="004A72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Біловол А.М., 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Ніколаєва В.Б.,</w:t>
      </w:r>
      <w:r w:rsidRPr="000B5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Галузинська Л.В.</w:t>
      </w:r>
    </w:p>
    <w:p w:rsidR="004A729C" w:rsidRDefault="004A729C" w:rsidP="004A72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Україна</w:t>
      </w:r>
    </w:p>
    <w:p w:rsidR="004A729C" w:rsidRDefault="004A729C" w:rsidP="004A72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фармакологічний університет, Україна</w:t>
      </w:r>
    </w:p>
    <w:p w:rsidR="004A729C" w:rsidRDefault="004A729C" w:rsidP="004A72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175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Мета роботи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стану сполучної тканини у хворих на поширений псоріаз і визначення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критеріально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значущих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оцінкових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показників.</w:t>
      </w:r>
    </w:p>
    <w:p w:rsidR="004A729C" w:rsidRDefault="004A729C" w:rsidP="004A72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175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Матеріали та методи.</w:t>
      </w: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Наведено результати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дослідження обміну колагену і еластину у 124 хворих на поширений псоріаз.</w:t>
      </w:r>
      <w:r w:rsidRPr="007404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Колагенолітичну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активність плазми крові визначали за сумарною кількістю, за ферментативного розщеплення, вільного і пептидно-зв'язаного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оксипроліну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4044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Гіалуронову кислоту визначали за методом імуноферментного аналізу.</w:t>
      </w:r>
    </w:p>
    <w:p w:rsidR="004A729C" w:rsidRPr="00740449" w:rsidRDefault="004A729C" w:rsidP="004A72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175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Результати та</w:t>
      </w:r>
      <w:r w:rsidRPr="0004503F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обговорення</w:t>
      </w: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>.</w:t>
      </w:r>
      <w:r w:rsidRPr="0074044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 процесі дослідження виявили зниження гіалуронової кислоти в стаціонарну стадію, колагенолітичної активності, глікозаміногліканів, вільного оксипроліну, зв'язаного оксипроліну і еластази   порівняно зі стадією прогресування захворювання. Ці показники оцінки стану сполучної тканини тісно корелюють з активністю патологічного процесу.</w:t>
      </w:r>
    </w:p>
    <w:p w:rsidR="004A729C" w:rsidRPr="00740449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Висновки.</w:t>
      </w:r>
      <w:r w:rsidRPr="00014017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Аналіз свідчить про зміни в сполучній тканині таких показників, як адгезія і міжклітинна взаємодія, ангіогенез і реактивність імунної системи, транспорт поживних речовин, іонів металів і трансдукторна функція гормонів і нейромедіаторів, цілісність структурно-функціональних одиниць клітин і внутрішньоклітинних органел.</w:t>
      </w:r>
    </w:p>
    <w:p w:rsidR="004A729C" w:rsidRPr="0034079D" w:rsidRDefault="004A729C" w:rsidP="004A72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81D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Ключові слова: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81DE5">
        <w:rPr>
          <w:rFonts w:ascii="Times New Roman" w:eastAsia="Times New Roman" w:hAnsi="Times New Roman" w:cs="Times New Roman"/>
          <w:sz w:val="28"/>
          <w:szCs w:val="28"/>
          <w:lang w:val="uk-UA"/>
        </w:rPr>
        <w:t>гіалуронова</w:t>
      </w:r>
      <w:proofErr w:type="spellEnd"/>
      <w:r w:rsidRPr="00181D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кислота, </w:t>
      </w:r>
      <w:proofErr w:type="spellStart"/>
      <w:r w:rsidRPr="00181DE5">
        <w:rPr>
          <w:rFonts w:ascii="Times New Roman" w:eastAsia="Times New Roman" w:hAnsi="Times New Roman" w:cs="Times New Roman"/>
          <w:sz w:val="28"/>
          <w:szCs w:val="28"/>
          <w:lang w:val="uk-UA"/>
        </w:rPr>
        <w:t>еластаза</w:t>
      </w:r>
      <w:proofErr w:type="spellEnd"/>
      <w:r w:rsidRPr="00181D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81DE5">
        <w:rPr>
          <w:rFonts w:ascii="Times New Roman" w:eastAsia="Times New Roman" w:hAnsi="Times New Roman" w:cs="Times New Roman"/>
          <w:sz w:val="28"/>
          <w:szCs w:val="28"/>
          <w:lang w:val="uk-UA"/>
        </w:rPr>
        <w:t>оксипролін</w:t>
      </w:r>
      <w:proofErr w:type="spellEnd"/>
      <w:r w:rsidRPr="00181DE5">
        <w:rPr>
          <w:rFonts w:ascii="Times New Roman" w:eastAsia="Times New Roman" w:hAnsi="Times New Roman" w:cs="Times New Roman"/>
          <w:sz w:val="28"/>
          <w:szCs w:val="28"/>
          <w:lang w:val="uk-UA"/>
        </w:rPr>
        <w:t>, сполучна тканина.</w:t>
      </w:r>
    </w:p>
    <w:p w:rsidR="004A729C" w:rsidRDefault="004A729C" w:rsidP="004A72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Псоріаз є одним із найпоширеніших хронічних рецидивних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мультифакторних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дерматозів, що характеризується запаленням дерми з порушенням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кератизації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бік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гіперпроліферації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епідермальних клітин, а також ураженням нігтів, суглобів і волосяної ділянки голови [1-3]. За результатами клініко-діагностичних даних, на псоріаз хворіють 3-4% населення планети незалежно від статі, віку та етнічної належності [4-6]. При цьому питома вага хворих на цю патологію в загальній структурі </w:t>
      </w:r>
    </w:p>
    <w:p w:rsidR="004A729C" w:rsidRDefault="004A729C" w:rsidP="004A72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1</w:t>
      </w:r>
    </w:p>
    <w:p w:rsidR="004A729C" w:rsidRDefault="004A729C" w:rsidP="004A72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шкірних хвороб сягає, за даними різних авторів, від 10% до 40% [6, 7]. Однак, попри значне поширення псоріазу і численність досліджень із цієї проблеми, досі не склалося однозначного уявлення про патогенез дерматозу.   Більшість дослідників вирішальну роль у механізмах розвитку псоріазу віддають спадковій схильності, автоімунним захворюванням,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провокативним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хімічним, біологічним, інфекційним факторам, а також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метаболічно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неадаптованому харчуванню, емоційному або психогенному стресу і ін. [6, 7]. На думку  інших авторів, у патогенезі псоріазу  провідну роль відіграють порушення адаптаційно-компенсаторних та нейроендокринних механізмів регуляції гомеостазу, хронічні запальні хвороби внутрішніх органів, розвиток ендогенної інтоксикації та структурно-метаболічні порушення сполучної тканини [8]. На підставі аналізу літературних джерел можна визначити псоріаз як хворобу, в патогенезі якої поряд зі спадковою схильністю, важливу роль відіграють порушення стану адаптації, регуляції нейроендокринної системи і метаболічних процесів, механізми яких потребують подальшого дослідження ланцюгів розвитку згаданої патології. На сьогодні відомо, що численні патологічні стани і захворювання                                                                                                                           супроводжуються структурно - метаболічними розладами сполучної тканини.                                                                                                                                                             До них можуть бути зараховані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пнемофіброз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ревматоїдний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артрит, остеопороз, цироз печінки, склеродермія, хронічні запальні процеси внутрішніх органів і тканин, а також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псоріатична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патологія [ 5 - 7 ].</w:t>
      </w:r>
    </w:p>
    <w:p w:rsidR="004A729C" w:rsidRDefault="004A729C" w:rsidP="004A72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752F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вивчення стану сполучної тканини у хворих на поширений псоріаз і визначення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критеріально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значущих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оцінкових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показників.</w:t>
      </w:r>
    </w:p>
    <w:p w:rsidR="004A729C" w:rsidRDefault="004A729C" w:rsidP="004A729C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2F61">
        <w:rPr>
          <w:rFonts w:ascii="Times New Roman" w:hAnsi="Times New Roman" w:cs="Times New Roman"/>
          <w:b/>
          <w:sz w:val="28"/>
          <w:szCs w:val="28"/>
          <w:lang w:val="uk-UA"/>
        </w:rPr>
        <w:t>Матеріали і методи дослідження</w:t>
      </w:r>
    </w:p>
    <w:p w:rsidR="004A729C" w:rsidRDefault="004A729C" w:rsidP="004A72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>З огляду на важливу роль сполучної тканини в забезпеченні цілісності структурно-функціональних одиниць організму, органів і тканин, актуальним є дослідження стану обміну колагену і еластину у хворих</w:t>
      </w:r>
      <w:r w:rsidRPr="00314B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поширений на псоріаз. Для реалізації цієї задачі було сформовано дві групи хворих на поширений псоріаз</w:t>
      </w:r>
      <w:r w:rsidRPr="005B0F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віком від 22 до 56 років: з прогресивною (38 чоловіків та 27 жінок) і стаціонарною (35 чоловіків та 24 жінки) стадіями. Контрольну групу складали 28 умовно-здорових пацієнти (16 чоловіків і 12 жінок). Для оцінки стану сполучної тканини у хворих і пацієнтів  контрольної групи визначали вміст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глікозаміногліканів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активность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ферменту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еластази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колагенолітичну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активность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сироватки крові і рівень</w:t>
      </w:r>
      <w:r w:rsidRPr="00DD7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гіалуронової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кислоти,</w:t>
      </w:r>
    </w:p>
    <w:p w:rsidR="004A729C" w:rsidRDefault="004A729C" w:rsidP="004A72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2</w:t>
      </w:r>
    </w:p>
    <w:p w:rsidR="004A729C" w:rsidRPr="003B4475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які надають цінну інформацію про стан міжклітинного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матриксу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обмінних процесів у сполучній тканині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псоріатичній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[8 - 10]. </w:t>
      </w:r>
      <w:r w:rsidRPr="004D7EB5">
        <w:rPr>
          <w:rFonts w:ascii="Times New Roman" w:hAnsi="Times New Roman" w:cs="Times New Roman"/>
          <w:sz w:val="28"/>
          <w:szCs w:val="28"/>
          <w:lang w:val="uk-UA"/>
        </w:rPr>
        <w:t>Джерелом</w:t>
      </w:r>
      <w:r w:rsidRPr="00DD772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колагенолітичної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 (КЛА) сироватки крові можуть бути фермент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колагеназа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інші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протеази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тканин, органів травлення, селезінки і формених елементів крові. Відомо,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колагеназа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відіграє пускову роль у розщепленні колагену. Визначення КЛА плазми крові здійснювали за сумарною кількості, при ферментативному розщепленні вільного і пептидно-зв'язаного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оксипроліну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діагностованій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пробі.  Для цього знаходили по калібрувальній кривій відповідне оптичній щільності значення кількості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оксипроліну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довжини хвилі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=570мкм. Значення КЛА сироватки крові виражали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мікромолях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оксипроліну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1 л плазми крові за 1 годину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мкмоль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л·год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.) [11]. Сумарні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глікозаміноглікани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(ГАГ) (кислі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мукополісахариди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визначали в сироватці крові з використанням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трихлороцтової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кислоти і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карбозольної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реакції, яка забезпечує  фіолетово-рожеве забарвлення.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Фотометрування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дослідних проб здійснювали за довжиною </w:t>
      </w:r>
      <w:r w:rsidRPr="005945BD">
        <w:rPr>
          <w:rFonts w:ascii="Times New Roman" w:hAnsi="Times New Roman" w:cs="Times New Roman"/>
          <w:sz w:val="28"/>
          <w:szCs w:val="28"/>
          <w:lang w:val="uk-UA"/>
        </w:rPr>
        <w:t xml:space="preserve">хвилі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λ</w:t>
      </w:r>
      <w:r w:rsidRPr="005945B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= 530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нм. Вміст ГАГ виражали через гексуронові кислоти в мкмоль/л [12]. Еластазу в сироватці крові визначали імуноферментним методом за допомогою моноклональних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антитіл та набору реагентів (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HumanPMN</w:t>
      </w:r>
      <w:r w:rsidRPr="00842D9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Elastasa</w:t>
      </w:r>
      <w:r w:rsidRPr="00842D9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Elisa</w:t>
      </w:r>
      <w:r w:rsidRPr="00842D9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RD</w:t>
      </w:r>
      <w:r w:rsidRPr="00B649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191021100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) по інструкції фірми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Biovendor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Німеччина. Гіалуронову кислоту досліджували за методом імуноферментного аналізу за допомогою тест – системи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Hialyronic</w:t>
      </w:r>
      <w:r w:rsidRPr="00A52B7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Acid</w:t>
      </w:r>
      <w:r w:rsidRPr="001220C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HA</w:t>
      </w:r>
      <w:r w:rsidRPr="001220C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testKit</w:t>
      </w:r>
      <w:r w:rsidRPr="001220C9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1220C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Corgenix</w:t>
      </w:r>
      <w:r w:rsidRPr="00FF3C8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Inc</w:t>
      </w:r>
      <w:r w:rsidRPr="001220C9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 США. Для статичного опрацювання результатів використовували критерій Стьюдента – Фішера.</w:t>
      </w:r>
    </w:p>
    <w:p w:rsidR="004A729C" w:rsidRPr="00385CB8" w:rsidRDefault="004A729C" w:rsidP="004A729C">
      <w:pPr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385CB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Результати та  обговорення</w:t>
      </w:r>
    </w:p>
    <w:p w:rsidR="004A729C" w:rsidRPr="00640A85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Результати дослідження свідчать, що в разі прогресування псоріатичної патології в сироватці крові значно зростає вміст гіалуронової кислоти, глікозаміногліканів, оксипроліну вільного і пептидно зв'язаного на тлі підвищення активності еластази і колагенолітичної активності сироватки крові (таблиця). У хворих цієї групи рівень гіалуронової кислоти підвищувався  на 137,46%, ГАГ на 132,63%, вільного  оксипроліну на 288,33%, оксипроліну пептидно зв'язаного на 149,86%, колагенолітична активність сироватки крові зросла на 692,49% і вміст еластази на 541,97%.  Найбільше підвищувалися рівні таких оцінкових показників, як КЛА, еластаза і вільний оксипролін, які зростали відповідно</w:t>
      </w:r>
      <w:r w:rsidRPr="00B649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групою контролю у 7,92; 6,41 і 3,88 рази.</w:t>
      </w:r>
    </w:p>
    <w:p w:rsidR="004A729C" w:rsidRDefault="004A729C" w:rsidP="004A729C">
      <w:pPr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</w:p>
    <w:p w:rsidR="004A729C" w:rsidRPr="006D6660" w:rsidRDefault="004A729C" w:rsidP="004A729C">
      <w:pPr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3</w:t>
      </w:r>
    </w:p>
    <w:p w:rsidR="004A729C" w:rsidRDefault="004A729C" w:rsidP="004A729C">
      <w:pPr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lastRenderedPageBreak/>
        <w:t xml:space="preserve">   </w:t>
      </w:r>
    </w:p>
    <w:p w:rsidR="004A729C" w:rsidRDefault="004A729C" w:rsidP="004A729C">
      <w:pPr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                                                                                               Таблиця </w:t>
      </w:r>
    </w:p>
    <w:p w:rsidR="004A729C" w:rsidRPr="0083113F" w:rsidRDefault="004A729C" w:rsidP="004A729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83113F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Стан сполучної тканини у хворих на </w:t>
      </w: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поширений</w:t>
      </w:r>
      <w:r w:rsidRPr="0083113F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псоріаз</w:t>
      </w:r>
    </w:p>
    <w:tbl>
      <w:tblPr>
        <w:tblStyle w:val="a3"/>
        <w:tblW w:w="0" w:type="auto"/>
        <w:tblLook w:val="04A0"/>
      </w:tblPr>
      <w:tblGrid>
        <w:gridCol w:w="2544"/>
        <w:gridCol w:w="2352"/>
        <w:gridCol w:w="2345"/>
        <w:gridCol w:w="2330"/>
      </w:tblGrid>
      <w:tr w:rsidR="004A729C" w:rsidTr="00926BBA">
        <w:tc>
          <w:tcPr>
            <w:tcW w:w="2392" w:type="dxa"/>
            <w:vMerge w:val="restart"/>
          </w:tcPr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Показники</w:t>
            </w:r>
          </w:p>
        </w:tc>
        <w:tc>
          <w:tcPr>
            <w:tcW w:w="7179" w:type="dxa"/>
            <w:gridSpan w:val="3"/>
          </w:tcPr>
          <w:p w:rsidR="004A729C" w:rsidRPr="00E97FE5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               Група спостереження, М±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m</w:t>
            </w:r>
          </w:p>
        </w:tc>
      </w:tr>
      <w:tr w:rsidR="004A729C" w:rsidTr="00926BBA">
        <w:tc>
          <w:tcPr>
            <w:tcW w:w="2392" w:type="dxa"/>
            <w:vMerge/>
          </w:tcPr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</w:tc>
        <w:tc>
          <w:tcPr>
            <w:tcW w:w="2393" w:type="dxa"/>
          </w:tcPr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Прогресуюча                               </w:t>
            </w:r>
          </w:p>
          <w:p w:rsidR="004A729C" w:rsidRPr="00E97FE5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     стадія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Стаціонарна</w:t>
            </w:r>
          </w:p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    стадія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Умовно-здорова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група</w:t>
            </w:r>
          </w:p>
        </w:tc>
      </w:tr>
      <w:tr w:rsidR="004A729C" w:rsidTr="00926BBA">
        <w:tc>
          <w:tcPr>
            <w:tcW w:w="2392" w:type="dxa"/>
          </w:tcPr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Гіалуронова  кислота (нг/мл)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137,46*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58,37±4,25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73,43*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42,63±3,22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24,58±1,67</w:t>
            </w:r>
          </w:p>
        </w:tc>
      </w:tr>
      <w:tr w:rsidR="004A729C" w:rsidTr="00926BBA">
        <w:tc>
          <w:tcPr>
            <w:tcW w:w="2392" w:type="dxa"/>
          </w:tcPr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Колагенолітична активність сироватки крові</w:t>
            </w:r>
          </w:p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(мкмоль оксипроліна/л·год)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692,49*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64,43±5,28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7,92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358,17*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37,25±1,66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4,58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8,13±0,75</w:t>
            </w:r>
          </w:p>
        </w:tc>
      </w:tr>
      <w:tr w:rsidR="004A729C" w:rsidTr="00926BBA">
        <w:tc>
          <w:tcPr>
            <w:tcW w:w="2392" w:type="dxa"/>
          </w:tcPr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Глікозаміноглікани</w:t>
            </w:r>
          </w:p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  (мкмоль/л)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132,63*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73,56±6,32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65,90*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52,46±3,85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31,62±2,34</w:t>
            </w:r>
          </w:p>
        </w:tc>
      </w:tr>
      <w:tr w:rsidR="004A729C" w:rsidTr="00926BBA">
        <w:tc>
          <w:tcPr>
            <w:tcW w:w="2392" w:type="dxa"/>
          </w:tcPr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Оксипролін вільний (мкмоль/л)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288,33*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48,27±4,35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3,88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143,12*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30,22±1,76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12,43±1,26</w:t>
            </w:r>
          </w:p>
        </w:tc>
      </w:tr>
      <w:tr w:rsidR="004A729C" w:rsidTr="00926BBA">
        <w:tc>
          <w:tcPr>
            <w:tcW w:w="2392" w:type="dxa"/>
          </w:tcPr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Оксипролін     зв'язаний     (мкмоль/л)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149,86*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56,32±4,16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71,11*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38,57±3,65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22,54±1,68</w:t>
            </w:r>
          </w:p>
        </w:tc>
      </w:tr>
      <w:tr w:rsidR="004A729C" w:rsidTr="00926BBA">
        <w:tc>
          <w:tcPr>
            <w:tcW w:w="2392" w:type="dxa"/>
          </w:tcPr>
          <w:p w:rsidR="004A729C" w:rsidRDefault="004A729C" w:rsidP="00926BB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Еластаза (пг/мл)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541,97*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184,76±6,5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344,16*</w:t>
            </w: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127,83±5,73</w:t>
            </w:r>
          </w:p>
        </w:tc>
        <w:tc>
          <w:tcPr>
            <w:tcW w:w="2393" w:type="dxa"/>
          </w:tcPr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4A729C" w:rsidRDefault="004A729C" w:rsidP="00926B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28,78±1,42</w:t>
            </w:r>
          </w:p>
        </w:tc>
      </w:tr>
    </w:tbl>
    <w:p w:rsid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Примітка: * різниця вірогідна (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P</w:t>
      </w:r>
      <w:r w:rsidRPr="00354F4A">
        <w:rPr>
          <w:rFonts w:ascii="Times New Roman" w:hAnsi="Times New Roman" w:cs="Times New Roman"/>
          <w:noProof/>
          <w:sz w:val="28"/>
          <w:szCs w:val="28"/>
        </w:rPr>
        <w:t>&lt;</w:t>
      </w:r>
      <w:r w:rsidRPr="00B649AF">
        <w:rPr>
          <w:rFonts w:ascii="Times New Roman" w:hAnsi="Times New Roman" w:cs="Times New Roman"/>
          <w:noProof/>
          <w:sz w:val="28"/>
          <w:szCs w:val="28"/>
        </w:rPr>
        <w:t xml:space="preserve"> 0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,05) з контролем.         </w:t>
      </w:r>
    </w:p>
    <w:p w:rsidR="004A729C" w:rsidRPr="00014017" w:rsidRDefault="004A729C" w:rsidP="004A729C">
      <w:pPr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014017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Висновки:                                </w:t>
      </w:r>
    </w:p>
    <w:p w:rsidR="004A729C" w:rsidRPr="00014017" w:rsidRDefault="004A729C" w:rsidP="004A729C">
      <w:pPr>
        <w:pStyle w:val="a4"/>
        <w:ind w:left="84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При стаціонарній стадії псоріатичної патології всі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показники були значно нижчими 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порівня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но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з прогресуючою, проте залишалися суттєво підвищеними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щодо умовно 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здорової групи спостереження. Так,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рівень гіалуронової кислоти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підвищувався у разі стаціонарної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стад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ії на 73,43%, глікозаміногліканів -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на 65,90%, оксипролін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у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ві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льного -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143,12%, оксипролін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у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зв'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язаного -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71,11%, активність еластази зростала на 344,16%, а колагенолітична активність сироватки крові на 358,17%.</w:t>
      </w:r>
    </w:p>
    <w:p w:rsidR="004A729C" w:rsidRDefault="004A729C" w:rsidP="004A729C">
      <w:pPr>
        <w:pStyle w:val="a4"/>
        <w:ind w:left="84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Аналіз свідчить, що динамічні показники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оцінки стану сполучної тканини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тісно корелюють з активністю патологічного процесу.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У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стаціонарну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стадію знижуються рівень гіалуронової кислоти 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на 39,92%, колагеноліт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ична активність -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на 72,96%, ГАГ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-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на 40,22%,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вміст 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вільного оксипроліну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-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а 59,72%, зв'язаного оксипроліну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-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на </w:t>
      </w:r>
    </w:p>
    <w:p w:rsidR="004A729C" w:rsidRDefault="004A729C" w:rsidP="004A729C">
      <w:pPr>
        <w:pStyle w:val="a4"/>
        <w:ind w:left="84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                                                                                4</w:t>
      </w:r>
    </w:p>
    <w:p w:rsidR="004A729C" w:rsidRDefault="004A729C" w:rsidP="004A729C">
      <w:pPr>
        <w:pStyle w:val="a4"/>
        <w:ind w:left="84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t>46,02% і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CB66F1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еластази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- </w:t>
      </w:r>
      <w:r w:rsidRPr="00CB66F1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на 44,53%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порівняно з прогресуючою.</w:t>
      </w:r>
      <w:r w:rsidRPr="00CB66F1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Ці дані </w:t>
      </w:r>
    </w:p>
    <w:p w:rsidR="004A729C" w:rsidRPr="00CB66F1" w:rsidRDefault="004A729C" w:rsidP="004A729C">
      <w:pPr>
        <w:pStyle w:val="a4"/>
        <w:ind w:left="84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CB66F1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можуть свідчити, що глікозаміноглікани і вільний оксипролін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мають прогностичне значення для визначення</w:t>
      </w:r>
      <w:r w:rsidRPr="00CB66F1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ступеня активності перебігу патологічного процесу і здатні слугувати моніторинговими показниками ефективності патогенетичного лікування. </w:t>
      </w:r>
    </w:p>
    <w:p w:rsidR="004A729C" w:rsidRPr="0053247B" w:rsidRDefault="004A729C" w:rsidP="004A729C">
      <w:pPr>
        <w:pStyle w:val="a4"/>
        <w:ind w:left="84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Рез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ультати вказують, що у хворих із псоріатичною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патологі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є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ю підвищені к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атаболічні процеси розпаду білка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колагену і еластину (які продукуються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фібробластами)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,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і відбува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ються ці процеси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за допомогою колагенази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та еластази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При цьому, спостерігаються значні порушення міжклітинного матриксу сполучної тканини,  дисфункція її реактивності і метаболічної активності, які здатні змінювати внутрішньокл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ітинний метаболізм, що може  поєднуватися</w:t>
      </w:r>
      <w:r w:rsidRPr="000140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з прискоренням процесів диференціювання і проліферації клітин.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При цьому </w:t>
      </w:r>
      <w:r w:rsidRPr="0053247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 сполучній тканині можуть змінюватися адгезія і міжклітинна взаємодія, ангіогенез і реактивність імунної системи, транспорт поживних речовин, іонів металів і трансдукторна функція гормонів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та</w:t>
      </w:r>
      <w:r w:rsidRPr="0053247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нейромедіаторів, цілісність структурно-функціональних одиниць клітин і внутрішньоклітинних органел.</w:t>
      </w:r>
    </w:p>
    <w:p w:rsid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4A729C" w:rsidRDefault="004A729C" w:rsidP="004A729C">
      <w:pPr>
        <w:ind w:left="840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</w:t>
      </w:r>
    </w:p>
    <w:p w:rsid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                                                                                           5                                                                                                                      </w:t>
      </w:r>
    </w:p>
    <w:p w:rsidR="004A729C" w:rsidRPr="0083113F" w:rsidRDefault="004A729C" w:rsidP="004A729C">
      <w:pPr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83113F">
        <w:rPr>
          <w:rFonts w:ascii="Times New Roman" w:hAnsi="Times New Roman" w:cs="Times New Roman"/>
          <w:b/>
          <w:noProof/>
          <w:sz w:val="28"/>
          <w:szCs w:val="28"/>
          <w:lang w:val="uk-UA"/>
        </w:rPr>
        <w:lastRenderedPageBreak/>
        <w:t>Література:</w:t>
      </w:r>
    </w:p>
    <w:p w:rsidR="004A729C" w:rsidRPr="00E85C1A" w:rsidRDefault="004A729C" w:rsidP="004A72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Ананьев О.Л. Кожно-венерические заболевания. Полный справочник /О.Л. Ананьев, Е.В. Анисимова, Н.В. Иваничкина и др.- </w:t>
      </w:r>
      <w:r w:rsidRPr="00803255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 Эксмо,2005.-608с.</w:t>
      </w:r>
    </w:p>
    <w:p w:rsidR="004A729C" w:rsidRPr="00621699" w:rsidRDefault="004A729C" w:rsidP="004A72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Дядюша Г.Ф. Система соединительной ткани и злокачественные опухоли / Г.Д. Дядюша, Э.П. Булкина.- Киев: Наукова думка, 1978.-310с</w:t>
      </w:r>
      <w:r w:rsidRPr="00621699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62169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                     </w:t>
      </w:r>
    </w:p>
    <w:p w:rsidR="004A729C" w:rsidRPr="00F7716B" w:rsidRDefault="004A729C" w:rsidP="004A72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Зайцева В.О. Анализ мониторинговых метаболических показателей у больных распространённым псориазом / О.В. Зайцева, Н.В. Жукова, Е.Г. Татузян, Л.В. Рощенюк // Експериментальна та клінічна медицина. – Харків: ХНМУ, 2009,-1.-с.89-93.</w:t>
      </w:r>
    </w:p>
    <w:p w:rsidR="004A729C" w:rsidRDefault="004A729C" w:rsidP="004A72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Зайцева О.В. Состояние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NO</w:t>
      </w:r>
      <w:r w:rsidRPr="00B649AF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синтазы и содержание оксида азота у больных псориазом /О.В. Зайцева, Н.В. Жукова, Е.А. Броше //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Вісник проблем біології і медицини.- Полтава: УМСА,2002, 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п.6-с.80-86.</w:t>
      </w:r>
    </w:p>
    <w:p w:rsidR="004A729C" w:rsidRPr="0057413C" w:rsidRDefault="004A729C" w:rsidP="004A72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Канунго М. Биохимия старения / М. Канунго.-М.: Мир,1982.-238с.</w:t>
      </w:r>
    </w:p>
    <w:p w:rsidR="004A729C" w:rsidRPr="00C27A4D" w:rsidRDefault="004A729C" w:rsidP="004A72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C27A4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Короткий Н.Г. Современная терапия тяжёлых форм псориаза /Н.Г. Короткий, А.А. Полякова // </w:t>
      </w:r>
      <w:r w:rsidRPr="00C27A4D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Consilium</w:t>
      </w:r>
      <w:r w:rsidRPr="00D4194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C27A4D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medicum</w:t>
      </w:r>
      <w:r w:rsidRPr="00C27A4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.-2005.Т.7, №1.-с.64-67.</w:t>
      </w:r>
    </w:p>
    <w:p w:rsidR="004A729C" w:rsidRPr="00747A6D" w:rsidRDefault="004A729C" w:rsidP="004A72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Криницына Ю.М. Современные методы лечения больных псориазом./ Ю.М. Криницына, Б.Н. Кривошей, М.Н. Ермаков // Методические рекомендации.- Новосибирск, 1997.-с.-16.</w:t>
      </w:r>
    </w:p>
    <w:p w:rsidR="004A729C" w:rsidRPr="00E85C1A" w:rsidRDefault="004A729C" w:rsidP="004A72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Кутасевич Я.Ф. Современный взгляд на проблему псориаза / Я.Ф. Кутасевич // Дерматоло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гия и венерология.-2002.-№2.-с.3-9</w:t>
      </w:r>
    </w:p>
    <w:p w:rsidR="004A729C" w:rsidRPr="00C27A4D" w:rsidRDefault="004A729C" w:rsidP="004A72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Мавров И.И. Дерматология и венерология в контексте </w:t>
      </w:r>
      <w:r w:rsidRPr="00C078B2">
        <w:rPr>
          <w:rFonts w:ascii="Times New Roman" w:hAnsi="Times New Roman" w:cs="Times New Roman"/>
          <w:noProof/>
          <w:sz w:val="28"/>
          <w:szCs w:val="28"/>
          <w:lang w:eastAsia="ru-RU"/>
        </w:rPr>
        <w:t>общемедицинских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проблем / И.И. Мавров //  Дерматология и венерология.- №5, Харьков, 2003.-с.10-21</w:t>
      </w:r>
    </w:p>
    <w:p w:rsidR="004A729C" w:rsidRPr="0057413C" w:rsidRDefault="004A729C" w:rsidP="004A72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Серов В.В. Соединительная ткань (функциональная морфология и общая патология) / В.В. Серов, А.Б. Шехтер.-М.: Медицина,1981.-312с.</w:t>
      </w:r>
    </w:p>
    <w:p w:rsidR="004A729C" w:rsidRPr="00747A6D" w:rsidRDefault="004A729C" w:rsidP="004A72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Шараев П.Н. Метод определения гликозаминогликанов в биологических жидкостях / П.Н. Шараев, В.Н. Пишков, Н.И. Соловьёва и др.// Лабораторное дело.-1987.-№5.-С.330-332.</w:t>
      </w:r>
    </w:p>
    <w:p w:rsidR="004A729C" w:rsidRPr="0057413C" w:rsidRDefault="004A729C" w:rsidP="004A72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Шараев П.Н. Определение коллагенолитической активности плазмы крови / П.Н. Шараев, В.Н. Пишков, Н.Г. Зворыгина и др. // Лабораторное дело.-1987.- №1.-с.60-62.</w:t>
      </w:r>
    </w:p>
    <w:p w:rsidR="004A729C" w:rsidRDefault="004A729C" w:rsidP="004A729C">
      <w:pPr>
        <w:ind w:left="14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A729C" w:rsidRDefault="004A729C" w:rsidP="004A729C">
      <w:pPr>
        <w:ind w:left="14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A729C" w:rsidRDefault="004A729C" w:rsidP="004A729C">
      <w:pPr>
        <w:ind w:left="14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A6E93" w:rsidRPr="004A729C" w:rsidRDefault="004A729C" w:rsidP="004A729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                                                                                           6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</w:t>
      </w:r>
    </w:p>
    <w:sectPr w:rsidR="007A6E93" w:rsidRPr="004A7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39EF"/>
    <w:multiLevelType w:val="hybridMultilevel"/>
    <w:tmpl w:val="EE06EB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729C"/>
    <w:rsid w:val="004A729C"/>
    <w:rsid w:val="007A6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2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729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1919</Words>
  <Characters>10943</Characters>
  <Application>Microsoft Office Word</Application>
  <DocSecurity>0</DocSecurity>
  <Lines>91</Lines>
  <Paragraphs>25</Paragraphs>
  <ScaleCrop>false</ScaleCrop>
  <Company/>
  <LinksUpToDate>false</LinksUpToDate>
  <CharactersWithSpaces>12837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2017-05-13T08:40:00Z</dcterms:created>
  <dcterms:modified xsi:type="dcterms:W3CDTF">2017-05-13T08:40:00Z</dcterms:modified>
</cp:coreProperties>
</file>