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303" w:rsidRDefault="00077303" w:rsidP="00E10867">
      <w:pPr>
        <w:spacing w:line="360" w:lineRule="auto"/>
        <w:jc w:val="center"/>
        <w:rPr>
          <w:sz w:val="28"/>
          <w:szCs w:val="28"/>
        </w:rPr>
      </w:pPr>
      <w:r>
        <w:rPr>
          <w:sz w:val="28"/>
          <w:szCs w:val="28"/>
          <w:lang w:val="uk-UA"/>
        </w:rPr>
        <w:t>МІНІСТЕРСТВО ОХОРОНИ ЗДОРОВ’</w:t>
      </w:r>
      <w:r>
        <w:rPr>
          <w:sz w:val="28"/>
          <w:szCs w:val="28"/>
        </w:rPr>
        <w:t>Я УКРАЇНИ</w:t>
      </w:r>
    </w:p>
    <w:p w:rsidR="00077303" w:rsidRDefault="00077303" w:rsidP="00E10867">
      <w:pPr>
        <w:spacing w:line="360" w:lineRule="auto"/>
        <w:jc w:val="center"/>
        <w:rPr>
          <w:sz w:val="28"/>
          <w:szCs w:val="28"/>
          <w:lang w:val="uk-UA"/>
        </w:rPr>
      </w:pPr>
      <w:r>
        <w:rPr>
          <w:sz w:val="28"/>
          <w:szCs w:val="28"/>
          <w:lang w:val="uk-UA"/>
        </w:rPr>
        <w:t>ХАРКІВСЬКА МЕДИЧНА АКАДЕМІЯ ПІСЛЯДИПЛОМНОЇ ОСВІТИ</w:t>
      </w: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 xml:space="preserve">Глущенко Світлана Володимирівна </w:t>
      </w:r>
      <w:bookmarkStart w:id="0" w:name="_GoBack"/>
      <w:bookmarkEnd w:id="0"/>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 xml:space="preserve">УДК    616.36–003.8–008.9–06:616.379–008.64–07:577.112.386]–085.27      </w:t>
      </w:r>
    </w:p>
    <w:p w:rsidR="00077303" w:rsidRDefault="00077303" w:rsidP="00E10867">
      <w:pPr>
        <w:spacing w:line="360" w:lineRule="auto"/>
        <w:jc w:val="center"/>
        <w:rPr>
          <w:sz w:val="28"/>
          <w:szCs w:val="28"/>
          <w:lang w:val="uk-UA"/>
        </w:rPr>
      </w:pPr>
      <w:r>
        <w:rPr>
          <w:sz w:val="28"/>
          <w:szCs w:val="28"/>
          <w:lang w:val="uk-UA"/>
        </w:rPr>
        <w:t xml:space="preserve"> </w:t>
      </w:r>
    </w:p>
    <w:p w:rsidR="00077303" w:rsidRDefault="00077303" w:rsidP="00E10867">
      <w:pPr>
        <w:spacing w:line="360" w:lineRule="auto"/>
        <w:jc w:val="center"/>
        <w:rPr>
          <w:sz w:val="28"/>
          <w:szCs w:val="28"/>
          <w:lang w:val="uk-UA"/>
        </w:rPr>
      </w:pPr>
    </w:p>
    <w:p w:rsidR="00077303" w:rsidRPr="00673987" w:rsidRDefault="00077303" w:rsidP="00E10867">
      <w:pPr>
        <w:spacing w:line="360" w:lineRule="auto"/>
        <w:jc w:val="center"/>
        <w:rPr>
          <w:sz w:val="28"/>
          <w:lang w:val="uk-UA"/>
        </w:rPr>
      </w:pPr>
      <w:r w:rsidRPr="00673987">
        <w:rPr>
          <w:sz w:val="28"/>
          <w:lang w:val="uk-UA"/>
        </w:rPr>
        <w:t>ОПТИМІЗАЦІЯ ДІАГНОСТИКИ ТА ЛІКУВАННЯ НЕАЛКОГОЛЬНОГО СТЕАТОГЕПАТИТА У ХВОРИХ НА ЦУКРОВИЙ ДІАБЕТ 2 ТИПУ ШЛЯХОМ ВИВЧЕННЯ МАРКЕРІВ МІТОХОНДРІАЛЬНОЇ ДИСФУНКЦІЇ</w:t>
      </w: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14.01.02 – внутрішні хвороби</w:t>
      </w:r>
    </w:p>
    <w:p w:rsidR="00077303" w:rsidRDefault="00077303" w:rsidP="00E10867">
      <w:pPr>
        <w:spacing w:line="360" w:lineRule="auto"/>
        <w:rPr>
          <w:sz w:val="28"/>
          <w:szCs w:val="28"/>
          <w:lang w:val="uk-UA"/>
        </w:rPr>
      </w:pPr>
    </w:p>
    <w:p w:rsidR="00077303" w:rsidRDefault="00077303" w:rsidP="00E10867">
      <w:pPr>
        <w:spacing w:line="360" w:lineRule="auto"/>
        <w:jc w:val="center"/>
        <w:rPr>
          <w:sz w:val="28"/>
          <w:szCs w:val="28"/>
          <w:lang w:val="uk-UA"/>
        </w:rPr>
      </w:pPr>
      <w:r>
        <w:rPr>
          <w:sz w:val="28"/>
          <w:szCs w:val="28"/>
          <w:lang w:val="uk-UA"/>
        </w:rPr>
        <w:t>дисертація</w:t>
      </w:r>
    </w:p>
    <w:p w:rsidR="00077303" w:rsidRDefault="00077303" w:rsidP="00E10867">
      <w:pPr>
        <w:spacing w:line="360" w:lineRule="auto"/>
        <w:jc w:val="center"/>
        <w:rPr>
          <w:sz w:val="28"/>
          <w:szCs w:val="28"/>
          <w:lang w:val="uk-UA"/>
        </w:rPr>
      </w:pPr>
      <w:r>
        <w:rPr>
          <w:sz w:val="28"/>
          <w:szCs w:val="28"/>
          <w:lang w:val="uk-UA"/>
        </w:rPr>
        <w:t>на здобуття наукового ступеня кандидата медичних наук</w:t>
      </w: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ind w:left="7020" w:hanging="900"/>
        <w:jc w:val="both"/>
        <w:rPr>
          <w:sz w:val="28"/>
          <w:szCs w:val="28"/>
          <w:lang w:val="uk-UA"/>
        </w:rPr>
      </w:pPr>
      <w:r>
        <w:rPr>
          <w:sz w:val="28"/>
          <w:szCs w:val="28"/>
          <w:lang w:val="uk-UA"/>
        </w:rPr>
        <w:t>Науковий керівник:</w:t>
      </w:r>
    </w:p>
    <w:p w:rsidR="00077303" w:rsidRDefault="00077303" w:rsidP="00E10867">
      <w:pPr>
        <w:spacing w:line="360" w:lineRule="auto"/>
        <w:ind w:left="7020" w:hanging="900"/>
        <w:jc w:val="both"/>
        <w:rPr>
          <w:sz w:val="28"/>
          <w:szCs w:val="28"/>
          <w:lang w:val="uk-UA"/>
        </w:rPr>
      </w:pPr>
      <w:r>
        <w:rPr>
          <w:sz w:val="28"/>
          <w:szCs w:val="28"/>
          <w:lang w:val="uk-UA"/>
        </w:rPr>
        <w:t>доктор медичних наук</w:t>
      </w:r>
    </w:p>
    <w:p w:rsidR="00077303" w:rsidRDefault="00077303" w:rsidP="00E10867">
      <w:pPr>
        <w:spacing w:line="360" w:lineRule="auto"/>
        <w:ind w:left="7020" w:hanging="900"/>
        <w:jc w:val="both"/>
        <w:rPr>
          <w:sz w:val="28"/>
          <w:szCs w:val="28"/>
          <w:lang w:val="uk-UA"/>
        </w:rPr>
      </w:pPr>
      <w:r>
        <w:rPr>
          <w:sz w:val="28"/>
          <w:szCs w:val="28"/>
          <w:lang w:val="uk-UA"/>
        </w:rPr>
        <w:t>Професор Звягінцева</w:t>
      </w:r>
    </w:p>
    <w:p w:rsidR="00077303" w:rsidRDefault="00077303" w:rsidP="00E10867">
      <w:pPr>
        <w:spacing w:line="360" w:lineRule="auto"/>
        <w:ind w:left="7020" w:hanging="900"/>
        <w:jc w:val="both"/>
        <w:rPr>
          <w:sz w:val="28"/>
          <w:szCs w:val="28"/>
          <w:lang w:val="uk-UA"/>
        </w:rPr>
      </w:pPr>
      <w:r>
        <w:rPr>
          <w:sz w:val="28"/>
          <w:szCs w:val="28"/>
          <w:lang w:val="uk-UA"/>
        </w:rPr>
        <w:t>Тетяна Дмитрівна</w:t>
      </w:r>
    </w:p>
    <w:p w:rsidR="00077303" w:rsidRDefault="00077303" w:rsidP="00E10867">
      <w:pPr>
        <w:spacing w:line="360" w:lineRule="auto"/>
        <w:jc w:val="center"/>
        <w:rPr>
          <w:sz w:val="28"/>
          <w:szCs w:val="28"/>
          <w:lang w:val="uk-UA"/>
        </w:rPr>
      </w:pPr>
    </w:p>
    <w:p w:rsidR="00077303" w:rsidRDefault="00077303" w:rsidP="00E10867">
      <w:pPr>
        <w:spacing w:line="360" w:lineRule="auto"/>
        <w:rPr>
          <w:sz w:val="28"/>
          <w:szCs w:val="28"/>
          <w:lang w:val="uk-UA"/>
        </w:rPr>
      </w:pPr>
    </w:p>
    <w:p w:rsidR="00077303" w:rsidRDefault="00077303" w:rsidP="00E10867">
      <w:pPr>
        <w:spacing w:line="360" w:lineRule="auto"/>
        <w:jc w:val="center"/>
        <w:rPr>
          <w:sz w:val="28"/>
          <w:szCs w:val="28"/>
          <w:lang w:val="uk-UA"/>
        </w:rPr>
      </w:pPr>
    </w:p>
    <w:p w:rsidR="00077303" w:rsidRPr="00423488" w:rsidRDefault="00077303" w:rsidP="00E10867">
      <w:pPr>
        <w:spacing w:line="360" w:lineRule="auto"/>
        <w:jc w:val="center"/>
        <w:rPr>
          <w:sz w:val="28"/>
          <w:szCs w:val="28"/>
        </w:rPr>
      </w:pPr>
      <w:r>
        <w:rPr>
          <w:sz w:val="28"/>
          <w:szCs w:val="28"/>
          <w:lang w:val="uk-UA"/>
        </w:rPr>
        <w:t xml:space="preserve">Харків – 2015 </w:t>
      </w:r>
    </w:p>
    <w:p w:rsidR="00077303" w:rsidRPr="00DB1CA7" w:rsidRDefault="00077303" w:rsidP="00E10867">
      <w:pPr>
        <w:spacing w:line="360" w:lineRule="auto"/>
        <w:jc w:val="center"/>
        <w:rPr>
          <w:b/>
          <w:sz w:val="28"/>
          <w:szCs w:val="28"/>
          <w:lang w:val="uk-UA"/>
        </w:rPr>
      </w:pPr>
      <w:r w:rsidRPr="00DB1CA7">
        <w:rPr>
          <w:b/>
          <w:sz w:val="28"/>
          <w:szCs w:val="28"/>
          <w:lang w:val="uk-UA"/>
        </w:rPr>
        <w:lastRenderedPageBreak/>
        <w:t>ЗМІСТ</w:t>
      </w:r>
    </w:p>
    <w:p w:rsidR="00077303" w:rsidRDefault="00077303" w:rsidP="00E10867">
      <w:pPr>
        <w:spacing w:line="360" w:lineRule="auto"/>
        <w:jc w:val="both"/>
        <w:rPr>
          <w:sz w:val="28"/>
          <w:szCs w:val="28"/>
          <w:lang w:val="uk-UA"/>
        </w:rPr>
      </w:pPr>
      <w:r>
        <w:rPr>
          <w:sz w:val="28"/>
          <w:szCs w:val="28"/>
          <w:lang w:val="uk-UA"/>
        </w:rPr>
        <w:t>ПЕРЕЛІК УМОВНИХ СКОРОЧЕНЬ ……………………………………………….…. 4</w:t>
      </w:r>
    </w:p>
    <w:p w:rsidR="00077303" w:rsidRDefault="00077303" w:rsidP="00E10867">
      <w:pPr>
        <w:spacing w:line="360" w:lineRule="auto"/>
        <w:jc w:val="both"/>
        <w:rPr>
          <w:sz w:val="28"/>
          <w:szCs w:val="28"/>
          <w:lang w:val="uk-UA"/>
        </w:rPr>
      </w:pPr>
      <w:r>
        <w:rPr>
          <w:sz w:val="28"/>
          <w:szCs w:val="28"/>
          <w:lang w:val="uk-UA"/>
        </w:rPr>
        <w:t>ВСТУП ……………………………………………………………………………….…... 5</w:t>
      </w:r>
    </w:p>
    <w:p w:rsidR="00077303" w:rsidRPr="007C2A38" w:rsidRDefault="00077303" w:rsidP="00E10867">
      <w:pPr>
        <w:spacing w:line="360" w:lineRule="auto"/>
        <w:jc w:val="both"/>
        <w:rPr>
          <w:sz w:val="28"/>
          <w:szCs w:val="28"/>
        </w:rPr>
      </w:pPr>
      <w:r>
        <w:rPr>
          <w:sz w:val="28"/>
          <w:szCs w:val="28"/>
          <w:lang w:val="uk-UA"/>
        </w:rPr>
        <w:t>РОЗДІЛ 1. ОГЛЯД ЛІТЕРАТУРИ……………</w:t>
      </w:r>
      <w:r>
        <w:rPr>
          <w:sz w:val="28"/>
          <w:szCs w:val="28"/>
        </w:rPr>
        <w:t>…..</w:t>
      </w:r>
      <w:r>
        <w:rPr>
          <w:sz w:val="28"/>
          <w:szCs w:val="28"/>
          <w:lang w:val="uk-UA"/>
        </w:rPr>
        <w:t>…….…………………………….....11</w:t>
      </w:r>
    </w:p>
    <w:p w:rsidR="00077303" w:rsidRDefault="00077303" w:rsidP="00E10867">
      <w:pPr>
        <w:numPr>
          <w:ilvl w:val="1"/>
          <w:numId w:val="1"/>
        </w:numPr>
        <w:spacing w:line="360" w:lineRule="auto"/>
        <w:jc w:val="both"/>
        <w:rPr>
          <w:sz w:val="28"/>
          <w:szCs w:val="28"/>
          <w:lang w:val="uk-UA"/>
        </w:rPr>
      </w:pPr>
      <w:r>
        <w:rPr>
          <w:sz w:val="28"/>
          <w:szCs w:val="28"/>
          <w:lang w:val="uk-UA"/>
        </w:rPr>
        <w:t xml:space="preserve">Сучасні уявлення про механізми розвитку та прогресування неалкогольного стеатогепатита </w:t>
      </w:r>
      <w:r w:rsidR="00545EF9">
        <w:rPr>
          <w:sz w:val="28"/>
          <w:szCs w:val="28"/>
          <w:lang w:val="uk-UA"/>
        </w:rPr>
        <w:t>у хворих на цукровий діабет 2 типу……………………………….</w:t>
      </w:r>
      <w:r>
        <w:rPr>
          <w:sz w:val="28"/>
          <w:szCs w:val="28"/>
          <w:lang w:val="uk-UA"/>
        </w:rPr>
        <w:t>……………………………………………11</w:t>
      </w:r>
    </w:p>
    <w:p w:rsidR="00077303" w:rsidRDefault="00077303" w:rsidP="00E10867">
      <w:pPr>
        <w:numPr>
          <w:ilvl w:val="1"/>
          <w:numId w:val="1"/>
        </w:numPr>
        <w:spacing w:line="360" w:lineRule="auto"/>
        <w:jc w:val="both"/>
        <w:rPr>
          <w:sz w:val="28"/>
          <w:szCs w:val="28"/>
          <w:lang w:val="uk-UA"/>
        </w:rPr>
      </w:pPr>
      <w:r>
        <w:rPr>
          <w:sz w:val="28"/>
          <w:szCs w:val="28"/>
          <w:lang w:val="uk-UA"/>
        </w:rPr>
        <w:t xml:space="preserve">Роль </w:t>
      </w:r>
      <w:r>
        <w:rPr>
          <w:sz w:val="28"/>
          <w:szCs w:val="28"/>
          <w:lang w:val="en-US"/>
        </w:rPr>
        <w:t>L</w:t>
      </w:r>
      <w:r>
        <w:rPr>
          <w:sz w:val="28"/>
          <w:szCs w:val="28"/>
          <w:lang w:val="uk-UA"/>
        </w:rPr>
        <w:t xml:space="preserve">–карнітину в розвитку мітохондріальної дисфункції та прогресуванні неалкогольного стеатогепатита </w:t>
      </w:r>
      <w:r w:rsidR="00545EF9">
        <w:rPr>
          <w:sz w:val="28"/>
          <w:szCs w:val="28"/>
          <w:lang w:val="uk-UA"/>
        </w:rPr>
        <w:t>на тлі цукрового діабету 2 типу...</w:t>
      </w:r>
      <w:r>
        <w:rPr>
          <w:sz w:val="28"/>
          <w:szCs w:val="28"/>
          <w:lang w:val="uk-UA"/>
        </w:rPr>
        <w:t>………...17</w:t>
      </w:r>
    </w:p>
    <w:p w:rsidR="00077303" w:rsidRDefault="00077303" w:rsidP="00E10867">
      <w:pPr>
        <w:numPr>
          <w:ilvl w:val="1"/>
          <w:numId w:val="1"/>
        </w:numPr>
        <w:spacing w:line="360" w:lineRule="auto"/>
        <w:jc w:val="both"/>
        <w:rPr>
          <w:sz w:val="28"/>
          <w:szCs w:val="28"/>
          <w:lang w:val="uk-UA"/>
        </w:rPr>
      </w:pPr>
      <w:r>
        <w:rPr>
          <w:sz w:val="28"/>
          <w:szCs w:val="28"/>
          <w:lang w:val="uk-UA"/>
        </w:rPr>
        <w:t xml:space="preserve">Метаболізм гомоцистеїну та його роль в розвитку неалкогольного стеатогепатита </w:t>
      </w:r>
      <w:r w:rsidR="00545EF9">
        <w:rPr>
          <w:sz w:val="28"/>
          <w:szCs w:val="28"/>
          <w:lang w:val="uk-UA"/>
        </w:rPr>
        <w:t>при поєднанні з цукровим діабетом 2 типу</w:t>
      </w:r>
      <w:r>
        <w:rPr>
          <w:sz w:val="28"/>
          <w:szCs w:val="28"/>
          <w:lang w:val="uk-UA"/>
        </w:rPr>
        <w:t>………</w:t>
      </w:r>
      <w:r w:rsidR="00545EF9">
        <w:rPr>
          <w:sz w:val="28"/>
          <w:szCs w:val="28"/>
          <w:lang w:val="uk-UA"/>
        </w:rPr>
        <w:t>...</w:t>
      </w:r>
      <w:r>
        <w:rPr>
          <w:sz w:val="28"/>
          <w:szCs w:val="28"/>
          <w:lang w:val="uk-UA"/>
        </w:rPr>
        <w:t>………20</w:t>
      </w:r>
    </w:p>
    <w:p w:rsidR="00077303" w:rsidRDefault="00077303" w:rsidP="00E10867">
      <w:pPr>
        <w:numPr>
          <w:ilvl w:val="1"/>
          <w:numId w:val="1"/>
        </w:numPr>
        <w:spacing w:line="360" w:lineRule="auto"/>
        <w:jc w:val="both"/>
        <w:rPr>
          <w:sz w:val="28"/>
          <w:szCs w:val="28"/>
          <w:lang w:val="uk-UA"/>
        </w:rPr>
      </w:pPr>
      <w:r>
        <w:rPr>
          <w:sz w:val="28"/>
          <w:szCs w:val="28"/>
          <w:lang w:val="uk-UA"/>
        </w:rPr>
        <w:t>Роль прозапальних цитокінів в розвитку неалкогольного стеатогепатита</w:t>
      </w:r>
      <w:r w:rsidR="00545EF9">
        <w:rPr>
          <w:sz w:val="28"/>
          <w:szCs w:val="28"/>
          <w:lang w:val="uk-UA"/>
        </w:rPr>
        <w:t xml:space="preserve"> при цукровому діабеті 2 типу………………..</w:t>
      </w:r>
      <w:r>
        <w:rPr>
          <w:sz w:val="28"/>
          <w:szCs w:val="28"/>
          <w:lang w:val="uk-UA"/>
        </w:rPr>
        <w:t>…………………………………</w:t>
      </w:r>
      <w:r w:rsidR="00545EF9">
        <w:rPr>
          <w:sz w:val="28"/>
          <w:szCs w:val="28"/>
          <w:lang w:val="uk-UA"/>
        </w:rPr>
        <w:t>…</w:t>
      </w:r>
      <w:r>
        <w:rPr>
          <w:sz w:val="28"/>
          <w:szCs w:val="28"/>
          <w:lang w:val="uk-UA"/>
        </w:rPr>
        <w:t>.24</w:t>
      </w:r>
    </w:p>
    <w:p w:rsidR="00077303" w:rsidRDefault="00077303" w:rsidP="00E10867">
      <w:pPr>
        <w:numPr>
          <w:ilvl w:val="1"/>
          <w:numId w:val="1"/>
        </w:numPr>
        <w:spacing w:line="360" w:lineRule="auto"/>
        <w:jc w:val="both"/>
        <w:rPr>
          <w:sz w:val="28"/>
          <w:szCs w:val="28"/>
          <w:lang w:val="uk-UA"/>
        </w:rPr>
      </w:pPr>
      <w:r>
        <w:rPr>
          <w:sz w:val="28"/>
          <w:szCs w:val="28"/>
          <w:lang w:val="uk-UA"/>
        </w:rPr>
        <w:t xml:space="preserve">Стан процесів перекісного окиснення ліпідів при неалкогольному стеатогепатиті </w:t>
      </w:r>
      <w:r w:rsidR="00545EF9">
        <w:rPr>
          <w:sz w:val="28"/>
          <w:szCs w:val="28"/>
          <w:lang w:val="uk-UA"/>
        </w:rPr>
        <w:t>у хворих на цукровий діабет 2 типу</w:t>
      </w:r>
      <w:r>
        <w:rPr>
          <w:sz w:val="28"/>
          <w:szCs w:val="28"/>
          <w:lang w:val="uk-UA"/>
        </w:rPr>
        <w:t>…………………………27</w:t>
      </w:r>
    </w:p>
    <w:p w:rsidR="00077303" w:rsidRDefault="00077303" w:rsidP="00E10867">
      <w:pPr>
        <w:numPr>
          <w:ilvl w:val="1"/>
          <w:numId w:val="1"/>
        </w:numPr>
        <w:spacing w:line="360" w:lineRule="auto"/>
        <w:jc w:val="both"/>
        <w:rPr>
          <w:sz w:val="28"/>
          <w:szCs w:val="28"/>
          <w:lang w:val="uk-UA"/>
        </w:rPr>
      </w:pPr>
      <w:r>
        <w:rPr>
          <w:sz w:val="28"/>
          <w:szCs w:val="28"/>
          <w:lang w:val="uk-UA"/>
        </w:rPr>
        <w:t xml:space="preserve">Сучасні проблеми лікування неалкогольного стеатогепатита </w:t>
      </w:r>
      <w:r w:rsidR="00545EF9">
        <w:rPr>
          <w:sz w:val="28"/>
          <w:szCs w:val="28"/>
          <w:lang w:val="uk-UA"/>
        </w:rPr>
        <w:t>у хворих на цукровий діабет 2 типу………………………………………….</w:t>
      </w:r>
      <w:r>
        <w:rPr>
          <w:sz w:val="28"/>
          <w:szCs w:val="28"/>
          <w:lang w:val="uk-UA"/>
        </w:rPr>
        <w:t>…………....30</w:t>
      </w:r>
    </w:p>
    <w:p w:rsidR="00077303" w:rsidRDefault="00077303" w:rsidP="00E10867">
      <w:pPr>
        <w:spacing w:line="360" w:lineRule="auto"/>
        <w:jc w:val="both"/>
        <w:rPr>
          <w:sz w:val="28"/>
          <w:szCs w:val="28"/>
          <w:lang w:val="uk-UA"/>
        </w:rPr>
      </w:pPr>
      <w:r>
        <w:rPr>
          <w:sz w:val="28"/>
          <w:szCs w:val="28"/>
          <w:lang w:val="uk-UA"/>
        </w:rPr>
        <w:t>РОЗДІЛ 2. МАТЕРІАЛИ ТА МЕТОДИ ДОСЛІДЖЕННЯ ……………………….....36</w:t>
      </w:r>
    </w:p>
    <w:p w:rsidR="00077303" w:rsidRDefault="00077303" w:rsidP="00E10867">
      <w:pPr>
        <w:spacing w:line="360" w:lineRule="auto"/>
        <w:jc w:val="both"/>
        <w:rPr>
          <w:sz w:val="28"/>
          <w:szCs w:val="28"/>
          <w:lang w:val="uk-UA"/>
        </w:rPr>
      </w:pPr>
      <w:r>
        <w:rPr>
          <w:sz w:val="28"/>
          <w:szCs w:val="28"/>
          <w:lang w:val="uk-UA"/>
        </w:rPr>
        <w:t xml:space="preserve">     2.1    Характеристика хворих, які обстежені та осіб контрольної групи ............36</w:t>
      </w:r>
    </w:p>
    <w:p w:rsidR="00077303" w:rsidRDefault="00077303" w:rsidP="00E10867">
      <w:pPr>
        <w:spacing w:line="360" w:lineRule="auto"/>
        <w:jc w:val="both"/>
        <w:rPr>
          <w:sz w:val="28"/>
          <w:szCs w:val="28"/>
          <w:lang w:val="uk-UA"/>
        </w:rPr>
      </w:pPr>
      <w:r>
        <w:rPr>
          <w:sz w:val="28"/>
          <w:szCs w:val="28"/>
          <w:lang w:val="uk-UA"/>
        </w:rPr>
        <w:t xml:space="preserve">     2.2     Клінічна характеристика хворих, які обстежені та осіб контрольної групи ……………………………………………………………………………………………36</w:t>
      </w:r>
    </w:p>
    <w:p w:rsidR="00077303" w:rsidRDefault="00077303" w:rsidP="00E10867">
      <w:pPr>
        <w:spacing w:line="360" w:lineRule="auto"/>
        <w:jc w:val="both"/>
        <w:rPr>
          <w:sz w:val="28"/>
          <w:szCs w:val="28"/>
          <w:lang w:val="uk-UA"/>
        </w:rPr>
      </w:pPr>
      <w:r>
        <w:rPr>
          <w:sz w:val="28"/>
          <w:szCs w:val="28"/>
          <w:lang w:val="uk-UA"/>
        </w:rPr>
        <w:t xml:space="preserve">     2.3     Методи обстеження хворих ……………………………………..……………4</w:t>
      </w:r>
      <w:r w:rsidR="00545EF9">
        <w:rPr>
          <w:sz w:val="28"/>
          <w:szCs w:val="28"/>
          <w:lang w:val="uk-UA"/>
        </w:rPr>
        <w:t>3</w:t>
      </w:r>
    </w:p>
    <w:p w:rsidR="00077303" w:rsidRDefault="00077303" w:rsidP="00E10867">
      <w:pPr>
        <w:spacing w:line="360" w:lineRule="auto"/>
        <w:jc w:val="both"/>
        <w:rPr>
          <w:sz w:val="28"/>
          <w:szCs w:val="28"/>
          <w:lang w:val="uk-UA"/>
        </w:rPr>
      </w:pPr>
      <w:r>
        <w:rPr>
          <w:sz w:val="28"/>
          <w:szCs w:val="28"/>
          <w:lang w:val="uk-UA"/>
        </w:rPr>
        <w:t xml:space="preserve">              2.3.1   Методи лабораторно</w:t>
      </w:r>
      <w:r w:rsidR="00545EF9">
        <w:rPr>
          <w:sz w:val="28"/>
          <w:szCs w:val="28"/>
          <w:lang w:val="uk-UA"/>
        </w:rPr>
        <w:t>го дослідження ………………..…………….…44</w:t>
      </w:r>
    </w:p>
    <w:p w:rsidR="00077303" w:rsidRDefault="00077303" w:rsidP="00E10867">
      <w:pPr>
        <w:spacing w:line="360" w:lineRule="auto"/>
        <w:jc w:val="both"/>
        <w:rPr>
          <w:sz w:val="28"/>
          <w:szCs w:val="28"/>
          <w:lang w:val="uk-UA"/>
        </w:rPr>
      </w:pPr>
      <w:r>
        <w:rPr>
          <w:sz w:val="28"/>
          <w:szCs w:val="28"/>
          <w:lang w:val="uk-UA"/>
        </w:rPr>
        <w:t xml:space="preserve">              2.3.2   Методи інструментального дослідженн</w:t>
      </w:r>
      <w:r w:rsidR="00545EF9">
        <w:rPr>
          <w:sz w:val="28"/>
          <w:szCs w:val="28"/>
          <w:lang w:val="uk-UA"/>
        </w:rPr>
        <w:t>я ………………………..….47</w:t>
      </w:r>
    </w:p>
    <w:p w:rsidR="00077303" w:rsidRDefault="00077303" w:rsidP="00E10867">
      <w:pPr>
        <w:spacing w:line="360" w:lineRule="auto"/>
        <w:jc w:val="both"/>
        <w:rPr>
          <w:sz w:val="28"/>
          <w:szCs w:val="28"/>
          <w:lang w:val="uk-UA"/>
        </w:rPr>
      </w:pPr>
      <w:r>
        <w:rPr>
          <w:sz w:val="28"/>
          <w:szCs w:val="28"/>
          <w:lang w:val="uk-UA"/>
        </w:rPr>
        <w:t xml:space="preserve">              2.3.3   Статистична обробка результатів дослідження ……………………..48</w:t>
      </w:r>
    </w:p>
    <w:p w:rsidR="00077303" w:rsidRDefault="00077303" w:rsidP="00E10867">
      <w:pPr>
        <w:spacing w:line="360" w:lineRule="auto"/>
        <w:jc w:val="both"/>
        <w:rPr>
          <w:sz w:val="28"/>
          <w:szCs w:val="28"/>
          <w:lang w:val="uk-UA"/>
        </w:rPr>
      </w:pPr>
      <w:r>
        <w:rPr>
          <w:sz w:val="28"/>
          <w:szCs w:val="28"/>
          <w:lang w:val="uk-UA"/>
        </w:rPr>
        <w:t>РОЗДІЛ 3. РЕЗУЛЬТАТИ ВЛ</w:t>
      </w:r>
      <w:r w:rsidR="00545EF9">
        <w:rPr>
          <w:sz w:val="28"/>
          <w:szCs w:val="28"/>
          <w:lang w:val="uk-UA"/>
        </w:rPr>
        <w:t>АСНИХ ДОСЛІДЖЕНЬ ……………………………..50</w:t>
      </w:r>
    </w:p>
    <w:p w:rsidR="00077303" w:rsidRDefault="00077303" w:rsidP="00E10867">
      <w:pPr>
        <w:spacing w:line="360" w:lineRule="auto"/>
        <w:jc w:val="both"/>
        <w:rPr>
          <w:sz w:val="28"/>
          <w:szCs w:val="28"/>
          <w:lang w:val="uk-UA"/>
        </w:rPr>
      </w:pPr>
      <w:r>
        <w:rPr>
          <w:sz w:val="28"/>
          <w:szCs w:val="28"/>
          <w:lang w:val="uk-UA"/>
        </w:rPr>
        <w:t xml:space="preserve">    3.1   Вміст прозапальних цитокінів в сироватці крові у хворих неалкогольним стеатогепатитом у поєднанні з цукровим діабетом 2 типу…………</w:t>
      </w:r>
      <w:r w:rsidR="00545EF9">
        <w:rPr>
          <w:sz w:val="28"/>
          <w:szCs w:val="28"/>
          <w:lang w:val="uk-UA"/>
        </w:rPr>
        <w:t>…………………………………………………………………………….50</w:t>
      </w:r>
    </w:p>
    <w:p w:rsidR="00077303" w:rsidRDefault="00077303" w:rsidP="00E10867">
      <w:pPr>
        <w:spacing w:line="360" w:lineRule="auto"/>
        <w:jc w:val="both"/>
        <w:rPr>
          <w:sz w:val="28"/>
          <w:szCs w:val="28"/>
          <w:lang w:val="uk-UA"/>
        </w:rPr>
      </w:pPr>
      <w:r>
        <w:rPr>
          <w:sz w:val="28"/>
          <w:szCs w:val="28"/>
          <w:lang w:val="uk-UA"/>
        </w:rPr>
        <w:lastRenderedPageBreak/>
        <w:t xml:space="preserve">    3.2   Роль оксиду азоту та малонового діальдегіду у розвитку неалкогольного стеатогепатита у поєднанні з цукровим діабетом 2 типу…………</w:t>
      </w:r>
      <w:r w:rsidR="00545EF9">
        <w:rPr>
          <w:sz w:val="28"/>
          <w:szCs w:val="28"/>
          <w:lang w:val="uk-UA"/>
        </w:rPr>
        <w:t>……………………………………………………………….……………56</w:t>
      </w:r>
    </w:p>
    <w:p w:rsidR="00077303" w:rsidRDefault="00077303" w:rsidP="00E10867">
      <w:pPr>
        <w:spacing w:line="360" w:lineRule="auto"/>
        <w:jc w:val="both"/>
        <w:rPr>
          <w:sz w:val="28"/>
          <w:szCs w:val="28"/>
          <w:lang w:val="uk-UA"/>
        </w:rPr>
      </w:pPr>
      <w:r>
        <w:rPr>
          <w:sz w:val="28"/>
          <w:szCs w:val="28"/>
          <w:lang w:val="uk-UA"/>
        </w:rPr>
        <w:t xml:space="preserve">    3.3   Роль </w:t>
      </w:r>
      <w:r>
        <w:rPr>
          <w:sz w:val="28"/>
          <w:szCs w:val="28"/>
          <w:lang w:val="en-US"/>
        </w:rPr>
        <w:t>L</w:t>
      </w:r>
      <w:r>
        <w:rPr>
          <w:sz w:val="28"/>
          <w:szCs w:val="28"/>
          <w:lang w:val="uk-UA"/>
        </w:rPr>
        <w:t>–карнітину у розвитку неалкогольного стеатогепатита у поєднанні з цукровим діабетом 2 типу та взаємозв</w:t>
      </w:r>
      <w:r>
        <w:rPr>
          <w:sz w:val="28"/>
          <w:szCs w:val="28"/>
        </w:rPr>
        <w:t>’</w:t>
      </w:r>
      <w:r>
        <w:rPr>
          <w:sz w:val="28"/>
          <w:szCs w:val="28"/>
          <w:lang w:val="uk-UA"/>
        </w:rPr>
        <w:t>язок з вивчаємими показниками……………………………………………………………………………...6</w:t>
      </w:r>
      <w:r w:rsidR="00545EF9">
        <w:rPr>
          <w:sz w:val="28"/>
          <w:szCs w:val="28"/>
          <w:lang w:val="uk-UA"/>
        </w:rPr>
        <w:t>4</w:t>
      </w:r>
      <w:r>
        <w:rPr>
          <w:sz w:val="28"/>
          <w:szCs w:val="28"/>
          <w:lang w:val="uk-UA"/>
        </w:rPr>
        <w:t xml:space="preserve"> </w:t>
      </w:r>
    </w:p>
    <w:p w:rsidR="00077303" w:rsidRDefault="00077303" w:rsidP="00E10867">
      <w:pPr>
        <w:spacing w:line="360" w:lineRule="auto"/>
        <w:jc w:val="both"/>
        <w:rPr>
          <w:sz w:val="28"/>
          <w:szCs w:val="28"/>
          <w:lang w:val="uk-UA"/>
        </w:rPr>
      </w:pPr>
      <w:r>
        <w:rPr>
          <w:sz w:val="28"/>
          <w:szCs w:val="28"/>
          <w:lang w:val="uk-UA"/>
        </w:rPr>
        <w:t xml:space="preserve">    3.4 Вивчення рівня гомоцистеїну у хворих неалкогольним                                       стеатогепатитом у поєднанні з цукровим діабетом 2 типу та зв’язок з вивчаємими показниками ……</w:t>
      </w:r>
      <w:r w:rsidR="00545EF9">
        <w:rPr>
          <w:sz w:val="28"/>
          <w:szCs w:val="28"/>
          <w:lang w:val="uk-UA"/>
        </w:rPr>
        <w:t>…………………………………………….………………………...71</w:t>
      </w:r>
    </w:p>
    <w:p w:rsidR="00077303" w:rsidRDefault="00077303" w:rsidP="00E10867">
      <w:pPr>
        <w:spacing w:line="360" w:lineRule="auto"/>
        <w:jc w:val="both"/>
        <w:rPr>
          <w:sz w:val="28"/>
          <w:szCs w:val="28"/>
          <w:lang w:val="uk-UA"/>
        </w:rPr>
      </w:pPr>
      <w:r>
        <w:rPr>
          <w:sz w:val="28"/>
          <w:szCs w:val="28"/>
          <w:lang w:val="uk-UA"/>
        </w:rPr>
        <w:t xml:space="preserve">РОЗДІЛ 4. ВПЛИВ КОМПЛЕКСНОЇ ТЕРАПІЇ НА ПОКАЗНИКИ </w:t>
      </w:r>
      <w:r>
        <w:rPr>
          <w:sz w:val="28"/>
          <w:szCs w:val="28"/>
          <w:lang w:val="en-US"/>
        </w:rPr>
        <w:t>L</w:t>
      </w:r>
      <w:r>
        <w:rPr>
          <w:sz w:val="28"/>
          <w:szCs w:val="28"/>
          <w:lang w:val="uk-UA"/>
        </w:rPr>
        <w:t>–КАРНІТИНУ, ГОМОЦИСТЕЇНУ, ПРОЗАПАЛЬНИХ ЦИТОКІНІВ ТА ОКСИДУ АЗОТУ І МАЛОНОВОГО ДІАЛЬДЕГІДУ У ХВОРИХ НЕАЛКОГОЛЬНИМ СТЕАТОГЕПАТИТОМ  У ПОЄДНАННІ З ЦУКРОВИМ ДІАБЕТОМ 2 ТИПУ……………</w:t>
      </w:r>
      <w:r w:rsidR="00545EF9">
        <w:rPr>
          <w:sz w:val="28"/>
          <w:szCs w:val="28"/>
          <w:lang w:val="uk-UA"/>
        </w:rPr>
        <w:t>………………………………………………………..……………..82</w:t>
      </w:r>
      <w:r>
        <w:rPr>
          <w:sz w:val="28"/>
          <w:szCs w:val="28"/>
          <w:lang w:val="uk-UA"/>
        </w:rPr>
        <w:t xml:space="preserve">      </w:t>
      </w:r>
    </w:p>
    <w:p w:rsidR="00077303" w:rsidRDefault="00077303" w:rsidP="00E10867">
      <w:pPr>
        <w:spacing w:line="360" w:lineRule="auto"/>
        <w:jc w:val="both"/>
        <w:rPr>
          <w:sz w:val="28"/>
          <w:szCs w:val="28"/>
          <w:lang w:val="uk-UA"/>
        </w:rPr>
      </w:pPr>
      <w:r>
        <w:rPr>
          <w:sz w:val="28"/>
          <w:szCs w:val="28"/>
          <w:lang w:val="uk-UA"/>
        </w:rPr>
        <w:t>РОЗДІЛ 5. АНАЛІЗ ТА УЗАГАЛЬНЕННЯ РЕЗУЛЬТАТІВ ДОСЛІДЖЕННЯ</w:t>
      </w:r>
      <w:r w:rsidR="00545EF9">
        <w:rPr>
          <w:sz w:val="28"/>
          <w:szCs w:val="28"/>
          <w:lang w:val="uk-UA"/>
        </w:rPr>
        <w:t>……………………………………………………………………..….95</w:t>
      </w:r>
    </w:p>
    <w:p w:rsidR="00077303" w:rsidRDefault="00077303" w:rsidP="00E10867">
      <w:pPr>
        <w:spacing w:line="360" w:lineRule="auto"/>
        <w:jc w:val="both"/>
        <w:rPr>
          <w:sz w:val="28"/>
          <w:szCs w:val="28"/>
          <w:lang w:val="uk-UA"/>
        </w:rPr>
      </w:pPr>
      <w:r>
        <w:rPr>
          <w:sz w:val="28"/>
          <w:szCs w:val="28"/>
          <w:lang w:val="uk-UA"/>
        </w:rPr>
        <w:t>ВИСНОВКИ …………………………………………………</w:t>
      </w:r>
      <w:r w:rsidR="00545EF9">
        <w:rPr>
          <w:sz w:val="28"/>
          <w:szCs w:val="28"/>
          <w:lang w:val="uk-UA"/>
        </w:rPr>
        <w:t>…………………………106</w:t>
      </w:r>
    </w:p>
    <w:p w:rsidR="00077303" w:rsidRDefault="00077303" w:rsidP="00E10867">
      <w:pPr>
        <w:spacing w:line="360" w:lineRule="auto"/>
        <w:jc w:val="both"/>
        <w:rPr>
          <w:sz w:val="28"/>
          <w:szCs w:val="28"/>
          <w:lang w:val="uk-UA"/>
        </w:rPr>
      </w:pPr>
      <w:r>
        <w:rPr>
          <w:sz w:val="28"/>
          <w:szCs w:val="28"/>
          <w:lang w:val="uk-UA"/>
        </w:rPr>
        <w:t>ПРАКТИЧНІ РЕКОМЕНД</w:t>
      </w:r>
      <w:r w:rsidR="00545EF9">
        <w:rPr>
          <w:sz w:val="28"/>
          <w:szCs w:val="28"/>
          <w:lang w:val="uk-UA"/>
        </w:rPr>
        <w:t>АЦІЇ ……………………………………….……………...108</w:t>
      </w:r>
    </w:p>
    <w:p w:rsidR="00077303" w:rsidRDefault="00077303" w:rsidP="00E10867">
      <w:pPr>
        <w:spacing w:line="360" w:lineRule="auto"/>
        <w:jc w:val="both"/>
        <w:rPr>
          <w:sz w:val="28"/>
          <w:szCs w:val="28"/>
          <w:lang w:val="uk-UA"/>
        </w:rPr>
      </w:pPr>
      <w:r>
        <w:rPr>
          <w:sz w:val="28"/>
          <w:szCs w:val="28"/>
          <w:lang w:val="uk-UA"/>
        </w:rPr>
        <w:t>СПИСОК ВИКОРИСТАНОЇ ЛІ</w:t>
      </w:r>
      <w:r w:rsidR="00545EF9">
        <w:rPr>
          <w:sz w:val="28"/>
          <w:szCs w:val="28"/>
          <w:lang w:val="uk-UA"/>
        </w:rPr>
        <w:t>ТЕРАТУРИ …………………………………..…....109</w:t>
      </w:r>
      <w:r>
        <w:rPr>
          <w:sz w:val="28"/>
          <w:szCs w:val="28"/>
          <w:lang w:val="uk-UA"/>
        </w:rPr>
        <w:t xml:space="preserve">    </w:t>
      </w:r>
    </w:p>
    <w:p w:rsidR="00077303" w:rsidRDefault="00077303" w:rsidP="00E10867">
      <w:pPr>
        <w:spacing w:line="360" w:lineRule="auto"/>
        <w:jc w:val="both"/>
        <w:rPr>
          <w:sz w:val="28"/>
          <w:szCs w:val="28"/>
          <w:lang w:val="uk-UA"/>
        </w:rPr>
      </w:pPr>
      <w:r>
        <w:rPr>
          <w:sz w:val="28"/>
          <w:szCs w:val="28"/>
          <w:lang w:val="uk-UA"/>
        </w:rPr>
        <w:t xml:space="preserve">   </w:t>
      </w:r>
    </w:p>
    <w:p w:rsidR="00077303" w:rsidRDefault="00077303"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545EF9" w:rsidRDefault="00545EF9" w:rsidP="00E10867">
      <w:pPr>
        <w:spacing w:line="360" w:lineRule="auto"/>
        <w:jc w:val="both"/>
        <w:rPr>
          <w:sz w:val="28"/>
          <w:szCs w:val="28"/>
          <w:lang w:val="uk-UA"/>
        </w:rPr>
      </w:pPr>
    </w:p>
    <w:p w:rsidR="00077303" w:rsidRDefault="00077303" w:rsidP="00E10867">
      <w:pPr>
        <w:spacing w:line="360" w:lineRule="auto"/>
        <w:jc w:val="both"/>
        <w:rPr>
          <w:sz w:val="28"/>
          <w:szCs w:val="28"/>
          <w:lang w:val="uk-UA"/>
        </w:rPr>
      </w:pPr>
    </w:p>
    <w:p w:rsidR="00077303" w:rsidRPr="001F60DB" w:rsidRDefault="00077303" w:rsidP="00E10867">
      <w:pPr>
        <w:spacing w:line="360" w:lineRule="auto"/>
        <w:rPr>
          <w:sz w:val="28"/>
          <w:szCs w:val="28"/>
          <w:lang w:val="uk-UA"/>
        </w:rPr>
      </w:pPr>
    </w:p>
    <w:p w:rsidR="00077303" w:rsidRPr="00DB1CA7" w:rsidRDefault="00077303" w:rsidP="00E10867">
      <w:pPr>
        <w:spacing w:line="360" w:lineRule="auto"/>
        <w:jc w:val="center"/>
        <w:rPr>
          <w:b/>
          <w:sz w:val="28"/>
          <w:szCs w:val="28"/>
          <w:lang w:val="uk-UA"/>
        </w:rPr>
      </w:pPr>
      <w:r w:rsidRPr="00DB1CA7">
        <w:rPr>
          <w:b/>
          <w:sz w:val="28"/>
          <w:szCs w:val="28"/>
          <w:lang w:val="uk-UA"/>
        </w:rPr>
        <w:lastRenderedPageBreak/>
        <w:t>ПЕРЕЛІК УМОВНИХ СКОРОЧЕНЬ</w:t>
      </w:r>
    </w:p>
    <w:p w:rsidR="00077303" w:rsidRDefault="00077303" w:rsidP="00E10867">
      <w:pPr>
        <w:spacing w:line="360" w:lineRule="auto"/>
        <w:jc w:val="both"/>
        <w:rPr>
          <w:sz w:val="28"/>
          <w:szCs w:val="28"/>
          <w:lang w:val="uk-UA"/>
        </w:rPr>
      </w:pPr>
      <w:r>
        <w:rPr>
          <w:sz w:val="28"/>
          <w:szCs w:val="28"/>
          <w:lang w:val="uk-UA"/>
        </w:rPr>
        <w:t>ВЖК – вільні жирні кислоти</w:t>
      </w:r>
    </w:p>
    <w:p w:rsidR="00077303" w:rsidRDefault="00077303" w:rsidP="00E10867">
      <w:pPr>
        <w:spacing w:line="360" w:lineRule="auto"/>
        <w:jc w:val="both"/>
        <w:rPr>
          <w:sz w:val="28"/>
          <w:szCs w:val="28"/>
          <w:lang w:val="uk-UA"/>
        </w:rPr>
      </w:pPr>
      <w:r>
        <w:rPr>
          <w:sz w:val="28"/>
          <w:szCs w:val="28"/>
          <w:lang w:val="uk-UA"/>
        </w:rPr>
        <w:t>ГГЦ – гіпергомоцистеїнемія</w:t>
      </w:r>
    </w:p>
    <w:p w:rsidR="00077303" w:rsidRDefault="00077303" w:rsidP="00E10867">
      <w:pPr>
        <w:spacing w:line="360" w:lineRule="auto"/>
        <w:jc w:val="both"/>
        <w:rPr>
          <w:sz w:val="28"/>
          <w:szCs w:val="28"/>
          <w:lang w:val="uk-UA"/>
        </w:rPr>
      </w:pPr>
      <w:r>
        <w:rPr>
          <w:sz w:val="28"/>
          <w:szCs w:val="28"/>
          <w:lang w:val="uk-UA"/>
        </w:rPr>
        <w:t>ГЦ – гомоцистеїн</w:t>
      </w:r>
    </w:p>
    <w:p w:rsidR="00077303" w:rsidRDefault="00077303" w:rsidP="00E10867">
      <w:pPr>
        <w:spacing w:line="360" w:lineRule="auto"/>
        <w:jc w:val="both"/>
        <w:rPr>
          <w:sz w:val="28"/>
          <w:szCs w:val="28"/>
          <w:lang w:val="uk-UA"/>
        </w:rPr>
      </w:pPr>
      <w:r>
        <w:rPr>
          <w:sz w:val="28"/>
          <w:szCs w:val="28"/>
          <w:lang w:val="uk-UA"/>
        </w:rPr>
        <w:t xml:space="preserve">ЗХ – загальний холестерин </w:t>
      </w:r>
    </w:p>
    <w:p w:rsidR="00077303" w:rsidRDefault="00077303" w:rsidP="00E10867">
      <w:pPr>
        <w:spacing w:line="360" w:lineRule="auto"/>
        <w:jc w:val="both"/>
        <w:rPr>
          <w:sz w:val="28"/>
          <w:szCs w:val="28"/>
          <w:lang w:val="uk-UA"/>
        </w:rPr>
      </w:pPr>
      <w:r>
        <w:rPr>
          <w:sz w:val="28"/>
          <w:szCs w:val="28"/>
          <w:lang w:val="uk-UA"/>
        </w:rPr>
        <w:t>ІЛ–6 – інтерлейкін 6</w:t>
      </w:r>
    </w:p>
    <w:p w:rsidR="00077303" w:rsidRDefault="00077303" w:rsidP="00E10867">
      <w:pPr>
        <w:spacing w:line="360" w:lineRule="auto"/>
        <w:jc w:val="both"/>
        <w:rPr>
          <w:sz w:val="28"/>
          <w:szCs w:val="28"/>
          <w:lang w:val="uk-UA"/>
        </w:rPr>
      </w:pPr>
      <w:r>
        <w:rPr>
          <w:sz w:val="28"/>
          <w:szCs w:val="28"/>
          <w:lang w:val="uk-UA"/>
        </w:rPr>
        <w:t xml:space="preserve">ІР – інсулінорезистентність </w:t>
      </w:r>
    </w:p>
    <w:p w:rsidR="00077303" w:rsidRDefault="00077303" w:rsidP="00E10867">
      <w:pPr>
        <w:spacing w:line="360" w:lineRule="auto"/>
        <w:jc w:val="both"/>
        <w:rPr>
          <w:sz w:val="28"/>
          <w:szCs w:val="28"/>
          <w:lang w:val="uk-UA"/>
        </w:rPr>
      </w:pPr>
      <w:r>
        <w:rPr>
          <w:sz w:val="28"/>
          <w:szCs w:val="28"/>
          <w:lang w:val="uk-UA"/>
        </w:rPr>
        <w:t>КоА – ацетил коензим А</w:t>
      </w:r>
    </w:p>
    <w:p w:rsidR="00077303" w:rsidRDefault="00077303" w:rsidP="00E10867">
      <w:pPr>
        <w:spacing w:line="360" w:lineRule="auto"/>
        <w:jc w:val="both"/>
        <w:rPr>
          <w:sz w:val="28"/>
          <w:szCs w:val="28"/>
          <w:lang w:val="uk-UA"/>
        </w:rPr>
      </w:pPr>
      <w:r>
        <w:rPr>
          <w:sz w:val="28"/>
          <w:szCs w:val="28"/>
          <w:lang w:val="uk-UA"/>
        </w:rPr>
        <w:t xml:space="preserve">ЛПВЩ – ліпопротеїди високої щільності </w:t>
      </w:r>
    </w:p>
    <w:p w:rsidR="00077303" w:rsidRDefault="00077303" w:rsidP="00E10867">
      <w:pPr>
        <w:spacing w:line="360" w:lineRule="auto"/>
        <w:jc w:val="both"/>
        <w:rPr>
          <w:sz w:val="28"/>
          <w:szCs w:val="28"/>
          <w:lang w:val="uk-UA"/>
        </w:rPr>
      </w:pPr>
      <w:r>
        <w:rPr>
          <w:sz w:val="28"/>
          <w:szCs w:val="28"/>
          <w:lang w:val="uk-UA"/>
        </w:rPr>
        <w:t>ЛПДНЩ – ліпопротеїди дуже низької щільності</w:t>
      </w:r>
    </w:p>
    <w:p w:rsidR="00077303" w:rsidRDefault="00077303" w:rsidP="00E10867">
      <w:pPr>
        <w:spacing w:line="360" w:lineRule="auto"/>
        <w:jc w:val="both"/>
        <w:rPr>
          <w:sz w:val="28"/>
          <w:szCs w:val="28"/>
          <w:lang w:val="uk-UA"/>
        </w:rPr>
      </w:pPr>
      <w:r>
        <w:rPr>
          <w:sz w:val="28"/>
          <w:szCs w:val="28"/>
          <w:lang w:val="uk-UA"/>
        </w:rPr>
        <w:t>ЛПНЩ – ліпопротеїди низької щільності</w:t>
      </w:r>
    </w:p>
    <w:p w:rsidR="00077303" w:rsidRDefault="00077303" w:rsidP="00E10867">
      <w:pPr>
        <w:spacing w:line="360" w:lineRule="auto"/>
        <w:jc w:val="both"/>
        <w:rPr>
          <w:sz w:val="28"/>
          <w:szCs w:val="28"/>
          <w:lang w:val="uk-UA"/>
        </w:rPr>
      </w:pPr>
      <w:r>
        <w:rPr>
          <w:sz w:val="28"/>
          <w:szCs w:val="28"/>
          <w:lang w:val="uk-UA"/>
        </w:rPr>
        <w:t>МДА – малоновий діальдегід</w:t>
      </w:r>
    </w:p>
    <w:p w:rsidR="00077303" w:rsidRDefault="00077303" w:rsidP="00E10867">
      <w:pPr>
        <w:spacing w:line="360" w:lineRule="auto"/>
        <w:jc w:val="both"/>
        <w:rPr>
          <w:sz w:val="28"/>
          <w:szCs w:val="28"/>
          <w:lang w:val="uk-UA"/>
        </w:rPr>
      </w:pPr>
      <w:r>
        <w:rPr>
          <w:sz w:val="28"/>
          <w:szCs w:val="28"/>
          <w:lang w:val="uk-UA"/>
        </w:rPr>
        <w:t>НАЖХП – неалкогольна жирова хвороба печінки</w:t>
      </w:r>
    </w:p>
    <w:p w:rsidR="00077303" w:rsidRDefault="00077303" w:rsidP="00E10867">
      <w:pPr>
        <w:spacing w:line="360" w:lineRule="auto"/>
        <w:jc w:val="both"/>
        <w:rPr>
          <w:sz w:val="28"/>
          <w:szCs w:val="28"/>
          <w:lang w:val="uk-UA"/>
        </w:rPr>
      </w:pPr>
      <w:r>
        <w:rPr>
          <w:sz w:val="28"/>
          <w:szCs w:val="28"/>
          <w:lang w:val="uk-UA"/>
        </w:rPr>
        <w:t>НАСГ – неалкогольний стеатогепатит</w:t>
      </w:r>
    </w:p>
    <w:p w:rsidR="00077303" w:rsidRDefault="00077303" w:rsidP="00E10867">
      <w:pPr>
        <w:spacing w:line="360" w:lineRule="auto"/>
        <w:jc w:val="both"/>
        <w:rPr>
          <w:sz w:val="28"/>
          <w:szCs w:val="28"/>
          <w:lang w:val="uk-UA"/>
        </w:rPr>
      </w:pPr>
      <w:r>
        <w:rPr>
          <w:sz w:val="28"/>
          <w:szCs w:val="28"/>
          <w:lang w:val="uk-UA"/>
        </w:rPr>
        <w:t>ПОЛ – перекисне окиснення ліпідів</w:t>
      </w:r>
    </w:p>
    <w:p w:rsidR="00077303" w:rsidRDefault="00077303" w:rsidP="00E10867">
      <w:pPr>
        <w:spacing w:line="360" w:lineRule="auto"/>
        <w:jc w:val="both"/>
        <w:rPr>
          <w:sz w:val="28"/>
          <w:szCs w:val="28"/>
          <w:lang w:val="uk-UA"/>
        </w:rPr>
      </w:pPr>
      <w:r>
        <w:rPr>
          <w:sz w:val="28"/>
          <w:szCs w:val="28"/>
          <w:lang w:val="uk-UA"/>
        </w:rPr>
        <w:t xml:space="preserve">ТГ – тригліцериди </w:t>
      </w:r>
    </w:p>
    <w:p w:rsidR="00077303" w:rsidRDefault="00077303" w:rsidP="00E10867">
      <w:pPr>
        <w:spacing w:line="360" w:lineRule="auto"/>
        <w:jc w:val="both"/>
        <w:rPr>
          <w:sz w:val="28"/>
          <w:szCs w:val="28"/>
          <w:lang w:val="uk-UA"/>
        </w:rPr>
      </w:pPr>
      <w:r>
        <w:rPr>
          <w:sz w:val="28"/>
          <w:szCs w:val="28"/>
          <w:lang w:val="uk-UA"/>
        </w:rPr>
        <w:t>ФНП–α – фактор некрозу пухлин α</w:t>
      </w:r>
    </w:p>
    <w:p w:rsidR="00077303" w:rsidRDefault="00077303" w:rsidP="00E10867">
      <w:pPr>
        <w:spacing w:line="360" w:lineRule="auto"/>
        <w:jc w:val="both"/>
        <w:rPr>
          <w:sz w:val="28"/>
          <w:szCs w:val="28"/>
          <w:lang w:val="uk-UA"/>
        </w:rPr>
      </w:pPr>
      <w:r>
        <w:rPr>
          <w:sz w:val="28"/>
          <w:szCs w:val="28"/>
          <w:lang w:val="uk-UA"/>
        </w:rPr>
        <w:t>ЦД – цукровий діабет</w:t>
      </w:r>
    </w:p>
    <w:p w:rsidR="00077303" w:rsidRDefault="00077303" w:rsidP="00E10867">
      <w:pPr>
        <w:spacing w:line="360" w:lineRule="auto"/>
        <w:jc w:val="both"/>
        <w:rPr>
          <w:sz w:val="28"/>
          <w:szCs w:val="28"/>
          <w:lang w:val="uk-UA"/>
        </w:rPr>
      </w:pPr>
      <w:r>
        <w:rPr>
          <w:sz w:val="28"/>
          <w:szCs w:val="28"/>
          <w:lang w:val="en-US"/>
        </w:rPr>
        <w:t>NO</w:t>
      </w:r>
      <w:r>
        <w:rPr>
          <w:sz w:val="28"/>
          <w:szCs w:val="28"/>
          <w:lang w:val="uk-UA"/>
        </w:rPr>
        <w:t xml:space="preserve"> – оксид азоту</w:t>
      </w:r>
    </w:p>
    <w:p w:rsidR="00077303" w:rsidRDefault="00077303" w:rsidP="00E10867">
      <w:pPr>
        <w:spacing w:line="360" w:lineRule="auto"/>
        <w:jc w:val="both"/>
        <w:rPr>
          <w:sz w:val="28"/>
          <w:szCs w:val="28"/>
          <w:lang w:val="uk-UA"/>
        </w:rPr>
      </w:pPr>
      <w:r>
        <w:rPr>
          <w:sz w:val="28"/>
          <w:szCs w:val="28"/>
          <w:lang w:val="uk-UA"/>
        </w:rPr>
        <w:t>β–ЛП – β–ліпопротеїди</w:t>
      </w:r>
    </w:p>
    <w:p w:rsidR="00077303" w:rsidRDefault="00077303" w:rsidP="00E10867">
      <w:pPr>
        <w:spacing w:line="360" w:lineRule="auto"/>
        <w:jc w:val="both"/>
        <w:rPr>
          <w:sz w:val="28"/>
          <w:szCs w:val="28"/>
          <w:lang w:val="uk-UA"/>
        </w:rPr>
      </w:pPr>
      <w:r>
        <w:rPr>
          <w:sz w:val="28"/>
          <w:szCs w:val="28"/>
          <w:lang w:val="en-US"/>
        </w:rPr>
        <w:t>NOS</w:t>
      </w:r>
      <w:r>
        <w:rPr>
          <w:sz w:val="28"/>
          <w:szCs w:val="28"/>
          <w:lang w:val="uk-UA"/>
        </w:rPr>
        <w:t xml:space="preserve"> – </w:t>
      </w:r>
      <w:r>
        <w:rPr>
          <w:sz w:val="28"/>
          <w:szCs w:val="28"/>
          <w:lang w:val="en-US"/>
        </w:rPr>
        <w:t>NO</w:t>
      </w:r>
      <w:r>
        <w:rPr>
          <w:sz w:val="28"/>
          <w:szCs w:val="28"/>
          <w:lang w:val="uk-UA"/>
        </w:rPr>
        <w:t>–синтаза</w:t>
      </w:r>
    </w:p>
    <w:p w:rsidR="00077303" w:rsidRDefault="00077303" w:rsidP="00E10867">
      <w:pPr>
        <w:spacing w:line="360" w:lineRule="auto"/>
        <w:jc w:val="both"/>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center"/>
        <w:rPr>
          <w:sz w:val="28"/>
          <w:szCs w:val="28"/>
          <w:lang w:val="uk-UA"/>
        </w:rPr>
      </w:pPr>
    </w:p>
    <w:p w:rsidR="00077303" w:rsidRPr="00D26EB6" w:rsidRDefault="00077303" w:rsidP="00E10867">
      <w:pPr>
        <w:spacing w:line="360" w:lineRule="auto"/>
        <w:ind w:firstLine="709"/>
        <w:jc w:val="center"/>
        <w:rPr>
          <w:b/>
          <w:sz w:val="28"/>
          <w:szCs w:val="28"/>
          <w:lang w:val="uk-UA"/>
        </w:rPr>
      </w:pPr>
      <w:r w:rsidRPr="00D26EB6">
        <w:rPr>
          <w:b/>
          <w:sz w:val="28"/>
          <w:szCs w:val="28"/>
          <w:lang w:val="uk-UA"/>
        </w:rPr>
        <w:lastRenderedPageBreak/>
        <w:t>ВСТУП</w:t>
      </w:r>
    </w:p>
    <w:p w:rsidR="00077303" w:rsidRPr="000D41EA" w:rsidRDefault="00077303" w:rsidP="00E10867">
      <w:pPr>
        <w:spacing w:line="360" w:lineRule="auto"/>
        <w:ind w:firstLine="709"/>
        <w:jc w:val="both"/>
        <w:rPr>
          <w:b/>
          <w:sz w:val="28"/>
          <w:szCs w:val="28"/>
          <w:lang w:val="uk-UA"/>
        </w:rPr>
      </w:pPr>
      <w:r>
        <w:rPr>
          <w:b/>
          <w:sz w:val="28"/>
          <w:szCs w:val="28"/>
          <w:lang w:val="uk-UA"/>
        </w:rPr>
        <w:t xml:space="preserve">Актуальність теми. </w:t>
      </w:r>
      <w:r>
        <w:rPr>
          <w:sz w:val="28"/>
          <w:szCs w:val="28"/>
          <w:lang w:val="uk-UA"/>
        </w:rPr>
        <w:t>Проблема діагностики та лікування неалкогольної жирової хвороби печінки (НАЖХП) є актуальним питанням сучасної терапії. Дослідження останніх років свідчать про зростання кількості хворих на НАЖХП [5, 28, 209], а так само її ускладнень і можливою трансформацією в цироз печінки [13, 20, 257].</w:t>
      </w:r>
    </w:p>
    <w:p w:rsidR="00077303" w:rsidRDefault="00077303" w:rsidP="00E10867">
      <w:pPr>
        <w:spacing w:line="360" w:lineRule="auto"/>
        <w:ind w:firstLine="709"/>
        <w:jc w:val="both"/>
        <w:rPr>
          <w:sz w:val="28"/>
          <w:szCs w:val="28"/>
          <w:lang w:val="uk-UA"/>
        </w:rPr>
      </w:pPr>
      <w:r>
        <w:rPr>
          <w:sz w:val="28"/>
          <w:szCs w:val="28"/>
          <w:lang w:val="uk-UA"/>
        </w:rPr>
        <w:t>Нині НАЖХП розглядають як найчастішу патологію печінки, яка в розвинених країнах зустрічається у 20–30 % дорослого населення [150, 220, 246]. Так, серед загальної кількості хворих, щорічно виявлених з хронічними гепатитами в США, неалкогольний стеатогепатит (НАСГ) складає 10 %, а серед хворих невірусними цирозами печінки – 30 – 40 %. НАСГ є причиною 5–8 % трансплантацій печінки, виконаних у США і в країнах Європейського союзу [71]. Середня тривалість життя хворих з НАЖХП менше, ніж у популяції. Якщо в загальній популяції печінкова патологія є тільки 13–тою провідною причиною смерті, то у пацієнтів з НАЖХП вона стоїть на 3–му місці [124, 261]. Таким чином, передбачуваний спочатку доброякісний перебіг жирової інфільтрації печінки, може бути причиною такого важкого ураження печінки як цироз. Підтвердженням слугує збільшення кількості хворих на цирозу печінки в Україні [5, 71], а так само і смертності від його ускладнень – 30,1 на 100 тис. дорослого населення [49].</w:t>
      </w:r>
    </w:p>
    <w:p w:rsidR="00077303" w:rsidRDefault="00077303" w:rsidP="00E10867">
      <w:pPr>
        <w:spacing w:line="360" w:lineRule="auto"/>
        <w:ind w:firstLine="709"/>
        <w:jc w:val="both"/>
        <w:rPr>
          <w:sz w:val="28"/>
          <w:szCs w:val="28"/>
          <w:lang w:val="uk-UA"/>
        </w:rPr>
      </w:pPr>
      <w:r>
        <w:rPr>
          <w:sz w:val="28"/>
          <w:szCs w:val="28"/>
          <w:lang w:val="uk-UA"/>
        </w:rPr>
        <w:t xml:space="preserve">В Україні статистичних даних які достовірно відображають поширеність НАЖХП немає, проте, за даними російських вчених НАЖХП виявляється у 10–15 % «здорових» осіб і у 70–80 %, страждаючих ожирінням [20]. </w:t>
      </w:r>
    </w:p>
    <w:p w:rsidR="00077303" w:rsidRDefault="00077303" w:rsidP="00E10867">
      <w:pPr>
        <w:spacing w:line="360" w:lineRule="auto"/>
        <w:ind w:firstLine="709"/>
        <w:jc w:val="both"/>
        <w:rPr>
          <w:sz w:val="28"/>
          <w:szCs w:val="28"/>
          <w:lang w:val="uk-UA"/>
        </w:rPr>
      </w:pPr>
      <w:r>
        <w:rPr>
          <w:sz w:val="28"/>
          <w:szCs w:val="28"/>
          <w:lang w:val="uk-UA"/>
        </w:rPr>
        <w:t xml:space="preserve">За даними літератури, НАЖХП в 90 % асоційована із цукровим діабетом (ЦД) 2 типу, метаболічним синдромом, атерогенною дисліпідемією [24, 26, 27, 64]. У дорослих пацієнтів, які страждають ожирінням, поширеність НАЖХП може досягати 80–90 %. Цей показник вищий у пацієнтів з ЦД 2 типу (30–50 %), а при гіперліпідемії досягає 92 % [154]. Установлено, що поєднання НАСГ та ЦД 2 типу в 2–2,5 рази збільшує ризик розвитку цирозу печінки і гепатоцелюлярної карциноми [33, 130]. У країнах Західної Європи поширеність патології печінки при </w:t>
      </w:r>
      <w:r>
        <w:rPr>
          <w:sz w:val="28"/>
          <w:szCs w:val="28"/>
          <w:lang w:val="uk-UA"/>
        </w:rPr>
        <w:lastRenderedPageBreak/>
        <w:t>метаболічному синдромі становить 20–30 %, в ​​країнах Азії – 15 %, а в Саудівській Аравії при проведенні КТ печінки НАЖХП виявлена ​​у 100 % пацієнтів [125].</w:t>
      </w:r>
    </w:p>
    <w:p w:rsidR="00077303" w:rsidRDefault="00077303" w:rsidP="00E10867">
      <w:pPr>
        <w:spacing w:line="360" w:lineRule="auto"/>
        <w:ind w:firstLine="709"/>
        <w:jc w:val="both"/>
        <w:rPr>
          <w:sz w:val="28"/>
          <w:szCs w:val="28"/>
          <w:lang w:val="uk-UA"/>
        </w:rPr>
      </w:pPr>
      <w:r>
        <w:rPr>
          <w:sz w:val="28"/>
          <w:szCs w:val="28"/>
          <w:lang w:val="uk-UA"/>
        </w:rPr>
        <w:t>Незважаючи на певні досягнення у вивченні механізмів виникнення та прогресування НАЖХП на сьогодні не існує ефективних підходів до діагностики та лікування цієї хвороби у хворих на ЦД 2 типу.</w:t>
      </w:r>
    </w:p>
    <w:p w:rsidR="00077303" w:rsidRDefault="00077303" w:rsidP="00E10867">
      <w:pPr>
        <w:spacing w:line="360" w:lineRule="auto"/>
        <w:ind w:firstLine="709"/>
        <w:jc w:val="both"/>
        <w:rPr>
          <w:sz w:val="28"/>
          <w:szCs w:val="28"/>
          <w:lang w:val="uk-UA"/>
        </w:rPr>
      </w:pPr>
      <w:r>
        <w:rPr>
          <w:sz w:val="28"/>
          <w:szCs w:val="28"/>
          <w:lang w:val="uk-UA"/>
        </w:rPr>
        <w:t>Останнім часом активно досліджується роль L–карнітину у розвитку та прогресуванні НАЖХП, а також у формуванні фіброзу печінки. Фундаментальні дослідження останніх років показали, що L–карнітин є одним з найбільш ефективних речовин, що нормалізують енергетичні процеси при мітохондріальнії дисфункції гепатоцитів [84, 168, 173, 267], які являють основу розвитку НАЖХП. Мітохондріальна дисфункція призводить до недостатності енергозабезпечення клітин печінки, порушення обмінних процесів, подальшого розвитку клітинного пошкодження, аж до загибелі клітини. Виразність патологічного процесу в печінці пов</w:t>
      </w:r>
      <w:r>
        <w:rPr>
          <w:sz w:val="28"/>
          <w:szCs w:val="28"/>
        </w:rPr>
        <w:t>’</w:t>
      </w:r>
      <w:r>
        <w:rPr>
          <w:sz w:val="28"/>
          <w:szCs w:val="28"/>
          <w:lang w:val="uk-UA"/>
        </w:rPr>
        <w:t>язана зі ступенем залежності печінкових клітин від ефективності аеробного окиснення [2]. Доведеним є зв’язок між ступенем карнітиновой недостатності і виразністю гепатоцеллюлярного пошкодження та паренхіматозного запалення при НАЖХП [170]. Є дані про те, що L–карнітин нормалізує ліпідний профіль, зменшує дію окисного стресу і модулює запальні реакції [169, 171]. У ряді робіт показана протективна дія L–карнітину при формуванні фіброзу печінки [167, 170, 207], проте до кінця не вивчена роль L–карнітину у прогресуванні НАЖХП на тлі ЦД 2 типу.</w:t>
      </w:r>
    </w:p>
    <w:p w:rsidR="00077303" w:rsidRDefault="00077303" w:rsidP="00E10867">
      <w:pPr>
        <w:spacing w:line="360" w:lineRule="auto"/>
        <w:ind w:firstLine="709"/>
        <w:jc w:val="both"/>
        <w:rPr>
          <w:sz w:val="28"/>
          <w:szCs w:val="28"/>
          <w:lang w:val="uk-UA"/>
        </w:rPr>
      </w:pPr>
      <w:r>
        <w:rPr>
          <w:sz w:val="28"/>
          <w:szCs w:val="28"/>
          <w:lang w:val="uk-UA"/>
        </w:rPr>
        <w:t xml:space="preserve">Наявні клінічні та експериментальні дані останнього часу, свідчать про значну роль метаболічних і генетичних факторів [89, 132, 139]. Доведеним є, що поліморфізм гена метилентетрагідрафолатредуктази асоціюється з більш високими темпами прогресування стеатозу печінки [185, 215], а частота цього поліморфізму у хворих з НАСГ печінки у декілька разів вище, ніж у здорових [262]. Частота С677Т поліморфізму гена метилентетрагідрафолатредуктази в популяції східної України становить 40,7 % [15]. Оскільки дана мутація веде до розвитку гіпергомоцистеїнемії (ГГЦ), не виключено, що надлишковий рівень гомоцистеїну (ГЦ) є патогенетичним фактором прогресування хронічних захворювань печінки. Останні дослідження описують підвищений рівень ГЦ плазми у пацієнтів з НАЖХП порівняно зі </w:t>
      </w:r>
      <w:r>
        <w:rPr>
          <w:sz w:val="28"/>
          <w:szCs w:val="28"/>
          <w:lang w:val="uk-UA"/>
        </w:rPr>
        <w:lastRenderedPageBreak/>
        <w:t xml:space="preserve">здоровими людьми, або пацієнтами з хронічними захворюваннями печінки іншої етіології. ГГЦ також має тенденцію до збільшення паралельно з тяжкістю стеатогепатита [121]. Однак роль ГГЦ в патогенезі і перебігу НАЖХП на тлі ЦД 2 типу залишається вивченою не повністю. </w:t>
      </w:r>
    </w:p>
    <w:p w:rsidR="00077303" w:rsidRDefault="00077303" w:rsidP="00E10867">
      <w:pPr>
        <w:spacing w:line="360" w:lineRule="auto"/>
        <w:ind w:firstLine="709"/>
        <w:jc w:val="both"/>
        <w:rPr>
          <w:sz w:val="28"/>
          <w:szCs w:val="28"/>
          <w:lang w:val="uk-UA"/>
        </w:rPr>
      </w:pPr>
      <w:r>
        <w:rPr>
          <w:sz w:val="28"/>
          <w:szCs w:val="28"/>
          <w:lang w:val="uk-UA"/>
        </w:rPr>
        <w:t xml:space="preserve">ГГЦ розглядають як можливий чинник розвитку атеросклеротичних, нейродегенеративних захворювань, остеопорозу, тератогенезу і канцерогенезу [95, 179]. За даними вітчизняних дослідників підвищений рівень ГЦ сироватки крові в Україні виявляється майже у 10 % дорослих і 2 % підлітків [1]. Досліджується вплив ГГЦ на процеси метилювання, стимулювання оксидативного стресу і продукції колагену в стінці судин, прямий і опосередкований вазоконстрикторний ефект [97, 146, 231, 269], що дає підстави припускати участь ГГЦ у прогресуванні НАЖХП у хворих на ЦД 2 типу. </w:t>
      </w:r>
    </w:p>
    <w:p w:rsidR="00077303" w:rsidRDefault="00077303" w:rsidP="00E10867">
      <w:pPr>
        <w:spacing w:line="360" w:lineRule="auto"/>
        <w:ind w:firstLine="709"/>
        <w:jc w:val="both"/>
        <w:rPr>
          <w:sz w:val="28"/>
          <w:szCs w:val="28"/>
          <w:lang w:val="uk-UA"/>
        </w:rPr>
      </w:pPr>
      <w:r>
        <w:rPr>
          <w:sz w:val="28"/>
          <w:szCs w:val="28"/>
          <w:lang w:val="uk-UA"/>
        </w:rPr>
        <w:t>Таким чином, з огляду на складність та нерозв’язанність питань виникнення та розвитку НАСГ у хворих на ЦД 2 типу, виникає необхідність у подальшому поглибленому вивченні патогенезу цього захворювання. Уточнення ролі L–карнітину і ГЦ у розвитку та прогресуванні НАСГ на тлі ЦД 2 типу, та розробка підходів до їх корекції, становить значний науковий інтерес і є актуальною проблемою сучасної терапії.</w:t>
      </w:r>
    </w:p>
    <w:p w:rsidR="00077303" w:rsidRPr="00FB2975" w:rsidRDefault="00077303" w:rsidP="00E10867">
      <w:pPr>
        <w:spacing w:line="360" w:lineRule="auto"/>
        <w:ind w:firstLine="709"/>
        <w:jc w:val="both"/>
        <w:rPr>
          <w:sz w:val="28"/>
          <w:szCs w:val="28"/>
          <w:lang w:val="uk-UA"/>
        </w:rPr>
      </w:pPr>
      <w:r w:rsidRPr="00FB2975">
        <w:rPr>
          <w:b/>
          <w:sz w:val="28"/>
          <w:szCs w:val="28"/>
          <w:lang w:val="uk-UA"/>
        </w:rPr>
        <w:t>Зв</w:t>
      </w:r>
      <w:r>
        <w:rPr>
          <w:b/>
          <w:sz w:val="28"/>
          <w:szCs w:val="28"/>
          <w:lang w:val="uk-UA"/>
        </w:rPr>
        <w:t>’</w:t>
      </w:r>
      <w:r w:rsidRPr="00FB2975">
        <w:rPr>
          <w:b/>
          <w:sz w:val="28"/>
          <w:szCs w:val="28"/>
          <w:lang w:val="uk-UA"/>
        </w:rPr>
        <w:t>язок роботи з наукови</w:t>
      </w:r>
      <w:r>
        <w:rPr>
          <w:b/>
          <w:sz w:val="28"/>
          <w:szCs w:val="28"/>
          <w:lang w:val="uk-UA"/>
        </w:rPr>
        <w:t xml:space="preserve">ми програмами, планами, темами. </w:t>
      </w:r>
      <w:r w:rsidRPr="00FB2975">
        <w:rPr>
          <w:sz w:val="28"/>
          <w:szCs w:val="28"/>
          <w:lang w:val="uk-UA"/>
        </w:rPr>
        <w:t>Дисертаційна робота виконана в рамках НДР кафедри гастроентерології ХМАПО «Оптимізація діагностики, прогнозування перебігу та розробка ефективних методів лікування захворювань шлунково</w:t>
      </w:r>
      <w:r>
        <w:rPr>
          <w:sz w:val="28"/>
          <w:szCs w:val="28"/>
          <w:lang w:val="uk-UA"/>
        </w:rPr>
        <w:t>–</w:t>
      </w:r>
      <w:r w:rsidRPr="00FB2975">
        <w:rPr>
          <w:sz w:val="28"/>
          <w:szCs w:val="28"/>
          <w:lang w:val="uk-UA"/>
        </w:rPr>
        <w:t xml:space="preserve">кишкового тракту» (№ держ. реєстрації 0113U000518). Здобувачем проведено аналіз наукової та патентної літератури з обраної проблеми, набір та обстеження хворих, аналіз отриманих результатів лабораторних та інструментальних досліджень, формування статистичної бази. </w:t>
      </w:r>
    </w:p>
    <w:p w:rsidR="00077303" w:rsidRPr="00FB2975" w:rsidRDefault="00077303" w:rsidP="00E10867">
      <w:pPr>
        <w:spacing w:line="360" w:lineRule="auto"/>
        <w:ind w:firstLine="709"/>
        <w:jc w:val="both"/>
        <w:rPr>
          <w:sz w:val="28"/>
          <w:szCs w:val="28"/>
          <w:lang w:val="uk-UA"/>
        </w:rPr>
      </w:pPr>
      <w:r w:rsidRPr="00FB2975">
        <w:rPr>
          <w:b/>
          <w:sz w:val="28"/>
          <w:szCs w:val="28"/>
          <w:lang w:val="uk-UA"/>
        </w:rPr>
        <w:t>Мета і завдання дослідження:</w:t>
      </w:r>
      <w:r w:rsidRPr="00FB2975">
        <w:rPr>
          <w:sz w:val="28"/>
          <w:szCs w:val="28"/>
          <w:lang w:val="uk-UA"/>
        </w:rPr>
        <w:t xml:space="preserve"> оптимізація діагностики НАСГ </w:t>
      </w:r>
      <w:r>
        <w:rPr>
          <w:sz w:val="28"/>
          <w:szCs w:val="28"/>
          <w:lang w:val="uk-UA"/>
        </w:rPr>
        <w:t xml:space="preserve">при поєднанні </w:t>
      </w:r>
      <w:r w:rsidRPr="00FB2975">
        <w:rPr>
          <w:sz w:val="28"/>
          <w:szCs w:val="28"/>
          <w:lang w:val="uk-UA"/>
        </w:rPr>
        <w:t>з ЦД 2 типу на підставі вивчення клініко</w:t>
      </w:r>
      <w:r>
        <w:rPr>
          <w:sz w:val="28"/>
          <w:szCs w:val="28"/>
          <w:lang w:val="uk-UA"/>
        </w:rPr>
        <w:t>–</w:t>
      </w:r>
      <w:r w:rsidRPr="00FB2975">
        <w:rPr>
          <w:sz w:val="28"/>
          <w:szCs w:val="28"/>
          <w:lang w:val="uk-UA"/>
        </w:rPr>
        <w:t xml:space="preserve">біохімічних, імунологічних показників та розробка оптимально ефективних методів корекції виявлених порушень. </w:t>
      </w:r>
    </w:p>
    <w:p w:rsidR="00077303" w:rsidRPr="00FB2975" w:rsidRDefault="00077303" w:rsidP="00E10867">
      <w:pPr>
        <w:spacing w:line="360" w:lineRule="auto"/>
        <w:ind w:firstLine="709"/>
        <w:jc w:val="both"/>
        <w:rPr>
          <w:sz w:val="28"/>
          <w:szCs w:val="28"/>
          <w:lang w:val="uk-UA"/>
        </w:rPr>
      </w:pPr>
      <w:r w:rsidRPr="00FB2975">
        <w:rPr>
          <w:sz w:val="28"/>
          <w:szCs w:val="28"/>
          <w:lang w:val="uk-UA"/>
        </w:rPr>
        <w:t xml:space="preserve">Для досягнення мети були поставлені наступні завданя: </w:t>
      </w:r>
    </w:p>
    <w:p w:rsidR="00077303" w:rsidRPr="00FB2975" w:rsidRDefault="00077303" w:rsidP="00E10867">
      <w:pPr>
        <w:spacing w:line="360" w:lineRule="auto"/>
        <w:ind w:firstLine="709"/>
        <w:jc w:val="both"/>
        <w:rPr>
          <w:sz w:val="28"/>
          <w:szCs w:val="28"/>
          <w:lang w:val="uk-UA"/>
        </w:rPr>
      </w:pPr>
      <w:r w:rsidRPr="00FB2975">
        <w:rPr>
          <w:sz w:val="28"/>
          <w:szCs w:val="28"/>
          <w:lang w:val="uk-UA"/>
        </w:rPr>
        <w:lastRenderedPageBreak/>
        <w:t>1. Вивчити вміст L</w:t>
      </w:r>
      <w:r>
        <w:rPr>
          <w:sz w:val="28"/>
          <w:szCs w:val="28"/>
          <w:lang w:val="uk-UA"/>
        </w:rPr>
        <w:t>–</w:t>
      </w:r>
      <w:r w:rsidRPr="00FB2975">
        <w:rPr>
          <w:sz w:val="28"/>
          <w:szCs w:val="28"/>
          <w:lang w:val="uk-UA"/>
        </w:rPr>
        <w:t>карнітину в сироватці крові хв</w:t>
      </w:r>
      <w:r>
        <w:rPr>
          <w:sz w:val="28"/>
          <w:szCs w:val="28"/>
          <w:lang w:val="uk-UA"/>
        </w:rPr>
        <w:t>орих на НАСГ у</w:t>
      </w:r>
      <w:r w:rsidRPr="00FB2975">
        <w:rPr>
          <w:sz w:val="28"/>
          <w:szCs w:val="28"/>
          <w:lang w:val="uk-UA"/>
        </w:rPr>
        <w:t xml:space="preserve"> поєднанні з ЦД 2 типу. </w:t>
      </w:r>
    </w:p>
    <w:p w:rsidR="00077303" w:rsidRPr="00FB2975" w:rsidRDefault="00077303" w:rsidP="00E10867">
      <w:pPr>
        <w:spacing w:line="360" w:lineRule="auto"/>
        <w:ind w:firstLine="709"/>
        <w:jc w:val="both"/>
        <w:rPr>
          <w:sz w:val="28"/>
          <w:szCs w:val="28"/>
          <w:lang w:val="uk-UA"/>
        </w:rPr>
      </w:pPr>
      <w:r w:rsidRPr="00FB2975">
        <w:rPr>
          <w:sz w:val="28"/>
          <w:szCs w:val="28"/>
          <w:lang w:val="uk-UA"/>
        </w:rPr>
        <w:t>2. Визначити вміст ГЦ в сироватці крові хворих</w:t>
      </w:r>
      <w:r>
        <w:rPr>
          <w:sz w:val="28"/>
          <w:szCs w:val="28"/>
          <w:lang w:val="uk-UA"/>
        </w:rPr>
        <w:t xml:space="preserve"> на </w:t>
      </w:r>
      <w:r w:rsidRPr="00FB2975">
        <w:rPr>
          <w:sz w:val="28"/>
          <w:szCs w:val="28"/>
          <w:lang w:val="uk-UA"/>
        </w:rPr>
        <w:t xml:space="preserve">НАСГ </w:t>
      </w:r>
      <w:r>
        <w:rPr>
          <w:sz w:val="28"/>
          <w:szCs w:val="28"/>
          <w:lang w:val="uk-UA"/>
        </w:rPr>
        <w:t>у</w:t>
      </w:r>
      <w:r w:rsidRPr="00FB2975">
        <w:rPr>
          <w:sz w:val="28"/>
          <w:szCs w:val="28"/>
          <w:lang w:val="uk-UA"/>
        </w:rPr>
        <w:t xml:space="preserve"> поєднанні з ЦД 2 типу. </w:t>
      </w:r>
    </w:p>
    <w:p w:rsidR="00077303" w:rsidRPr="00FB2975" w:rsidRDefault="00077303" w:rsidP="00E10867">
      <w:pPr>
        <w:spacing w:line="360" w:lineRule="auto"/>
        <w:ind w:firstLine="709"/>
        <w:jc w:val="both"/>
        <w:rPr>
          <w:sz w:val="28"/>
          <w:szCs w:val="28"/>
          <w:lang w:val="uk-UA"/>
        </w:rPr>
      </w:pPr>
      <w:r w:rsidRPr="00FB2975">
        <w:rPr>
          <w:sz w:val="28"/>
          <w:szCs w:val="28"/>
          <w:lang w:val="uk-UA"/>
        </w:rPr>
        <w:t>3. Вивчити рівень прозапальних цитокінів (ФНП</w:t>
      </w:r>
      <w:r>
        <w:rPr>
          <w:sz w:val="28"/>
          <w:szCs w:val="28"/>
          <w:lang w:val="uk-UA"/>
        </w:rPr>
        <w:t>–</w:t>
      </w:r>
      <w:r w:rsidRPr="00FB2975">
        <w:rPr>
          <w:sz w:val="28"/>
          <w:szCs w:val="28"/>
          <w:lang w:val="uk-UA"/>
        </w:rPr>
        <w:t>α, ІЛ</w:t>
      </w:r>
      <w:r>
        <w:rPr>
          <w:sz w:val="28"/>
          <w:szCs w:val="28"/>
          <w:lang w:val="uk-UA"/>
        </w:rPr>
        <w:t>–</w:t>
      </w:r>
      <w:r w:rsidRPr="00FB2975">
        <w:rPr>
          <w:sz w:val="28"/>
          <w:szCs w:val="28"/>
          <w:lang w:val="uk-UA"/>
        </w:rPr>
        <w:t xml:space="preserve">6) у сироватці крові хворих </w:t>
      </w:r>
      <w:r>
        <w:rPr>
          <w:sz w:val="28"/>
          <w:szCs w:val="28"/>
          <w:lang w:val="uk-UA"/>
        </w:rPr>
        <w:t xml:space="preserve">на </w:t>
      </w:r>
      <w:r w:rsidRPr="00FB2975">
        <w:rPr>
          <w:sz w:val="28"/>
          <w:szCs w:val="28"/>
          <w:lang w:val="uk-UA"/>
        </w:rPr>
        <w:t xml:space="preserve">НАСГ </w:t>
      </w:r>
      <w:r>
        <w:rPr>
          <w:sz w:val="28"/>
          <w:szCs w:val="28"/>
          <w:lang w:val="uk-UA"/>
        </w:rPr>
        <w:t>у</w:t>
      </w:r>
      <w:r w:rsidRPr="00FB2975">
        <w:rPr>
          <w:sz w:val="28"/>
          <w:szCs w:val="28"/>
          <w:lang w:val="uk-UA"/>
        </w:rPr>
        <w:t xml:space="preserve"> поєднанні з ЦД 2 типу за показниками. </w:t>
      </w:r>
    </w:p>
    <w:p w:rsidR="00077303" w:rsidRPr="00FB2975" w:rsidRDefault="00077303" w:rsidP="00E10867">
      <w:pPr>
        <w:spacing w:line="360" w:lineRule="auto"/>
        <w:ind w:firstLine="709"/>
        <w:jc w:val="both"/>
        <w:rPr>
          <w:sz w:val="28"/>
          <w:szCs w:val="28"/>
          <w:lang w:val="uk-UA"/>
        </w:rPr>
      </w:pPr>
      <w:r w:rsidRPr="00FB2975">
        <w:rPr>
          <w:sz w:val="28"/>
          <w:szCs w:val="28"/>
          <w:lang w:val="uk-UA"/>
        </w:rPr>
        <w:t xml:space="preserve">4. Визначити вміст </w:t>
      </w:r>
      <w:r w:rsidRPr="00FB2975">
        <w:rPr>
          <w:sz w:val="28"/>
          <w:szCs w:val="28"/>
          <w:lang w:val="en-US"/>
        </w:rPr>
        <w:t>NO</w:t>
      </w:r>
      <w:r w:rsidRPr="00FB2975">
        <w:rPr>
          <w:sz w:val="28"/>
          <w:szCs w:val="28"/>
          <w:lang w:val="uk-UA"/>
        </w:rPr>
        <w:t xml:space="preserve"> та МДА в плазмі крові у </w:t>
      </w:r>
      <w:r>
        <w:rPr>
          <w:sz w:val="28"/>
          <w:szCs w:val="28"/>
          <w:lang w:val="uk-UA"/>
        </w:rPr>
        <w:t xml:space="preserve">хворих на НАСГ </w:t>
      </w:r>
      <w:r w:rsidRPr="00FB2975">
        <w:rPr>
          <w:sz w:val="28"/>
          <w:szCs w:val="28"/>
          <w:lang w:val="uk-UA"/>
        </w:rPr>
        <w:t>т</w:t>
      </w:r>
      <w:r>
        <w:rPr>
          <w:sz w:val="28"/>
          <w:szCs w:val="28"/>
          <w:lang w:val="uk-UA"/>
        </w:rPr>
        <w:t>а при поєднаному перебігу НАСГ та</w:t>
      </w:r>
      <w:r w:rsidRPr="00FB2975">
        <w:rPr>
          <w:sz w:val="28"/>
          <w:szCs w:val="28"/>
          <w:lang w:val="uk-UA"/>
        </w:rPr>
        <w:t xml:space="preserve"> ЦД 2 типу. </w:t>
      </w:r>
    </w:p>
    <w:p w:rsidR="00077303" w:rsidRPr="00FB2975" w:rsidRDefault="00077303" w:rsidP="00E10867">
      <w:pPr>
        <w:spacing w:line="360" w:lineRule="auto"/>
        <w:ind w:firstLine="709"/>
        <w:jc w:val="both"/>
        <w:rPr>
          <w:sz w:val="28"/>
          <w:szCs w:val="28"/>
          <w:lang w:val="uk-UA"/>
        </w:rPr>
      </w:pPr>
      <w:r w:rsidRPr="00FB2975">
        <w:rPr>
          <w:sz w:val="28"/>
          <w:szCs w:val="28"/>
          <w:lang w:val="uk-UA"/>
        </w:rPr>
        <w:t>5. Виявити взаємозв</w:t>
      </w:r>
      <w:r>
        <w:rPr>
          <w:sz w:val="28"/>
          <w:szCs w:val="28"/>
          <w:lang w:val="uk-UA"/>
        </w:rPr>
        <w:t>’</w:t>
      </w:r>
      <w:r w:rsidRPr="00FB2975">
        <w:rPr>
          <w:sz w:val="28"/>
          <w:szCs w:val="28"/>
          <w:lang w:val="uk-UA"/>
        </w:rPr>
        <w:t>язки між карнітиновою недостатністю, ступенем ГГЦ, показниками прозапальних цитокінів та</w:t>
      </w:r>
      <w:r>
        <w:rPr>
          <w:sz w:val="28"/>
          <w:szCs w:val="28"/>
          <w:lang w:val="uk-UA"/>
        </w:rPr>
        <w:t xml:space="preserve"> порушенням ПОЛ у хворих на НАСГ у</w:t>
      </w:r>
      <w:r w:rsidRPr="00FB2975">
        <w:rPr>
          <w:sz w:val="28"/>
          <w:szCs w:val="28"/>
          <w:lang w:val="uk-UA"/>
        </w:rPr>
        <w:t xml:space="preserve"> поєднанні з ЦД 2 типу.</w:t>
      </w:r>
    </w:p>
    <w:p w:rsidR="00077303" w:rsidRPr="00FB2975" w:rsidRDefault="00077303" w:rsidP="00E10867">
      <w:pPr>
        <w:spacing w:line="360" w:lineRule="auto"/>
        <w:ind w:firstLine="709"/>
        <w:jc w:val="both"/>
        <w:rPr>
          <w:sz w:val="28"/>
          <w:szCs w:val="28"/>
          <w:lang w:val="uk-UA"/>
        </w:rPr>
      </w:pPr>
      <w:r w:rsidRPr="00FB2975">
        <w:rPr>
          <w:sz w:val="28"/>
          <w:szCs w:val="28"/>
          <w:lang w:val="uk-UA"/>
        </w:rPr>
        <w:t xml:space="preserve">6. Оцінити ефективність комплексної терапії у </w:t>
      </w:r>
      <w:r>
        <w:rPr>
          <w:sz w:val="28"/>
          <w:szCs w:val="28"/>
          <w:lang w:val="uk-UA"/>
        </w:rPr>
        <w:t>хворих на НАСГ у</w:t>
      </w:r>
      <w:r w:rsidRPr="00FB2975">
        <w:rPr>
          <w:sz w:val="28"/>
          <w:szCs w:val="28"/>
          <w:lang w:val="uk-UA"/>
        </w:rPr>
        <w:t xml:space="preserve"> поєднанні з ЦД 2 типу.</w:t>
      </w:r>
    </w:p>
    <w:p w:rsidR="00077303" w:rsidRPr="00FB2975" w:rsidRDefault="00077303" w:rsidP="00E10867">
      <w:pPr>
        <w:spacing w:line="360" w:lineRule="auto"/>
        <w:ind w:firstLine="709"/>
        <w:jc w:val="both"/>
        <w:rPr>
          <w:sz w:val="28"/>
          <w:szCs w:val="28"/>
          <w:lang w:val="uk-UA"/>
        </w:rPr>
      </w:pPr>
      <w:r w:rsidRPr="00FB2975">
        <w:rPr>
          <w:i/>
          <w:sz w:val="28"/>
          <w:szCs w:val="28"/>
          <w:lang w:val="uk-UA"/>
        </w:rPr>
        <w:t>Об</w:t>
      </w:r>
      <w:r>
        <w:rPr>
          <w:i/>
          <w:sz w:val="28"/>
          <w:szCs w:val="28"/>
          <w:lang w:val="uk-UA"/>
        </w:rPr>
        <w:t>’</w:t>
      </w:r>
      <w:r w:rsidRPr="00FB2975">
        <w:rPr>
          <w:i/>
          <w:sz w:val="28"/>
          <w:szCs w:val="28"/>
          <w:lang w:val="uk-UA"/>
        </w:rPr>
        <w:t>єкт дослідження:</w:t>
      </w:r>
      <w:r w:rsidRPr="00FB2975">
        <w:rPr>
          <w:sz w:val="28"/>
          <w:szCs w:val="28"/>
          <w:lang w:val="uk-UA"/>
        </w:rPr>
        <w:t xml:space="preserve"> НАСГ </w:t>
      </w:r>
      <w:r>
        <w:rPr>
          <w:sz w:val="28"/>
          <w:szCs w:val="28"/>
          <w:lang w:val="uk-UA"/>
        </w:rPr>
        <w:t>у</w:t>
      </w:r>
      <w:r w:rsidRPr="00FB2975">
        <w:rPr>
          <w:sz w:val="28"/>
          <w:szCs w:val="28"/>
          <w:lang w:val="uk-UA"/>
        </w:rPr>
        <w:t xml:space="preserve"> поєднанні з ЦД 2 типу.</w:t>
      </w:r>
    </w:p>
    <w:p w:rsidR="00077303" w:rsidRPr="00FB2975" w:rsidRDefault="00077303" w:rsidP="00E10867">
      <w:pPr>
        <w:spacing w:line="360" w:lineRule="auto"/>
        <w:ind w:firstLine="709"/>
        <w:jc w:val="both"/>
        <w:rPr>
          <w:sz w:val="28"/>
          <w:szCs w:val="28"/>
          <w:lang w:val="uk-UA"/>
        </w:rPr>
      </w:pPr>
      <w:r w:rsidRPr="00FB2975">
        <w:rPr>
          <w:i/>
          <w:sz w:val="28"/>
          <w:szCs w:val="28"/>
          <w:lang w:val="uk-UA"/>
        </w:rPr>
        <w:t>Предмет дослідження:</w:t>
      </w:r>
      <w:r w:rsidRPr="00FB2975">
        <w:rPr>
          <w:sz w:val="28"/>
          <w:szCs w:val="28"/>
          <w:lang w:val="uk-UA"/>
        </w:rPr>
        <w:t xml:space="preserve"> показники L</w:t>
      </w:r>
      <w:r>
        <w:rPr>
          <w:sz w:val="28"/>
          <w:szCs w:val="28"/>
          <w:lang w:val="uk-UA"/>
        </w:rPr>
        <w:t>–</w:t>
      </w:r>
      <w:r w:rsidRPr="00FB2975">
        <w:rPr>
          <w:sz w:val="28"/>
          <w:szCs w:val="28"/>
          <w:lang w:val="uk-UA"/>
        </w:rPr>
        <w:t>карнітину, ГЦ в сироватці крові, рівні прозапальних цитокінів (ФНП</w:t>
      </w:r>
      <w:r>
        <w:rPr>
          <w:sz w:val="28"/>
          <w:szCs w:val="28"/>
          <w:lang w:val="uk-UA"/>
        </w:rPr>
        <w:t>–</w:t>
      </w:r>
      <w:r w:rsidRPr="00FB2975">
        <w:rPr>
          <w:sz w:val="28"/>
          <w:szCs w:val="28"/>
          <w:lang w:val="uk-UA"/>
        </w:rPr>
        <w:t>α, ІЛ</w:t>
      </w:r>
      <w:r>
        <w:rPr>
          <w:sz w:val="28"/>
          <w:szCs w:val="28"/>
          <w:lang w:val="uk-UA"/>
        </w:rPr>
        <w:t>–</w:t>
      </w:r>
      <w:r w:rsidRPr="00FB2975">
        <w:rPr>
          <w:sz w:val="28"/>
          <w:szCs w:val="28"/>
          <w:lang w:val="uk-UA"/>
        </w:rPr>
        <w:t>6) у сироватці крові, показники системи ПОЛ в плазмі крові (</w:t>
      </w:r>
      <w:r w:rsidRPr="00FB2975">
        <w:rPr>
          <w:sz w:val="28"/>
          <w:szCs w:val="28"/>
          <w:lang w:val="en-US"/>
        </w:rPr>
        <w:t>NO</w:t>
      </w:r>
      <w:r w:rsidRPr="00FB2975">
        <w:rPr>
          <w:sz w:val="28"/>
          <w:szCs w:val="28"/>
          <w:lang w:val="uk-UA"/>
        </w:rPr>
        <w:t xml:space="preserve"> та МДА), данні УЗД органів черевної порожнини.</w:t>
      </w:r>
    </w:p>
    <w:p w:rsidR="00077303" w:rsidRPr="00FB2975" w:rsidRDefault="00077303" w:rsidP="00E10867">
      <w:pPr>
        <w:spacing w:line="360" w:lineRule="auto"/>
        <w:ind w:firstLine="709"/>
        <w:jc w:val="both"/>
        <w:rPr>
          <w:sz w:val="28"/>
          <w:szCs w:val="28"/>
          <w:lang w:val="uk-UA"/>
        </w:rPr>
      </w:pPr>
      <w:r w:rsidRPr="00FB2975">
        <w:rPr>
          <w:i/>
          <w:sz w:val="28"/>
          <w:szCs w:val="28"/>
          <w:lang w:val="uk-UA"/>
        </w:rPr>
        <w:t>Методи дослідження:</w:t>
      </w:r>
      <w:r w:rsidRPr="00FB2975">
        <w:rPr>
          <w:sz w:val="28"/>
          <w:szCs w:val="28"/>
          <w:lang w:val="uk-UA"/>
        </w:rPr>
        <w:t xml:space="preserve"> загальноклінічні, біохімічні методи, ультразвуковий метод, аналітико</w:t>
      </w:r>
      <w:r>
        <w:rPr>
          <w:sz w:val="28"/>
          <w:szCs w:val="28"/>
          <w:lang w:val="uk-UA"/>
        </w:rPr>
        <w:t>–</w:t>
      </w:r>
      <w:r w:rsidRPr="00FB2975">
        <w:rPr>
          <w:sz w:val="28"/>
          <w:szCs w:val="28"/>
          <w:lang w:val="uk-UA"/>
        </w:rPr>
        <w:t>статистичний аналіз.</w:t>
      </w:r>
    </w:p>
    <w:p w:rsidR="00077303" w:rsidRPr="00FB2975" w:rsidRDefault="00077303" w:rsidP="00E10867">
      <w:pPr>
        <w:spacing w:line="360" w:lineRule="auto"/>
        <w:ind w:firstLine="709"/>
        <w:jc w:val="both"/>
        <w:rPr>
          <w:b/>
          <w:sz w:val="28"/>
          <w:szCs w:val="28"/>
          <w:lang w:val="uk-UA"/>
        </w:rPr>
      </w:pPr>
      <w:r w:rsidRPr="00FB2975">
        <w:rPr>
          <w:b/>
          <w:sz w:val="28"/>
          <w:szCs w:val="28"/>
          <w:lang w:val="uk-UA"/>
        </w:rPr>
        <w:t xml:space="preserve">Наукова новизна одержаних результатів. </w:t>
      </w:r>
      <w:r w:rsidRPr="00FB2975">
        <w:rPr>
          <w:sz w:val="28"/>
          <w:szCs w:val="28"/>
          <w:lang w:val="uk-UA"/>
        </w:rPr>
        <w:t>Уперше визначена роль L</w:t>
      </w:r>
      <w:r>
        <w:rPr>
          <w:sz w:val="28"/>
          <w:szCs w:val="28"/>
          <w:lang w:val="uk-UA"/>
        </w:rPr>
        <w:t>–</w:t>
      </w:r>
      <w:r w:rsidRPr="00FB2975">
        <w:rPr>
          <w:sz w:val="28"/>
          <w:szCs w:val="28"/>
          <w:lang w:val="uk-UA"/>
        </w:rPr>
        <w:t>карнітину у розвитку Н</w:t>
      </w:r>
      <w:r>
        <w:rPr>
          <w:sz w:val="28"/>
          <w:szCs w:val="28"/>
          <w:lang w:val="uk-UA"/>
        </w:rPr>
        <w:t>АСГ у</w:t>
      </w:r>
      <w:r w:rsidRPr="00FB2975">
        <w:rPr>
          <w:sz w:val="28"/>
          <w:szCs w:val="28"/>
          <w:lang w:val="uk-UA"/>
        </w:rPr>
        <w:t xml:space="preserve"> поєднанні з ЦД 2 типу. </w:t>
      </w:r>
    </w:p>
    <w:p w:rsidR="00077303" w:rsidRPr="00FB2975" w:rsidRDefault="00077303" w:rsidP="00E10867">
      <w:pPr>
        <w:spacing w:line="360" w:lineRule="auto"/>
        <w:ind w:firstLine="709"/>
        <w:jc w:val="both"/>
        <w:rPr>
          <w:b/>
          <w:sz w:val="28"/>
          <w:szCs w:val="28"/>
          <w:lang w:val="uk-UA"/>
        </w:rPr>
      </w:pPr>
      <w:r w:rsidRPr="00FB2975">
        <w:rPr>
          <w:sz w:val="28"/>
          <w:szCs w:val="28"/>
          <w:lang w:val="uk-UA"/>
        </w:rPr>
        <w:t xml:space="preserve">Уперше </w:t>
      </w:r>
      <w:r>
        <w:rPr>
          <w:sz w:val="28"/>
          <w:szCs w:val="28"/>
          <w:lang w:val="uk-UA"/>
        </w:rPr>
        <w:t>установлено</w:t>
      </w:r>
      <w:r w:rsidRPr="00FB2975">
        <w:rPr>
          <w:sz w:val="28"/>
          <w:szCs w:val="28"/>
          <w:lang w:val="uk-UA"/>
        </w:rPr>
        <w:t xml:space="preserve"> вплив ГЦ на розвиток НАСГ та доведено зв</w:t>
      </w:r>
      <w:r>
        <w:rPr>
          <w:sz w:val="28"/>
          <w:szCs w:val="28"/>
          <w:lang w:val="uk-UA"/>
        </w:rPr>
        <w:t>’</w:t>
      </w:r>
      <w:r w:rsidRPr="00FB2975">
        <w:rPr>
          <w:sz w:val="28"/>
          <w:szCs w:val="28"/>
          <w:lang w:val="uk-UA"/>
        </w:rPr>
        <w:t xml:space="preserve">язок між ступенем ГГЦ і прогресуванням метаболічних порушень в печінці при ізольованому перебігу НАСГ і в поєднанні з ЦД 2 типу. </w:t>
      </w:r>
    </w:p>
    <w:p w:rsidR="00077303" w:rsidRPr="00FB2975" w:rsidRDefault="00077303" w:rsidP="00E10867">
      <w:pPr>
        <w:spacing w:line="360" w:lineRule="auto"/>
        <w:ind w:firstLine="709"/>
        <w:jc w:val="both"/>
        <w:rPr>
          <w:sz w:val="28"/>
          <w:szCs w:val="28"/>
          <w:lang w:val="uk-UA"/>
        </w:rPr>
      </w:pPr>
      <w:r>
        <w:rPr>
          <w:sz w:val="28"/>
          <w:szCs w:val="28"/>
          <w:lang w:val="uk-UA"/>
        </w:rPr>
        <w:t>Установлено</w:t>
      </w:r>
      <w:r w:rsidRPr="00FB2975">
        <w:rPr>
          <w:sz w:val="28"/>
          <w:szCs w:val="28"/>
          <w:lang w:val="uk-UA"/>
        </w:rPr>
        <w:t xml:space="preserve"> значення</w:t>
      </w:r>
      <w:r w:rsidR="00B77B21">
        <w:rPr>
          <w:sz w:val="28"/>
          <w:szCs w:val="28"/>
          <w:lang w:val="uk-UA"/>
        </w:rPr>
        <w:t xml:space="preserve"> </w:t>
      </w:r>
      <w:r w:rsidR="00413BFD">
        <w:rPr>
          <w:sz w:val="28"/>
          <w:szCs w:val="28"/>
          <w:lang w:val="uk-UA"/>
        </w:rPr>
        <w:t>прозапальних цитокінів, як маркерів</w:t>
      </w:r>
      <w:r w:rsidRPr="00FB2975">
        <w:rPr>
          <w:sz w:val="28"/>
          <w:szCs w:val="28"/>
          <w:lang w:val="uk-UA"/>
        </w:rPr>
        <w:t xml:space="preserve"> запальної реакції, що може служити додатковим критерієм оцінки ступеня запалення при НАСГ</w:t>
      </w:r>
      <w:r>
        <w:rPr>
          <w:sz w:val="28"/>
          <w:szCs w:val="28"/>
          <w:lang w:val="uk-UA"/>
        </w:rPr>
        <w:t xml:space="preserve"> із ЦД 2 типу</w:t>
      </w:r>
      <w:r w:rsidRPr="00FB2975">
        <w:rPr>
          <w:sz w:val="28"/>
          <w:szCs w:val="28"/>
          <w:lang w:val="uk-UA"/>
        </w:rPr>
        <w:t xml:space="preserve">. </w:t>
      </w:r>
    </w:p>
    <w:p w:rsidR="00077303" w:rsidRPr="00FB2975" w:rsidRDefault="00077303" w:rsidP="00E10867">
      <w:pPr>
        <w:spacing w:line="360" w:lineRule="auto"/>
        <w:ind w:firstLine="709"/>
        <w:jc w:val="both"/>
        <w:rPr>
          <w:sz w:val="28"/>
          <w:szCs w:val="28"/>
          <w:lang w:val="uk-UA"/>
        </w:rPr>
      </w:pPr>
      <w:r w:rsidRPr="00FB2975">
        <w:rPr>
          <w:sz w:val="28"/>
          <w:szCs w:val="28"/>
          <w:lang w:val="uk-UA"/>
        </w:rPr>
        <w:t xml:space="preserve">Уперше </w:t>
      </w:r>
      <w:r>
        <w:rPr>
          <w:sz w:val="28"/>
          <w:szCs w:val="28"/>
          <w:lang w:val="uk-UA"/>
        </w:rPr>
        <w:t>установлено</w:t>
      </w:r>
      <w:r w:rsidRPr="00FB2975">
        <w:rPr>
          <w:sz w:val="28"/>
          <w:szCs w:val="28"/>
          <w:lang w:val="uk-UA"/>
        </w:rPr>
        <w:t xml:space="preserve"> зв</w:t>
      </w:r>
      <w:r>
        <w:rPr>
          <w:sz w:val="28"/>
          <w:szCs w:val="28"/>
          <w:lang w:val="uk-UA"/>
        </w:rPr>
        <w:t>’</w:t>
      </w:r>
      <w:r w:rsidRPr="00FB2975">
        <w:rPr>
          <w:sz w:val="28"/>
          <w:szCs w:val="28"/>
          <w:lang w:val="uk-UA"/>
        </w:rPr>
        <w:t>язок між порушенням обміну L</w:t>
      </w:r>
      <w:r>
        <w:rPr>
          <w:sz w:val="28"/>
          <w:szCs w:val="28"/>
          <w:lang w:val="uk-UA"/>
        </w:rPr>
        <w:t>–</w:t>
      </w:r>
      <w:r w:rsidRPr="00FB2975">
        <w:rPr>
          <w:sz w:val="28"/>
          <w:szCs w:val="28"/>
          <w:lang w:val="uk-UA"/>
        </w:rPr>
        <w:t>карнітину, ГЦ і рівнем ФНП</w:t>
      </w:r>
      <w:r>
        <w:rPr>
          <w:sz w:val="28"/>
          <w:szCs w:val="28"/>
          <w:lang w:val="uk-UA"/>
        </w:rPr>
        <w:t>–</w:t>
      </w:r>
      <w:r w:rsidRPr="00FB2975">
        <w:rPr>
          <w:sz w:val="28"/>
          <w:szCs w:val="28"/>
          <w:lang w:val="uk-UA"/>
        </w:rPr>
        <w:t>α, ІЛ</w:t>
      </w:r>
      <w:r>
        <w:rPr>
          <w:sz w:val="28"/>
          <w:szCs w:val="28"/>
          <w:lang w:val="uk-UA"/>
        </w:rPr>
        <w:t>–</w:t>
      </w:r>
      <w:r w:rsidRPr="00FB2975">
        <w:rPr>
          <w:sz w:val="28"/>
          <w:szCs w:val="28"/>
          <w:lang w:val="uk-UA"/>
        </w:rPr>
        <w:t xml:space="preserve">6 у хворих при поєднані НАСГ </w:t>
      </w:r>
      <w:r>
        <w:rPr>
          <w:sz w:val="28"/>
          <w:szCs w:val="28"/>
          <w:lang w:val="uk-UA"/>
        </w:rPr>
        <w:t>і</w:t>
      </w:r>
      <w:r w:rsidRPr="00FB2975">
        <w:rPr>
          <w:sz w:val="28"/>
          <w:szCs w:val="28"/>
          <w:lang w:val="uk-UA"/>
        </w:rPr>
        <w:t xml:space="preserve">з ЦД 2 типу. </w:t>
      </w:r>
    </w:p>
    <w:p w:rsidR="00077303" w:rsidRPr="00FB2975" w:rsidRDefault="00077303" w:rsidP="00E10867">
      <w:pPr>
        <w:spacing w:line="360" w:lineRule="auto"/>
        <w:ind w:firstLine="709"/>
        <w:jc w:val="both"/>
        <w:rPr>
          <w:sz w:val="28"/>
          <w:szCs w:val="28"/>
          <w:lang w:val="uk-UA"/>
        </w:rPr>
      </w:pPr>
      <w:r w:rsidRPr="00FB2975">
        <w:rPr>
          <w:sz w:val="28"/>
          <w:szCs w:val="28"/>
          <w:lang w:val="uk-UA"/>
        </w:rPr>
        <w:lastRenderedPageBreak/>
        <w:t>Уперше на підставі клінічних, біохімічних, імунологічних досліджень вдосконалені патогенетичні підходи до комплексної терапії НАСГ та при поєднаному перебігу НАСГ і ЦД 2 типу. Доведено доцільність призначення лікарських препаратів з метою корекції мітохондріальної дисфункції (L</w:t>
      </w:r>
      <w:r>
        <w:rPr>
          <w:sz w:val="28"/>
          <w:szCs w:val="28"/>
          <w:lang w:val="uk-UA"/>
        </w:rPr>
        <w:t>–</w:t>
      </w:r>
      <w:r w:rsidRPr="00FB2975">
        <w:rPr>
          <w:sz w:val="28"/>
          <w:szCs w:val="28"/>
          <w:lang w:val="uk-UA"/>
        </w:rPr>
        <w:t>карнітин) і гіпогомоцистеїнемічної дією (фолієва кислота, вітаміни В</w:t>
      </w:r>
      <w:r w:rsidRPr="00FB2975">
        <w:rPr>
          <w:sz w:val="28"/>
          <w:szCs w:val="28"/>
          <w:vertAlign w:val="subscript"/>
          <w:lang w:val="uk-UA"/>
        </w:rPr>
        <w:t>9</w:t>
      </w:r>
      <w:r w:rsidRPr="00FB2975">
        <w:rPr>
          <w:sz w:val="28"/>
          <w:szCs w:val="28"/>
          <w:lang w:val="uk-UA"/>
        </w:rPr>
        <w:t>, В</w:t>
      </w:r>
      <w:r w:rsidRPr="00FB2975">
        <w:rPr>
          <w:sz w:val="28"/>
          <w:szCs w:val="28"/>
          <w:vertAlign w:val="subscript"/>
          <w:lang w:val="uk-UA"/>
        </w:rPr>
        <w:t>12</w:t>
      </w:r>
      <w:r w:rsidRPr="00FB2975">
        <w:rPr>
          <w:sz w:val="28"/>
          <w:szCs w:val="28"/>
          <w:lang w:val="uk-UA"/>
        </w:rPr>
        <w:t>), препаратів, що мають антиоксидантну активність (</w:t>
      </w:r>
      <w:r w:rsidRPr="00FB2975">
        <w:rPr>
          <w:sz w:val="28"/>
          <w:szCs w:val="28"/>
          <w:shd w:val="clear" w:color="auto" w:fill="FFFFFF"/>
          <w:lang w:val="uk-UA"/>
        </w:rPr>
        <w:t>депротеїнізований</w:t>
      </w:r>
      <w:r w:rsidRPr="00FB2975">
        <w:rPr>
          <w:rFonts w:ascii="Tahoma" w:hAnsi="Tahoma" w:cs="Tahoma"/>
          <w:color w:val="000000"/>
          <w:sz w:val="28"/>
          <w:szCs w:val="28"/>
          <w:shd w:val="clear" w:color="auto" w:fill="FFFFFF"/>
          <w:lang w:val="uk-UA"/>
        </w:rPr>
        <w:t xml:space="preserve"> </w:t>
      </w:r>
      <w:r w:rsidRPr="00FB2975">
        <w:rPr>
          <w:sz w:val="28"/>
          <w:szCs w:val="28"/>
          <w:shd w:val="clear" w:color="auto" w:fill="FFFFFF"/>
          <w:lang w:val="uk-UA"/>
        </w:rPr>
        <w:t>гемодериват</w:t>
      </w:r>
      <w:r w:rsidRPr="00FB2975">
        <w:rPr>
          <w:sz w:val="28"/>
          <w:szCs w:val="28"/>
          <w:lang w:val="uk-UA"/>
        </w:rPr>
        <w:t xml:space="preserve">) в комплексній патогенетичній терапії хворих </w:t>
      </w:r>
      <w:r>
        <w:rPr>
          <w:sz w:val="28"/>
          <w:szCs w:val="28"/>
          <w:lang w:val="uk-UA"/>
        </w:rPr>
        <w:t xml:space="preserve">на </w:t>
      </w:r>
      <w:r w:rsidRPr="00FB2975">
        <w:rPr>
          <w:sz w:val="28"/>
          <w:szCs w:val="28"/>
          <w:lang w:val="uk-UA"/>
        </w:rPr>
        <w:t xml:space="preserve">НАСГ </w:t>
      </w:r>
      <w:r>
        <w:rPr>
          <w:sz w:val="28"/>
          <w:szCs w:val="28"/>
          <w:lang w:val="uk-UA"/>
        </w:rPr>
        <w:t>у</w:t>
      </w:r>
      <w:r w:rsidRPr="00FB2975">
        <w:rPr>
          <w:sz w:val="28"/>
          <w:szCs w:val="28"/>
          <w:lang w:val="uk-UA"/>
        </w:rPr>
        <w:t xml:space="preserve"> поєднанні з ЦД 2 типу.</w:t>
      </w:r>
    </w:p>
    <w:p w:rsidR="00077303" w:rsidRPr="000D41EA" w:rsidRDefault="00077303" w:rsidP="00E10867">
      <w:pPr>
        <w:spacing w:line="360" w:lineRule="auto"/>
        <w:ind w:firstLine="709"/>
        <w:jc w:val="both"/>
        <w:rPr>
          <w:b/>
          <w:sz w:val="28"/>
          <w:szCs w:val="28"/>
          <w:lang w:val="uk-UA"/>
        </w:rPr>
      </w:pPr>
      <w:r w:rsidRPr="00FB2975">
        <w:rPr>
          <w:b/>
          <w:sz w:val="28"/>
          <w:szCs w:val="28"/>
          <w:lang w:val="uk-UA"/>
        </w:rPr>
        <w:t>Практичне значення одержаних результат</w:t>
      </w:r>
      <w:r>
        <w:rPr>
          <w:b/>
          <w:sz w:val="28"/>
          <w:szCs w:val="28"/>
          <w:lang w:val="uk-UA"/>
        </w:rPr>
        <w:t xml:space="preserve">ів, впровадження їх у практику. </w:t>
      </w:r>
      <w:r w:rsidRPr="00FB2975">
        <w:rPr>
          <w:sz w:val="28"/>
          <w:szCs w:val="28"/>
          <w:lang w:val="uk-UA"/>
        </w:rPr>
        <w:t>П</w:t>
      </w:r>
      <w:r>
        <w:rPr>
          <w:sz w:val="28"/>
          <w:szCs w:val="28"/>
          <w:lang w:val="uk-UA"/>
        </w:rPr>
        <w:t xml:space="preserve">ід час </w:t>
      </w:r>
      <w:r w:rsidRPr="00FB2975">
        <w:rPr>
          <w:sz w:val="28"/>
          <w:szCs w:val="28"/>
          <w:lang w:val="uk-UA"/>
        </w:rPr>
        <w:t>обстеженн</w:t>
      </w:r>
      <w:r>
        <w:rPr>
          <w:sz w:val="28"/>
          <w:szCs w:val="28"/>
          <w:lang w:val="uk-UA"/>
        </w:rPr>
        <w:t>я хворих на НАСГ у поєднанні з ЦД 2 типу, разом</w:t>
      </w:r>
      <w:r w:rsidRPr="00FB2975">
        <w:rPr>
          <w:sz w:val="28"/>
          <w:szCs w:val="28"/>
          <w:lang w:val="uk-UA"/>
        </w:rPr>
        <w:t xml:space="preserve"> </w:t>
      </w:r>
      <w:r>
        <w:rPr>
          <w:sz w:val="28"/>
          <w:szCs w:val="28"/>
          <w:lang w:val="uk-UA"/>
        </w:rPr>
        <w:t>і</w:t>
      </w:r>
      <w:r w:rsidRPr="00FB2975">
        <w:rPr>
          <w:sz w:val="28"/>
          <w:szCs w:val="28"/>
          <w:lang w:val="uk-UA"/>
        </w:rPr>
        <w:t>з клініко</w:t>
      </w:r>
      <w:r>
        <w:rPr>
          <w:sz w:val="28"/>
          <w:szCs w:val="28"/>
          <w:lang w:val="uk-UA"/>
        </w:rPr>
        <w:t>–біохімічними й</w:t>
      </w:r>
      <w:r w:rsidRPr="00FB2975">
        <w:rPr>
          <w:sz w:val="28"/>
          <w:szCs w:val="28"/>
          <w:lang w:val="uk-UA"/>
        </w:rPr>
        <w:t xml:space="preserve"> інструментальними методами дослідження доцільно визначати рівень L</w:t>
      </w:r>
      <w:r>
        <w:rPr>
          <w:sz w:val="28"/>
          <w:szCs w:val="28"/>
          <w:lang w:val="uk-UA"/>
        </w:rPr>
        <w:t>–</w:t>
      </w:r>
      <w:r w:rsidRPr="00FB2975">
        <w:rPr>
          <w:sz w:val="28"/>
          <w:szCs w:val="28"/>
          <w:lang w:val="uk-UA"/>
        </w:rPr>
        <w:t xml:space="preserve">карнітину та ГЦ для оцінки наявності карнітинової недостатності та ГГЦ, як </w:t>
      </w:r>
      <w:r>
        <w:rPr>
          <w:sz w:val="28"/>
          <w:szCs w:val="28"/>
          <w:lang w:val="uk-UA"/>
        </w:rPr>
        <w:t>чинника</w:t>
      </w:r>
      <w:r w:rsidRPr="00FB2975">
        <w:rPr>
          <w:sz w:val="28"/>
          <w:szCs w:val="28"/>
          <w:lang w:val="uk-UA"/>
        </w:rPr>
        <w:t xml:space="preserve"> прогресування захворювання, що д</w:t>
      </w:r>
      <w:r>
        <w:rPr>
          <w:sz w:val="28"/>
          <w:szCs w:val="28"/>
          <w:lang w:val="uk-UA"/>
        </w:rPr>
        <w:t>асть змогу</w:t>
      </w:r>
      <w:r w:rsidRPr="00FB2975">
        <w:rPr>
          <w:sz w:val="28"/>
          <w:szCs w:val="28"/>
          <w:lang w:val="uk-UA"/>
        </w:rPr>
        <w:t xml:space="preserve"> лікарям практичної медицини підвищити рівень діагностики НАСГ</w:t>
      </w:r>
      <w:r>
        <w:rPr>
          <w:sz w:val="28"/>
          <w:szCs w:val="28"/>
          <w:lang w:val="uk-UA"/>
        </w:rPr>
        <w:t xml:space="preserve"> із ЦД 2 типу</w:t>
      </w:r>
      <w:r w:rsidRPr="00FB2975">
        <w:rPr>
          <w:sz w:val="28"/>
          <w:szCs w:val="28"/>
          <w:lang w:val="uk-UA"/>
        </w:rPr>
        <w:t>.</w:t>
      </w:r>
    </w:p>
    <w:p w:rsidR="00077303" w:rsidRPr="00FB2975" w:rsidRDefault="00077303" w:rsidP="00E10867">
      <w:pPr>
        <w:spacing w:line="360" w:lineRule="auto"/>
        <w:ind w:firstLine="709"/>
        <w:jc w:val="both"/>
        <w:rPr>
          <w:sz w:val="28"/>
          <w:szCs w:val="28"/>
          <w:lang w:val="uk-UA"/>
        </w:rPr>
      </w:pPr>
      <w:r w:rsidRPr="00FB2975">
        <w:rPr>
          <w:sz w:val="28"/>
          <w:szCs w:val="28"/>
          <w:lang w:val="uk-UA"/>
        </w:rPr>
        <w:t>Одержані результати щодо ролі L</w:t>
      </w:r>
      <w:r>
        <w:rPr>
          <w:sz w:val="28"/>
          <w:szCs w:val="28"/>
          <w:lang w:val="uk-UA"/>
        </w:rPr>
        <w:t>–</w:t>
      </w:r>
      <w:r w:rsidRPr="00FB2975">
        <w:rPr>
          <w:sz w:val="28"/>
          <w:szCs w:val="28"/>
          <w:lang w:val="uk-UA"/>
        </w:rPr>
        <w:t xml:space="preserve">карнітину та ГЦ у розвитку та прогресуванні НАЖБП суттєво поглиблюють </w:t>
      </w:r>
      <w:r>
        <w:rPr>
          <w:sz w:val="28"/>
          <w:szCs w:val="28"/>
          <w:lang w:val="uk-UA"/>
        </w:rPr>
        <w:t xml:space="preserve">розуміння </w:t>
      </w:r>
      <w:r w:rsidRPr="00FB2975">
        <w:rPr>
          <w:sz w:val="28"/>
          <w:szCs w:val="28"/>
          <w:lang w:val="uk-UA"/>
        </w:rPr>
        <w:t>патогенетичн</w:t>
      </w:r>
      <w:r>
        <w:rPr>
          <w:sz w:val="28"/>
          <w:szCs w:val="28"/>
          <w:lang w:val="uk-UA"/>
        </w:rPr>
        <w:t>их</w:t>
      </w:r>
      <w:r w:rsidRPr="00FB2975">
        <w:rPr>
          <w:sz w:val="28"/>
          <w:szCs w:val="28"/>
          <w:lang w:val="uk-UA"/>
        </w:rPr>
        <w:t xml:space="preserve"> механізм</w:t>
      </w:r>
      <w:r>
        <w:rPr>
          <w:sz w:val="28"/>
          <w:szCs w:val="28"/>
          <w:lang w:val="uk-UA"/>
        </w:rPr>
        <w:t>ів</w:t>
      </w:r>
      <w:r w:rsidRPr="00FB2975">
        <w:rPr>
          <w:sz w:val="28"/>
          <w:szCs w:val="28"/>
          <w:lang w:val="uk-UA"/>
        </w:rPr>
        <w:t xml:space="preserve"> формування НАСГ та створюють підґрунтя для пато</w:t>
      </w:r>
      <w:r>
        <w:rPr>
          <w:sz w:val="28"/>
          <w:szCs w:val="28"/>
          <w:lang w:val="uk-UA"/>
        </w:rPr>
        <w:t>генетичної терапії хворих на НАСГ у</w:t>
      </w:r>
      <w:r w:rsidRPr="00FB2975">
        <w:rPr>
          <w:sz w:val="28"/>
          <w:szCs w:val="28"/>
          <w:lang w:val="uk-UA"/>
        </w:rPr>
        <w:t xml:space="preserve"> поєднанні з ЦД 2 типу. З метою підвищення якості лікування хворих </w:t>
      </w:r>
      <w:r>
        <w:rPr>
          <w:sz w:val="28"/>
          <w:szCs w:val="28"/>
          <w:lang w:val="uk-UA"/>
        </w:rPr>
        <w:t xml:space="preserve">на </w:t>
      </w:r>
      <w:r w:rsidRPr="00FB2975">
        <w:rPr>
          <w:sz w:val="28"/>
          <w:szCs w:val="28"/>
          <w:lang w:val="uk-UA"/>
        </w:rPr>
        <w:t>НАСГ доцільно використовувати комплексну терапію з</w:t>
      </w:r>
      <w:r>
        <w:rPr>
          <w:sz w:val="28"/>
          <w:szCs w:val="28"/>
          <w:lang w:val="uk-UA"/>
        </w:rPr>
        <w:t>і</w:t>
      </w:r>
      <w:r w:rsidRPr="00FB2975">
        <w:rPr>
          <w:sz w:val="28"/>
          <w:szCs w:val="28"/>
          <w:lang w:val="uk-UA"/>
        </w:rPr>
        <w:t xml:space="preserve"> включенням препаратів L</w:t>
      </w:r>
      <w:r>
        <w:rPr>
          <w:sz w:val="28"/>
          <w:szCs w:val="28"/>
          <w:lang w:val="uk-UA"/>
        </w:rPr>
        <w:t>–</w:t>
      </w:r>
      <w:r w:rsidRPr="00FB2975">
        <w:rPr>
          <w:sz w:val="28"/>
          <w:szCs w:val="28"/>
          <w:lang w:val="uk-UA"/>
        </w:rPr>
        <w:t>карнітину, фолієвої кислоти та депротеінізованого гемодеривату.</w:t>
      </w:r>
    </w:p>
    <w:p w:rsidR="00077303" w:rsidRPr="00FB2975" w:rsidRDefault="00077303" w:rsidP="00E10867">
      <w:pPr>
        <w:spacing w:line="360" w:lineRule="auto"/>
        <w:ind w:firstLine="709"/>
        <w:jc w:val="both"/>
        <w:rPr>
          <w:sz w:val="28"/>
          <w:szCs w:val="28"/>
          <w:lang w:val="uk-UA"/>
        </w:rPr>
      </w:pPr>
      <w:r w:rsidRPr="00FB2975">
        <w:rPr>
          <w:sz w:val="28"/>
          <w:szCs w:val="28"/>
          <w:lang w:val="uk-UA"/>
        </w:rPr>
        <w:t>Запропонований метод удосконалення діагностики та лікування НАСГ впроваджено в клінічну роботу КЗОЗ «Харківська міська клінічна лікарня №2», КЗОЗ «Обласна клінічна лікарня – центр екстреної медичної допомоги та медицини катастроф», м. Харків, ДЗ «Дорожня клінічна лікарня станції Харків СТГО «Південна залізниця», Полтавської обласної клінічної лікарні ім. М.В. Скліфосовського, а також в навчальну роботу кафедри гастроентерології  Харківської медичної академії післядипломної освіти МОЗ України та кафедри внутрішніх хвороб №1 ВДНЗУ «Українська медична стоматологічна академія».</w:t>
      </w:r>
    </w:p>
    <w:p w:rsidR="00077303" w:rsidRPr="000D41EA" w:rsidRDefault="00077303" w:rsidP="00E10867">
      <w:pPr>
        <w:spacing w:line="360" w:lineRule="auto"/>
        <w:ind w:firstLine="709"/>
        <w:jc w:val="both"/>
        <w:rPr>
          <w:b/>
          <w:sz w:val="28"/>
          <w:szCs w:val="28"/>
          <w:lang w:val="uk-UA"/>
        </w:rPr>
      </w:pPr>
      <w:r w:rsidRPr="00FB2975">
        <w:rPr>
          <w:sz w:val="28"/>
          <w:szCs w:val="28"/>
          <w:lang w:val="uk-UA"/>
        </w:rPr>
        <w:t xml:space="preserve"> </w:t>
      </w:r>
      <w:r>
        <w:rPr>
          <w:b/>
          <w:sz w:val="28"/>
          <w:szCs w:val="28"/>
          <w:lang w:val="uk-UA"/>
        </w:rPr>
        <w:t xml:space="preserve">Особистий внесок здобувача. </w:t>
      </w:r>
      <w:r w:rsidRPr="00FB2975">
        <w:rPr>
          <w:sz w:val="28"/>
          <w:szCs w:val="28"/>
          <w:lang w:val="uk-UA"/>
        </w:rPr>
        <w:t>Здобувачем розроблено дизайн дослідження,</w:t>
      </w:r>
      <w:r>
        <w:rPr>
          <w:sz w:val="28"/>
          <w:szCs w:val="28"/>
          <w:lang w:val="uk-UA"/>
        </w:rPr>
        <w:t xml:space="preserve"> основні завдання та методологію</w:t>
      </w:r>
      <w:r w:rsidRPr="00FB2975">
        <w:rPr>
          <w:sz w:val="28"/>
          <w:szCs w:val="28"/>
          <w:lang w:val="uk-UA"/>
        </w:rPr>
        <w:t xml:space="preserve"> дослідження. Проведено відбір хворих та клінічне спостереження за ними, здійснено безпосередню участь в інструментальній </w:t>
      </w:r>
      <w:r w:rsidRPr="00FB2975">
        <w:rPr>
          <w:sz w:val="28"/>
          <w:szCs w:val="28"/>
          <w:lang w:val="uk-UA"/>
        </w:rPr>
        <w:lastRenderedPageBreak/>
        <w:t>діагностиці, виконано статистичну о</w:t>
      </w:r>
      <w:r>
        <w:rPr>
          <w:sz w:val="28"/>
          <w:szCs w:val="28"/>
          <w:lang w:val="uk-UA"/>
        </w:rPr>
        <w:t>бробку матеріалу, проаналізовано</w:t>
      </w:r>
      <w:r w:rsidRPr="00FB2975">
        <w:rPr>
          <w:sz w:val="28"/>
          <w:szCs w:val="28"/>
          <w:lang w:val="uk-UA"/>
        </w:rPr>
        <w:t xml:space="preserve"> результати досліджень, теоретичне уз</w:t>
      </w:r>
      <w:r>
        <w:rPr>
          <w:sz w:val="28"/>
          <w:szCs w:val="28"/>
          <w:lang w:val="uk-UA"/>
        </w:rPr>
        <w:t>агальнення отриманих даних, їх у</w:t>
      </w:r>
      <w:r w:rsidRPr="00FB2975">
        <w:rPr>
          <w:sz w:val="28"/>
          <w:szCs w:val="28"/>
          <w:lang w:val="uk-UA"/>
        </w:rPr>
        <w:t>провадження в практику лікарів сімейної медицини, терапевтів, гастроентерологів. Здобувачем підготовлені доповіді про результати дослідження, написані та подані до друку статті та тези в матеріалах конференцій та з</w:t>
      </w:r>
      <w:r>
        <w:rPr>
          <w:sz w:val="28"/>
          <w:szCs w:val="28"/>
        </w:rPr>
        <w:t>’</w:t>
      </w:r>
      <w:r w:rsidRPr="00FB2975">
        <w:rPr>
          <w:sz w:val="28"/>
          <w:szCs w:val="28"/>
          <w:lang w:val="uk-UA"/>
        </w:rPr>
        <w:t>їздів.</w:t>
      </w:r>
    </w:p>
    <w:p w:rsidR="00077303" w:rsidRPr="00595805" w:rsidRDefault="00077303" w:rsidP="00E10867">
      <w:pPr>
        <w:spacing w:line="360" w:lineRule="auto"/>
        <w:ind w:firstLine="709"/>
        <w:jc w:val="both"/>
        <w:rPr>
          <w:sz w:val="32"/>
          <w:szCs w:val="28"/>
          <w:lang w:val="uk-UA"/>
        </w:rPr>
      </w:pPr>
      <w:r w:rsidRPr="00FB2975">
        <w:rPr>
          <w:b/>
          <w:sz w:val="28"/>
          <w:szCs w:val="28"/>
          <w:lang w:val="uk-UA"/>
        </w:rPr>
        <w:t xml:space="preserve">Апробація результатів дисертації. </w:t>
      </w:r>
      <w:r w:rsidRPr="00FB2975">
        <w:rPr>
          <w:sz w:val="28"/>
          <w:szCs w:val="28"/>
          <w:lang w:val="uk-UA"/>
        </w:rPr>
        <w:t>Основні положення дисертаційної роботи доповідались та обговорювались на засіданні Харківського наукового товариства гастроентерологів (24 грудня 2014 р.), науково</w:t>
      </w:r>
      <w:r>
        <w:rPr>
          <w:sz w:val="28"/>
          <w:szCs w:val="28"/>
          <w:lang w:val="uk-UA"/>
        </w:rPr>
        <w:t>–</w:t>
      </w:r>
      <w:r w:rsidRPr="00FB2975">
        <w:rPr>
          <w:sz w:val="28"/>
          <w:szCs w:val="28"/>
          <w:lang w:val="uk-UA"/>
        </w:rPr>
        <w:t>практична конференція «Дні гастроентерології в Києві» (20</w:t>
      </w:r>
      <w:r>
        <w:rPr>
          <w:sz w:val="28"/>
          <w:szCs w:val="28"/>
          <w:lang w:val="uk-UA"/>
        </w:rPr>
        <w:t>–</w:t>
      </w:r>
      <w:r w:rsidRPr="00FB2975">
        <w:rPr>
          <w:sz w:val="28"/>
          <w:szCs w:val="28"/>
          <w:lang w:val="uk-UA"/>
        </w:rPr>
        <w:t>21 листопада 2014 р.), 22nd United European Gastroenterology WeekVienna (18</w:t>
      </w:r>
      <w:r>
        <w:rPr>
          <w:sz w:val="28"/>
          <w:szCs w:val="28"/>
          <w:lang w:val="uk-UA"/>
        </w:rPr>
        <w:t>–</w:t>
      </w:r>
      <w:r w:rsidRPr="00FB2975">
        <w:rPr>
          <w:sz w:val="28"/>
          <w:szCs w:val="28"/>
          <w:lang w:val="uk-UA"/>
        </w:rPr>
        <w:t>22 жовтня 2014 р.)</w:t>
      </w:r>
      <w:r w:rsidR="00595805">
        <w:rPr>
          <w:sz w:val="28"/>
          <w:szCs w:val="28"/>
          <w:lang w:val="uk-UA"/>
        </w:rPr>
        <w:t xml:space="preserve">, </w:t>
      </w:r>
      <w:r w:rsidR="00595805" w:rsidRPr="00595805">
        <w:rPr>
          <w:sz w:val="28"/>
          <w:lang w:val="uk-UA"/>
        </w:rPr>
        <w:t>41 Науковій сесії ЦНДІГ Москва (5–6 березня 2015 р.)</w:t>
      </w:r>
      <w:r w:rsidRPr="00595805">
        <w:rPr>
          <w:sz w:val="28"/>
          <w:szCs w:val="28"/>
          <w:lang w:val="uk-UA"/>
        </w:rPr>
        <w:t>.</w:t>
      </w:r>
    </w:p>
    <w:p w:rsidR="00077303" w:rsidRPr="00FB2975" w:rsidRDefault="00077303" w:rsidP="00E10867">
      <w:pPr>
        <w:spacing w:line="360" w:lineRule="auto"/>
        <w:ind w:firstLine="709"/>
        <w:jc w:val="both"/>
        <w:rPr>
          <w:sz w:val="28"/>
          <w:szCs w:val="28"/>
          <w:lang w:val="uk-UA"/>
        </w:rPr>
      </w:pPr>
      <w:r w:rsidRPr="00FB2975">
        <w:rPr>
          <w:b/>
          <w:sz w:val="28"/>
          <w:szCs w:val="28"/>
          <w:lang w:val="uk-UA"/>
        </w:rPr>
        <w:t xml:space="preserve">Публікації. </w:t>
      </w:r>
      <w:r w:rsidRPr="00FB2975">
        <w:rPr>
          <w:sz w:val="28"/>
          <w:szCs w:val="28"/>
          <w:lang w:val="uk-UA"/>
        </w:rPr>
        <w:t xml:space="preserve">За </w:t>
      </w:r>
      <w:r w:rsidR="00595805">
        <w:rPr>
          <w:sz w:val="28"/>
          <w:szCs w:val="28"/>
          <w:lang w:val="uk-UA"/>
        </w:rPr>
        <w:t>темою дисертації опубліковано 1</w:t>
      </w:r>
      <w:r w:rsidR="00D67814" w:rsidRPr="00D67814">
        <w:rPr>
          <w:sz w:val="28"/>
          <w:szCs w:val="28"/>
        </w:rPr>
        <w:t>9</w:t>
      </w:r>
      <w:r w:rsidRPr="00FB2975">
        <w:rPr>
          <w:sz w:val="28"/>
          <w:szCs w:val="28"/>
          <w:lang w:val="uk-UA"/>
        </w:rPr>
        <w:t xml:space="preserve"> наукових праці, в тому числі 7 статей в фахових видання</w:t>
      </w:r>
      <w:r>
        <w:rPr>
          <w:sz w:val="28"/>
          <w:szCs w:val="28"/>
          <w:lang w:val="uk-UA"/>
        </w:rPr>
        <w:t>х, рекомендованих МОН України, 1</w:t>
      </w:r>
      <w:r w:rsidRPr="00FB2975">
        <w:rPr>
          <w:sz w:val="28"/>
          <w:szCs w:val="28"/>
          <w:lang w:val="uk-UA"/>
        </w:rPr>
        <w:t xml:space="preserve"> </w:t>
      </w:r>
      <w:r>
        <w:rPr>
          <w:sz w:val="28"/>
          <w:szCs w:val="28"/>
          <w:lang w:val="uk-UA"/>
        </w:rPr>
        <w:t>стаття</w:t>
      </w:r>
      <w:r w:rsidRPr="00FB2975">
        <w:rPr>
          <w:sz w:val="28"/>
          <w:szCs w:val="28"/>
          <w:lang w:val="uk-UA"/>
        </w:rPr>
        <w:t xml:space="preserve"> в іноземних виданнях</w:t>
      </w:r>
      <w:r w:rsidR="00D67814" w:rsidRPr="00D67814">
        <w:rPr>
          <w:sz w:val="28"/>
          <w:szCs w:val="28"/>
        </w:rPr>
        <w:t xml:space="preserve"> </w:t>
      </w:r>
      <w:r w:rsidR="00D67814" w:rsidRPr="001146FA">
        <w:rPr>
          <w:sz w:val="28"/>
          <w:szCs w:val="28"/>
          <w:lang w:val="uk-UA"/>
        </w:rPr>
        <w:t>та 5 в інших виданнях</w:t>
      </w:r>
      <w:r w:rsidRPr="00FB2975">
        <w:rPr>
          <w:sz w:val="28"/>
          <w:szCs w:val="28"/>
          <w:lang w:val="uk-UA"/>
        </w:rPr>
        <w:t xml:space="preserve">, </w:t>
      </w:r>
      <w:r w:rsidRPr="00FB2975">
        <w:rPr>
          <w:sz w:val="28"/>
          <w:szCs w:val="28"/>
        </w:rPr>
        <w:t xml:space="preserve">2 </w:t>
      </w:r>
      <w:r w:rsidRPr="00FB2975">
        <w:rPr>
          <w:sz w:val="28"/>
          <w:szCs w:val="28"/>
          <w:lang w:val="uk-UA"/>
        </w:rPr>
        <w:t xml:space="preserve">державні </w:t>
      </w:r>
      <w:r w:rsidRPr="00C84796">
        <w:rPr>
          <w:sz w:val="28"/>
          <w:szCs w:val="28"/>
          <w:lang w:val="uk-UA"/>
        </w:rPr>
        <w:t>патенти</w:t>
      </w:r>
      <w:r w:rsidRPr="00FB2975">
        <w:rPr>
          <w:sz w:val="28"/>
          <w:szCs w:val="28"/>
          <w:lang w:val="uk-UA"/>
        </w:rPr>
        <w:t xml:space="preserve"> України</w:t>
      </w:r>
      <w:r w:rsidRPr="00FB2975">
        <w:rPr>
          <w:sz w:val="28"/>
          <w:szCs w:val="28"/>
        </w:rPr>
        <w:t xml:space="preserve"> на </w:t>
      </w:r>
      <w:r w:rsidRPr="00C84796">
        <w:rPr>
          <w:sz w:val="28"/>
          <w:szCs w:val="28"/>
          <w:lang w:val="uk-UA"/>
        </w:rPr>
        <w:t>корисні</w:t>
      </w:r>
      <w:r w:rsidRPr="00FB2975">
        <w:rPr>
          <w:sz w:val="28"/>
          <w:szCs w:val="28"/>
        </w:rPr>
        <w:t xml:space="preserve"> </w:t>
      </w:r>
      <w:r w:rsidRPr="00C84796">
        <w:rPr>
          <w:sz w:val="28"/>
          <w:szCs w:val="28"/>
          <w:lang w:val="uk-UA"/>
        </w:rPr>
        <w:t>моделі</w:t>
      </w:r>
      <w:r w:rsidR="00595805">
        <w:rPr>
          <w:sz w:val="28"/>
          <w:szCs w:val="28"/>
          <w:lang w:val="uk-UA"/>
        </w:rPr>
        <w:t xml:space="preserve">, </w:t>
      </w:r>
      <w:r w:rsidR="00D67814" w:rsidRPr="00D67814">
        <w:rPr>
          <w:sz w:val="28"/>
          <w:szCs w:val="28"/>
        </w:rPr>
        <w:t>4</w:t>
      </w:r>
      <w:r w:rsidRPr="00FB2975">
        <w:rPr>
          <w:sz w:val="28"/>
          <w:szCs w:val="28"/>
          <w:lang w:val="uk-UA"/>
        </w:rPr>
        <w:t xml:space="preserve"> </w:t>
      </w:r>
      <w:r>
        <w:rPr>
          <w:sz w:val="28"/>
          <w:szCs w:val="28"/>
          <w:lang w:val="uk-UA"/>
        </w:rPr>
        <w:t>–</w:t>
      </w:r>
      <w:r w:rsidRPr="00FB2975">
        <w:rPr>
          <w:sz w:val="28"/>
          <w:szCs w:val="28"/>
          <w:lang w:val="uk-UA"/>
        </w:rPr>
        <w:t xml:space="preserve"> в матеріалах з</w:t>
      </w:r>
      <w:r>
        <w:rPr>
          <w:sz w:val="28"/>
          <w:szCs w:val="28"/>
          <w:lang w:val="uk-UA"/>
        </w:rPr>
        <w:t>’</w:t>
      </w:r>
      <w:r w:rsidRPr="00C84796">
        <w:rPr>
          <w:sz w:val="28"/>
          <w:szCs w:val="28"/>
          <w:lang w:val="uk-UA"/>
        </w:rPr>
        <w:t>їздів</w:t>
      </w:r>
      <w:r>
        <w:rPr>
          <w:sz w:val="28"/>
          <w:szCs w:val="28"/>
        </w:rPr>
        <w:t xml:space="preserve"> та </w:t>
      </w:r>
      <w:r w:rsidRPr="00C84796">
        <w:rPr>
          <w:sz w:val="28"/>
          <w:szCs w:val="28"/>
          <w:lang w:val="uk-UA"/>
        </w:rPr>
        <w:t>конференцій</w:t>
      </w:r>
      <w:r w:rsidRPr="00FB2975">
        <w:rPr>
          <w:sz w:val="28"/>
          <w:szCs w:val="28"/>
          <w:lang w:val="uk-UA"/>
        </w:rPr>
        <w:t>.</w:t>
      </w:r>
    </w:p>
    <w:p w:rsidR="00077303" w:rsidRPr="00FB2975" w:rsidRDefault="00077303" w:rsidP="00E10867">
      <w:pPr>
        <w:spacing w:line="360" w:lineRule="auto"/>
        <w:ind w:firstLine="709"/>
        <w:jc w:val="both"/>
        <w:rPr>
          <w:sz w:val="28"/>
          <w:szCs w:val="28"/>
          <w:lang w:val="uk-UA"/>
        </w:rPr>
      </w:pPr>
      <w:r w:rsidRPr="00FB2975">
        <w:rPr>
          <w:b/>
          <w:sz w:val="28"/>
          <w:szCs w:val="28"/>
          <w:lang w:val="uk-UA"/>
        </w:rPr>
        <w:t xml:space="preserve">Структура та обсяг дисертації. </w:t>
      </w:r>
      <w:r w:rsidRPr="00FB2975">
        <w:rPr>
          <w:sz w:val="28"/>
          <w:szCs w:val="28"/>
          <w:lang w:val="uk-UA"/>
        </w:rPr>
        <w:t>Дисертація ви</w:t>
      </w:r>
      <w:r w:rsidR="00AD3977">
        <w:rPr>
          <w:sz w:val="28"/>
          <w:szCs w:val="28"/>
          <w:lang w:val="uk-UA"/>
        </w:rPr>
        <w:t>кладена українською мовою на 1</w:t>
      </w:r>
      <w:r w:rsidR="00AD3977" w:rsidRPr="00AD3977">
        <w:rPr>
          <w:sz w:val="28"/>
          <w:szCs w:val="28"/>
          <w:lang w:val="uk-UA"/>
        </w:rPr>
        <w:t>39</w:t>
      </w:r>
      <w:r w:rsidRPr="00FB2975">
        <w:rPr>
          <w:sz w:val="28"/>
          <w:szCs w:val="28"/>
          <w:lang w:val="uk-UA"/>
        </w:rPr>
        <w:t xml:space="preserve"> сторінках друкованого тексту і складається із вступу, огляду літератури, опису матеріалів і методів дослідження, п</w:t>
      </w:r>
      <w:r>
        <w:rPr>
          <w:sz w:val="28"/>
          <w:szCs w:val="28"/>
          <w:lang w:val="uk-UA"/>
        </w:rPr>
        <w:t>’</w:t>
      </w:r>
      <w:r w:rsidRPr="00FB2975">
        <w:rPr>
          <w:sz w:val="28"/>
          <w:szCs w:val="28"/>
          <w:lang w:val="uk-UA"/>
        </w:rPr>
        <w:t>яти розділів власних досліджень, розділу, присвяченого аналізу і узагальненню отриманих результатів, висновків, практичних рекомендацій та списку використаних джерел, що містить 276 найменувань (80 кирилицею і 196 латиницею). Робота ілюстрована 37 таблицями та 17 рисунками.</w:t>
      </w:r>
    </w:p>
    <w:p w:rsidR="00077303" w:rsidRPr="00FB2975"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rPr>
          <w:sz w:val="28"/>
          <w:szCs w:val="28"/>
          <w:lang w:val="uk-UA"/>
        </w:rPr>
      </w:pPr>
    </w:p>
    <w:p w:rsidR="00077303" w:rsidRDefault="00077303" w:rsidP="00E10867">
      <w:pPr>
        <w:spacing w:line="360" w:lineRule="auto"/>
        <w:rPr>
          <w:sz w:val="28"/>
          <w:szCs w:val="28"/>
          <w:lang w:val="uk-UA"/>
        </w:rPr>
      </w:pPr>
    </w:p>
    <w:p w:rsidR="00077303" w:rsidRDefault="00077303" w:rsidP="00E10867">
      <w:pPr>
        <w:spacing w:line="360" w:lineRule="auto"/>
        <w:rPr>
          <w:sz w:val="28"/>
          <w:szCs w:val="28"/>
          <w:lang w:val="uk-UA"/>
        </w:rPr>
      </w:pPr>
    </w:p>
    <w:p w:rsidR="00077303" w:rsidRDefault="00077303" w:rsidP="00E10867">
      <w:pPr>
        <w:spacing w:line="360" w:lineRule="auto"/>
        <w:rPr>
          <w:sz w:val="28"/>
          <w:szCs w:val="28"/>
          <w:lang w:val="uk-UA"/>
        </w:rPr>
      </w:pPr>
    </w:p>
    <w:p w:rsidR="00077303" w:rsidRDefault="00077303" w:rsidP="00E10867">
      <w:pPr>
        <w:spacing w:line="360" w:lineRule="auto"/>
        <w:rPr>
          <w:sz w:val="28"/>
          <w:szCs w:val="28"/>
          <w:lang w:val="uk-UA"/>
        </w:rPr>
      </w:pPr>
    </w:p>
    <w:p w:rsidR="00595805" w:rsidRPr="00D26EB6" w:rsidRDefault="00595805" w:rsidP="00E10867">
      <w:pPr>
        <w:spacing w:line="360" w:lineRule="auto"/>
        <w:rPr>
          <w:sz w:val="28"/>
          <w:szCs w:val="28"/>
          <w:lang w:val="uk-UA"/>
        </w:rPr>
      </w:pPr>
    </w:p>
    <w:p w:rsidR="00077303" w:rsidRPr="00D26EB6" w:rsidRDefault="00077303" w:rsidP="00E10867">
      <w:pPr>
        <w:spacing w:line="360" w:lineRule="auto"/>
        <w:jc w:val="center"/>
        <w:rPr>
          <w:b/>
          <w:sz w:val="28"/>
          <w:szCs w:val="28"/>
          <w:lang w:val="uk-UA"/>
        </w:rPr>
      </w:pPr>
      <w:r w:rsidRPr="00D26EB6">
        <w:rPr>
          <w:b/>
          <w:sz w:val="28"/>
          <w:szCs w:val="28"/>
          <w:lang w:val="uk-UA"/>
        </w:rPr>
        <w:lastRenderedPageBreak/>
        <w:t xml:space="preserve">РОЗДІЛ 1 </w:t>
      </w:r>
    </w:p>
    <w:p w:rsidR="00077303" w:rsidRPr="00D26EB6" w:rsidRDefault="00077303" w:rsidP="00E10867">
      <w:pPr>
        <w:spacing w:line="360" w:lineRule="auto"/>
        <w:jc w:val="center"/>
        <w:rPr>
          <w:b/>
          <w:sz w:val="28"/>
          <w:szCs w:val="28"/>
          <w:lang w:val="uk-UA"/>
        </w:rPr>
      </w:pPr>
      <w:r w:rsidRPr="00D26EB6">
        <w:rPr>
          <w:b/>
          <w:sz w:val="28"/>
          <w:szCs w:val="28"/>
          <w:lang w:val="uk-UA"/>
        </w:rPr>
        <w:t>ОГЛЯД ЛІТЕРАТУРИ</w:t>
      </w:r>
    </w:p>
    <w:p w:rsidR="00077303" w:rsidRPr="00D26EB6" w:rsidRDefault="00077303" w:rsidP="00B353F0">
      <w:pPr>
        <w:spacing w:line="360" w:lineRule="auto"/>
        <w:ind w:firstLine="709"/>
        <w:jc w:val="center"/>
        <w:rPr>
          <w:b/>
          <w:sz w:val="28"/>
          <w:szCs w:val="28"/>
        </w:rPr>
      </w:pPr>
      <w:r w:rsidRPr="00D26EB6">
        <w:rPr>
          <w:b/>
          <w:sz w:val="28"/>
          <w:szCs w:val="28"/>
        </w:rPr>
        <w:t xml:space="preserve">1.1.Сучасні </w:t>
      </w:r>
      <w:r w:rsidRPr="00FB2975">
        <w:rPr>
          <w:b/>
          <w:sz w:val="28"/>
          <w:szCs w:val="28"/>
          <w:lang w:val="uk-UA"/>
        </w:rPr>
        <w:t>уявлення</w:t>
      </w:r>
      <w:r w:rsidRPr="00D26EB6">
        <w:rPr>
          <w:b/>
          <w:sz w:val="28"/>
          <w:szCs w:val="28"/>
        </w:rPr>
        <w:t xml:space="preserve"> про </w:t>
      </w:r>
      <w:r w:rsidRPr="00FB2975">
        <w:rPr>
          <w:b/>
          <w:sz w:val="28"/>
          <w:szCs w:val="28"/>
          <w:lang w:val="uk-UA"/>
        </w:rPr>
        <w:t>механізми</w:t>
      </w:r>
      <w:r w:rsidRPr="00D26EB6">
        <w:rPr>
          <w:b/>
          <w:sz w:val="28"/>
          <w:szCs w:val="28"/>
        </w:rPr>
        <w:t xml:space="preserve"> </w:t>
      </w:r>
      <w:r w:rsidRPr="00FB2975">
        <w:rPr>
          <w:b/>
          <w:sz w:val="28"/>
          <w:szCs w:val="28"/>
          <w:lang w:val="uk-UA"/>
        </w:rPr>
        <w:t>розвитку</w:t>
      </w:r>
      <w:r w:rsidRPr="00D26EB6">
        <w:rPr>
          <w:b/>
          <w:sz w:val="28"/>
          <w:szCs w:val="28"/>
        </w:rPr>
        <w:t xml:space="preserve"> та </w:t>
      </w:r>
      <w:r w:rsidRPr="00FB2975">
        <w:rPr>
          <w:b/>
          <w:sz w:val="28"/>
          <w:szCs w:val="28"/>
          <w:lang w:val="uk-UA"/>
        </w:rPr>
        <w:t>прогресування</w:t>
      </w:r>
      <w:r w:rsidRPr="00D26EB6">
        <w:rPr>
          <w:b/>
          <w:sz w:val="28"/>
          <w:szCs w:val="28"/>
        </w:rPr>
        <w:t xml:space="preserve"> НАСГ</w:t>
      </w:r>
      <w:r>
        <w:rPr>
          <w:b/>
          <w:sz w:val="28"/>
          <w:szCs w:val="28"/>
          <w:lang w:val="uk-UA"/>
        </w:rPr>
        <w:t xml:space="preserve"> у хворих на ЦД 2 типу</w:t>
      </w:r>
      <w:r w:rsidRPr="00D26EB6">
        <w:rPr>
          <w:b/>
          <w:sz w:val="28"/>
          <w:szCs w:val="28"/>
        </w:rPr>
        <w:t>.</w:t>
      </w:r>
    </w:p>
    <w:p w:rsidR="00077303" w:rsidRDefault="00077303" w:rsidP="00E10867">
      <w:pPr>
        <w:spacing w:line="360" w:lineRule="auto"/>
        <w:ind w:firstLine="709"/>
        <w:jc w:val="both"/>
        <w:rPr>
          <w:sz w:val="28"/>
          <w:szCs w:val="28"/>
          <w:lang w:val="uk-UA"/>
        </w:rPr>
      </w:pPr>
      <w:r>
        <w:rPr>
          <w:sz w:val="28"/>
          <w:szCs w:val="28"/>
          <w:lang w:val="uk-UA"/>
        </w:rPr>
        <w:t>НАЖХП залишається актуальною проблемою сучасної клінічної медицини, як в Україні, так і в світі, завдяки її широкому розповсюдженню і проградієнтному перебігу з розвитком важких ускладнень. У розвинених країнах НАЖХП є найбільш поширеним хронічним захворюванням печінки (зустрічається від 17 до 33 %), а НАСГ виявляється у 2–3 % загальної популяції [89, 125]. За даними ряду авторів, при первинному обстеженні хворих вже у 30–40 % хворих з НАСГ виявляється фіброз печінки [60, 260]. 20–25 % випадків НАСГ може прогресувати до цирозу печінки у продовж 5–10 років, з них 30–40 % пацієнтів помирають від його ускладнень [22, 48, 96, 124, 257]. З’являється все більше даних, що свідчать про велику питому вагу криптогенних цирозів серед хворих НАСГ, особливо в віковій групі старших за 50 років  [198, 245]. Є повідомлення про можливий розвиток гепатоцелюлярної карциноми у хворих на НАСГ навіть при відсутності цироза печінки [238].</w:t>
      </w:r>
    </w:p>
    <w:p w:rsidR="00077303" w:rsidRDefault="00077303" w:rsidP="00E10867">
      <w:pPr>
        <w:spacing w:line="360" w:lineRule="auto"/>
        <w:ind w:firstLine="709"/>
        <w:jc w:val="both"/>
        <w:rPr>
          <w:sz w:val="28"/>
          <w:szCs w:val="28"/>
          <w:lang w:val="uk-UA"/>
        </w:rPr>
      </w:pPr>
      <w:r>
        <w:rPr>
          <w:sz w:val="28"/>
          <w:szCs w:val="28"/>
          <w:lang w:val="uk-UA"/>
        </w:rPr>
        <w:t xml:space="preserve"> НАСГ в даний час вважається однією з найчастіших причин підвищення печінкових тестів без наявності клінічних симптомів [199]. Згідно з епідеміологічними даними зростання НАСГ відбувається на тлі збільшення частоти метаболічного синдрому, ЦД 2 типу, ожиріння. За останніми даними у дорослих пацієнтів, що страждають ожирінням, поширеність НАЖХП може досягати 80–90 % [217]. Окремі дослідження показали, що стеатоз печінки розвивається у хворих при підвищенні маси тіла, що не супроводжується підвищенням ІМТ. Стеатоз, на думку дослідників, формується при самому процесі збільшення ваги, незалежно від того, чи перевищить ІМТ нормальні значення. Навіть незначне збільшення маси тіла може призвести до перерозподілу вмісту ліпідів в тканинах і порушення їх нормального метаболізму </w:t>
      </w:r>
      <w:r>
        <w:rPr>
          <w:sz w:val="28"/>
          <w:szCs w:val="28"/>
        </w:rPr>
        <w:t>[270]</w:t>
      </w:r>
      <w:r>
        <w:rPr>
          <w:sz w:val="28"/>
          <w:szCs w:val="28"/>
          <w:lang w:val="uk-UA"/>
        </w:rPr>
        <w:t>.</w:t>
      </w:r>
    </w:p>
    <w:p w:rsidR="00077303" w:rsidRDefault="00077303" w:rsidP="00E10867">
      <w:pPr>
        <w:spacing w:line="360" w:lineRule="auto"/>
        <w:ind w:firstLine="709"/>
        <w:jc w:val="both"/>
        <w:rPr>
          <w:sz w:val="28"/>
          <w:szCs w:val="28"/>
          <w:lang w:val="uk-UA"/>
        </w:rPr>
      </w:pPr>
      <w:r>
        <w:rPr>
          <w:sz w:val="28"/>
          <w:szCs w:val="28"/>
          <w:lang w:val="uk-UA"/>
        </w:rPr>
        <w:t xml:space="preserve">У той же час існують роботи в яких повідомлялося, що серед пацієнтів НАЖХП, які не страждають ЦД 2 типу, 22 % були худими, 64 % – не відповідали </w:t>
      </w:r>
      <w:r>
        <w:rPr>
          <w:sz w:val="28"/>
          <w:szCs w:val="28"/>
          <w:lang w:val="uk-UA"/>
        </w:rPr>
        <w:lastRenderedPageBreak/>
        <w:t xml:space="preserve">мінімальним критеріям метаболічного синдрому, у 12 % не було виявлено жодного критерію метаболічного синдрому [129]. За даними іншого дослідження, у пацієнтів НАЖХП, не страждаючих ЦД 2 типу, з нормальною масою тіла виявлена інсулінорезистентність (ІР) [157]. Було вивчено поширеність НАЖХП серед пацієнтів без ожиріння з ЦД 2 типу, і виявилося, що стеатоз мав місце у 80 % пацієнтів із ЦД 2 типу [133]. </w:t>
      </w:r>
    </w:p>
    <w:p w:rsidR="00077303" w:rsidRDefault="00077303" w:rsidP="00E10867">
      <w:pPr>
        <w:spacing w:line="360" w:lineRule="auto"/>
        <w:ind w:firstLine="709"/>
        <w:jc w:val="both"/>
        <w:rPr>
          <w:sz w:val="28"/>
          <w:szCs w:val="28"/>
          <w:lang w:val="uk-UA"/>
        </w:rPr>
      </w:pPr>
      <w:r>
        <w:rPr>
          <w:sz w:val="28"/>
          <w:szCs w:val="28"/>
          <w:lang w:val="uk-UA"/>
        </w:rPr>
        <w:t>В Україні проведені поодинокі роботи щодо гістологічного дослідження печінки у померлих, які страждали на ЦД 2 типу. Поширеність НАЖХП у хворих на ЦД 2 типу становила від 3,6 до 37,3 %, зокрема, стеатоз виявлений у 24,6 %, НАСГ — 37,3 %, фіброз печінки — 3,6 % випадків [12].</w:t>
      </w:r>
    </w:p>
    <w:p w:rsidR="00077303" w:rsidRDefault="00077303" w:rsidP="00E10867">
      <w:pPr>
        <w:spacing w:line="360" w:lineRule="auto"/>
        <w:ind w:firstLine="709"/>
        <w:jc w:val="both"/>
        <w:rPr>
          <w:sz w:val="28"/>
          <w:szCs w:val="28"/>
          <w:lang w:val="uk-UA"/>
        </w:rPr>
      </w:pPr>
      <w:r>
        <w:rPr>
          <w:sz w:val="28"/>
          <w:szCs w:val="28"/>
          <w:lang w:val="uk-UA"/>
        </w:rPr>
        <w:t>Незалежними чинниками розвитку НАСГ виступають збільшення окружності талії, індексу маси тіла, зниження рівнів ліпопротеїдів високої щільності (ЛПВЩ), зростання вмісту тригліцеридів (ТГ) сироватки крові, глюкози натщесерце, ЦД 2 типу, артеріальна гіпертензія та чоловіча стать [51, 219]. Деякі дослідження показують більш сильну кореляційну залежність розвитку НАСГ від абдомінального ожиріння, ніж від збільшення індексу маси тіла [104].</w:t>
      </w:r>
    </w:p>
    <w:p w:rsidR="00077303" w:rsidRDefault="00077303" w:rsidP="00E10867">
      <w:pPr>
        <w:spacing w:line="360" w:lineRule="auto"/>
        <w:ind w:firstLine="709"/>
        <w:jc w:val="both"/>
        <w:rPr>
          <w:sz w:val="28"/>
          <w:szCs w:val="28"/>
          <w:lang w:val="uk-UA"/>
        </w:rPr>
      </w:pPr>
      <w:r>
        <w:rPr>
          <w:sz w:val="28"/>
          <w:szCs w:val="28"/>
          <w:lang w:val="uk-UA"/>
        </w:rPr>
        <w:t xml:space="preserve"> Окремі автори серед додаткових факторів ризику розвитку НАСГ виділяють низький рівень загального холестерину (ЗХ) у поєднанні з гіпертригліцерідемією та артеріальною гіпертензією. Це підкреслює той факт, що метаболічні зміни, пов’язані зі стеатозом та ендокринною дисфункцією відбуваються незалежно від ступеню ушкодження печінки, що пов’язано з позапечінковими проявами ІР [101]. </w:t>
      </w:r>
    </w:p>
    <w:p w:rsidR="00077303" w:rsidRDefault="00077303" w:rsidP="00E10867">
      <w:pPr>
        <w:spacing w:line="360" w:lineRule="auto"/>
        <w:ind w:firstLine="709"/>
        <w:jc w:val="both"/>
        <w:rPr>
          <w:sz w:val="28"/>
          <w:szCs w:val="28"/>
          <w:lang w:val="uk-UA"/>
        </w:rPr>
      </w:pPr>
      <w:r>
        <w:rPr>
          <w:sz w:val="28"/>
          <w:szCs w:val="28"/>
          <w:lang w:val="uk-UA"/>
        </w:rPr>
        <w:t xml:space="preserve">  Поширеність НАЖХП у пацієнтів з ЦД 2 типу сягає 30–50 %, а при гіперліпідемії досягає 92 % [156, 221, 225].  Оскільки ці захворювання мають спільні патогенетичні механізми, вони часто поєднуються і потенціюють один одного. Збільшення частки жиру в печінці понад 30 % призводить до жирової інфільтрації всіх гепатоцитів, що порушує функціонування печінки, веде до розвитку запальної реакції, фіброзу, а у деяких пацієнтів – до виникнення цирозу печінки та гепатоцелюлярної карциноми [85, 93, 267]. Розвиток НАСГ призводить до прогресування метаболічних порушень і збільшує ризик виникнення ускладнень ЦД 2 типу, метаболічного синдрому, атерогенної дисліпідемії [192, 259, 276]. Згідно </w:t>
      </w:r>
      <w:r>
        <w:rPr>
          <w:sz w:val="28"/>
          <w:szCs w:val="28"/>
          <w:lang w:val="uk-UA"/>
        </w:rPr>
        <w:lastRenderedPageBreak/>
        <w:t>досліджень шведських вчених ризик смерті у хворих НАЖХБ звільшується на 69 %, у хворих з «м</w:t>
      </w:r>
      <w:r>
        <w:rPr>
          <w:sz w:val="28"/>
          <w:szCs w:val="28"/>
        </w:rPr>
        <w:t>’яким»</w:t>
      </w:r>
      <w:r>
        <w:rPr>
          <w:sz w:val="28"/>
          <w:szCs w:val="28"/>
          <w:lang w:val="uk-UA"/>
        </w:rPr>
        <w:t xml:space="preserve"> стеатозом – на 55 %, а у пацієнтів НАСГ – на 86 % [109].</w:t>
      </w:r>
    </w:p>
    <w:p w:rsidR="00077303" w:rsidRDefault="00077303" w:rsidP="00E10867">
      <w:pPr>
        <w:spacing w:line="360" w:lineRule="auto"/>
        <w:ind w:firstLine="709"/>
        <w:jc w:val="both"/>
        <w:rPr>
          <w:sz w:val="28"/>
          <w:szCs w:val="28"/>
          <w:lang w:val="uk-UA"/>
        </w:rPr>
      </w:pPr>
      <w:r>
        <w:rPr>
          <w:sz w:val="28"/>
          <w:szCs w:val="28"/>
          <w:lang w:val="uk-UA"/>
        </w:rPr>
        <w:t>В патогенезі НАЖХП виділяли два етапи розвитку (теорія «двох ударів») [13, 256]. При ожирінні, особливо вісцеральному, метаболічному синдромі, ЦД 2 типу, збільшується надходження в печінку вільних жирних кислот (ВЖК) і розвивається стеатоз печінки, що розглядається як «перший удар». Одночасно розвивається окисний стрес – «другий удар». На цьому тлі наростає вироблення прозапальних цитокінів, які, поряд з реактивними формами кисню, дікарбоксільних кислотами і продуктами мікросомального окиснення, сприяють роз’єднанню процесів окисного фосфорилювання, виснаження мітохондріальної АТФ і, в кінцевому підсумку, некрозу і апоптозу гепатоцитів [19, 236]. Однак, згідно з цим поданням, механізм розвитку НАЖХП розглядають як більш складний процес, в основі якого лежать множинні і, можливо, одночасні «удари» (multi–hit), які викликають стеатоз, окислювальний стрес, запалення і зрештою, апоптоз і гепатоцелюлярний фіброз [55, 94, 190, 212].</w:t>
      </w:r>
    </w:p>
    <w:p w:rsidR="00077303" w:rsidRDefault="00077303" w:rsidP="00E10867">
      <w:pPr>
        <w:spacing w:line="360" w:lineRule="auto"/>
        <w:ind w:firstLine="709"/>
        <w:jc w:val="both"/>
        <w:rPr>
          <w:sz w:val="28"/>
          <w:szCs w:val="28"/>
          <w:lang w:val="uk-UA"/>
        </w:rPr>
      </w:pPr>
      <w:r>
        <w:rPr>
          <w:sz w:val="28"/>
          <w:szCs w:val="28"/>
          <w:lang w:val="uk-UA"/>
        </w:rPr>
        <w:t>Сьогодні ІР, оксидативний стрес і запальний процес, як і раніше, вважаються ключовими патогенетичними механізмами НАСГ. ІР призводить до надмірного поглинання гепатоцитами вільних жирних кислот (ВЖК) і формуванню стеатоза. На тлі стеатозу і утворення активних форм кисню відбувається взаємодія між клітинами імунної системи, макрофагами, гепатоцитами, що становить другий етап – «множинний другий удар», відбувається трансформація стеатоза в стеатогепатит і далі в неалкогольний цироз печінки [19, 172]. Ряд авторів вважає, що наявність ВЖК в печінці достатньо, для запуску каскаду перекісного окиснення ліпідів (ПОЛ), з подальшим запуском процесів фіброгенезу [70, 86, 217, 260]. МДА та інші продукти ПОЛ підвищують продукцію макрофагами трансформуючого фактора росту β і продукцію колагену, активуючи зірчасті клітини [30, 60, 111].</w:t>
      </w:r>
    </w:p>
    <w:p w:rsidR="00077303" w:rsidRDefault="00077303" w:rsidP="00E10867">
      <w:pPr>
        <w:spacing w:line="360" w:lineRule="auto"/>
        <w:ind w:firstLine="709"/>
        <w:jc w:val="both"/>
        <w:rPr>
          <w:sz w:val="28"/>
          <w:szCs w:val="28"/>
          <w:lang w:val="uk-UA"/>
        </w:rPr>
      </w:pPr>
      <w:r>
        <w:rPr>
          <w:sz w:val="28"/>
          <w:szCs w:val="28"/>
          <w:lang w:val="uk-UA"/>
        </w:rPr>
        <w:t xml:space="preserve">Незбалансоване харчування, малорухливий спосіб життя у генетично схильних осіб викликає виражену постпрандіальну гиперліпідемію, а також активацію ліполізу і, як наслідок, – надмірне утворення ВЖК, що володіють прямою ліпотоксічною дією на β–клітини підшлункової залози, стимулюють глікогеноліз в </w:t>
      </w:r>
      <w:r>
        <w:rPr>
          <w:sz w:val="28"/>
          <w:szCs w:val="28"/>
          <w:lang w:val="uk-UA"/>
        </w:rPr>
        <w:lastRenderedPageBreak/>
        <w:t>печінці. Надмірна концентрація ВЖК і постпрандіальная гіперліпідемія є додатковими предикторами формування ІР, гіперінсулінемії та атеросклерозу. ІР також асоційована з дисліпідемією та ендотеліальної дисфункцією [137, 188, 274].</w:t>
      </w:r>
    </w:p>
    <w:p w:rsidR="00077303" w:rsidRDefault="00077303" w:rsidP="00E10867">
      <w:pPr>
        <w:spacing w:line="360" w:lineRule="auto"/>
        <w:ind w:firstLine="709"/>
        <w:jc w:val="both"/>
        <w:rPr>
          <w:sz w:val="28"/>
          <w:szCs w:val="28"/>
          <w:lang w:val="uk-UA"/>
        </w:rPr>
      </w:pPr>
      <w:r>
        <w:rPr>
          <w:sz w:val="28"/>
          <w:szCs w:val="28"/>
          <w:lang w:val="uk-UA"/>
        </w:rPr>
        <w:t>В останні роки з’являється все більше даних про те, що значну роль у розвитку та прогресуванні НАСГ відіграють ушкодження і дисфункція мітохондрій [2, 30, 189]. Основними біохімічними процесами, що мають відношення до енергетичного обміну і відбуваються в мітохондріях, є: цикл трикарбонових кислот (цикл Кребса), β–окиснення жирних кислот, карнітиновий цикл, транспорт електронів в дихальний ланцюг і окисне фосфорилювання. Кожен із зазначених процесів може порушуватися і бути причиною мітохондріальної недостатності [3, 232].</w:t>
      </w:r>
    </w:p>
    <w:p w:rsidR="00077303" w:rsidRDefault="00077303" w:rsidP="00E10867">
      <w:pPr>
        <w:spacing w:line="360" w:lineRule="auto"/>
        <w:ind w:firstLine="709"/>
        <w:jc w:val="both"/>
        <w:rPr>
          <w:sz w:val="28"/>
          <w:szCs w:val="28"/>
          <w:lang w:val="uk-UA"/>
        </w:rPr>
      </w:pPr>
      <w:r>
        <w:rPr>
          <w:sz w:val="28"/>
          <w:szCs w:val="28"/>
          <w:lang w:val="uk-UA"/>
        </w:rPr>
        <w:t>Доведено, що порушення структурно–функціональної організації мітохондрій при НАСГ включають ультраструктурні порушення мембранного апарату мітохондрій, порушення структури міто–ДНК, зниження активності комплексу дихального ланцюга і β–окиснення ВЖК [189]. Утворення продуктів ПОЛ в жирових депо сприяє гальмуванню дихальної функції мітохондрій. Під впливом вільних радикалів безпосередньо в мітохондріях відбувається утворення прозапальних цитокінів та апоптоз гепатоцитів,  що сприяє підтримці запального і фіброзного процесів в печінці – основних ознак прогресування НАСГ [75, 169, 232].</w:t>
      </w:r>
    </w:p>
    <w:p w:rsidR="00077303" w:rsidRDefault="00077303" w:rsidP="00E10867">
      <w:pPr>
        <w:spacing w:line="360" w:lineRule="auto"/>
        <w:ind w:firstLine="709"/>
        <w:jc w:val="both"/>
        <w:rPr>
          <w:sz w:val="28"/>
          <w:szCs w:val="28"/>
          <w:lang w:val="uk-UA"/>
        </w:rPr>
      </w:pPr>
      <w:r>
        <w:rPr>
          <w:sz w:val="28"/>
          <w:szCs w:val="28"/>
          <w:lang w:val="uk-UA"/>
        </w:rPr>
        <w:t>Серйозні порушення мітохондріального β–окиснення ВЖК викликають мікровезікулярний стеатоз. В результаті порушення мітохондріального β – окиснення неетеріфіковані жирні кислоти акумулюються в печінці і етерифікуються в ТГ, які накопичуються в гепатоцитах у вигляді вкраплень [10, 29].</w:t>
      </w:r>
    </w:p>
    <w:p w:rsidR="00077303" w:rsidRDefault="00077303" w:rsidP="00E10867">
      <w:pPr>
        <w:spacing w:line="360" w:lineRule="auto"/>
        <w:ind w:firstLine="709"/>
        <w:jc w:val="both"/>
        <w:rPr>
          <w:sz w:val="28"/>
          <w:szCs w:val="28"/>
          <w:lang w:val="uk-UA"/>
        </w:rPr>
      </w:pPr>
      <w:r>
        <w:rPr>
          <w:sz w:val="28"/>
          <w:szCs w:val="28"/>
          <w:lang w:val="uk-UA"/>
        </w:rPr>
        <w:t xml:space="preserve">Відомо, що в основі НАСГ лежить дисліпідемия [11, 274]. Печінка відіграє важливу роль в регуляції ліпідного обміну: синтезує ферменти, що забезпечують метаболізм ліпідів (печінкова тригліцеридліпаза і лецитинхолестеринацилтранфераза), крім того, потенційно токсичні для печінки ВЖК зв’язуються печінковим ВЖК – зв’язуючим білком. Білок, що зв’язує жирні кислоти (FABPpm), – низькомолекулярний білок (14–15 кДа), що складається з 126–137 амінокислот. Існує 9 різних типів FABPpm (печінковий, тонкокишковий, </w:t>
      </w:r>
      <w:r>
        <w:rPr>
          <w:sz w:val="28"/>
          <w:szCs w:val="28"/>
          <w:lang w:val="uk-UA"/>
        </w:rPr>
        <w:lastRenderedPageBreak/>
        <w:t>міокардіальний, м’язовий, адіпоцітарний, епідермальний, товстокишковий, тестикулярний, мозковий), що мають однаковий період напіввиведення (2–3 дні) і розрізняються лише по тропности їх до різних тканин. Основна біологічна функція FABPpm полягає в зв’язуванні і забезпеченні інтрацелюлярного транспорту гідрофобних довголанцюжкових жирних кислот через клітинну мембрану, всередину клітини до мітохондрій [170, 254]. В дослідженнях на щурах із застосуванням антитіл, спрямованих на FABPpm печінки, поглинання ВЖК гепатоцитами інгібується на 50–75 % [136]. Цей результат дозволяє припустити, що значна частина поглинання ВЖК залежить від транспортного білка, який регулюється карнітин–залежним ферментом.</w:t>
      </w:r>
    </w:p>
    <w:p w:rsidR="00077303" w:rsidRDefault="00077303" w:rsidP="00E10867">
      <w:pPr>
        <w:spacing w:line="360" w:lineRule="auto"/>
        <w:ind w:firstLine="709"/>
        <w:jc w:val="both"/>
        <w:rPr>
          <w:sz w:val="28"/>
          <w:szCs w:val="28"/>
          <w:lang w:val="uk-UA"/>
        </w:rPr>
      </w:pPr>
      <w:r>
        <w:rPr>
          <w:sz w:val="28"/>
          <w:szCs w:val="28"/>
          <w:lang w:val="uk-UA"/>
        </w:rPr>
        <w:t>В умовах стеатозу печінки та ІР активується утворення прозапальних медіаторів, активних форм кисню, продуктів ліпопероксидації, індукторів апоптозу зірчастих клітин, а саме ці чинники здатні викликати фіброгенез [98, 186, 193]. Формування стеатоза печінки призводить до збільшення циркулюючого пулу неетеріфікованих жирних кислот, що здатні викликати як дисфункцію (ліпотоксичність), так і загибель (ліпоапоптоз) гепатоцитів [122, 196, 200]. У той же час не виключено, що фіброгенну дію стеатоза опосередковано і через інші механізми. У недавніх дослідженнях було показано, що у мишей з дефектом цістатіон–β–синтази, який супроводжується ГГЦ, виникає дисрегуляція генів, залучених в обмін ліпідів в печінці, що призводить до стеатозу і фіброзу печінки [105, 149, 269].</w:t>
      </w:r>
    </w:p>
    <w:p w:rsidR="00077303" w:rsidRDefault="00077303" w:rsidP="00E10867">
      <w:pPr>
        <w:spacing w:line="360" w:lineRule="auto"/>
        <w:ind w:firstLine="709"/>
        <w:jc w:val="both"/>
        <w:rPr>
          <w:sz w:val="28"/>
          <w:szCs w:val="28"/>
          <w:lang w:val="uk-UA"/>
        </w:rPr>
      </w:pPr>
      <w:r>
        <w:rPr>
          <w:sz w:val="28"/>
          <w:szCs w:val="28"/>
          <w:lang w:val="uk-UA"/>
        </w:rPr>
        <w:t>Важливу роль в патогенезі НАСГ відводять генетичному поліморфізму генів, що беруть участь в регуляції метаболізму ліпідів і вуглеводів. Дослідження етнічних відмінностей виявило найвищий ризик прогресування НАСГ у латиноамериканців, в той час як в групі афроамериканців навіть при наявності ожиріння і ЦД 2 типу некрозапальної реакції печінки і фіброзу зареєстровано не було [104, 126, 195,]. Доведеним є ризик зростання НАЖХП у дітей батьки яких страждають НАСГ на тлі метаболічного синдрома та ЦД 2 типу [141].</w:t>
      </w:r>
    </w:p>
    <w:p w:rsidR="00077303" w:rsidRDefault="00077303" w:rsidP="00E10867">
      <w:pPr>
        <w:spacing w:line="360" w:lineRule="auto"/>
        <w:ind w:firstLine="709"/>
        <w:jc w:val="both"/>
        <w:rPr>
          <w:sz w:val="28"/>
          <w:szCs w:val="28"/>
          <w:lang w:val="uk-UA"/>
        </w:rPr>
      </w:pPr>
      <w:r>
        <w:rPr>
          <w:sz w:val="28"/>
          <w:szCs w:val="28"/>
          <w:lang w:val="uk-UA"/>
        </w:rPr>
        <w:t xml:space="preserve">Поліморфізм гена PNPLA3 / 148M є незалежним генетичним чинником розвитку та прогресування НАЖХП і НАСГ. Ген PNPLA3, кодує синтез білка </w:t>
      </w:r>
      <w:r>
        <w:rPr>
          <w:sz w:val="28"/>
          <w:szCs w:val="28"/>
          <w:lang w:val="uk-UA"/>
        </w:rPr>
        <w:lastRenderedPageBreak/>
        <w:t xml:space="preserve">адіпонутріна, дія якого призводить до зниження активності тріацілгліцеролгідролаз і збільшенню концентрації ТГ за рахунок зниження дигліцеридів. Доведено участь даного гена в формуванні цирозу печінки і трансформації в гепатоцелюлярну карциному незалежно від зовнішніх чинників (ожиріння, вживання алкоголю) [43, 135, 216, 251]. </w:t>
      </w:r>
    </w:p>
    <w:p w:rsidR="00077303" w:rsidRDefault="00077303" w:rsidP="00E10867">
      <w:pPr>
        <w:spacing w:line="360" w:lineRule="auto"/>
        <w:ind w:firstLine="709"/>
        <w:jc w:val="both"/>
        <w:rPr>
          <w:sz w:val="28"/>
          <w:szCs w:val="28"/>
          <w:lang w:val="uk-UA"/>
        </w:rPr>
      </w:pPr>
      <w:r>
        <w:rPr>
          <w:sz w:val="28"/>
          <w:szCs w:val="28"/>
          <w:lang w:val="uk-UA"/>
        </w:rPr>
        <w:t>Досліджено роль і поліморфізму інших генів, що беруть участь у розвитку та прогресуванні НАСГ (поліморфізм генів ENPP1 / PC–1 Lys121GLN і IRS–1 Gly972Arg – маркер підвищеного ризику фіброзу печінки і більш злоякісного перебігу захворювання); поліморфізм гена MTP–493 G / T гена, що кодує білок–переносник тригліцеридів в ЛПДНЩ. Неповноцінність цього білка призводить до порушення утилізації ліпідів з клітин печінки. Серед пацієнтів з НАСГ частіше зустрічаються гетерозиготи по C282Y [81, 91, 116, 134, 175].</w:t>
      </w:r>
    </w:p>
    <w:p w:rsidR="00077303" w:rsidRDefault="00077303" w:rsidP="00E10867">
      <w:pPr>
        <w:spacing w:line="360" w:lineRule="auto"/>
        <w:ind w:firstLine="709"/>
        <w:jc w:val="both"/>
        <w:rPr>
          <w:sz w:val="28"/>
          <w:szCs w:val="28"/>
          <w:lang w:val="uk-UA"/>
        </w:rPr>
      </w:pPr>
      <w:r>
        <w:rPr>
          <w:sz w:val="28"/>
          <w:szCs w:val="28"/>
          <w:lang w:val="uk-UA"/>
        </w:rPr>
        <w:t xml:space="preserve">Згідно рекомендаціям єкспертів для діагностики НАСГ використовуються візуалізаційні методи, зокрема УЗД та одночасне визначення показників цитолітичного синдрому [29, 83, 112].  Найбільш характерним є синдром цитолізу помірної активності (підвищення трансаміназ до 4–5 норм частіше за рахунок АЛТ, що не перевищує співвідношення АСТ / АЛТ &gt; 2). Зниження коефіцієнта де Рітіса &lt;1 при підвищенні АЛТ, є чутливим рутинним маркером ІР у осіб з ожирінням і без нього. Підвищення АЛТ і АСТ &gt; 2, вважається ознакою важкого перебігу НАСГ та розглядається як предиктор прогресування метаболічного синдрому і розвитку ЦД 2 типу [21, 162]. Окремі дослідження виявили наявнісь кореляції між підвищенням рівня АЛТ на тлі НАСГ та ризиком смертності [205, 233] , особливо в групі старших за 45 років [247].   Хоча деякі автори не підтверджують це припущення [234].  </w:t>
      </w:r>
    </w:p>
    <w:p w:rsidR="00077303" w:rsidRDefault="00077303" w:rsidP="00E10867">
      <w:pPr>
        <w:spacing w:line="360" w:lineRule="auto"/>
        <w:ind w:firstLine="709"/>
        <w:jc w:val="both"/>
        <w:rPr>
          <w:sz w:val="28"/>
          <w:szCs w:val="28"/>
          <w:lang w:val="uk-UA"/>
        </w:rPr>
      </w:pPr>
      <w:r>
        <w:rPr>
          <w:sz w:val="28"/>
          <w:szCs w:val="28"/>
          <w:lang w:val="uk-UA"/>
        </w:rPr>
        <w:t>Зміна активності трансаміназ внаслідок підвищення трансамінування амінокислот в печінці можуть передувати морфологічними ознаками жирової дистрофії печінки [6, 211].  І навпаки, деякі дослідження свідчать, що пацієнти з нормальним рівнем АЛТ на тлі метаболічного синдрому мають такий самий ризик прогресування НАСГ та рівень АЛТ не корелює із важкістю захворювання [222, 223, 228].  </w:t>
      </w:r>
    </w:p>
    <w:p w:rsidR="00077303" w:rsidRDefault="00077303" w:rsidP="00E10867">
      <w:pPr>
        <w:spacing w:line="360" w:lineRule="auto"/>
        <w:ind w:firstLine="709"/>
        <w:jc w:val="both"/>
        <w:rPr>
          <w:sz w:val="28"/>
          <w:szCs w:val="28"/>
          <w:lang w:val="uk-UA"/>
        </w:rPr>
      </w:pPr>
      <w:r>
        <w:rPr>
          <w:sz w:val="28"/>
          <w:szCs w:val="28"/>
          <w:lang w:val="uk-UA"/>
        </w:rPr>
        <w:lastRenderedPageBreak/>
        <w:t>Зміни біохімічних маркерів не є патогномонічними для НАСГ і змінюються при більшості захворювань печінки [17, 62, 67, 162]. Також слід враховувати, що підвищення рівнів АСТ і АЛТ може зустрічатися не тільки при патології печінки. В спеціальному огляді Американської гастроентерологічної асоціації, присвяченому підвищенню рівня трансаміназ, було підкреслено, що рівень АЛТ може змінюватися протягом дня, протягом тижня і під впливом фізичного навантаження [252].</w:t>
      </w:r>
    </w:p>
    <w:p w:rsidR="00077303" w:rsidRDefault="00077303" w:rsidP="00E10867">
      <w:pPr>
        <w:spacing w:line="360" w:lineRule="auto"/>
        <w:ind w:firstLine="709"/>
        <w:jc w:val="both"/>
        <w:rPr>
          <w:sz w:val="28"/>
          <w:szCs w:val="28"/>
          <w:lang w:val="uk-UA"/>
        </w:rPr>
      </w:pPr>
      <w:r>
        <w:rPr>
          <w:sz w:val="28"/>
          <w:szCs w:val="28"/>
          <w:lang w:val="uk-UA"/>
        </w:rPr>
        <w:t>Аспекти патогенезу НАСГ багатогранні і не до кінця вивчені. Останнім часом була висунута гіпотеза про вплив L–карнітину на розвиток і прогресування НАСГ, шляхом дії на обмін ліпідів, впливу на окисний стрес і модуляцію запальних реакцій  [168, 169, 171].</w:t>
      </w:r>
    </w:p>
    <w:p w:rsidR="00077303" w:rsidRDefault="00077303" w:rsidP="00E10867">
      <w:pPr>
        <w:spacing w:line="360" w:lineRule="auto"/>
        <w:ind w:firstLine="709"/>
        <w:jc w:val="center"/>
        <w:rPr>
          <w:b/>
          <w:sz w:val="28"/>
          <w:szCs w:val="28"/>
          <w:lang w:val="uk-UA"/>
        </w:rPr>
      </w:pPr>
    </w:p>
    <w:p w:rsidR="00077303" w:rsidRDefault="00077303" w:rsidP="00E10867">
      <w:pPr>
        <w:spacing w:line="360" w:lineRule="auto"/>
        <w:ind w:firstLine="709"/>
        <w:jc w:val="center"/>
        <w:rPr>
          <w:b/>
          <w:sz w:val="28"/>
          <w:szCs w:val="28"/>
          <w:lang w:val="uk-UA"/>
        </w:rPr>
      </w:pPr>
    </w:p>
    <w:p w:rsidR="00077303" w:rsidRPr="00D26EB6" w:rsidRDefault="00077303" w:rsidP="00E10867">
      <w:pPr>
        <w:spacing w:line="360" w:lineRule="auto"/>
        <w:ind w:firstLine="709"/>
        <w:jc w:val="center"/>
        <w:rPr>
          <w:b/>
          <w:sz w:val="28"/>
          <w:szCs w:val="28"/>
        </w:rPr>
      </w:pPr>
      <w:r w:rsidRPr="00D26EB6">
        <w:rPr>
          <w:b/>
          <w:sz w:val="28"/>
          <w:szCs w:val="28"/>
        </w:rPr>
        <w:t>1.2.</w:t>
      </w:r>
      <w:r w:rsidRPr="00D26EB6">
        <w:rPr>
          <w:b/>
        </w:rPr>
        <w:t xml:space="preserve"> </w:t>
      </w:r>
      <w:r w:rsidRPr="00D26EB6">
        <w:rPr>
          <w:b/>
          <w:sz w:val="28"/>
          <w:szCs w:val="28"/>
        </w:rPr>
        <w:t>Роль L</w:t>
      </w:r>
      <w:r>
        <w:rPr>
          <w:b/>
          <w:sz w:val="28"/>
          <w:szCs w:val="28"/>
        </w:rPr>
        <w:t>–</w:t>
      </w:r>
      <w:r w:rsidRPr="00D26EB6">
        <w:rPr>
          <w:b/>
          <w:sz w:val="28"/>
          <w:szCs w:val="28"/>
        </w:rPr>
        <w:t>карнітину в розвитку мітохондріальної дисфункції та прогресуванні НАСГ</w:t>
      </w:r>
      <w:r>
        <w:rPr>
          <w:b/>
          <w:sz w:val="28"/>
          <w:szCs w:val="28"/>
          <w:lang w:val="uk-UA"/>
        </w:rPr>
        <w:t xml:space="preserve"> на тлі ЦД 2 типу</w:t>
      </w:r>
      <w:r w:rsidRPr="00D26EB6">
        <w:rPr>
          <w:b/>
          <w:sz w:val="28"/>
          <w:szCs w:val="28"/>
        </w:rPr>
        <w:t>.</w:t>
      </w:r>
    </w:p>
    <w:p w:rsidR="00077303" w:rsidRDefault="00077303" w:rsidP="00E10867">
      <w:pPr>
        <w:spacing w:line="360" w:lineRule="auto"/>
        <w:ind w:firstLine="709"/>
        <w:jc w:val="both"/>
        <w:rPr>
          <w:sz w:val="28"/>
          <w:szCs w:val="28"/>
          <w:lang w:val="uk-UA"/>
        </w:rPr>
      </w:pPr>
      <w:r>
        <w:rPr>
          <w:sz w:val="28"/>
          <w:szCs w:val="28"/>
          <w:lang w:val="uk-UA"/>
        </w:rPr>
        <w:t xml:space="preserve">L–карнітин здійснює ряд внутрішньоклітинних і метаболічних функцій: транспорт ВЖК, детоксикацію потенційно токсичних метаболітів, регулювання мітохондріального ацетил коензиму А (КоА), стабілізацію клітинних мембран. Він відіграє ключову роль в транспорті довголанцюжкових жирних кислот через внутрішню мембрану мітохондрій та утворенні КоА [2, 170, 261]. </w:t>
      </w:r>
    </w:p>
    <w:p w:rsidR="00077303" w:rsidRDefault="00077303" w:rsidP="00E10867">
      <w:pPr>
        <w:spacing w:line="360" w:lineRule="auto"/>
        <w:ind w:firstLine="709"/>
        <w:jc w:val="both"/>
        <w:rPr>
          <w:sz w:val="28"/>
          <w:szCs w:val="28"/>
          <w:lang w:val="uk-UA"/>
        </w:rPr>
      </w:pPr>
      <w:r>
        <w:rPr>
          <w:sz w:val="28"/>
          <w:szCs w:val="28"/>
          <w:lang w:val="uk-UA"/>
        </w:rPr>
        <w:t xml:space="preserve">На поверхні зовнішньої мітохондріальної мембрани під дією АТФ–залежних синтетаз ВЖК активуються шляхом перетворення у відповідні ацил–КоА–тіоефіри. Потім відбувається утворення ацилкарнітинових ефірів під дією карнитинпальмитоилтрансферазы 1, яка переносить ацильні залишки ВЖК від КоА до карнітину. Ацилкарнітинові ефіри транспортуються через внутрішню мітохондріальну мембрану за участю карнітин–ацилкарнітину–транслокази, в обмін на вільний карнітин. І, нарешті, в мітохондріальному матриксі карнітин–пальмітоілтрансфераза II, переносить ацильні залишки ВЖК від карнітину до КоА, в результаті чого знову утворюються ацил–КоА–тіоефри. Коли надходження ацил–КоА перевершує його споживання в циклі β–окиснення, ацил–КоА знову перетворюється в ацилкарнітин, який видаляється з мітохондріального матриксу в </w:t>
      </w:r>
      <w:r>
        <w:rPr>
          <w:sz w:val="28"/>
          <w:szCs w:val="28"/>
          <w:lang w:val="uk-UA"/>
        </w:rPr>
        <w:lastRenderedPageBreak/>
        <w:t xml:space="preserve">цитоплазму, а потім із клітин – в кров. Цей процес попереджає накопичення ацил–КоА в цитоплазмі і гальмує розвиток ліпотоксичного ефекту [115, 170]. </w:t>
      </w:r>
    </w:p>
    <w:p w:rsidR="00077303" w:rsidRDefault="00077303" w:rsidP="00E10867">
      <w:pPr>
        <w:spacing w:line="360" w:lineRule="auto"/>
        <w:ind w:firstLine="709"/>
        <w:jc w:val="both"/>
        <w:rPr>
          <w:sz w:val="28"/>
          <w:szCs w:val="28"/>
          <w:lang w:val="uk-UA"/>
        </w:rPr>
      </w:pPr>
      <w:r>
        <w:rPr>
          <w:sz w:val="28"/>
          <w:szCs w:val="28"/>
          <w:lang w:val="uk-UA"/>
        </w:rPr>
        <w:t>Карнітинацилтрансферази розрізняються по довжині переміщуючих ацильних груп. Так, карнітинпальмітоілтрансфераза 1 і 2 переносить жирнокислотний залишок з довжиною ланцюга більше 12 атомів вуглецю; карнітиноктоноілтрансфераза – відповідно С5–С12 ацил; карнітинацетілтрансфераза – С2–С5 ацил. Карнітинацетілтрансфераза – матриксний фермент, який переважно утворює ефіри коротколанцюгових жирних кислот з L–карнітином. Особлива роль цього ферменту в регуляції метаболізму в мітохондріях пов’язана зі зниженням відношення ацетил–КоА до вільного КоА, в результаті перенесення ацетильних залишків на карнітин та збільшенням рівня вільного КоА (регенерації КоА), який використовується PDH, а також ферментом циклу трикарбонових кислот (циклу Кребса) – і α–кетоглютаратдегідрогеназою. Відомо, що обмеження активності карнітинацетилтрансферази можливо внаслідок зниження внутрімітохондріальної концентрації L–карнітину, при підвищеному видаленні з клітин довголанцюгового ацилкарнітину  і, відповідно, при цьому буде знижуватися рівень вільного КоА [130, 147, 214].</w:t>
      </w:r>
    </w:p>
    <w:p w:rsidR="00077303" w:rsidRDefault="00077303" w:rsidP="00E10867">
      <w:pPr>
        <w:spacing w:line="360" w:lineRule="auto"/>
        <w:ind w:firstLine="709"/>
        <w:jc w:val="both"/>
        <w:rPr>
          <w:sz w:val="28"/>
          <w:szCs w:val="28"/>
          <w:lang w:val="uk-UA"/>
        </w:rPr>
      </w:pPr>
      <w:r>
        <w:rPr>
          <w:sz w:val="28"/>
          <w:szCs w:val="28"/>
          <w:lang w:val="uk-UA"/>
        </w:rPr>
        <w:t>Таким чином, L–карнітин активізує розпад жирів, стимулює окиснення жирних кислот, бере участь у їх транспортуванні в мітохондрії, зменшуючи накопичення жиру в тканинах [168]. Крім того, L–карнітин сприяє зниженню рівня тригліцеридів, загального холестерину, холестерину ліпопротеїдів низької щільності (ЛПНЩ) в крові [32, 80]. Згідно іншій теорії саме ВЖК є джерелом ліпотоксичного стреса і ушкодження мітохондрій [79, 170].</w:t>
      </w:r>
    </w:p>
    <w:p w:rsidR="00077303" w:rsidRDefault="00077303" w:rsidP="00E10867">
      <w:pPr>
        <w:spacing w:line="360" w:lineRule="auto"/>
        <w:ind w:firstLine="709"/>
        <w:jc w:val="both"/>
        <w:rPr>
          <w:sz w:val="28"/>
          <w:szCs w:val="28"/>
          <w:lang w:val="uk-UA"/>
        </w:rPr>
      </w:pPr>
      <w:r>
        <w:rPr>
          <w:sz w:val="28"/>
          <w:szCs w:val="28"/>
          <w:lang w:val="uk-UA"/>
        </w:rPr>
        <w:t xml:space="preserve">ВЖК або надходять у печінку із тонкої кишки або жирової тканини, або синтезуються безпосередньо в печінці. Надалі ВЖК або етерифікуються з утворенням тригліцеридів, які потім включаються до складу ліпопротеідів дуже низької щільності (ЛПДНЩ), або проникають в мітохондрії, де вони включаються у формування енергетичного потенціалу клітини. </w:t>
      </w:r>
    </w:p>
    <w:p w:rsidR="00077303" w:rsidRDefault="00077303" w:rsidP="00E10867">
      <w:pPr>
        <w:spacing w:line="360" w:lineRule="auto"/>
        <w:ind w:firstLine="709"/>
        <w:jc w:val="both"/>
        <w:rPr>
          <w:sz w:val="28"/>
          <w:szCs w:val="28"/>
          <w:lang w:val="uk-UA"/>
        </w:rPr>
      </w:pPr>
      <w:r>
        <w:rPr>
          <w:sz w:val="28"/>
          <w:szCs w:val="28"/>
          <w:lang w:val="uk-UA"/>
        </w:rPr>
        <w:t xml:space="preserve">При ЦД 2 типа ці процеси протікають більш активно, оскільки продукція ТГ в гепатоциті знаходиться в прямій залежності від вмісту в ньому ВЖК, КоА і глюкози. </w:t>
      </w:r>
      <w:r w:rsidR="008E108A">
        <w:rPr>
          <w:sz w:val="28"/>
          <w:szCs w:val="28"/>
          <w:lang w:val="uk-UA"/>
        </w:rPr>
        <w:lastRenderedPageBreak/>
        <w:t>Якщо продукція ТГ</w:t>
      </w:r>
      <w:r>
        <w:rPr>
          <w:sz w:val="28"/>
          <w:szCs w:val="28"/>
          <w:lang w:val="uk-UA"/>
        </w:rPr>
        <w:t xml:space="preserve"> переважає над синтезом ліпопротеїдів і секрецією останніх із гепатоцита у вигляді ЛПДНЩ, ві</w:t>
      </w:r>
      <w:r w:rsidR="0042125C">
        <w:rPr>
          <w:sz w:val="28"/>
          <w:szCs w:val="28"/>
          <w:lang w:val="uk-UA"/>
        </w:rPr>
        <w:t>дбувається накопичення жиру внут</w:t>
      </w:r>
      <w:r>
        <w:rPr>
          <w:sz w:val="28"/>
          <w:szCs w:val="28"/>
          <w:lang w:val="uk-UA"/>
        </w:rPr>
        <w:t xml:space="preserve">рішньоклітинно, що веде до посилення процесів ПОЛ з накопиченням продуктів ПОЛ і розвитком некрозів печінкових клітин [33]. </w:t>
      </w:r>
    </w:p>
    <w:p w:rsidR="00077303" w:rsidRDefault="00077303" w:rsidP="00E10867">
      <w:pPr>
        <w:spacing w:line="360" w:lineRule="auto"/>
        <w:ind w:firstLine="709"/>
        <w:jc w:val="both"/>
        <w:rPr>
          <w:sz w:val="28"/>
          <w:szCs w:val="28"/>
          <w:lang w:val="uk-UA"/>
        </w:rPr>
      </w:pPr>
      <w:r>
        <w:rPr>
          <w:sz w:val="28"/>
          <w:szCs w:val="28"/>
          <w:lang w:val="uk-UA"/>
        </w:rPr>
        <w:t xml:space="preserve">У хворих з метаболічним синдромом, на тлі ЦД 2 типу, в умовах ІР та гіперінсулінемії посилюється синтез ТГ і зростає секреція ЛПДНЩ і апопротеина В. Посилення ліпогенезу печінкою приводить до підвищення продукції малоніл–СоА, який інгібує карнітинпальмітоілтрансферазу 1 і надходження ВЖК в мітохондрії. В результаті знижується β–окиснення ВЖК та підвищення кумуляції ВЖК і ТГ [68].  Відбувається зниження активності ліпопротеідліпази, яке тягне за собою уповільнення катаболізму ЛПДНЩ і ліпідів, що надходять з кишечника в складі хіломікронів та їх залишків [87, 120, 170, 225].  </w:t>
      </w:r>
    </w:p>
    <w:p w:rsidR="00077303" w:rsidRDefault="00077303" w:rsidP="00E10867">
      <w:pPr>
        <w:spacing w:line="360" w:lineRule="auto"/>
        <w:ind w:firstLine="709"/>
        <w:jc w:val="both"/>
        <w:rPr>
          <w:sz w:val="28"/>
          <w:szCs w:val="28"/>
          <w:lang w:val="uk-UA"/>
        </w:rPr>
      </w:pPr>
      <w:r>
        <w:rPr>
          <w:sz w:val="28"/>
          <w:szCs w:val="28"/>
          <w:lang w:val="uk-UA"/>
        </w:rPr>
        <w:t>Підвищення активності печінкової ліпази і прискорення гідролізу збагачених триглицеридами ЛПВЩ і ЛПНЩ, призводить до утворення модифікованих ЛПНЩ і зниження рівня холестерину ЛПВЩ. Прискорення обміну ліпідів за допомогою протеїну, що переносить ефіри холестерину між ЛПДНЩ і ЛПНЩ, ЛПДНЩ і ЛПВЩ, призводить до збагачення ТГ і збідніння ефірами холестерину ЛПВЩ. Високий рівень інсуліну і ТГ сприяє зниженню рівня ЛПВЩ в сироватці крові [115, 120].</w:t>
      </w:r>
    </w:p>
    <w:p w:rsidR="00077303" w:rsidRDefault="00077303" w:rsidP="00E10867">
      <w:pPr>
        <w:spacing w:line="360" w:lineRule="auto"/>
        <w:ind w:firstLine="709"/>
        <w:jc w:val="both"/>
        <w:rPr>
          <w:sz w:val="28"/>
          <w:szCs w:val="28"/>
          <w:lang w:val="uk-UA"/>
        </w:rPr>
      </w:pPr>
      <w:r>
        <w:rPr>
          <w:sz w:val="28"/>
          <w:szCs w:val="28"/>
          <w:lang w:val="uk-UA"/>
        </w:rPr>
        <w:t xml:space="preserve">Подальше функціонування карнітинового циклу за умов карнітинової недостатності призводить до порушення утворення відновлених форм коферментів НАД і ФАД, подальше окиснення яких веде до переносу електронів на мітохондріальний дихальний ланцюг. Підсумком функціонування цього ланцюга є синтез макроергічної сполуки – АТФ. Разом з тим частина електронів може брати участь в синтезі активних форм кисню, чому сприяють речовини, що роз’єднують окиснення і фосфорилювання [11, 178, 218]. </w:t>
      </w:r>
    </w:p>
    <w:p w:rsidR="00077303" w:rsidRDefault="00077303" w:rsidP="00E10867">
      <w:pPr>
        <w:spacing w:line="360" w:lineRule="auto"/>
        <w:ind w:firstLine="709"/>
        <w:jc w:val="both"/>
        <w:rPr>
          <w:sz w:val="28"/>
          <w:szCs w:val="28"/>
          <w:lang w:val="uk-UA"/>
        </w:rPr>
      </w:pPr>
      <w:r>
        <w:rPr>
          <w:sz w:val="28"/>
          <w:szCs w:val="28"/>
          <w:lang w:val="uk-UA"/>
        </w:rPr>
        <w:t xml:space="preserve">Враховуючи, що L–карнітин синтезується в основному в печінці і нирках з лізину і метіоніну, за участю заліза (Fe 2 +), аскорбінової кислоти, вітамінів В3, В6, В12 і фолієвої кислоти, ключовим механізмом у розвитку карнитиновой недостатності є порушення синтезу і обміну метіоніну [16, 263]. При дефіциті або </w:t>
      </w:r>
      <w:r>
        <w:rPr>
          <w:sz w:val="28"/>
          <w:szCs w:val="28"/>
          <w:lang w:val="uk-UA"/>
        </w:rPr>
        <w:lastRenderedPageBreak/>
        <w:t xml:space="preserve">порушенні обміну хоча б однієї з цих речовин ендогенний синтез L–карнітину знижується [226]. </w:t>
      </w:r>
    </w:p>
    <w:p w:rsidR="00077303" w:rsidRDefault="00077303" w:rsidP="00E10867">
      <w:pPr>
        <w:spacing w:line="360" w:lineRule="auto"/>
        <w:ind w:firstLine="709"/>
        <w:jc w:val="both"/>
        <w:rPr>
          <w:sz w:val="28"/>
          <w:szCs w:val="28"/>
          <w:lang w:val="uk-UA"/>
        </w:rPr>
      </w:pPr>
      <w:r>
        <w:rPr>
          <w:sz w:val="28"/>
          <w:szCs w:val="28"/>
          <w:lang w:val="uk-UA"/>
        </w:rPr>
        <w:t>Окрім того, поодинокі дослідження показують причетність генетичних чинників у розвитку карнітинової недостатності. Зокрема порушення активації транскрипції гена СРТ1А, кодуючего синтез карнітинпальмітоілтрансферази 1 приводить до порушення переносу ВЖК з довжиною ланцюга більше 12 атомів вуглецю та характерізується зниженням біодоступності вільного карнітину [191]. Вторинна карнітинова недостатність можлива в наслідок хвороби нирок, синдрома мальабсорбції, вагітності, фізичних навантажень [16].</w:t>
      </w:r>
    </w:p>
    <w:p w:rsidR="00077303" w:rsidRDefault="00077303" w:rsidP="00E10867">
      <w:pPr>
        <w:spacing w:line="360" w:lineRule="auto"/>
        <w:ind w:firstLine="709"/>
        <w:jc w:val="both"/>
        <w:rPr>
          <w:sz w:val="28"/>
          <w:szCs w:val="28"/>
          <w:lang w:val="uk-UA"/>
        </w:rPr>
      </w:pPr>
      <w:r>
        <w:rPr>
          <w:sz w:val="28"/>
          <w:szCs w:val="28"/>
          <w:lang w:val="uk-UA"/>
        </w:rPr>
        <w:t>Деякі відчизняні дослідження показали здатність L–карнітину гальмувати фіброз печінкової тканини у хворих на НАСГ із коморбідним ожирінням та гіпертонічною хворобою [73]. Окремі дослідження на тваринних моделях гепатоканцерогенезу доводять, що  L–карнітин попереждає розвиток мітохондріальної дисфункції та є ефективним засобом профілактики гепатоцелюлярної карциноми   [168]. Однак на теперішній час відсутні роботи з вивчення ролі карнітинової недостатності у хворих на НАСГ в поєднанні з ЦД 2 типу.</w:t>
      </w:r>
    </w:p>
    <w:p w:rsidR="00077303" w:rsidRDefault="00077303" w:rsidP="00E10867">
      <w:pPr>
        <w:spacing w:line="360" w:lineRule="auto"/>
        <w:ind w:firstLine="709"/>
        <w:jc w:val="both"/>
        <w:rPr>
          <w:sz w:val="28"/>
          <w:szCs w:val="28"/>
          <w:lang w:val="uk-UA"/>
        </w:rPr>
      </w:pPr>
      <w:r>
        <w:rPr>
          <w:sz w:val="28"/>
          <w:szCs w:val="28"/>
          <w:lang w:val="uk-UA"/>
        </w:rPr>
        <w:t>Метаболічно зв’язаним з L–карнітином є ГЦ, оскільки так само, як і L–карнітин, залежить від обміну метіоніну, вітамінів В</w:t>
      </w:r>
      <w:r>
        <w:rPr>
          <w:sz w:val="28"/>
          <w:szCs w:val="28"/>
          <w:vertAlign w:val="subscript"/>
          <w:lang w:val="uk-UA"/>
        </w:rPr>
        <w:t>6</w:t>
      </w:r>
      <w:r>
        <w:rPr>
          <w:sz w:val="28"/>
          <w:szCs w:val="28"/>
          <w:lang w:val="uk-UA"/>
        </w:rPr>
        <w:t>, В</w:t>
      </w:r>
      <w:r>
        <w:rPr>
          <w:sz w:val="28"/>
          <w:szCs w:val="28"/>
          <w:vertAlign w:val="subscript"/>
          <w:lang w:val="uk-UA"/>
        </w:rPr>
        <w:t>12</w:t>
      </w:r>
      <w:r>
        <w:rPr>
          <w:sz w:val="28"/>
          <w:szCs w:val="28"/>
          <w:lang w:val="uk-UA"/>
        </w:rPr>
        <w:t xml:space="preserve"> і фолієвої кислоти [46, 98, 117].</w:t>
      </w:r>
    </w:p>
    <w:p w:rsidR="00077303" w:rsidRDefault="00077303" w:rsidP="00E10867">
      <w:pPr>
        <w:spacing w:line="360" w:lineRule="auto"/>
        <w:ind w:firstLine="709"/>
        <w:jc w:val="both"/>
        <w:rPr>
          <w:sz w:val="28"/>
          <w:szCs w:val="28"/>
          <w:lang w:val="uk-UA"/>
        </w:rPr>
      </w:pPr>
    </w:p>
    <w:p w:rsidR="00077303" w:rsidRPr="00D26EB6" w:rsidRDefault="00077303" w:rsidP="00E10867">
      <w:pPr>
        <w:spacing w:line="360" w:lineRule="auto"/>
        <w:ind w:firstLine="709"/>
        <w:jc w:val="center"/>
        <w:rPr>
          <w:b/>
          <w:sz w:val="28"/>
          <w:szCs w:val="28"/>
          <w:lang w:val="uk-UA"/>
        </w:rPr>
      </w:pPr>
      <w:r w:rsidRPr="00D26EB6">
        <w:rPr>
          <w:b/>
          <w:sz w:val="28"/>
          <w:szCs w:val="28"/>
          <w:lang w:val="uk-UA"/>
        </w:rPr>
        <w:t>1.3</w:t>
      </w:r>
      <w:r w:rsidR="00413BFD">
        <w:rPr>
          <w:b/>
          <w:sz w:val="28"/>
          <w:szCs w:val="28"/>
          <w:lang w:val="uk-UA"/>
        </w:rPr>
        <w:t>.</w:t>
      </w:r>
      <w:r w:rsidRPr="00D26EB6">
        <w:rPr>
          <w:b/>
          <w:sz w:val="28"/>
          <w:szCs w:val="28"/>
          <w:lang w:val="uk-UA"/>
        </w:rPr>
        <w:t xml:space="preserve"> Метаболізм гомоцистеїну та його роль в розвитку НАСГ</w:t>
      </w:r>
      <w:r>
        <w:rPr>
          <w:b/>
          <w:sz w:val="28"/>
          <w:szCs w:val="28"/>
          <w:lang w:val="uk-UA"/>
        </w:rPr>
        <w:t xml:space="preserve"> при поєднанні з ЦД 2 типу</w:t>
      </w:r>
      <w:r w:rsidRPr="00D26EB6">
        <w:rPr>
          <w:b/>
          <w:sz w:val="28"/>
          <w:szCs w:val="28"/>
          <w:lang w:val="uk-UA"/>
        </w:rPr>
        <w:t>.</w:t>
      </w:r>
    </w:p>
    <w:p w:rsidR="00077303" w:rsidRDefault="00077303" w:rsidP="00E10867">
      <w:pPr>
        <w:spacing w:line="360" w:lineRule="auto"/>
        <w:ind w:firstLine="709"/>
        <w:jc w:val="both"/>
        <w:rPr>
          <w:sz w:val="28"/>
          <w:szCs w:val="28"/>
          <w:lang w:val="uk-UA"/>
        </w:rPr>
      </w:pPr>
      <w:r>
        <w:rPr>
          <w:sz w:val="28"/>
          <w:szCs w:val="28"/>
          <w:lang w:val="uk-UA"/>
        </w:rPr>
        <w:t>ГЦ – природна сірковмісна амінокислота, що не зустрічається в білках, містить вільну тіолову групу і є ендогенним продуктом обміну метіоніну. ГЦ відсутній в продуктах харчування і синтезується в організмі людини в ході метаболізму метіоніну [95].</w:t>
      </w:r>
    </w:p>
    <w:p w:rsidR="00077303" w:rsidRDefault="00077303" w:rsidP="00E10867">
      <w:pPr>
        <w:spacing w:line="360" w:lineRule="auto"/>
        <w:ind w:firstLine="709"/>
        <w:jc w:val="both"/>
        <w:rPr>
          <w:sz w:val="28"/>
          <w:szCs w:val="28"/>
          <w:lang w:val="uk-UA"/>
        </w:rPr>
      </w:pPr>
      <w:r>
        <w:rPr>
          <w:sz w:val="28"/>
          <w:szCs w:val="28"/>
          <w:lang w:val="uk-UA"/>
        </w:rPr>
        <w:t>Метіонін надходить в організм з білками їжі, утворюється при гідролізі білків і утилізується при синтезі білків. Метильні групи ендогенно утворюються лише із метіоніна за участю S–аденозілметіонінсінтази перетворюється на S–</w:t>
      </w:r>
      <w:r>
        <w:rPr>
          <w:sz w:val="28"/>
          <w:szCs w:val="28"/>
          <w:lang w:val="uk-UA"/>
        </w:rPr>
        <w:lastRenderedPageBreak/>
        <w:t>аденозілметіонін. ГЦ є проміжною ланкою в метионіновому циклі, метою якого є генерація метильної групи, необхідної в багатьох реакціях організму, пов’язаних з метилуванням – в синтезі нуклеїнових кислот, білків, гормонів, креатиніну, нейромедіаторів, фосфоліпідів. Після переносу метильного залишку S–аденозілметіонін трансформується в S–аденозілгомоцістеін, який гидролизується S–аденозілгомоцистеінгідролазою до ГЦ і аденозину.</w:t>
      </w:r>
    </w:p>
    <w:p w:rsidR="00077303" w:rsidRDefault="00077303" w:rsidP="00E10867">
      <w:pPr>
        <w:spacing w:line="360" w:lineRule="auto"/>
        <w:ind w:left="-11" w:firstLine="709"/>
        <w:jc w:val="both"/>
        <w:rPr>
          <w:sz w:val="28"/>
          <w:szCs w:val="28"/>
          <w:lang w:val="uk-UA"/>
        </w:rPr>
      </w:pPr>
      <w:r>
        <w:rPr>
          <w:sz w:val="28"/>
          <w:szCs w:val="28"/>
          <w:lang w:val="uk-UA"/>
        </w:rPr>
        <w:t>Печінка є головним органом обміну ГЦ,</w:t>
      </w:r>
      <w:r>
        <w:rPr>
          <w:lang w:val="uk-UA"/>
        </w:rPr>
        <w:t xml:space="preserve"> і</w:t>
      </w:r>
      <w:r>
        <w:rPr>
          <w:sz w:val="28"/>
          <w:szCs w:val="28"/>
          <w:lang w:val="uk-UA"/>
        </w:rPr>
        <w:t>снує декілька шляхів біотрансформації ГЦ: транссульфірування і реметилірування. Шляхом транссульфірування ГЦ перетворюється на цистеїн за участю ферментів: цістатіон–β–синтази і цістатіон–γ–ліази. У деяких дослідженнях було показано, що цістатіон–γ–лиаза і цістатіон–β–синтаза здатні синтезувати гідроген сульфід, який є потужним вазоактивним медіатором, діючи через відкриття АТФ–залежних К + каналів гладких міоцитів, а також шляхом взаємодії з ендотеліальними факторами релаксації [176, 182, 269]. В умовах ГГЦ доведеним є зниження синтезу гідроген сульфіду [41, 148, 183]. Установлено, що гідроген сульфід захищає клітини від оксидативного стресу, оскільки він підсилює продукцію глутатіону і блокує активні форми кисню і пероксинітрит [163, 176].</w:t>
      </w:r>
    </w:p>
    <w:p w:rsidR="00077303" w:rsidRDefault="00077303" w:rsidP="00E10867">
      <w:pPr>
        <w:spacing w:line="360" w:lineRule="auto"/>
        <w:ind w:left="-11" w:firstLine="709"/>
        <w:jc w:val="both"/>
        <w:rPr>
          <w:sz w:val="28"/>
          <w:szCs w:val="28"/>
          <w:lang w:val="uk-UA"/>
        </w:rPr>
      </w:pPr>
      <w:r>
        <w:rPr>
          <w:sz w:val="28"/>
          <w:szCs w:val="28"/>
          <w:lang w:val="uk-UA"/>
        </w:rPr>
        <w:t>Шлях реметилування полягає в ресинтезі метіоніну з ГЦ за допомогою кобаламінзалежної метіонінсинтази, що користується 5–метілтетрагідрофолатом як донатором метильної групи. Процеси реметилування забезпечують постійний синтез метіоніну і S–аденозілметіоніну. Регуляція процесів реметилування і транссульфірування ГЦ здійснюється за участю S–аденозілметіоніна [243].</w:t>
      </w:r>
    </w:p>
    <w:p w:rsidR="00077303" w:rsidRDefault="00077303" w:rsidP="00E10867">
      <w:pPr>
        <w:spacing w:line="360" w:lineRule="auto"/>
        <w:ind w:firstLine="709"/>
        <w:jc w:val="both"/>
        <w:rPr>
          <w:sz w:val="28"/>
          <w:szCs w:val="28"/>
          <w:lang w:val="uk-UA"/>
        </w:rPr>
      </w:pPr>
      <w:r>
        <w:rPr>
          <w:sz w:val="28"/>
          <w:szCs w:val="28"/>
          <w:lang w:val="uk-UA"/>
        </w:rPr>
        <w:t xml:space="preserve">В умовах ГГЦ порушуються процеси метилування ДНК, протеїнів, посилюється оксидативний стрес, порушується синтез біологічно–активних молекул і вазодилятаторов, відбувається хімічна модифікація (гомоцистеїнування) білків [161, 180, 210]. Гомоцистеїнування білків може відбуватися як в процесі трансляції, так і на етапі посттрансляційної модифікації. Було продемонстровано, що гомоцистеїнування веде до зміни таких регуляторних білків як фібриноген, ліпопротеїди, альбумін, гемоглобін, феритин та інші [196, 241]. Однією з причин гіпометилування в умовах ГГЦ є накопичення S–аденозілгомоцістеіна, – потужного </w:t>
      </w:r>
      <w:r>
        <w:rPr>
          <w:sz w:val="28"/>
          <w:szCs w:val="28"/>
          <w:lang w:val="uk-UA"/>
        </w:rPr>
        <w:lastRenderedPageBreak/>
        <w:t>інгібітора метилтрансфераз [95]. Для підтримки активних метилтрансферазних реакцій необхідна швидка утилізація, в нормальних умовах це здійснюється за участю S–аденозилгомоцистеінгідролази. Реакція гидролізації S–аденозілгомоцістеіна є оборотньою, тому в умовах ГГЦ вона веде до збільшення концентрації S–аденозілгомоцістеїна і розвитку гіпометилування [273].</w:t>
      </w:r>
    </w:p>
    <w:p w:rsidR="00077303" w:rsidRDefault="00077303" w:rsidP="00E10867">
      <w:pPr>
        <w:spacing w:line="360" w:lineRule="auto"/>
        <w:ind w:firstLine="709"/>
        <w:jc w:val="both"/>
        <w:rPr>
          <w:sz w:val="28"/>
          <w:szCs w:val="28"/>
          <w:lang w:val="uk-UA"/>
        </w:rPr>
      </w:pPr>
      <w:r>
        <w:rPr>
          <w:sz w:val="28"/>
          <w:szCs w:val="28"/>
          <w:lang w:val="uk-UA"/>
        </w:rPr>
        <w:t>Окремі дослідження доводять, що порушення процесів метилування викликає зниження синтезу нейромедіаторів, зміни фосфоліпідів мембран клітин, а як наслідок зниження текучості мембран, порушення структури білків та нуклеїнових кислот, порушення диференціювання і репарації клітин. В деяких роботах було показано, що зниження активності процесів метилування може призводити до розвитку ендотеліальної дисфункції, дисрегуляції обміну ліпідів в гепатоцитах, зниження чутливості судин до дії вазорелаксантів [128, 235]. В окремих роботах установлено, що в умовах ГГЦ гіпометилування ДНК проявляється нестабільністю генома, підвищенням частоти ушкодження генів, що веде до канцерогенезу [273].</w:t>
      </w:r>
    </w:p>
    <w:p w:rsidR="00077303" w:rsidRDefault="00077303" w:rsidP="00E10867">
      <w:pPr>
        <w:spacing w:line="360" w:lineRule="auto"/>
        <w:ind w:firstLine="709"/>
        <w:jc w:val="both"/>
        <w:rPr>
          <w:sz w:val="28"/>
          <w:szCs w:val="28"/>
          <w:lang w:val="uk-UA"/>
        </w:rPr>
      </w:pPr>
      <w:r>
        <w:rPr>
          <w:sz w:val="28"/>
          <w:szCs w:val="28"/>
          <w:lang w:val="uk-UA"/>
        </w:rPr>
        <w:t>ГЦ має прооксидантні властивості та індукує оксидативний стрес шляхом утворення активних форм кисню, що призводить до порушення структури і функції мембран, білків, нуклеїнових кислот, активує запалення і загибель клітин [105, 208]. В експерименті на тваринах в умовах ГГЦ зростає вміст МДА в плазмі крові, зменшується частка поліненасичених жирних кислот в ліпідах, виснажуються антиоксидантні системи і ці зміни тісно корелюють з рівнем ГЦ в крові [131, 147]. У хворих високі концентрації ГЦ стимулюють утворення активних форм кисню, викликають оксидативну модифікацію білків і ліпідів, що призводить до активації печінкових фібробластів [204]. Доведений вплив ГГЦ на посилення процесів ПОЛ і розвиток ліпотоксичного стресу [142]. У хворих з ГГЦ виявлено сильну кореляцію між вмістом ГЦ та продукту ліпопероксидації – МДА, що приймає участь в генерації активних форм кисню [214].</w:t>
      </w:r>
    </w:p>
    <w:p w:rsidR="00077303" w:rsidRDefault="00077303" w:rsidP="00E10867">
      <w:pPr>
        <w:spacing w:line="360" w:lineRule="auto"/>
        <w:ind w:firstLine="709"/>
        <w:jc w:val="both"/>
        <w:rPr>
          <w:sz w:val="28"/>
          <w:szCs w:val="28"/>
          <w:lang w:val="uk-UA"/>
        </w:rPr>
      </w:pPr>
      <w:r>
        <w:rPr>
          <w:sz w:val="28"/>
          <w:szCs w:val="28"/>
          <w:lang w:val="uk-UA"/>
        </w:rPr>
        <w:t>Негативна дія високих концентрацій ГЦ реалізується шляхом індукції вироблення прозапальних цитокінів [181].</w:t>
      </w:r>
    </w:p>
    <w:p w:rsidR="00077303" w:rsidRDefault="00077303" w:rsidP="00E10867">
      <w:pPr>
        <w:spacing w:line="360" w:lineRule="auto"/>
        <w:ind w:firstLine="709"/>
        <w:jc w:val="both"/>
        <w:rPr>
          <w:sz w:val="28"/>
          <w:szCs w:val="28"/>
          <w:lang w:val="uk-UA"/>
        </w:rPr>
      </w:pPr>
      <w:r>
        <w:rPr>
          <w:sz w:val="28"/>
          <w:szCs w:val="28"/>
          <w:lang w:val="uk-UA"/>
        </w:rPr>
        <w:t xml:space="preserve">Одним із механізмів негативної дії ГГЦ є порушення синтезу вазодилятаторів. Окремі дослідження встановили, що за умов ГГЦ порушується ендотеліальний </w:t>
      </w:r>
      <w:r>
        <w:rPr>
          <w:sz w:val="28"/>
          <w:szCs w:val="28"/>
          <w:lang w:val="uk-UA"/>
        </w:rPr>
        <w:lastRenderedPageBreak/>
        <w:t xml:space="preserve">синтез </w:t>
      </w:r>
      <w:r>
        <w:rPr>
          <w:sz w:val="28"/>
          <w:szCs w:val="28"/>
          <w:lang w:val="en-US"/>
        </w:rPr>
        <w:t>NO</w:t>
      </w:r>
      <w:r>
        <w:rPr>
          <w:sz w:val="28"/>
          <w:szCs w:val="28"/>
          <w:lang w:val="uk-UA"/>
        </w:rPr>
        <w:t xml:space="preserve"> </w:t>
      </w:r>
      <w:r>
        <w:rPr>
          <w:color w:val="000000"/>
          <w:spacing w:val="1"/>
          <w:sz w:val="28"/>
          <w:szCs w:val="28"/>
          <w:lang w:val="uk-UA"/>
        </w:rPr>
        <w:t>[</w:t>
      </w:r>
      <w:r>
        <w:rPr>
          <w:sz w:val="28"/>
          <w:szCs w:val="28"/>
          <w:lang w:val="uk-UA"/>
        </w:rPr>
        <w:t xml:space="preserve">119, 146]. Гіперпродукція </w:t>
      </w:r>
      <w:r>
        <w:rPr>
          <w:sz w:val="28"/>
          <w:szCs w:val="28"/>
          <w:lang w:val="en-US"/>
        </w:rPr>
        <w:t>NO</w:t>
      </w:r>
      <w:r>
        <w:rPr>
          <w:sz w:val="28"/>
          <w:szCs w:val="28"/>
          <w:lang w:val="uk-UA"/>
        </w:rPr>
        <w:t xml:space="preserve"> при ГГЦ пов’язана з ендотеліальною дисфункцією в наслідок інгібування клітинного транспорту L–аргініну, особливо на тлі ЦД 2 типу [108].</w:t>
      </w:r>
    </w:p>
    <w:p w:rsidR="00077303" w:rsidRDefault="00077303" w:rsidP="00E10867">
      <w:pPr>
        <w:spacing w:line="360" w:lineRule="auto"/>
        <w:ind w:firstLine="709"/>
        <w:jc w:val="both"/>
        <w:rPr>
          <w:sz w:val="28"/>
          <w:szCs w:val="28"/>
          <w:lang w:val="uk-UA"/>
        </w:rPr>
      </w:pPr>
      <w:r>
        <w:rPr>
          <w:sz w:val="28"/>
          <w:szCs w:val="28"/>
          <w:lang w:val="uk-UA"/>
        </w:rPr>
        <w:t>Крім ферментів, важливу роль в метаболізмі ГЦ відіграють вітаміни В</w:t>
      </w:r>
      <w:r>
        <w:rPr>
          <w:sz w:val="28"/>
          <w:szCs w:val="28"/>
          <w:vertAlign w:val="subscript"/>
          <w:lang w:val="uk-UA"/>
        </w:rPr>
        <w:t>6</w:t>
      </w:r>
      <w:r>
        <w:rPr>
          <w:sz w:val="28"/>
          <w:szCs w:val="28"/>
          <w:lang w:val="uk-UA"/>
        </w:rPr>
        <w:t>, В</w:t>
      </w:r>
      <w:r>
        <w:rPr>
          <w:sz w:val="28"/>
          <w:szCs w:val="28"/>
          <w:vertAlign w:val="subscript"/>
          <w:lang w:val="uk-UA"/>
        </w:rPr>
        <w:t>12</w:t>
      </w:r>
      <w:r>
        <w:rPr>
          <w:sz w:val="28"/>
          <w:szCs w:val="28"/>
          <w:lang w:val="uk-UA"/>
        </w:rPr>
        <w:t xml:space="preserve"> і фолієва кислота. Вітамін В</w:t>
      </w:r>
      <w:r>
        <w:rPr>
          <w:sz w:val="28"/>
          <w:szCs w:val="28"/>
          <w:vertAlign w:val="subscript"/>
          <w:lang w:val="uk-UA"/>
        </w:rPr>
        <w:t>6</w:t>
      </w:r>
      <w:r>
        <w:rPr>
          <w:sz w:val="28"/>
          <w:szCs w:val="28"/>
          <w:lang w:val="uk-UA"/>
        </w:rPr>
        <w:t xml:space="preserve"> є основним вітаміном обміну амінокислот, приймаючи участь в процесах трансамінування, дезамінування та декарбоксилювання. Зниження забезпечення організму вітаміном В</w:t>
      </w:r>
      <w:r>
        <w:rPr>
          <w:sz w:val="28"/>
          <w:szCs w:val="28"/>
          <w:vertAlign w:val="subscript"/>
          <w:lang w:val="uk-UA"/>
        </w:rPr>
        <w:t>12</w:t>
      </w:r>
      <w:r>
        <w:rPr>
          <w:sz w:val="28"/>
          <w:szCs w:val="28"/>
          <w:lang w:val="uk-UA"/>
        </w:rPr>
        <w:t xml:space="preserve"> призводить до підвищення рівнів загального холестерину. Дефіцит фолієвої кислоти в гепатоцитах призводить до порушення регуляції метаболізму ГЦ, підвищення рівня якого супроводжується зниженням концентрації S–аденозілметіоніна, що змінює клітинний метаболізм ліпідів, викликаючи активацію факторів транскрипції в печінці і посилення біосинтезу холестерину [47, 179, 206]. </w:t>
      </w:r>
    </w:p>
    <w:p w:rsidR="00077303" w:rsidRDefault="00077303" w:rsidP="00E10867">
      <w:pPr>
        <w:spacing w:line="360" w:lineRule="auto"/>
        <w:ind w:firstLine="709"/>
        <w:jc w:val="both"/>
        <w:rPr>
          <w:sz w:val="28"/>
          <w:szCs w:val="28"/>
          <w:lang w:val="uk-UA"/>
        </w:rPr>
      </w:pPr>
      <w:r>
        <w:rPr>
          <w:sz w:val="28"/>
          <w:szCs w:val="28"/>
          <w:lang w:val="uk-UA"/>
        </w:rPr>
        <w:t>Застосована наступна градація рівнів ГЦ: вміст ГЦ менше 10 мкмоль/л вважається оптимальним, в межах 10–15 мкмоль/л – субнормальним, вище 15 мкмоль/л – розцінюється як ГГЦ [1]. Більшість авторів класифікують важкість ГГЦ за наступними рівнями: легка ГГЦ – концентрація ГЦ в сироватці крові 15–30 мкмоль/л, середньо важка – 31–100 мкмоль/л, важка – вище 100 мкмоль/л [1, 14, 95, 181].</w:t>
      </w:r>
    </w:p>
    <w:p w:rsidR="00077303" w:rsidRDefault="00077303" w:rsidP="00E10867">
      <w:pPr>
        <w:spacing w:line="360" w:lineRule="auto"/>
        <w:ind w:firstLine="709"/>
        <w:jc w:val="both"/>
        <w:rPr>
          <w:sz w:val="28"/>
          <w:szCs w:val="28"/>
          <w:lang w:val="uk-UA"/>
        </w:rPr>
      </w:pPr>
      <w:r>
        <w:rPr>
          <w:sz w:val="28"/>
          <w:szCs w:val="28"/>
          <w:lang w:val="uk-UA"/>
        </w:rPr>
        <w:t>В окремих експериментальних роботах показано, що підвищений рівень ГЦ може стимулювати фіброгенез в печінці, шляхом гальмування регенерації і проліферації клітин печінки та посилення проліферації печінкових фібробластів [140, 145]. Існує думка, що активація зірчастих клітин і перетворення їх в фібробласти, пов’язана зі зміною ферментів метилування [100]. Є дані про те, що ГГЦ порушує сигнальні шляхи, які беруть участь в регенерації печінки [45, 272].</w:t>
      </w:r>
    </w:p>
    <w:p w:rsidR="00077303" w:rsidRDefault="00077303" w:rsidP="00E10867">
      <w:pPr>
        <w:spacing w:line="360" w:lineRule="auto"/>
        <w:ind w:firstLine="709"/>
        <w:jc w:val="both"/>
        <w:rPr>
          <w:sz w:val="28"/>
          <w:szCs w:val="28"/>
          <w:lang w:val="uk-UA"/>
        </w:rPr>
      </w:pPr>
      <w:r>
        <w:rPr>
          <w:sz w:val="28"/>
          <w:szCs w:val="28"/>
          <w:lang w:val="uk-UA"/>
        </w:rPr>
        <w:t>Наявні клінічні та експериментальні данні свідчать про роль генетичних факторів у розвитку ГГЦ при НАСГ. Доведено, що гомозіготність поліморфізму алелій С677Т та А1298С гена метилентетрагідрафолатредуктази частіше зустрічається у хворих на НАСГ та асоціюється з ГГЦ [184, 215, 237].</w:t>
      </w:r>
    </w:p>
    <w:p w:rsidR="00077303" w:rsidRDefault="00077303" w:rsidP="00E10867">
      <w:pPr>
        <w:spacing w:line="360" w:lineRule="auto"/>
        <w:ind w:firstLine="709"/>
        <w:jc w:val="both"/>
        <w:rPr>
          <w:sz w:val="28"/>
          <w:szCs w:val="28"/>
          <w:lang w:val="uk-UA"/>
        </w:rPr>
      </w:pPr>
      <w:r>
        <w:rPr>
          <w:sz w:val="28"/>
          <w:szCs w:val="28"/>
          <w:lang w:val="uk-UA"/>
        </w:rPr>
        <w:t xml:space="preserve">Окремі дослідження виявили кореляційну залежність між рівнем ГЦ сироватки крові та розвитком ІР, незалежно від етіологічного чинника ушкодження </w:t>
      </w:r>
      <w:r>
        <w:rPr>
          <w:sz w:val="28"/>
          <w:szCs w:val="28"/>
          <w:lang w:val="uk-UA"/>
        </w:rPr>
        <w:lastRenderedPageBreak/>
        <w:t xml:space="preserve">печінки, в тому числі при вірусному гепатиті С [229]. У той же час існують роботи, що не підтверджують наявність ГГЦ при вірусних гепатитах, а розглядають підвищення сироваткових концентрацій ГЦ як предиктор розвитку запальних реакцій в печінці на тлі стеатозу [121, 240]. </w:t>
      </w:r>
    </w:p>
    <w:p w:rsidR="00077303" w:rsidRDefault="00077303" w:rsidP="00E10867">
      <w:pPr>
        <w:spacing w:line="360" w:lineRule="auto"/>
        <w:ind w:firstLine="709"/>
        <w:jc w:val="both"/>
        <w:rPr>
          <w:sz w:val="28"/>
          <w:szCs w:val="28"/>
          <w:lang w:val="uk-UA"/>
        </w:rPr>
      </w:pPr>
      <w:r>
        <w:rPr>
          <w:sz w:val="28"/>
          <w:szCs w:val="28"/>
          <w:lang w:val="uk-UA"/>
        </w:rPr>
        <w:t>Представлені дані свідчать про можливу участь ГГЦ у патогенезі НАСГ. Залишається нез’ясованим, яким чином високі рівні ГЦ та пов’язані з ним метаболічні зміни причетні до розвитку НАСГ</w:t>
      </w:r>
      <w:r w:rsidRPr="002B150C">
        <w:rPr>
          <w:sz w:val="28"/>
          <w:szCs w:val="28"/>
          <w:lang w:val="uk-UA"/>
        </w:rPr>
        <w:t xml:space="preserve"> </w:t>
      </w:r>
      <w:r>
        <w:rPr>
          <w:sz w:val="28"/>
          <w:szCs w:val="28"/>
          <w:lang w:val="uk-UA"/>
        </w:rPr>
        <w:t>на тлі ЦД 2 типу та через які біохімічні процеси реалізується негативна дія ГГЦ.</w:t>
      </w:r>
    </w:p>
    <w:p w:rsidR="00077303" w:rsidRDefault="00077303" w:rsidP="00E10867">
      <w:pPr>
        <w:spacing w:line="360" w:lineRule="auto"/>
        <w:ind w:firstLine="709"/>
        <w:jc w:val="both"/>
        <w:rPr>
          <w:sz w:val="28"/>
          <w:szCs w:val="28"/>
          <w:u w:val="single"/>
          <w:lang w:val="uk-UA"/>
        </w:rPr>
      </w:pPr>
    </w:p>
    <w:p w:rsidR="00077303" w:rsidRPr="00D26EB6" w:rsidRDefault="00077303" w:rsidP="00E10867">
      <w:pPr>
        <w:spacing w:line="360" w:lineRule="auto"/>
        <w:ind w:firstLine="709"/>
        <w:jc w:val="center"/>
        <w:rPr>
          <w:b/>
          <w:sz w:val="28"/>
          <w:szCs w:val="28"/>
          <w:lang w:val="uk-UA"/>
        </w:rPr>
      </w:pPr>
      <w:r w:rsidRPr="00D26EB6">
        <w:rPr>
          <w:b/>
          <w:sz w:val="28"/>
          <w:szCs w:val="28"/>
          <w:lang w:val="uk-UA"/>
        </w:rPr>
        <w:t>1.4</w:t>
      </w:r>
      <w:r w:rsidR="00413BFD">
        <w:rPr>
          <w:b/>
          <w:sz w:val="28"/>
          <w:szCs w:val="28"/>
          <w:lang w:val="uk-UA"/>
        </w:rPr>
        <w:t>.</w:t>
      </w:r>
      <w:r w:rsidRPr="00D26EB6">
        <w:rPr>
          <w:b/>
          <w:sz w:val="28"/>
          <w:szCs w:val="28"/>
          <w:lang w:val="uk-UA"/>
        </w:rPr>
        <w:t xml:space="preserve"> Роль прозапальних цитокінів в розвитку НАСГ</w:t>
      </w:r>
      <w:r>
        <w:rPr>
          <w:b/>
          <w:sz w:val="28"/>
          <w:szCs w:val="28"/>
          <w:lang w:val="uk-UA"/>
        </w:rPr>
        <w:t xml:space="preserve"> при ЦД 2 типу</w:t>
      </w:r>
      <w:r w:rsidRPr="00D26EB6">
        <w:rPr>
          <w:b/>
          <w:sz w:val="28"/>
          <w:szCs w:val="28"/>
          <w:lang w:val="uk-UA"/>
        </w:rPr>
        <w:t>.</w:t>
      </w:r>
    </w:p>
    <w:p w:rsidR="00077303" w:rsidRDefault="00077303" w:rsidP="00E10867">
      <w:pPr>
        <w:spacing w:line="360" w:lineRule="auto"/>
        <w:ind w:firstLine="709"/>
        <w:jc w:val="both"/>
        <w:rPr>
          <w:sz w:val="28"/>
          <w:szCs w:val="28"/>
          <w:lang w:val="uk-UA"/>
        </w:rPr>
      </w:pPr>
      <w:r>
        <w:rPr>
          <w:sz w:val="28"/>
          <w:szCs w:val="28"/>
          <w:lang w:val="uk-UA"/>
        </w:rPr>
        <w:t xml:space="preserve">У розвитку та прогресуванні НАСГ на тлі ЦД 2 типу важливу роль відіграють прозапальні цитокіни. Вони включають кілька підродин, в тому числі інтерферони, інтерлейкіни, фактори некрозу пухлини, трансформуючий фактор росту, колонієстимулюючі фактори і хемокіни. Цитокіни опосередковують кілька основних біологічних процесів, в тому числі зростання тіла, ожиріння, лактацію, гемопоез, а також запалення та імунітет. Тим не менш, вони також беруть участь у різних патологіях, таких як атеросклероз, ревматоідний артрит, системний червоний вовчак, псоріаз, а також НАСГ [151]. У фізіологічних умовах, конститутивна генерація прозапальних цитокінів (ФНП–α та ІЛ–6) відсутня або у печінці рівень її мінімальний. Тим не менш, патологічні подразники, такі, як накопичення ліпідів, індукує печінкові клітини виробляти ці молекули запалення. Цитокіни відіграють активну роль у розвитку та прогресуванні НАСГ через стимуляцію печінкового запалення, некрозу та апоптозу клітин і індукцію фіброзу [86, 107, 213].  </w:t>
      </w:r>
    </w:p>
    <w:p w:rsidR="00077303" w:rsidRDefault="00077303" w:rsidP="00E10867">
      <w:pPr>
        <w:spacing w:line="360" w:lineRule="auto"/>
        <w:ind w:firstLine="709"/>
        <w:jc w:val="both"/>
        <w:rPr>
          <w:sz w:val="28"/>
          <w:szCs w:val="28"/>
          <w:lang w:val="uk-UA"/>
        </w:rPr>
      </w:pPr>
      <w:r>
        <w:rPr>
          <w:sz w:val="28"/>
          <w:szCs w:val="28"/>
          <w:lang w:val="uk-UA"/>
        </w:rPr>
        <w:t xml:space="preserve">ФНП–α є багатофункціональним прозапальним цитокіном і володіє ауто– і паракриннимі ефектами. ФНП–α секретується кількома  типами клітин, в тому числі моноцитами, макрофагами, нейтрофілами і Т–клітинами, але і багато інших тканин, такі як ендотелій, жирова тканина або тканина нейронів здатні продукувати цей цитокін. У печінці, ФНП–α секретується безпосередньо гепатоцитами і клітинами Купфера [230].  Багато дослідники розглядають ФНП–α як медіатор ІР при ожирінні [106, 151, 197]. У пацієнтів з НАСГ при поєднанні з ЦД 2 типу виявлена </w:t>
      </w:r>
      <w:r>
        <w:rPr>
          <w:rFonts w:ascii="Cambria Math" w:hAnsi="Cambria Math" w:cs="Cambria Math"/>
          <w:sz w:val="28"/>
          <w:szCs w:val="28"/>
          <w:lang w:val="uk-UA"/>
        </w:rPr>
        <w:t>​​</w:t>
      </w:r>
      <w:r>
        <w:rPr>
          <w:sz w:val="28"/>
          <w:szCs w:val="28"/>
          <w:lang w:val="uk-UA"/>
        </w:rPr>
        <w:lastRenderedPageBreak/>
        <w:t xml:space="preserve">гіперекспресія мРНК ФНП–α не тільки в жировій тканині, але і в печінці, що проявляється більш високими плазмовими концентраціями ФНП–α [31, 99, 275]. </w:t>
      </w:r>
    </w:p>
    <w:p w:rsidR="00077303" w:rsidRDefault="00077303" w:rsidP="00E10867">
      <w:pPr>
        <w:spacing w:line="360" w:lineRule="auto"/>
        <w:ind w:firstLine="709"/>
        <w:jc w:val="both"/>
        <w:rPr>
          <w:sz w:val="28"/>
          <w:szCs w:val="28"/>
          <w:lang w:val="uk-UA"/>
        </w:rPr>
      </w:pPr>
      <w:r>
        <w:rPr>
          <w:sz w:val="28"/>
          <w:szCs w:val="28"/>
          <w:lang w:val="uk-UA"/>
        </w:rPr>
        <w:t xml:space="preserve">В окремих дослідженнях показаний високий рівень поліморфізму гена, який кодує ФНП–α у пацієнтів на НАСГ. Окрім того, у даної групи хворих спостерігалась більш висока схильність до порушення толерантності до глюкози та розвитку ІР [155]. </w:t>
      </w:r>
    </w:p>
    <w:p w:rsidR="00077303" w:rsidRDefault="00077303" w:rsidP="00E10867">
      <w:pPr>
        <w:spacing w:line="360" w:lineRule="auto"/>
        <w:ind w:firstLine="709"/>
        <w:jc w:val="both"/>
        <w:rPr>
          <w:sz w:val="28"/>
          <w:szCs w:val="28"/>
          <w:lang w:val="uk-UA"/>
        </w:rPr>
      </w:pPr>
      <w:r>
        <w:rPr>
          <w:sz w:val="28"/>
          <w:szCs w:val="28"/>
          <w:lang w:val="uk-UA"/>
        </w:rPr>
        <w:t xml:space="preserve">ФНП–α активує ядерний транскрипційний фактор каппа В (NF–kB) в адіпоцитах і гепатоцитах, що веде до посилення фосфорилювання інсулінового рецептора I типу, порушення зв’язування інсуліну з рецептором, зменшення активності глютатіонтрансферази 4 і фосфоінозітол–3–кінази і, таким чином, до зниження захоплення та утилізації глюкози клітинами, наростання гіперглікемії та розвитку ІР. Активація NF–kB стимулює також продукцію індуцибельной NOS, сприяючи розвитку запальної реакції в судинній стінці, адгезії моноцитів до ендотелію і всього каскаду оксидативного стресу. Під впливом ФНП–α гладком’язові і ендотеліальні клітини судин посилюють продукцію моноцитарного хемотаксичного білка–1, що грає важливу роль в розвитку мікроциркуляторних порушень. Також ФНП–α сприяє підвищенню експресії і синтезу білка Bcl–2, активуючого апоптоз гепатоцитів [151, 203, 265]. </w:t>
      </w:r>
    </w:p>
    <w:p w:rsidR="00077303" w:rsidRDefault="00077303" w:rsidP="00E10867">
      <w:pPr>
        <w:spacing w:line="360" w:lineRule="auto"/>
        <w:ind w:firstLine="709"/>
        <w:jc w:val="both"/>
        <w:rPr>
          <w:sz w:val="28"/>
          <w:szCs w:val="28"/>
          <w:lang w:val="uk-UA"/>
        </w:rPr>
      </w:pPr>
      <w:r>
        <w:rPr>
          <w:sz w:val="28"/>
          <w:szCs w:val="28"/>
          <w:lang w:val="uk-UA"/>
        </w:rPr>
        <w:t>В дослідженнях останніх років було виявлено ФНП–α–опосередкований шлях реалізації програмованої клітинної загибелі при розвитку НАСГ на тлі ЦД 2 типу. В експерименті на тваринах був виявлений прямий кореляційний зв’язок між кількістю апоптотичних клітин і рівнем ФНП–α в сироватці крові [8].  Існують роботи, що доводять наявність кореляційних зв’язків між рівнем  ФНП–α сироватки крові та вмістом цитолітичних ферментів у хворих на НАСГ [35].  Крім того, спостерігалася позитивна кореляція між ступенем фіброзу печінки та рівнем циркулюючого ФНП–α [113], що пояснюється ініціацією апоптозу клітин печінки під час запального процесу [76].</w:t>
      </w:r>
    </w:p>
    <w:p w:rsidR="00077303" w:rsidRDefault="00077303" w:rsidP="00E10867">
      <w:pPr>
        <w:spacing w:line="360" w:lineRule="auto"/>
        <w:ind w:firstLine="709"/>
        <w:jc w:val="both"/>
        <w:rPr>
          <w:sz w:val="28"/>
          <w:szCs w:val="28"/>
          <w:lang w:val="uk-UA"/>
        </w:rPr>
      </w:pPr>
      <w:r>
        <w:rPr>
          <w:sz w:val="28"/>
          <w:szCs w:val="28"/>
          <w:lang w:val="uk-UA"/>
        </w:rPr>
        <w:t>Таким чином, ФНП–α  має багатоплановий вплив на метаболізм, що веде до розвитку цілого ряду порушень, асоційованих з НАСГ.</w:t>
      </w:r>
    </w:p>
    <w:p w:rsidR="00077303" w:rsidRDefault="00077303" w:rsidP="00E10867">
      <w:pPr>
        <w:spacing w:line="360" w:lineRule="auto"/>
        <w:ind w:firstLine="709"/>
        <w:jc w:val="both"/>
        <w:rPr>
          <w:sz w:val="28"/>
          <w:szCs w:val="28"/>
          <w:lang w:val="uk-UA"/>
        </w:rPr>
      </w:pPr>
      <w:r>
        <w:rPr>
          <w:sz w:val="28"/>
          <w:szCs w:val="28"/>
          <w:lang w:val="uk-UA"/>
        </w:rPr>
        <w:lastRenderedPageBreak/>
        <w:t xml:space="preserve">Роль ІЛ–6 в патології печінки є дуже складною, і його участь у розвитку НАСГ у хворих на ЦД 2 типу залишається не до кінця з’ясованою. Біологічна роль ІЛ–6, в </w:t>
      </w:r>
      <w:r w:rsidR="00737B9C">
        <w:rPr>
          <w:sz w:val="28"/>
          <w:szCs w:val="28"/>
          <w:lang w:val="uk-UA"/>
        </w:rPr>
        <w:t>1</w:t>
      </w:r>
      <w:r>
        <w:rPr>
          <w:sz w:val="28"/>
          <w:szCs w:val="28"/>
          <w:lang w:val="uk-UA"/>
        </w:rPr>
        <w:t xml:space="preserve"> чергу, полягає в індукції відновлювальних механізмів і активації імунного захисту: активація і диференціювання Т–клітин, визрівання В–клітин, синтез С–реактивного білка та сироваткового амілоіду в печінці. При ЦД 2 типу секреція ІЛ–6 підвищується, і його концентрація зростає в крові, а ще більше – в жировій тканині [106]. Запалення жирової тканини, що спостерігається у більшості хворих ЦД 2 типу, супроводжується вираженим збільшенням продукції ІЛ–6 [77]. Джерелом цитокина при цьому є не тільки адіпоцити, але і макрофаги, інфільтруючі жирову тканину. Причиною надмірної продукції ІЛ–6 може бути також типова для запалення гіпертрофія адіпоцитів. Відомо, що гіпертрофовані жирові клітини продукують більше цитокина, чим не гіпертрофовані [227]. У здорових людей рівень ІЛ–6 в плазмі крові нижче 10 пг/мл.  При ізольованому перебігу НАСГ рівні ІЛ–6 в крові достовірно підвищені, а при ЦД 2 типу показники ІЛ–6 в крові можуть досягати 100 пг/мл [202, 239]. При цьому ступінь підвищення рівня ІЛ–6 корелює з виразністю ІР, вимірюваної інсулінозалежним засвоєнням глюкози [44, 201]. У клітинах печінки ІЛ–6 сприяє вивільненню глюкози, стимуляції розщеплення глікогену за рахунок активації глікогенфосфорилази і гальмуванню синтезу глікогену [99]. Молекулярний механізм пригнічування впливу ІЛ–6 на дію інсуліну в печінці полягає в синтезі SOSC–3 (suppresor of cytokine signaling), який ретроградно відповідальний за сигнальний шлях цитокіна [152]. SOSC–3 може зв’язуватися і пригнічувати активність як мембранного рецептора інсуліну, так і IRS–1, і перешкоджати проведенню інсулінового сигналу [78, 94, 227]. Таким чином ІЛ–6 в клітинах печінки сприяє розвитку ІР, важливого чинника розвитку НАСГ. В експериментах на тваринах у мишей з ожирінням, індукованим дієтою, лікування з ИЛ–6 антитілами поліпшило чутливість тканин до інсуліну [159, 165]. Рівень ІЛ–6  вище, як в тваринних моделях НАСГ, так і у пацієнтів на НАСГ [173, 249]. У хворих на НАСГ виявлена позитивна кореляція між рівнем ІЛ–6 в гепатоцитах і важкістю НАСГ [152]. Окрім того, розвиток запалення печінки, індукованого прозапальними цитокінами, є прогностичним маркером можливого розвитку фіброза печінки [248].</w:t>
      </w:r>
    </w:p>
    <w:p w:rsidR="00077303" w:rsidRDefault="00077303" w:rsidP="00E10867">
      <w:pPr>
        <w:spacing w:line="360" w:lineRule="auto"/>
        <w:ind w:firstLine="709"/>
        <w:jc w:val="both"/>
        <w:rPr>
          <w:sz w:val="28"/>
          <w:szCs w:val="28"/>
          <w:lang w:val="uk-UA"/>
        </w:rPr>
      </w:pPr>
      <w:r>
        <w:rPr>
          <w:sz w:val="28"/>
          <w:szCs w:val="28"/>
          <w:lang w:val="uk-UA"/>
        </w:rPr>
        <w:lastRenderedPageBreak/>
        <w:t>Не дивлячись на велику кількість робіт, що доводять участь прозапальних цитокінів в розвитку і прогресуванні НАСГ, існує ряд досліджень, які не показали ніякої кореляції між ІР і рівнем ФНП–α [118, 264]. В одному з клінічних досліджень, за допомогою антагоніста ФНП–α, не було виявлено жодних поліпшень в чутливості тканин до інсуліну [224]. Більш того, не виявлено різниці між рівнями ФНП–α у пацієнтів на НАСГ порівняно з контрольною групою, що не мали НАСГ. Також у деяких роботах показано гепатопротекторну дію ІЛ–6 у моделях хвороби печінки, таких, як ішемічнообумовлена, і в регенерації печінки після часткової резекції печінки у мишей [159, 225]. Окремі дослідження не виявили зв’язку між зниженням рівня ФНП–α та ІЛ–6 та зменшенням прогресування НАСГ [</w:t>
      </w:r>
      <w:r>
        <w:rPr>
          <w:rStyle w:val="refauthors"/>
          <w:color w:val="333333"/>
          <w:sz w:val="28"/>
          <w:szCs w:val="28"/>
          <w:shd w:val="clear" w:color="auto" w:fill="FFFFFF"/>
          <w:lang w:val="uk-UA"/>
        </w:rPr>
        <w:t>114</w:t>
      </w:r>
      <w:r>
        <w:rPr>
          <w:sz w:val="28"/>
          <w:szCs w:val="28"/>
          <w:lang w:val="uk-UA"/>
        </w:rPr>
        <w:t xml:space="preserve">]. </w:t>
      </w:r>
    </w:p>
    <w:p w:rsidR="00077303" w:rsidRDefault="00077303" w:rsidP="00E10867">
      <w:pPr>
        <w:spacing w:line="360" w:lineRule="auto"/>
        <w:ind w:firstLine="709"/>
        <w:jc w:val="both"/>
        <w:rPr>
          <w:sz w:val="28"/>
          <w:szCs w:val="28"/>
          <w:lang w:val="uk-UA"/>
        </w:rPr>
      </w:pPr>
      <w:r>
        <w:rPr>
          <w:sz w:val="28"/>
          <w:szCs w:val="28"/>
          <w:lang w:val="uk-UA"/>
        </w:rPr>
        <w:t>У зв’язку з цим подальше з’ясування ролі прозапальних цитокінів у формуванні НАСГ на тлі ЦД 2 типу є актуальним та підлягає більш глибокому вивченню.</w:t>
      </w:r>
    </w:p>
    <w:p w:rsidR="00077303" w:rsidRDefault="00077303" w:rsidP="00E10867">
      <w:pPr>
        <w:spacing w:line="360" w:lineRule="auto"/>
        <w:ind w:firstLine="709"/>
        <w:jc w:val="center"/>
        <w:rPr>
          <w:sz w:val="28"/>
          <w:szCs w:val="28"/>
          <w:u w:val="single"/>
          <w:lang w:val="uk-UA"/>
        </w:rPr>
      </w:pPr>
    </w:p>
    <w:p w:rsidR="00077303" w:rsidRPr="00D26EB6" w:rsidRDefault="00077303" w:rsidP="00E10867">
      <w:pPr>
        <w:spacing w:line="360" w:lineRule="auto"/>
        <w:ind w:firstLine="709"/>
        <w:jc w:val="center"/>
        <w:rPr>
          <w:b/>
          <w:sz w:val="28"/>
          <w:szCs w:val="28"/>
          <w:lang w:val="uk-UA"/>
        </w:rPr>
      </w:pPr>
      <w:r w:rsidRPr="00D26EB6">
        <w:rPr>
          <w:b/>
          <w:sz w:val="28"/>
          <w:szCs w:val="28"/>
          <w:lang w:val="uk-UA"/>
        </w:rPr>
        <w:t xml:space="preserve">1.5. Стан процесів </w:t>
      </w:r>
      <w:r>
        <w:rPr>
          <w:b/>
          <w:sz w:val="28"/>
          <w:szCs w:val="28"/>
          <w:lang w:val="uk-UA"/>
        </w:rPr>
        <w:t>перекісного</w:t>
      </w:r>
      <w:r w:rsidRPr="00D26EB6">
        <w:rPr>
          <w:b/>
          <w:sz w:val="28"/>
          <w:szCs w:val="28"/>
          <w:lang w:val="uk-UA"/>
        </w:rPr>
        <w:t xml:space="preserve"> </w:t>
      </w:r>
      <w:r>
        <w:rPr>
          <w:b/>
          <w:sz w:val="28"/>
          <w:szCs w:val="28"/>
          <w:lang w:val="uk-UA"/>
        </w:rPr>
        <w:t>окиснення</w:t>
      </w:r>
      <w:r w:rsidRPr="00D26EB6">
        <w:rPr>
          <w:b/>
          <w:sz w:val="28"/>
          <w:szCs w:val="28"/>
          <w:lang w:val="uk-UA"/>
        </w:rPr>
        <w:t xml:space="preserve"> ліпідів при НАСГ</w:t>
      </w:r>
      <w:r>
        <w:rPr>
          <w:b/>
          <w:sz w:val="28"/>
          <w:szCs w:val="28"/>
          <w:lang w:val="uk-UA"/>
        </w:rPr>
        <w:t xml:space="preserve"> у хворих на ЦД 2 типу</w:t>
      </w:r>
      <w:r w:rsidRPr="00D26EB6">
        <w:rPr>
          <w:b/>
          <w:sz w:val="28"/>
          <w:szCs w:val="28"/>
          <w:lang w:val="uk-UA"/>
        </w:rPr>
        <w:t>.</w:t>
      </w:r>
    </w:p>
    <w:p w:rsidR="00077303" w:rsidRDefault="00077303" w:rsidP="00E10867">
      <w:pPr>
        <w:spacing w:line="360" w:lineRule="auto"/>
        <w:ind w:firstLine="709"/>
        <w:jc w:val="both"/>
        <w:rPr>
          <w:sz w:val="28"/>
          <w:szCs w:val="28"/>
          <w:lang w:val="uk-UA"/>
        </w:rPr>
      </w:pPr>
      <w:r>
        <w:rPr>
          <w:sz w:val="28"/>
          <w:szCs w:val="28"/>
          <w:lang w:val="uk-UA"/>
        </w:rPr>
        <w:t>Центральну роль у механізмах розвитку НАСГ на тлі ЦД 2 типу відіграє індукція ліпотоксичного стресу. Наявність в печінці підвищеної кількості окисленого жиру запускає каскад ПОЛ [79, 202]. В результаті активації процесів ПОЛ виробляється велика кількість вільних радикалів, які індукують підвищений синтез прозапальних цитокінів [31, 78, 127]. Посилення процесів ПОЛ відображає наростання в плазмі крові МДА, що призводить до підвищення продукції макрофагами трансформуючого фактора росту β і продукції колагену, активуючи зірчасті клітини, що є основними продуцентами колагену. Продукти ПОЛ індукують перехресне зв’язування цитокератинів з формуванням тілець Меллорі і стимулюють хемотаксис нейтрофілів, що також сприяє пошкодженню гепатоцитів та розвитку стеатогепатиту. [30, 111]. Численні дослідження підтверджують важливість ліпотоксичного стресу як критичного патофізіологичного механізму НАСГ [151, 174]. Є дані про індукцію оксидативним стресом процесів гепатоканцерогенезу на тлі НАЖХП [169].</w:t>
      </w:r>
    </w:p>
    <w:p w:rsidR="00077303" w:rsidRDefault="00077303" w:rsidP="00E10867">
      <w:pPr>
        <w:spacing w:line="360" w:lineRule="auto"/>
        <w:ind w:firstLine="709"/>
        <w:jc w:val="both"/>
        <w:rPr>
          <w:sz w:val="28"/>
          <w:szCs w:val="28"/>
          <w:lang w:val="uk-UA"/>
        </w:rPr>
      </w:pPr>
      <w:r>
        <w:rPr>
          <w:sz w:val="28"/>
          <w:szCs w:val="28"/>
          <w:lang w:val="uk-UA"/>
        </w:rPr>
        <w:lastRenderedPageBreak/>
        <w:t xml:space="preserve">Реактивні форми кисню, зокрема </w:t>
      </w:r>
      <w:r>
        <w:rPr>
          <w:sz w:val="28"/>
          <w:szCs w:val="28"/>
          <w:lang w:val="en-US"/>
        </w:rPr>
        <w:t>NO</w:t>
      </w:r>
      <w:r>
        <w:rPr>
          <w:sz w:val="28"/>
          <w:szCs w:val="28"/>
          <w:lang w:val="uk-UA"/>
        </w:rPr>
        <w:t>, мають безпосередню цитотоксичність і можуть провокувати загибель гепатоцитів і сприяти секреції цитокінів мононуклеарними фагоцитами, які потенціюють патологічні процеси, що призводять до прогресування захворювання. На тлі наростаючої секреції прозапальних цитокінів реактивні форми кисню сприяють роз’єднанню процесів окисного фосфорилювання, виснаженню мітохондріальної АТФ і, в кінцевому підсумку, пошкодженню гепатоцитів і їх некрозу [31, 57]. Утворення потенційно токсичних проміжних продуктів обміну вільних жирних кислот запускає і підтримує каскад запальних реакцій в печінці, обумовлює формування мітохондріальної дисфункції, активацію ліпоцитів печінки, що є предиктором розвитку фіброзу печінки [176].</w:t>
      </w:r>
    </w:p>
    <w:p w:rsidR="00077303" w:rsidRDefault="00077303" w:rsidP="00E10867">
      <w:pPr>
        <w:spacing w:line="360" w:lineRule="auto"/>
        <w:ind w:firstLine="709"/>
        <w:jc w:val="both"/>
        <w:rPr>
          <w:sz w:val="28"/>
          <w:szCs w:val="28"/>
          <w:lang w:val="uk-UA"/>
        </w:rPr>
      </w:pPr>
      <w:r>
        <w:rPr>
          <w:sz w:val="28"/>
          <w:szCs w:val="28"/>
          <w:lang w:val="uk-UA"/>
        </w:rPr>
        <w:t xml:space="preserve">Молекула </w:t>
      </w:r>
      <w:r>
        <w:rPr>
          <w:sz w:val="28"/>
          <w:szCs w:val="28"/>
          <w:lang w:val="en-US"/>
        </w:rPr>
        <w:t>NO</w:t>
      </w:r>
      <w:r>
        <w:rPr>
          <w:sz w:val="28"/>
          <w:szCs w:val="28"/>
          <w:lang w:val="uk-UA"/>
        </w:rPr>
        <w:t xml:space="preserve"> має надзвичайну токсичність, що обумовлено наявністю в її структурі неспареного електрону. </w:t>
      </w:r>
      <w:r>
        <w:rPr>
          <w:sz w:val="28"/>
          <w:szCs w:val="28"/>
          <w:lang w:val="en-US"/>
        </w:rPr>
        <w:t>NO</w:t>
      </w:r>
      <w:r>
        <w:rPr>
          <w:sz w:val="28"/>
          <w:szCs w:val="28"/>
          <w:lang w:val="uk-UA"/>
        </w:rPr>
        <w:t xml:space="preserve"> є одним з найважливіших між– і внутрішньоклітинних вторинних месенджерів, першим представником класу сигнальних молекул, що здійснюють міжклітинну комунікацію та регулюють різноманітні фізіологічні функції організму [25, 70]. </w:t>
      </w:r>
    </w:p>
    <w:p w:rsidR="00077303" w:rsidRDefault="00077303" w:rsidP="00E10867">
      <w:pPr>
        <w:spacing w:line="360" w:lineRule="auto"/>
        <w:ind w:firstLine="709"/>
        <w:jc w:val="both"/>
        <w:rPr>
          <w:sz w:val="28"/>
          <w:szCs w:val="28"/>
          <w:lang w:val="uk-UA"/>
        </w:rPr>
      </w:pPr>
      <w:r>
        <w:rPr>
          <w:sz w:val="28"/>
          <w:szCs w:val="28"/>
          <w:lang w:val="uk-UA"/>
        </w:rPr>
        <w:t xml:space="preserve">Існує кілька шляхів утворення </w:t>
      </w:r>
      <w:r>
        <w:rPr>
          <w:sz w:val="28"/>
          <w:szCs w:val="28"/>
          <w:lang w:val="en-US"/>
        </w:rPr>
        <w:t>NO</w:t>
      </w:r>
      <w:r>
        <w:rPr>
          <w:sz w:val="28"/>
          <w:szCs w:val="28"/>
          <w:lang w:val="uk-UA"/>
        </w:rPr>
        <w:t xml:space="preserve"> в організмі. Найбільш значимим для клінічної патології є утворення </w:t>
      </w:r>
      <w:r>
        <w:rPr>
          <w:sz w:val="28"/>
          <w:szCs w:val="28"/>
          <w:lang w:val="en-US"/>
        </w:rPr>
        <w:t>NO</w:t>
      </w:r>
      <w:r>
        <w:rPr>
          <w:sz w:val="28"/>
          <w:szCs w:val="28"/>
          <w:lang w:val="uk-UA"/>
        </w:rPr>
        <w:t xml:space="preserve"> з амінокислоти </w:t>
      </w:r>
      <w:r>
        <w:rPr>
          <w:sz w:val="28"/>
          <w:szCs w:val="28"/>
        </w:rPr>
        <w:t>L</w:t>
      </w:r>
      <w:r>
        <w:rPr>
          <w:sz w:val="28"/>
          <w:szCs w:val="28"/>
          <w:lang w:val="uk-UA"/>
        </w:rPr>
        <w:t xml:space="preserve">–аргініну при участі кисню, кофактору </w:t>
      </w:r>
      <w:r>
        <w:rPr>
          <w:sz w:val="28"/>
          <w:szCs w:val="28"/>
          <w:lang w:val="en-US"/>
        </w:rPr>
        <w:t>NADPH</w:t>
      </w:r>
      <w:r>
        <w:rPr>
          <w:sz w:val="28"/>
          <w:szCs w:val="28"/>
          <w:lang w:val="uk-UA"/>
        </w:rPr>
        <w:t xml:space="preserve"> і іонів кальцію. Під дією ферменту </w:t>
      </w:r>
      <w:r>
        <w:rPr>
          <w:sz w:val="28"/>
          <w:szCs w:val="28"/>
          <w:lang w:val="en-US"/>
        </w:rPr>
        <w:t>NO</w:t>
      </w:r>
      <w:r>
        <w:rPr>
          <w:sz w:val="28"/>
          <w:szCs w:val="28"/>
          <w:lang w:val="uk-UA"/>
        </w:rPr>
        <w:t>–синтази (</w:t>
      </w:r>
      <w:r>
        <w:rPr>
          <w:sz w:val="28"/>
          <w:szCs w:val="28"/>
          <w:lang w:val="en-US"/>
        </w:rPr>
        <w:t>NOS</w:t>
      </w:r>
      <w:r>
        <w:rPr>
          <w:sz w:val="28"/>
          <w:szCs w:val="28"/>
          <w:lang w:val="uk-UA"/>
        </w:rPr>
        <w:t xml:space="preserve">) відбувається інкорпування молекул кисню до атому азоту з термінальної гуанідінової групи </w:t>
      </w:r>
      <w:r>
        <w:rPr>
          <w:sz w:val="28"/>
          <w:szCs w:val="28"/>
        </w:rPr>
        <w:t>L</w:t>
      </w:r>
      <w:r>
        <w:rPr>
          <w:sz w:val="28"/>
          <w:szCs w:val="28"/>
          <w:lang w:val="uk-UA"/>
        </w:rPr>
        <w:t xml:space="preserve">–аргініну. При цьому, крім </w:t>
      </w:r>
      <w:r>
        <w:rPr>
          <w:sz w:val="28"/>
          <w:szCs w:val="28"/>
          <w:lang w:val="en-US"/>
        </w:rPr>
        <w:t>NO</w:t>
      </w:r>
      <w:r>
        <w:rPr>
          <w:sz w:val="28"/>
          <w:szCs w:val="28"/>
          <w:lang w:val="uk-UA"/>
        </w:rPr>
        <w:t xml:space="preserve">, утворюється одночасно неактивна сполука </w:t>
      </w:r>
      <w:r>
        <w:rPr>
          <w:sz w:val="28"/>
          <w:szCs w:val="28"/>
        </w:rPr>
        <w:t>L</w:t>
      </w:r>
      <w:r>
        <w:rPr>
          <w:sz w:val="28"/>
          <w:szCs w:val="28"/>
          <w:lang w:val="uk-UA"/>
        </w:rPr>
        <w:t>–цитруллін, яка потім знову рециклюється, поповнюючи внутрішньоклітинні запаси аргініну [36, 63].</w:t>
      </w:r>
    </w:p>
    <w:p w:rsidR="00077303" w:rsidRDefault="00077303" w:rsidP="00E10867">
      <w:pPr>
        <w:spacing w:line="360" w:lineRule="auto"/>
        <w:ind w:firstLine="709"/>
        <w:jc w:val="both"/>
        <w:rPr>
          <w:sz w:val="28"/>
          <w:szCs w:val="28"/>
          <w:lang w:val="uk-UA"/>
        </w:rPr>
      </w:pPr>
      <w:r>
        <w:rPr>
          <w:sz w:val="28"/>
          <w:szCs w:val="28"/>
          <w:lang w:val="uk-UA"/>
        </w:rPr>
        <w:t xml:space="preserve">Розрізняють наступні типи </w:t>
      </w:r>
      <w:r>
        <w:rPr>
          <w:sz w:val="28"/>
          <w:szCs w:val="28"/>
          <w:lang w:val="en-US"/>
        </w:rPr>
        <w:t>NOS</w:t>
      </w:r>
      <w:r>
        <w:rPr>
          <w:sz w:val="28"/>
          <w:szCs w:val="28"/>
          <w:lang w:val="uk-UA"/>
        </w:rPr>
        <w:t xml:space="preserve">: нейрональну, ендотеліальну, макрофагальну і печінкову. Нейрональна і ендотеліальна </w:t>
      </w:r>
      <w:r>
        <w:rPr>
          <w:sz w:val="28"/>
          <w:szCs w:val="28"/>
          <w:lang w:val="en-US"/>
        </w:rPr>
        <w:t>NOS</w:t>
      </w:r>
      <w:r>
        <w:rPr>
          <w:sz w:val="28"/>
          <w:szCs w:val="28"/>
          <w:lang w:val="uk-UA"/>
        </w:rPr>
        <w:t xml:space="preserve"> забезпечують синтез </w:t>
      </w:r>
      <w:r>
        <w:rPr>
          <w:sz w:val="28"/>
          <w:szCs w:val="28"/>
          <w:lang w:val="en-US"/>
        </w:rPr>
        <w:t>NO</w:t>
      </w:r>
      <w:r>
        <w:rPr>
          <w:sz w:val="28"/>
          <w:szCs w:val="28"/>
          <w:lang w:val="uk-UA"/>
        </w:rPr>
        <w:t xml:space="preserve"> в нормальних умовах, макрофагальна і печінкова форми утворюються тільки у відповідь на патологічні стимули. Описані також дві форми </w:t>
      </w:r>
      <w:r>
        <w:rPr>
          <w:sz w:val="28"/>
          <w:szCs w:val="28"/>
          <w:lang w:val="en-US"/>
        </w:rPr>
        <w:t>NOS</w:t>
      </w:r>
      <w:r>
        <w:rPr>
          <w:sz w:val="28"/>
          <w:szCs w:val="28"/>
          <w:lang w:val="uk-UA"/>
        </w:rPr>
        <w:t xml:space="preserve">: конститутивна, що є кальційкальмодулинзалежною і індуцибельна, дія якої не залежить від кальційкальмодулинової системи. Печінкова </w:t>
      </w:r>
      <w:r>
        <w:rPr>
          <w:sz w:val="28"/>
          <w:szCs w:val="28"/>
          <w:lang w:val="en-US"/>
        </w:rPr>
        <w:t>NOS</w:t>
      </w:r>
      <w:r>
        <w:rPr>
          <w:sz w:val="28"/>
          <w:szCs w:val="28"/>
          <w:lang w:val="uk-UA"/>
        </w:rPr>
        <w:t xml:space="preserve"> має унікальні властивості, характерні як для індуцибельних (індукується комбінацією факторів: ІЛ–6, ФНП–α, </w:t>
      </w:r>
      <w:r>
        <w:rPr>
          <w:sz w:val="28"/>
          <w:szCs w:val="28"/>
          <w:lang w:val="uk-UA"/>
        </w:rPr>
        <w:lastRenderedPageBreak/>
        <w:t xml:space="preserve">інтерферон і липополисахарид), так і для конститутивно експрессіруемих </w:t>
      </w:r>
      <w:r>
        <w:rPr>
          <w:sz w:val="28"/>
          <w:szCs w:val="28"/>
          <w:lang w:val="en-US"/>
        </w:rPr>
        <w:t>NOS</w:t>
      </w:r>
      <w:r>
        <w:rPr>
          <w:sz w:val="28"/>
          <w:szCs w:val="28"/>
          <w:lang w:val="uk-UA"/>
        </w:rPr>
        <w:t xml:space="preserve">, і є основою неспецифічної резистентності організму. </w:t>
      </w:r>
      <w:r>
        <w:rPr>
          <w:sz w:val="28"/>
          <w:szCs w:val="28"/>
          <w:lang w:val="en-US"/>
        </w:rPr>
        <w:t>NO</w:t>
      </w:r>
      <w:r>
        <w:rPr>
          <w:sz w:val="28"/>
          <w:szCs w:val="28"/>
          <w:lang w:val="uk-UA"/>
        </w:rPr>
        <w:t xml:space="preserve"> стимулює синтез простагландинів за рахунок активації циклооксигеназ [36], підсилює антиоксидантний захист, активуючи продукцію глутатіону та супероксиддисмутази [34]. Доведена здатність </w:t>
      </w:r>
      <w:r>
        <w:rPr>
          <w:sz w:val="28"/>
          <w:szCs w:val="28"/>
          <w:lang w:val="en-US"/>
        </w:rPr>
        <w:t>NO</w:t>
      </w:r>
      <w:r>
        <w:rPr>
          <w:sz w:val="28"/>
          <w:szCs w:val="28"/>
          <w:lang w:val="uk-UA"/>
        </w:rPr>
        <w:t xml:space="preserve"> експресувати синтез ряду найважливіших білків і ферментів, в тому числі антиоксидантного захисту, а також впливати на активність багатьох білків і ферментів – гуанілатциклази, рибонуклеотидредуктази, компонентів дихального ланцюга мітохондрій і гліколізу, білків типу цитохрому Р450 [25]. Нитро– та інші азотовмісні сполуки метаболізуються до нітритів і нітратів, також можуть знову відновлюватися до NO за рахунок наявності нітритредуктазной активності у гемвмістних білків (гемоглобіну, міоглобіну, цитохромоксидази, цитохрому Р450). Ферментною системою цитохрома Р450 мікросом гепатоцита метаболізуються канцерогени, більшість ліків і ендогенні субстрати, такі як холестерин, стероїди, простагландини, жирні кислоти. В умовах ІР пригнічується активність гідроксилази, тобто процес цитохром Р450–залежного гідроксилювання. Механізм пригнічення цитохрому Р450 має вільнорадикальну природу.</w:t>
      </w:r>
    </w:p>
    <w:p w:rsidR="00077303" w:rsidRDefault="00077303" w:rsidP="00E10867">
      <w:pPr>
        <w:spacing w:line="360" w:lineRule="auto"/>
        <w:ind w:firstLine="709"/>
        <w:jc w:val="both"/>
        <w:rPr>
          <w:sz w:val="28"/>
          <w:szCs w:val="28"/>
          <w:lang w:val="uk-UA"/>
        </w:rPr>
      </w:pPr>
      <w:r>
        <w:rPr>
          <w:sz w:val="28"/>
          <w:szCs w:val="28"/>
          <w:lang w:val="uk-UA"/>
        </w:rPr>
        <w:t xml:space="preserve">Інтенсивність процесів ліпотоксичного стресу відображує накопичення продуктів ПОЛ – первинних і вторинних. Первинні продукти ПОЛ нестійкі і швидко руйнуються з утворенням вторинних продуктів, серед яких найважливішим є МДА.  За рівнем МДА в плазмі крові оцінюють активність ПОЛ і антиоксидантний ефект лікарських препаратів [65]. Визначення МДА є методом раннього виявлення метаболічних порушень в організмі, навіть на доклінічній стадії захворювання [39, 138], оскільки формування МДА відбувається тільки в результаті пероксидації поліненасичених жирних кислот [7, 68]. </w:t>
      </w:r>
    </w:p>
    <w:p w:rsidR="00077303" w:rsidRDefault="00077303" w:rsidP="00E10867">
      <w:pPr>
        <w:spacing w:line="360" w:lineRule="auto"/>
        <w:ind w:firstLine="709"/>
        <w:jc w:val="both"/>
        <w:rPr>
          <w:sz w:val="28"/>
          <w:szCs w:val="28"/>
          <w:lang w:val="uk-UA"/>
        </w:rPr>
      </w:pPr>
      <w:r>
        <w:rPr>
          <w:sz w:val="28"/>
          <w:szCs w:val="28"/>
          <w:lang w:val="uk-UA"/>
        </w:rPr>
        <w:t>Висока реакційна здатність МДА базується на електрофільності до амінокислотних залишків лізіна, гістідина та аргініна, що призводить до утворення ацетальдегіда. Ацетальдегід, як продукт метаболізму МДА, в умовах оксидативного стреса індукує додаткову продукцію МДА [110, 158, 224].</w:t>
      </w:r>
    </w:p>
    <w:p w:rsidR="00077303" w:rsidRDefault="00077303" w:rsidP="00E10867">
      <w:pPr>
        <w:spacing w:line="360" w:lineRule="auto"/>
        <w:ind w:firstLine="709"/>
        <w:jc w:val="both"/>
        <w:rPr>
          <w:sz w:val="28"/>
          <w:szCs w:val="28"/>
          <w:lang w:val="uk-UA"/>
        </w:rPr>
      </w:pPr>
      <w:r>
        <w:rPr>
          <w:sz w:val="28"/>
          <w:szCs w:val="28"/>
          <w:lang w:val="uk-UA"/>
        </w:rPr>
        <w:lastRenderedPageBreak/>
        <w:t>Під впливом МДА відбувається модифікація регуляторних білків, каталізуючих рибосоми мРНК, активація системи комплімента, індукція аутоімунних  та запальних процесів [103, 153, 160, 177, 268, 271]. Діючи на протеінкіназу С, МДА веде до порушення процесів проліферації та диференціювання клітин Купфера у печінці, індукує надлишкову секрецію урокіназного активатора плазміногену, що сприяє розвитку і прогресуванню фіброза печінки [160, 187].</w:t>
      </w:r>
    </w:p>
    <w:p w:rsidR="00077303" w:rsidRDefault="00077303" w:rsidP="00E10867">
      <w:pPr>
        <w:spacing w:line="360" w:lineRule="auto"/>
        <w:ind w:firstLine="709"/>
        <w:jc w:val="both"/>
        <w:rPr>
          <w:sz w:val="28"/>
          <w:szCs w:val="28"/>
          <w:lang w:val="uk-UA"/>
        </w:rPr>
      </w:pPr>
      <w:r>
        <w:rPr>
          <w:sz w:val="28"/>
          <w:szCs w:val="28"/>
          <w:lang w:val="uk-UA"/>
        </w:rPr>
        <w:t>В недавньому дослідженні був з’ясований негативний вплив МДА більше ніж на 30 білків, в тому числі на ферментативні, антиоксидантні, транспортні білки, білки цитоскелету та мітохондрій клітин [210]. МДА є важливим фактором ушкодження ДНК та виникнення мутацій, що веде до припинення клітинного циклу та індукції апоптозу [90, 110].</w:t>
      </w:r>
    </w:p>
    <w:p w:rsidR="00077303" w:rsidRDefault="00077303" w:rsidP="00E10867">
      <w:pPr>
        <w:spacing w:line="360" w:lineRule="auto"/>
        <w:ind w:firstLine="709"/>
        <w:jc w:val="both"/>
        <w:rPr>
          <w:sz w:val="28"/>
          <w:szCs w:val="28"/>
          <w:lang w:val="uk-UA"/>
        </w:rPr>
      </w:pPr>
      <w:r>
        <w:rPr>
          <w:sz w:val="28"/>
          <w:szCs w:val="28"/>
          <w:lang w:val="uk-UA"/>
        </w:rPr>
        <w:t xml:space="preserve">При поєднані НАСГ із ЦД 2 типу гіпоксія відіграє провідну роль у стимуляції реакцій вільнорадикального окиснення, що спричиняє подальше порушення метаболізму, ушкодження інших клітинних структур у результаті активації пероксидного окиснення при цьому у хворих виявлено суттєве зростання вмісту продуктів тіобарбітурової кислоти – МДА [37]. </w:t>
      </w:r>
    </w:p>
    <w:p w:rsidR="00077303" w:rsidRDefault="00077303" w:rsidP="00E10867">
      <w:pPr>
        <w:spacing w:line="360" w:lineRule="auto"/>
        <w:ind w:firstLine="709"/>
        <w:jc w:val="both"/>
        <w:rPr>
          <w:sz w:val="28"/>
          <w:szCs w:val="28"/>
          <w:lang w:val="uk-UA"/>
        </w:rPr>
      </w:pPr>
      <w:r>
        <w:rPr>
          <w:sz w:val="28"/>
          <w:szCs w:val="28"/>
          <w:lang w:val="uk-UA"/>
        </w:rPr>
        <w:t>Таким чином, подальше дослідження ролі процесів ПОЛ в розвитку та прогресуванні НАСГ у поєднанні з ЦД 2 типу є актуальною проблемою сучасної гепатології.</w:t>
      </w:r>
    </w:p>
    <w:p w:rsidR="00077303" w:rsidRDefault="00077303" w:rsidP="00E10867">
      <w:pPr>
        <w:spacing w:line="360" w:lineRule="auto"/>
        <w:ind w:firstLine="709"/>
        <w:jc w:val="both"/>
        <w:rPr>
          <w:sz w:val="28"/>
          <w:szCs w:val="28"/>
          <w:lang w:val="uk-UA"/>
        </w:rPr>
      </w:pPr>
    </w:p>
    <w:p w:rsidR="00077303" w:rsidRPr="00082DFB" w:rsidRDefault="00077303" w:rsidP="00E10867">
      <w:pPr>
        <w:spacing w:line="360" w:lineRule="auto"/>
        <w:ind w:firstLine="709"/>
        <w:jc w:val="center"/>
        <w:rPr>
          <w:b/>
          <w:sz w:val="28"/>
          <w:szCs w:val="28"/>
          <w:lang w:val="uk-UA"/>
        </w:rPr>
      </w:pPr>
      <w:r w:rsidRPr="00082DFB">
        <w:rPr>
          <w:b/>
          <w:sz w:val="28"/>
          <w:szCs w:val="28"/>
          <w:lang w:val="uk-UA"/>
        </w:rPr>
        <w:t>1.6. Сучасні проблеми лікування НАСГ</w:t>
      </w:r>
      <w:r>
        <w:rPr>
          <w:b/>
          <w:sz w:val="28"/>
          <w:szCs w:val="28"/>
          <w:lang w:val="uk-UA"/>
        </w:rPr>
        <w:t xml:space="preserve"> у хворих на ЦД 2 типу</w:t>
      </w:r>
      <w:r w:rsidRPr="00082DFB">
        <w:rPr>
          <w:b/>
          <w:sz w:val="28"/>
          <w:szCs w:val="28"/>
          <w:lang w:val="uk-UA"/>
        </w:rPr>
        <w:t>.</w:t>
      </w:r>
    </w:p>
    <w:p w:rsidR="00077303" w:rsidRDefault="00077303" w:rsidP="00E10867">
      <w:pPr>
        <w:spacing w:line="360" w:lineRule="auto"/>
        <w:ind w:firstLine="709"/>
        <w:jc w:val="both"/>
        <w:rPr>
          <w:sz w:val="28"/>
          <w:szCs w:val="28"/>
          <w:lang w:val="uk-UA"/>
        </w:rPr>
      </w:pPr>
      <w:r>
        <w:rPr>
          <w:sz w:val="28"/>
          <w:szCs w:val="28"/>
          <w:lang w:val="uk-UA"/>
        </w:rPr>
        <w:t xml:space="preserve">Незважаючи на значні досягнення у вивченні етіології та патогенеза НАСГ, його лікування є складною та не до кінця вирішеною проблемою, особливо у хворих на ЦД 2 типу. Одним із шляхів вирішення цієї задачі є комбіноване використання препаратів, спрямованих на основні ланки патогенеза. Оскільки розвиток захворювання пов’язаний з метаболічними порушеннями, метою лікування є їх усунення або значне зменшення негативної дії [10, 23]. </w:t>
      </w:r>
    </w:p>
    <w:p w:rsidR="00077303" w:rsidRDefault="00077303" w:rsidP="00E10867">
      <w:pPr>
        <w:spacing w:line="360" w:lineRule="auto"/>
        <w:ind w:firstLine="709"/>
        <w:jc w:val="both"/>
        <w:rPr>
          <w:sz w:val="28"/>
          <w:szCs w:val="28"/>
          <w:lang w:val="uk-UA"/>
        </w:rPr>
      </w:pPr>
      <w:r>
        <w:rPr>
          <w:sz w:val="28"/>
          <w:szCs w:val="28"/>
          <w:lang w:val="uk-UA"/>
        </w:rPr>
        <w:t xml:space="preserve">Препарати, які використовуються в комплексній терапії НАСГ, повинні володіти не тільки протизапальною, антиоксидантною, гіполіпідемічною, </w:t>
      </w:r>
      <w:r>
        <w:rPr>
          <w:sz w:val="28"/>
          <w:szCs w:val="28"/>
          <w:lang w:val="uk-UA"/>
        </w:rPr>
        <w:lastRenderedPageBreak/>
        <w:t>гепатопротекторною дією, а й мати антифібротічну активність [3, 60, 92, 143]. Окремі автори основною метою лікування ставлять запобігання розвитку цироза печінки, а як наслідок – зниження летальності від ускладнень цирозу печінки [21, 124, 174].</w:t>
      </w:r>
    </w:p>
    <w:p w:rsidR="00077303" w:rsidRDefault="00077303" w:rsidP="00E10867">
      <w:pPr>
        <w:spacing w:line="360" w:lineRule="auto"/>
        <w:ind w:firstLine="709"/>
        <w:jc w:val="both"/>
        <w:rPr>
          <w:sz w:val="28"/>
          <w:szCs w:val="28"/>
          <w:lang w:val="uk-UA"/>
        </w:rPr>
      </w:pPr>
      <w:r>
        <w:rPr>
          <w:sz w:val="28"/>
          <w:szCs w:val="28"/>
          <w:lang w:val="uk-UA"/>
        </w:rPr>
        <w:t>Важливе значення має модифікація способу життя і харчування, призначення гепатопротекторів з ліпотропною дією і антиоксидантів [19, 143]. Обов’язковою умовою лікування хворих на НАСГ із супутнім ЦД 2 типу є фізичне навантаження. Воно володіє позитивним ефектом на зниження маси тіла і чутливість до інсуліну, при цьому збільшується надходження ВЖК в м’язову тканину, де відбувається їх окиснення, тим самим зменшується ІР. Ступінь зниження ІР, як правило, корелює з інтенсивністю фізичних вправ, які рекомендується проводити не менше 3–4 разів на тиждень, тривалістю 30–40 хвилин [38, 102].</w:t>
      </w:r>
    </w:p>
    <w:p w:rsidR="00077303" w:rsidRDefault="00077303" w:rsidP="00E10867">
      <w:pPr>
        <w:spacing w:line="360" w:lineRule="auto"/>
        <w:ind w:firstLine="709"/>
        <w:jc w:val="both"/>
        <w:rPr>
          <w:sz w:val="28"/>
          <w:szCs w:val="28"/>
          <w:lang w:val="uk-UA"/>
        </w:rPr>
      </w:pPr>
      <w:r>
        <w:rPr>
          <w:sz w:val="28"/>
          <w:szCs w:val="28"/>
          <w:lang w:val="uk-UA"/>
        </w:rPr>
        <w:t>Для пацієнтів з надлишковою масою тіла та ожирінням важливе значення має зниження загальної енергетичної цінності харчового раціону [3, 19, 38, 199]. Згідно з рекомендаціями експертів добова калорійність підбирається індивідуально в залежності від маси тіла, віку, статі, рівня фізичної активності з використанням спеціальних формул [53]. Мінімальне споживання калорій на добу має бути не менше 1200 ккал для жінок і не менше 1500 для чоловіків. Доведено, що зниження маси тіла на 5–10 % супроводжується зменшенням гепатомегалиї, активності АЛТ, АСТ і корелює з регресією стеатоза печінки [123]. Слід враховувати, що швидка втрата ваги може привести до розвитку «гострого» НАСГ з формуванням портального фіброзу, центральних некрозів на тлі значного підвищення запальної активності, внаслідок збільшення надходження ВЖК в печінку за умов периферичного ліполізу. Для хворих з ожирінням і НАСГ безпечним і ефективним є зниження маси тіла на 1600 г на тиждень [22, 23, 38, 53].</w:t>
      </w:r>
    </w:p>
    <w:p w:rsidR="00077303" w:rsidRDefault="00077303" w:rsidP="00E10867">
      <w:pPr>
        <w:spacing w:line="360" w:lineRule="auto"/>
        <w:ind w:firstLine="709"/>
        <w:jc w:val="both"/>
        <w:rPr>
          <w:sz w:val="28"/>
          <w:szCs w:val="28"/>
          <w:lang w:val="uk-UA"/>
        </w:rPr>
      </w:pPr>
      <w:r>
        <w:rPr>
          <w:sz w:val="28"/>
          <w:szCs w:val="28"/>
          <w:lang w:val="uk-UA"/>
        </w:rPr>
        <w:t xml:space="preserve">Враховуючи, що НАСГ на тлі ЦД 2 типу це обмінне захворювання з накопиченням надлишкової кількості жиру в печінці, лікувальні заходи повинні бути спрямовані на усунення підвищеної ектопії жирних кислот в печінку. З цією метою доведеною є корекція карнітиновой недостатності і призначення препаратів що містять L–карнітин [32, 166]. Немедикаментозне усунення карнітиновой </w:t>
      </w:r>
      <w:r>
        <w:rPr>
          <w:sz w:val="28"/>
          <w:szCs w:val="28"/>
          <w:lang w:val="uk-UA"/>
        </w:rPr>
        <w:lastRenderedPageBreak/>
        <w:t xml:space="preserve">недостатності базується на раціональному харчуванні і зменшенні дози, або відміні лікарських препаратів, метаболіти яких виводяться з організму у вигляді ефірів карнітину (препарати вальпроєвої кислоти, антрациклінові антибіотики, ібупрофен, сульфадіазин). </w:t>
      </w:r>
    </w:p>
    <w:p w:rsidR="00077303" w:rsidRDefault="00077303" w:rsidP="00E10867">
      <w:pPr>
        <w:spacing w:line="360" w:lineRule="auto"/>
        <w:ind w:firstLine="709"/>
        <w:jc w:val="both"/>
        <w:rPr>
          <w:sz w:val="28"/>
          <w:szCs w:val="28"/>
          <w:lang w:val="uk-UA"/>
        </w:rPr>
      </w:pPr>
      <w:r>
        <w:rPr>
          <w:sz w:val="28"/>
          <w:szCs w:val="28"/>
          <w:lang w:val="uk-UA"/>
        </w:rPr>
        <w:t>За даними ряду авторів доведено достовірну дію L–карнітину на рівні АСТ, ГГТП, загального холестерину, ЛПНЩ, ФНП–α та С–реактивного білка у хворих на НАСГ. Відзначено достовірне поліпшення морфологічної картини за даними біопсії печінки, що проявлялося в зменшенні ступеню стеатозу, явищ паренхиматозного запалення і гепатоцеллюлярного пошкодження, а так само в поліпшенні індексу фіброзу  на тлі застосування препаратів L–карнітину [169, 170]. L–карнітин запобігає прогресуванню НАСГ в тваринних моделях завдяки позитивній регуляції мітохондріального β–окиснення ВЖК [168]. Крім того, плацебо контрольовані досліждення показали, що L–карнітин знижує рівень аміаку при печінковій енцефалопатії у хворих, тому сприяє швидкій редукції астено–невротичного синдрома [207].</w:t>
      </w:r>
    </w:p>
    <w:p w:rsidR="00077303" w:rsidRDefault="00077303" w:rsidP="00E10867">
      <w:pPr>
        <w:spacing w:line="360" w:lineRule="auto"/>
        <w:ind w:firstLine="709"/>
        <w:jc w:val="both"/>
        <w:rPr>
          <w:sz w:val="28"/>
          <w:szCs w:val="28"/>
          <w:lang w:val="uk-UA"/>
        </w:rPr>
      </w:pPr>
      <w:r>
        <w:rPr>
          <w:sz w:val="28"/>
          <w:szCs w:val="28"/>
          <w:lang w:val="uk-UA"/>
        </w:rPr>
        <w:t>Оскільки у синтезі ендогенного L–карнітина беруть участь вітаміни B</w:t>
      </w:r>
      <w:r>
        <w:rPr>
          <w:sz w:val="28"/>
          <w:szCs w:val="28"/>
          <w:vertAlign w:val="subscript"/>
          <w:lang w:val="uk-UA"/>
        </w:rPr>
        <w:t>6</w:t>
      </w:r>
      <w:r>
        <w:rPr>
          <w:sz w:val="28"/>
          <w:szCs w:val="28"/>
          <w:lang w:val="uk-UA"/>
        </w:rPr>
        <w:t>, В</w:t>
      </w:r>
      <w:r>
        <w:rPr>
          <w:sz w:val="28"/>
          <w:szCs w:val="28"/>
          <w:vertAlign w:val="subscript"/>
          <w:lang w:val="uk-UA"/>
        </w:rPr>
        <w:t>12</w:t>
      </w:r>
      <w:r>
        <w:rPr>
          <w:sz w:val="28"/>
          <w:szCs w:val="28"/>
          <w:lang w:val="uk-UA"/>
        </w:rPr>
        <w:t xml:space="preserve"> і фолієва кислота, патогенетично обґрунтованим є призначення препаратів до складу яких входять данні речовини [263].</w:t>
      </w:r>
    </w:p>
    <w:p w:rsidR="00077303" w:rsidRDefault="00077303" w:rsidP="00E10867">
      <w:pPr>
        <w:spacing w:line="360" w:lineRule="auto"/>
        <w:ind w:firstLine="709"/>
        <w:jc w:val="both"/>
        <w:rPr>
          <w:sz w:val="28"/>
          <w:szCs w:val="28"/>
          <w:lang w:val="uk-UA"/>
        </w:rPr>
      </w:pPr>
      <w:r>
        <w:rPr>
          <w:sz w:val="28"/>
          <w:szCs w:val="28"/>
          <w:lang w:val="uk-UA"/>
        </w:rPr>
        <w:t xml:space="preserve">Враховуючи механізми виникнення і патогенетичні аспекти розвитку ГГЦ, виділяють два шляхи корекції даної патології: немедикаментозний і медикаментозний. Немедикаментозне зниження рівня ГЦ базується на корекції способу життя (раціональне харчування, відмова від алкоголю, куріння, надмірного вживання кави) і обмеження застосування лікарських засобів, які індукують ГГЦ (метотрексат, сульфасалазин, ізоніазид, гідралазин, оральні контрацептиви, імунодепресантів, L–ДОФА). </w:t>
      </w:r>
    </w:p>
    <w:p w:rsidR="00077303" w:rsidRDefault="00077303" w:rsidP="00E10867">
      <w:pPr>
        <w:spacing w:line="360" w:lineRule="auto"/>
        <w:ind w:firstLine="709"/>
        <w:jc w:val="both"/>
        <w:rPr>
          <w:sz w:val="28"/>
          <w:szCs w:val="28"/>
          <w:lang w:val="uk-UA"/>
        </w:rPr>
      </w:pPr>
      <w:r>
        <w:rPr>
          <w:sz w:val="28"/>
          <w:szCs w:val="28"/>
          <w:lang w:val="uk-UA"/>
        </w:rPr>
        <w:t>Медикаментозна корекція передбачає призначення лікарських препаратів з гіпогомоцистеїнемічної дією, які можна поділити на чотири групи [4, 18, 47]: 1) речовини, які підвищують утилізацію ГЦ шляхом реметилування, транссульфірування (вітаміни В</w:t>
      </w:r>
      <w:r>
        <w:rPr>
          <w:sz w:val="28"/>
          <w:szCs w:val="28"/>
          <w:vertAlign w:val="subscript"/>
          <w:lang w:val="uk-UA"/>
        </w:rPr>
        <w:t>9</w:t>
      </w:r>
      <w:r>
        <w:rPr>
          <w:sz w:val="28"/>
          <w:szCs w:val="28"/>
          <w:lang w:val="uk-UA"/>
        </w:rPr>
        <w:t>, В</w:t>
      </w:r>
      <w:r>
        <w:rPr>
          <w:sz w:val="28"/>
          <w:szCs w:val="28"/>
          <w:vertAlign w:val="subscript"/>
          <w:lang w:val="uk-UA"/>
        </w:rPr>
        <w:t>12</w:t>
      </w:r>
      <w:r>
        <w:rPr>
          <w:sz w:val="28"/>
          <w:szCs w:val="28"/>
          <w:lang w:val="uk-UA"/>
        </w:rPr>
        <w:t>, В</w:t>
      </w:r>
      <w:r>
        <w:rPr>
          <w:sz w:val="28"/>
          <w:szCs w:val="28"/>
          <w:vertAlign w:val="subscript"/>
          <w:lang w:val="uk-UA"/>
        </w:rPr>
        <w:t>2</w:t>
      </w:r>
      <w:r>
        <w:rPr>
          <w:sz w:val="28"/>
          <w:szCs w:val="28"/>
          <w:lang w:val="uk-UA"/>
        </w:rPr>
        <w:t xml:space="preserve">, бетаїн, S–аденозілметіонін); 2) препарати, що зменшують потребу в реакціях метилування та метильованих продуктах (холін, </w:t>
      </w:r>
      <w:r>
        <w:rPr>
          <w:sz w:val="28"/>
          <w:szCs w:val="28"/>
          <w:lang w:val="uk-UA"/>
        </w:rPr>
        <w:lastRenderedPageBreak/>
        <w:t>креатинін); 3) речовини, спрямовані на</w:t>
      </w:r>
      <w:r w:rsidRPr="00FA1BF9">
        <w:rPr>
          <w:lang w:val="uk-UA"/>
        </w:rPr>
        <w:t xml:space="preserve"> </w:t>
      </w:r>
      <w:r w:rsidRPr="00FA1BF9">
        <w:rPr>
          <w:sz w:val="28"/>
          <w:szCs w:val="28"/>
          <w:lang w:val="uk-UA"/>
        </w:rPr>
        <w:t>нейтралізацію наслідків</w:t>
      </w:r>
      <w:r>
        <w:rPr>
          <w:sz w:val="28"/>
          <w:szCs w:val="28"/>
          <w:lang w:val="uk-UA"/>
        </w:rPr>
        <w:t xml:space="preserve">, викликаних ГГЦ (антигіпоксанти, антиоксиданти, антиагреганти, донори оксиду азоту, вазопротектори); 4) комбіновані вітамінно–мікроелементні комплекси. </w:t>
      </w:r>
    </w:p>
    <w:p w:rsidR="00077303" w:rsidRDefault="00077303" w:rsidP="00E10867">
      <w:pPr>
        <w:spacing w:line="360" w:lineRule="auto"/>
        <w:ind w:firstLine="709"/>
        <w:jc w:val="both"/>
        <w:rPr>
          <w:sz w:val="28"/>
          <w:szCs w:val="28"/>
          <w:lang w:val="uk-UA"/>
        </w:rPr>
      </w:pPr>
      <w:r>
        <w:rPr>
          <w:sz w:val="28"/>
          <w:szCs w:val="28"/>
          <w:lang w:val="uk-UA"/>
        </w:rPr>
        <w:t>Найбільш часто для лікування ГГЦ використовують вітаміни В</w:t>
      </w:r>
      <w:r>
        <w:rPr>
          <w:sz w:val="28"/>
          <w:szCs w:val="28"/>
          <w:vertAlign w:val="subscript"/>
          <w:lang w:val="uk-UA"/>
        </w:rPr>
        <w:t>9</w:t>
      </w:r>
      <w:r>
        <w:rPr>
          <w:sz w:val="28"/>
          <w:szCs w:val="28"/>
          <w:lang w:val="uk-UA"/>
        </w:rPr>
        <w:t>, В</w:t>
      </w:r>
      <w:r>
        <w:rPr>
          <w:sz w:val="28"/>
          <w:szCs w:val="28"/>
          <w:vertAlign w:val="subscript"/>
          <w:lang w:val="uk-UA"/>
        </w:rPr>
        <w:t>12</w:t>
      </w:r>
      <w:r>
        <w:rPr>
          <w:sz w:val="28"/>
          <w:szCs w:val="28"/>
          <w:lang w:val="uk-UA"/>
        </w:rPr>
        <w:t>, В</w:t>
      </w:r>
      <w:r>
        <w:rPr>
          <w:sz w:val="28"/>
          <w:szCs w:val="28"/>
          <w:vertAlign w:val="subscript"/>
          <w:lang w:val="uk-UA"/>
        </w:rPr>
        <w:t>6</w:t>
      </w:r>
      <w:r>
        <w:rPr>
          <w:sz w:val="28"/>
          <w:szCs w:val="28"/>
          <w:lang w:val="uk-UA"/>
        </w:rPr>
        <w:t>, [47]. Призначення фолатів в дозі від 0,2 до 15 мг на добу викликає достовірне зниження рівня ГЦ в плазмі крові без явищ токсичності. У зарубіжних дослідження при ГГЦ доведеним є застосування комбінованих вітамінних препаратів [117, 144].</w:t>
      </w:r>
    </w:p>
    <w:p w:rsidR="00077303" w:rsidRDefault="00077303" w:rsidP="00E10867">
      <w:pPr>
        <w:spacing w:line="360" w:lineRule="auto"/>
        <w:ind w:firstLine="709"/>
        <w:jc w:val="both"/>
        <w:rPr>
          <w:sz w:val="28"/>
          <w:szCs w:val="28"/>
          <w:lang w:val="uk-UA"/>
        </w:rPr>
      </w:pPr>
      <w:r>
        <w:rPr>
          <w:sz w:val="28"/>
          <w:szCs w:val="28"/>
          <w:lang w:val="uk-UA"/>
        </w:rPr>
        <w:t xml:space="preserve">Згідно з деякими дослідженнями, обґрунтованим є застосування в комплексній терапії НАСГ у хворих на ЦД 2 типу антигіпоксантів. При пошкодженні гепатоцитів відбувається вивільнення радикалів кисню, фіброгенних медіаторів і активація запальних клітин, що призводить до розвитку тканинної гіпоксії та формуванню фіброзу печінки, який супроводжується депозиціею білків екстрацелюлярного матриксу [58, 61, </w:t>
      </w:r>
      <w:r>
        <w:rPr>
          <w:rStyle w:val="apple-style-span"/>
          <w:sz w:val="28"/>
          <w:szCs w:val="28"/>
          <w:lang w:val="uk-UA"/>
        </w:rPr>
        <w:t>250</w:t>
      </w:r>
      <w:r>
        <w:rPr>
          <w:sz w:val="28"/>
          <w:szCs w:val="28"/>
          <w:lang w:val="uk-UA"/>
        </w:rPr>
        <w:t>]. В свою чергу, гіпоксія призводить до комплексної модифікації функцій біологічних мембран. В результаті енергодефіциту, активації на його тлі фосфоліполіза і процесів ПОЛ, пошкоджуються клітинні мембрани. Розпад фосфоліпідів і інгібування їх синтезу ведуть до підвищення концентрації ненасичених жирних кислот, посиленню їх окиснення, за рахунок зниження активності антиоксидантних систем (супероксиддисмутази, каталази, глутатіонпероксидази, глутатіонредуктази), через розпад і гальмування синтезу їх білкових компонентів. В результаті розвивається «порочне коло»: недолік кисню порушує енергетичний обмін і стимулює ПОЛ, а активація вільнорадикальних процесів, пошкоджуючи мембрани мітохондрій і лізосом, посилюють енергодефіцит і викликають незворотні пошкодження і загибель клітини [58, 59]. Мітохондріальні дисфункції є базисним механізмом гіпоксії, відповідальним за зниження синтезу енергії, енергозалежних функцій і метаболізму клітини. У цьому зв’язку особливого значення набуває застосування сучасних специфічних антигіпоксантів метаболічного типу, ефекти яких направлені на відновлення активності мітохондріальних ферментних комплексів  [56, 88, 168, 232</w:t>
      </w:r>
      <w:r>
        <w:rPr>
          <w:sz w:val="28"/>
          <w:szCs w:val="28"/>
        </w:rPr>
        <w:t>]</w:t>
      </w:r>
      <w:r>
        <w:rPr>
          <w:sz w:val="28"/>
          <w:szCs w:val="28"/>
          <w:lang w:val="uk-UA"/>
        </w:rPr>
        <w:t>.</w:t>
      </w:r>
    </w:p>
    <w:p w:rsidR="00077303" w:rsidRDefault="00077303" w:rsidP="00E10867">
      <w:pPr>
        <w:spacing w:line="360" w:lineRule="auto"/>
        <w:ind w:firstLine="709"/>
        <w:jc w:val="both"/>
        <w:rPr>
          <w:sz w:val="28"/>
          <w:szCs w:val="28"/>
          <w:lang w:val="uk-UA"/>
        </w:rPr>
      </w:pPr>
      <w:r>
        <w:rPr>
          <w:sz w:val="28"/>
          <w:szCs w:val="28"/>
          <w:lang w:val="uk-UA"/>
        </w:rPr>
        <w:t xml:space="preserve">Одним з перспективних напрямків лікування є застосування комбінованих гепатопротекторів, здатних впливати на різні ланки патогенезу захворювання. Цим </w:t>
      </w:r>
      <w:r>
        <w:rPr>
          <w:sz w:val="28"/>
          <w:szCs w:val="28"/>
          <w:lang w:val="uk-UA"/>
        </w:rPr>
        <w:lastRenderedPageBreak/>
        <w:t>вимогам відповідає препарат L–карнітину, який містить у своєму складі карнітину оротат, антитоксичну фракцію екстракту печінки, вітаміни В</w:t>
      </w:r>
      <w:r>
        <w:rPr>
          <w:sz w:val="28"/>
          <w:szCs w:val="28"/>
          <w:vertAlign w:val="subscript"/>
          <w:lang w:val="uk-UA"/>
        </w:rPr>
        <w:t>2</w:t>
      </w:r>
      <w:r>
        <w:rPr>
          <w:sz w:val="28"/>
          <w:szCs w:val="28"/>
          <w:lang w:val="uk-UA"/>
        </w:rPr>
        <w:t>, В</w:t>
      </w:r>
      <w:r>
        <w:rPr>
          <w:sz w:val="28"/>
          <w:szCs w:val="28"/>
          <w:vertAlign w:val="subscript"/>
          <w:lang w:val="uk-UA"/>
        </w:rPr>
        <w:t>6</w:t>
      </w:r>
      <w:r>
        <w:rPr>
          <w:sz w:val="28"/>
          <w:szCs w:val="28"/>
          <w:lang w:val="uk-UA"/>
        </w:rPr>
        <w:t>, В</w:t>
      </w:r>
      <w:r>
        <w:rPr>
          <w:sz w:val="28"/>
          <w:szCs w:val="28"/>
          <w:vertAlign w:val="subscript"/>
          <w:lang w:val="uk-UA"/>
        </w:rPr>
        <w:t>12</w:t>
      </w:r>
      <w:r>
        <w:rPr>
          <w:sz w:val="28"/>
          <w:szCs w:val="28"/>
          <w:lang w:val="uk-UA"/>
        </w:rPr>
        <w:t xml:space="preserve">, аденін. </w:t>
      </w:r>
    </w:p>
    <w:p w:rsidR="00077303" w:rsidRDefault="00077303" w:rsidP="00E10867">
      <w:pPr>
        <w:spacing w:line="360" w:lineRule="auto"/>
        <w:ind w:firstLine="709"/>
        <w:jc w:val="both"/>
        <w:rPr>
          <w:sz w:val="28"/>
          <w:szCs w:val="28"/>
          <w:lang w:val="uk-UA"/>
        </w:rPr>
      </w:pPr>
      <w:r>
        <w:rPr>
          <w:sz w:val="28"/>
          <w:szCs w:val="28"/>
          <w:lang w:val="uk-UA"/>
        </w:rPr>
        <w:t>За рахунок L–карнітину, зменшується жирова інфільтрація печінкової тканини, завдяки розщепленню довголанцюжкових жирних кислот і посиленню транспорту тригліцеридів з печінки, зменшується вироблення прозапальних цитокінів, нормалізуються окислювально–відновні процеси в мітохондріях, посилюється регенеративна і проліферативна дія на гепатоцити [168, 169, 207]. Антитоксична фракція екстракту печінки містить комплекс амінокислот, пептидів і антиоксидантів, які надають детоксикаційний ефект, нейтралізують дію ендо– та екзотоксинів, посилюють аутодетоксікаційні властивості гепатоцитів. Вітаміни групи В активують вуглеводний і ліпідний обмін, беруть участь в регуляції обміну ГЦ, метіоніну, холіну, креатиніну і нуклеїнових кислот. Крім того, препарат містить аденін, що входить до складу ДНК і РНК, і бере участь в синтезі АТФ.</w:t>
      </w:r>
    </w:p>
    <w:p w:rsidR="00077303" w:rsidRDefault="00077303" w:rsidP="00E10867">
      <w:pPr>
        <w:spacing w:line="360" w:lineRule="auto"/>
        <w:ind w:firstLine="709"/>
        <w:jc w:val="both"/>
        <w:rPr>
          <w:sz w:val="28"/>
          <w:szCs w:val="28"/>
          <w:lang w:val="uk-UA"/>
        </w:rPr>
      </w:pPr>
      <w:r>
        <w:rPr>
          <w:sz w:val="28"/>
          <w:szCs w:val="28"/>
          <w:lang w:val="uk-UA"/>
        </w:rPr>
        <w:t>Відчізняні дослідження довели сприятливу дію L–карнітину у хворих на НАСГ в поєднанні з гіпертонічною хворобою на клініко–біохімічні показникі функціонального стану печінки, артеріального тиску, ліпідного і енергетичного обміну, вмісту ГЦ сироватки крові, показникі ендотеліальної дисфункції [72].</w:t>
      </w:r>
    </w:p>
    <w:p w:rsidR="00077303" w:rsidRDefault="00077303" w:rsidP="00E10867">
      <w:pPr>
        <w:spacing w:line="360" w:lineRule="auto"/>
        <w:ind w:firstLine="709"/>
        <w:jc w:val="both"/>
        <w:rPr>
          <w:sz w:val="28"/>
          <w:szCs w:val="28"/>
          <w:lang w:val="uk-UA"/>
        </w:rPr>
      </w:pPr>
      <w:r>
        <w:rPr>
          <w:sz w:val="28"/>
          <w:szCs w:val="28"/>
          <w:lang w:val="uk-UA"/>
        </w:rPr>
        <w:t xml:space="preserve">В якості антигіпоксанта з доведеною дією на печінкову тканину, використовують препарат </w:t>
      </w:r>
      <w:r>
        <w:rPr>
          <w:sz w:val="28"/>
          <w:szCs w:val="28"/>
          <w:shd w:val="clear" w:color="auto" w:fill="FFFFFF"/>
          <w:lang w:val="uk-UA"/>
        </w:rPr>
        <w:t>депротеїнізованого</w:t>
      </w:r>
      <w:r>
        <w:rPr>
          <w:rFonts w:ascii="Tahoma" w:hAnsi="Tahoma" w:cs="Tahoma"/>
          <w:color w:val="000000"/>
          <w:sz w:val="13"/>
          <w:szCs w:val="13"/>
          <w:shd w:val="clear" w:color="auto" w:fill="FFFFFF"/>
          <w:lang w:val="uk-UA"/>
        </w:rPr>
        <w:t xml:space="preserve"> </w:t>
      </w:r>
      <w:r>
        <w:rPr>
          <w:sz w:val="28"/>
          <w:szCs w:val="28"/>
          <w:shd w:val="clear" w:color="auto" w:fill="FFFFFF"/>
          <w:lang w:val="uk-UA"/>
        </w:rPr>
        <w:t>гемодеривату крові телят (актовегін)</w:t>
      </w:r>
      <w:r>
        <w:rPr>
          <w:sz w:val="28"/>
          <w:szCs w:val="28"/>
          <w:lang w:val="uk-UA"/>
        </w:rPr>
        <w:t xml:space="preserve"> </w:t>
      </w:r>
      <w:r>
        <w:rPr>
          <w:sz w:val="28"/>
          <w:szCs w:val="28"/>
        </w:rPr>
        <w:t>[</w:t>
      </w:r>
      <w:r>
        <w:rPr>
          <w:sz w:val="28"/>
          <w:szCs w:val="28"/>
          <w:lang w:val="uk-UA"/>
        </w:rPr>
        <w:t>57</w:t>
      </w:r>
      <w:r>
        <w:rPr>
          <w:lang w:val="uk-UA"/>
        </w:rPr>
        <w:t>]</w:t>
      </w:r>
      <w:r>
        <w:rPr>
          <w:sz w:val="28"/>
          <w:szCs w:val="28"/>
          <w:lang w:val="uk-UA"/>
        </w:rPr>
        <w:t xml:space="preserve">. Доведеною є інсуліноподібна дія  актовегіна на ізольовані жирові клітини. Причому антитіла проти інсуліну не приводять до гальмування цього ефекту і не порушують транспорт глюкози. Активна фракція препарату підвищує транспорт глюкози в залежності від дози – до п’ятикратного збільшення, а не в 10 разів у порівнянні з інсуліном, що свідчить про відмінне від інсулінового механізму дії актовегіна. Гліколіпідна фракція актовегіна містить інозітолфосфоолігосахариди і викликає пряму активацію переносників, які розташовані в мембрані і не знаходяться в стані інсулінової активності [58, 266]. </w:t>
      </w:r>
    </w:p>
    <w:p w:rsidR="00077303" w:rsidRDefault="00077303" w:rsidP="00E10867">
      <w:pPr>
        <w:spacing w:line="360" w:lineRule="auto"/>
        <w:ind w:firstLine="709"/>
        <w:jc w:val="both"/>
        <w:rPr>
          <w:sz w:val="28"/>
          <w:szCs w:val="28"/>
          <w:lang w:val="uk-UA"/>
        </w:rPr>
      </w:pPr>
      <w:r>
        <w:rPr>
          <w:sz w:val="28"/>
          <w:szCs w:val="28"/>
          <w:lang w:val="uk-UA"/>
        </w:rPr>
        <w:t xml:space="preserve">Максимально виражений ефект препарату проявляється в умовах кисневої недостатності, коли актовегін збільшує надходження глюкози в клітину, посилюючи </w:t>
      </w:r>
      <w:r>
        <w:rPr>
          <w:sz w:val="28"/>
          <w:szCs w:val="28"/>
          <w:lang w:val="uk-UA"/>
        </w:rPr>
        <w:lastRenderedPageBreak/>
        <w:t>її окиснення за рахунок активації ферментів окисного фосфорилювання, внаслідок чого поліпшується енергетичне забезпечення клітин в умовах гіпоксії [242].</w:t>
      </w:r>
    </w:p>
    <w:p w:rsidR="00077303" w:rsidRDefault="00077303" w:rsidP="00E10867">
      <w:pPr>
        <w:spacing w:line="360" w:lineRule="auto"/>
        <w:ind w:firstLine="709"/>
        <w:jc w:val="both"/>
        <w:rPr>
          <w:sz w:val="28"/>
          <w:szCs w:val="28"/>
          <w:lang w:val="uk-UA"/>
        </w:rPr>
      </w:pPr>
      <w:r>
        <w:rPr>
          <w:sz w:val="28"/>
          <w:szCs w:val="28"/>
          <w:lang w:val="uk-UA"/>
        </w:rPr>
        <w:t>Окремою проблемою сучасної гастроентерології стоїть лікування НАСГ у хворих ЦД 2 типу. Ураховуючи багатогранність метаболічних порушень при ЦД 2 типу, провідну роль печінки та м’язової системи в підтримці нормального вмісту глюкози та ліпідів у крові, призначення традиційної терапії, спрямованої переважно на зниження рівня глюкози в крові, недостатньо для досягнення цільових показників метаболізму. Окремі дослідження доводять ефективність комплексного гепатопротектора, який містить L–карнітин, у хворих на НАСГ у поєднанні з ЦД 2 типу, що сприяло зменшенню маси тіла, поліпшенню клініко–біохімічних показників функціонального стану печінки, вмісту глюкози в крові натще та після навантаження, рівня глікозильованого гемоглобіну, ліпідного спектра, вмісту ГЦ в крові, екскреції мікроальбумінів із сечею [42].</w:t>
      </w:r>
    </w:p>
    <w:p w:rsidR="00077303" w:rsidRDefault="00077303" w:rsidP="00E10867">
      <w:pPr>
        <w:spacing w:line="360" w:lineRule="auto"/>
        <w:ind w:firstLine="709"/>
        <w:jc w:val="both"/>
        <w:rPr>
          <w:sz w:val="28"/>
          <w:szCs w:val="28"/>
          <w:lang w:val="uk-UA"/>
        </w:rPr>
      </w:pPr>
      <w:r>
        <w:rPr>
          <w:sz w:val="28"/>
          <w:szCs w:val="28"/>
          <w:lang w:val="uk-UA"/>
        </w:rPr>
        <w:t>Таким чином, з огляду на літературні данні, що свідчать про зростання кількості пацієнтів НАСГ із ЦД 2 типу, значні досягнення у вивченні механізмів розвитку і прогресування НАСГ, сьогодні не розроблено ефективних підходів до гальмування цих процесів. Вважаємо, що розкриття ролі L–карнітина, ГЦ та асоційованих з ними метаболічних порушень в розвитку НАСГ на тлі ЦД 2 типу та розробка підходів до їх корекції становить значний науковий інтерес і є актуальною проблемою сучасної гастроентерології.</w:t>
      </w: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tabs>
          <w:tab w:val="left" w:pos="8220"/>
        </w:tabs>
        <w:spacing w:line="360" w:lineRule="auto"/>
        <w:rPr>
          <w:sz w:val="28"/>
          <w:szCs w:val="28"/>
          <w:lang w:val="uk-UA"/>
        </w:rPr>
      </w:pPr>
      <w:r>
        <w:rPr>
          <w:sz w:val="28"/>
          <w:szCs w:val="28"/>
          <w:lang w:val="uk-UA"/>
        </w:rPr>
        <w:tab/>
      </w: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BF0AD1">
      <w:pPr>
        <w:spacing w:line="360" w:lineRule="auto"/>
        <w:rPr>
          <w:sz w:val="28"/>
          <w:szCs w:val="28"/>
          <w:lang w:val="uk-UA"/>
        </w:rPr>
      </w:pPr>
    </w:p>
    <w:p w:rsidR="00077303" w:rsidRDefault="00077303" w:rsidP="00BF0AD1">
      <w:pPr>
        <w:spacing w:line="360" w:lineRule="auto"/>
        <w:rPr>
          <w:sz w:val="28"/>
          <w:szCs w:val="28"/>
          <w:lang w:val="uk-UA"/>
        </w:rPr>
      </w:pPr>
    </w:p>
    <w:p w:rsidR="00077303" w:rsidRDefault="00077303" w:rsidP="00E10867">
      <w:pPr>
        <w:spacing w:line="360" w:lineRule="auto"/>
        <w:rPr>
          <w:sz w:val="28"/>
          <w:szCs w:val="28"/>
          <w:lang w:val="uk-UA"/>
        </w:rPr>
      </w:pPr>
    </w:p>
    <w:p w:rsidR="00077303" w:rsidRPr="00082DFB" w:rsidRDefault="00077303" w:rsidP="00E10867">
      <w:pPr>
        <w:spacing w:line="360" w:lineRule="auto"/>
        <w:jc w:val="center"/>
        <w:rPr>
          <w:b/>
          <w:sz w:val="28"/>
          <w:szCs w:val="28"/>
          <w:lang w:val="uk-UA"/>
        </w:rPr>
      </w:pPr>
      <w:r w:rsidRPr="00082DFB">
        <w:rPr>
          <w:b/>
          <w:sz w:val="28"/>
          <w:szCs w:val="28"/>
          <w:lang w:val="uk-UA"/>
        </w:rPr>
        <w:lastRenderedPageBreak/>
        <w:t xml:space="preserve">РОЗДІЛ 2 </w:t>
      </w:r>
    </w:p>
    <w:p w:rsidR="00077303" w:rsidRPr="00082DFB" w:rsidRDefault="00077303" w:rsidP="00E10867">
      <w:pPr>
        <w:spacing w:line="360" w:lineRule="auto"/>
        <w:jc w:val="center"/>
        <w:rPr>
          <w:b/>
          <w:sz w:val="28"/>
          <w:szCs w:val="28"/>
          <w:lang w:val="uk-UA"/>
        </w:rPr>
      </w:pPr>
      <w:r w:rsidRPr="00082DFB">
        <w:rPr>
          <w:b/>
          <w:sz w:val="28"/>
          <w:szCs w:val="28"/>
          <w:lang w:val="uk-UA"/>
        </w:rPr>
        <w:t>МАТЕРІАЛИ ТА МЕТОДИ ДОСЛІДЖЕННЯ</w:t>
      </w:r>
    </w:p>
    <w:p w:rsidR="00077303" w:rsidRPr="00082DFB" w:rsidRDefault="00077303" w:rsidP="00E10867">
      <w:pPr>
        <w:spacing w:line="360" w:lineRule="auto"/>
        <w:ind w:firstLine="709"/>
        <w:jc w:val="both"/>
        <w:rPr>
          <w:b/>
          <w:sz w:val="28"/>
          <w:szCs w:val="28"/>
        </w:rPr>
      </w:pPr>
      <w:r w:rsidRPr="00082DFB">
        <w:rPr>
          <w:b/>
          <w:sz w:val="28"/>
          <w:szCs w:val="28"/>
        </w:rPr>
        <w:t>2.1.</w:t>
      </w:r>
      <w:r w:rsidRPr="00082DFB">
        <w:rPr>
          <w:b/>
          <w:sz w:val="28"/>
          <w:szCs w:val="28"/>
          <w:lang w:val="uk-UA"/>
        </w:rPr>
        <w:t>Характеристика</w:t>
      </w:r>
      <w:r w:rsidRPr="00082DFB">
        <w:rPr>
          <w:b/>
          <w:sz w:val="28"/>
          <w:szCs w:val="28"/>
        </w:rPr>
        <w:t xml:space="preserve"> хворих, які обстежені та осіб контрольної групи. </w:t>
      </w:r>
    </w:p>
    <w:p w:rsidR="00077303" w:rsidRDefault="00077303" w:rsidP="00E10867">
      <w:pPr>
        <w:spacing w:line="360" w:lineRule="auto"/>
        <w:ind w:firstLine="709"/>
        <w:jc w:val="both"/>
        <w:rPr>
          <w:sz w:val="28"/>
          <w:szCs w:val="28"/>
          <w:lang w:val="uk-UA"/>
        </w:rPr>
      </w:pPr>
      <w:r>
        <w:rPr>
          <w:sz w:val="28"/>
          <w:szCs w:val="28"/>
          <w:lang w:val="uk-UA"/>
        </w:rPr>
        <w:t>Для досягнення мети і вирішення поставлених задач, за період з 2012 по 2014 рік нами було обстежено 117 хворих. У 105 хворих було зафіксовано карнітинову недостатність. Ці пацієнти були поділені на дві групи: 65 хворих на НАСГ в поєднанні з ЦД 2 типа (1 група) та 40 хворих на НАСГ (2 група). Контрольну групу склали 20 практично здорових осіб. Верифікація патологічних станів та соматичної патології здійснювалась згідно з класифікацією МКХ–10. В дослідження не включались особи, які вживали алкоголь та гепатотоксичні речовини або мали ознаки вірусного, автоімунного чи токсичного ураження печінки. Обстеження були виконані згідно міжнародних стандартів етичної складової досліджень та взяття біоматеріалу.</w:t>
      </w:r>
    </w:p>
    <w:p w:rsidR="00077303" w:rsidRDefault="00077303" w:rsidP="00E10867">
      <w:pPr>
        <w:spacing w:line="360" w:lineRule="auto"/>
        <w:ind w:firstLine="709"/>
        <w:jc w:val="both"/>
        <w:rPr>
          <w:sz w:val="28"/>
          <w:szCs w:val="28"/>
          <w:lang w:val="uk-UA"/>
        </w:rPr>
      </w:pPr>
      <w:r>
        <w:rPr>
          <w:sz w:val="28"/>
          <w:szCs w:val="28"/>
          <w:lang w:val="uk-UA"/>
        </w:rPr>
        <w:t xml:space="preserve">Всі обстежені хворі не мали супутньої патології шлунково–кишкового тракту, а також захворювань з боку інших органів і систем, що могли б вплинути на результати обстеження. </w:t>
      </w:r>
    </w:p>
    <w:p w:rsidR="00077303" w:rsidRDefault="00077303" w:rsidP="00E10867">
      <w:pPr>
        <w:spacing w:line="360" w:lineRule="auto"/>
        <w:ind w:firstLine="709"/>
        <w:jc w:val="both"/>
        <w:rPr>
          <w:sz w:val="28"/>
          <w:szCs w:val="28"/>
        </w:rPr>
      </w:pPr>
      <w:r>
        <w:rPr>
          <w:sz w:val="28"/>
          <w:szCs w:val="28"/>
          <w:lang w:val="uk-UA"/>
        </w:rPr>
        <w:t>Хворі 1 групи для контролю глікемії отримували інсулін та мали компенсацію вуглеводного обміну (глікозильований HbA1с не перевищував 9%) [</w:t>
      </w:r>
      <w:r>
        <w:rPr>
          <w:sz w:val="28"/>
          <w:szCs w:val="28"/>
        </w:rPr>
        <w:t>124</w:t>
      </w:r>
      <w:r>
        <w:rPr>
          <w:sz w:val="28"/>
          <w:szCs w:val="28"/>
          <w:lang w:val="uk-UA"/>
        </w:rPr>
        <w:t>].</w:t>
      </w:r>
    </w:p>
    <w:p w:rsidR="00077303" w:rsidRDefault="00077303" w:rsidP="00E10867">
      <w:pPr>
        <w:spacing w:line="360" w:lineRule="auto"/>
        <w:ind w:firstLine="709"/>
        <w:jc w:val="both"/>
        <w:rPr>
          <w:sz w:val="28"/>
          <w:szCs w:val="28"/>
        </w:rPr>
      </w:pPr>
    </w:p>
    <w:p w:rsidR="00077303" w:rsidRPr="00082DFB" w:rsidRDefault="00077303" w:rsidP="00E10867">
      <w:pPr>
        <w:spacing w:line="360" w:lineRule="auto"/>
        <w:ind w:firstLine="709"/>
        <w:jc w:val="both"/>
        <w:rPr>
          <w:b/>
          <w:lang w:val="uk-UA"/>
        </w:rPr>
      </w:pPr>
      <w:r w:rsidRPr="00082DFB">
        <w:rPr>
          <w:b/>
          <w:sz w:val="28"/>
          <w:szCs w:val="28"/>
          <w:lang w:val="uk-UA"/>
        </w:rPr>
        <w:t>2.2.Клінічна характеристика</w:t>
      </w:r>
      <w:r w:rsidRPr="00082DFB">
        <w:rPr>
          <w:b/>
          <w:sz w:val="28"/>
          <w:szCs w:val="28"/>
        </w:rPr>
        <w:t xml:space="preserve"> хворих, які </w:t>
      </w:r>
      <w:r w:rsidRPr="00E10867">
        <w:rPr>
          <w:b/>
          <w:sz w:val="28"/>
          <w:szCs w:val="28"/>
          <w:lang w:val="uk-UA"/>
        </w:rPr>
        <w:t>обстежені</w:t>
      </w:r>
      <w:r w:rsidRPr="00082DFB">
        <w:rPr>
          <w:b/>
          <w:sz w:val="28"/>
          <w:szCs w:val="28"/>
        </w:rPr>
        <w:t xml:space="preserve"> та осіб контрольної групи.</w:t>
      </w:r>
    </w:p>
    <w:p w:rsidR="00077303" w:rsidRPr="00943A81" w:rsidRDefault="00077303" w:rsidP="00E10867">
      <w:pPr>
        <w:spacing w:line="360" w:lineRule="auto"/>
        <w:ind w:firstLine="709"/>
        <w:jc w:val="both"/>
        <w:rPr>
          <w:sz w:val="28"/>
          <w:szCs w:val="28"/>
        </w:rPr>
      </w:pPr>
      <w:r>
        <w:rPr>
          <w:sz w:val="28"/>
          <w:szCs w:val="28"/>
          <w:lang w:val="uk-UA"/>
        </w:rPr>
        <w:t xml:space="preserve">Середній вік обстежених хворих  склав 47,88 ± 11,48 роки. В 1 групі чоловіків було 29 (44,6 %), жінок – 36 (55,4 %). В 2 групі чоловіків було 18 (45 %), жінок – 22 (55 %). Віковий та статевий розподіл хворих наведено в табл. 2.2.1. </w:t>
      </w:r>
    </w:p>
    <w:p w:rsidR="00077303" w:rsidRDefault="00077303" w:rsidP="00E10867">
      <w:pPr>
        <w:spacing w:line="360" w:lineRule="auto"/>
        <w:ind w:firstLine="709"/>
        <w:jc w:val="both"/>
        <w:rPr>
          <w:sz w:val="28"/>
          <w:szCs w:val="28"/>
          <w:lang w:val="uk-UA"/>
        </w:rPr>
      </w:pPr>
      <w:r>
        <w:rPr>
          <w:sz w:val="28"/>
          <w:szCs w:val="28"/>
          <w:lang w:val="uk-UA"/>
        </w:rPr>
        <w:t>В 1 групі 20 (30,8 %) хворих мали вік від 50 до 59 років, від 40 до 49 років – 18 (27,7 %) хворих, у вікових групах від 30 до 39 років та від 60 до 67 років було по 11 (16,9 %) хворих, від 20 до 29 років – 5 (7,7 %) хворих.</w:t>
      </w:r>
    </w:p>
    <w:p w:rsidR="00077303" w:rsidRDefault="00077303" w:rsidP="00E10867">
      <w:pPr>
        <w:spacing w:line="360" w:lineRule="auto"/>
        <w:ind w:firstLine="709"/>
        <w:jc w:val="both"/>
        <w:rPr>
          <w:sz w:val="28"/>
          <w:szCs w:val="28"/>
          <w:lang w:val="uk-UA"/>
        </w:rPr>
      </w:pPr>
      <w:r>
        <w:rPr>
          <w:sz w:val="28"/>
          <w:szCs w:val="28"/>
          <w:lang w:val="uk-UA"/>
        </w:rPr>
        <w:t>У 2 групі 13 (32,5 %) хворих мали вік від 50 до 59 років, від 40 до 49 років – 11 (27,5 %) хворих, у віковій групі від 60 до 67 років було 7 (17,5 %) хворих, від 30 до 39 років – 5 (12,5 %) пацієнтів та від 23 до 29 років – 4 (10 %) хворих.</w:t>
      </w:r>
    </w:p>
    <w:p w:rsidR="00077303" w:rsidRDefault="00077303" w:rsidP="00E10867">
      <w:pPr>
        <w:spacing w:line="360" w:lineRule="auto"/>
        <w:ind w:firstLine="709"/>
        <w:jc w:val="right"/>
        <w:rPr>
          <w:sz w:val="28"/>
          <w:szCs w:val="28"/>
          <w:lang w:val="uk-UA"/>
        </w:rPr>
      </w:pPr>
      <w:r>
        <w:rPr>
          <w:sz w:val="28"/>
          <w:szCs w:val="28"/>
          <w:lang w:val="uk-UA"/>
        </w:rPr>
        <w:lastRenderedPageBreak/>
        <w:t>Таблиця 2.2.1</w:t>
      </w:r>
    </w:p>
    <w:p w:rsidR="00077303" w:rsidRDefault="00077303" w:rsidP="00E10867">
      <w:pPr>
        <w:spacing w:line="360" w:lineRule="auto"/>
        <w:ind w:firstLine="709"/>
        <w:jc w:val="center"/>
        <w:rPr>
          <w:sz w:val="28"/>
          <w:szCs w:val="28"/>
          <w:lang w:val="uk-UA"/>
        </w:rPr>
      </w:pPr>
      <w:r>
        <w:rPr>
          <w:sz w:val="28"/>
          <w:szCs w:val="28"/>
          <w:lang w:val="uk-UA"/>
        </w:rPr>
        <w:t>Розподіл хворих 1 та 2 груп за статтю і віком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5"/>
        <w:gridCol w:w="1480"/>
        <w:gridCol w:w="1532"/>
        <w:gridCol w:w="1480"/>
        <w:gridCol w:w="1482"/>
        <w:gridCol w:w="1482"/>
        <w:gridCol w:w="1480"/>
      </w:tblGrid>
      <w:tr w:rsidR="00077303" w:rsidTr="00E10867">
        <w:trPr>
          <w:trHeight w:val="380"/>
        </w:trPr>
        <w:tc>
          <w:tcPr>
            <w:tcW w:w="713" w:type="pct"/>
            <w:vMerge w:val="restart"/>
            <w:vAlign w:val="center"/>
          </w:tcPr>
          <w:p w:rsidR="00077303" w:rsidRDefault="00077303" w:rsidP="00E10867">
            <w:pPr>
              <w:spacing w:line="360" w:lineRule="auto"/>
              <w:jc w:val="center"/>
              <w:rPr>
                <w:sz w:val="28"/>
                <w:szCs w:val="28"/>
                <w:lang w:val="uk-UA"/>
              </w:rPr>
            </w:pPr>
            <w:r>
              <w:rPr>
                <w:sz w:val="28"/>
                <w:szCs w:val="28"/>
                <w:lang w:val="uk-UA"/>
              </w:rPr>
              <w:t>Вік</w:t>
            </w:r>
          </w:p>
        </w:tc>
        <w:tc>
          <w:tcPr>
            <w:tcW w:w="2155" w:type="pct"/>
            <w:gridSpan w:val="3"/>
            <w:vAlign w:val="center"/>
          </w:tcPr>
          <w:p w:rsidR="00077303" w:rsidRDefault="00077303" w:rsidP="00E10867">
            <w:pPr>
              <w:spacing w:line="360" w:lineRule="auto"/>
              <w:jc w:val="center"/>
              <w:rPr>
                <w:sz w:val="28"/>
                <w:szCs w:val="28"/>
                <w:lang w:val="uk-UA"/>
              </w:rPr>
            </w:pPr>
            <w:r>
              <w:rPr>
                <w:sz w:val="28"/>
                <w:szCs w:val="28"/>
                <w:lang w:val="uk-UA"/>
              </w:rPr>
              <w:t>1 група</w:t>
            </w:r>
          </w:p>
        </w:tc>
        <w:tc>
          <w:tcPr>
            <w:tcW w:w="2132" w:type="pct"/>
            <w:gridSpan w:val="3"/>
          </w:tcPr>
          <w:p w:rsidR="00077303" w:rsidRDefault="00077303" w:rsidP="00E10867">
            <w:pPr>
              <w:spacing w:line="360" w:lineRule="auto"/>
              <w:jc w:val="center"/>
              <w:rPr>
                <w:sz w:val="28"/>
                <w:szCs w:val="28"/>
                <w:lang w:val="uk-UA"/>
              </w:rPr>
            </w:pPr>
            <w:r>
              <w:rPr>
                <w:sz w:val="28"/>
                <w:szCs w:val="28"/>
                <w:lang w:val="uk-UA"/>
              </w:rPr>
              <w:t>2 група</w:t>
            </w:r>
          </w:p>
        </w:tc>
      </w:tr>
      <w:tr w:rsidR="00077303" w:rsidTr="00E10867">
        <w:trPr>
          <w:trHeight w:val="576"/>
        </w:trPr>
        <w:tc>
          <w:tcPr>
            <w:tcW w:w="0" w:type="auto"/>
            <w:vMerge/>
            <w:vAlign w:val="center"/>
          </w:tcPr>
          <w:p w:rsidR="00077303" w:rsidRDefault="00077303" w:rsidP="00E10867">
            <w:pPr>
              <w:rPr>
                <w:sz w:val="28"/>
                <w:szCs w:val="28"/>
                <w:lang w:val="uk-UA"/>
              </w:rPr>
            </w:pPr>
          </w:p>
        </w:tc>
        <w:tc>
          <w:tcPr>
            <w:tcW w:w="710" w:type="pct"/>
            <w:vAlign w:val="center"/>
          </w:tcPr>
          <w:p w:rsidR="00077303" w:rsidRDefault="00077303" w:rsidP="00E10867">
            <w:pPr>
              <w:spacing w:line="360" w:lineRule="auto"/>
              <w:jc w:val="center"/>
              <w:rPr>
                <w:sz w:val="28"/>
                <w:szCs w:val="28"/>
                <w:lang w:val="uk-UA"/>
              </w:rPr>
            </w:pPr>
            <w:r>
              <w:rPr>
                <w:sz w:val="28"/>
                <w:szCs w:val="28"/>
                <w:lang w:val="uk-UA"/>
              </w:rPr>
              <w:t>Чоловіки</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Жінки</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Разом, n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Чоловіки</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Жінки</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Разом, n (%)</w:t>
            </w:r>
          </w:p>
        </w:tc>
      </w:tr>
      <w:tr w:rsidR="00077303" w:rsidTr="00E10867">
        <w:tc>
          <w:tcPr>
            <w:tcW w:w="713" w:type="pct"/>
            <w:vAlign w:val="center"/>
          </w:tcPr>
          <w:p w:rsidR="00077303" w:rsidRDefault="00077303" w:rsidP="00E10867">
            <w:pPr>
              <w:spacing w:line="360" w:lineRule="auto"/>
              <w:jc w:val="center"/>
              <w:rPr>
                <w:sz w:val="28"/>
                <w:szCs w:val="28"/>
                <w:lang w:val="uk-UA"/>
              </w:rPr>
            </w:pPr>
            <w:r>
              <w:rPr>
                <w:sz w:val="28"/>
                <w:szCs w:val="28"/>
                <w:lang w:val="uk-UA"/>
              </w:rPr>
              <w:t>23–29 років</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3 (4,6 %)</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2 (3,1 %)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5 (7,7 %)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1</w:t>
            </w:r>
          </w:p>
          <w:p w:rsidR="00077303" w:rsidRDefault="00077303" w:rsidP="00E10867">
            <w:pPr>
              <w:spacing w:line="360" w:lineRule="auto"/>
              <w:jc w:val="center"/>
              <w:rPr>
                <w:sz w:val="28"/>
                <w:szCs w:val="28"/>
                <w:lang w:val="uk-UA"/>
              </w:rPr>
            </w:pPr>
            <w:r>
              <w:rPr>
                <w:sz w:val="28"/>
                <w:szCs w:val="28"/>
                <w:lang w:val="uk-UA"/>
              </w:rPr>
              <w:t xml:space="preserve"> (2,5 %)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3 (7,5 %)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4 (10 %)</w:t>
            </w:r>
          </w:p>
        </w:tc>
      </w:tr>
      <w:tr w:rsidR="00077303" w:rsidTr="00E10867">
        <w:tc>
          <w:tcPr>
            <w:tcW w:w="713" w:type="pct"/>
            <w:vAlign w:val="center"/>
          </w:tcPr>
          <w:p w:rsidR="00077303" w:rsidRDefault="00077303" w:rsidP="00E10867">
            <w:pPr>
              <w:spacing w:line="360" w:lineRule="auto"/>
              <w:jc w:val="center"/>
              <w:rPr>
                <w:sz w:val="28"/>
                <w:szCs w:val="28"/>
                <w:lang w:val="uk-UA"/>
              </w:rPr>
            </w:pPr>
            <w:r>
              <w:rPr>
                <w:sz w:val="28"/>
                <w:szCs w:val="28"/>
                <w:lang w:val="uk-UA"/>
              </w:rPr>
              <w:t>30–39 років</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4 (6,1 %)</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7 (10,8 %)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11</w:t>
            </w:r>
          </w:p>
          <w:p w:rsidR="00077303" w:rsidRDefault="00077303" w:rsidP="00E10867">
            <w:pPr>
              <w:spacing w:line="360" w:lineRule="auto"/>
              <w:jc w:val="center"/>
              <w:rPr>
                <w:sz w:val="28"/>
                <w:szCs w:val="28"/>
                <w:lang w:val="uk-UA"/>
              </w:rPr>
            </w:pPr>
            <w:r>
              <w:rPr>
                <w:sz w:val="28"/>
                <w:szCs w:val="28"/>
                <w:lang w:val="uk-UA"/>
              </w:rPr>
              <w:t xml:space="preserve"> (16,9 %)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3 </w:t>
            </w:r>
          </w:p>
          <w:p w:rsidR="00077303" w:rsidRDefault="00077303" w:rsidP="00E10867">
            <w:pPr>
              <w:spacing w:line="360" w:lineRule="auto"/>
              <w:jc w:val="center"/>
              <w:rPr>
                <w:sz w:val="28"/>
                <w:szCs w:val="28"/>
                <w:lang w:val="uk-UA"/>
              </w:rPr>
            </w:pPr>
            <w:r>
              <w:rPr>
                <w:sz w:val="28"/>
                <w:szCs w:val="28"/>
                <w:lang w:val="uk-UA"/>
              </w:rPr>
              <w:t>(7,5 %)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2 (5 %)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5 </w:t>
            </w:r>
          </w:p>
          <w:p w:rsidR="00077303" w:rsidRDefault="00077303" w:rsidP="00E10867">
            <w:pPr>
              <w:spacing w:line="360" w:lineRule="auto"/>
              <w:jc w:val="center"/>
              <w:rPr>
                <w:sz w:val="28"/>
                <w:szCs w:val="28"/>
                <w:lang w:val="uk-UA"/>
              </w:rPr>
            </w:pPr>
            <w:r>
              <w:rPr>
                <w:sz w:val="28"/>
                <w:szCs w:val="28"/>
                <w:lang w:val="uk-UA"/>
              </w:rPr>
              <w:t>(12,5 %)</w:t>
            </w:r>
          </w:p>
        </w:tc>
      </w:tr>
      <w:tr w:rsidR="00077303" w:rsidTr="00E10867">
        <w:tc>
          <w:tcPr>
            <w:tcW w:w="713" w:type="pct"/>
            <w:vAlign w:val="center"/>
          </w:tcPr>
          <w:p w:rsidR="00077303" w:rsidRDefault="00077303" w:rsidP="00E10867">
            <w:pPr>
              <w:spacing w:line="360" w:lineRule="auto"/>
              <w:jc w:val="center"/>
              <w:rPr>
                <w:sz w:val="28"/>
                <w:szCs w:val="28"/>
                <w:lang w:val="uk-UA"/>
              </w:rPr>
            </w:pPr>
            <w:r>
              <w:rPr>
                <w:sz w:val="28"/>
                <w:szCs w:val="28"/>
                <w:lang w:val="uk-UA"/>
              </w:rPr>
              <w:t>40–49 років</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8      (12,3 %)</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10     (15,4 %)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18</w:t>
            </w:r>
          </w:p>
          <w:p w:rsidR="00077303" w:rsidRDefault="00077303" w:rsidP="00E10867">
            <w:pPr>
              <w:spacing w:line="360" w:lineRule="auto"/>
              <w:jc w:val="center"/>
              <w:rPr>
                <w:sz w:val="28"/>
                <w:szCs w:val="28"/>
                <w:lang w:val="uk-UA"/>
              </w:rPr>
            </w:pPr>
            <w:r>
              <w:rPr>
                <w:sz w:val="28"/>
                <w:szCs w:val="28"/>
                <w:lang w:val="uk-UA"/>
              </w:rPr>
              <w:t xml:space="preserve"> (27,7 %)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6 (15 %)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5 </w:t>
            </w:r>
          </w:p>
          <w:p w:rsidR="00077303" w:rsidRDefault="00077303" w:rsidP="00E10867">
            <w:pPr>
              <w:spacing w:line="360" w:lineRule="auto"/>
              <w:jc w:val="center"/>
              <w:rPr>
                <w:sz w:val="28"/>
                <w:szCs w:val="28"/>
                <w:lang w:val="uk-UA"/>
              </w:rPr>
            </w:pPr>
            <w:r>
              <w:rPr>
                <w:sz w:val="28"/>
                <w:szCs w:val="28"/>
                <w:lang w:val="uk-UA"/>
              </w:rPr>
              <w:t>(12,5 %)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11 </w:t>
            </w:r>
          </w:p>
          <w:p w:rsidR="00077303" w:rsidRDefault="00077303" w:rsidP="00E10867">
            <w:pPr>
              <w:spacing w:line="360" w:lineRule="auto"/>
              <w:jc w:val="center"/>
              <w:rPr>
                <w:sz w:val="28"/>
                <w:szCs w:val="28"/>
                <w:lang w:val="uk-UA"/>
              </w:rPr>
            </w:pPr>
            <w:r>
              <w:rPr>
                <w:sz w:val="28"/>
                <w:szCs w:val="28"/>
                <w:lang w:val="uk-UA"/>
              </w:rPr>
              <w:t>(27,5 %)</w:t>
            </w:r>
          </w:p>
        </w:tc>
      </w:tr>
      <w:tr w:rsidR="00077303" w:rsidTr="00E10867">
        <w:tc>
          <w:tcPr>
            <w:tcW w:w="713" w:type="pct"/>
            <w:vAlign w:val="center"/>
          </w:tcPr>
          <w:p w:rsidR="00077303" w:rsidRDefault="00077303" w:rsidP="00E10867">
            <w:pPr>
              <w:spacing w:line="360" w:lineRule="auto"/>
              <w:jc w:val="center"/>
              <w:rPr>
                <w:sz w:val="28"/>
                <w:szCs w:val="28"/>
                <w:lang w:val="uk-UA"/>
              </w:rPr>
            </w:pPr>
            <w:r>
              <w:rPr>
                <w:sz w:val="28"/>
                <w:szCs w:val="28"/>
                <w:lang w:val="uk-UA"/>
              </w:rPr>
              <w:t>50–59 років</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 xml:space="preserve">9 </w:t>
            </w:r>
          </w:p>
          <w:p w:rsidR="00077303" w:rsidRDefault="00077303" w:rsidP="00E10867">
            <w:pPr>
              <w:spacing w:line="360" w:lineRule="auto"/>
              <w:jc w:val="center"/>
              <w:rPr>
                <w:sz w:val="28"/>
                <w:szCs w:val="28"/>
                <w:lang w:val="uk-UA"/>
              </w:rPr>
            </w:pPr>
            <w:r>
              <w:rPr>
                <w:sz w:val="28"/>
                <w:szCs w:val="28"/>
                <w:lang w:val="uk-UA"/>
              </w:rPr>
              <w:t>(13,9 %)</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 xml:space="preserve">11 </w:t>
            </w:r>
          </w:p>
          <w:p w:rsidR="00077303" w:rsidRDefault="00077303" w:rsidP="00E10867">
            <w:pPr>
              <w:spacing w:line="360" w:lineRule="auto"/>
              <w:jc w:val="center"/>
              <w:rPr>
                <w:sz w:val="28"/>
                <w:szCs w:val="28"/>
                <w:lang w:val="uk-UA"/>
              </w:rPr>
            </w:pPr>
            <w:r>
              <w:rPr>
                <w:sz w:val="28"/>
                <w:szCs w:val="28"/>
                <w:lang w:val="uk-UA"/>
              </w:rPr>
              <w:t>(16,9 %)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 xml:space="preserve">20 </w:t>
            </w:r>
          </w:p>
          <w:p w:rsidR="00077303" w:rsidRDefault="00077303" w:rsidP="00E10867">
            <w:pPr>
              <w:spacing w:line="360" w:lineRule="auto"/>
              <w:jc w:val="center"/>
              <w:rPr>
                <w:sz w:val="28"/>
                <w:szCs w:val="28"/>
                <w:lang w:val="uk-UA"/>
              </w:rPr>
            </w:pPr>
            <w:r>
              <w:rPr>
                <w:sz w:val="28"/>
                <w:szCs w:val="28"/>
                <w:lang w:val="uk-UA"/>
              </w:rPr>
              <w:t>(30,8 %)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5 </w:t>
            </w:r>
          </w:p>
          <w:p w:rsidR="00077303" w:rsidRDefault="00077303" w:rsidP="00E10867">
            <w:pPr>
              <w:spacing w:line="360" w:lineRule="auto"/>
              <w:jc w:val="center"/>
              <w:rPr>
                <w:sz w:val="28"/>
                <w:szCs w:val="28"/>
                <w:lang w:val="uk-UA"/>
              </w:rPr>
            </w:pPr>
            <w:r>
              <w:rPr>
                <w:sz w:val="28"/>
                <w:szCs w:val="28"/>
                <w:lang w:val="uk-UA"/>
              </w:rPr>
              <w:t>(12,5 %)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8 (20 %)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13 </w:t>
            </w:r>
          </w:p>
          <w:p w:rsidR="00077303" w:rsidRDefault="00077303" w:rsidP="00E10867">
            <w:pPr>
              <w:spacing w:line="360" w:lineRule="auto"/>
              <w:jc w:val="center"/>
              <w:rPr>
                <w:sz w:val="28"/>
                <w:szCs w:val="28"/>
                <w:lang w:val="uk-UA"/>
              </w:rPr>
            </w:pPr>
            <w:r>
              <w:rPr>
                <w:sz w:val="28"/>
                <w:szCs w:val="28"/>
                <w:lang w:val="uk-UA"/>
              </w:rPr>
              <w:t>(32,5 %)</w:t>
            </w:r>
          </w:p>
        </w:tc>
      </w:tr>
      <w:tr w:rsidR="00077303" w:rsidTr="00E10867">
        <w:tc>
          <w:tcPr>
            <w:tcW w:w="713" w:type="pct"/>
            <w:vAlign w:val="center"/>
          </w:tcPr>
          <w:p w:rsidR="00077303" w:rsidRDefault="00077303" w:rsidP="00E10867">
            <w:pPr>
              <w:spacing w:line="360" w:lineRule="auto"/>
              <w:jc w:val="center"/>
              <w:rPr>
                <w:sz w:val="28"/>
                <w:szCs w:val="28"/>
                <w:lang w:val="uk-UA"/>
              </w:rPr>
            </w:pPr>
            <w:r>
              <w:rPr>
                <w:sz w:val="28"/>
                <w:szCs w:val="28"/>
                <w:lang w:val="uk-UA"/>
              </w:rPr>
              <w:t>60–67 років</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5 (7,7 %)</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6 (9,2 %)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 xml:space="preserve">11 </w:t>
            </w:r>
          </w:p>
          <w:p w:rsidR="00077303" w:rsidRDefault="00077303" w:rsidP="00E10867">
            <w:pPr>
              <w:spacing w:line="360" w:lineRule="auto"/>
              <w:jc w:val="center"/>
              <w:rPr>
                <w:sz w:val="28"/>
                <w:szCs w:val="28"/>
                <w:lang w:val="uk-UA"/>
              </w:rPr>
            </w:pPr>
            <w:r>
              <w:rPr>
                <w:sz w:val="28"/>
                <w:szCs w:val="28"/>
                <w:lang w:val="uk-UA"/>
              </w:rPr>
              <w:t>(16,9 %)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3 (7,5 %)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4 (10 %)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7 </w:t>
            </w:r>
          </w:p>
          <w:p w:rsidR="00077303" w:rsidRDefault="00077303" w:rsidP="00E10867">
            <w:pPr>
              <w:spacing w:line="360" w:lineRule="auto"/>
              <w:jc w:val="center"/>
              <w:rPr>
                <w:sz w:val="28"/>
                <w:szCs w:val="28"/>
                <w:lang w:val="uk-UA"/>
              </w:rPr>
            </w:pPr>
            <w:r>
              <w:rPr>
                <w:sz w:val="28"/>
                <w:szCs w:val="28"/>
                <w:lang w:val="uk-UA"/>
              </w:rPr>
              <w:t>(17,5 %)</w:t>
            </w:r>
          </w:p>
        </w:tc>
      </w:tr>
      <w:tr w:rsidR="00077303" w:rsidTr="00E10867">
        <w:tc>
          <w:tcPr>
            <w:tcW w:w="713" w:type="pct"/>
            <w:vAlign w:val="center"/>
          </w:tcPr>
          <w:p w:rsidR="00077303" w:rsidRDefault="00077303" w:rsidP="00E10867">
            <w:pPr>
              <w:spacing w:line="360" w:lineRule="auto"/>
              <w:jc w:val="center"/>
              <w:rPr>
                <w:sz w:val="28"/>
                <w:szCs w:val="28"/>
                <w:lang w:val="uk-UA"/>
              </w:rPr>
            </w:pPr>
            <w:r>
              <w:rPr>
                <w:sz w:val="28"/>
                <w:szCs w:val="28"/>
                <w:lang w:val="uk-UA"/>
              </w:rPr>
              <w:t>Разом, n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29</w:t>
            </w:r>
          </w:p>
          <w:p w:rsidR="00077303" w:rsidRDefault="00077303" w:rsidP="00E10867">
            <w:pPr>
              <w:spacing w:line="360" w:lineRule="auto"/>
              <w:jc w:val="center"/>
              <w:rPr>
                <w:sz w:val="28"/>
                <w:szCs w:val="28"/>
                <w:lang w:val="uk-UA"/>
              </w:rPr>
            </w:pPr>
            <w:r>
              <w:rPr>
                <w:sz w:val="28"/>
                <w:szCs w:val="28"/>
                <w:lang w:val="uk-UA"/>
              </w:rPr>
              <w:t xml:space="preserve"> (44,6 %)</w:t>
            </w:r>
          </w:p>
        </w:tc>
        <w:tc>
          <w:tcPr>
            <w:tcW w:w="735" w:type="pct"/>
            <w:vAlign w:val="center"/>
          </w:tcPr>
          <w:p w:rsidR="00077303" w:rsidRDefault="00077303" w:rsidP="00E10867">
            <w:pPr>
              <w:spacing w:line="360" w:lineRule="auto"/>
              <w:jc w:val="center"/>
              <w:rPr>
                <w:sz w:val="28"/>
                <w:szCs w:val="28"/>
                <w:lang w:val="uk-UA"/>
              </w:rPr>
            </w:pPr>
            <w:r>
              <w:rPr>
                <w:sz w:val="28"/>
                <w:szCs w:val="28"/>
                <w:lang w:val="uk-UA"/>
              </w:rPr>
              <w:t>36</w:t>
            </w:r>
          </w:p>
          <w:p w:rsidR="00077303" w:rsidRDefault="00077303" w:rsidP="00E10867">
            <w:pPr>
              <w:spacing w:line="360" w:lineRule="auto"/>
              <w:jc w:val="center"/>
              <w:rPr>
                <w:sz w:val="28"/>
                <w:szCs w:val="28"/>
                <w:lang w:val="uk-UA"/>
              </w:rPr>
            </w:pPr>
            <w:r>
              <w:rPr>
                <w:sz w:val="28"/>
                <w:szCs w:val="28"/>
                <w:lang w:val="uk-UA"/>
              </w:rPr>
              <w:t xml:space="preserve"> (55,4 %)</w:t>
            </w:r>
          </w:p>
        </w:tc>
        <w:tc>
          <w:tcPr>
            <w:tcW w:w="710" w:type="pct"/>
            <w:vAlign w:val="center"/>
          </w:tcPr>
          <w:p w:rsidR="00077303" w:rsidRDefault="00077303" w:rsidP="00E10867">
            <w:pPr>
              <w:spacing w:line="360" w:lineRule="auto"/>
              <w:jc w:val="center"/>
              <w:rPr>
                <w:sz w:val="28"/>
                <w:szCs w:val="28"/>
                <w:lang w:val="uk-UA"/>
              </w:rPr>
            </w:pPr>
            <w:r>
              <w:rPr>
                <w:sz w:val="28"/>
                <w:szCs w:val="28"/>
                <w:lang w:val="uk-UA"/>
              </w:rPr>
              <w:t>65</w:t>
            </w:r>
          </w:p>
          <w:p w:rsidR="00077303" w:rsidRDefault="00077303" w:rsidP="00E10867">
            <w:pPr>
              <w:spacing w:line="360" w:lineRule="auto"/>
              <w:jc w:val="center"/>
              <w:rPr>
                <w:sz w:val="28"/>
                <w:szCs w:val="28"/>
                <w:lang w:val="uk-UA"/>
              </w:rPr>
            </w:pPr>
            <w:r>
              <w:rPr>
                <w:sz w:val="28"/>
                <w:szCs w:val="28"/>
                <w:lang w:val="uk-UA"/>
              </w:rPr>
              <w:t xml:space="preserve"> (100 %)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18 (45 %)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22 (55 %)</w:t>
            </w:r>
          </w:p>
        </w:tc>
        <w:tc>
          <w:tcPr>
            <w:tcW w:w="711" w:type="pct"/>
            <w:vAlign w:val="center"/>
          </w:tcPr>
          <w:p w:rsidR="00077303" w:rsidRDefault="00077303" w:rsidP="00E10867">
            <w:pPr>
              <w:spacing w:line="360" w:lineRule="auto"/>
              <w:jc w:val="center"/>
              <w:rPr>
                <w:sz w:val="28"/>
                <w:szCs w:val="28"/>
                <w:lang w:val="uk-UA"/>
              </w:rPr>
            </w:pPr>
            <w:r>
              <w:rPr>
                <w:sz w:val="28"/>
                <w:szCs w:val="28"/>
                <w:lang w:val="uk-UA"/>
              </w:rPr>
              <w:t xml:space="preserve">40 </w:t>
            </w:r>
          </w:p>
          <w:p w:rsidR="00077303" w:rsidRDefault="00077303" w:rsidP="00E10867">
            <w:pPr>
              <w:spacing w:line="360" w:lineRule="auto"/>
              <w:jc w:val="center"/>
              <w:rPr>
                <w:sz w:val="28"/>
                <w:szCs w:val="28"/>
                <w:lang w:val="uk-UA"/>
              </w:rPr>
            </w:pPr>
            <w:r>
              <w:rPr>
                <w:sz w:val="28"/>
                <w:szCs w:val="28"/>
                <w:lang w:val="uk-UA"/>
              </w:rPr>
              <w:t>(100 %)</w:t>
            </w:r>
          </w:p>
        </w:tc>
      </w:tr>
    </w:tbl>
    <w:p w:rsidR="00077303" w:rsidRDefault="00077303" w:rsidP="00E10867">
      <w:pPr>
        <w:spacing w:line="360" w:lineRule="auto"/>
        <w:ind w:firstLine="709"/>
        <w:jc w:val="both"/>
        <w:rPr>
          <w:sz w:val="28"/>
          <w:szCs w:val="28"/>
          <w:lang w:val="uk-UA"/>
        </w:rPr>
      </w:pPr>
    </w:p>
    <w:p w:rsidR="00077303" w:rsidRDefault="00077303" w:rsidP="00E10867">
      <w:pPr>
        <w:spacing w:line="360" w:lineRule="auto"/>
        <w:ind w:firstLine="709"/>
        <w:jc w:val="both"/>
        <w:rPr>
          <w:sz w:val="28"/>
          <w:szCs w:val="28"/>
          <w:lang w:val="uk-UA"/>
        </w:rPr>
      </w:pPr>
      <w:r>
        <w:rPr>
          <w:sz w:val="28"/>
          <w:szCs w:val="28"/>
          <w:lang w:val="uk-UA"/>
        </w:rPr>
        <w:t>Більшість хворих 1 групи  – 37 (56,9 %) мали тривалість захворювання до 5 років, від 6 до 10 років – 17 (26,2 %) хворих та більше 10 років – 11 (16,9 %) хворих.</w:t>
      </w:r>
    </w:p>
    <w:p w:rsidR="00077303" w:rsidRDefault="00077303" w:rsidP="00E10867">
      <w:pPr>
        <w:spacing w:line="360" w:lineRule="auto"/>
        <w:ind w:firstLine="709"/>
        <w:jc w:val="both"/>
        <w:rPr>
          <w:sz w:val="28"/>
          <w:szCs w:val="28"/>
          <w:lang w:val="uk-UA"/>
        </w:rPr>
      </w:pPr>
      <w:r>
        <w:rPr>
          <w:sz w:val="28"/>
          <w:szCs w:val="28"/>
          <w:lang w:val="uk-UA"/>
        </w:rPr>
        <w:t>При обстеженні хворих 2 групи виявилось, що більшість хворих НАСГ – 21 (52,5 %) мали стаж захворювання до 5 років, більше 10 років –13 (32,5 %) хворих та від 6 до 10 років – 6 (15 %) хворих.</w:t>
      </w:r>
    </w:p>
    <w:p w:rsidR="00077303" w:rsidRDefault="00077303" w:rsidP="00E10867">
      <w:pPr>
        <w:spacing w:line="360" w:lineRule="auto"/>
        <w:ind w:firstLine="709"/>
        <w:jc w:val="both"/>
        <w:rPr>
          <w:sz w:val="28"/>
          <w:szCs w:val="28"/>
          <w:lang w:val="uk-UA"/>
        </w:rPr>
      </w:pPr>
      <w:r>
        <w:rPr>
          <w:sz w:val="28"/>
          <w:szCs w:val="28"/>
          <w:lang w:val="uk-UA"/>
        </w:rPr>
        <w:t>Розподіл хворих обох груп за тривалістю захворювання представлено в табл. 2.2.2</w:t>
      </w:r>
    </w:p>
    <w:p w:rsidR="00077303" w:rsidRDefault="00077303" w:rsidP="00E10867">
      <w:pPr>
        <w:spacing w:line="360" w:lineRule="auto"/>
        <w:ind w:firstLine="709"/>
        <w:jc w:val="both"/>
        <w:rPr>
          <w:sz w:val="28"/>
          <w:szCs w:val="28"/>
          <w:lang w:val="uk-UA"/>
        </w:rPr>
      </w:pPr>
    </w:p>
    <w:p w:rsidR="00077303" w:rsidRDefault="00077303" w:rsidP="00E10867">
      <w:pPr>
        <w:spacing w:line="360" w:lineRule="auto"/>
        <w:ind w:firstLine="709"/>
        <w:jc w:val="both"/>
        <w:rPr>
          <w:sz w:val="28"/>
          <w:szCs w:val="28"/>
          <w:lang w:val="uk-UA"/>
        </w:rPr>
      </w:pPr>
    </w:p>
    <w:p w:rsidR="00077303" w:rsidRDefault="00077303" w:rsidP="00E10867">
      <w:pPr>
        <w:spacing w:line="360" w:lineRule="auto"/>
        <w:ind w:firstLine="709"/>
        <w:jc w:val="both"/>
        <w:rPr>
          <w:sz w:val="28"/>
          <w:szCs w:val="28"/>
          <w:lang w:val="uk-UA"/>
        </w:rPr>
      </w:pPr>
    </w:p>
    <w:p w:rsidR="00077303" w:rsidRDefault="00077303" w:rsidP="00E10867">
      <w:pPr>
        <w:spacing w:line="360" w:lineRule="auto"/>
        <w:ind w:firstLine="709"/>
        <w:jc w:val="both"/>
        <w:rPr>
          <w:sz w:val="28"/>
          <w:szCs w:val="28"/>
          <w:lang w:val="uk-UA"/>
        </w:rPr>
      </w:pPr>
    </w:p>
    <w:p w:rsidR="00077303" w:rsidRDefault="00077303" w:rsidP="00E10867">
      <w:pPr>
        <w:spacing w:line="360" w:lineRule="auto"/>
        <w:ind w:firstLine="709"/>
        <w:jc w:val="both"/>
        <w:rPr>
          <w:sz w:val="28"/>
          <w:szCs w:val="28"/>
          <w:lang w:val="uk-UA"/>
        </w:rPr>
      </w:pPr>
    </w:p>
    <w:p w:rsidR="00077303" w:rsidRDefault="00077303" w:rsidP="00E10867">
      <w:pPr>
        <w:spacing w:line="360" w:lineRule="auto"/>
        <w:ind w:firstLine="709"/>
        <w:jc w:val="right"/>
        <w:rPr>
          <w:sz w:val="28"/>
          <w:szCs w:val="28"/>
          <w:lang w:val="uk-UA"/>
        </w:rPr>
      </w:pPr>
      <w:r>
        <w:rPr>
          <w:sz w:val="28"/>
          <w:szCs w:val="28"/>
          <w:lang w:val="uk-UA"/>
        </w:rPr>
        <w:lastRenderedPageBreak/>
        <w:t>Таблиця 2.2.2</w:t>
      </w:r>
    </w:p>
    <w:p w:rsidR="00077303" w:rsidRDefault="00077303" w:rsidP="00E10867">
      <w:pPr>
        <w:spacing w:line="360" w:lineRule="auto"/>
        <w:ind w:firstLine="709"/>
        <w:jc w:val="center"/>
        <w:rPr>
          <w:sz w:val="28"/>
          <w:szCs w:val="28"/>
          <w:lang w:val="uk-UA"/>
        </w:rPr>
      </w:pPr>
      <w:r>
        <w:rPr>
          <w:sz w:val="28"/>
          <w:szCs w:val="28"/>
          <w:lang w:val="uk-UA"/>
        </w:rPr>
        <w:t>Розподіл хворих 1 та 2 груп за тривалістю захворювання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3"/>
        <w:gridCol w:w="3474"/>
        <w:gridCol w:w="3474"/>
      </w:tblGrid>
      <w:tr w:rsidR="00077303" w:rsidTr="00E10867">
        <w:tc>
          <w:tcPr>
            <w:tcW w:w="1666" w:type="pct"/>
            <w:vAlign w:val="center"/>
          </w:tcPr>
          <w:p w:rsidR="00077303" w:rsidRDefault="00077303" w:rsidP="00E10867">
            <w:pPr>
              <w:spacing w:line="360" w:lineRule="auto"/>
              <w:jc w:val="center"/>
              <w:rPr>
                <w:sz w:val="28"/>
                <w:szCs w:val="28"/>
                <w:lang w:val="uk-UA"/>
              </w:rPr>
            </w:pPr>
            <w:r>
              <w:rPr>
                <w:sz w:val="28"/>
                <w:szCs w:val="28"/>
                <w:lang w:val="uk-UA"/>
              </w:rPr>
              <w:t>Тривалість захворювання</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Кількість хворих 1 групи, n (%)</w:t>
            </w:r>
          </w:p>
        </w:tc>
        <w:tc>
          <w:tcPr>
            <w:tcW w:w="1667" w:type="pct"/>
          </w:tcPr>
          <w:p w:rsidR="00077303" w:rsidRDefault="00077303" w:rsidP="00E10867">
            <w:pPr>
              <w:spacing w:line="360" w:lineRule="auto"/>
              <w:jc w:val="center"/>
              <w:rPr>
                <w:sz w:val="28"/>
                <w:szCs w:val="28"/>
                <w:lang w:val="uk-UA"/>
              </w:rPr>
            </w:pPr>
            <w:r>
              <w:rPr>
                <w:sz w:val="28"/>
                <w:szCs w:val="28"/>
                <w:lang w:val="uk-UA"/>
              </w:rPr>
              <w:t>Кількість хворих 2 групи, n (%)</w:t>
            </w:r>
          </w:p>
        </w:tc>
      </w:tr>
      <w:tr w:rsidR="00077303" w:rsidTr="00E10867">
        <w:tc>
          <w:tcPr>
            <w:tcW w:w="1666" w:type="pct"/>
            <w:vAlign w:val="center"/>
          </w:tcPr>
          <w:p w:rsidR="00077303" w:rsidRDefault="00077303" w:rsidP="00E10867">
            <w:pPr>
              <w:spacing w:line="360" w:lineRule="auto"/>
              <w:jc w:val="center"/>
              <w:rPr>
                <w:sz w:val="28"/>
                <w:szCs w:val="28"/>
                <w:lang w:val="uk-UA"/>
              </w:rPr>
            </w:pPr>
            <w:r>
              <w:rPr>
                <w:sz w:val="28"/>
                <w:szCs w:val="28"/>
                <w:lang w:val="uk-UA"/>
              </w:rPr>
              <w:t>До 5 років</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37 (56,9 %)</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21 (52,5 %)</w:t>
            </w:r>
          </w:p>
        </w:tc>
      </w:tr>
      <w:tr w:rsidR="00077303" w:rsidTr="00E10867">
        <w:tc>
          <w:tcPr>
            <w:tcW w:w="1666" w:type="pct"/>
            <w:vAlign w:val="center"/>
          </w:tcPr>
          <w:p w:rsidR="00077303" w:rsidRDefault="00077303" w:rsidP="00E10867">
            <w:pPr>
              <w:spacing w:line="360" w:lineRule="auto"/>
              <w:jc w:val="center"/>
              <w:rPr>
                <w:sz w:val="28"/>
                <w:szCs w:val="28"/>
                <w:lang w:val="uk-UA"/>
              </w:rPr>
            </w:pPr>
            <w:r>
              <w:rPr>
                <w:sz w:val="28"/>
                <w:szCs w:val="28"/>
                <w:lang w:val="uk-UA"/>
              </w:rPr>
              <w:t>6 – 10 років</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17 (26,2 %)</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6 (15 %)</w:t>
            </w:r>
          </w:p>
        </w:tc>
      </w:tr>
      <w:tr w:rsidR="00077303" w:rsidTr="00E10867">
        <w:tc>
          <w:tcPr>
            <w:tcW w:w="1666" w:type="pct"/>
            <w:vAlign w:val="center"/>
          </w:tcPr>
          <w:p w:rsidR="00077303" w:rsidRDefault="00077303" w:rsidP="00E10867">
            <w:pPr>
              <w:spacing w:line="360" w:lineRule="auto"/>
              <w:jc w:val="center"/>
              <w:rPr>
                <w:sz w:val="28"/>
                <w:szCs w:val="28"/>
                <w:lang w:val="uk-UA"/>
              </w:rPr>
            </w:pPr>
            <w:r>
              <w:rPr>
                <w:sz w:val="28"/>
                <w:szCs w:val="28"/>
                <w:lang w:val="uk-UA"/>
              </w:rPr>
              <w:t>Більше 10 років</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11 (16,9 %)</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13 (32,5 %)</w:t>
            </w:r>
          </w:p>
        </w:tc>
      </w:tr>
      <w:tr w:rsidR="00077303" w:rsidTr="00E10867">
        <w:tc>
          <w:tcPr>
            <w:tcW w:w="1666" w:type="pct"/>
            <w:vAlign w:val="center"/>
          </w:tcPr>
          <w:p w:rsidR="00077303" w:rsidRDefault="00077303" w:rsidP="00E10867">
            <w:pPr>
              <w:spacing w:line="360" w:lineRule="auto"/>
              <w:jc w:val="center"/>
              <w:rPr>
                <w:sz w:val="28"/>
                <w:szCs w:val="28"/>
                <w:lang w:val="uk-UA"/>
              </w:rPr>
            </w:pPr>
            <w:r>
              <w:rPr>
                <w:sz w:val="28"/>
                <w:szCs w:val="28"/>
                <w:lang w:val="uk-UA"/>
              </w:rPr>
              <w:t>Разом, n (%)</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65 (100 %)</w:t>
            </w:r>
          </w:p>
        </w:tc>
        <w:tc>
          <w:tcPr>
            <w:tcW w:w="1667" w:type="pct"/>
            <w:vAlign w:val="center"/>
          </w:tcPr>
          <w:p w:rsidR="00077303" w:rsidRDefault="00077303" w:rsidP="00E10867">
            <w:pPr>
              <w:spacing w:line="360" w:lineRule="auto"/>
              <w:jc w:val="center"/>
              <w:rPr>
                <w:sz w:val="28"/>
                <w:szCs w:val="28"/>
                <w:lang w:val="uk-UA"/>
              </w:rPr>
            </w:pPr>
            <w:r>
              <w:rPr>
                <w:sz w:val="28"/>
                <w:szCs w:val="28"/>
                <w:lang w:val="uk-UA"/>
              </w:rPr>
              <w:t>40 (100 %)</w:t>
            </w:r>
          </w:p>
        </w:tc>
      </w:tr>
    </w:tbl>
    <w:p w:rsidR="00077303" w:rsidRDefault="00077303" w:rsidP="00E10867">
      <w:pPr>
        <w:spacing w:line="360" w:lineRule="auto"/>
        <w:ind w:firstLine="709"/>
        <w:jc w:val="both"/>
        <w:rPr>
          <w:sz w:val="28"/>
          <w:szCs w:val="28"/>
          <w:lang w:val="uk-UA"/>
        </w:rPr>
      </w:pPr>
      <w:r>
        <w:rPr>
          <w:sz w:val="28"/>
          <w:szCs w:val="28"/>
          <w:lang w:val="uk-UA"/>
        </w:rPr>
        <w:t>Клінічна картина у хворих обох груп характеризувалася наявністю больового, диспепсичного та астеновегетативного синдромів.</w:t>
      </w:r>
    </w:p>
    <w:p w:rsidR="00077303" w:rsidRDefault="00077303" w:rsidP="00E10867">
      <w:pPr>
        <w:spacing w:line="360" w:lineRule="auto"/>
        <w:ind w:firstLine="709"/>
        <w:jc w:val="both"/>
        <w:rPr>
          <w:sz w:val="28"/>
          <w:szCs w:val="28"/>
          <w:lang w:val="uk-UA"/>
        </w:rPr>
      </w:pPr>
      <w:r>
        <w:rPr>
          <w:sz w:val="28"/>
          <w:szCs w:val="28"/>
          <w:lang w:val="uk-UA"/>
        </w:rPr>
        <w:t>Частота зустрічаємості клінічних симптомі та синдромів представлена в табл. 2.2.3</w:t>
      </w:r>
    </w:p>
    <w:p w:rsidR="00077303" w:rsidRDefault="00077303" w:rsidP="00BF0AD1">
      <w:pPr>
        <w:spacing w:line="360" w:lineRule="auto"/>
        <w:ind w:firstLine="709"/>
        <w:jc w:val="both"/>
        <w:rPr>
          <w:sz w:val="28"/>
          <w:szCs w:val="28"/>
          <w:lang w:val="uk-UA"/>
        </w:rPr>
      </w:pPr>
      <w:r>
        <w:rPr>
          <w:sz w:val="28"/>
          <w:szCs w:val="28"/>
          <w:lang w:val="uk-UA"/>
        </w:rPr>
        <w:t>Як видно з табл. 2.2.3, аналіз клінічних ознак, з погляду їхньої частоти, свідчить про те, що найбільш характерною ознакою для хворих 1 групи був астеновегетативний синдром. Більшість – 57 (87,7 %) хворих відмічали швидку стомлюваність, 55 (84,6 %) хворих – загальну слабкість, 54 (83,1 %) хворих – зниження працездатності. Дратівливість та порушення сну було виявлено у 45 (69,5 %) та 41 (63,1 %) хворих відповідно. Висока частота вегетативної дисфункції у хворих НАСГ із ЦД 2 типу які були обстежені, підтверджується даними літератури [194].</w:t>
      </w:r>
    </w:p>
    <w:p w:rsidR="00077303" w:rsidRDefault="00077303" w:rsidP="00BF0AD1">
      <w:pPr>
        <w:spacing w:line="360" w:lineRule="auto"/>
        <w:ind w:firstLine="709"/>
        <w:jc w:val="both"/>
        <w:rPr>
          <w:sz w:val="28"/>
          <w:szCs w:val="28"/>
          <w:lang w:val="uk-UA"/>
        </w:rPr>
      </w:pPr>
      <w:r>
        <w:rPr>
          <w:sz w:val="28"/>
          <w:szCs w:val="28"/>
          <w:lang w:val="uk-UA"/>
        </w:rPr>
        <w:t xml:space="preserve">Больовий синдром різної інтенсивності був виявлений у 59 (90,8 %) хворого в 1 групі. Найчастіше – у 56 (86,2 %) пацієнтів в біль локалізувалась в правому підребер’ї і лише у 3 (4,6 %) хворих відмічалась біль в епігастральній зоні. 40 (61,5 %) хворих відмічали періодичний характер білю, постійний ниючий біль турбував  19 (29,3 %) пацієнтів.  </w:t>
      </w:r>
    </w:p>
    <w:p w:rsidR="00077303" w:rsidRDefault="00077303" w:rsidP="00BF0AD1">
      <w:pPr>
        <w:spacing w:line="360" w:lineRule="auto"/>
        <w:ind w:firstLine="709"/>
        <w:jc w:val="both"/>
        <w:rPr>
          <w:sz w:val="28"/>
          <w:szCs w:val="28"/>
          <w:lang w:val="uk-UA"/>
        </w:rPr>
      </w:pPr>
      <w:r>
        <w:rPr>
          <w:sz w:val="28"/>
          <w:szCs w:val="28"/>
          <w:lang w:val="uk-UA"/>
        </w:rPr>
        <w:t>З диспепсичних явищ частіше всього – у  51 (81,5 %) хворих 1 групи відмічалась важкість та дискомфорт в правому підребер’ї, відрижка повітрям – у 43 (66,1 %) та зниження апетиту – у 42 (64,6 %) хворих. Нудоту та метеоризм мали 30 (46,2 %) та 15 (23,1 %) хворих відповідно.</w:t>
      </w:r>
    </w:p>
    <w:p w:rsidR="00077303" w:rsidRDefault="00077303" w:rsidP="00E10867">
      <w:pPr>
        <w:spacing w:line="360" w:lineRule="auto"/>
        <w:ind w:firstLine="709"/>
        <w:jc w:val="right"/>
        <w:rPr>
          <w:sz w:val="28"/>
          <w:szCs w:val="28"/>
          <w:lang w:val="uk-UA"/>
        </w:rPr>
      </w:pPr>
    </w:p>
    <w:p w:rsidR="00077303" w:rsidRDefault="00077303" w:rsidP="00E10867">
      <w:pPr>
        <w:spacing w:line="360" w:lineRule="auto"/>
        <w:ind w:firstLine="709"/>
        <w:jc w:val="right"/>
        <w:rPr>
          <w:sz w:val="28"/>
          <w:szCs w:val="28"/>
          <w:lang w:val="uk-UA"/>
        </w:rPr>
      </w:pPr>
      <w:r>
        <w:rPr>
          <w:sz w:val="28"/>
          <w:szCs w:val="28"/>
          <w:lang w:val="uk-UA"/>
        </w:rPr>
        <w:lastRenderedPageBreak/>
        <w:t>Таблиця 2.2.3</w:t>
      </w:r>
    </w:p>
    <w:p w:rsidR="00077303" w:rsidRDefault="00077303" w:rsidP="00E10867">
      <w:pPr>
        <w:spacing w:line="360" w:lineRule="auto"/>
        <w:ind w:firstLine="709"/>
        <w:jc w:val="center"/>
        <w:rPr>
          <w:sz w:val="28"/>
          <w:szCs w:val="28"/>
          <w:lang w:val="uk-UA"/>
        </w:rPr>
      </w:pPr>
      <w:r>
        <w:rPr>
          <w:sz w:val="28"/>
          <w:szCs w:val="28"/>
          <w:lang w:val="uk-UA"/>
        </w:rPr>
        <w:t>Клінічні симптоми та синдроми у хворих 1 та 2 груп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69"/>
        <w:gridCol w:w="2476"/>
        <w:gridCol w:w="2476"/>
      </w:tblGrid>
      <w:tr w:rsidR="00077303" w:rsidTr="00E10867">
        <w:tc>
          <w:tcPr>
            <w:tcW w:w="2624" w:type="pct"/>
            <w:vAlign w:val="center"/>
          </w:tcPr>
          <w:p w:rsidR="00077303" w:rsidRDefault="00077303" w:rsidP="00E10867">
            <w:pPr>
              <w:spacing w:line="360" w:lineRule="auto"/>
              <w:jc w:val="center"/>
              <w:rPr>
                <w:sz w:val="28"/>
                <w:szCs w:val="28"/>
                <w:lang w:val="uk-UA"/>
              </w:rPr>
            </w:pPr>
            <w:r>
              <w:rPr>
                <w:sz w:val="28"/>
                <w:szCs w:val="28"/>
                <w:lang w:val="uk-UA"/>
              </w:rPr>
              <w:t>Симптоми та синдроми</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Хворі 1 групи, n (%)</w:t>
            </w:r>
          </w:p>
        </w:tc>
        <w:tc>
          <w:tcPr>
            <w:tcW w:w="1188" w:type="pct"/>
          </w:tcPr>
          <w:p w:rsidR="00077303" w:rsidRDefault="00077303" w:rsidP="00E10867">
            <w:pPr>
              <w:spacing w:line="360" w:lineRule="auto"/>
              <w:jc w:val="center"/>
              <w:rPr>
                <w:sz w:val="28"/>
                <w:szCs w:val="28"/>
                <w:lang w:val="uk-UA"/>
              </w:rPr>
            </w:pPr>
            <w:r>
              <w:rPr>
                <w:sz w:val="28"/>
                <w:szCs w:val="28"/>
                <w:lang w:val="uk-UA"/>
              </w:rPr>
              <w:t>Хворі 2 групи, n (%)</w:t>
            </w:r>
          </w:p>
        </w:tc>
      </w:tr>
      <w:tr w:rsidR="00077303" w:rsidTr="00E10867">
        <w:tc>
          <w:tcPr>
            <w:tcW w:w="2624" w:type="pct"/>
            <w:vAlign w:val="center"/>
          </w:tcPr>
          <w:p w:rsidR="00077303" w:rsidRDefault="00077303" w:rsidP="00E10867">
            <w:pPr>
              <w:numPr>
                <w:ilvl w:val="0"/>
                <w:numId w:val="2"/>
              </w:numPr>
              <w:spacing w:line="360" w:lineRule="auto"/>
              <w:rPr>
                <w:sz w:val="28"/>
                <w:szCs w:val="28"/>
                <w:lang w:val="uk-UA"/>
              </w:rPr>
            </w:pPr>
            <w:r>
              <w:rPr>
                <w:sz w:val="28"/>
                <w:szCs w:val="28"/>
                <w:lang w:val="uk-UA"/>
              </w:rPr>
              <w:t xml:space="preserve">Больовий синдром (періодичність болю):     </w:t>
            </w:r>
          </w:p>
          <w:p w:rsidR="00077303" w:rsidRDefault="00077303" w:rsidP="00E10867">
            <w:pPr>
              <w:spacing w:line="360" w:lineRule="auto"/>
              <w:rPr>
                <w:sz w:val="28"/>
                <w:szCs w:val="28"/>
                <w:lang w:val="uk-UA"/>
              </w:rPr>
            </w:pPr>
            <w:r>
              <w:rPr>
                <w:sz w:val="28"/>
                <w:szCs w:val="28"/>
                <w:lang w:val="uk-UA"/>
              </w:rPr>
              <w:t xml:space="preserve">– постійний ниючий біль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19 (29,3 %)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9 (22,5 %)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періодичний ниючій біль</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40 (61,5 %)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20 (50 %)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Локалізація болю:                                                                                     – праве підребер’я</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56 (86,2 %)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 xml:space="preserve">29 (72,5 %)                                  </w:t>
            </w:r>
          </w:p>
        </w:tc>
      </w:tr>
      <w:tr w:rsidR="00077303" w:rsidTr="00E10867">
        <w:trPr>
          <w:trHeight w:val="694"/>
        </w:trPr>
        <w:tc>
          <w:tcPr>
            <w:tcW w:w="2624" w:type="pct"/>
            <w:vAlign w:val="center"/>
          </w:tcPr>
          <w:p w:rsidR="00077303" w:rsidRDefault="00077303" w:rsidP="00E10867">
            <w:pPr>
              <w:spacing w:line="360" w:lineRule="auto"/>
              <w:rPr>
                <w:sz w:val="28"/>
                <w:szCs w:val="28"/>
                <w:lang w:val="uk-UA"/>
              </w:rPr>
            </w:pPr>
            <w:r>
              <w:rPr>
                <w:sz w:val="28"/>
                <w:szCs w:val="28"/>
                <w:lang w:val="uk-UA"/>
              </w:rPr>
              <w:t>– епігастрій</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3 (4,6 %)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w:t>
            </w:r>
          </w:p>
        </w:tc>
      </w:tr>
      <w:tr w:rsidR="00077303" w:rsidTr="00E10867">
        <w:tc>
          <w:tcPr>
            <w:tcW w:w="2624" w:type="pct"/>
            <w:vAlign w:val="center"/>
          </w:tcPr>
          <w:p w:rsidR="00077303" w:rsidRDefault="00077303" w:rsidP="00E10867">
            <w:pPr>
              <w:numPr>
                <w:ilvl w:val="0"/>
                <w:numId w:val="2"/>
              </w:numPr>
              <w:spacing w:line="360" w:lineRule="auto"/>
              <w:rPr>
                <w:sz w:val="28"/>
                <w:szCs w:val="28"/>
                <w:lang w:val="uk-UA"/>
              </w:rPr>
            </w:pPr>
            <w:r>
              <w:rPr>
                <w:sz w:val="28"/>
                <w:szCs w:val="28"/>
                <w:lang w:val="uk-UA"/>
              </w:rPr>
              <w:t xml:space="preserve">Диспепсичний синдром:                                     </w:t>
            </w:r>
          </w:p>
          <w:p w:rsidR="00077303" w:rsidRDefault="00077303" w:rsidP="00E10867">
            <w:pPr>
              <w:spacing w:line="360" w:lineRule="auto"/>
              <w:rPr>
                <w:sz w:val="28"/>
                <w:szCs w:val="28"/>
                <w:lang w:val="uk-UA"/>
              </w:rPr>
            </w:pPr>
            <w:r>
              <w:rPr>
                <w:sz w:val="28"/>
                <w:szCs w:val="28"/>
                <w:lang w:val="uk-UA"/>
              </w:rPr>
              <w:t>– важкість та дискомфорт в правому підребер’ї</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51 (81,5 %)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38 (95 %)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відрижка повітрям</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43 (66,1 %)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13 (32,5 %)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зниження апетиту</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42 (64,6 %)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26 (65 %)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нудота</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30 (46,2 %)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35 (87,5 %)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метеоризм</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15 (23,1 %)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13 (32,</w:t>
            </w:r>
            <w:r>
              <w:rPr>
                <w:sz w:val="28"/>
                <w:szCs w:val="28"/>
              </w:rPr>
              <w:t>5</w:t>
            </w:r>
            <w:r>
              <w:rPr>
                <w:sz w:val="28"/>
                <w:szCs w:val="28"/>
                <w:lang w:val="uk-UA"/>
              </w:rPr>
              <w:t xml:space="preserve"> </w:t>
            </w:r>
            <w:r>
              <w:rPr>
                <w:sz w:val="28"/>
                <w:szCs w:val="28"/>
              </w:rPr>
              <w:t>%)</w:t>
            </w:r>
          </w:p>
        </w:tc>
      </w:tr>
      <w:tr w:rsidR="00077303" w:rsidTr="00E10867">
        <w:tc>
          <w:tcPr>
            <w:tcW w:w="2624" w:type="pct"/>
            <w:vAlign w:val="center"/>
          </w:tcPr>
          <w:p w:rsidR="00077303" w:rsidRDefault="00077303" w:rsidP="00E10867">
            <w:pPr>
              <w:numPr>
                <w:ilvl w:val="0"/>
                <w:numId w:val="2"/>
              </w:numPr>
              <w:spacing w:line="360" w:lineRule="auto"/>
              <w:rPr>
                <w:sz w:val="28"/>
                <w:szCs w:val="28"/>
                <w:lang w:val="uk-UA"/>
              </w:rPr>
            </w:pPr>
            <w:r>
              <w:rPr>
                <w:sz w:val="28"/>
                <w:szCs w:val="28"/>
                <w:lang w:val="uk-UA"/>
              </w:rPr>
              <w:t>Астеновегетативний синдром:</w:t>
            </w:r>
          </w:p>
          <w:p w:rsidR="00077303" w:rsidRDefault="00077303" w:rsidP="00E10867">
            <w:pPr>
              <w:spacing w:line="360" w:lineRule="auto"/>
              <w:rPr>
                <w:sz w:val="28"/>
                <w:szCs w:val="28"/>
                <w:lang w:val="uk-UA"/>
              </w:rPr>
            </w:pPr>
            <w:r>
              <w:rPr>
                <w:sz w:val="28"/>
                <w:szCs w:val="28"/>
                <w:lang w:val="uk-UA"/>
              </w:rPr>
              <w:t>– швидка стомлюваність</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57 (</w:t>
            </w:r>
            <w:r>
              <w:rPr>
                <w:sz w:val="28"/>
                <w:szCs w:val="28"/>
              </w:rPr>
              <w:t>8</w:t>
            </w:r>
            <w:r>
              <w:rPr>
                <w:sz w:val="28"/>
                <w:szCs w:val="28"/>
                <w:lang w:val="uk-UA"/>
              </w:rPr>
              <w:t>7</w:t>
            </w:r>
            <w:r>
              <w:rPr>
                <w:sz w:val="28"/>
                <w:szCs w:val="28"/>
              </w:rPr>
              <w:t>,7</w:t>
            </w:r>
            <w:r>
              <w:rPr>
                <w:sz w:val="28"/>
                <w:szCs w:val="28"/>
                <w:lang w:val="uk-UA"/>
              </w:rPr>
              <w:t xml:space="preserve"> </w:t>
            </w:r>
            <w:r>
              <w:rPr>
                <w:sz w:val="28"/>
                <w:szCs w:val="28"/>
              </w:rPr>
              <w:t>%)</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26 (65 %)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зниження працездатності</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54 (83,1 %)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31 (77,5 %)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загальна слабкість</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55 (84,6 %)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23 (57,5 %)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дратівливість</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45 (69,5 %)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19 (47,5 %)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порушення сну</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41 (63,1 %)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29 (72,5 %)</w:t>
            </w:r>
          </w:p>
        </w:tc>
      </w:tr>
      <w:tr w:rsidR="00077303" w:rsidTr="00E10867">
        <w:tc>
          <w:tcPr>
            <w:tcW w:w="2624" w:type="pct"/>
            <w:vAlign w:val="center"/>
          </w:tcPr>
          <w:p w:rsidR="00077303" w:rsidRDefault="00077303" w:rsidP="00E10867">
            <w:pPr>
              <w:numPr>
                <w:ilvl w:val="0"/>
                <w:numId w:val="2"/>
              </w:numPr>
              <w:spacing w:line="360" w:lineRule="auto"/>
              <w:rPr>
                <w:sz w:val="28"/>
                <w:szCs w:val="28"/>
                <w:lang w:val="uk-UA"/>
              </w:rPr>
            </w:pPr>
            <w:r>
              <w:rPr>
                <w:sz w:val="28"/>
                <w:szCs w:val="28"/>
                <w:lang w:val="uk-UA"/>
              </w:rPr>
              <w:t>Об’</w:t>
            </w:r>
            <w:r w:rsidRPr="00A81B23">
              <w:rPr>
                <w:sz w:val="28"/>
                <w:szCs w:val="28"/>
                <w:lang w:val="uk-UA"/>
              </w:rPr>
              <w:t>єктивні</w:t>
            </w:r>
            <w:r>
              <w:rPr>
                <w:sz w:val="28"/>
                <w:szCs w:val="28"/>
                <w:lang w:val="en-US"/>
              </w:rPr>
              <w:t xml:space="preserve"> </w:t>
            </w:r>
            <w:r w:rsidRPr="00A81B23">
              <w:rPr>
                <w:sz w:val="28"/>
                <w:szCs w:val="28"/>
                <w:lang w:val="uk-UA"/>
              </w:rPr>
              <w:t>данні</w:t>
            </w:r>
            <w:r>
              <w:rPr>
                <w:sz w:val="28"/>
                <w:szCs w:val="28"/>
                <w:lang w:val="en-US"/>
              </w:rPr>
              <w:t>:</w:t>
            </w:r>
          </w:p>
          <w:p w:rsidR="00077303" w:rsidRDefault="00077303" w:rsidP="00E10867">
            <w:pPr>
              <w:spacing w:line="360" w:lineRule="auto"/>
              <w:rPr>
                <w:sz w:val="28"/>
                <w:szCs w:val="28"/>
                <w:lang w:val="uk-UA"/>
              </w:rPr>
            </w:pPr>
            <w:r>
              <w:rPr>
                <w:sz w:val="28"/>
                <w:szCs w:val="28"/>
                <w:lang w:val="uk-UA"/>
              </w:rPr>
              <w:t>– живіт здутий</w:t>
            </w:r>
          </w:p>
        </w:tc>
        <w:tc>
          <w:tcPr>
            <w:tcW w:w="1188" w:type="pct"/>
            <w:vAlign w:val="center"/>
          </w:tcPr>
          <w:p w:rsidR="00077303" w:rsidRDefault="00077303" w:rsidP="00E10867">
            <w:pPr>
              <w:spacing w:line="360" w:lineRule="auto"/>
              <w:jc w:val="center"/>
              <w:rPr>
                <w:b/>
                <w:sz w:val="28"/>
                <w:szCs w:val="28"/>
                <w:lang w:val="uk-UA"/>
              </w:rPr>
            </w:pPr>
            <w:r>
              <w:rPr>
                <w:sz w:val="28"/>
                <w:szCs w:val="28"/>
                <w:lang w:val="uk-UA"/>
              </w:rPr>
              <w:t xml:space="preserve">                                     22 (33,8 %)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17 (42,5 %)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болісність при пальпації в правому підребер’ї</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62 (95,4 %)</w:t>
            </w:r>
          </w:p>
        </w:tc>
        <w:tc>
          <w:tcPr>
            <w:tcW w:w="1188" w:type="pct"/>
            <w:vAlign w:val="center"/>
          </w:tcPr>
          <w:p w:rsidR="00077303" w:rsidRDefault="00077303" w:rsidP="00E10867">
            <w:pPr>
              <w:spacing w:line="360" w:lineRule="auto"/>
              <w:jc w:val="center"/>
              <w:rPr>
                <w:sz w:val="28"/>
                <w:szCs w:val="28"/>
              </w:rPr>
            </w:pPr>
            <w:r>
              <w:rPr>
                <w:sz w:val="28"/>
                <w:szCs w:val="28"/>
                <w:lang w:val="uk-UA"/>
              </w:rPr>
              <w:t>35 (87,5 %)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збільшення печінки</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55 (84,6 %)</w:t>
            </w:r>
          </w:p>
        </w:tc>
        <w:tc>
          <w:tcPr>
            <w:tcW w:w="1188" w:type="pct"/>
            <w:vAlign w:val="center"/>
          </w:tcPr>
          <w:p w:rsidR="00077303" w:rsidRDefault="00077303" w:rsidP="00E10867">
            <w:pPr>
              <w:spacing w:line="360" w:lineRule="auto"/>
              <w:jc w:val="center"/>
              <w:rPr>
                <w:sz w:val="28"/>
                <w:szCs w:val="28"/>
              </w:rPr>
            </w:pPr>
            <w:r>
              <w:rPr>
                <w:sz w:val="28"/>
                <w:szCs w:val="28"/>
              </w:rPr>
              <w:t>39 (97</w:t>
            </w:r>
            <w:r>
              <w:rPr>
                <w:sz w:val="28"/>
                <w:szCs w:val="28"/>
                <w:lang w:val="uk-UA"/>
              </w:rPr>
              <w:t>,</w:t>
            </w:r>
            <w:r>
              <w:rPr>
                <w:sz w:val="28"/>
                <w:szCs w:val="28"/>
              </w:rPr>
              <w:t>5</w:t>
            </w:r>
            <w:r>
              <w:rPr>
                <w:sz w:val="28"/>
                <w:szCs w:val="28"/>
                <w:lang w:val="uk-UA"/>
              </w:rPr>
              <w:t xml:space="preserve"> </w:t>
            </w:r>
            <w:r>
              <w:rPr>
                <w:sz w:val="28"/>
                <w:szCs w:val="28"/>
              </w:rPr>
              <w:t>%)</w:t>
            </w:r>
          </w:p>
        </w:tc>
      </w:tr>
    </w:tbl>
    <w:p w:rsidR="00077303" w:rsidRDefault="00077303" w:rsidP="00E10867">
      <w:pPr>
        <w:spacing w:line="360" w:lineRule="auto"/>
        <w:ind w:firstLine="709"/>
        <w:jc w:val="both"/>
        <w:rPr>
          <w:sz w:val="28"/>
          <w:szCs w:val="28"/>
          <w:lang w:val="uk-UA"/>
        </w:rPr>
      </w:pPr>
      <w:r>
        <w:rPr>
          <w:sz w:val="28"/>
          <w:szCs w:val="28"/>
          <w:lang w:val="uk-UA"/>
        </w:rPr>
        <w:lastRenderedPageBreak/>
        <w:t>При пальпації  живота відзначалась болісність в правому підребер’ї у 62 (95,4 %) хворих, збільшення печінки  було виявлено у 55 (84,6 %) пацієнтів, при об’єктивному огляді  живіт був здутий у 22 (33,8 %) хворих з 1 групи.</w:t>
      </w:r>
    </w:p>
    <w:p w:rsidR="00077303" w:rsidRDefault="00077303" w:rsidP="00E10867">
      <w:pPr>
        <w:spacing w:line="360" w:lineRule="auto"/>
        <w:ind w:firstLine="709"/>
        <w:jc w:val="both"/>
        <w:rPr>
          <w:sz w:val="28"/>
          <w:szCs w:val="28"/>
          <w:lang w:val="uk-UA"/>
        </w:rPr>
      </w:pPr>
      <w:r>
        <w:rPr>
          <w:sz w:val="28"/>
          <w:szCs w:val="28"/>
          <w:lang w:val="uk-UA"/>
        </w:rPr>
        <w:t>При аналізі клінічних проявів у хворих 2 групи виявлено переважання диспепсичних жалоб. Дискомфорт та важкість в правому підребер’ї турбували 38 (95 %) хворих, нудоту відзначали 35 (87,5 %) пацієнтів, зниження апетиту – 26 (65 %) хворих, метеоризм та відрижка повітрям – 13 (32,5 %) хворих 2 групи.</w:t>
      </w:r>
    </w:p>
    <w:p w:rsidR="00077303" w:rsidRDefault="00077303" w:rsidP="00E10867">
      <w:pPr>
        <w:spacing w:line="360" w:lineRule="auto"/>
        <w:ind w:firstLine="709"/>
        <w:jc w:val="both"/>
        <w:rPr>
          <w:sz w:val="28"/>
          <w:szCs w:val="28"/>
          <w:lang w:val="uk-UA"/>
        </w:rPr>
      </w:pPr>
      <w:r>
        <w:rPr>
          <w:sz w:val="28"/>
          <w:szCs w:val="28"/>
          <w:lang w:val="uk-UA"/>
        </w:rPr>
        <w:t>Больовий синдром у хворих на НАСГ типу носив періодичний характер у 20 (50 %) пацієнтів, постійний ниючий біль відмічали 9 (22,5 %) хворих. У всіх випадках біль локалізувався в правому підребер’ї.</w:t>
      </w:r>
    </w:p>
    <w:p w:rsidR="00077303" w:rsidRDefault="00077303" w:rsidP="00E10867">
      <w:pPr>
        <w:spacing w:line="360" w:lineRule="auto"/>
        <w:ind w:firstLine="709"/>
        <w:jc w:val="both"/>
        <w:rPr>
          <w:sz w:val="28"/>
          <w:szCs w:val="28"/>
          <w:lang w:val="uk-UA"/>
        </w:rPr>
      </w:pPr>
      <w:r>
        <w:rPr>
          <w:sz w:val="28"/>
          <w:szCs w:val="28"/>
          <w:lang w:val="uk-UA"/>
        </w:rPr>
        <w:t>Астеновегетативний синдром у пацієнтів 2 групи характеризувався наявністю зниження працездатності у 31 (77,5 %) хворих, порушенням сну – у 29 (72,5 %) хворих, швидкою стомлюваністю – у 26 (65 %) пацієнтів. Загальну слабкість і дратівливість відзначали 23 (57,5 %) та 19 (47,5 %) хворих відповідно.</w:t>
      </w:r>
    </w:p>
    <w:p w:rsidR="00077303" w:rsidRDefault="00077303" w:rsidP="00E10867">
      <w:pPr>
        <w:spacing w:line="360" w:lineRule="auto"/>
        <w:ind w:firstLine="709"/>
        <w:jc w:val="both"/>
        <w:rPr>
          <w:sz w:val="28"/>
          <w:szCs w:val="28"/>
          <w:lang w:val="uk-UA"/>
        </w:rPr>
      </w:pPr>
      <w:r>
        <w:rPr>
          <w:sz w:val="28"/>
          <w:szCs w:val="28"/>
          <w:lang w:val="uk-UA"/>
        </w:rPr>
        <w:t>При об’єктивному огляді у пацієнтів 2 групи збільшення печінки було виявлено у 39 (97.5 %) хворих, болісність у правому підребер’ї відмічалось у 35 (87,5 %) хворих та здуття живота мали 17 (42,5 %) пацієнтів.</w:t>
      </w:r>
    </w:p>
    <w:p w:rsidR="00077303" w:rsidRDefault="00077303" w:rsidP="00E10867">
      <w:pPr>
        <w:spacing w:line="360" w:lineRule="auto"/>
        <w:ind w:firstLine="709"/>
        <w:jc w:val="both"/>
        <w:rPr>
          <w:sz w:val="28"/>
          <w:szCs w:val="28"/>
          <w:lang w:val="uk-UA"/>
        </w:rPr>
      </w:pPr>
      <w:r>
        <w:rPr>
          <w:sz w:val="28"/>
          <w:szCs w:val="28"/>
          <w:lang w:val="uk-UA"/>
        </w:rPr>
        <w:t xml:space="preserve">Одним з основних методів діагности стеатозу печінки є УЗД органів черевної порожнини. Данні про ультрасонографічні ознаки різних ступенів жирової інфільтрації печінки у хворих обох груп наведено в табл. 2.2.4 </w:t>
      </w:r>
    </w:p>
    <w:p w:rsidR="00077303" w:rsidRDefault="00077303" w:rsidP="00BF0AD1">
      <w:pPr>
        <w:spacing w:line="360" w:lineRule="auto"/>
        <w:ind w:firstLine="709"/>
        <w:jc w:val="both"/>
        <w:rPr>
          <w:sz w:val="28"/>
          <w:szCs w:val="28"/>
          <w:lang w:val="uk-UA"/>
        </w:rPr>
      </w:pPr>
      <w:r>
        <w:rPr>
          <w:sz w:val="28"/>
          <w:szCs w:val="28"/>
          <w:lang w:val="uk-UA"/>
        </w:rPr>
        <w:t>Як видно з табл. 2.4 при оцінці стану печінки за даними УЗД у більшості – 32 (49,2 %) хворих 1 групи виявлений тяжкий ступінь стеатозу печінки (3 ст.), помірний стеатоз (2 ст.)  – у 18 (27,7 %) пацієнтів, 15 (23,1 %) хворих мали м’який стеатоз (1 ст.) печінки. Збільшення печінки від 1 до 2 см мало місце у 29 (44,6 %) хворих, збільшення печінки до 1 см було наявне у 17 (26,2 %) хворих, ураження печінки без збільшення її розмірів виявлено у 10 (15,4 %) пацієнтів та у 9 (13,8 %) хворих печінка була збільшена від 2 до 3 см. У переважного числа 57 (87,7 %) хворих був виявлений дифузний стеатоз печінки, вогнищевий стеатоз – у 8 (12,3 %) пацієнтів.</w:t>
      </w:r>
    </w:p>
    <w:p w:rsidR="00077303" w:rsidRDefault="00077303" w:rsidP="00E10867">
      <w:pPr>
        <w:spacing w:line="360" w:lineRule="auto"/>
        <w:ind w:firstLine="709"/>
        <w:jc w:val="right"/>
        <w:rPr>
          <w:sz w:val="28"/>
          <w:szCs w:val="28"/>
          <w:lang w:val="uk-UA"/>
        </w:rPr>
      </w:pPr>
    </w:p>
    <w:p w:rsidR="00077303" w:rsidRDefault="00077303" w:rsidP="00E10867">
      <w:pPr>
        <w:spacing w:line="360" w:lineRule="auto"/>
        <w:ind w:firstLine="709"/>
        <w:jc w:val="right"/>
        <w:rPr>
          <w:sz w:val="28"/>
          <w:szCs w:val="28"/>
          <w:lang w:val="uk-UA"/>
        </w:rPr>
      </w:pPr>
      <w:r>
        <w:rPr>
          <w:sz w:val="28"/>
          <w:szCs w:val="28"/>
          <w:lang w:val="uk-UA"/>
        </w:rPr>
        <w:lastRenderedPageBreak/>
        <w:t>Таблиця 2.2.4</w:t>
      </w:r>
    </w:p>
    <w:p w:rsidR="00077303" w:rsidRDefault="00077303" w:rsidP="00E10867">
      <w:pPr>
        <w:spacing w:line="360" w:lineRule="auto"/>
        <w:ind w:firstLine="709"/>
        <w:jc w:val="center"/>
        <w:rPr>
          <w:sz w:val="28"/>
          <w:szCs w:val="28"/>
          <w:lang w:val="uk-UA"/>
        </w:rPr>
      </w:pPr>
      <w:r>
        <w:rPr>
          <w:sz w:val="28"/>
          <w:szCs w:val="28"/>
          <w:lang w:val="uk-UA"/>
        </w:rPr>
        <w:t>Ультрасонографічні ознаки стеатозу печінки у хворих 1 та 2 груп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69"/>
        <w:gridCol w:w="2476"/>
        <w:gridCol w:w="2476"/>
      </w:tblGrid>
      <w:tr w:rsidR="00077303" w:rsidTr="00E10867">
        <w:tc>
          <w:tcPr>
            <w:tcW w:w="2624" w:type="pct"/>
            <w:vAlign w:val="center"/>
          </w:tcPr>
          <w:p w:rsidR="00077303" w:rsidRDefault="00077303" w:rsidP="00E10867">
            <w:pPr>
              <w:spacing w:line="360" w:lineRule="auto"/>
              <w:jc w:val="center"/>
              <w:rPr>
                <w:sz w:val="28"/>
                <w:szCs w:val="28"/>
                <w:lang w:val="uk-UA"/>
              </w:rPr>
            </w:pPr>
            <w:r>
              <w:rPr>
                <w:sz w:val="28"/>
                <w:szCs w:val="28"/>
                <w:lang w:val="uk-UA"/>
              </w:rPr>
              <w:t>Данні УЗД</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Хворі 1 групи, n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Хворі 2 групи, n (%)</w:t>
            </w:r>
          </w:p>
        </w:tc>
      </w:tr>
      <w:tr w:rsidR="00077303" w:rsidTr="00E10867">
        <w:tc>
          <w:tcPr>
            <w:tcW w:w="2624" w:type="pct"/>
            <w:vAlign w:val="center"/>
          </w:tcPr>
          <w:p w:rsidR="00077303" w:rsidRDefault="00077303" w:rsidP="00E10867">
            <w:pPr>
              <w:numPr>
                <w:ilvl w:val="0"/>
                <w:numId w:val="3"/>
              </w:numPr>
              <w:spacing w:line="360" w:lineRule="auto"/>
              <w:rPr>
                <w:sz w:val="28"/>
                <w:szCs w:val="28"/>
                <w:lang w:val="uk-UA"/>
              </w:rPr>
            </w:pPr>
            <w:r>
              <w:rPr>
                <w:sz w:val="28"/>
                <w:szCs w:val="28"/>
                <w:lang w:val="uk-UA"/>
              </w:rPr>
              <w:t>Ступінь жирової інфільтрації:</w:t>
            </w:r>
          </w:p>
          <w:p w:rsidR="00077303" w:rsidRDefault="00077303" w:rsidP="00E10867">
            <w:pPr>
              <w:spacing w:line="360" w:lineRule="auto"/>
              <w:rPr>
                <w:sz w:val="28"/>
                <w:szCs w:val="28"/>
                <w:lang w:val="uk-UA"/>
              </w:rPr>
            </w:pPr>
            <w:r>
              <w:rPr>
                <w:sz w:val="28"/>
                <w:szCs w:val="28"/>
                <w:lang w:val="uk-UA"/>
              </w:rPr>
              <w:t xml:space="preserve">–  стеатоз 1 ст.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 xml:space="preserve">15 (23,1 %)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5 (12,5 %)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xml:space="preserve">–  стеатоз 2 ст.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18 (27,7 %)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16 (40 %)</w:t>
            </w:r>
          </w:p>
        </w:tc>
      </w:tr>
      <w:tr w:rsidR="00077303" w:rsidTr="00E10867">
        <w:trPr>
          <w:trHeight w:val="428"/>
        </w:trPr>
        <w:tc>
          <w:tcPr>
            <w:tcW w:w="2624" w:type="pct"/>
            <w:vAlign w:val="center"/>
          </w:tcPr>
          <w:p w:rsidR="00077303" w:rsidRDefault="00077303" w:rsidP="00E10867">
            <w:pPr>
              <w:spacing w:line="360" w:lineRule="auto"/>
              <w:rPr>
                <w:sz w:val="28"/>
                <w:szCs w:val="28"/>
                <w:lang w:val="uk-UA"/>
              </w:rPr>
            </w:pPr>
            <w:r>
              <w:rPr>
                <w:sz w:val="28"/>
                <w:szCs w:val="28"/>
                <w:lang w:val="uk-UA"/>
              </w:rPr>
              <w:t>– стеатоз 3 ст.</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32 (49,2 %)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19 (47,5 %)</w:t>
            </w:r>
          </w:p>
        </w:tc>
      </w:tr>
      <w:tr w:rsidR="00077303" w:rsidTr="00E10867">
        <w:tc>
          <w:tcPr>
            <w:tcW w:w="2624" w:type="pct"/>
            <w:vAlign w:val="center"/>
          </w:tcPr>
          <w:p w:rsidR="00077303" w:rsidRDefault="00077303" w:rsidP="00E10867">
            <w:pPr>
              <w:numPr>
                <w:ilvl w:val="0"/>
                <w:numId w:val="3"/>
              </w:numPr>
              <w:spacing w:line="360" w:lineRule="auto"/>
              <w:rPr>
                <w:sz w:val="28"/>
                <w:szCs w:val="28"/>
                <w:lang w:val="uk-UA"/>
              </w:rPr>
            </w:pPr>
            <w:r>
              <w:rPr>
                <w:sz w:val="28"/>
                <w:szCs w:val="28"/>
                <w:lang w:val="uk-UA"/>
              </w:rPr>
              <w:t>Збільшення печінки:</w:t>
            </w:r>
          </w:p>
          <w:p w:rsidR="00077303" w:rsidRDefault="00077303" w:rsidP="00E10867">
            <w:pPr>
              <w:spacing w:line="360" w:lineRule="auto"/>
              <w:rPr>
                <w:sz w:val="28"/>
                <w:szCs w:val="28"/>
                <w:lang w:val="uk-UA"/>
              </w:rPr>
            </w:pPr>
            <w:r>
              <w:rPr>
                <w:sz w:val="28"/>
                <w:szCs w:val="28"/>
                <w:lang w:val="uk-UA"/>
              </w:rPr>
              <w:t>– печінка не збільшена</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 xml:space="preserve">                                      10 (15,4 %)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1 (2,5 %)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збільшення печінки до 1 см</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17 (26,2 %)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10 (25 %)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збільшення печінки від 1 до 2 см</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29 (44,6 %)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18 (45 %)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збільшення печінки від 2 до 3 см</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9 (13,8 %)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11 (27,5 %)</w:t>
            </w:r>
          </w:p>
        </w:tc>
      </w:tr>
      <w:tr w:rsidR="00077303" w:rsidTr="00E10867">
        <w:tc>
          <w:tcPr>
            <w:tcW w:w="2624" w:type="pct"/>
            <w:vAlign w:val="center"/>
          </w:tcPr>
          <w:p w:rsidR="00077303" w:rsidRDefault="00077303" w:rsidP="00E10867">
            <w:pPr>
              <w:numPr>
                <w:ilvl w:val="0"/>
                <w:numId w:val="3"/>
              </w:numPr>
              <w:spacing w:line="360" w:lineRule="auto"/>
              <w:rPr>
                <w:sz w:val="28"/>
                <w:szCs w:val="28"/>
                <w:lang w:val="uk-UA"/>
              </w:rPr>
            </w:pPr>
            <w:r>
              <w:rPr>
                <w:sz w:val="28"/>
                <w:szCs w:val="28"/>
                <w:lang w:val="uk-UA"/>
              </w:rPr>
              <w:t>За поширеністю та формою інфільтрації:</w:t>
            </w:r>
          </w:p>
          <w:p w:rsidR="00077303" w:rsidRDefault="00077303" w:rsidP="00E10867">
            <w:pPr>
              <w:spacing w:line="360" w:lineRule="auto"/>
              <w:rPr>
                <w:sz w:val="28"/>
                <w:szCs w:val="28"/>
                <w:lang w:val="uk-UA"/>
              </w:rPr>
            </w:pPr>
            <w:r>
              <w:rPr>
                <w:sz w:val="28"/>
                <w:szCs w:val="28"/>
                <w:lang w:val="uk-UA"/>
              </w:rPr>
              <w:t>– дифузний стеатоз</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57 (87,7 %)</w:t>
            </w:r>
          </w:p>
        </w:tc>
        <w:tc>
          <w:tcPr>
            <w:tcW w:w="1188" w:type="pct"/>
            <w:vAlign w:val="center"/>
          </w:tcPr>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p>
          <w:p w:rsidR="00077303" w:rsidRDefault="00077303" w:rsidP="00E10867">
            <w:pPr>
              <w:spacing w:line="360" w:lineRule="auto"/>
              <w:jc w:val="center"/>
              <w:rPr>
                <w:sz w:val="28"/>
                <w:szCs w:val="28"/>
                <w:lang w:val="uk-UA"/>
              </w:rPr>
            </w:pPr>
            <w:r>
              <w:rPr>
                <w:sz w:val="28"/>
                <w:szCs w:val="28"/>
                <w:lang w:val="uk-UA"/>
              </w:rPr>
              <w:t>39 (97,5 %)</w:t>
            </w:r>
          </w:p>
        </w:tc>
      </w:tr>
      <w:tr w:rsidR="00077303" w:rsidTr="00E10867">
        <w:tc>
          <w:tcPr>
            <w:tcW w:w="2624" w:type="pct"/>
            <w:vAlign w:val="center"/>
          </w:tcPr>
          <w:p w:rsidR="00077303" w:rsidRDefault="00077303" w:rsidP="00E10867">
            <w:pPr>
              <w:spacing w:line="360" w:lineRule="auto"/>
              <w:rPr>
                <w:sz w:val="28"/>
                <w:szCs w:val="28"/>
                <w:lang w:val="uk-UA"/>
              </w:rPr>
            </w:pPr>
            <w:r>
              <w:rPr>
                <w:sz w:val="28"/>
                <w:szCs w:val="28"/>
                <w:lang w:val="uk-UA"/>
              </w:rPr>
              <w:t>– вогнищевий стеатоз</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8 (12,3 %)</w:t>
            </w:r>
          </w:p>
        </w:tc>
        <w:tc>
          <w:tcPr>
            <w:tcW w:w="1188" w:type="pct"/>
            <w:vAlign w:val="center"/>
          </w:tcPr>
          <w:p w:rsidR="00077303" w:rsidRDefault="00077303" w:rsidP="00E10867">
            <w:pPr>
              <w:spacing w:line="360" w:lineRule="auto"/>
              <w:jc w:val="center"/>
              <w:rPr>
                <w:sz w:val="28"/>
                <w:szCs w:val="28"/>
                <w:lang w:val="uk-UA"/>
              </w:rPr>
            </w:pPr>
            <w:r>
              <w:rPr>
                <w:sz w:val="28"/>
                <w:szCs w:val="28"/>
                <w:lang w:val="uk-UA"/>
              </w:rPr>
              <w:t>1 (2,5 %)</w:t>
            </w:r>
          </w:p>
        </w:tc>
      </w:tr>
    </w:tbl>
    <w:p w:rsidR="00077303" w:rsidRDefault="00077303" w:rsidP="00E10867">
      <w:pPr>
        <w:spacing w:line="360" w:lineRule="auto"/>
        <w:ind w:firstLine="709"/>
        <w:jc w:val="center"/>
        <w:rPr>
          <w:sz w:val="28"/>
          <w:szCs w:val="28"/>
          <w:lang w:val="uk-UA"/>
        </w:rPr>
      </w:pPr>
    </w:p>
    <w:p w:rsidR="00077303" w:rsidRDefault="00077303" w:rsidP="00E10867">
      <w:pPr>
        <w:spacing w:line="360" w:lineRule="auto"/>
        <w:ind w:firstLine="709"/>
        <w:jc w:val="both"/>
        <w:rPr>
          <w:sz w:val="28"/>
          <w:szCs w:val="28"/>
          <w:lang w:val="uk-UA"/>
        </w:rPr>
      </w:pPr>
      <w:r>
        <w:rPr>
          <w:sz w:val="28"/>
          <w:szCs w:val="28"/>
          <w:lang w:val="uk-UA"/>
        </w:rPr>
        <w:t>Аналізуючи зміни печінки у хворих 2 групи за даними УЗД виявлено, що у переважної кількості пацієнтів –  19 (47,5 %) чоловік, мав місце стеатоз печінки 3 ст., стеатоз 2 ст. спостерігався у 16 (40 %) хворих і лише у 5 (12,5 %) пацієнтів був виявлений м’який (1 ст.) стеатоз печінки. Збільшення печінки від 1 до 2 см було виявлено у 18 (45 %) хворих, у 11 (27,5 %) пацієнтів печінка була збільшена від 2 до 3 см, збільшення розмірів органу до 1 см було наявне у 10 (25 %) хворих та ураження печінки без зміни її розмірів спостерігалося у 1 (2,5 %) пацієнта. Дифузні зміни печінки були виявлені у більшості – 39 (97,5 %) обстежених, вогнищевий стеатоз – у 1 (2,5 %) хворого.</w:t>
      </w:r>
    </w:p>
    <w:p w:rsidR="00077303" w:rsidRDefault="00077303" w:rsidP="00E10867">
      <w:pPr>
        <w:spacing w:line="360" w:lineRule="auto"/>
        <w:ind w:firstLine="709"/>
        <w:jc w:val="both"/>
        <w:rPr>
          <w:sz w:val="28"/>
          <w:szCs w:val="28"/>
          <w:lang w:val="uk-UA"/>
        </w:rPr>
      </w:pPr>
      <w:r>
        <w:rPr>
          <w:sz w:val="28"/>
          <w:szCs w:val="28"/>
          <w:lang w:val="uk-UA"/>
        </w:rPr>
        <w:t xml:space="preserve">Проведення біохімічних аналізів крові показали, що середні значення показників, що відображують функціональний стан печінки – рівень загального білка та його фракцій у сироватці крові, рівень загального білірубіну та його </w:t>
      </w:r>
      <w:r>
        <w:rPr>
          <w:sz w:val="28"/>
          <w:szCs w:val="28"/>
          <w:lang w:val="uk-UA"/>
        </w:rPr>
        <w:lastRenderedPageBreak/>
        <w:t>фракцій, лужної фосфатази, тимолової проби, показники коагулограми, у хворих обох груп не перевищували показників норми.</w:t>
      </w:r>
    </w:p>
    <w:p w:rsidR="00077303" w:rsidRDefault="00077303" w:rsidP="00165F8B">
      <w:pPr>
        <w:spacing w:line="360" w:lineRule="auto"/>
        <w:ind w:firstLine="709"/>
        <w:jc w:val="both"/>
        <w:rPr>
          <w:sz w:val="28"/>
          <w:szCs w:val="28"/>
          <w:lang w:val="uk-UA"/>
        </w:rPr>
      </w:pPr>
      <w:r>
        <w:rPr>
          <w:sz w:val="28"/>
          <w:szCs w:val="28"/>
          <w:lang w:val="uk-UA"/>
        </w:rPr>
        <w:t>При аналізі біохімічних проб печінки у пацієнтів 1 та 2 групи були достеменно підвищені показники АЛТ (</w:t>
      </w:r>
      <w:r>
        <w:rPr>
          <w:sz w:val="28"/>
          <w:szCs w:val="28"/>
        </w:rPr>
        <w:t>p</w:t>
      </w:r>
      <w:r w:rsidRPr="00A81B23">
        <w:rPr>
          <w:sz w:val="28"/>
          <w:szCs w:val="28"/>
          <w:lang w:val="uk-UA"/>
        </w:rPr>
        <w:t xml:space="preserve"> &lt; 0,001</w:t>
      </w:r>
      <w:r>
        <w:rPr>
          <w:sz w:val="28"/>
          <w:szCs w:val="28"/>
          <w:lang w:val="uk-UA"/>
        </w:rPr>
        <w:t>) та АСТ (</w:t>
      </w:r>
      <w:r>
        <w:rPr>
          <w:sz w:val="28"/>
          <w:szCs w:val="28"/>
        </w:rPr>
        <w:t>p</w:t>
      </w:r>
      <w:r w:rsidRPr="00A81B23">
        <w:rPr>
          <w:sz w:val="28"/>
          <w:szCs w:val="28"/>
          <w:lang w:val="uk-UA"/>
        </w:rPr>
        <w:t xml:space="preserve"> &lt; 0,001</w:t>
      </w:r>
      <w:r>
        <w:rPr>
          <w:sz w:val="28"/>
          <w:szCs w:val="28"/>
          <w:lang w:val="uk-UA"/>
        </w:rPr>
        <w:t>) у зрівнянні з контрольною групою, що свідчить про наявність цитолітичного синдрому. Зміни біохімічних показників наведені в табл. 2.2.5</w:t>
      </w:r>
    </w:p>
    <w:p w:rsidR="00077303" w:rsidRDefault="00077303" w:rsidP="00E10867">
      <w:pPr>
        <w:spacing w:line="360" w:lineRule="auto"/>
        <w:ind w:firstLine="709"/>
        <w:jc w:val="right"/>
        <w:rPr>
          <w:sz w:val="28"/>
          <w:szCs w:val="28"/>
          <w:lang w:val="uk-UA"/>
        </w:rPr>
      </w:pPr>
      <w:r>
        <w:rPr>
          <w:sz w:val="28"/>
          <w:szCs w:val="28"/>
          <w:lang w:val="uk-UA"/>
        </w:rPr>
        <w:t>Таблиця 2.2.5</w:t>
      </w:r>
    </w:p>
    <w:p w:rsidR="00077303" w:rsidRDefault="00077303" w:rsidP="00E10867">
      <w:pPr>
        <w:spacing w:line="360" w:lineRule="auto"/>
        <w:ind w:firstLine="709"/>
        <w:jc w:val="center"/>
        <w:rPr>
          <w:sz w:val="28"/>
          <w:szCs w:val="28"/>
          <w:lang w:val="uk-UA"/>
        </w:rPr>
      </w:pPr>
      <w:r>
        <w:rPr>
          <w:sz w:val="28"/>
          <w:szCs w:val="28"/>
          <w:lang w:val="uk-UA"/>
        </w:rPr>
        <w:t>Біохімічні показники у хворих 1 та 2 груп (</w:t>
      </w:r>
      <w:r>
        <w:rPr>
          <w:sz w:val="28"/>
          <w:szCs w:val="28"/>
          <w:lang w:val="en-US"/>
        </w:rPr>
        <w:t>M</w:t>
      </w:r>
      <w:r>
        <w:rPr>
          <w:sz w:val="28"/>
          <w:szCs w:val="28"/>
          <w:lang w:val="uk-UA"/>
        </w:rPr>
        <w:t xml:space="preserve"> </w:t>
      </w:r>
      <w:r>
        <w:rPr>
          <w:sz w:val="28"/>
          <w:szCs w:val="28"/>
        </w:rPr>
        <w:t>±</w:t>
      </w:r>
      <w:r>
        <w:rPr>
          <w:sz w:val="28"/>
          <w:szCs w:val="28"/>
          <w:lang w:val="uk-UA"/>
        </w:rPr>
        <w:t xml:space="preserve"> </w:t>
      </w:r>
      <w:r>
        <w:rPr>
          <w:sz w:val="28"/>
          <w:szCs w:val="28"/>
          <w:lang w:val="en-US"/>
        </w:rPr>
        <w:t>m</w:t>
      </w:r>
      <w:r>
        <w:rPr>
          <w:sz w:val="28"/>
          <w:szCs w:val="28"/>
          <w:lang w:val="uk-U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6"/>
        <w:gridCol w:w="2605"/>
        <w:gridCol w:w="2605"/>
        <w:gridCol w:w="2605"/>
      </w:tblGrid>
      <w:tr w:rsidR="00077303" w:rsidTr="00E10867">
        <w:tc>
          <w:tcPr>
            <w:tcW w:w="1250" w:type="pct"/>
            <w:vAlign w:val="center"/>
          </w:tcPr>
          <w:p w:rsidR="00077303" w:rsidRDefault="00077303" w:rsidP="00E10867">
            <w:pPr>
              <w:spacing w:line="360" w:lineRule="auto"/>
              <w:jc w:val="center"/>
              <w:rPr>
                <w:sz w:val="28"/>
                <w:szCs w:val="28"/>
                <w:lang w:val="uk-UA"/>
              </w:rPr>
            </w:pPr>
            <w:r>
              <w:rPr>
                <w:sz w:val="28"/>
                <w:szCs w:val="28"/>
                <w:lang w:val="uk-UA"/>
              </w:rPr>
              <w:t>Показники, од. вимірювання</w:t>
            </w:r>
          </w:p>
        </w:tc>
        <w:tc>
          <w:tcPr>
            <w:tcW w:w="1250" w:type="pct"/>
            <w:vAlign w:val="center"/>
          </w:tcPr>
          <w:p w:rsidR="00077303" w:rsidRDefault="00077303" w:rsidP="00E10867">
            <w:pPr>
              <w:spacing w:line="360" w:lineRule="auto"/>
              <w:jc w:val="center"/>
              <w:rPr>
                <w:sz w:val="28"/>
                <w:szCs w:val="28"/>
                <w:lang w:val="uk-UA"/>
              </w:rPr>
            </w:pPr>
            <w:r>
              <w:rPr>
                <w:sz w:val="28"/>
                <w:szCs w:val="28"/>
                <w:lang w:val="uk-UA"/>
              </w:rPr>
              <w:t xml:space="preserve">Хворі 1 групи, </w:t>
            </w:r>
          </w:p>
          <w:p w:rsidR="00077303" w:rsidRDefault="00077303" w:rsidP="00E10867">
            <w:pPr>
              <w:spacing w:line="360" w:lineRule="auto"/>
              <w:jc w:val="center"/>
              <w:rPr>
                <w:sz w:val="28"/>
                <w:szCs w:val="28"/>
                <w:lang w:val="uk-UA"/>
              </w:rPr>
            </w:pPr>
            <w:r>
              <w:rPr>
                <w:sz w:val="28"/>
                <w:szCs w:val="28"/>
                <w:lang w:val="uk-UA"/>
              </w:rPr>
              <w:t>(</w:t>
            </w:r>
            <w:r>
              <w:rPr>
                <w:sz w:val="28"/>
                <w:szCs w:val="28"/>
              </w:rPr>
              <w:t>n</w:t>
            </w:r>
            <w:r>
              <w:rPr>
                <w:sz w:val="28"/>
                <w:szCs w:val="28"/>
                <w:lang w:val="uk-UA"/>
              </w:rPr>
              <w:t xml:space="preserve"> = 65)</w:t>
            </w:r>
          </w:p>
        </w:tc>
        <w:tc>
          <w:tcPr>
            <w:tcW w:w="1250" w:type="pct"/>
          </w:tcPr>
          <w:p w:rsidR="00077303" w:rsidRDefault="00077303" w:rsidP="00E10867">
            <w:pPr>
              <w:spacing w:line="360" w:lineRule="auto"/>
              <w:jc w:val="center"/>
              <w:rPr>
                <w:sz w:val="28"/>
                <w:szCs w:val="28"/>
                <w:lang w:val="uk-UA"/>
              </w:rPr>
            </w:pPr>
            <w:r>
              <w:rPr>
                <w:sz w:val="28"/>
                <w:szCs w:val="28"/>
                <w:lang w:val="uk-UA"/>
              </w:rPr>
              <w:t xml:space="preserve">Хворі 2 групи, </w:t>
            </w:r>
          </w:p>
          <w:p w:rsidR="00077303" w:rsidRDefault="00077303" w:rsidP="00E10867">
            <w:pPr>
              <w:spacing w:line="360" w:lineRule="auto"/>
              <w:jc w:val="center"/>
              <w:rPr>
                <w:sz w:val="28"/>
                <w:szCs w:val="28"/>
                <w:lang w:val="uk-UA"/>
              </w:rPr>
            </w:pPr>
            <w:r>
              <w:rPr>
                <w:sz w:val="28"/>
                <w:szCs w:val="28"/>
                <w:lang w:val="uk-UA"/>
              </w:rPr>
              <w:t>(</w:t>
            </w:r>
            <w:r>
              <w:rPr>
                <w:sz w:val="28"/>
                <w:szCs w:val="28"/>
              </w:rPr>
              <w:t>n</w:t>
            </w:r>
            <w:r>
              <w:rPr>
                <w:sz w:val="28"/>
                <w:szCs w:val="28"/>
                <w:lang w:val="uk-UA"/>
              </w:rPr>
              <w:t xml:space="preserve"> = 40)</w:t>
            </w:r>
          </w:p>
        </w:tc>
        <w:tc>
          <w:tcPr>
            <w:tcW w:w="1250" w:type="pct"/>
          </w:tcPr>
          <w:p w:rsidR="00077303" w:rsidRDefault="00077303" w:rsidP="00E10867">
            <w:pPr>
              <w:spacing w:line="360" w:lineRule="auto"/>
              <w:jc w:val="center"/>
              <w:rPr>
                <w:sz w:val="28"/>
                <w:szCs w:val="28"/>
                <w:lang w:val="uk-UA"/>
              </w:rPr>
            </w:pPr>
            <w:r>
              <w:rPr>
                <w:sz w:val="28"/>
                <w:szCs w:val="28"/>
                <w:lang w:val="uk-UA"/>
              </w:rPr>
              <w:t>Контрольна група, (</w:t>
            </w:r>
            <w:r>
              <w:rPr>
                <w:sz w:val="28"/>
                <w:szCs w:val="28"/>
              </w:rPr>
              <w:t>n</w:t>
            </w:r>
            <w:r>
              <w:rPr>
                <w:sz w:val="28"/>
                <w:szCs w:val="28"/>
                <w:lang w:val="uk-UA"/>
              </w:rPr>
              <w:t xml:space="preserve"> = 20)</w:t>
            </w:r>
          </w:p>
        </w:tc>
      </w:tr>
      <w:tr w:rsidR="00077303" w:rsidTr="00E10867">
        <w:tc>
          <w:tcPr>
            <w:tcW w:w="1250" w:type="pct"/>
            <w:vAlign w:val="center"/>
          </w:tcPr>
          <w:p w:rsidR="00077303" w:rsidRDefault="00077303" w:rsidP="00E10867">
            <w:pPr>
              <w:spacing w:line="360" w:lineRule="auto"/>
              <w:rPr>
                <w:sz w:val="28"/>
                <w:szCs w:val="28"/>
              </w:rPr>
            </w:pPr>
            <w:r>
              <w:rPr>
                <w:sz w:val="28"/>
                <w:szCs w:val="28"/>
              </w:rPr>
              <w:t>АЛТ, Од/л</w:t>
            </w:r>
          </w:p>
        </w:tc>
        <w:tc>
          <w:tcPr>
            <w:tcW w:w="1250" w:type="pct"/>
            <w:vAlign w:val="center"/>
          </w:tcPr>
          <w:p w:rsidR="00077303" w:rsidRDefault="00077303" w:rsidP="00C84796">
            <w:pPr>
              <w:spacing w:line="360" w:lineRule="auto"/>
              <w:jc w:val="center"/>
              <w:rPr>
                <w:sz w:val="28"/>
                <w:szCs w:val="28"/>
                <w:lang w:val="en-US"/>
              </w:rPr>
            </w:pPr>
            <w:r>
              <w:rPr>
                <w:sz w:val="28"/>
                <w:szCs w:val="28"/>
                <w:lang w:val="uk-UA"/>
              </w:rPr>
              <w:t>104,0 ± 6,5</w:t>
            </w:r>
            <w: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103,5 ± 7,25</w:t>
            </w:r>
            <w:r>
              <w:t>*</w:t>
            </w:r>
          </w:p>
        </w:tc>
        <w:tc>
          <w:tcPr>
            <w:tcW w:w="1250" w:type="pct"/>
            <w:vAlign w:val="center"/>
          </w:tcPr>
          <w:p w:rsidR="00077303" w:rsidRDefault="00077303" w:rsidP="00E10867">
            <w:pPr>
              <w:spacing w:line="360" w:lineRule="auto"/>
              <w:jc w:val="center"/>
              <w:rPr>
                <w:sz w:val="28"/>
                <w:szCs w:val="28"/>
              </w:rPr>
            </w:pPr>
            <w:r>
              <w:rPr>
                <w:sz w:val="28"/>
                <w:szCs w:val="28"/>
              </w:rPr>
              <w:t>28,0 ±</w:t>
            </w:r>
            <w:r>
              <w:rPr>
                <w:sz w:val="28"/>
                <w:szCs w:val="28"/>
                <w:lang w:val="uk-UA"/>
              </w:rPr>
              <w:t xml:space="preserve"> </w:t>
            </w:r>
            <w:r>
              <w:rPr>
                <w:sz w:val="28"/>
                <w:szCs w:val="28"/>
              </w:rPr>
              <w:t>2,3</w:t>
            </w:r>
          </w:p>
        </w:tc>
      </w:tr>
      <w:tr w:rsidR="00077303" w:rsidTr="00E10867">
        <w:tc>
          <w:tcPr>
            <w:tcW w:w="1250" w:type="pct"/>
            <w:vAlign w:val="center"/>
          </w:tcPr>
          <w:p w:rsidR="00077303" w:rsidRDefault="00077303" w:rsidP="00E10867">
            <w:pPr>
              <w:spacing w:line="360" w:lineRule="auto"/>
              <w:rPr>
                <w:sz w:val="28"/>
                <w:szCs w:val="28"/>
              </w:rPr>
            </w:pPr>
            <w:r>
              <w:rPr>
                <w:sz w:val="28"/>
                <w:szCs w:val="28"/>
              </w:rPr>
              <w:t>АСТ, Од/л</w:t>
            </w:r>
          </w:p>
        </w:tc>
        <w:tc>
          <w:tcPr>
            <w:tcW w:w="1250" w:type="pct"/>
            <w:vAlign w:val="center"/>
          </w:tcPr>
          <w:p w:rsidR="00077303" w:rsidRDefault="00077303" w:rsidP="00C84796">
            <w:pPr>
              <w:spacing w:line="360" w:lineRule="auto"/>
              <w:jc w:val="center"/>
              <w:rPr>
                <w:sz w:val="28"/>
                <w:szCs w:val="28"/>
                <w:lang w:val="en-US"/>
              </w:rPr>
            </w:pPr>
            <w:r>
              <w:rPr>
                <w:sz w:val="28"/>
                <w:szCs w:val="28"/>
                <w:lang w:val="uk-UA"/>
              </w:rPr>
              <w:t>96,0 ± 6,13</w:t>
            </w:r>
            <w: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96,0 ± 6,37</w:t>
            </w:r>
            <w:r>
              <w:t>*</w:t>
            </w:r>
          </w:p>
        </w:tc>
        <w:tc>
          <w:tcPr>
            <w:tcW w:w="1250" w:type="pct"/>
            <w:vAlign w:val="center"/>
          </w:tcPr>
          <w:p w:rsidR="00077303" w:rsidRDefault="00077303" w:rsidP="00E10867">
            <w:pPr>
              <w:spacing w:line="360" w:lineRule="auto"/>
              <w:jc w:val="center"/>
              <w:rPr>
                <w:sz w:val="28"/>
                <w:szCs w:val="28"/>
              </w:rPr>
            </w:pPr>
            <w:r>
              <w:rPr>
                <w:sz w:val="28"/>
                <w:szCs w:val="28"/>
              </w:rPr>
              <w:t>29,5 ±</w:t>
            </w:r>
            <w:r>
              <w:rPr>
                <w:sz w:val="28"/>
                <w:szCs w:val="28"/>
                <w:lang w:val="uk-UA"/>
              </w:rPr>
              <w:t xml:space="preserve"> </w:t>
            </w:r>
            <w:r>
              <w:rPr>
                <w:sz w:val="28"/>
                <w:szCs w:val="28"/>
              </w:rPr>
              <w:t>2,0</w:t>
            </w:r>
          </w:p>
        </w:tc>
      </w:tr>
      <w:tr w:rsidR="00077303" w:rsidTr="00E10867">
        <w:tc>
          <w:tcPr>
            <w:tcW w:w="1250" w:type="pct"/>
            <w:vAlign w:val="center"/>
          </w:tcPr>
          <w:p w:rsidR="00077303" w:rsidRDefault="00077303" w:rsidP="00E10867">
            <w:pPr>
              <w:spacing w:line="360" w:lineRule="auto"/>
              <w:rPr>
                <w:sz w:val="28"/>
                <w:szCs w:val="28"/>
              </w:rPr>
            </w:pPr>
            <w:r>
              <w:rPr>
                <w:sz w:val="28"/>
                <w:szCs w:val="28"/>
              </w:rPr>
              <w:t>ЗХ, ммоль/л</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6,3 ± 0,32</w:t>
            </w:r>
            <w: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5,9 ± 0,14</w:t>
            </w:r>
            <w:r>
              <w:t>*</w:t>
            </w:r>
          </w:p>
        </w:tc>
        <w:tc>
          <w:tcPr>
            <w:tcW w:w="1250" w:type="pct"/>
            <w:vAlign w:val="center"/>
          </w:tcPr>
          <w:p w:rsidR="00077303" w:rsidRDefault="00077303" w:rsidP="00E10867">
            <w:pPr>
              <w:spacing w:line="360" w:lineRule="auto"/>
              <w:jc w:val="center"/>
              <w:rPr>
                <w:sz w:val="28"/>
                <w:szCs w:val="28"/>
              </w:rPr>
            </w:pPr>
            <w:r>
              <w:rPr>
                <w:sz w:val="28"/>
                <w:szCs w:val="28"/>
              </w:rPr>
              <w:t>4,6 ±</w:t>
            </w:r>
            <w:r>
              <w:rPr>
                <w:sz w:val="28"/>
                <w:szCs w:val="28"/>
                <w:lang w:val="uk-UA"/>
              </w:rPr>
              <w:t xml:space="preserve"> </w:t>
            </w:r>
            <w:r>
              <w:rPr>
                <w:sz w:val="28"/>
                <w:szCs w:val="28"/>
              </w:rPr>
              <w:t>0,25</w:t>
            </w:r>
          </w:p>
        </w:tc>
      </w:tr>
      <w:tr w:rsidR="00077303" w:rsidTr="00E10867">
        <w:trPr>
          <w:trHeight w:val="694"/>
        </w:trPr>
        <w:tc>
          <w:tcPr>
            <w:tcW w:w="1250" w:type="pct"/>
            <w:vAlign w:val="center"/>
          </w:tcPr>
          <w:p w:rsidR="00077303" w:rsidRDefault="00077303" w:rsidP="00E10867">
            <w:pPr>
              <w:spacing w:line="360" w:lineRule="auto"/>
              <w:rPr>
                <w:sz w:val="28"/>
                <w:szCs w:val="28"/>
              </w:rPr>
            </w:pPr>
            <w:r>
              <w:rPr>
                <w:sz w:val="28"/>
                <w:szCs w:val="28"/>
              </w:rPr>
              <w:t>β–ЛП, Од</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68,0 ± 2,5</w:t>
            </w:r>
            <w:r>
              <w:t>*</w:t>
            </w:r>
            <w:r>
              <w:rPr>
                <w:sz w:val="28"/>
                <w:szCs w:val="28"/>
              </w:rP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65,0 ± 3,34</w:t>
            </w:r>
            <w:r>
              <w:t>*</w:t>
            </w:r>
          </w:p>
        </w:tc>
        <w:tc>
          <w:tcPr>
            <w:tcW w:w="1250" w:type="pct"/>
            <w:vAlign w:val="center"/>
          </w:tcPr>
          <w:p w:rsidR="00077303" w:rsidRDefault="00077303" w:rsidP="00E10867">
            <w:pPr>
              <w:spacing w:line="360" w:lineRule="auto"/>
              <w:jc w:val="center"/>
              <w:rPr>
                <w:sz w:val="28"/>
                <w:szCs w:val="28"/>
              </w:rPr>
            </w:pPr>
            <w:r>
              <w:rPr>
                <w:sz w:val="28"/>
                <w:szCs w:val="28"/>
              </w:rPr>
              <w:t>41,5 ±</w:t>
            </w:r>
            <w:r>
              <w:rPr>
                <w:sz w:val="28"/>
                <w:szCs w:val="28"/>
                <w:lang w:val="uk-UA"/>
              </w:rPr>
              <w:t xml:space="preserve"> </w:t>
            </w:r>
            <w:r>
              <w:rPr>
                <w:sz w:val="28"/>
                <w:szCs w:val="28"/>
              </w:rPr>
              <w:t>2,0</w:t>
            </w:r>
          </w:p>
        </w:tc>
      </w:tr>
      <w:tr w:rsidR="00077303" w:rsidTr="00E10867">
        <w:tc>
          <w:tcPr>
            <w:tcW w:w="1250" w:type="pct"/>
            <w:vAlign w:val="center"/>
          </w:tcPr>
          <w:p w:rsidR="00077303" w:rsidRDefault="00077303" w:rsidP="00E10867">
            <w:pPr>
              <w:spacing w:line="360" w:lineRule="auto"/>
              <w:rPr>
                <w:sz w:val="28"/>
                <w:szCs w:val="28"/>
              </w:rPr>
            </w:pPr>
            <w:r>
              <w:rPr>
                <w:sz w:val="28"/>
                <w:szCs w:val="28"/>
              </w:rPr>
              <w:t>ТГ, ммоль/л</w:t>
            </w:r>
          </w:p>
        </w:tc>
        <w:tc>
          <w:tcPr>
            <w:tcW w:w="1250" w:type="pct"/>
            <w:vAlign w:val="center"/>
          </w:tcPr>
          <w:p w:rsidR="00077303" w:rsidRDefault="00077303" w:rsidP="00C84796">
            <w:pPr>
              <w:spacing w:line="360" w:lineRule="auto"/>
              <w:jc w:val="center"/>
              <w:rPr>
                <w:sz w:val="28"/>
                <w:szCs w:val="28"/>
                <w:lang w:val="en-US"/>
              </w:rPr>
            </w:pPr>
            <w:r>
              <w:rPr>
                <w:sz w:val="28"/>
                <w:szCs w:val="28"/>
                <w:lang w:val="uk-UA"/>
              </w:rPr>
              <w:t>1,98 ± 0,11</w:t>
            </w:r>
            <w: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1,88 ± 0,11</w:t>
            </w:r>
            <w:r>
              <w:t>*</w:t>
            </w:r>
          </w:p>
        </w:tc>
        <w:tc>
          <w:tcPr>
            <w:tcW w:w="1250" w:type="pct"/>
            <w:vAlign w:val="center"/>
          </w:tcPr>
          <w:p w:rsidR="00077303" w:rsidRDefault="00077303" w:rsidP="00E10867">
            <w:pPr>
              <w:spacing w:line="360" w:lineRule="auto"/>
              <w:jc w:val="center"/>
              <w:rPr>
                <w:sz w:val="28"/>
                <w:szCs w:val="28"/>
              </w:rPr>
            </w:pPr>
            <w:r>
              <w:rPr>
                <w:sz w:val="28"/>
                <w:szCs w:val="28"/>
              </w:rPr>
              <w:t>1,12 ±</w:t>
            </w:r>
            <w:r>
              <w:rPr>
                <w:sz w:val="28"/>
                <w:szCs w:val="28"/>
                <w:lang w:val="uk-UA"/>
              </w:rPr>
              <w:t xml:space="preserve"> </w:t>
            </w:r>
            <w:r>
              <w:rPr>
                <w:sz w:val="28"/>
                <w:szCs w:val="28"/>
              </w:rPr>
              <w:t>0,27</w:t>
            </w:r>
          </w:p>
        </w:tc>
      </w:tr>
      <w:tr w:rsidR="00077303" w:rsidTr="00E10867">
        <w:tc>
          <w:tcPr>
            <w:tcW w:w="1250" w:type="pct"/>
            <w:vAlign w:val="center"/>
          </w:tcPr>
          <w:p w:rsidR="00077303" w:rsidRDefault="00077303" w:rsidP="00E10867">
            <w:pPr>
              <w:spacing w:line="360" w:lineRule="auto"/>
              <w:rPr>
                <w:sz w:val="28"/>
                <w:szCs w:val="28"/>
              </w:rPr>
            </w:pPr>
            <w:r>
              <w:rPr>
                <w:sz w:val="28"/>
                <w:szCs w:val="28"/>
              </w:rPr>
              <w:t>ЛПВЩ, ммоль/л</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0,78 ± 0,1</w:t>
            </w:r>
            <w: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0,82 ± 0,08</w:t>
            </w:r>
            <w:r>
              <w:t>*</w:t>
            </w:r>
          </w:p>
        </w:tc>
        <w:tc>
          <w:tcPr>
            <w:tcW w:w="1250" w:type="pct"/>
            <w:vAlign w:val="center"/>
          </w:tcPr>
          <w:p w:rsidR="00077303" w:rsidRDefault="00077303" w:rsidP="00E10867">
            <w:pPr>
              <w:spacing w:line="360" w:lineRule="auto"/>
              <w:jc w:val="center"/>
              <w:rPr>
                <w:sz w:val="28"/>
                <w:szCs w:val="28"/>
              </w:rPr>
            </w:pPr>
            <w:r>
              <w:rPr>
                <w:sz w:val="28"/>
                <w:szCs w:val="28"/>
              </w:rPr>
              <w:t>1,47 ±</w:t>
            </w:r>
            <w:r>
              <w:rPr>
                <w:sz w:val="28"/>
                <w:szCs w:val="28"/>
                <w:lang w:val="uk-UA"/>
              </w:rPr>
              <w:t xml:space="preserve"> </w:t>
            </w:r>
            <w:r>
              <w:rPr>
                <w:sz w:val="28"/>
                <w:szCs w:val="28"/>
              </w:rPr>
              <w:t>0,26</w:t>
            </w:r>
          </w:p>
        </w:tc>
      </w:tr>
      <w:tr w:rsidR="00077303" w:rsidTr="00E10867">
        <w:tc>
          <w:tcPr>
            <w:tcW w:w="1250" w:type="pct"/>
            <w:vAlign w:val="center"/>
          </w:tcPr>
          <w:p w:rsidR="00077303" w:rsidRDefault="00077303" w:rsidP="00E10867">
            <w:pPr>
              <w:spacing w:line="360" w:lineRule="auto"/>
              <w:rPr>
                <w:sz w:val="28"/>
                <w:szCs w:val="28"/>
              </w:rPr>
            </w:pPr>
            <w:r>
              <w:rPr>
                <w:sz w:val="28"/>
                <w:szCs w:val="28"/>
              </w:rPr>
              <w:t>ЛПНЩ, ммоль/л</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4,71 ± 0,32</w:t>
            </w:r>
            <w:r>
              <w:t>*</w:t>
            </w:r>
            <w:r>
              <w:rPr>
                <w:sz w:val="28"/>
                <w:szCs w:val="28"/>
              </w:rP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4,4 ± 0,25</w:t>
            </w:r>
            <w:r>
              <w:t>*</w:t>
            </w:r>
          </w:p>
        </w:tc>
        <w:tc>
          <w:tcPr>
            <w:tcW w:w="1250" w:type="pct"/>
            <w:vAlign w:val="center"/>
          </w:tcPr>
          <w:p w:rsidR="00077303" w:rsidRDefault="00077303" w:rsidP="00E10867">
            <w:pPr>
              <w:spacing w:line="360" w:lineRule="auto"/>
              <w:jc w:val="center"/>
              <w:rPr>
                <w:sz w:val="28"/>
                <w:szCs w:val="28"/>
              </w:rPr>
            </w:pPr>
            <w:r>
              <w:rPr>
                <w:sz w:val="28"/>
                <w:szCs w:val="28"/>
              </w:rPr>
              <w:t>2,73 ±</w:t>
            </w:r>
            <w:r>
              <w:rPr>
                <w:sz w:val="28"/>
                <w:szCs w:val="28"/>
                <w:lang w:val="uk-UA"/>
              </w:rPr>
              <w:t xml:space="preserve"> </w:t>
            </w:r>
            <w:r>
              <w:rPr>
                <w:sz w:val="28"/>
                <w:szCs w:val="28"/>
              </w:rPr>
              <w:t>0,32</w:t>
            </w:r>
          </w:p>
        </w:tc>
      </w:tr>
      <w:tr w:rsidR="00077303" w:rsidTr="00E10867">
        <w:tc>
          <w:tcPr>
            <w:tcW w:w="1250" w:type="pct"/>
            <w:vAlign w:val="center"/>
          </w:tcPr>
          <w:p w:rsidR="00077303" w:rsidRDefault="00077303" w:rsidP="00E10867">
            <w:pPr>
              <w:spacing w:line="360" w:lineRule="auto"/>
              <w:rPr>
                <w:sz w:val="28"/>
                <w:szCs w:val="28"/>
              </w:rPr>
            </w:pPr>
            <w:r>
              <w:rPr>
                <w:sz w:val="28"/>
                <w:szCs w:val="28"/>
              </w:rPr>
              <w:t>ЛПДНЩ, ммоль/л</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0,51 ± 0,08</w:t>
            </w:r>
            <w:r>
              <w:t>*</w:t>
            </w:r>
            <w:r>
              <w:rPr>
                <w:sz w:val="28"/>
                <w:szCs w:val="28"/>
              </w:rP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0,43 ± 0,06</w:t>
            </w:r>
            <w:r>
              <w:t>*</w:t>
            </w:r>
          </w:p>
        </w:tc>
        <w:tc>
          <w:tcPr>
            <w:tcW w:w="1250" w:type="pct"/>
            <w:vAlign w:val="center"/>
          </w:tcPr>
          <w:p w:rsidR="00077303" w:rsidRDefault="00077303" w:rsidP="00E10867">
            <w:pPr>
              <w:spacing w:line="360" w:lineRule="auto"/>
              <w:jc w:val="center"/>
              <w:rPr>
                <w:sz w:val="28"/>
                <w:szCs w:val="28"/>
              </w:rPr>
            </w:pPr>
            <w:r>
              <w:rPr>
                <w:sz w:val="28"/>
                <w:szCs w:val="28"/>
              </w:rPr>
              <w:t>0,27 ±</w:t>
            </w:r>
            <w:r>
              <w:rPr>
                <w:sz w:val="28"/>
                <w:szCs w:val="28"/>
                <w:lang w:val="uk-UA"/>
              </w:rPr>
              <w:t xml:space="preserve"> </w:t>
            </w:r>
            <w:r>
              <w:rPr>
                <w:sz w:val="28"/>
                <w:szCs w:val="28"/>
              </w:rPr>
              <w:t>0,04</w:t>
            </w:r>
          </w:p>
        </w:tc>
      </w:tr>
      <w:tr w:rsidR="00077303" w:rsidTr="00E10867">
        <w:tc>
          <w:tcPr>
            <w:tcW w:w="1250" w:type="pct"/>
            <w:vAlign w:val="center"/>
          </w:tcPr>
          <w:p w:rsidR="00077303" w:rsidRDefault="00077303" w:rsidP="00E10867">
            <w:pPr>
              <w:spacing w:line="360" w:lineRule="auto"/>
              <w:rPr>
                <w:sz w:val="28"/>
                <w:szCs w:val="28"/>
              </w:rPr>
            </w:pPr>
            <w:r>
              <w:rPr>
                <w:sz w:val="28"/>
                <w:szCs w:val="28"/>
                <w:lang w:val="uk-UA"/>
              </w:rPr>
              <w:t>Коефіцієнт атерогенності</w:t>
            </w:r>
            <w:r>
              <w:rPr>
                <w:sz w:val="28"/>
                <w:szCs w:val="28"/>
              </w:rPr>
              <w:t>, ммоль/л</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4,85 ± 0,5</w:t>
            </w:r>
            <w:r>
              <w:t>*</w:t>
            </w:r>
          </w:p>
        </w:tc>
        <w:tc>
          <w:tcPr>
            <w:tcW w:w="1250" w:type="pct"/>
            <w:vAlign w:val="center"/>
          </w:tcPr>
          <w:p w:rsidR="00077303" w:rsidRDefault="00077303" w:rsidP="00C84796">
            <w:pPr>
              <w:spacing w:line="360" w:lineRule="auto"/>
              <w:jc w:val="center"/>
              <w:rPr>
                <w:sz w:val="28"/>
                <w:szCs w:val="28"/>
                <w:lang w:val="uk-UA"/>
              </w:rPr>
            </w:pPr>
            <w:r>
              <w:rPr>
                <w:sz w:val="28"/>
                <w:szCs w:val="28"/>
                <w:lang w:val="uk-UA"/>
              </w:rPr>
              <w:t>4,55 ± 0,4</w:t>
            </w:r>
            <w:r>
              <w:t>*</w:t>
            </w:r>
          </w:p>
        </w:tc>
        <w:tc>
          <w:tcPr>
            <w:tcW w:w="1250" w:type="pct"/>
            <w:vAlign w:val="center"/>
          </w:tcPr>
          <w:p w:rsidR="00077303" w:rsidRDefault="00077303" w:rsidP="00E10867">
            <w:pPr>
              <w:spacing w:line="360" w:lineRule="auto"/>
              <w:jc w:val="center"/>
              <w:rPr>
                <w:sz w:val="28"/>
                <w:szCs w:val="28"/>
              </w:rPr>
            </w:pPr>
            <w:r>
              <w:rPr>
                <w:sz w:val="28"/>
                <w:szCs w:val="28"/>
              </w:rPr>
              <w:t>2,25</w:t>
            </w:r>
            <w:r>
              <w:rPr>
                <w:sz w:val="28"/>
                <w:szCs w:val="28"/>
                <w:lang w:val="uk-UA"/>
              </w:rPr>
              <w:t xml:space="preserve"> </w:t>
            </w:r>
            <w:r>
              <w:rPr>
                <w:sz w:val="28"/>
                <w:szCs w:val="28"/>
              </w:rPr>
              <w:t>±</w:t>
            </w:r>
            <w:r>
              <w:rPr>
                <w:sz w:val="28"/>
                <w:szCs w:val="28"/>
                <w:lang w:val="uk-UA"/>
              </w:rPr>
              <w:t xml:space="preserve"> </w:t>
            </w:r>
            <w:r>
              <w:rPr>
                <w:sz w:val="28"/>
                <w:szCs w:val="28"/>
              </w:rPr>
              <w:t>0,45</w:t>
            </w:r>
          </w:p>
        </w:tc>
      </w:tr>
    </w:tbl>
    <w:p w:rsidR="00077303" w:rsidRDefault="00077303" w:rsidP="00E10867">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 &lt; 0,001</w:t>
      </w:r>
      <w:r>
        <w:rPr>
          <w:sz w:val="28"/>
          <w:szCs w:val="28"/>
          <w:lang w:val="uk-UA"/>
        </w:rPr>
        <w:t xml:space="preserve"> щодо групи контролю;</w:t>
      </w:r>
    </w:p>
    <w:p w:rsidR="00077303" w:rsidRDefault="00077303" w:rsidP="00E10867">
      <w:pPr>
        <w:spacing w:line="360" w:lineRule="auto"/>
        <w:ind w:left="707" w:firstLine="709"/>
        <w:jc w:val="both"/>
        <w:rPr>
          <w:sz w:val="28"/>
          <w:szCs w:val="28"/>
        </w:rPr>
      </w:pPr>
      <w:r>
        <w:rPr>
          <w:sz w:val="28"/>
          <w:szCs w:val="28"/>
          <w:lang w:val="uk-UA"/>
        </w:rPr>
        <w:t xml:space="preserve"># – </w:t>
      </w:r>
      <w:r>
        <w:rPr>
          <w:sz w:val="28"/>
          <w:szCs w:val="28"/>
        </w:rPr>
        <w:t>p &lt; 0,05</w:t>
      </w:r>
      <w:r>
        <w:rPr>
          <w:sz w:val="28"/>
          <w:szCs w:val="28"/>
          <w:lang w:val="uk-UA"/>
        </w:rPr>
        <w:t xml:space="preserve"> </w:t>
      </w:r>
      <w:r>
        <w:rPr>
          <w:sz w:val="28"/>
          <w:szCs w:val="28"/>
        </w:rPr>
        <w:t xml:space="preserve">щодо </w:t>
      </w:r>
      <w:r w:rsidRPr="00B353F0">
        <w:rPr>
          <w:sz w:val="28"/>
          <w:szCs w:val="28"/>
        </w:rPr>
        <w:t>2</w:t>
      </w:r>
      <w:r>
        <w:rPr>
          <w:sz w:val="28"/>
          <w:szCs w:val="28"/>
        </w:rPr>
        <w:t xml:space="preserve"> групи.</w:t>
      </w:r>
    </w:p>
    <w:p w:rsidR="00077303" w:rsidRDefault="00077303" w:rsidP="00E10867">
      <w:pPr>
        <w:spacing w:line="360" w:lineRule="auto"/>
        <w:ind w:firstLine="709"/>
        <w:jc w:val="both"/>
        <w:rPr>
          <w:sz w:val="28"/>
          <w:szCs w:val="28"/>
          <w:lang w:val="uk-UA"/>
        </w:rPr>
      </w:pPr>
      <w:r>
        <w:rPr>
          <w:sz w:val="28"/>
          <w:szCs w:val="28"/>
          <w:lang w:val="uk-UA"/>
        </w:rPr>
        <w:t>Дисліпідемія мала місце у хворих двох груп. У хворих 2 групи загальний холестерин (ЗХ) був достовірно підвищений щодо групи контролю (</w:t>
      </w:r>
      <w:r>
        <w:rPr>
          <w:sz w:val="28"/>
          <w:szCs w:val="28"/>
        </w:rPr>
        <w:t>p</w:t>
      </w:r>
      <w:r w:rsidRPr="00A81B23">
        <w:rPr>
          <w:sz w:val="28"/>
          <w:szCs w:val="28"/>
          <w:lang w:val="uk-UA"/>
        </w:rPr>
        <w:t xml:space="preserve"> &lt; 0,001</w:t>
      </w:r>
      <w:r>
        <w:rPr>
          <w:sz w:val="28"/>
          <w:szCs w:val="28"/>
          <w:lang w:val="uk-UA"/>
        </w:rPr>
        <w:t>) і складав 5,9 ± 0,14 ммоль/л. У пацієнтів 1 групи також спостерігалась гіперхолестеринемія – 6,3 ± 0,32 ммоль/л (</w:t>
      </w:r>
      <w:r>
        <w:rPr>
          <w:sz w:val="28"/>
          <w:szCs w:val="28"/>
        </w:rPr>
        <w:t>p</w:t>
      </w:r>
      <w:r w:rsidRPr="00A81B23">
        <w:rPr>
          <w:sz w:val="28"/>
          <w:szCs w:val="28"/>
          <w:lang w:val="uk-UA"/>
        </w:rPr>
        <w:t xml:space="preserve"> &lt; 0,001</w:t>
      </w:r>
      <w:r>
        <w:rPr>
          <w:sz w:val="28"/>
          <w:szCs w:val="28"/>
          <w:lang w:val="uk-UA"/>
        </w:rPr>
        <w:t xml:space="preserve">). </w:t>
      </w:r>
      <w:r>
        <w:rPr>
          <w:sz w:val="28"/>
          <w:szCs w:val="28"/>
        </w:rPr>
        <w:t>β</w:t>
      </w:r>
      <w:r>
        <w:rPr>
          <w:sz w:val="28"/>
          <w:szCs w:val="28"/>
          <w:lang w:val="uk-UA"/>
        </w:rPr>
        <w:t>–ЛП були вірогідно підвищені у хворих обох груп: в 1 – 68,0 ± 2,5 Од (</w:t>
      </w:r>
      <w:r>
        <w:rPr>
          <w:sz w:val="28"/>
          <w:szCs w:val="28"/>
        </w:rPr>
        <w:t>p</w:t>
      </w:r>
      <w:r w:rsidRPr="00A81B23">
        <w:rPr>
          <w:sz w:val="28"/>
          <w:szCs w:val="28"/>
          <w:lang w:val="uk-UA"/>
        </w:rPr>
        <w:t xml:space="preserve"> &lt; 0,001</w:t>
      </w:r>
      <w:r>
        <w:rPr>
          <w:sz w:val="28"/>
          <w:szCs w:val="28"/>
          <w:lang w:val="uk-UA"/>
        </w:rPr>
        <w:t>), в 2 – 65,0 ± 3,34 Од (</w:t>
      </w:r>
      <w:r>
        <w:rPr>
          <w:sz w:val="28"/>
          <w:szCs w:val="28"/>
        </w:rPr>
        <w:t>p</w:t>
      </w:r>
      <w:r w:rsidRPr="00A81B23">
        <w:rPr>
          <w:sz w:val="28"/>
          <w:szCs w:val="28"/>
          <w:lang w:val="uk-UA"/>
        </w:rPr>
        <w:t xml:space="preserve"> &lt; 0,001</w:t>
      </w:r>
      <w:r>
        <w:rPr>
          <w:sz w:val="28"/>
          <w:szCs w:val="28"/>
          <w:lang w:val="uk-UA"/>
        </w:rPr>
        <w:t xml:space="preserve">). Однак в 1 групі рівень </w:t>
      </w:r>
      <w:r>
        <w:rPr>
          <w:sz w:val="28"/>
          <w:szCs w:val="28"/>
        </w:rPr>
        <w:t>β</w:t>
      </w:r>
      <w:r>
        <w:rPr>
          <w:sz w:val="28"/>
          <w:szCs w:val="28"/>
          <w:lang w:val="uk-UA"/>
        </w:rPr>
        <w:t>–ЛП, був більш високими, ніж в 2 групі (</w:t>
      </w:r>
      <w:r>
        <w:rPr>
          <w:sz w:val="28"/>
          <w:szCs w:val="28"/>
        </w:rPr>
        <w:t>p &lt; 0,05</w:t>
      </w:r>
      <w:r>
        <w:rPr>
          <w:sz w:val="28"/>
          <w:szCs w:val="28"/>
          <w:lang w:val="uk-UA"/>
        </w:rPr>
        <w:t xml:space="preserve">). Також у 1 </w:t>
      </w:r>
      <w:r>
        <w:rPr>
          <w:sz w:val="28"/>
          <w:szCs w:val="28"/>
          <w:lang w:val="uk-UA"/>
        </w:rPr>
        <w:lastRenderedPageBreak/>
        <w:t>групі достовірно вищими ніж в 1 групі були показники ТГ (</w:t>
      </w:r>
      <w:r>
        <w:rPr>
          <w:sz w:val="28"/>
          <w:szCs w:val="28"/>
        </w:rPr>
        <w:t>p &lt; 0,05</w:t>
      </w:r>
      <w:r>
        <w:rPr>
          <w:sz w:val="28"/>
          <w:szCs w:val="28"/>
          <w:lang w:val="uk-UA"/>
        </w:rPr>
        <w:t>), які складали  1,98 ± 0,11 ммоль/л (</w:t>
      </w:r>
      <w:r>
        <w:rPr>
          <w:sz w:val="28"/>
          <w:szCs w:val="28"/>
        </w:rPr>
        <w:t>p &lt; 0,001</w:t>
      </w:r>
      <w:r>
        <w:rPr>
          <w:sz w:val="28"/>
          <w:szCs w:val="28"/>
          <w:lang w:val="uk-UA"/>
        </w:rPr>
        <w:t>) в 1, та 1,88 ± 0,11 ммоль/л (</w:t>
      </w:r>
      <w:r>
        <w:rPr>
          <w:sz w:val="28"/>
          <w:szCs w:val="28"/>
        </w:rPr>
        <w:t>p &lt; 0,001</w:t>
      </w:r>
      <w:r>
        <w:rPr>
          <w:sz w:val="28"/>
          <w:szCs w:val="28"/>
          <w:lang w:val="uk-UA"/>
        </w:rPr>
        <w:t>) в 2 групі. Рівень ЛПВЩ був вірогідно знижений у 2 групі – 0,82 ± 0,08 ммоль/л (</w:t>
      </w:r>
      <w:r>
        <w:rPr>
          <w:sz w:val="28"/>
          <w:szCs w:val="28"/>
        </w:rPr>
        <w:t>p</w:t>
      </w:r>
      <w:r w:rsidRPr="00A81B23">
        <w:rPr>
          <w:sz w:val="28"/>
          <w:szCs w:val="28"/>
          <w:lang w:val="uk-UA"/>
        </w:rPr>
        <w:t xml:space="preserve"> &lt; 0,001</w:t>
      </w:r>
      <w:r>
        <w:rPr>
          <w:sz w:val="28"/>
          <w:szCs w:val="28"/>
          <w:lang w:val="uk-UA"/>
        </w:rPr>
        <w:t>) та в 1 групі пацієнтів – 0,78 ± 0,1 ммоль/л (</w:t>
      </w:r>
      <w:r>
        <w:rPr>
          <w:sz w:val="28"/>
          <w:szCs w:val="28"/>
        </w:rPr>
        <w:t>p</w:t>
      </w:r>
      <w:r w:rsidRPr="00A81B23">
        <w:rPr>
          <w:sz w:val="28"/>
          <w:szCs w:val="28"/>
          <w:lang w:val="uk-UA"/>
        </w:rPr>
        <w:t xml:space="preserve"> &lt; 0,001</w:t>
      </w:r>
      <w:r>
        <w:rPr>
          <w:sz w:val="28"/>
          <w:szCs w:val="28"/>
          <w:lang w:val="uk-UA"/>
        </w:rPr>
        <w:t>). Вміст ЛПНЩ в сироватці крові у хворих 2 групи фіксувався на рівні 4,4 ± 0,25 ммоль/л (</w:t>
      </w:r>
      <w:r>
        <w:rPr>
          <w:sz w:val="28"/>
          <w:szCs w:val="28"/>
        </w:rPr>
        <w:t>p</w:t>
      </w:r>
      <w:r w:rsidRPr="00A81B23">
        <w:rPr>
          <w:sz w:val="28"/>
          <w:szCs w:val="28"/>
          <w:lang w:val="uk-UA"/>
        </w:rPr>
        <w:t xml:space="preserve"> &lt; 0,001</w:t>
      </w:r>
      <w:r>
        <w:rPr>
          <w:sz w:val="28"/>
          <w:szCs w:val="28"/>
          <w:lang w:val="uk-UA"/>
        </w:rPr>
        <w:t>), 1 – 4,71 ± 0,32 ммоль/л (</w:t>
      </w:r>
      <w:r>
        <w:rPr>
          <w:sz w:val="28"/>
          <w:szCs w:val="28"/>
        </w:rPr>
        <w:t>p</w:t>
      </w:r>
      <w:r w:rsidRPr="00A81B23">
        <w:rPr>
          <w:sz w:val="28"/>
          <w:szCs w:val="28"/>
          <w:lang w:val="uk-UA"/>
        </w:rPr>
        <w:t xml:space="preserve"> &lt; 0,001</w:t>
      </w:r>
      <w:r>
        <w:rPr>
          <w:sz w:val="28"/>
          <w:szCs w:val="28"/>
          <w:lang w:val="uk-UA"/>
        </w:rPr>
        <w:t>), різниця була вірогідною між 1 та 2 групами (</w:t>
      </w:r>
      <w:r>
        <w:rPr>
          <w:sz w:val="28"/>
          <w:szCs w:val="28"/>
        </w:rPr>
        <w:t>p</w:t>
      </w:r>
      <w:r w:rsidRPr="001E1317">
        <w:rPr>
          <w:sz w:val="28"/>
          <w:szCs w:val="28"/>
          <w:lang w:val="uk-UA"/>
        </w:rPr>
        <w:t xml:space="preserve"> &lt; 0,05</w:t>
      </w:r>
      <w:r>
        <w:rPr>
          <w:sz w:val="28"/>
          <w:szCs w:val="28"/>
          <w:lang w:val="uk-UA"/>
        </w:rPr>
        <w:t>). Рівень ЛПДНЩ в 1 групі пацієнтів був вірогідно вище (</w:t>
      </w:r>
      <w:r>
        <w:rPr>
          <w:sz w:val="28"/>
          <w:szCs w:val="28"/>
        </w:rPr>
        <w:t>p</w:t>
      </w:r>
      <w:r w:rsidRPr="001E1317">
        <w:rPr>
          <w:sz w:val="28"/>
          <w:szCs w:val="28"/>
          <w:lang w:val="uk-UA"/>
        </w:rPr>
        <w:t xml:space="preserve"> &lt; 0,05</w:t>
      </w:r>
      <w:r>
        <w:rPr>
          <w:sz w:val="28"/>
          <w:szCs w:val="28"/>
          <w:lang w:val="uk-UA"/>
        </w:rPr>
        <w:t>), ніж у хворих 2 групи –  0,43 ± 0,06 ммоль/л (</w:t>
      </w:r>
      <w:r>
        <w:rPr>
          <w:sz w:val="28"/>
          <w:szCs w:val="28"/>
        </w:rPr>
        <w:t>p</w:t>
      </w:r>
      <w:r w:rsidRPr="00A81B23">
        <w:rPr>
          <w:sz w:val="28"/>
          <w:szCs w:val="28"/>
          <w:lang w:val="uk-UA"/>
        </w:rPr>
        <w:t xml:space="preserve"> &lt; 0,001</w:t>
      </w:r>
      <w:r>
        <w:rPr>
          <w:sz w:val="28"/>
          <w:szCs w:val="28"/>
          <w:lang w:val="uk-UA"/>
        </w:rPr>
        <w:t>) та складав 0,51 ± 0,08 ммоль/л (</w:t>
      </w:r>
      <w:r>
        <w:rPr>
          <w:sz w:val="28"/>
          <w:szCs w:val="28"/>
        </w:rPr>
        <w:t>p</w:t>
      </w:r>
      <w:r w:rsidRPr="00A81B23">
        <w:rPr>
          <w:sz w:val="28"/>
          <w:szCs w:val="28"/>
          <w:lang w:val="uk-UA"/>
        </w:rPr>
        <w:t xml:space="preserve"> &lt; 0,001</w:t>
      </w:r>
      <w:r>
        <w:rPr>
          <w:sz w:val="28"/>
          <w:szCs w:val="28"/>
          <w:lang w:val="uk-UA"/>
        </w:rPr>
        <w:t>) відповідно. Коефіцієнта атерогенності у хворих 1 групи складав  4,85 ± 0,5 ммоль/л (</w:t>
      </w:r>
      <w:r>
        <w:rPr>
          <w:sz w:val="28"/>
          <w:szCs w:val="28"/>
        </w:rPr>
        <w:t>p</w:t>
      </w:r>
      <w:r w:rsidRPr="00A81B23">
        <w:rPr>
          <w:sz w:val="28"/>
          <w:szCs w:val="28"/>
          <w:lang w:val="uk-UA"/>
        </w:rPr>
        <w:t xml:space="preserve"> &lt; 0,001</w:t>
      </w:r>
      <w:r>
        <w:rPr>
          <w:sz w:val="28"/>
          <w:szCs w:val="28"/>
          <w:lang w:val="uk-UA"/>
        </w:rPr>
        <w:t>), у пацієнтів 2 групи – 4,55 ± 0,4  ммоль/л (</w:t>
      </w:r>
      <w:r>
        <w:rPr>
          <w:sz w:val="28"/>
          <w:szCs w:val="28"/>
        </w:rPr>
        <w:t>p</w:t>
      </w:r>
      <w:r w:rsidRPr="00A81B23">
        <w:rPr>
          <w:sz w:val="28"/>
          <w:szCs w:val="28"/>
          <w:lang w:val="uk-UA"/>
        </w:rPr>
        <w:t xml:space="preserve"> &lt; 0,001</w:t>
      </w:r>
      <w:r>
        <w:rPr>
          <w:sz w:val="28"/>
          <w:szCs w:val="28"/>
          <w:lang w:val="uk-UA"/>
        </w:rPr>
        <w:t>), достовірної різниці між групами відмічено не було.</w:t>
      </w:r>
    </w:p>
    <w:p w:rsidR="00077303" w:rsidRDefault="00077303" w:rsidP="00E10867">
      <w:pPr>
        <w:spacing w:line="360" w:lineRule="auto"/>
        <w:ind w:firstLine="709"/>
        <w:jc w:val="both"/>
        <w:rPr>
          <w:sz w:val="28"/>
          <w:szCs w:val="28"/>
          <w:lang w:val="uk-UA"/>
        </w:rPr>
      </w:pPr>
      <w:r>
        <w:rPr>
          <w:sz w:val="28"/>
          <w:szCs w:val="28"/>
          <w:lang w:val="uk-UA"/>
        </w:rPr>
        <w:t>Отримані нами дані узгоджуються з літературними даними про більшу питому вагу НАСГ у пацієнтів з ЦД 2 типу. У цьому випадку в печінку надходить надмірна кількість жирів і вуглеводів, які перетворюються в жирні кислоти, що є субстратом для синтезу ТГ і ЛПНЩ, які накопичуються в гепатоцитах [261]. З останніх, завдяки підвищенню активності трігліцерідсінтетази і тригліцеридліпази, синтезуються β–ліпопротеїди. ЛПВЩ були достовірно (р &lt; 0,001) знижені в двох групах спостережень, що зумовлено високим рівнем ТГ в сироватці крові [9],  однак достовірних відмінностей рівнів ЛПВЩ в 1 і 2 групах виявити не вдалося.</w:t>
      </w:r>
    </w:p>
    <w:p w:rsidR="00077303" w:rsidRDefault="00077303" w:rsidP="00E10867">
      <w:pPr>
        <w:spacing w:line="360" w:lineRule="auto"/>
        <w:ind w:firstLine="709"/>
        <w:jc w:val="both"/>
        <w:rPr>
          <w:sz w:val="28"/>
          <w:szCs w:val="28"/>
          <w:lang w:val="uk-UA"/>
        </w:rPr>
      </w:pPr>
      <w:r>
        <w:rPr>
          <w:sz w:val="28"/>
          <w:szCs w:val="28"/>
          <w:lang w:val="uk-UA"/>
        </w:rPr>
        <w:t>Показники умовної норми встановлювалися на підставі обстеження 20 практично здорових осіб того ж віку і статі, що і в вищевказаних групах.</w:t>
      </w:r>
    </w:p>
    <w:p w:rsidR="00077303" w:rsidRDefault="00077303" w:rsidP="00E10867">
      <w:pPr>
        <w:spacing w:line="360" w:lineRule="auto"/>
        <w:ind w:firstLine="709"/>
        <w:jc w:val="both"/>
        <w:rPr>
          <w:sz w:val="28"/>
          <w:szCs w:val="28"/>
          <w:lang w:val="uk-UA"/>
        </w:rPr>
      </w:pPr>
      <w:r>
        <w:rPr>
          <w:sz w:val="28"/>
          <w:szCs w:val="28"/>
          <w:lang w:val="uk-UA"/>
        </w:rPr>
        <w:t>Контрольну групу склали 20 практично здорових осіб у віці від 20 до 40 років. В контрольну групу включались особи за умови відсутності скарг при опитуванні та відсутності патологічних змін при фізикальному обстеженні. Показники лабораторних та інструментальних методів дослідження відповідали середнім цифрам, характерним для здорових людей.</w:t>
      </w:r>
    </w:p>
    <w:p w:rsidR="00077303" w:rsidRPr="001F0B9F" w:rsidRDefault="00077303" w:rsidP="001E1317">
      <w:pPr>
        <w:spacing w:line="360" w:lineRule="auto"/>
        <w:ind w:firstLine="709"/>
        <w:jc w:val="center"/>
        <w:rPr>
          <w:b/>
          <w:sz w:val="28"/>
          <w:szCs w:val="28"/>
          <w:lang w:val="uk-UA"/>
        </w:rPr>
      </w:pPr>
      <w:r w:rsidRPr="001F0B9F">
        <w:rPr>
          <w:b/>
          <w:sz w:val="28"/>
          <w:szCs w:val="28"/>
          <w:lang w:val="uk-UA"/>
        </w:rPr>
        <w:t>2.3.Методи обстеження хворих.</w:t>
      </w:r>
    </w:p>
    <w:p w:rsidR="00077303" w:rsidRDefault="00077303" w:rsidP="001E1317">
      <w:pPr>
        <w:spacing w:line="360" w:lineRule="auto"/>
        <w:ind w:firstLine="709"/>
        <w:jc w:val="both"/>
        <w:rPr>
          <w:sz w:val="28"/>
          <w:szCs w:val="28"/>
          <w:lang w:val="uk-UA"/>
        </w:rPr>
      </w:pPr>
      <w:r>
        <w:rPr>
          <w:sz w:val="28"/>
          <w:szCs w:val="28"/>
          <w:lang w:val="uk-UA"/>
        </w:rPr>
        <w:t xml:space="preserve">Проводилися наступні методи дослідження: клініко – анамнестичні, лабораторно–інструментальне обстеження хворих проводилися згідно наказу № 271 МОЗ України «Про затвердження протоколів надання медичної допомоги за </w:t>
      </w:r>
      <w:r>
        <w:rPr>
          <w:sz w:val="28"/>
          <w:szCs w:val="28"/>
          <w:lang w:val="uk-UA"/>
        </w:rPr>
        <w:lastRenderedPageBreak/>
        <w:t>спеціальністю «Гастроентерологія»». Застосовували клінічні аналізи крові, сечі, визначення рівня глюкози в сироватці крові, аналіз калу на приховану кров, дослідження загального білка та білкових фракцій, загального білірубіна та його фракцій, активність амінотрансфераз, лужної фосфатази, тимолової проби, показників коагулограми, визначення  загального холестерина, β–ліпопротеїдів, ТГ, ЛПНЩ, ЛПВЩ, ЛПДНЩ, визначення коефіцієнту атерогенності. Всім хворим проводили визначення маркерів вірусних гепатитів В та С методом полімеразної ланцюгової реакції (ПЛР) – ПЛР–</w:t>
      </w:r>
      <w:r>
        <w:rPr>
          <w:sz w:val="28"/>
          <w:szCs w:val="28"/>
          <w:lang w:val="en-US"/>
        </w:rPr>
        <w:t>HBV</w:t>
      </w:r>
      <w:r>
        <w:rPr>
          <w:sz w:val="28"/>
          <w:szCs w:val="28"/>
          <w:lang w:val="uk-UA"/>
        </w:rPr>
        <w:t xml:space="preserve"> </w:t>
      </w:r>
      <w:r>
        <w:rPr>
          <w:sz w:val="28"/>
          <w:szCs w:val="28"/>
          <w:lang w:val="en-US"/>
        </w:rPr>
        <w:t>DNA</w:t>
      </w:r>
      <w:r>
        <w:rPr>
          <w:sz w:val="28"/>
          <w:szCs w:val="28"/>
          <w:lang w:val="uk-UA"/>
        </w:rPr>
        <w:t>, ПЛР–</w:t>
      </w:r>
      <w:r>
        <w:rPr>
          <w:sz w:val="28"/>
          <w:szCs w:val="28"/>
          <w:lang w:val="en-US"/>
        </w:rPr>
        <w:t>HCV</w:t>
      </w:r>
      <w:r>
        <w:rPr>
          <w:sz w:val="28"/>
          <w:szCs w:val="28"/>
          <w:lang w:val="uk-UA"/>
        </w:rPr>
        <w:t xml:space="preserve"> </w:t>
      </w:r>
      <w:r>
        <w:rPr>
          <w:sz w:val="28"/>
          <w:szCs w:val="28"/>
          <w:lang w:val="en-US"/>
        </w:rPr>
        <w:t>RNA</w:t>
      </w:r>
      <w:r>
        <w:rPr>
          <w:sz w:val="28"/>
          <w:szCs w:val="28"/>
          <w:lang w:val="uk-UA"/>
        </w:rPr>
        <w:t xml:space="preserve">. </w:t>
      </w:r>
      <w:r w:rsidRPr="00D40EA8">
        <w:rPr>
          <w:sz w:val="28"/>
          <w:szCs w:val="28"/>
          <w:lang w:val="uk-UA"/>
        </w:rPr>
        <w:t xml:space="preserve">Для розпізнавання прихованої алкогольної залежності </w:t>
      </w:r>
      <w:r>
        <w:rPr>
          <w:sz w:val="28"/>
          <w:szCs w:val="28"/>
          <w:lang w:val="uk-UA"/>
        </w:rPr>
        <w:t>та д</w:t>
      </w:r>
      <w:r w:rsidRPr="00D40EA8">
        <w:rPr>
          <w:sz w:val="28"/>
          <w:szCs w:val="28"/>
          <w:lang w:val="uk-UA"/>
        </w:rPr>
        <w:t xml:space="preserve">ля виявлення соматичних еквівалентів </w:t>
      </w:r>
      <w:r>
        <w:rPr>
          <w:sz w:val="28"/>
          <w:szCs w:val="28"/>
          <w:lang w:val="uk-UA"/>
        </w:rPr>
        <w:t>хронічної алкогольної інтоксикації була</w:t>
      </w:r>
      <w:r w:rsidRPr="00D40EA8">
        <w:rPr>
          <w:sz w:val="28"/>
          <w:szCs w:val="28"/>
          <w:lang w:val="uk-UA"/>
        </w:rPr>
        <w:t xml:space="preserve"> використ</w:t>
      </w:r>
      <w:r>
        <w:rPr>
          <w:sz w:val="28"/>
          <w:szCs w:val="28"/>
          <w:lang w:val="uk-UA"/>
        </w:rPr>
        <w:t>ана сітка</w:t>
      </w:r>
      <w:r w:rsidRPr="00D40EA8">
        <w:rPr>
          <w:sz w:val="28"/>
          <w:szCs w:val="28"/>
          <w:lang w:val="uk-UA"/>
        </w:rPr>
        <w:t xml:space="preserve"> LeGo</w:t>
      </w:r>
      <w:r>
        <w:rPr>
          <w:sz w:val="28"/>
          <w:szCs w:val="28"/>
          <w:lang w:val="uk-UA"/>
        </w:rPr>
        <w:t>. Із інструментальних методів були використані: ультразвукове дослідження (УЗД) печінки та фіброгастродуоденоскопія (ФГДС), з метою виключення інших супутніх захворювань травного тракту та ознак портальної гіпертензії.</w:t>
      </w:r>
    </w:p>
    <w:p w:rsidR="00077303" w:rsidRDefault="00077303" w:rsidP="001E1317">
      <w:pPr>
        <w:spacing w:line="360" w:lineRule="auto"/>
        <w:ind w:firstLine="709"/>
        <w:jc w:val="both"/>
        <w:rPr>
          <w:sz w:val="28"/>
          <w:szCs w:val="28"/>
          <w:lang w:val="uk-UA"/>
        </w:rPr>
      </w:pPr>
      <w:r>
        <w:rPr>
          <w:sz w:val="28"/>
          <w:szCs w:val="28"/>
          <w:lang w:val="uk-UA"/>
        </w:rPr>
        <w:t>Вміст L–карнітину, гомоцистеїну, ФНП–α, ІЛ–6, МДА та оксиду азоту оцінювали до і після курсу лікування шляхом забору крові на перший день (до початку лікування) та на 31 день лікування.</w:t>
      </w:r>
    </w:p>
    <w:p w:rsidR="00077303" w:rsidRDefault="00077303" w:rsidP="001E1317">
      <w:pPr>
        <w:spacing w:line="360" w:lineRule="auto"/>
        <w:ind w:firstLine="709"/>
        <w:jc w:val="both"/>
        <w:rPr>
          <w:sz w:val="28"/>
          <w:szCs w:val="28"/>
          <w:lang w:val="uk-UA"/>
        </w:rPr>
      </w:pPr>
    </w:p>
    <w:p w:rsidR="00077303" w:rsidRPr="001F0B9F" w:rsidRDefault="00077303" w:rsidP="001E1317">
      <w:pPr>
        <w:spacing w:line="360" w:lineRule="auto"/>
        <w:ind w:firstLine="709"/>
        <w:jc w:val="both"/>
        <w:rPr>
          <w:b/>
          <w:sz w:val="28"/>
          <w:szCs w:val="28"/>
          <w:lang w:val="uk-UA"/>
        </w:rPr>
      </w:pPr>
      <w:r w:rsidRPr="001F0B9F">
        <w:rPr>
          <w:b/>
          <w:sz w:val="28"/>
          <w:szCs w:val="28"/>
          <w:lang w:val="uk-UA"/>
        </w:rPr>
        <w:t>2.3.1. Методи лабораторного дослідження.</w:t>
      </w:r>
    </w:p>
    <w:p w:rsidR="00077303" w:rsidRDefault="00077303" w:rsidP="001E1317">
      <w:pPr>
        <w:spacing w:line="360" w:lineRule="auto"/>
        <w:ind w:firstLine="709"/>
        <w:jc w:val="both"/>
        <w:rPr>
          <w:sz w:val="28"/>
          <w:szCs w:val="28"/>
          <w:lang w:val="uk-UA"/>
        </w:rPr>
      </w:pPr>
      <w:r>
        <w:rPr>
          <w:sz w:val="28"/>
          <w:szCs w:val="28"/>
          <w:lang w:val="uk-UA"/>
        </w:rPr>
        <w:t xml:space="preserve">Рівень L–карнітину сироватки крові визначали методом імуноферментного аналізу за допомогою набору Human L–Carnitin ELISA </w:t>
      </w:r>
      <w:r>
        <w:rPr>
          <w:sz w:val="28"/>
          <w:szCs w:val="28"/>
          <w:lang w:val="en-US"/>
        </w:rPr>
        <w:t>Kit</w:t>
      </w:r>
      <w:r>
        <w:rPr>
          <w:sz w:val="28"/>
          <w:szCs w:val="28"/>
          <w:lang w:val="uk-UA"/>
        </w:rPr>
        <w:t xml:space="preserve"> виробництва фірми </w:t>
      </w:r>
      <w:r>
        <w:rPr>
          <w:sz w:val="28"/>
          <w:szCs w:val="28"/>
          <w:lang w:val="en-US"/>
        </w:rPr>
        <w:t>Biotech</w:t>
      </w:r>
      <w:r>
        <w:rPr>
          <w:sz w:val="28"/>
          <w:szCs w:val="28"/>
          <w:lang w:val="uk-UA"/>
        </w:rPr>
        <w:t xml:space="preserve"> (США). Принцип методу полягає в </w:t>
      </w:r>
      <w:r>
        <w:rPr>
          <w:color w:val="000000"/>
          <w:sz w:val="28"/>
          <w:szCs w:val="28"/>
          <w:shd w:val="clear" w:color="auto" w:fill="FFFFFF"/>
          <w:lang w:val="uk-UA"/>
        </w:rPr>
        <w:t xml:space="preserve">з’ясовуванні ступеню зв’язування аналізуємих зразків </w:t>
      </w:r>
      <w:r>
        <w:rPr>
          <w:sz w:val="28"/>
          <w:szCs w:val="28"/>
          <w:lang w:val="uk-UA"/>
        </w:rPr>
        <w:t xml:space="preserve">антитілами специфічними до L–карнитину, що були попередньо нанесені на поверхню лунок мікропланшетів. Стандарти та зразки, що містять L–карнітин, </w:t>
      </w:r>
      <w:r>
        <w:rPr>
          <w:color w:val="000000"/>
          <w:sz w:val="28"/>
          <w:szCs w:val="28"/>
          <w:shd w:val="clear" w:color="auto" w:fill="FFFFFF"/>
          <w:lang w:val="uk-UA"/>
        </w:rPr>
        <w:t xml:space="preserve">зв’язуються з іммобілізованими </w:t>
      </w:r>
      <w:r>
        <w:rPr>
          <w:sz w:val="28"/>
          <w:szCs w:val="28"/>
          <w:lang w:val="uk-UA"/>
        </w:rPr>
        <w:t>антитілами під час інкубації. Незв’язані матеріали видаляються, з послідуючим внесенням в кожну лунку біотинілірованих антитіл. Інкубація проводиться на протязі 60 хвилин при температурі 37</w:t>
      </w:r>
      <w:r>
        <w:rPr>
          <w:sz w:val="28"/>
          <w:szCs w:val="28"/>
          <w:vertAlign w:val="superscript"/>
          <w:lang w:val="uk-UA"/>
        </w:rPr>
        <w:t>о</w:t>
      </w:r>
      <w:r>
        <w:rPr>
          <w:sz w:val="28"/>
          <w:szCs w:val="28"/>
          <w:lang w:val="uk-UA"/>
        </w:rPr>
        <w:t>С. Після видалення незв’язаних залишків та промивки вноситься авігін–</w:t>
      </w:r>
      <w:r>
        <w:rPr>
          <w:lang w:val="uk-UA"/>
        </w:rPr>
        <w:t xml:space="preserve"> </w:t>
      </w:r>
      <w:r>
        <w:rPr>
          <w:sz w:val="28"/>
          <w:szCs w:val="28"/>
          <w:lang w:val="uk-UA"/>
        </w:rPr>
        <w:t xml:space="preserve">кон’югат з послідуючою інкубацією та внесенням тетраметілбензідіну. Для припинення реакції після інкубації у темряві додається стоп–реагент. За допомогою аналізатора імуноферментних реакцій АІФР–01 «УНИПЛАН», 2001 р., (Москва) визначали </w:t>
      </w:r>
      <w:r>
        <w:rPr>
          <w:sz w:val="28"/>
          <w:szCs w:val="28"/>
          <w:lang w:val="uk-UA"/>
        </w:rPr>
        <w:lastRenderedPageBreak/>
        <w:t>концентрацію L–карнітину, вимірюючи оптичну густину на довжині хвилі – 450 нм. Діапазон вимірювання набору від 0,312 до 20 нг/мл (0,774 – 49,6 мкмоль/л).</w:t>
      </w:r>
    </w:p>
    <w:p w:rsidR="00077303" w:rsidRDefault="00077303" w:rsidP="001E1317">
      <w:pPr>
        <w:spacing w:line="360" w:lineRule="auto"/>
        <w:ind w:firstLine="709"/>
        <w:jc w:val="both"/>
        <w:rPr>
          <w:sz w:val="28"/>
          <w:szCs w:val="28"/>
          <w:lang w:val="uk-UA"/>
        </w:rPr>
      </w:pPr>
      <w:r>
        <w:rPr>
          <w:sz w:val="28"/>
          <w:szCs w:val="28"/>
          <w:lang w:val="uk-UA"/>
        </w:rPr>
        <w:t xml:space="preserve">Рівень ГЦ сироватки крові визначали шляхом імуноферментного аналізу за допомогою набору </w:t>
      </w:r>
      <w:r>
        <w:rPr>
          <w:sz w:val="28"/>
          <w:szCs w:val="28"/>
          <w:shd w:val="clear" w:color="auto" w:fill="FFFFFF"/>
        </w:rPr>
        <w:t>Axis</w:t>
      </w:r>
      <w:r>
        <w:rPr>
          <w:sz w:val="28"/>
          <w:szCs w:val="28"/>
          <w:shd w:val="clear" w:color="auto" w:fill="FFFFFF"/>
          <w:lang w:val="uk-UA"/>
        </w:rPr>
        <w:t xml:space="preserve"> Homocysteine EIA</w:t>
      </w:r>
      <w:r>
        <w:rPr>
          <w:sz w:val="28"/>
          <w:szCs w:val="28"/>
          <w:lang w:val="uk-UA"/>
        </w:rPr>
        <w:t xml:space="preserve"> виробництва фірми </w:t>
      </w:r>
      <w:r>
        <w:rPr>
          <w:sz w:val="28"/>
          <w:szCs w:val="28"/>
          <w:shd w:val="clear" w:color="auto" w:fill="FFFFFF"/>
        </w:rPr>
        <w:t>Axis</w:t>
      </w:r>
      <w:r>
        <w:rPr>
          <w:sz w:val="28"/>
          <w:szCs w:val="28"/>
          <w:shd w:val="clear" w:color="auto" w:fill="FFFFFF"/>
          <w:lang w:val="uk-UA"/>
        </w:rPr>
        <w:t>–</w:t>
      </w:r>
      <w:r>
        <w:rPr>
          <w:sz w:val="28"/>
          <w:szCs w:val="28"/>
          <w:shd w:val="clear" w:color="auto" w:fill="FFFFFF"/>
        </w:rPr>
        <w:t>Shield</w:t>
      </w:r>
      <w:r>
        <w:rPr>
          <w:sz w:val="28"/>
          <w:szCs w:val="28"/>
          <w:lang w:val="uk-UA"/>
        </w:rPr>
        <w:t xml:space="preserve">, (Великобританія).  Принцип методу полягає в </w:t>
      </w:r>
      <w:r>
        <w:rPr>
          <w:color w:val="000000"/>
          <w:sz w:val="28"/>
          <w:szCs w:val="28"/>
          <w:shd w:val="clear" w:color="auto" w:fill="FFFFFF"/>
          <w:lang w:val="uk-UA"/>
        </w:rPr>
        <w:t xml:space="preserve">конкурентному зв’язуванні </w:t>
      </w:r>
      <w:r>
        <w:rPr>
          <w:sz w:val="28"/>
          <w:szCs w:val="28"/>
          <w:shd w:val="clear" w:color="auto" w:fill="FFFFFF"/>
        </w:rPr>
        <w:t>S</w:t>
      </w:r>
      <w:r>
        <w:rPr>
          <w:color w:val="000000"/>
          <w:sz w:val="28"/>
          <w:szCs w:val="28"/>
          <w:shd w:val="clear" w:color="auto" w:fill="FFFFFF"/>
          <w:lang w:val="uk-UA"/>
        </w:rPr>
        <w:t xml:space="preserve">–аденозіл–L–гомоцистеїну вивчаємих зразків з моноклональними </w:t>
      </w:r>
      <w:r>
        <w:rPr>
          <w:sz w:val="28"/>
          <w:szCs w:val="28"/>
          <w:lang w:val="uk-UA"/>
        </w:rPr>
        <w:t xml:space="preserve">антитілами специфічними до </w:t>
      </w:r>
      <w:r>
        <w:rPr>
          <w:sz w:val="28"/>
          <w:szCs w:val="28"/>
          <w:shd w:val="clear" w:color="auto" w:fill="FFFFFF"/>
        </w:rPr>
        <w:t>S</w:t>
      </w:r>
      <w:r>
        <w:rPr>
          <w:color w:val="000000"/>
          <w:sz w:val="28"/>
          <w:szCs w:val="28"/>
          <w:shd w:val="clear" w:color="auto" w:fill="FFFFFF"/>
          <w:lang w:val="uk-UA"/>
        </w:rPr>
        <w:t>–аденозіл–L</w:t>
      </w:r>
      <w:r>
        <w:rPr>
          <w:sz w:val="28"/>
          <w:szCs w:val="28"/>
          <w:lang w:val="uk-UA"/>
        </w:rPr>
        <w:t xml:space="preserve">–гомоцистеїну, що були попередньо нанесені на поверхню лунок мікропланшетів. Отримана абсорбція обернено пропорційна концентрації загального гомоцистеїну у вивчаємій пробі. В зразки, що аналізуються додається дітіотреітол, що відновлює зв’язаний з білками гомоцистеїн до вільного гомоцистеїну під час інкубації.  Після видалення незв’язаних залишків та промивки вноситься  </w:t>
      </w:r>
      <w:r>
        <w:rPr>
          <w:sz w:val="28"/>
          <w:szCs w:val="28"/>
          <w:shd w:val="clear" w:color="auto" w:fill="FFFFFF"/>
        </w:rPr>
        <w:t>S</w:t>
      </w:r>
      <w:r>
        <w:rPr>
          <w:color w:val="000000"/>
          <w:sz w:val="28"/>
          <w:szCs w:val="28"/>
          <w:shd w:val="clear" w:color="auto" w:fill="FFFFFF"/>
          <w:lang w:val="uk-UA"/>
        </w:rPr>
        <w:t>–аденозіл–L</w:t>
      </w:r>
      <w:r>
        <w:rPr>
          <w:sz w:val="28"/>
          <w:szCs w:val="28"/>
          <w:lang w:val="uk-UA"/>
        </w:rPr>
        <w:t xml:space="preserve">–гомоцистеїнгідролаза, яка в присутності надлишкової концентрації аденозіну, перетворює гомоцистеїн в </w:t>
      </w:r>
      <w:r>
        <w:rPr>
          <w:sz w:val="28"/>
          <w:szCs w:val="28"/>
          <w:shd w:val="clear" w:color="auto" w:fill="FFFFFF"/>
        </w:rPr>
        <w:t>S</w:t>
      </w:r>
      <w:r>
        <w:rPr>
          <w:color w:val="000000"/>
          <w:sz w:val="28"/>
          <w:szCs w:val="28"/>
          <w:shd w:val="clear" w:color="auto" w:fill="FFFFFF"/>
          <w:lang w:val="uk-UA"/>
        </w:rPr>
        <w:t>–аденозіл–L</w:t>
      </w:r>
      <w:r>
        <w:rPr>
          <w:sz w:val="28"/>
          <w:szCs w:val="28"/>
          <w:lang w:val="uk-UA"/>
        </w:rPr>
        <w:t>–гомоцистеїн. Матеріали, що не зв’язались, видаляються та вноситься авігін–кон’югат з послідуючою інкубацією та внесенням тетраметілбензідіну.  Для припинення реакції після інкубації додається стоп–реагент. За допомогою аналізатора імуноферментних реакцій АІФР–01 «УНИПЛАН»</w:t>
      </w:r>
      <w:r w:rsidRPr="00490C56">
        <w:rPr>
          <w:sz w:val="28"/>
          <w:szCs w:val="28"/>
          <w:lang w:val="uk-UA"/>
        </w:rPr>
        <w:t xml:space="preserve"> </w:t>
      </w:r>
      <w:r>
        <w:rPr>
          <w:sz w:val="28"/>
          <w:szCs w:val="28"/>
          <w:lang w:val="uk-UA"/>
        </w:rPr>
        <w:t>2001 р., (Москва) визначали концентрацію</w:t>
      </w:r>
      <w:r>
        <w:rPr>
          <w:sz w:val="28"/>
          <w:szCs w:val="28"/>
          <w:shd w:val="clear" w:color="auto" w:fill="FFFFFF"/>
          <w:lang w:val="uk-UA"/>
        </w:rPr>
        <w:t xml:space="preserve"> </w:t>
      </w:r>
      <w:r>
        <w:rPr>
          <w:sz w:val="28"/>
          <w:szCs w:val="28"/>
          <w:shd w:val="clear" w:color="auto" w:fill="FFFFFF"/>
        </w:rPr>
        <w:t>S</w:t>
      </w:r>
      <w:r>
        <w:rPr>
          <w:color w:val="000000"/>
          <w:sz w:val="28"/>
          <w:szCs w:val="28"/>
          <w:shd w:val="clear" w:color="auto" w:fill="FFFFFF"/>
          <w:lang w:val="uk-UA"/>
        </w:rPr>
        <w:t>–аденозіл–L</w:t>
      </w:r>
      <w:r>
        <w:rPr>
          <w:sz w:val="28"/>
          <w:szCs w:val="28"/>
          <w:lang w:val="uk-UA"/>
        </w:rPr>
        <w:t>–гомоцистеїну, вимірюючи оптичну густину на довжині хвилі – 450 нм. Для розрахунку концентрації гомоцистеїну використовували 4–х параметричну апроксимацію для побудови калібрувальної кривої. Діапазон вимірювання набору від 2,0 до 50,0 мкмоль/л.</w:t>
      </w:r>
    </w:p>
    <w:p w:rsidR="00077303" w:rsidRDefault="00077303" w:rsidP="001E1317">
      <w:pPr>
        <w:spacing w:line="360" w:lineRule="auto"/>
        <w:ind w:firstLine="709"/>
        <w:jc w:val="both"/>
        <w:rPr>
          <w:sz w:val="28"/>
          <w:szCs w:val="28"/>
          <w:lang w:val="uk-UA"/>
        </w:rPr>
      </w:pPr>
      <w:r>
        <w:rPr>
          <w:sz w:val="28"/>
          <w:szCs w:val="28"/>
          <w:lang w:val="uk-UA"/>
        </w:rPr>
        <w:t>Метод визначення рівня NO в сироватці крові заснований на оцінці інтенсивності забарвлення проби через 30 хвилин після додавання до неї реактиву Грісса – Ілосвайя, який складається з помісі сульфанілової кислоти та α–нафтіламіну та ванадія хлористого. Інтенсивність забарвлення оцінювали на спектрофотометрі (</w:t>
      </w:r>
      <w:r w:rsidRPr="00BF429E">
        <w:rPr>
          <w:sz w:val="28"/>
          <w:lang w:val="en-US"/>
        </w:rPr>
        <w:t>Solar</w:t>
      </w:r>
      <w:r w:rsidRPr="00BF429E">
        <w:rPr>
          <w:sz w:val="28"/>
          <w:lang w:val="uk-UA"/>
        </w:rPr>
        <w:t xml:space="preserve"> </w:t>
      </w:r>
      <w:r w:rsidRPr="00BF429E">
        <w:rPr>
          <w:sz w:val="28"/>
          <w:lang w:val="en-US"/>
        </w:rPr>
        <w:t>PV</w:t>
      </w:r>
      <w:r w:rsidRPr="00BF429E">
        <w:rPr>
          <w:sz w:val="28"/>
          <w:lang w:val="uk-UA"/>
        </w:rPr>
        <w:t xml:space="preserve"> 1251С, 2007 р.) </w:t>
      </w:r>
      <w:r>
        <w:rPr>
          <w:sz w:val="28"/>
          <w:szCs w:val="28"/>
          <w:lang w:val="uk-UA"/>
        </w:rPr>
        <w:t xml:space="preserve">при довжині хвилі 540 нм. Кількість нитрит–іону розраховували за калібрувальною кривою, побудованої зі стандартним розчином </w:t>
      </w:r>
      <w:r>
        <w:rPr>
          <w:sz w:val="28"/>
          <w:szCs w:val="28"/>
          <w:lang w:val="en-US"/>
        </w:rPr>
        <w:t>NaNO</w:t>
      </w:r>
      <w:r>
        <w:rPr>
          <w:sz w:val="28"/>
          <w:szCs w:val="28"/>
          <w:vertAlign w:val="subscript"/>
          <w:lang w:val="uk-UA"/>
        </w:rPr>
        <w:t>2</w:t>
      </w:r>
      <w:r>
        <w:rPr>
          <w:sz w:val="28"/>
          <w:szCs w:val="28"/>
          <w:lang w:val="uk-UA"/>
        </w:rPr>
        <w:t xml:space="preserve"> в діапазоні концентрацій від 5,0 до 320,0 мкмоль/л [В.А. Метельська, Н.Г. Гуманова, 2005]. </w:t>
      </w:r>
    </w:p>
    <w:p w:rsidR="00077303" w:rsidRDefault="00077303" w:rsidP="001E1317">
      <w:pPr>
        <w:spacing w:line="360" w:lineRule="auto"/>
        <w:ind w:firstLine="709"/>
        <w:jc w:val="both"/>
        <w:rPr>
          <w:sz w:val="28"/>
          <w:szCs w:val="28"/>
          <w:lang w:val="uk-UA"/>
        </w:rPr>
      </w:pPr>
      <w:r>
        <w:rPr>
          <w:sz w:val="28"/>
          <w:szCs w:val="28"/>
          <w:lang w:val="uk-UA"/>
        </w:rPr>
        <w:lastRenderedPageBreak/>
        <w:t xml:space="preserve">Вміст вторинних продуктів ПОЛ – МДА, що реагують з тіобарбітуровою кислотою, в плазмі крові, визначали, вимірюючи оптичну густину на довжині хвилі – 535 та 570 нм (спектрофотометр </w:t>
      </w:r>
      <w:r w:rsidRPr="00BF429E">
        <w:rPr>
          <w:sz w:val="28"/>
          <w:lang w:val="en-US"/>
        </w:rPr>
        <w:t>Solar</w:t>
      </w:r>
      <w:r w:rsidRPr="00BF429E">
        <w:rPr>
          <w:sz w:val="28"/>
          <w:lang w:val="uk-UA"/>
        </w:rPr>
        <w:t xml:space="preserve"> </w:t>
      </w:r>
      <w:r w:rsidRPr="00BF429E">
        <w:rPr>
          <w:sz w:val="28"/>
          <w:lang w:val="en-US"/>
        </w:rPr>
        <w:t>PV</w:t>
      </w:r>
      <w:r w:rsidRPr="00BF429E">
        <w:rPr>
          <w:sz w:val="28"/>
          <w:lang w:val="uk-UA"/>
        </w:rPr>
        <w:t xml:space="preserve"> 1251С, 2007 р.)</w:t>
      </w:r>
      <w:r>
        <w:rPr>
          <w:sz w:val="28"/>
          <w:szCs w:val="28"/>
          <w:lang w:val="uk-UA"/>
        </w:rPr>
        <w:t>. Вміст активних продуктів тіобарбітурової кислоти оцінювали на підставі різниці екстинкцій [</w:t>
      </w:r>
      <w:r>
        <w:rPr>
          <w:sz w:val="28"/>
          <w:szCs w:val="28"/>
          <w:lang w:val="en-US"/>
        </w:rPr>
        <w:t>M</w:t>
      </w:r>
      <w:r>
        <w:rPr>
          <w:sz w:val="28"/>
          <w:szCs w:val="28"/>
          <w:lang w:val="uk-UA"/>
        </w:rPr>
        <w:t xml:space="preserve">. </w:t>
      </w:r>
      <w:r>
        <w:rPr>
          <w:sz w:val="28"/>
          <w:szCs w:val="28"/>
          <w:lang w:val="en-US"/>
        </w:rPr>
        <w:t>Uchiyama</w:t>
      </w:r>
      <w:r>
        <w:rPr>
          <w:sz w:val="28"/>
          <w:szCs w:val="28"/>
          <w:lang w:val="uk-UA"/>
        </w:rPr>
        <w:t xml:space="preserve">, M. </w:t>
      </w:r>
      <w:r>
        <w:rPr>
          <w:sz w:val="28"/>
          <w:szCs w:val="28"/>
          <w:lang w:val="en-US"/>
        </w:rPr>
        <w:t>Mihara</w:t>
      </w:r>
      <w:r>
        <w:rPr>
          <w:sz w:val="28"/>
          <w:szCs w:val="28"/>
          <w:lang w:val="uk-UA"/>
        </w:rPr>
        <w:t xml:space="preserve">, 1980]. </w:t>
      </w:r>
    </w:p>
    <w:p w:rsidR="00077303" w:rsidRDefault="00077303" w:rsidP="001E1317">
      <w:pPr>
        <w:spacing w:line="360" w:lineRule="auto"/>
        <w:ind w:firstLine="709"/>
        <w:jc w:val="both"/>
        <w:rPr>
          <w:sz w:val="28"/>
          <w:szCs w:val="28"/>
          <w:lang w:val="uk-UA"/>
        </w:rPr>
      </w:pPr>
      <w:r>
        <w:rPr>
          <w:sz w:val="28"/>
          <w:szCs w:val="28"/>
          <w:lang w:val="uk-UA"/>
        </w:rPr>
        <w:t xml:space="preserve">Рівень ФНП–α сироватки крові визначали шляхом імуноферментного аналізу (аналізатор імуноферментних реакцій АІФР–01 «УНИПЛАН», 2001 р., (Москва)) за допомогою набору реагентів ФАКТОР НЕКРОЗУ ПУХЛИН–α – ІФА – БЕСТ виробництва фірми </w:t>
      </w:r>
      <w:r>
        <w:rPr>
          <w:sz w:val="28"/>
          <w:szCs w:val="28"/>
          <w:shd w:val="clear" w:color="auto" w:fill="FFFFFF"/>
          <w:lang w:val="uk-UA"/>
        </w:rPr>
        <w:t>Вектор БЕСТ</w:t>
      </w:r>
      <w:r>
        <w:rPr>
          <w:sz w:val="28"/>
          <w:szCs w:val="28"/>
          <w:lang w:val="uk-UA"/>
        </w:rPr>
        <w:t>, (Росія). Принцип методу «</w:t>
      </w:r>
      <w:r>
        <w:rPr>
          <w:color w:val="000000"/>
          <w:sz w:val="27"/>
          <w:szCs w:val="27"/>
          <w:shd w:val="clear" w:color="auto" w:fill="FFFFFF"/>
        </w:rPr>
        <w:t>sandwich</w:t>
      </w:r>
      <w:r>
        <w:rPr>
          <w:sz w:val="28"/>
          <w:szCs w:val="28"/>
          <w:lang w:val="uk-UA"/>
        </w:rPr>
        <w:t>» – варіант двухстадійного твердофазного імуноферментного аналізу на планшеті та послідуючого визначення оптичної плотності за допомогою спектрометра. Діапазон вимірюваних концентрацій від 0 до 250 пг/мл, чутливість аналізу – 2,0 пг/мл.</w:t>
      </w:r>
    </w:p>
    <w:p w:rsidR="00077303" w:rsidRDefault="00077303" w:rsidP="001E1317">
      <w:pPr>
        <w:spacing w:line="360" w:lineRule="auto"/>
        <w:ind w:firstLine="709"/>
        <w:jc w:val="both"/>
        <w:rPr>
          <w:sz w:val="28"/>
          <w:szCs w:val="28"/>
          <w:lang w:val="uk-UA"/>
        </w:rPr>
      </w:pPr>
      <w:r>
        <w:rPr>
          <w:sz w:val="28"/>
          <w:szCs w:val="28"/>
          <w:lang w:val="uk-UA"/>
        </w:rPr>
        <w:t xml:space="preserve">Рівень ІЛ–6 сироватки крові визначали шляхом імуноферментного аналізу (аналізатор імуноферментних реакцій АІФР–01 «УНИПЛАН», 2001 р., (Москва)) за допомогою набору реагентів ІНТЕРЛЕЙКІН–6 – ІФА – БЕСТ виробництва фірми </w:t>
      </w:r>
      <w:r>
        <w:rPr>
          <w:sz w:val="28"/>
          <w:szCs w:val="28"/>
          <w:shd w:val="clear" w:color="auto" w:fill="FFFFFF"/>
          <w:lang w:val="uk-UA"/>
        </w:rPr>
        <w:t>Вектор БЕСТ</w:t>
      </w:r>
      <w:r>
        <w:rPr>
          <w:sz w:val="28"/>
          <w:szCs w:val="28"/>
          <w:lang w:val="uk-UA"/>
        </w:rPr>
        <w:t>, (Росія). Метод заснований на твердофазному «</w:t>
      </w:r>
      <w:r>
        <w:rPr>
          <w:color w:val="000000"/>
          <w:sz w:val="27"/>
          <w:szCs w:val="27"/>
          <w:shd w:val="clear" w:color="auto" w:fill="FFFFFF"/>
        </w:rPr>
        <w:t>sandwich</w:t>
      </w:r>
      <w:r>
        <w:rPr>
          <w:sz w:val="28"/>
          <w:szCs w:val="28"/>
          <w:lang w:val="uk-UA"/>
        </w:rPr>
        <w:t>» – варіанті імуноферментного аналізу з моноклональними антитілами до ІЛ–6, які сорбовані на поверхні лунок полістірольного планшету. Діапазон вимірюваних концентрацій від 0 до 300 пг/мл, чутливість аналізу – 0,5 пг/мл.</w:t>
      </w:r>
    </w:p>
    <w:p w:rsidR="00077303" w:rsidRDefault="00077303" w:rsidP="001E1317">
      <w:pPr>
        <w:spacing w:line="360" w:lineRule="auto"/>
        <w:ind w:firstLine="709"/>
        <w:jc w:val="both"/>
        <w:rPr>
          <w:sz w:val="28"/>
          <w:szCs w:val="28"/>
          <w:lang w:val="uk-UA"/>
        </w:rPr>
      </w:pPr>
      <w:r>
        <w:rPr>
          <w:sz w:val="28"/>
          <w:szCs w:val="28"/>
          <w:lang w:val="uk-UA"/>
        </w:rPr>
        <w:t xml:space="preserve">Для верифікації діагнозу НАСГ застосовували біохімічні та інструментальні методи дослідження, які дали можливість оцінити функціональний стан печінки за допомогою стандартних загальноприйнятих методик. </w:t>
      </w:r>
    </w:p>
    <w:p w:rsidR="00077303" w:rsidRDefault="00077303" w:rsidP="001E1317">
      <w:pPr>
        <w:spacing w:line="360" w:lineRule="auto"/>
        <w:ind w:firstLine="709"/>
        <w:jc w:val="both"/>
        <w:rPr>
          <w:sz w:val="28"/>
          <w:szCs w:val="28"/>
          <w:lang w:val="uk-UA"/>
        </w:rPr>
      </w:pPr>
      <w:r>
        <w:rPr>
          <w:sz w:val="28"/>
          <w:szCs w:val="28"/>
          <w:lang w:val="uk-UA"/>
        </w:rPr>
        <w:t xml:space="preserve">Для визначення загального рівня білка в сироватці крові використовували колориметричний біуретовий метод  та дослідження білкових фракцій у сироватці крові із застосовуванням методу фракціонування з використанням електрофорезного поділу білків. Для дослідження стану пігментного обміну використовувався метод Йендрашика, Клеггорна і Гроффа, що дає можливість фракційного визначення вмісту білірубіну. Амінотрансферази (ACT аспартатамінотрансфераза, АЛТ – аланінамінотрансферазф) сироватки крові визначали колориметричним методом Райтмана і Френкеля. Лужну фосфатазу (ЛФ) в сироватці крові визначали </w:t>
      </w:r>
      <w:r>
        <w:rPr>
          <w:sz w:val="28"/>
          <w:szCs w:val="28"/>
          <w:lang w:val="uk-UA"/>
        </w:rPr>
        <w:lastRenderedPageBreak/>
        <w:t xml:space="preserve">колориметричним методом ферментативного гідролізу </w:t>
      </w:r>
      <w:r>
        <w:rPr>
          <w:sz w:val="28"/>
          <w:szCs w:val="28"/>
          <w:lang w:val="en-US"/>
        </w:rPr>
        <w:t>n</w:t>
      </w:r>
      <w:r>
        <w:rPr>
          <w:sz w:val="28"/>
          <w:szCs w:val="28"/>
        </w:rPr>
        <w:t>–нітро</w:t>
      </w:r>
      <w:r>
        <w:rPr>
          <w:sz w:val="28"/>
          <w:szCs w:val="28"/>
          <w:lang w:val="uk-UA"/>
        </w:rPr>
        <w:t>фенілфосфату за Боданські. Тимолова проба по Хуєрго і Попперу визначалась для характеристики стійкості колоїдної системи крові і специфічної оцінки функціонального стану печінки.</w:t>
      </w:r>
    </w:p>
    <w:p w:rsidR="00077303" w:rsidRDefault="00077303" w:rsidP="001E1317">
      <w:pPr>
        <w:spacing w:line="360" w:lineRule="auto"/>
        <w:ind w:firstLine="709"/>
        <w:jc w:val="both"/>
        <w:rPr>
          <w:sz w:val="28"/>
          <w:szCs w:val="28"/>
          <w:lang w:val="uk-UA"/>
        </w:rPr>
      </w:pPr>
      <w:r>
        <w:rPr>
          <w:sz w:val="28"/>
          <w:szCs w:val="28"/>
          <w:lang w:val="uk-UA"/>
        </w:rPr>
        <w:t>В якості маркерів ліпідного обміну вивчали вміст загального холестерину (ЗХ) (метод Ілька), β–ліпопротеїдів (β–ЛП), тригліцеридів (ТГ), ліпопротеїдів високої щільності (ЛПВЩ), ліпопротеїдів низької щільності (ЛПНЩ), ліпопротеїдів дуже низької щільності (ЛПДНЩ) в сироватці крові (методом діскелектрофореза в поліакриламідному гелі). Коефіцієнт атерогенності обчислювали за формулою: (ЗХ</w:t>
      </w:r>
      <w:r>
        <w:rPr>
          <w:shd w:val="clear" w:color="auto" w:fill="FFFFFF"/>
          <w:lang w:val="uk-UA"/>
        </w:rPr>
        <w:t xml:space="preserve"> </w:t>
      </w:r>
      <w:r>
        <w:rPr>
          <w:sz w:val="28"/>
          <w:szCs w:val="28"/>
          <w:shd w:val="clear" w:color="auto" w:fill="FFFFFF"/>
        </w:rPr>
        <w:t xml:space="preserve">– </w:t>
      </w:r>
      <w:r>
        <w:rPr>
          <w:sz w:val="28"/>
          <w:szCs w:val="28"/>
          <w:lang w:val="uk-UA"/>
        </w:rPr>
        <w:t>ЛПВЩ)</w:t>
      </w:r>
      <w:r>
        <w:rPr>
          <w:sz w:val="28"/>
          <w:szCs w:val="28"/>
          <w:shd w:val="clear" w:color="auto" w:fill="FFFFFF"/>
        </w:rPr>
        <w:t xml:space="preserve"> –</w:t>
      </w:r>
      <w:r>
        <w:rPr>
          <w:shd w:val="clear" w:color="auto" w:fill="FFFFFF"/>
        </w:rPr>
        <w:t xml:space="preserve"> </w:t>
      </w:r>
      <w:r>
        <w:rPr>
          <w:sz w:val="28"/>
          <w:szCs w:val="28"/>
          <w:lang w:val="uk-UA"/>
        </w:rPr>
        <w:t xml:space="preserve">1,0 [В.В. Меньшиков, 1987]. </w:t>
      </w:r>
    </w:p>
    <w:p w:rsidR="00077303" w:rsidRDefault="00077303" w:rsidP="001E1317">
      <w:pPr>
        <w:spacing w:line="360" w:lineRule="auto"/>
        <w:ind w:firstLine="709"/>
        <w:jc w:val="both"/>
        <w:rPr>
          <w:sz w:val="28"/>
          <w:szCs w:val="28"/>
          <w:lang w:val="uk-UA"/>
        </w:rPr>
      </w:pPr>
    </w:p>
    <w:p w:rsidR="00077303" w:rsidRPr="001F0B9F" w:rsidRDefault="00077303" w:rsidP="001E1317">
      <w:pPr>
        <w:spacing w:line="360" w:lineRule="auto"/>
        <w:ind w:firstLine="709"/>
        <w:jc w:val="both"/>
        <w:rPr>
          <w:b/>
          <w:sz w:val="28"/>
          <w:szCs w:val="28"/>
          <w:lang w:val="uk-UA"/>
        </w:rPr>
      </w:pPr>
      <w:r w:rsidRPr="001F0B9F">
        <w:rPr>
          <w:b/>
          <w:sz w:val="28"/>
          <w:szCs w:val="28"/>
          <w:lang w:val="uk-UA"/>
        </w:rPr>
        <w:t>2.3.2. Методи інструментального дослідження.</w:t>
      </w:r>
    </w:p>
    <w:p w:rsidR="00077303" w:rsidRDefault="00077303" w:rsidP="001E1317">
      <w:pPr>
        <w:spacing w:line="360" w:lineRule="auto"/>
        <w:ind w:firstLine="709"/>
        <w:jc w:val="both"/>
        <w:rPr>
          <w:sz w:val="28"/>
          <w:szCs w:val="28"/>
          <w:lang w:val="uk-UA"/>
        </w:rPr>
      </w:pPr>
      <w:r>
        <w:rPr>
          <w:sz w:val="28"/>
          <w:szCs w:val="28"/>
          <w:lang w:val="uk-UA"/>
        </w:rPr>
        <w:t xml:space="preserve">Для діагностики структурних змін печінки використовували метод УЗД за допомогою апарату </w:t>
      </w:r>
      <w:r>
        <w:rPr>
          <w:sz w:val="28"/>
          <w:szCs w:val="28"/>
          <w:lang w:val="en-US"/>
        </w:rPr>
        <w:t>Siemens</w:t>
      </w:r>
      <w:r>
        <w:rPr>
          <w:sz w:val="28"/>
          <w:szCs w:val="28"/>
          <w:lang w:val="uk-UA"/>
        </w:rPr>
        <w:t xml:space="preserve"> </w:t>
      </w:r>
      <w:r>
        <w:rPr>
          <w:sz w:val="28"/>
          <w:szCs w:val="28"/>
          <w:lang w:val="en-US"/>
        </w:rPr>
        <w:t>Sonoline</w:t>
      </w:r>
      <w:r>
        <w:rPr>
          <w:sz w:val="28"/>
          <w:szCs w:val="28"/>
          <w:lang w:val="uk-UA"/>
        </w:rPr>
        <w:t xml:space="preserve"> </w:t>
      </w:r>
      <w:r>
        <w:rPr>
          <w:sz w:val="28"/>
          <w:szCs w:val="28"/>
          <w:lang w:val="en-US"/>
        </w:rPr>
        <w:t>Adara</w:t>
      </w:r>
      <w:r>
        <w:rPr>
          <w:sz w:val="28"/>
          <w:szCs w:val="28"/>
          <w:lang w:val="uk-UA"/>
        </w:rPr>
        <w:t>, Германія (мод. 0002019, 2003р.).</w:t>
      </w:r>
    </w:p>
    <w:p w:rsidR="00077303" w:rsidRDefault="00077303" w:rsidP="001E1317">
      <w:pPr>
        <w:spacing w:line="360" w:lineRule="auto"/>
        <w:ind w:firstLine="709"/>
        <w:jc w:val="both"/>
        <w:rPr>
          <w:sz w:val="28"/>
          <w:szCs w:val="28"/>
          <w:lang w:val="uk-UA"/>
        </w:rPr>
      </w:pPr>
      <w:r>
        <w:rPr>
          <w:sz w:val="28"/>
          <w:szCs w:val="28"/>
          <w:lang w:val="uk-UA"/>
        </w:rPr>
        <w:t>Дослідження проводилось натщесерце за загальноприйнятою методикою [А.С. Дергачев, 2003] із застосування датчиків із частотою 3 і 7,5 МГц. Оцінювали розміри печінки, її ехоструктуру, судинний малюнок.</w:t>
      </w:r>
    </w:p>
    <w:p w:rsidR="00077303" w:rsidRDefault="00077303" w:rsidP="001E1317">
      <w:pPr>
        <w:spacing w:line="360" w:lineRule="auto"/>
        <w:ind w:firstLine="709"/>
        <w:jc w:val="both"/>
        <w:rPr>
          <w:sz w:val="28"/>
          <w:szCs w:val="28"/>
          <w:lang w:val="uk-UA"/>
        </w:rPr>
      </w:pPr>
      <w:r>
        <w:rPr>
          <w:sz w:val="28"/>
          <w:szCs w:val="28"/>
          <w:lang w:val="uk-UA"/>
        </w:rPr>
        <w:t xml:space="preserve">Діагностика гіперехогенності печінки як основної сонографічної ознаки жирової інфільтрації її паренхіми базувалася на порівнянні ехогенності печінки та коркового шару правої нирки, селезінки та коркового шару лівої нирки [H.C. Kim, 2005]. </w:t>
      </w:r>
    </w:p>
    <w:p w:rsidR="00077303" w:rsidRDefault="00077303" w:rsidP="001E1317">
      <w:pPr>
        <w:spacing w:line="360" w:lineRule="auto"/>
        <w:ind w:firstLine="709"/>
        <w:jc w:val="both"/>
        <w:rPr>
          <w:sz w:val="28"/>
          <w:szCs w:val="28"/>
          <w:lang w:val="uk-UA"/>
        </w:rPr>
      </w:pPr>
      <w:r>
        <w:rPr>
          <w:sz w:val="28"/>
          <w:szCs w:val="28"/>
          <w:lang w:val="uk-UA"/>
        </w:rPr>
        <w:t>За ступенем жирової інфільтрації виділяли:</w:t>
      </w:r>
    </w:p>
    <w:p w:rsidR="00077303" w:rsidRDefault="00077303" w:rsidP="001E1317">
      <w:pPr>
        <w:numPr>
          <w:ilvl w:val="0"/>
          <w:numId w:val="4"/>
        </w:numPr>
        <w:spacing w:line="360" w:lineRule="auto"/>
        <w:jc w:val="both"/>
        <w:rPr>
          <w:sz w:val="28"/>
          <w:szCs w:val="28"/>
          <w:lang w:val="uk-UA"/>
        </w:rPr>
      </w:pPr>
      <w:r>
        <w:rPr>
          <w:sz w:val="28"/>
          <w:szCs w:val="28"/>
          <w:lang w:val="uk-UA"/>
        </w:rPr>
        <w:t>стеатоз 1 ст. — незначне збільшення ехогенності печінки, незначна різниця між ехогенністю печінки та нирки, відносне збереження ехолінії стінки портальної вени, помірне збіднення судинного малюнку за рахунок дрібних судин;</w:t>
      </w:r>
    </w:p>
    <w:p w:rsidR="00077303" w:rsidRDefault="00077303" w:rsidP="001E1317">
      <w:pPr>
        <w:numPr>
          <w:ilvl w:val="0"/>
          <w:numId w:val="4"/>
        </w:numPr>
        <w:spacing w:line="360" w:lineRule="auto"/>
        <w:jc w:val="both"/>
        <w:rPr>
          <w:sz w:val="28"/>
          <w:szCs w:val="28"/>
          <w:lang w:val="uk-UA"/>
        </w:rPr>
      </w:pPr>
      <w:r>
        <w:rPr>
          <w:sz w:val="28"/>
          <w:szCs w:val="28"/>
          <w:lang w:val="uk-UA"/>
        </w:rPr>
        <w:t>стеатоз 2 ст. — втрата ехолінії стінок портальної вени та її периферичних гілок зі збіднення судинного малюнку, що проявляється невиразною структурою печінки, ущільнення паренхіми печінки з наявністю ефекту дорсального поглинання ехосигналу;</w:t>
      </w:r>
    </w:p>
    <w:p w:rsidR="00077303" w:rsidRDefault="00077303" w:rsidP="001E1317">
      <w:pPr>
        <w:numPr>
          <w:ilvl w:val="0"/>
          <w:numId w:val="4"/>
        </w:numPr>
        <w:spacing w:line="360" w:lineRule="auto"/>
        <w:rPr>
          <w:sz w:val="28"/>
          <w:szCs w:val="28"/>
          <w:lang w:val="uk-UA"/>
        </w:rPr>
      </w:pPr>
      <w:r>
        <w:rPr>
          <w:sz w:val="28"/>
          <w:szCs w:val="28"/>
          <w:lang w:val="uk-UA"/>
        </w:rPr>
        <w:lastRenderedPageBreak/>
        <w:t>стеатоз 3 ст. — більш виражена редукція проникнення ехосигналу, більше зниження ехогенності стінок портальної вени, включаючи основну гілку, та велика різниця в ехогенності печінки і правої нирки.</w:t>
      </w:r>
    </w:p>
    <w:p w:rsidR="00077303" w:rsidRDefault="00077303" w:rsidP="001E1317">
      <w:pPr>
        <w:spacing w:line="360" w:lineRule="auto"/>
        <w:ind w:firstLine="709"/>
        <w:jc w:val="both"/>
        <w:rPr>
          <w:sz w:val="28"/>
          <w:szCs w:val="28"/>
          <w:lang w:val="uk-UA"/>
        </w:rPr>
      </w:pPr>
      <w:r>
        <w:rPr>
          <w:sz w:val="28"/>
          <w:szCs w:val="28"/>
          <w:lang w:val="uk-UA"/>
        </w:rPr>
        <w:t xml:space="preserve">За поширеністю та формою жирової інфільтрації виділяли дифузний та вогнищевий стеатоз. </w:t>
      </w:r>
    </w:p>
    <w:p w:rsidR="00077303" w:rsidRDefault="00077303" w:rsidP="001E1317">
      <w:pPr>
        <w:spacing w:line="360" w:lineRule="auto"/>
        <w:ind w:firstLine="709"/>
        <w:jc w:val="both"/>
        <w:rPr>
          <w:sz w:val="28"/>
          <w:szCs w:val="28"/>
          <w:lang w:val="uk-UA"/>
        </w:rPr>
      </w:pPr>
    </w:p>
    <w:p w:rsidR="00077303" w:rsidRPr="001F0B9F" w:rsidRDefault="00077303" w:rsidP="001E1317">
      <w:pPr>
        <w:spacing w:line="360" w:lineRule="auto"/>
        <w:ind w:firstLine="709"/>
        <w:jc w:val="both"/>
        <w:rPr>
          <w:b/>
          <w:sz w:val="28"/>
          <w:szCs w:val="28"/>
          <w:lang w:val="uk-UA"/>
        </w:rPr>
      </w:pPr>
      <w:r w:rsidRPr="001F0B9F">
        <w:rPr>
          <w:b/>
          <w:sz w:val="28"/>
          <w:szCs w:val="28"/>
          <w:lang w:val="uk-UA"/>
        </w:rPr>
        <w:t>2.3.3.Статистична обробка результатів дослідження.</w:t>
      </w:r>
    </w:p>
    <w:p w:rsidR="00077303" w:rsidRDefault="00077303" w:rsidP="001E1317">
      <w:pPr>
        <w:spacing w:line="360" w:lineRule="auto"/>
        <w:ind w:firstLine="709"/>
        <w:jc w:val="both"/>
        <w:rPr>
          <w:sz w:val="28"/>
          <w:szCs w:val="28"/>
          <w:lang w:val="uk-UA"/>
        </w:rPr>
      </w:pPr>
      <w:r>
        <w:rPr>
          <w:sz w:val="28"/>
          <w:szCs w:val="28"/>
          <w:lang w:val="uk-UA"/>
        </w:rPr>
        <w:t xml:space="preserve">Статистичну обробку результатів проведено за допомогою стандартного пакету програм Microsoft Excel (ліцензійний №74017–640–4842406–57153). Аналіз отриманих показників проводили, попередньо визначаючи тип розподілу даних за порівнянням середньої арифметичної, моди та медіани, аналізом гістограм розподілу даних, за допомогою теста Шапіро–Уїлка. Достовірність відмінностей між двома незалежними групами оцінювали за методом варіаційної статистики за допомогою t–критерію Стьюдента у тому разі, коли дані відповідали нормальному розподілу. У випадку непараметричних даних для цього використовували критерій Манна–Уітні для незалежних змінних в окремих групах. Достовірною вважалася різниця при р&lt;0,05. Кореляційний аналіз для визначення зв’язків між показниками проводився за методом Спірмена. Кореляційний зв’язок із силою </w:t>
      </w:r>
      <w:r>
        <w:rPr>
          <w:sz w:val="28"/>
          <w:szCs w:val="28"/>
          <w:lang w:val="en-US"/>
        </w:rPr>
        <w:t>r</w:t>
      </w:r>
      <w:r>
        <w:rPr>
          <w:sz w:val="28"/>
          <w:szCs w:val="28"/>
          <w:lang w:val="uk-UA"/>
        </w:rPr>
        <w:t xml:space="preserve"> ≤ 0,25 розцінювався як слабкий, із силою 0,25 ˂ </w:t>
      </w:r>
      <w:r>
        <w:rPr>
          <w:sz w:val="28"/>
          <w:szCs w:val="28"/>
          <w:lang w:val="en-US"/>
        </w:rPr>
        <w:t>r</w:t>
      </w:r>
      <w:r>
        <w:rPr>
          <w:sz w:val="28"/>
          <w:szCs w:val="28"/>
          <w:lang w:val="uk-UA"/>
        </w:rPr>
        <w:t xml:space="preserve"> ˂ 0,75 – середньої сили та </w:t>
      </w:r>
      <w:r>
        <w:rPr>
          <w:sz w:val="28"/>
          <w:szCs w:val="28"/>
          <w:lang w:val="en-US"/>
        </w:rPr>
        <w:t>r</w:t>
      </w:r>
      <w:r>
        <w:rPr>
          <w:sz w:val="28"/>
          <w:szCs w:val="28"/>
          <w:lang w:val="uk-UA"/>
        </w:rPr>
        <w:t xml:space="preserve"> ≥ 0,75 – сильний кореляційний зв’язок. Для вираження результатів деяких біохімічних показників (L–карнітин, гомоцистеїн) використаний метод персентіль. Для оцінки впливу лікування розраховувався критерій Уілкоксона для залежних змінних [С. Глянц, 1999].</w:t>
      </w:r>
    </w:p>
    <w:p w:rsidR="00077303" w:rsidRDefault="00077303" w:rsidP="001E1317">
      <w:pPr>
        <w:spacing w:line="360" w:lineRule="auto"/>
        <w:ind w:firstLine="709"/>
        <w:jc w:val="both"/>
        <w:rPr>
          <w:sz w:val="28"/>
          <w:szCs w:val="28"/>
          <w:lang w:val="uk-UA"/>
        </w:rPr>
      </w:pPr>
      <w:r>
        <w:rPr>
          <w:sz w:val="28"/>
          <w:szCs w:val="28"/>
          <w:lang w:val="uk-UA"/>
        </w:rPr>
        <w:t>Даний розділ викладений в публікаціях:</w:t>
      </w:r>
    </w:p>
    <w:p w:rsidR="00077303" w:rsidRDefault="00077303" w:rsidP="001E1317">
      <w:pPr>
        <w:numPr>
          <w:ilvl w:val="0"/>
          <w:numId w:val="5"/>
        </w:numPr>
        <w:spacing w:line="360" w:lineRule="auto"/>
        <w:jc w:val="both"/>
        <w:rPr>
          <w:sz w:val="28"/>
          <w:szCs w:val="28"/>
          <w:lang w:val="uk-UA"/>
        </w:rPr>
      </w:pPr>
      <w:r>
        <w:rPr>
          <w:sz w:val="28"/>
          <w:szCs w:val="28"/>
        </w:rPr>
        <w:t xml:space="preserve">Звягинцева Т.Д. </w:t>
      </w:r>
      <w:r>
        <w:rPr>
          <w:sz w:val="28"/>
          <w:szCs w:val="28"/>
          <w:lang w:val="uk-UA"/>
        </w:rPr>
        <w:t xml:space="preserve">Глущенко С.В. </w:t>
      </w:r>
      <w:r>
        <w:rPr>
          <w:sz w:val="28"/>
          <w:szCs w:val="28"/>
        </w:rPr>
        <w:t>Неалкогольная жировая болезнь печени: маркеры ранней диагностики фиброза</w:t>
      </w:r>
      <w:r>
        <w:rPr>
          <w:sz w:val="28"/>
          <w:szCs w:val="28"/>
          <w:lang w:val="uk-UA"/>
        </w:rPr>
        <w:t xml:space="preserve"> // Журн. «Вісник проблем біології і медицини». – 2013. – Вип. 4, Том 1 (104). – С. 132–136.</w:t>
      </w:r>
    </w:p>
    <w:p w:rsidR="00077303" w:rsidRDefault="00077303" w:rsidP="001E1317">
      <w:pPr>
        <w:numPr>
          <w:ilvl w:val="0"/>
          <w:numId w:val="5"/>
        </w:numPr>
        <w:spacing w:line="360" w:lineRule="auto"/>
        <w:jc w:val="both"/>
        <w:rPr>
          <w:sz w:val="28"/>
          <w:szCs w:val="28"/>
          <w:lang w:val="uk-UA"/>
        </w:rPr>
      </w:pPr>
      <w:r>
        <w:rPr>
          <w:sz w:val="28"/>
          <w:szCs w:val="28"/>
          <w:lang w:val="uk-UA"/>
        </w:rPr>
        <w:t xml:space="preserve">Глущенко С.В. </w:t>
      </w:r>
      <w:r>
        <w:rPr>
          <w:sz w:val="28"/>
          <w:szCs w:val="28"/>
        </w:rPr>
        <w:t>Диагностика фиброза печени при неалкогольном стеатогепатите</w:t>
      </w:r>
      <w:r>
        <w:rPr>
          <w:sz w:val="28"/>
          <w:szCs w:val="28"/>
          <w:lang w:val="uk-UA"/>
        </w:rPr>
        <w:t xml:space="preserve"> // Журн. “Новости медицины и фармации”. –  2013. –Тематичний  номер №478. –  С. 55–57.</w:t>
      </w:r>
    </w:p>
    <w:p w:rsidR="00077303" w:rsidRDefault="00077303" w:rsidP="001E1317">
      <w:pPr>
        <w:numPr>
          <w:ilvl w:val="0"/>
          <w:numId w:val="5"/>
        </w:numPr>
        <w:spacing w:line="360" w:lineRule="auto"/>
        <w:jc w:val="both"/>
        <w:rPr>
          <w:sz w:val="28"/>
          <w:szCs w:val="28"/>
          <w:lang w:val="uk-UA"/>
        </w:rPr>
      </w:pPr>
      <w:r>
        <w:rPr>
          <w:sz w:val="28"/>
          <w:lang w:val="uk-UA"/>
        </w:rPr>
        <w:lastRenderedPageBreak/>
        <w:t>Глущенко С.В.</w:t>
      </w:r>
      <w:r>
        <w:rPr>
          <w:sz w:val="28"/>
          <w:szCs w:val="28"/>
          <w:lang w:val="uk-UA"/>
        </w:rPr>
        <w:t xml:space="preserve"> </w:t>
      </w:r>
      <w:r>
        <w:rPr>
          <w:sz w:val="28"/>
          <w:szCs w:val="28"/>
        </w:rPr>
        <w:t>Критерии прогрессирования неалкогольной жировой болезни печени</w:t>
      </w:r>
      <w:r>
        <w:rPr>
          <w:sz w:val="28"/>
          <w:szCs w:val="28"/>
          <w:lang w:val="uk-UA"/>
        </w:rPr>
        <w:t xml:space="preserve"> // </w:t>
      </w:r>
      <w:r>
        <w:rPr>
          <w:sz w:val="28"/>
          <w:szCs w:val="28"/>
        </w:rPr>
        <w:t>Журн. «</w:t>
      </w:r>
      <w:r>
        <w:rPr>
          <w:sz w:val="28"/>
          <w:szCs w:val="28"/>
          <w:lang w:val="uk-UA"/>
        </w:rPr>
        <w:t>Проблеми безперервної медичної освіти та науки</w:t>
      </w:r>
      <w:r>
        <w:rPr>
          <w:sz w:val="28"/>
          <w:szCs w:val="28"/>
        </w:rPr>
        <w:t>».–2011.–4[4].– С.76–79.</w:t>
      </w:r>
    </w:p>
    <w:p w:rsidR="00077303" w:rsidRDefault="00077303" w:rsidP="001E1317">
      <w:pPr>
        <w:numPr>
          <w:ilvl w:val="0"/>
          <w:numId w:val="5"/>
        </w:numPr>
        <w:spacing w:line="360" w:lineRule="auto"/>
        <w:jc w:val="both"/>
        <w:rPr>
          <w:sz w:val="28"/>
          <w:szCs w:val="28"/>
          <w:lang w:val="uk-UA"/>
        </w:rPr>
      </w:pPr>
      <w:r>
        <w:rPr>
          <w:sz w:val="28"/>
          <w:szCs w:val="28"/>
          <w:lang w:val="uk-UA"/>
        </w:rPr>
        <w:t>Глущенко С.В.</w:t>
      </w:r>
      <w:r>
        <w:rPr>
          <w:sz w:val="28"/>
          <w:szCs w:val="28"/>
        </w:rPr>
        <w:t xml:space="preserve"> Патогенетические механизмы развития неалкогольной жировой болезни печени</w:t>
      </w:r>
      <w:r>
        <w:rPr>
          <w:sz w:val="28"/>
          <w:szCs w:val="28"/>
          <w:lang w:val="uk-UA"/>
        </w:rPr>
        <w:t xml:space="preserve"> // Журн. “Новости медицины и фармации”.– 2012. –Тематичний  номер №414.– С.48–49.</w:t>
      </w: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Pr="001F0B9F" w:rsidRDefault="00077303" w:rsidP="00C84796">
      <w:pPr>
        <w:spacing w:line="360" w:lineRule="auto"/>
        <w:jc w:val="center"/>
        <w:rPr>
          <w:b/>
          <w:sz w:val="28"/>
          <w:szCs w:val="28"/>
          <w:lang w:val="uk-UA"/>
        </w:rPr>
      </w:pPr>
      <w:r w:rsidRPr="001F0B9F">
        <w:rPr>
          <w:b/>
          <w:sz w:val="28"/>
          <w:szCs w:val="28"/>
          <w:lang w:val="uk-UA"/>
        </w:rPr>
        <w:lastRenderedPageBreak/>
        <w:t xml:space="preserve">РОЗДІЛ 3 </w:t>
      </w:r>
    </w:p>
    <w:p w:rsidR="00077303" w:rsidRPr="001F0B9F" w:rsidRDefault="00077303" w:rsidP="00C84796">
      <w:pPr>
        <w:spacing w:line="360" w:lineRule="auto"/>
        <w:jc w:val="center"/>
        <w:rPr>
          <w:b/>
          <w:sz w:val="28"/>
          <w:szCs w:val="28"/>
          <w:lang w:val="uk-UA"/>
        </w:rPr>
      </w:pPr>
      <w:r w:rsidRPr="001F0B9F">
        <w:rPr>
          <w:b/>
          <w:sz w:val="28"/>
          <w:szCs w:val="28"/>
          <w:lang w:val="uk-UA"/>
        </w:rPr>
        <w:t>РЕЗУЛЬТАТИ ВЛАСНИХ ДОСЛІДЖЕНЬ</w:t>
      </w:r>
    </w:p>
    <w:p w:rsidR="00077303" w:rsidRPr="001F0B9F" w:rsidRDefault="00077303" w:rsidP="00C84796">
      <w:pPr>
        <w:spacing w:line="360" w:lineRule="auto"/>
        <w:jc w:val="center"/>
        <w:rPr>
          <w:b/>
          <w:sz w:val="28"/>
          <w:szCs w:val="28"/>
          <w:lang w:val="uk-UA"/>
        </w:rPr>
      </w:pPr>
      <w:r w:rsidRPr="001F0B9F">
        <w:rPr>
          <w:b/>
          <w:sz w:val="28"/>
          <w:szCs w:val="28"/>
          <w:lang w:val="uk-UA"/>
        </w:rPr>
        <w:t xml:space="preserve">3.1. Вміст прозапальних цитокінів в сироватці крові у хворих </w:t>
      </w:r>
      <w:r>
        <w:rPr>
          <w:b/>
          <w:sz w:val="28"/>
          <w:szCs w:val="28"/>
          <w:lang w:val="uk-UA"/>
        </w:rPr>
        <w:t>на НАСГ</w:t>
      </w:r>
      <w:r w:rsidRPr="001F0B9F">
        <w:rPr>
          <w:b/>
          <w:sz w:val="28"/>
          <w:szCs w:val="28"/>
          <w:lang w:val="uk-UA"/>
        </w:rPr>
        <w:t xml:space="preserve"> в поєднанні з ЦД 2 типу.</w:t>
      </w:r>
    </w:p>
    <w:p w:rsidR="00077303" w:rsidRDefault="00077303" w:rsidP="00C84796">
      <w:pPr>
        <w:spacing w:line="360" w:lineRule="auto"/>
        <w:ind w:firstLine="709"/>
        <w:jc w:val="both"/>
        <w:rPr>
          <w:sz w:val="28"/>
          <w:szCs w:val="28"/>
          <w:lang w:val="uk-UA"/>
        </w:rPr>
      </w:pPr>
      <w:r>
        <w:rPr>
          <w:sz w:val="28"/>
          <w:szCs w:val="28"/>
          <w:lang w:val="uk-UA"/>
        </w:rPr>
        <w:t>З метою вивчення порушень цитокінової ланки імунітету у хворих на НАСГ в поєднанні з ЦД 2 типу нами були вивчені рівні прозапальних цитокінів – ФНП–α та ІЛ–6 у 85 пацієнтів, які були поділені на дві групи: 45 хворих на НАСГ в поєднанні з ЦД 2 типа (1 група) та 40 хворих на НАСГ (</w:t>
      </w:r>
      <w:r w:rsidR="00737B9C">
        <w:rPr>
          <w:sz w:val="28"/>
          <w:szCs w:val="28"/>
          <w:lang w:val="uk-UA"/>
        </w:rPr>
        <w:t xml:space="preserve">2 </w:t>
      </w:r>
      <w:r>
        <w:rPr>
          <w:sz w:val="28"/>
          <w:szCs w:val="28"/>
          <w:lang w:val="uk-UA"/>
        </w:rPr>
        <w:t xml:space="preserve">група). Середній вік хворих склав 47,06 ± 12,64 роки. Контрольну групу склали 20 практично здорових осіб. Серед хворих 1 групи чоловіків було 22 (48,9 %), жінок – 23 (51,1 %). В 2 групі – 18 (45 %) чоловіків та 22 (55 %) жінки. </w:t>
      </w:r>
    </w:p>
    <w:p w:rsidR="00077303" w:rsidRDefault="00077303" w:rsidP="00C84796">
      <w:pPr>
        <w:spacing w:line="360" w:lineRule="auto"/>
        <w:ind w:firstLine="709"/>
        <w:jc w:val="both"/>
        <w:rPr>
          <w:sz w:val="28"/>
          <w:szCs w:val="28"/>
        </w:rPr>
      </w:pPr>
      <w:r>
        <w:rPr>
          <w:sz w:val="28"/>
          <w:szCs w:val="28"/>
          <w:lang w:val="uk-UA"/>
        </w:rPr>
        <w:t xml:space="preserve">Середній рівень прозапальних цитокінів у осіб контрольної групи в сироватці крові був наступним: ФНП–α – </w:t>
      </w:r>
      <w:r>
        <w:rPr>
          <w:sz w:val="28"/>
          <w:szCs w:val="28"/>
        </w:rPr>
        <w:t>1,94 (1,73;</w:t>
      </w:r>
      <w:r>
        <w:rPr>
          <w:sz w:val="28"/>
          <w:szCs w:val="28"/>
          <w:lang w:val="uk-UA"/>
        </w:rPr>
        <w:t xml:space="preserve"> </w:t>
      </w:r>
      <w:r>
        <w:rPr>
          <w:sz w:val="28"/>
          <w:szCs w:val="28"/>
        </w:rPr>
        <w:t>2,02) пг/мл, ІЛ–6 – 1,72 (1,36;</w:t>
      </w:r>
      <w:r>
        <w:rPr>
          <w:sz w:val="28"/>
          <w:szCs w:val="28"/>
          <w:lang w:val="uk-UA"/>
        </w:rPr>
        <w:t xml:space="preserve"> </w:t>
      </w:r>
      <w:r>
        <w:rPr>
          <w:sz w:val="28"/>
          <w:szCs w:val="28"/>
        </w:rPr>
        <w:t>2,19) пг/мл.</w:t>
      </w:r>
    </w:p>
    <w:p w:rsidR="00077303" w:rsidRDefault="00077303" w:rsidP="00C84796">
      <w:pPr>
        <w:spacing w:line="360" w:lineRule="auto"/>
        <w:ind w:firstLine="709"/>
        <w:jc w:val="both"/>
        <w:rPr>
          <w:sz w:val="28"/>
          <w:szCs w:val="28"/>
          <w:lang w:val="uk-UA"/>
        </w:rPr>
      </w:pPr>
      <w:r>
        <w:rPr>
          <w:sz w:val="28"/>
          <w:szCs w:val="28"/>
          <w:lang w:val="uk-UA"/>
        </w:rPr>
        <w:t>У хворих обох груп мало місце вірогідне (р &lt; 0,001) підвищення вмісту  ФНП–α та ІЛ–6 в порівнянні з контрольною групою (рис. 3.1.1.)</w:t>
      </w:r>
    </w:p>
    <w:p w:rsidR="00077303" w:rsidRDefault="00ED7296" w:rsidP="00C84796">
      <w:pPr>
        <w:spacing w:line="360" w:lineRule="auto"/>
        <w:ind w:firstLine="709"/>
        <w:jc w:val="both"/>
        <w:rPr>
          <w:sz w:val="28"/>
          <w:szCs w:val="28"/>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25.5pt;height:244pt;visibility:visible">
            <v:imagedata r:id="rId9" o:title=""/>
          </v:shape>
        </w:pict>
      </w:r>
    </w:p>
    <w:p w:rsidR="00077303" w:rsidRDefault="00077303" w:rsidP="00C84796">
      <w:pPr>
        <w:spacing w:line="360" w:lineRule="auto"/>
        <w:ind w:firstLine="709"/>
        <w:jc w:val="both"/>
        <w:rPr>
          <w:sz w:val="28"/>
          <w:szCs w:val="28"/>
          <w:lang w:val="uk-UA"/>
        </w:rPr>
      </w:pPr>
      <w:r>
        <w:rPr>
          <w:sz w:val="28"/>
          <w:szCs w:val="28"/>
          <w:lang w:val="uk-UA"/>
        </w:rPr>
        <w:t>Рис. 3.1.1. Рівень ІЛ–6 та ФНП–α сироватки крові хворих двох груп у зрівнянні з контрольною групою (пг/мл).</w:t>
      </w:r>
    </w:p>
    <w:p w:rsidR="00077303" w:rsidRDefault="00077303" w:rsidP="00C84796">
      <w:pPr>
        <w:spacing w:line="360" w:lineRule="auto"/>
        <w:ind w:firstLine="709"/>
        <w:jc w:val="both"/>
        <w:rPr>
          <w:sz w:val="28"/>
          <w:szCs w:val="28"/>
        </w:rPr>
      </w:pPr>
      <w:r>
        <w:rPr>
          <w:sz w:val="28"/>
          <w:szCs w:val="28"/>
          <w:lang w:val="uk-UA"/>
        </w:rPr>
        <w:t xml:space="preserve">Отримані нами данні свідчать, що середній рівень ФНП–α сироватки крові у хворих 1 та 2 групи достовірно не відрізнявся (р &gt; 0,05) і складав в 1 групі – 8,66 </w:t>
      </w:r>
      <w:r>
        <w:rPr>
          <w:sz w:val="28"/>
          <w:szCs w:val="28"/>
          <w:lang w:val="uk-UA"/>
        </w:rPr>
        <w:lastRenderedPageBreak/>
        <w:t xml:space="preserve">(7,91; 9,03) пг/мл, в 2 – 8,50 (7,97; 9,0) пг/мл. Тоді як вміст ІЛ–6 сироватки крові в 1 групі пацієнтів був вірогідно вищім (р &lt; 0,001), ніж у хворих 2 групи – 22,92 (20,54; 25,2) пг/мл та  19,66 (18,74; 21,1) пг/мл відповідно (табл. 3.1.1.), що підтверджується даними літератури про залежність рівнів ІЛ–6 від виразності ІР на тлі ЦД 2 типу </w:t>
      </w:r>
      <w:r>
        <w:rPr>
          <w:sz w:val="28"/>
          <w:szCs w:val="28"/>
        </w:rPr>
        <w:t>[44, 201].</w:t>
      </w:r>
    </w:p>
    <w:p w:rsidR="00077303" w:rsidRDefault="00077303" w:rsidP="00C84796">
      <w:pPr>
        <w:spacing w:line="360" w:lineRule="auto"/>
        <w:ind w:firstLine="709"/>
        <w:jc w:val="right"/>
        <w:rPr>
          <w:sz w:val="28"/>
          <w:szCs w:val="28"/>
          <w:lang w:val="uk-UA"/>
        </w:rPr>
      </w:pPr>
      <w:r>
        <w:rPr>
          <w:sz w:val="28"/>
          <w:szCs w:val="28"/>
          <w:lang w:val="uk-UA"/>
        </w:rPr>
        <w:t>Таблиця 3.1.1</w:t>
      </w:r>
    </w:p>
    <w:p w:rsidR="00077303" w:rsidRDefault="00077303" w:rsidP="00AD18FA">
      <w:pPr>
        <w:spacing w:line="360" w:lineRule="auto"/>
        <w:ind w:firstLine="709"/>
        <w:jc w:val="center"/>
        <w:rPr>
          <w:sz w:val="28"/>
          <w:szCs w:val="28"/>
          <w:lang w:val="uk-UA"/>
        </w:rPr>
      </w:pPr>
      <w:r>
        <w:rPr>
          <w:sz w:val="28"/>
          <w:szCs w:val="28"/>
          <w:lang w:val="uk-UA"/>
        </w:rPr>
        <w:t>Вміст  ФНП–α та ІЛ–6 в сироватці крові у хворих 1 та 2 груп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077303" w:rsidTr="00C84796">
        <w:tc>
          <w:tcPr>
            <w:tcW w:w="3383" w:type="dxa"/>
            <w:vAlign w:val="center"/>
          </w:tcPr>
          <w:p w:rsidR="00077303" w:rsidRDefault="00077303" w:rsidP="00C84796">
            <w:pPr>
              <w:spacing w:line="360" w:lineRule="auto"/>
              <w:jc w:val="center"/>
              <w:rPr>
                <w:sz w:val="28"/>
                <w:szCs w:val="28"/>
                <w:lang w:val="uk-UA"/>
              </w:rPr>
            </w:pPr>
            <w:r>
              <w:rPr>
                <w:sz w:val="28"/>
                <w:szCs w:val="28"/>
                <w:lang w:val="uk-UA"/>
              </w:rPr>
              <w:t>Групи</w:t>
            </w:r>
          </w:p>
        </w:tc>
        <w:tc>
          <w:tcPr>
            <w:tcW w:w="3429" w:type="dxa"/>
            <w:vAlign w:val="center"/>
          </w:tcPr>
          <w:p w:rsidR="00077303" w:rsidRDefault="00077303" w:rsidP="00C84796">
            <w:pPr>
              <w:spacing w:line="360" w:lineRule="auto"/>
              <w:jc w:val="center"/>
              <w:rPr>
                <w:sz w:val="28"/>
                <w:szCs w:val="28"/>
                <w:lang w:val="uk-UA"/>
              </w:rPr>
            </w:pPr>
            <w:r>
              <w:rPr>
                <w:sz w:val="28"/>
                <w:szCs w:val="28"/>
                <w:lang w:val="uk-UA"/>
              </w:rPr>
              <w:t>ФНП–α – пг/мл</w:t>
            </w:r>
          </w:p>
          <w:p w:rsidR="00077303" w:rsidRDefault="00077303" w:rsidP="00C84796">
            <w:pPr>
              <w:spacing w:line="360" w:lineRule="auto"/>
              <w:jc w:val="center"/>
              <w:rPr>
                <w:sz w:val="28"/>
                <w:szCs w:val="28"/>
                <w:lang w:val="uk-UA"/>
              </w:rPr>
            </w:pPr>
            <w:r>
              <w:rPr>
                <w:sz w:val="28"/>
                <w:szCs w:val="28"/>
                <w:lang w:val="uk-UA"/>
              </w:rPr>
              <w:t>(</w:t>
            </w:r>
            <w:r w:rsidRPr="00423488">
              <w:rPr>
                <w:sz w:val="28"/>
                <w:szCs w:val="28"/>
                <w:lang w:val="uk-UA"/>
              </w:rPr>
              <w:t>Ме (25%;</w:t>
            </w:r>
            <w:r>
              <w:rPr>
                <w:sz w:val="28"/>
                <w:szCs w:val="28"/>
                <w:lang w:val="uk-UA"/>
              </w:rPr>
              <w:t xml:space="preserve"> </w:t>
            </w:r>
            <w:r w:rsidRPr="00423488">
              <w:rPr>
                <w:sz w:val="28"/>
                <w:szCs w:val="28"/>
                <w:lang w:val="uk-UA"/>
              </w:rPr>
              <w:t>75%)</w:t>
            </w:r>
            <w:r>
              <w:rPr>
                <w:sz w:val="28"/>
                <w:szCs w:val="28"/>
                <w:lang w:val="uk-UA"/>
              </w:rPr>
              <w:t>)</w:t>
            </w:r>
          </w:p>
        </w:tc>
        <w:tc>
          <w:tcPr>
            <w:tcW w:w="2759" w:type="dxa"/>
          </w:tcPr>
          <w:p w:rsidR="00077303" w:rsidRDefault="00077303" w:rsidP="00C84796">
            <w:pPr>
              <w:spacing w:line="360" w:lineRule="auto"/>
              <w:jc w:val="center"/>
              <w:rPr>
                <w:sz w:val="28"/>
                <w:szCs w:val="28"/>
                <w:lang w:val="uk-UA"/>
              </w:rPr>
            </w:pPr>
            <w:r>
              <w:rPr>
                <w:sz w:val="28"/>
                <w:szCs w:val="28"/>
                <w:lang w:val="uk-UA"/>
              </w:rPr>
              <w:t>ІЛ–6 – пг/мл</w:t>
            </w:r>
          </w:p>
          <w:p w:rsidR="00077303" w:rsidRDefault="00077303" w:rsidP="00C84796">
            <w:pPr>
              <w:spacing w:line="360" w:lineRule="auto"/>
              <w:jc w:val="center"/>
              <w:rPr>
                <w:sz w:val="28"/>
                <w:szCs w:val="28"/>
              </w:rPr>
            </w:pPr>
            <w:r>
              <w:rPr>
                <w:sz w:val="28"/>
                <w:szCs w:val="28"/>
                <w:lang w:val="uk-UA"/>
              </w:rPr>
              <w:t>(</w:t>
            </w:r>
            <w:r>
              <w:rPr>
                <w:sz w:val="28"/>
                <w:szCs w:val="28"/>
              </w:rPr>
              <w:t>Ме (25%;</w:t>
            </w:r>
            <w:r>
              <w:rPr>
                <w:sz w:val="28"/>
                <w:szCs w:val="28"/>
                <w:lang w:val="uk-UA"/>
              </w:rPr>
              <w:t xml:space="preserve"> </w:t>
            </w:r>
            <w:r>
              <w:rPr>
                <w:sz w:val="28"/>
                <w:szCs w:val="28"/>
              </w:rPr>
              <w:t>75%))</w:t>
            </w:r>
          </w:p>
        </w:tc>
      </w:tr>
      <w:tr w:rsidR="00077303" w:rsidTr="00325ED3">
        <w:tc>
          <w:tcPr>
            <w:tcW w:w="3383" w:type="dxa"/>
            <w:vAlign w:val="center"/>
          </w:tcPr>
          <w:p w:rsidR="00077303" w:rsidRDefault="00077303" w:rsidP="00C84796">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45</w:t>
            </w:r>
          </w:p>
        </w:tc>
        <w:tc>
          <w:tcPr>
            <w:tcW w:w="3429" w:type="dxa"/>
            <w:vAlign w:val="center"/>
          </w:tcPr>
          <w:p w:rsidR="00077303" w:rsidRDefault="00077303" w:rsidP="00741155">
            <w:pPr>
              <w:spacing w:line="360" w:lineRule="auto"/>
              <w:jc w:val="center"/>
              <w:rPr>
                <w:sz w:val="28"/>
                <w:szCs w:val="28"/>
                <w:lang w:val="en-US"/>
              </w:rPr>
            </w:pPr>
            <w:r>
              <w:rPr>
                <w:sz w:val="28"/>
                <w:szCs w:val="28"/>
                <w:lang w:val="en-US"/>
              </w:rPr>
              <w:t>8,66</w:t>
            </w:r>
            <w:r>
              <w:rPr>
                <w:sz w:val="28"/>
                <w:szCs w:val="28"/>
              </w:rPr>
              <w:t xml:space="preserve"> (7,91;</w:t>
            </w:r>
            <w:r>
              <w:rPr>
                <w:sz w:val="28"/>
                <w:szCs w:val="28"/>
                <w:lang w:val="uk-UA"/>
              </w:rPr>
              <w:t xml:space="preserve"> </w:t>
            </w:r>
            <w:r>
              <w:rPr>
                <w:sz w:val="28"/>
                <w:szCs w:val="28"/>
              </w:rPr>
              <w:t>9,03)</w:t>
            </w:r>
            <w:r>
              <w:rPr>
                <w:sz w:val="28"/>
                <w:szCs w:val="28"/>
                <w:lang w:val="en-US"/>
              </w:rPr>
              <w:t>*</w:t>
            </w:r>
          </w:p>
        </w:tc>
        <w:tc>
          <w:tcPr>
            <w:tcW w:w="2759" w:type="dxa"/>
          </w:tcPr>
          <w:p w:rsidR="00077303" w:rsidRDefault="00077303" w:rsidP="00741155">
            <w:pPr>
              <w:spacing w:line="360" w:lineRule="auto"/>
              <w:jc w:val="center"/>
              <w:rPr>
                <w:sz w:val="28"/>
                <w:szCs w:val="28"/>
                <w:lang w:val="uk-UA"/>
              </w:rPr>
            </w:pPr>
            <w:r>
              <w:rPr>
                <w:sz w:val="28"/>
                <w:szCs w:val="28"/>
                <w:lang w:val="uk-UA"/>
              </w:rPr>
              <w:t>22,92</w:t>
            </w:r>
            <w:r>
              <w:rPr>
                <w:sz w:val="28"/>
                <w:szCs w:val="28"/>
              </w:rPr>
              <w:t xml:space="preserve"> (20,54;</w:t>
            </w:r>
            <w:r>
              <w:rPr>
                <w:sz w:val="28"/>
                <w:szCs w:val="28"/>
                <w:lang w:val="uk-UA"/>
              </w:rPr>
              <w:t xml:space="preserve"> </w:t>
            </w:r>
            <w:r>
              <w:rPr>
                <w:sz w:val="28"/>
                <w:szCs w:val="28"/>
              </w:rPr>
              <w:t>25,2)</w:t>
            </w:r>
            <w:r>
              <w:rPr>
                <w:sz w:val="28"/>
                <w:szCs w:val="28"/>
                <w:lang w:val="uk-UA"/>
              </w:rPr>
              <w:t>* #</w:t>
            </w:r>
          </w:p>
        </w:tc>
      </w:tr>
      <w:tr w:rsidR="00077303" w:rsidTr="00325ED3">
        <w:tc>
          <w:tcPr>
            <w:tcW w:w="3383" w:type="dxa"/>
            <w:vAlign w:val="center"/>
          </w:tcPr>
          <w:p w:rsidR="00077303" w:rsidRDefault="00077303" w:rsidP="00C84796">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077303" w:rsidRDefault="00077303" w:rsidP="00741155">
            <w:pPr>
              <w:jc w:val="center"/>
              <w:rPr>
                <w:sz w:val="28"/>
                <w:szCs w:val="28"/>
                <w:lang w:val="uk-UA"/>
              </w:rPr>
            </w:pPr>
            <w:r>
              <w:rPr>
                <w:sz w:val="28"/>
                <w:szCs w:val="28"/>
              </w:rPr>
              <w:t>8,50 (7,97;</w:t>
            </w:r>
            <w:r>
              <w:rPr>
                <w:sz w:val="28"/>
                <w:szCs w:val="28"/>
                <w:lang w:val="uk-UA"/>
              </w:rPr>
              <w:t xml:space="preserve"> </w:t>
            </w:r>
            <w:r>
              <w:rPr>
                <w:sz w:val="28"/>
                <w:szCs w:val="28"/>
              </w:rPr>
              <w:t>9,0)</w:t>
            </w:r>
            <w:r>
              <w:rPr>
                <w:sz w:val="28"/>
                <w:szCs w:val="28"/>
                <w:lang w:val="uk-UA"/>
              </w:rPr>
              <w:t>*</w:t>
            </w:r>
          </w:p>
        </w:tc>
        <w:tc>
          <w:tcPr>
            <w:tcW w:w="2759" w:type="dxa"/>
          </w:tcPr>
          <w:p w:rsidR="00077303" w:rsidRDefault="00077303" w:rsidP="00741155">
            <w:pPr>
              <w:spacing w:line="360" w:lineRule="auto"/>
              <w:jc w:val="center"/>
              <w:rPr>
                <w:sz w:val="28"/>
                <w:szCs w:val="28"/>
                <w:lang w:val="en-US"/>
              </w:rPr>
            </w:pPr>
            <w:r>
              <w:rPr>
                <w:sz w:val="28"/>
                <w:szCs w:val="28"/>
                <w:lang w:val="uk-UA"/>
              </w:rPr>
              <w:t>19,66</w:t>
            </w:r>
            <w:r>
              <w:rPr>
                <w:sz w:val="28"/>
                <w:szCs w:val="28"/>
              </w:rPr>
              <w:t xml:space="preserve"> (18,74;</w:t>
            </w:r>
            <w:r>
              <w:rPr>
                <w:sz w:val="28"/>
                <w:szCs w:val="28"/>
                <w:lang w:val="uk-UA"/>
              </w:rPr>
              <w:t xml:space="preserve"> </w:t>
            </w:r>
            <w:r>
              <w:rPr>
                <w:sz w:val="28"/>
                <w:szCs w:val="28"/>
              </w:rPr>
              <w:t>21,1)</w:t>
            </w:r>
            <w:r>
              <w:rPr>
                <w:sz w:val="28"/>
                <w:szCs w:val="28"/>
                <w:lang w:val="uk-UA"/>
              </w:rPr>
              <w:t>*</w:t>
            </w:r>
          </w:p>
        </w:tc>
      </w:tr>
      <w:tr w:rsidR="00077303" w:rsidTr="00C84796">
        <w:tc>
          <w:tcPr>
            <w:tcW w:w="3383" w:type="dxa"/>
            <w:vAlign w:val="center"/>
          </w:tcPr>
          <w:p w:rsidR="00077303" w:rsidRDefault="00077303" w:rsidP="00C84796">
            <w:pPr>
              <w:spacing w:line="360" w:lineRule="auto"/>
              <w:jc w:val="center"/>
              <w:rPr>
                <w:sz w:val="28"/>
                <w:szCs w:val="28"/>
                <w:lang w:val="uk-UA"/>
              </w:rPr>
            </w:pPr>
            <w:r>
              <w:rPr>
                <w:sz w:val="28"/>
                <w:szCs w:val="28"/>
                <w:lang w:val="uk-UA"/>
              </w:rPr>
              <w:t>Контрольна група</w:t>
            </w:r>
          </w:p>
        </w:tc>
        <w:tc>
          <w:tcPr>
            <w:tcW w:w="3429" w:type="dxa"/>
            <w:vAlign w:val="center"/>
          </w:tcPr>
          <w:p w:rsidR="00077303" w:rsidRDefault="00077303" w:rsidP="00C84796">
            <w:pPr>
              <w:spacing w:line="360" w:lineRule="auto"/>
              <w:jc w:val="center"/>
              <w:rPr>
                <w:sz w:val="28"/>
                <w:szCs w:val="28"/>
              </w:rPr>
            </w:pPr>
            <w:r>
              <w:rPr>
                <w:sz w:val="28"/>
                <w:szCs w:val="28"/>
              </w:rPr>
              <w:t>1,94 (1,73;</w:t>
            </w:r>
            <w:r>
              <w:rPr>
                <w:sz w:val="28"/>
                <w:szCs w:val="28"/>
                <w:lang w:val="uk-UA"/>
              </w:rPr>
              <w:t xml:space="preserve"> </w:t>
            </w:r>
            <w:r>
              <w:rPr>
                <w:sz w:val="28"/>
                <w:szCs w:val="28"/>
              </w:rPr>
              <w:t>2,02)</w:t>
            </w:r>
          </w:p>
        </w:tc>
        <w:tc>
          <w:tcPr>
            <w:tcW w:w="2759" w:type="dxa"/>
          </w:tcPr>
          <w:p w:rsidR="00077303" w:rsidRDefault="00077303" w:rsidP="00C84796">
            <w:pPr>
              <w:spacing w:line="360" w:lineRule="auto"/>
              <w:jc w:val="center"/>
              <w:rPr>
                <w:sz w:val="28"/>
                <w:szCs w:val="28"/>
              </w:rPr>
            </w:pPr>
            <w:r>
              <w:rPr>
                <w:sz w:val="28"/>
                <w:szCs w:val="28"/>
              </w:rPr>
              <w:t>1,72 (1,36;</w:t>
            </w:r>
            <w:r>
              <w:rPr>
                <w:sz w:val="28"/>
                <w:szCs w:val="28"/>
                <w:lang w:val="uk-UA"/>
              </w:rPr>
              <w:t xml:space="preserve"> </w:t>
            </w:r>
            <w:r>
              <w:rPr>
                <w:sz w:val="28"/>
                <w:szCs w:val="28"/>
              </w:rPr>
              <w:t>2,19)</w:t>
            </w:r>
          </w:p>
        </w:tc>
      </w:tr>
    </w:tbl>
    <w:p w:rsidR="00077303" w:rsidRDefault="00077303" w:rsidP="00C84796">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Pr>
          <w:sz w:val="28"/>
          <w:szCs w:val="28"/>
          <w:lang w:val="uk-UA"/>
        </w:rPr>
        <w:t xml:space="preserve"> &lt; 0,001 щодо групи контролю;</w:t>
      </w:r>
    </w:p>
    <w:p w:rsidR="00077303" w:rsidRDefault="00077303" w:rsidP="00C84796">
      <w:pPr>
        <w:spacing w:line="360" w:lineRule="auto"/>
        <w:ind w:left="707" w:firstLine="709"/>
        <w:jc w:val="both"/>
        <w:rPr>
          <w:sz w:val="28"/>
          <w:szCs w:val="28"/>
          <w:lang w:val="uk-UA"/>
        </w:rPr>
      </w:pPr>
      <w:r>
        <w:rPr>
          <w:sz w:val="28"/>
          <w:szCs w:val="28"/>
          <w:lang w:val="uk-UA"/>
        </w:rPr>
        <w:t xml:space="preserve"># – </w:t>
      </w:r>
      <w:r>
        <w:rPr>
          <w:sz w:val="28"/>
          <w:szCs w:val="28"/>
        </w:rPr>
        <w:t>p</w:t>
      </w:r>
      <w:r>
        <w:rPr>
          <w:sz w:val="28"/>
          <w:szCs w:val="28"/>
          <w:lang w:val="uk-UA"/>
        </w:rPr>
        <w:t xml:space="preserve"> &lt; 0,001 щодо 2 групи.</w:t>
      </w:r>
    </w:p>
    <w:p w:rsidR="00077303" w:rsidRDefault="00077303" w:rsidP="00C84796">
      <w:pPr>
        <w:spacing w:line="360" w:lineRule="auto"/>
        <w:ind w:firstLine="709"/>
        <w:jc w:val="both"/>
        <w:rPr>
          <w:sz w:val="28"/>
          <w:szCs w:val="28"/>
          <w:lang w:val="uk-UA"/>
        </w:rPr>
      </w:pPr>
      <w:r>
        <w:rPr>
          <w:sz w:val="28"/>
          <w:szCs w:val="28"/>
          <w:lang w:val="uk-UA"/>
        </w:rPr>
        <w:t>При обстеженні хворих статевих відмінностей рівнів прозапальних цитокінів в жодній групі виявлено не було. Рівень ФНП–α у чоловіків та у жінок практично не відрізнявся (р &gt; 0,05)  – 8,07 (7,85; 9,05) пг/мл у чоловіків і 8,68 (8,06; 9,01) пг/мл (р &gt; 0,05) у жінок в 1 групі, та 8,59 (8,14; 9,12) пг/мл та 8,45 (7,97; 8,64) пг/мл відповідно в 2 групі. Так само не відрізнялись показники ІЛ–6 сироватки крові в залежності від статі: в 1 групі пацієнтів у чоловіків середня концентрація дорівнювалась 22,92</w:t>
      </w:r>
      <w:r>
        <w:rPr>
          <w:sz w:val="28"/>
          <w:szCs w:val="28"/>
        </w:rPr>
        <w:t xml:space="preserve"> (2</w:t>
      </w:r>
      <w:r w:rsidRPr="00754A32">
        <w:rPr>
          <w:sz w:val="28"/>
          <w:szCs w:val="28"/>
          <w:lang w:val="uk-UA"/>
        </w:rPr>
        <w:t>0,4;</w:t>
      </w:r>
      <w:r>
        <w:rPr>
          <w:sz w:val="28"/>
          <w:szCs w:val="28"/>
          <w:lang w:val="uk-UA"/>
        </w:rPr>
        <w:t xml:space="preserve"> </w:t>
      </w:r>
      <w:r w:rsidRPr="00754A32">
        <w:rPr>
          <w:sz w:val="28"/>
          <w:szCs w:val="28"/>
          <w:lang w:val="uk-UA"/>
        </w:rPr>
        <w:t>27,31)</w:t>
      </w:r>
      <w:r>
        <w:rPr>
          <w:sz w:val="28"/>
          <w:szCs w:val="28"/>
          <w:lang w:val="uk-UA"/>
        </w:rPr>
        <w:t xml:space="preserve"> пг/мл, у жінок – 23,21 (20,66; 24,53)пг/мл (р &gt; 0,05). В 2 групі хворих – 20,06</w:t>
      </w:r>
      <w:r>
        <w:rPr>
          <w:sz w:val="28"/>
          <w:szCs w:val="28"/>
        </w:rPr>
        <w:t xml:space="preserve"> (17,79;</w:t>
      </w:r>
      <w:r>
        <w:rPr>
          <w:sz w:val="28"/>
          <w:szCs w:val="28"/>
          <w:lang w:val="uk-UA"/>
        </w:rPr>
        <w:t xml:space="preserve"> </w:t>
      </w:r>
      <w:r>
        <w:rPr>
          <w:sz w:val="28"/>
          <w:szCs w:val="28"/>
        </w:rPr>
        <w:t>22,01)</w:t>
      </w:r>
      <w:r>
        <w:rPr>
          <w:sz w:val="28"/>
          <w:szCs w:val="28"/>
          <w:lang w:val="uk-UA"/>
        </w:rPr>
        <w:t xml:space="preserve">  та 19,66</w:t>
      </w:r>
      <w:r>
        <w:rPr>
          <w:sz w:val="28"/>
          <w:szCs w:val="28"/>
        </w:rPr>
        <w:t xml:space="preserve"> (19,33;</w:t>
      </w:r>
      <w:r>
        <w:rPr>
          <w:sz w:val="28"/>
          <w:szCs w:val="28"/>
          <w:lang w:val="uk-UA"/>
        </w:rPr>
        <w:t xml:space="preserve"> </w:t>
      </w:r>
      <w:r>
        <w:rPr>
          <w:sz w:val="28"/>
          <w:szCs w:val="28"/>
        </w:rPr>
        <w:t>20,14)</w:t>
      </w:r>
      <w:r>
        <w:rPr>
          <w:sz w:val="28"/>
          <w:szCs w:val="28"/>
          <w:lang w:val="uk-UA"/>
        </w:rPr>
        <w:t xml:space="preserve"> пг/мл (р &gt; 0,05) у чоловіків та жінок відповідно.</w:t>
      </w:r>
    </w:p>
    <w:p w:rsidR="00077303" w:rsidRDefault="00077303" w:rsidP="00C84796">
      <w:pPr>
        <w:spacing w:line="360" w:lineRule="auto"/>
        <w:ind w:firstLine="709"/>
        <w:jc w:val="both"/>
        <w:rPr>
          <w:sz w:val="28"/>
          <w:szCs w:val="28"/>
          <w:lang w:val="uk-UA"/>
        </w:rPr>
      </w:pPr>
      <w:r>
        <w:rPr>
          <w:sz w:val="28"/>
          <w:szCs w:val="28"/>
          <w:lang w:val="uk-UA"/>
        </w:rPr>
        <w:t>При аналізі отриманих даних виявилось, що вміст ФНП–α не залежав від віку хворих (табл. 3.1.2.)</w:t>
      </w: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right"/>
        <w:rPr>
          <w:sz w:val="28"/>
          <w:szCs w:val="28"/>
          <w:lang w:val="uk-UA"/>
        </w:rPr>
      </w:pPr>
      <w:r>
        <w:rPr>
          <w:sz w:val="28"/>
          <w:szCs w:val="28"/>
          <w:lang w:val="uk-UA"/>
        </w:rPr>
        <w:lastRenderedPageBreak/>
        <w:t>Таблиця 3.1.2.</w:t>
      </w:r>
    </w:p>
    <w:p w:rsidR="00077303" w:rsidRDefault="00077303" w:rsidP="00C84796">
      <w:pPr>
        <w:spacing w:line="360" w:lineRule="auto"/>
        <w:jc w:val="center"/>
        <w:rPr>
          <w:sz w:val="28"/>
          <w:szCs w:val="28"/>
          <w:lang w:val="uk-UA"/>
        </w:rPr>
      </w:pPr>
      <w:r>
        <w:rPr>
          <w:sz w:val="28"/>
          <w:szCs w:val="28"/>
          <w:lang w:val="uk-UA"/>
        </w:rPr>
        <w:t>Вміст ФНП–α в сироватці крові хворих в залежності від віку, пг/мл (Ме (25%; 75%))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Вік хворих</w:t>
            </w:r>
          </w:p>
        </w:tc>
        <w:tc>
          <w:tcPr>
            <w:tcW w:w="3190" w:type="dxa"/>
            <w:vAlign w:val="center"/>
          </w:tcPr>
          <w:p w:rsidR="00077303" w:rsidRDefault="00077303" w:rsidP="00C84796">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 45</w:t>
            </w:r>
          </w:p>
        </w:tc>
        <w:tc>
          <w:tcPr>
            <w:tcW w:w="3191" w:type="dxa"/>
            <w:vAlign w:val="center"/>
          </w:tcPr>
          <w:p w:rsidR="00077303" w:rsidRDefault="00077303" w:rsidP="00C84796">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 </w:t>
            </w:r>
            <w:r>
              <w:rPr>
                <w:sz w:val="28"/>
                <w:szCs w:val="28"/>
              </w:rPr>
              <w:t>40</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23–29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8,19</w:t>
            </w:r>
            <w:r>
              <w:rPr>
                <w:sz w:val="28"/>
                <w:szCs w:val="28"/>
              </w:rPr>
              <w:t xml:space="preserve"> (7,16;</w:t>
            </w:r>
            <w:r>
              <w:rPr>
                <w:sz w:val="28"/>
                <w:szCs w:val="28"/>
                <w:lang w:val="uk-UA"/>
              </w:rPr>
              <w:t xml:space="preserve"> </w:t>
            </w:r>
            <w:r>
              <w:rPr>
                <w:sz w:val="28"/>
                <w:szCs w:val="28"/>
              </w:rPr>
              <w:t>9,29)</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8,77</w:t>
            </w:r>
            <w:r>
              <w:rPr>
                <w:sz w:val="28"/>
                <w:szCs w:val="28"/>
              </w:rPr>
              <w:t xml:space="preserve"> (8,21;</w:t>
            </w:r>
            <w:r>
              <w:rPr>
                <w:sz w:val="28"/>
                <w:szCs w:val="28"/>
                <w:lang w:val="uk-UA"/>
              </w:rPr>
              <w:t xml:space="preserve"> </w:t>
            </w:r>
            <w:r>
              <w:rPr>
                <w:sz w:val="28"/>
                <w:szCs w:val="28"/>
              </w:rPr>
              <w:t>9,8)</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30–39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8,62</w:t>
            </w:r>
            <w:r>
              <w:rPr>
                <w:sz w:val="28"/>
                <w:szCs w:val="28"/>
              </w:rPr>
              <w:t xml:space="preserve"> (7,89;</w:t>
            </w:r>
            <w:r>
              <w:rPr>
                <w:sz w:val="28"/>
                <w:szCs w:val="28"/>
                <w:lang w:val="uk-UA"/>
              </w:rPr>
              <w:t xml:space="preserve"> </w:t>
            </w:r>
            <w:r>
              <w:rPr>
                <w:sz w:val="28"/>
                <w:szCs w:val="28"/>
              </w:rPr>
              <w:t>9,01)</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8,35</w:t>
            </w:r>
            <w:r>
              <w:rPr>
                <w:sz w:val="28"/>
                <w:szCs w:val="28"/>
              </w:rPr>
              <w:t xml:space="preserve"> (8,32;</w:t>
            </w:r>
            <w:r>
              <w:rPr>
                <w:sz w:val="28"/>
                <w:szCs w:val="28"/>
                <w:lang w:val="uk-UA"/>
              </w:rPr>
              <w:t xml:space="preserve"> </w:t>
            </w:r>
            <w:r>
              <w:rPr>
                <w:sz w:val="28"/>
                <w:szCs w:val="28"/>
              </w:rPr>
              <w:t>9,04)</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40–49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8,03</w:t>
            </w:r>
            <w:r>
              <w:rPr>
                <w:sz w:val="28"/>
                <w:szCs w:val="28"/>
              </w:rPr>
              <w:t xml:space="preserve"> (7,79;</w:t>
            </w:r>
            <w:r>
              <w:rPr>
                <w:sz w:val="28"/>
                <w:szCs w:val="28"/>
                <w:lang w:val="uk-UA"/>
              </w:rPr>
              <w:t xml:space="preserve"> </w:t>
            </w:r>
            <w:r>
              <w:rPr>
                <w:sz w:val="28"/>
                <w:szCs w:val="28"/>
              </w:rPr>
              <w:t>9,02)</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8,48</w:t>
            </w:r>
            <w:r>
              <w:rPr>
                <w:sz w:val="28"/>
                <w:szCs w:val="28"/>
              </w:rPr>
              <w:t xml:space="preserve"> (7,75;</w:t>
            </w:r>
            <w:r>
              <w:rPr>
                <w:sz w:val="28"/>
                <w:szCs w:val="28"/>
                <w:lang w:val="uk-UA"/>
              </w:rPr>
              <w:t xml:space="preserve"> </w:t>
            </w:r>
            <w:r>
              <w:rPr>
                <w:sz w:val="28"/>
                <w:szCs w:val="28"/>
              </w:rPr>
              <w:t>8,6)</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50–59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8,7</w:t>
            </w:r>
            <w:r>
              <w:rPr>
                <w:sz w:val="28"/>
                <w:szCs w:val="28"/>
              </w:rPr>
              <w:t xml:space="preserve"> (8,43;</w:t>
            </w:r>
            <w:r>
              <w:rPr>
                <w:sz w:val="28"/>
                <w:szCs w:val="28"/>
                <w:lang w:val="uk-UA"/>
              </w:rPr>
              <w:t xml:space="preserve"> </w:t>
            </w:r>
            <w:r>
              <w:rPr>
                <w:sz w:val="28"/>
                <w:szCs w:val="28"/>
              </w:rPr>
              <w:t>9,06)</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8,54</w:t>
            </w:r>
            <w:r>
              <w:rPr>
                <w:sz w:val="28"/>
                <w:szCs w:val="28"/>
              </w:rPr>
              <w:t xml:space="preserve"> (8,29;</w:t>
            </w:r>
            <w:r>
              <w:rPr>
                <w:sz w:val="28"/>
                <w:szCs w:val="28"/>
                <w:lang w:val="uk-UA"/>
              </w:rPr>
              <w:t xml:space="preserve"> </w:t>
            </w:r>
            <w:r>
              <w:rPr>
                <w:sz w:val="28"/>
                <w:szCs w:val="28"/>
              </w:rPr>
              <w:t>8,65)</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60–67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8,67</w:t>
            </w:r>
            <w:r>
              <w:rPr>
                <w:sz w:val="28"/>
                <w:szCs w:val="28"/>
              </w:rPr>
              <w:t xml:space="preserve"> (7,9;</w:t>
            </w:r>
            <w:r>
              <w:rPr>
                <w:sz w:val="28"/>
                <w:szCs w:val="28"/>
                <w:lang w:val="uk-UA"/>
              </w:rPr>
              <w:t xml:space="preserve"> </w:t>
            </w:r>
            <w:r>
              <w:rPr>
                <w:sz w:val="28"/>
                <w:szCs w:val="28"/>
              </w:rPr>
              <w:t>8,83)</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8,48</w:t>
            </w:r>
            <w:r>
              <w:rPr>
                <w:sz w:val="28"/>
                <w:szCs w:val="28"/>
              </w:rPr>
              <w:t xml:space="preserve"> (8,06;</w:t>
            </w:r>
            <w:r>
              <w:rPr>
                <w:sz w:val="28"/>
                <w:szCs w:val="28"/>
                <w:lang w:val="uk-UA"/>
              </w:rPr>
              <w:t xml:space="preserve"> </w:t>
            </w:r>
            <w:r>
              <w:rPr>
                <w:sz w:val="28"/>
                <w:szCs w:val="28"/>
              </w:rPr>
              <w:t>8,99)</w:t>
            </w:r>
            <w:r>
              <w:rPr>
                <w:sz w:val="28"/>
                <w:szCs w:val="28"/>
                <w:lang w:val="uk-UA"/>
              </w:rPr>
              <w:t xml:space="preserve"> *</w:t>
            </w:r>
          </w:p>
        </w:tc>
      </w:tr>
    </w:tbl>
    <w:p w:rsidR="00077303" w:rsidRDefault="00077303" w:rsidP="00C84796">
      <w:pPr>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Pr>
          <w:sz w:val="28"/>
          <w:szCs w:val="28"/>
          <w:lang w:val="uk-UA"/>
        </w:rPr>
        <w:t xml:space="preserve"> &gt; 0,05 при порівнянні показників в різних вікових групах</w:t>
      </w:r>
    </w:p>
    <w:p w:rsidR="00077303" w:rsidRDefault="00077303" w:rsidP="00C84796">
      <w:pPr>
        <w:spacing w:line="360" w:lineRule="auto"/>
        <w:ind w:firstLine="709"/>
        <w:jc w:val="both"/>
        <w:rPr>
          <w:sz w:val="28"/>
          <w:szCs w:val="28"/>
          <w:lang w:val="uk-UA"/>
        </w:rPr>
      </w:pPr>
      <w:r>
        <w:rPr>
          <w:sz w:val="28"/>
          <w:szCs w:val="28"/>
          <w:lang w:val="uk-UA"/>
        </w:rPr>
        <w:t>Нами не було виявлено певних вікових відмінностей вмісту ІЛ–6 в жодній групі (табл. 3.1.3.).</w:t>
      </w:r>
    </w:p>
    <w:p w:rsidR="00077303" w:rsidRDefault="00077303" w:rsidP="00C84796">
      <w:pPr>
        <w:spacing w:line="360" w:lineRule="auto"/>
        <w:ind w:firstLine="709"/>
        <w:jc w:val="right"/>
        <w:rPr>
          <w:sz w:val="28"/>
          <w:szCs w:val="28"/>
          <w:lang w:val="uk-UA"/>
        </w:rPr>
      </w:pPr>
      <w:r>
        <w:rPr>
          <w:sz w:val="28"/>
          <w:szCs w:val="28"/>
          <w:lang w:val="uk-UA"/>
        </w:rPr>
        <w:t xml:space="preserve">  Таблиця 3.1.3.</w:t>
      </w:r>
    </w:p>
    <w:p w:rsidR="00077303" w:rsidRDefault="00077303" w:rsidP="00C84796">
      <w:pPr>
        <w:spacing w:line="360" w:lineRule="auto"/>
        <w:jc w:val="center"/>
        <w:rPr>
          <w:sz w:val="28"/>
          <w:szCs w:val="28"/>
          <w:lang w:val="uk-UA"/>
        </w:rPr>
      </w:pPr>
      <w:r>
        <w:rPr>
          <w:sz w:val="28"/>
          <w:szCs w:val="28"/>
          <w:lang w:val="uk-UA"/>
        </w:rPr>
        <w:t>Вміст ІЛ–6 в сироватці крові хворих в залежності від віку, пг/мл (</w:t>
      </w:r>
      <w:r>
        <w:rPr>
          <w:sz w:val="28"/>
          <w:szCs w:val="28"/>
        </w:rPr>
        <w:t>Ме (25%;</w:t>
      </w:r>
      <w:r>
        <w:rPr>
          <w:sz w:val="28"/>
          <w:szCs w:val="28"/>
          <w:lang w:val="uk-UA"/>
        </w:rPr>
        <w:t xml:space="preserve"> </w:t>
      </w:r>
      <w:r>
        <w:rPr>
          <w:sz w:val="28"/>
          <w:szCs w:val="28"/>
        </w:rPr>
        <w:t>75%)</w:t>
      </w:r>
      <w:r>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Вік хворих</w:t>
            </w:r>
          </w:p>
        </w:tc>
        <w:tc>
          <w:tcPr>
            <w:tcW w:w="3190" w:type="dxa"/>
            <w:vAlign w:val="center"/>
          </w:tcPr>
          <w:p w:rsidR="00077303" w:rsidRDefault="00077303" w:rsidP="00C84796">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45</w:t>
            </w:r>
          </w:p>
        </w:tc>
        <w:tc>
          <w:tcPr>
            <w:tcW w:w="3191" w:type="dxa"/>
            <w:vAlign w:val="center"/>
          </w:tcPr>
          <w:p w:rsidR="00077303" w:rsidRDefault="00077303" w:rsidP="00C84796">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23–29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23,15</w:t>
            </w:r>
            <w:r>
              <w:rPr>
                <w:sz w:val="28"/>
                <w:szCs w:val="28"/>
              </w:rPr>
              <w:t xml:space="preserve"> (22,07;</w:t>
            </w:r>
            <w:r>
              <w:rPr>
                <w:sz w:val="28"/>
                <w:szCs w:val="28"/>
                <w:lang w:val="uk-UA"/>
              </w:rPr>
              <w:t xml:space="preserve"> </w:t>
            </w:r>
            <w:r>
              <w:rPr>
                <w:sz w:val="28"/>
                <w:szCs w:val="28"/>
              </w:rPr>
              <w:t>23,76)</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19,47</w:t>
            </w:r>
            <w:r>
              <w:rPr>
                <w:sz w:val="28"/>
                <w:szCs w:val="28"/>
              </w:rPr>
              <w:t xml:space="preserve"> (18,0;</w:t>
            </w:r>
            <w:r>
              <w:rPr>
                <w:sz w:val="28"/>
                <w:szCs w:val="28"/>
                <w:lang w:val="uk-UA"/>
              </w:rPr>
              <w:t xml:space="preserve"> </w:t>
            </w:r>
            <w:r>
              <w:rPr>
                <w:sz w:val="28"/>
                <w:szCs w:val="28"/>
              </w:rPr>
              <w:t>21,12)</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30–39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23,65</w:t>
            </w:r>
            <w:r>
              <w:rPr>
                <w:sz w:val="28"/>
                <w:szCs w:val="28"/>
              </w:rPr>
              <w:t xml:space="preserve"> (22,3;</w:t>
            </w:r>
            <w:r>
              <w:rPr>
                <w:sz w:val="28"/>
                <w:szCs w:val="28"/>
                <w:lang w:val="uk-UA"/>
              </w:rPr>
              <w:t xml:space="preserve"> </w:t>
            </w:r>
            <w:r>
              <w:rPr>
                <w:sz w:val="28"/>
                <w:szCs w:val="28"/>
              </w:rPr>
              <w:t>28,13)</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20,65</w:t>
            </w:r>
            <w:r>
              <w:rPr>
                <w:sz w:val="28"/>
                <w:szCs w:val="28"/>
              </w:rPr>
              <w:t xml:space="preserve"> (18,4;</w:t>
            </w:r>
            <w:r>
              <w:rPr>
                <w:sz w:val="28"/>
                <w:szCs w:val="28"/>
                <w:lang w:val="uk-UA"/>
              </w:rPr>
              <w:t xml:space="preserve"> </w:t>
            </w:r>
            <w:r>
              <w:rPr>
                <w:sz w:val="28"/>
                <w:szCs w:val="28"/>
              </w:rPr>
              <w:t>21,95)</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40–49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22,88</w:t>
            </w:r>
            <w:r>
              <w:rPr>
                <w:sz w:val="28"/>
                <w:szCs w:val="28"/>
              </w:rPr>
              <w:t xml:space="preserve"> (20,83;</w:t>
            </w:r>
            <w:r>
              <w:rPr>
                <w:sz w:val="28"/>
                <w:szCs w:val="28"/>
                <w:lang w:val="uk-UA"/>
              </w:rPr>
              <w:t xml:space="preserve"> </w:t>
            </w:r>
            <w:r>
              <w:rPr>
                <w:sz w:val="28"/>
                <w:szCs w:val="28"/>
              </w:rPr>
              <w:t>30,4)</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19,24</w:t>
            </w:r>
            <w:r>
              <w:rPr>
                <w:sz w:val="28"/>
                <w:szCs w:val="28"/>
              </w:rPr>
              <w:t xml:space="preserve"> (17,61;</w:t>
            </w:r>
            <w:r>
              <w:rPr>
                <w:sz w:val="28"/>
                <w:szCs w:val="28"/>
                <w:lang w:val="uk-UA"/>
              </w:rPr>
              <w:t xml:space="preserve"> </w:t>
            </w:r>
            <w:r>
              <w:rPr>
                <w:sz w:val="28"/>
                <w:szCs w:val="28"/>
              </w:rPr>
              <w:t>20,93)</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50–59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22,68</w:t>
            </w:r>
            <w:r>
              <w:rPr>
                <w:sz w:val="28"/>
                <w:szCs w:val="28"/>
              </w:rPr>
              <w:t xml:space="preserve"> (20,51;</w:t>
            </w:r>
            <w:r>
              <w:rPr>
                <w:sz w:val="28"/>
                <w:szCs w:val="28"/>
                <w:lang w:val="uk-UA"/>
              </w:rPr>
              <w:t xml:space="preserve"> </w:t>
            </w:r>
            <w:r>
              <w:rPr>
                <w:sz w:val="28"/>
                <w:szCs w:val="28"/>
              </w:rPr>
              <w:t>24,32)</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19,88</w:t>
            </w:r>
            <w:r>
              <w:rPr>
                <w:sz w:val="28"/>
                <w:szCs w:val="28"/>
              </w:rPr>
              <w:t xml:space="preserve"> (19,54;</w:t>
            </w:r>
            <w:r>
              <w:rPr>
                <w:sz w:val="28"/>
                <w:szCs w:val="28"/>
                <w:lang w:val="uk-UA"/>
              </w:rPr>
              <w:t xml:space="preserve"> </w:t>
            </w:r>
            <w:r>
              <w:rPr>
                <w:sz w:val="28"/>
                <w:szCs w:val="28"/>
              </w:rPr>
              <w:t>20,98)</w:t>
            </w:r>
            <w:r>
              <w:rPr>
                <w:sz w:val="28"/>
                <w:szCs w:val="28"/>
                <w:lang w:val="uk-UA"/>
              </w:rPr>
              <w:t xml:space="preserve"> *</w:t>
            </w:r>
          </w:p>
        </w:tc>
      </w:tr>
      <w:tr w:rsidR="00077303" w:rsidTr="00C84796">
        <w:tc>
          <w:tcPr>
            <w:tcW w:w="3190" w:type="dxa"/>
            <w:vAlign w:val="center"/>
          </w:tcPr>
          <w:p w:rsidR="00077303" w:rsidRDefault="00077303" w:rsidP="00C84796">
            <w:pPr>
              <w:spacing w:line="360" w:lineRule="auto"/>
              <w:jc w:val="center"/>
              <w:rPr>
                <w:sz w:val="28"/>
                <w:szCs w:val="28"/>
                <w:lang w:val="uk-UA"/>
              </w:rPr>
            </w:pPr>
            <w:r>
              <w:rPr>
                <w:sz w:val="28"/>
                <w:szCs w:val="28"/>
                <w:lang w:val="uk-UA"/>
              </w:rPr>
              <w:t>60–67 років</w:t>
            </w:r>
          </w:p>
        </w:tc>
        <w:tc>
          <w:tcPr>
            <w:tcW w:w="3190" w:type="dxa"/>
            <w:vAlign w:val="center"/>
          </w:tcPr>
          <w:p w:rsidR="00077303" w:rsidRDefault="00077303" w:rsidP="00C9368B">
            <w:pPr>
              <w:spacing w:line="360" w:lineRule="auto"/>
              <w:jc w:val="center"/>
              <w:rPr>
                <w:sz w:val="28"/>
                <w:szCs w:val="28"/>
                <w:lang w:val="uk-UA"/>
              </w:rPr>
            </w:pPr>
            <w:r>
              <w:rPr>
                <w:sz w:val="28"/>
                <w:szCs w:val="28"/>
                <w:lang w:val="uk-UA"/>
              </w:rPr>
              <w:t>23,54</w:t>
            </w:r>
            <w:r>
              <w:rPr>
                <w:sz w:val="28"/>
                <w:szCs w:val="28"/>
              </w:rPr>
              <w:t xml:space="preserve"> (21,17;</w:t>
            </w:r>
            <w:r>
              <w:rPr>
                <w:sz w:val="28"/>
                <w:szCs w:val="28"/>
                <w:lang w:val="uk-UA"/>
              </w:rPr>
              <w:t xml:space="preserve"> </w:t>
            </w:r>
            <w:r>
              <w:rPr>
                <w:sz w:val="28"/>
                <w:szCs w:val="28"/>
              </w:rPr>
              <w:t>25,28)</w:t>
            </w:r>
            <w:r>
              <w:rPr>
                <w:sz w:val="28"/>
                <w:szCs w:val="28"/>
                <w:lang w:val="uk-UA"/>
              </w:rPr>
              <w:t xml:space="preserve"> *</w:t>
            </w:r>
          </w:p>
        </w:tc>
        <w:tc>
          <w:tcPr>
            <w:tcW w:w="3191" w:type="dxa"/>
            <w:vAlign w:val="center"/>
          </w:tcPr>
          <w:p w:rsidR="00077303" w:rsidRDefault="00077303" w:rsidP="00C9368B">
            <w:pPr>
              <w:spacing w:line="360" w:lineRule="auto"/>
              <w:jc w:val="center"/>
              <w:rPr>
                <w:sz w:val="28"/>
                <w:szCs w:val="28"/>
                <w:lang w:val="uk-UA"/>
              </w:rPr>
            </w:pPr>
            <w:r>
              <w:rPr>
                <w:sz w:val="28"/>
                <w:szCs w:val="28"/>
                <w:lang w:val="uk-UA"/>
              </w:rPr>
              <w:t>19,77</w:t>
            </w:r>
            <w:r>
              <w:rPr>
                <w:sz w:val="28"/>
                <w:szCs w:val="28"/>
              </w:rPr>
              <w:t xml:space="preserve"> (19,16;</w:t>
            </w:r>
            <w:r>
              <w:rPr>
                <w:sz w:val="28"/>
                <w:szCs w:val="28"/>
                <w:lang w:val="uk-UA"/>
              </w:rPr>
              <w:t xml:space="preserve"> </w:t>
            </w:r>
            <w:r>
              <w:rPr>
                <w:sz w:val="28"/>
                <w:szCs w:val="28"/>
              </w:rPr>
              <w:t>19,87)</w:t>
            </w:r>
            <w:r>
              <w:rPr>
                <w:sz w:val="28"/>
                <w:szCs w:val="28"/>
                <w:lang w:val="uk-UA"/>
              </w:rPr>
              <w:t xml:space="preserve"> *</w:t>
            </w:r>
          </w:p>
        </w:tc>
      </w:tr>
    </w:tbl>
    <w:p w:rsidR="00077303" w:rsidRDefault="00077303" w:rsidP="00C84796">
      <w:pPr>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Pr>
          <w:sz w:val="28"/>
          <w:szCs w:val="28"/>
          <w:lang w:val="uk-UA"/>
        </w:rPr>
        <w:t xml:space="preserve"> &gt; 0,05 при порівнянні показників в різних вікових групах</w:t>
      </w:r>
    </w:p>
    <w:p w:rsidR="00077303" w:rsidRDefault="00077303" w:rsidP="00C84796">
      <w:pPr>
        <w:spacing w:line="360" w:lineRule="auto"/>
        <w:ind w:firstLine="709"/>
        <w:jc w:val="both"/>
        <w:rPr>
          <w:sz w:val="28"/>
          <w:szCs w:val="28"/>
          <w:lang w:val="uk-UA"/>
        </w:rPr>
      </w:pPr>
      <w:r>
        <w:rPr>
          <w:sz w:val="28"/>
          <w:szCs w:val="28"/>
          <w:lang w:val="uk-UA"/>
        </w:rPr>
        <w:t>Аналізуючи вміст прозапальних цитокінів сироватки крові у хворих двох груп в залежності від тривалості захворювання ми отримали наступні результати (табл. 3.1.4).</w:t>
      </w: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both"/>
        <w:rPr>
          <w:sz w:val="28"/>
          <w:szCs w:val="28"/>
          <w:lang w:val="uk-UA"/>
        </w:rPr>
      </w:pPr>
    </w:p>
    <w:p w:rsidR="00077303" w:rsidRDefault="00077303" w:rsidP="00C84796">
      <w:pPr>
        <w:spacing w:line="360" w:lineRule="auto"/>
        <w:ind w:firstLine="709"/>
        <w:jc w:val="right"/>
        <w:rPr>
          <w:sz w:val="28"/>
          <w:szCs w:val="28"/>
          <w:lang w:val="uk-UA"/>
        </w:rPr>
      </w:pPr>
      <w:r>
        <w:rPr>
          <w:sz w:val="28"/>
          <w:szCs w:val="28"/>
          <w:lang w:val="uk-UA"/>
        </w:rPr>
        <w:lastRenderedPageBreak/>
        <w:t>Таблиця 3.1.4</w:t>
      </w:r>
    </w:p>
    <w:p w:rsidR="00077303" w:rsidRDefault="00077303" w:rsidP="00A3555D">
      <w:pPr>
        <w:spacing w:line="360" w:lineRule="auto"/>
        <w:ind w:firstLine="709"/>
        <w:jc w:val="center"/>
        <w:rPr>
          <w:sz w:val="28"/>
          <w:szCs w:val="28"/>
          <w:lang w:val="uk-UA"/>
        </w:rPr>
      </w:pPr>
      <w:r>
        <w:rPr>
          <w:sz w:val="28"/>
          <w:szCs w:val="28"/>
          <w:lang w:val="uk-UA"/>
        </w:rPr>
        <w:t>Вміст ФНП–α та ІЛ–6 в сироватці крові хворих в залежності від тривалості захворювання, пг/мл (Ме (25%;75%))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8"/>
        <w:gridCol w:w="1957"/>
        <w:gridCol w:w="1740"/>
        <w:gridCol w:w="1997"/>
        <w:gridCol w:w="1949"/>
      </w:tblGrid>
      <w:tr w:rsidR="00077303" w:rsidTr="00A3555D">
        <w:trPr>
          <w:trHeight w:val="519"/>
        </w:trPr>
        <w:tc>
          <w:tcPr>
            <w:tcW w:w="2778" w:type="dxa"/>
            <w:vMerge w:val="restart"/>
            <w:vAlign w:val="center"/>
          </w:tcPr>
          <w:p w:rsidR="00077303" w:rsidRDefault="00077303" w:rsidP="00C84796">
            <w:pPr>
              <w:spacing w:line="360" w:lineRule="auto"/>
              <w:jc w:val="center"/>
              <w:rPr>
                <w:sz w:val="28"/>
                <w:szCs w:val="28"/>
                <w:lang w:val="uk-UA"/>
              </w:rPr>
            </w:pPr>
            <w:r>
              <w:rPr>
                <w:sz w:val="28"/>
                <w:szCs w:val="28"/>
                <w:lang w:val="uk-UA"/>
              </w:rPr>
              <w:t>Тривалість захворювання</w:t>
            </w:r>
          </w:p>
        </w:tc>
        <w:tc>
          <w:tcPr>
            <w:tcW w:w="3697" w:type="dxa"/>
            <w:gridSpan w:val="2"/>
            <w:vAlign w:val="center"/>
          </w:tcPr>
          <w:p w:rsidR="00077303" w:rsidRDefault="00077303" w:rsidP="00C84796">
            <w:pPr>
              <w:spacing w:line="360" w:lineRule="auto"/>
              <w:ind w:firstLine="709"/>
              <w:rPr>
                <w:sz w:val="28"/>
                <w:szCs w:val="28"/>
                <w:lang w:val="uk-UA"/>
              </w:rPr>
            </w:pPr>
            <w:r>
              <w:rPr>
                <w:sz w:val="28"/>
                <w:szCs w:val="28"/>
                <w:lang w:val="uk-UA"/>
              </w:rPr>
              <w:t>ФНП–α, пг/мл</w:t>
            </w:r>
          </w:p>
          <w:p w:rsidR="00077303" w:rsidRDefault="00077303" w:rsidP="00C84796">
            <w:pPr>
              <w:spacing w:line="360" w:lineRule="auto"/>
              <w:jc w:val="center"/>
              <w:rPr>
                <w:sz w:val="28"/>
                <w:szCs w:val="28"/>
                <w:lang w:val="uk-UA"/>
              </w:rPr>
            </w:pPr>
            <w:r>
              <w:rPr>
                <w:sz w:val="28"/>
                <w:szCs w:val="28"/>
                <w:lang w:val="uk-UA"/>
              </w:rPr>
              <w:t>(Ме (25%; 75%))</w:t>
            </w:r>
          </w:p>
        </w:tc>
        <w:tc>
          <w:tcPr>
            <w:tcW w:w="3946" w:type="dxa"/>
            <w:gridSpan w:val="2"/>
            <w:vAlign w:val="center"/>
          </w:tcPr>
          <w:p w:rsidR="00077303" w:rsidRDefault="00077303" w:rsidP="00C84796">
            <w:pPr>
              <w:spacing w:line="360" w:lineRule="auto"/>
              <w:ind w:firstLine="709"/>
              <w:rPr>
                <w:sz w:val="28"/>
                <w:szCs w:val="28"/>
                <w:lang w:val="uk-UA"/>
              </w:rPr>
            </w:pPr>
            <w:r>
              <w:rPr>
                <w:sz w:val="28"/>
                <w:szCs w:val="28"/>
                <w:lang w:val="uk-UA"/>
              </w:rPr>
              <w:t xml:space="preserve">    ІЛ–6, пг/мл</w:t>
            </w:r>
          </w:p>
          <w:p w:rsidR="00077303" w:rsidRDefault="00077303" w:rsidP="00C84796">
            <w:pPr>
              <w:spacing w:line="360" w:lineRule="auto"/>
              <w:jc w:val="center"/>
              <w:rPr>
                <w:sz w:val="28"/>
                <w:szCs w:val="28"/>
                <w:lang w:val="uk-UA"/>
              </w:rPr>
            </w:pPr>
            <w:r>
              <w:rPr>
                <w:sz w:val="28"/>
                <w:szCs w:val="28"/>
                <w:lang w:val="uk-UA"/>
              </w:rPr>
              <w:t>(</w:t>
            </w:r>
            <w:r>
              <w:rPr>
                <w:sz w:val="28"/>
                <w:szCs w:val="28"/>
              </w:rPr>
              <w:t>Ме (25%;</w:t>
            </w:r>
            <w:r>
              <w:rPr>
                <w:sz w:val="28"/>
                <w:szCs w:val="28"/>
                <w:lang w:val="uk-UA"/>
              </w:rPr>
              <w:t xml:space="preserve"> </w:t>
            </w:r>
            <w:r>
              <w:rPr>
                <w:sz w:val="28"/>
                <w:szCs w:val="28"/>
              </w:rPr>
              <w:t>75%)</w:t>
            </w:r>
            <w:r>
              <w:rPr>
                <w:sz w:val="28"/>
                <w:szCs w:val="28"/>
                <w:lang w:val="uk-UA"/>
              </w:rPr>
              <w:t>)</w:t>
            </w:r>
          </w:p>
        </w:tc>
      </w:tr>
      <w:tr w:rsidR="00077303" w:rsidTr="00A3555D">
        <w:tc>
          <w:tcPr>
            <w:tcW w:w="2778" w:type="dxa"/>
            <w:vMerge/>
            <w:vAlign w:val="center"/>
          </w:tcPr>
          <w:p w:rsidR="00077303" w:rsidRDefault="00077303" w:rsidP="00C84796">
            <w:pPr>
              <w:rPr>
                <w:sz w:val="28"/>
                <w:szCs w:val="28"/>
                <w:lang w:val="uk-UA"/>
              </w:rPr>
            </w:pPr>
          </w:p>
        </w:tc>
        <w:tc>
          <w:tcPr>
            <w:tcW w:w="1957" w:type="dxa"/>
            <w:vAlign w:val="center"/>
          </w:tcPr>
          <w:p w:rsidR="00077303" w:rsidRDefault="00077303" w:rsidP="00C84796">
            <w:pPr>
              <w:spacing w:line="360" w:lineRule="auto"/>
              <w:jc w:val="center"/>
              <w:rPr>
                <w:sz w:val="28"/>
                <w:szCs w:val="28"/>
                <w:lang w:val="uk-UA"/>
              </w:rPr>
            </w:pPr>
            <w:r>
              <w:rPr>
                <w:sz w:val="28"/>
                <w:szCs w:val="28"/>
                <w:lang w:val="uk-UA"/>
              </w:rPr>
              <w:t xml:space="preserve">1 група, </w:t>
            </w:r>
            <w:r>
              <w:rPr>
                <w:sz w:val="28"/>
                <w:szCs w:val="28"/>
              </w:rPr>
              <w:t>n=45</w:t>
            </w:r>
          </w:p>
        </w:tc>
        <w:tc>
          <w:tcPr>
            <w:tcW w:w="1740" w:type="dxa"/>
            <w:vAlign w:val="center"/>
          </w:tcPr>
          <w:p w:rsidR="00077303" w:rsidRDefault="00077303" w:rsidP="00C84796">
            <w:pPr>
              <w:spacing w:line="360" w:lineRule="auto"/>
              <w:jc w:val="center"/>
              <w:rPr>
                <w:sz w:val="28"/>
                <w:szCs w:val="28"/>
                <w:lang w:val="uk-UA"/>
              </w:rPr>
            </w:pPr>
            <w:r>
              <w:rPr>
                <w:sz w:val="28"/>
                <w:szCs w:val="28"/>
                <w:lang w:val="uk-UA"/>
              </w:rPr>
              <w:t xml:space="preserve">2 група, </w:t>
            </w:r>
            <w:r>
              <w:rPr>
                <w:sz w:val="28"/>
                <w:szCs w:val="28"/>
              </w:rPr>
              <w:t>n=40</w:t>
            </w:r>
          </w:p>
        </w:tc>
        <w:tc>
          <w:tcPr>
            <w:tcW w:w="1997" w:type="dxa"/>
            <w:vAlign w:val="center"/>
          </w:tcPr>
          <w:p w:rsidR="00077303" w:rsidRDefault="00077303" w:rsidP="00C84796">
            <w:pPr>
              <w:spacing w:line="360" w:lineRule="auto"/>
              <w:jc w:val="center"/>
              <w:rPr>
                <w:sz w:val="28"/>
                <w:szCs w:val="28"/>
                <w:lang w:val="uk-UA"/>
              </w:rPr>
            </w:pPr>
            <w:r>
              <w:rPr>
                <w:sz w:val="28"/>
                <w:szCs w:val="28"/>
                <w:lang w:val="uk-UA"/>
              </w:rPr>
              <w:t xml:space="preserve">1 група, </w:t>
            </w:r>
            <w:r>
              <w:rPr>
                <w:sz w:val="28"/>
                <w:szCs w:val="28"/>
              </w:rPr>
              <w:t>n=45</w:t>
            </w:r>
          </w:p>
        </w:tc>
        <w:tc>
          <w:tcPr>
            <w:tcW w:w="1949" w:type="dxa"/>
            <w:vAlign w:val="center"/>
          </w:tcPr>
          <w:p w:rsidR="00077303" w:rsidRDefault="00077303" w:rsidP="00C84796">
            <w:pPr>
              <w:spacing w:line="360" w:lineRule="auto"/>
              <w:jc w:val="center"/>
              <w:rPr>
                <w:sz w:val="28"/>
                <w:szCs w:val="28"/>
                <w:lang w:val="uk-UA"/>
              </w:rPr>
            </w:pPr>
            <w:r>
              <w:rPr>
                <w:sz w:val="28"/>
                <w:szCs w:val="28"/>
                <w:lang w:val="uk-UA"/>
              </w:rPr>
              <w:t xml:space="preserve">2 група, </w:t>
            </w:r>
            <w:r>
              <w:rPr>
                <w:sz w:val="28"/>
                <w:szCs w:val="28"/>
              </w:rPr>
              <w:t>n=40</w:t>
            </w:r>
          </w:p>
        </w:tc>
      </w:tr>
      <w:tr w:rsidR="00077303" w:rsidTr="00A3555D">
        <w:tc>
          <w:tcPr>
            <w:tcW w:w="2778" w:type="dxa"/>
            <w:vAlign w:val="center"/>
          </w:tcPr>
          <w:p w:rsidR="00077303" w:rsidRDefault="00077303" w:rsidP="00C84796">
            <w:pPr>
              <w:spacing w:line="360" w:lineRule="auto"/>
              <w:jc w:val="center"/>
              <w:rPr>
                <w:sz w:val="28"/>
                <w:szCs w:val="28"/>
                <w:lang w:val="uk-UA"/>
              </w:rPr>
            </w:pPr>
            <w:r>
              <w:rPr>
                <w:sz w:val="28"/>
                <w:szCs w:val="28"/>
                <w:lang w:val="uk-UA"/>
              </w:rPr>
              <w:t>До 5 років</w:t>
            </w:r>
          </w:p>
        </w:tc>
        <w:tc>
          <w:tcPr>
            <w:tcW w:w="1957" w:type="dxa"/>
            <w:vAlign w:val="center"/>
          </w:tcPr>
          <w:p w:rsidR="00077303" w:rsidRDefault="00077303" w:rsidP="00C9368B">
            <w:pPr>
              <w:spacing w:line="360" w:lineRule="auto"/>
              <w:jc w:val="center"/>
              <w:rPr>
                <w:sz w:val="28"/>
                <w:szCs w:val="28"/>
                <w:lang w:val="uk-UA"/>
              </w:rPr>
            </w:pPr>
            <w:r>
              <w:rPr>
                <w:sz w:val="28"/>
                <w:szCs w:val="28"/>
                <w:lang w:val="uk-UA"/>
              </w:rPr>
              <w:t>7,9</w:t>
            </w:r>
          </w:p>
          <w:p w:rsidR="00077303" w:rsidRDefault="00077303" w:rsidP="00C9368B">
            <w:pPr>
              <w:spacing w:line="360" w:lineRule="auto"/>
              <w:jc w:val="center"/>
              <w:rPr>
                <w:sz w:val="28"/>
                <w:szCs w:val="28"/>
                <w:lang w:val="uk-UA"/>
              </w:rPr>
            </w:pPr>
            <w:r>
              <w:rPr>
                <w:sz w:val="28"/>
                <w:szCs w:val="28"/>
                <w:lang w:val="uk-UA"/>
              </w:rPr>
              <w:t>(7,65; 8,2)</w:t>
            </w:r>
          </w:p>
        </w:tc>
        <w:tc>
          <w:tcPr>
            <w:tcW w:w="1740" w:type="dxa"/>
            <w:vAlign w:val="center"/>
          </w:tcPr>
          <w:p w:rsidR="00077303" w:rsidRDefault="00077303" w:rsidP="00C9368B">
            <w:pPr>
              <w:spacing w:line="360" w:lineRule="auto"/>
              <w:jc w:val="center"/>
              <w:rPr>
                <w:sz w:val="28"/>
                <w:szCs w:val="28"/>
                <w:lang w:val="uk-UA"/>
              </w:rPr>
            </w:pPr>
            <w:r>
              <w:rPr>
                <w:sz w:val="28"/>
                <w:szCs w:val="28"/>
                <w:lang w:val="uk-UA"/>
              </w:rPr>
              <w:t>8,1</w:t>
            </w:r>
          </w:p>
          <w:p w:rsidR="00077303" w:rsidRDefault="00077303" w:rsidP="00C9368B">
            <w:pPr>
              <w:spacing w:line="360" w:lineRule="auto"/>
              <w:jc w:val="center"/>
              <w:rPr>
                <w:sz w:val="28"/>
                <w:szCs w:val="28"/>
                <w:lang w:val="uk-UA"/>
              </w:rPr>
            </w:pPr>
            <w:r>
              <w:rPr>
                <w:sz w:val="28"/>
                <w:szCs w:val="28"/>
                <w:lang w:val="uk-UA"/>
              </w:rPr>
              <w:t>(7,66; 8,4)</w:t>
            </w:r>
          </w:p>
        </w:tc>
        <w:tc>
          <w:tcPr>
            <w:tcW w:w="1997" w:type="dxa"/>
            <w:vAlign w:val="center"/>
          </w:tcPr>
          <w:p w:rsidR="00077303" w:rsidRDefault="00077303" w:rsidP="00C9368B">
            <w:pPr>
              <w:spacing w:line="360" w:lineRule="auto"/>
              <w:jc w:val="center"/>
              <w:rPr>
                <w:sz w:val="28"/>
                <w:szCs w:val="28"/>
                <w:lang w:val="uk-UA"/>
              </w:rPr>
            </w:pPr>
            <w:r>
              <w:rPr>
                <w:sz w:val="28"/>
                <w:szCs w:val="28"/>
                <w:lang w:val="uk-UA"/>
              </w:rPr>
              <w:t>22,0</w:t>
            </w:r>
          </w:p>
          <w:p w:rsidR="00077303" w:rsidRDefault="00077303" w:rsidP="00C9368B">
            <w:pPr>
              <w:spacing w:line="360" w:lineRule="auto"/>
              <w:jc w:val="center"/>
              <w:rPr>
                <w:sz w:val="28"/>
                <w:szCs w:val="28"/>
                <w:lang w:val="uk-UA"/>
              </w:rPr>
            </w:pPr>
            <w:r>
              <w:rPr>
                <w:sz w:val="28"/>
                <w:szCs w:val="28"/>
                <w:lang w:val="uk-UA"/>
              </w:rPr>
              <w:t>(19,93; 23,06)</w:t>
            </w:r>
          </w:p>
        </w:tc>
        <w:tc>
          <w:tcPr>
            <w:tcW w:w="1949" w:type="dxa"/>
            <w:vAlign w:val="center"/>
          </w:tcPr>
          <w:p w:rsidR="00077303" w:rsidRDefault="00077303" w:rsidP="00C9368B">
            <w:pPr>
              <w:spacing w:line="360" w:lineRule="auto"/>
              <w:jc w:val="center"/>
              <w:rPr>
                <w:sz w:val="28"/>
                <w:szCs w:val="28"/>
                <w:lang w:val="uk-UA"/>
              </w:rPr>
            </w:pPr>
            <w:r>
              <w:rPr>
                <w:sz w:val="28"/>
                <w:szCs w:val="28"/>
                <w:lang w:val="uk-UA"/>
              </w:rPr>
              <w:t xml:space="preserve">19,24 </w:t>
            </w:r>
          </w:p>
          <w:p w:rsidR="00077303" w:rsidRDefault="00077303" w:rsidP="00C9368B">
            <w:pPr>
              <w:spacing w:line="360" w:lineRule="auto"/>
              <w:jc w:val="center"/>
              <w:rPr>
                <w:sz w:val="28"/>
                <w:szCs w:val="28"/>
                <w:lang w:val="uk-UA"/>
              </w:rPr>
            </w:pPr>
            <w:r>
              <w:rPr>
                <w:sz w:val="28"/>
                <w:szCs w:val="28"/>
                <w:lang w:val="uk-UA"/>
              </w:rPr>
              <w:t>(17,79; 20,28)</w:t>
            </w:r>
          </w:p>
        </w:tc>
      </w:tr>
      <w:tr w:rsidR="00077303" w:rsidTr="00A3555D">
        <w:tc>
          <w:tcPr>
            <w:tcW w:w="2778" w:type="dxa"/>
            <w:vAlign w:val="center"/>
          </w:tcPr>
          <w:p w:rsidR="00077303" w:rsidRDefault="00077303" w:rsidP="00C84796">
            <w:pPr>
              <w:spacing w:line="360" w:lineRule="auto"/>
              <w:jc w:val="center"/>
              <w:rPr>
                <w:sz w:val="28"/>
                <w:szCs w:val="28"/>
                <w:lang w:val="uk-UA"/>
              </w:rPr>
            </w:pPr>
            <w:r>
              <w:rPr>
                <w:sz w:val="28"/>
                <w:szCs w:val="28"/>
                <w:lang w:val="uk-UA"/>
              </w:rPr>
              <w:t>Від 5 до 10 років</w:t>
            </w:r>
          </w:p>
        </w:tc>
        <w:tc>
          <w:tcPr>
            <w:tcW w:w="1957" w:type="dxa"/>
            <w:vAlign w:val="center"/>
          </w:tcPr>
          <w:p w:rsidR="00077303" w:rsidRDefault="00077303" w:rsidP="00C9368B">
            <w:pPr>
              <w:spacing w:line="360" w:lineRule="auto"/>
              <w:jc w:val="center"/>
              <w:rPr>
                <w:sz w:val="28"/>
                <w:szCs w:val="28"/>
                <w:lang w:val="uk-UA"/>
              </w:rPr>
            </w:pPr>
            <w:r>
              <w:rPr>
                <w:sz w:val="28"/>
                <w:szCs w:val="28"/>
                <w:lang w:val="uk-UA"/>
              </w:rPr>
              <w:t>9,03</w:t>
            </w:r>
          </w:p>
          <w:p w:rsidR="00077303" w:rsidRDefault="00077303" w:rsidP="00C9368B">
            <w:pPr>
              <w:spacing w:line="360" w:lineRule="auto"/>
              <w:jc w:val="center"/>
              <w:rPr>
                <w:sz w:val="28"/>
                <w:szCs w:val="28"/>
                <w:lang w:val="uk-UA"/>
              </w:rPr>
            </w:pPr>
            <w:r>
              <w:rPr>
                <w:sz w:val="28"/>
                <w:szCs w:val="28"/>
                <w:lang w:val="uk-UA"/>
              </w:rPr>
              <w:t>(8,99; 9,1)*</w:t>
            </w:r>
          </w:p>
        </w:tc>
        <w:tc>
          <w:tcPr>
            <w:tcW w:w="1740" w:type="dxa"/>
            <w:vAlign w:val="center"/>
          </w:tcPr>
          <w:p w:rsidR="00077303" w:rsidRDefault="00077303" w:rsidP="00C9368B">
            <w:pPr>
              <w:spacing w:line="360" w:lineRule="auto"/>
              <w:jc w:val="center"/>
              <w:rPr>
                <w:sz w:val="28"/>
                <w:szCs w:val="28"/>
                <w:lang w:val="uk-UA"/>
              </w:rPr>
            </w:pPr>
            <w:r>
              <w:rPr>
                <w:sz w:val="28"/>
                <w:szCs w:val="28"/>
                <w:lang w:val="uk-UA"/>
              </w:rPr>
              <w:t>8,64</w:t>
            </w:r>
          </w:p>
          <w:p w:rsidR="00077303" w:rsidRDefault="00077303" w:rsidP="00C9368B">
            <w:pPr>
              <w:spacing w:line="360" w:lineRule="auto"/>
              <w:jc w:val="center"/>
              <w:rPr>
                <w:sz w:val="28"/>
                <w:szCs w:val="28"/>
                <w:lang w:val="uk-UA"/>
              </w:rPr>
            </w:pPr>
            <w:r>
              <w:rPr>
                <w:sz w:val="28"/>
                <w:szCs w:val="28"/>
                <w:lang w:val="uk-UA"/>
              </w:rPr>
              <w:t>(8,62; 9,0)</w:t>
            </w:r>
          </w:p>
        </w:tc>
        <w:tc>
          <w:tcPr>
            <w:tcW w:w="1997" w:type="dxa"/>
            <w:vAlign w:val="center"/>
          </w:tcPr>
          <w:p w:rsidR="00077303" w:rsidRDefault="00077303" w:rsidP="00C9368B">
            <w:pPr>
              <w:spacing w:line="360" w:lineRule="auto"/>
              <w:jc w:val="center"/>
              <w:rPr>
                <w:sz w:val="28"/>
                <w:szCs w:val="28"/>
                <w:lang w:val="uk-UA"/>
              </w:rPr>
            </w:pPr>
            <w:r>
              <w:rPr>
                <w:sz w:val="28"/>
                <w:szCs w:val="28"/>
                <w:lang w:val="uk-UA"/>
              </w:rPr>
              <w:t>23,57</w:t>
            </w:r>
          </w:p>
          <w:p w:rsidR="00077303" w:rsidRDefault="00077303" w:rsidP="00C9368B">
            <w:pPr>
              <w:spacing w:line="360" w:lineRule="auto"/>
              <w:jc w:val="center"/>
              <w:rPr>
                <w:sz w:val="28"/>
                <w:szCs w:val="28"/>
                <w:lang w:val="uk-UA"/>
              </w:rPr>
            </w:pPr>
            <w:r>
              <w:rPr>
                <w:sz w:val="28"/>
                <w:szCs w:val="28"/>
                <w:lang w:val="uk-UA"/>
              </w:rPr>
              <w:t>(22,9; 25,57)</w:t>
            </w:r>
            <w:r>
              <w:rPr>
                <w:sz w:val="28"/>
                <w:szCs w:val="28"/>
              </w:rPr>
              <w:t>#</w:t>
            </w:r>
          </w:p>
        </w:tc>
        <w:tc>
          <w:tcPr>
            <w:tcW w:w="1949" w:type="dxa"/>
            <w:vAlign w:val="center"/>
          </w:tcPr>
          <w:p w:rsidR="00077303" w:rsidRDefault="00077303" w:rsidP="00C9368B">
            <w:pPr>
              <w:spacing w:line="360" w:lineRule="auto"/>
              <w:jc w:val="center"/>
              <w:rPr>
                <w:sz w:val="28"/>
                <w:szCs w:val="28"/>
                <w:lang w:val="uk-UA"/>
              </w:rPr>
            </w:pPr>
            <w:r>
              <w:rPr>
                <w:sz w:val="28"/>
                <w:szCs w:val="28"/>
                <w:lang w:val="uk-UA"/>
              </w:rPr>
              <w:t xml:space="preserve">19,87 </w:t>
            </w:r>
          </w:p>
          <w:p w:rsidR="00077303" w:rsidRDefault="00077303" w:rsidP="00C9368B">
            <w:pPr>
              <w:spacing w:line="360" w:lineRule="auto"/>
              <w:jc w:val="center"/>
              <w:rPr>
                <w:sz w:val="28"/>
                <w:szCs w:val="28"/>
                <w:lang w:val="uk-UA"/>
              </w:rPr>
            </w:pPr>
            <w:r>
              <w:rPr>
                <w:sz w:val="28"/>
                <w:szCs w:val="28"/>
                <w:lang w:val="uk-UA"/>
              </w:rPr>
              <w:t>(19,64; 20,72)</w:t>
            </w:r>
          </w:p>
        </w:tc>
      </w:tr>
      <w:tr w:rsidR="00077303" w:rsidTr="00A3555D">
        <w:tc>
          <w:tcPr>
            <w:tcW w:w="2778" w:type="dxa"/>
            <w:vAlign w:val="center"/>
          </w:tcPr>
          <w:p w:rsidR="00077303" w:rsidRDefault="00077303" w:rsidP="00C84796">
            <w:pPr>
              <w:spacing w:line="360" w:lineRule="auto"/>
              <w:jc w:val="center"/>
              <w:rPr>
                <w:sz w:val="28"/>
                <w:szCs w:val="28"/>
                <w:lang w:val="uk-UA"/>
              </w:rPr>
            </w:pPr>
            <w:r>
              <w:rPr>
                <w:sz w:val="28"/>
                <w:szCs w:val="28"/>
                <w:lang w:val="uk-UA"/>
              </w:rPr>
              <w:t>Більше 10 років</w:t>
            </w:r>
          </w:p>
        </w:tc>
        <w:tc>
          <w:tcPr>
            <w:tcW w:w="1957" w:type="dxa"/>
            <w:vAlign w:val="center"/>
          </w:tcPr>
          <w:p w:rsidR="00077303" w:rsidRDefault="00077303" w:rsidP="00A3555D">
            <w:pPr>
              <w:spacing w:line="360" w:lineRule="auto"/>
              <w:jc w:val="center"/>
              <w:rPr>
                <w:sz w:val="28"/>
                <w:szCs w:val="28"/>
                <w:lang w:val="uk-UA"/>
              </w:rPr>
            </w:pPr>
            <w:r>
              <w:rPr>
                <w:sz w:val="28"/>
                <w:szCs w:val="28"/>
                <w:lang w:val="uk-UA"/>
              </w:rPr>
              <w:t>9,02</w:t>
            </w:r>
          </w:p>
          <w:p w:rsidR="00077303" w:rsidRDefault="00077303" w:rsidP="00C9368B">
            <w:pPr>
              <w:spacing w:line="360" w:lineRule="auto"/>
              <w:jc w:val="center"/>
              <w:rPr>
                <w:sz w:val="28"/>
                <w:szCs w:val="28"/>
                <w:lang w:val="uk-UA"/>
              </w:rPr>
            </w:pPr>
            <w:r>
              <w:rPr>
                <w:sz w:val="28"/>
                <w:szCs w:val="28"/>
                <w:lang w:val="uk-UA"/>
              </w:rPr>
              <w:t>(8,17; 9,18)*</w:t>
            </w:r>
          </w:p>
        </w:tc>
        <w:tc>
          <w:tcPr>
            <w:tcW w:w="1740" w:type="dxa"/>
            <w:vAlign w:val="center"/>
          </w:tcPr>
          <w:p w:rsidR="00077303" w:rsidRDefault="00077303" w:rsidP="00C9368B">
            <w:pPr>
              <w:spacing w:line="360" w:lineRule="auto"/>
              <w:jc w:val="center"/>
              <w:rPr>
                <w:sz w:val="28"/>
                <w:szCs w:val="28"/>
                <w:lang w:val="uk-UA"/>
              </w:rPr>
            </w:pPr>
            <w:r>
              <w:rPr>
                <w:sz w:val="28"/>
                <w:szCs w:val="28"/>
                <w:lang w:val="uk-UA"/>
              </w:rPr>
              <w:t>9,65</w:t>
            </w:r>
          </w:p>
          <w:p w:rsidR="00077303" w:rsidRDefault="00077303" w:rsidP="00C9368B">
            <w:pPr>
              <w:spacing w:line="360" w:lineRule="auto"/>
              <w:jc w:val="center"/>
              <w:rPr>
                <w:sz w:val="28"/>
                <w:szCs w:val="28"/>
                <w:lang w:val="uk-UA"/>
              </w:rPr>
            </w:pPr>
            <w:r>
              <w:rPr>
                <w:sz w:val="28"/>
                <w:szCs w:val="28"/>
                <w:lang w:val="uk-UA"/>
              </w:rPr>
              <w:t>(9,19; 9,88)</w:t>
            </w:r>
            <w:r>
              <w:rPr>
                <w:sz w:val="28"/>
                <w:szCs w:val="28"/>
              </w:rPr>
              <w:t>#</w:t>
            </w:r>
          </w:p>
        </w:tc>
        <w:tc>
          <w:tcPr>
            <w:tcW w:w="1997" w:type="dxa"/>
            <w:vAlign w:val="center"/>
          </w:tcPr>
          <w:p w:rsidR="00077303" w:rsidRDefault="00077303" w:rsidP="00C9368B">
            <w:pPr>
              <w:spacing w:line="360" w:lineRule="auto"/>
              <w:jc w:val="center"/>
              <w:rPr>
                <w:sz w:val="28"/>
                <w:szCs w:val="28"/>
                <w:lang w:val="uk-UA"/>
              </w:rPr>
            </w:pPr>
            <w:r>
              <w:rPr>
                <w:sz w:val="28"/>
                <w:szCs w:val="28"/>
                <w:lang w:val="uk-UA"/>
              </w:rPr>
              <w:t>24,46</w:t>
            </w:r>
          </w:p>
          <w:p w:rsidR="00077303" w:rsidRDefault="00077303" w:rsidP="00C9368B">
            <w:pPr>
              <w:spacing w:line="360" w:lineRule="auto"/>
              <w:jc w:val="center"/>
              <w:rPr>
                <w:sz w:val="28"/>
                <w:szCs w:val="28"/>
                <w:lang w:val="uk-UA"/>
              </w:rPr>
            </w:pPr>
            <w:r>
              <w:rPr>
                <w:sz w:val="28"/>
                <w:szCs w:val="28"/>
                <w:lang w:val="uk-UA"/>
              </w:rPr>
              <w:t>(21,99; 29,18)</w:t>
            </w:r>
            <w:r>
              <w:rPr>
                <w:sz w:val="28"/>
                <w:szCs w:val="28"/>
              </w:rPr>
              <w:t>#</w:t>
            </w:r>
          </w:p>
        </w:tc>
        <w:tc>
          <w:tcPr>
            <w:tcW w:w="1949" w:type="dxa"/>
            <w:vAlign w:val="center"/>
          </w:tcPr>
          <w:p w:rsidR="00077303" w:rsidRDefault="00077303" w:rsidP="00A3555D">
            <w:pPr>
              <w:spacing w:line="360" w:lineRule="auto"/>
              <w:jc w:val="center"/>
              <w:rPr>
                <w:sz w:val="28"/>
                <w:szCs w:val="28"/>
                <w:lang w:val="uk-UA"/>
              </w:rPr>
            </w:pPr>
            <w:r>
              <w:rPr>
                <w:sz w:val="28"/>
                <w:szCs w:val="28"/>
                <w:lang w:val="uk-UA"/>
              </w:rPr>
              <w:t>22,2</w:t>
            </w:r>
          </w:p>
          <w:p w:rsidR="00077303" w:rsidRDefault="00077303" w:rsidP="00C9368B">
            <w:pPr>
              <w:spacing w:line="360" w:lineRule="auto"/>
              <w:jc w:val="center"/>
              <w:rPr>
                <w:sz w:val="28"/>
                <w:szCs w:val="28"/>
              </w:rPr>
            </w:pPr>
            <w:r>
              <w:rPr>
                <w:sz w:val="28"/>
                <w:szCs w:val="28"/>
                <w:lang w:val="uk-UA"/>
              </w:rPr>
              <w:t>(20,71; 22,71)</w:t>
            </w:r>
            <w:r>
              <w:rPr>
                <w:sz w:val="28"/>
                <w:szCs w:val="28"/>
              </w:rPr>
              <w:t>#</w:t>
            </w:r>
          </w:p>
        </w:tc>
      </w:tr>
    </w:tbl>
    <w:p w:rsidR="00077303" w:rsidRDefault="00077303" w:rsidP="00C84796">
      <w:pPr>
        <w:spacing w:line="360" w:lineRule="auto"/>
        <w:ind w:firstLine="709"/>
        <w:jc w:val="both"/>
        <w:rPr>
          <w:sz w:val="28"/>
          <w:szCs w:val="28"/>
          <w:lang w:val="uk-UA"/>
        </w:rPr>
      </w:pPr>
      <w:r>
        <w:rPr>
          <w:b/>
          <w:sz w:val="28"/>
          <w:szCs w:val="28"/>
          <w:lang w:val="uk-UA"/>
        </w:rPr>
        <w:t xml:space="preserve">Примітка: </w:t>
      </w:r>
      <w:r>
        <w:rPr>
          <w:sz w:val="28"/>
          <w:szCs w:val="28"/>
        </w:rPr>
        <w:t>#</w:t>
      </w:r>
      <w:r>
        <w:rPr>
          <w:sz w:val="28"/>
          <w:szCs w:val="28"/>
          <w:lang w:val="uk-UA"/>
        </w:rPr>
        <w:t xml:space="preserve"> – </w:t>
      </w:r>
      <w:r>
        <w:rPr>
          <w:sz w:val="28"/>
          <w:szCs w:val="28"/>
        </w:rPr>
        <w:t>p</w:t>
      </w:r>
      <w:r>
        <w:rPr>
          <w:sz w:val="28"/>
          <w:szCs w:val="28"/>
          <w:lang w:val="uk-UA"/>
        </w:rPr>
        <w:t xml:space="preserve"> &lt; 0,05 при порівнянні показників в групах з різною тривалістю захворювання;</w:t>
      </w:r>
    </w:p>
    <w:p w:rsidR="00077303" w:rsidRDefault="00077303" w:rsidP="00C84796">
      <w:pPr>
        <w:spacing w:line="360" w:lineRule="auto"/>
        <w:ind w:firstLine="709"/>
        <w:jc w:val="both"/>
        <w:rPr>
          <w:sz w:val="28"/>
          <w:szCs w:val="28"/>
          <w:lang w:val="uk-UA"/>
        </w:rPr>
      </w:pPr>
      <w:r>
        <w:rPr>
          <w:sz w:val="28"/>
          <w:szCs w:val="28"/>
          <w:lang w:val="uk-UA"/>
        </w:rPr>
        <w:t xml:space="preserve">* – </w:t>
      </w:r>
      <w:r>
        <w:rPr>
          <w:sz w:val="28"/>
          <w:szCs w:val="28"/>
        </w:rPr>
        <w:t>p</w:t>
      </w:r>
      <w:r>
        <w:rPr>
          <w:sz w:val="28"/>
          <w:szCs w:val="28"/>
          <w:lang w:val="uk-UA"/>
        </w:rPr>
        <w:t xml:space="preserve"> &lt; 0,001 при порівнянні показників в групах з різною тривалістю захворювання</w:t>
      </w:r>
    </w:p>
    <w:p w:rsidR="00077303" w:rsidRDefault="00077303" w:rsidP="00C84796">
      <w:pPr>
        <w:spacing w:line="360" w:lineRule="auto"/>
        <w:ind w:firstLine="709"/>
        <w:jc w:val="both"/>
        <w:rPr>
          <w:sz w:val="28"/>
          <w:szCs w:val="28"/>
          <w:lang w:val="uk-UA"/>
        </w:rPr>
      </w:pPr>
      <w:r>
        <w:rPr>
          <w:sz w:val="28"/>
          <w:szCs w:val="28"/>
          <w:lang w:val="uk-UA"/>
        </w:rPr>
        <w:t>Вміст ФНП–α в сироватці крові у хворих НАСГ з тривалістю захворювання більше 10 років був вірогідно (</w:t>
      </w:r>
      <w:r>
        <w:rPr>
          <w:sz w:val="28"/>
          <w:szCs w:val="28"/>
        </w:rPr>
        <w:t>p</w:t>
      </w:r>
      <w:r>
        <w:rPr>
          <w:sz w:val="28"/>
          <w:szCs w:val="28"/>
          <w:lang w:val="uk-UA"/>
        </w:rPr>
        <w:t xml:space="preserve"> &lt; 0,05) вище (9,65 (9,19; 9,88) пг/мл), ніж у хворих з тривалістю до 5 років (8,1 (7,66; 8,4) пг/мл) та від 5 до 10 років (8,64 (8,62; 9,0) пг/мл). Більш виразними зміни були у хворих НАСГ в поєднанні з ЦД 2 типу. Рівень ФНП–α у пацієнтів з тривалістю  захворювання від 5 до 10 років (9,03 (8,99; 9,1) пг/мл, </w:t>
      </w:r>
      <w:r>
        <w:rPr>
          <w:sz w:val="28"/>
          <w:szCs w:val="28"/>
        </w:rPr>
        <w:t>p</w:t>
      </w:r>
      <w:r>
        <w:rPr>
          <w:sz w:val="28"/>
          <w:szCs w:val="28"/>
          <w:lang w:val="uk-UA"/>
        </w:rPr>
        <w:t xml:space="preserve"> &lt; 0,001) та більше 10 років (9,02 (8,17; 9,18) пг/мл, </w:t>
      </w:r>
      <w:r>
        <w:rPr>
          <w:sz w:val="28"/>
          <w:szCs w:val="28"/>
        </w:rPr>
        <w:t>p</w:t>
      </w:r>
      <w:r>
        <w:rPr>
          <w:sz w:val="28"/>
          <w:szCs w:val="28"/>
          <w:lang w:val="uk-UA"/>
        </w:rPr>
        <w:t xml:space="preserve"> &lt; 0,001) був достовірно вище, ніж у хворих з тривалістю хвороби до 5 років (7,9 (7,65; 8,2) пг/мл).</w:t>
      </w:r>
    </w:p>
    <w:p w:rsidR="00077303" w:rsidRDefault="00077303" w:rsidP="00C84796">
      <w:pPr>
        <w:spacing w:line="360" w:lineRule="auto"/>
        <w:ind w:firstLine="709"/>
        <w:jc w:val="both"/>
        <w:rPr>
          <w:sz w:val="28"/>
          <w:szCs w:val="28"/>
          <w:lang w:val="uk-UA"/>
        </w:rPr>
      </w:pPr>
      <w:r>
        <w:rPr>
          <w:sz w:val="28"/>
          <w:szCs w:val="28"/>
          <w:lang w:val="uk-UA"/>
        </w:rPr>
        <w:t xml:space="preserve">Досліджуючи показники ІЛ–6 в сироватці крові хворих було встановлено, що у пацієнтів 2 групи з тривалістю захворювання більше 10 років вміст ІЛ–6 був вірогідно вище (22,2 (20,71; 22,71) пг/мл, </w:t>
      </w:r>
      <w:r>
        <w:rPr>
          <w:sz w:val="28"/>
          <w:szCs w:val="28"/>
        </w:rPr>
        <w:t>p</w:t>
      </w:r>
      <w:r>
        <w:rPr>
          <w:sz w:val="28"/>
          <w:szCs w:val="28"/>
          <w:lang w:val="uk-UA"/>
        </w:rPr>
        <w:t xml:space="preserve"> &lt; 0,001), ніж з тривалістю до 5 років (19,24 (17,79; 20,28) пг/мл) та від 5 до 10 років (19,87 (19,64; 20,72) пг/мл). В 1 групі при тривалості хвороби більше 5 років мали місце </w:t>
      </w:r>
      <w:r w:rsidR="00113E76">
        <w:rPr>
          <w:sz w:val="28"/>
          <w:szCs w:val="28"/>
          <w:lang w:val="uk-UA"/>
        </w:rPr>
        <w:t>достеменно</w:t>
      </w:r>
      <w:r>
        <w:rPr>
          <w:sz w:val="28"/>
          <w:szCs w:val="28"/>
          <w:lang w:val="uk-UA"/>
        </w:rPr>
        <w:t xml:space="preserve"> (</w:t>
      </w:r>
      <w:r>
        <w:rPr>
          <w:sz w:val="28"/>
          <w:szCs w:val="28"/>
        </w:rPr>
        <w:t>p</w:t>
      </w:r>
      <w:r>
        <w:rPr>
          <w:sz w:val="28"/>
          <w:szCs w:val="28"/>
          <w:lang w:val="uk-UA"/>
        </w:rPr>
        <w:t xml:space="preserve"> &lt; 0,05) високі рівні </w:t>
      </w:r>
      <w:r>
        <w:rPr>
          <w:sz w:val="28"/>
          <w:szCs w:val="28"/>
          <w:lang w:val="uk-UA"/>
        </w:rPr>
        <w:lastRenderedPageBreak/>
        <w:t xml:space="preserve">ІЛ–6: до 5 років – 22,0 (19,93; 23,06) пг/мл, від 5 до 10 років – 23,57 (22,9; 25,57) пг/мл та більше 10 років – 24,46 (21,99; 29,18) пг/мл. Зростання рівнів прозапальних цитокінів зі збільшенням тривалості захворювання обумовлено декомпенсацією регуляторних механізмів, розвитком мікроциркуляторних порушень та наростанням ІР [151, 201, 203, 265].  </w:t>
      </w:r>
    </w:p>
    <w:p w:rsidR="00077303" w:rsidRDefault="00077303" w:rsidP="00C84796">
      <w:pPr>
        <w:spacing w:line="360" w:lineRule="auto"/>
        <w:ind w:firstLine="709"/>
        <w:jc w:val="both"/>
        <w:rPr>
          <w:sz w:val="28"/>
          <w:szCs w:val="28"/>
          <w:lang w:val="uk-UA"/>
        </w:rPr>
      </w:pPr>
      <w:r>
        <w:rPr>
          <w:sz w:val="28"/>
          <w:szCs w:val="28"/>
          <w:lang w:val="uk-UA"/>
        </w:rPr>
        <w:t>Одним з патогенетичних механізмів впливу прозапальних цитокінів на розвиток та прогресування НАСГ є стимуляція печінкового запалення, некрозу та апоптозу клітин [107].  Додатковим підтвердженням цього слугують данні наведені в таблиці 3.1.5.</w:t>
      </w:r>
    </w:p>
    <w:p w:rsidR="00077303" w:rsidRDefault="00077303" w:rsidP="00C84796">
      <w:pPr>
        <w:spacing w:line="360" w:lineRule="auto"/>
        <w:ind w:firstLine="709"/>
        <w:jc w:val="right"/>
        <w:rPr>
          <w:sz w:val="28"/>
          <w:szCs w:val="28"/>
          <w:lang w:val="uk-UA"/>
        </w:rPr>
      </w:pPr>
      <w:r>
        <w:rPr>
          <w:sz w:val="28"/>
          <w:szCs w:val="28"/>
          <w:lang w:val="uk-UA"/>
        </w:rPr>
        <w:t>Таблиця 3.1.5</w:t>
      </w:r>
    </w:p>
    <w:p w:rsidR="00077303" w:rsidRDefault="00077303" w:rsidP="00C84796">
      <w:pPr>
        <w:spacing w:line="360" w:lineRule="auto"/>
        <w:ind w:firstLine="709"/>
        <w:jc w:val="both"/>
        <w:rPr>
          <w:sz w:val="28"/>
          <w:szCs w:val="28"/>
          <w:lang w:val="uk-UA"/>
        </w:rPr>
      </w:pPr>
      <w:r>
        <w:rPr>
          <w:sz w:val="28"/>
          <w:szCs w:val="28"/>
          <w:lang w:val="uk-UA"/>
        </w:rPr>
        <w:t>Кореляційні зв’язки між рівнем ФНП–α і ІЛ–6 в сироватці крові та активністью цитолітичних ферментів у хворих НАСГ та в поєднанні з ЦД 2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5"/>
        <w:gridCol w:w="1595"/>
        <w:gridCol w:w="3190"/>
        <w:gridCol w:w="3191"/>
      </w:tblGrid>
      <w:tr w:rsidR="00077303" w:rsidTr="00C84796">
        <w:trPr>
          <w:trHeight w:val="970"/>
        </w:trPr>
        <w:tc>
          <w:tcPr>
            <w:tcW w:w="3190" w:type="dxa"/>
            <w:gridSpan w:val="2"/>
            <w:vAlign w:val="center"/>
          </w:tcPr>
          <w:p w:rsidR="00077303" w:rsidRDefault="00077303" w:rsidP="00C84796">
            <w:pPr>
              <w:spacing w:line="360" w:lineRule="auto"/>
              <w:jc w:val="center"/>
              <w:rPr>
                <w:sz w:val="28"/>
                <w:szCs w:val="28"/>
                <w:lang w:val="uk-UA"/>
              </w:rPr>
            </w:pPr>
            <w:r>
              <w:rPr>
                <w:sz w:val="28"/>
                <w:szCs w:val="28"/>
                <w:lang w:val="uk-UA"/>
              </w:rPr>
              <w:t>Показники</w:t>
            </w:r>
          </w:p>
        </w:tc>
        <w:tc>
          <w:tcPr>
            <w:tcW w:w="3190" w:type="dxa"/>
            <w:vAlign w:val="center"/>
          </w:tcPr>
          <w:p w:rsidR="00077303" w:rsidRDefault="00077303" w:rsidP="00C84796">
            <w:pPr>
              <w:spacing w:line="360" w:lineRule="auto"/>
              <w:jc w:val="center"/>
              <w:rPr>
                <w:sz w:val="28"/>
                <w:szCs w:val="28"/>
                <w:lang w:val="uk-UA"/>
              </w:rPr>
            </w:pPr>
            <w:r>
              <w:rPr>
                <w:sz w:val="28"/>
                <w:szCs w:val="28"/>
                <w:lang w:val="uk-UA"/>
              </w:rPr>
              <w:t xml:space="preserve">1 група </w:t>
            </w:r>
          </w:p>
        </w:tc>
        <w:tc>
          <w:tcPr>
            <w:tcW w:w="3191" w:type="dxa"/>
            <w:vAlign w:val="center"/>
          </w:tcPr>
          <w:p w:rsidR="00077303" w:rsidRDefault="00077303" w:rsidP="00C84796">
            <w:pPr>
              <w:spacing w:line="360" w:lineRule="auto"/>
              <w:jc w:val="center"/>
              <w:rPr>
                <w:sz w:val="28"/>
                <w:szCs w:val="28"/>
                <w:lang w:val="uk-UA"/>
              </w:rPr>
            </w:pPr>
            <w:r>
              <w:rPr>
                <w:sz w:val="28"/>
                <w:szCs w:val="28"/>
                <w:lang w:val="uk-UA"/>
              </w:rPr>
              <w:t>2 група</w:t>
            </w:r>
          </w:p>
        </w:tc>
      </w:tr>
      <w:tr w:rsidR="00077303" w:rsidTr="00C84796">
        <w:tc>
          <w:tcPr>
            <w:tcW w:w="1595" w:type="dxa"/>
            <w:vMerge w:val="restart"/>
            <w:vAlign w:val="center"/>
          </w:tcPr>
          <w:p w:rsidR="00077303" w:rsidRDefault="00077303" w:rsidP="00C84796">
            <w:pPr>
              <w:spacing w:line="360" w:lineRule="auto"/>
              <w:jc w:val="center"/>
              <w:rPr>
                <w:sz w:val="28"/>
                <w:szCs w:val="28"/>
                <w:lang w:val="uk-UA"/>
              </w:rPr>
            </w:pPr>
            <w:r>
              <w:rPr>
                <w:sz w:val="28"/>
                <w:szCs w:val="28"/>
                <w:lang w:val="uk-UA"/>
              </w:rPr>
              <w:t>ФНП–α</w:t>
            </w:r>
          </w:p>
        </w:tc>
        <w:tc>
          <w:tcPr>
            <w:tcW w:w="1595" w:type="dxa"/>
            <w:vAlign w:val="center"/>
          </w:tcPr>
          <w:p w:rsidR="00077303" w:rsidRDefault="00077303" w:rsidP="00C84796">
            <w:pPr>
              <w:spacing w:line="360" w:lineRule="auto"/>
              <w:jc w:val="center"/>
              <w:rPr>
                <w:sz w:val="28"/>
                <w:szCs w:val="28"/>
                <w:lang w:val="uk-UA"/>
              </w:rPr>
            </w:pPr>
            <w:r>
              <w:rPr>
                <w:sz w:val="28"/>
                <w:szCs w:val="28"/>
                <w:lang w:val="uk-UA"/>
              </w:rPr>
              <w:t>АЛТ</w:t>
            </w:r>
          </w:p>
        </w:tc>
        <w:tc>
          <w:tcPr>
            <w:tcW w:w="3190" w:type="dxa"/>
            <w:vAlign w:val="center"/>
          </w:tcPr>
          <w:p w:rsidR="00077303" w:rsidRDefault="00077303" w:rsidP="00741155">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0,76*</w:t>
            </w:r>
          </w:p>
        </w:tc>
        <w:tc>
          <w:tcPr>
            <w:tcW w:w="3191" w:type="dxa"/>
            <w:vAlign w:val="center"/>
          </w:tcPr>
          <w:p w:rsidR="00077303" w:rsidRDefault="00077303" w:rsidP="00741155">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0,71*</w:t>
            </w:r>
          </w:p>
        </w:tc>
      </w:tr>
      <w:tr w:rsidR="00077303" w:rsidTr="00C84796">
        <w:tc>
          <w:tcPr>
            <w:tcW w:w="0" w:type="auto"/>
            <w:vMerge/>
            <w:vAlign w:val="center"/>
          </w:tcPr>
          <w:p w:rsidR="00077303" w:rsidRDefault="00077303" w:rsidP="00C84796">
            <w:pPr>
              <w:rPr>
                <w:sz w:val="28"/>
                <w:szCs w:val="28"/>
                <w:lang w:val="uk-UA"/>
              </w:rPr>
            </w:pPr>
          </w:p>
        </w:tc>
        <w:tc>
          <w:tcPr>
            <w:tcW w:w="1595" w:type="dxa"/>
            <w:vAlign w:val="center"/>
          </w:tcPr>
          <w:p w:rsidR="00077303" w:rsidRDefault="00077303" w:rsidP="00C84796">
            <w:pPr>
              <w:spacing w:line="360" w:lineRule="auto"/>
              <w:jc w:val="center"/>
              <w:rPr>
                <w:sz w:val="28"/>
                <w:szCs w:val="28"/>
                <w:lang w:val="uk-UA"/>
              </w:rPr>
            </w:pPr>
            <w:r>
              <w:rPr>
                <w:sz w:val="28"/>
                <w:szCs w:val="28"/>
                <w:lang w:val="uk-UA"/>
              </w:rPr>
              <w:t>АСТ</w:t>
            </w:r>
          </w:p>
        </w:tc>
        <w:tc>
          <w:tcPr>
            <w:tcW w:w="3190" w:type="dxa"/>
            <w:vAlign w:val="center"/>
          </w:tcPr>
          <w:p w:rsidR="00077303" w:rsidRDefault="00077303" w:rsidP="00741155">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0,73*</w:t>
            </w:r>
          </w:p>
        </w:tc>
        <w:tc>
          <w:tcPr>
            <w:tcW w:w="3191" w:type="dxa"/>
            <w:vAlign w:val="center"/>
          </w:tcPr>
          <w:p w:rsidR="00077303" w:rsidRDefault="00077303" w:rsidP="00741155">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0,73*</w:t>
            </w:r>
          </w:p>
        </w:tc>
      </w:tr>
      <w:tr w:rsidR="00077303" w:rsidTr="00C84796">
        <w:tc>
          <w:tcPr>
            <w:tcW w:w="1595" w:type="dxa"/>
            <w:vMerge w:val="restart"/>
            <w:vAlign w:val="center"/>
          </w:tcPr>
          <w:p w:rsidR="00077303" w:rsidRDefault="00077303" w:rsidP="00C84796">
            <w:pPr>
              <w:spacing w:line="360" w:lineRule="auto"/>
              <w:jc w:val="center"/>
              <w:rPr>
                <w:sz w:val="28"/>
                <w:szCs w:val="28"/>
                <w:lang w:val="uk-UA"/>
              </w:rPr>
            </w:pPr>
            <w:r>
              <w:rPr>
                <w:sz w:val="28"/>
                <w:szCs w:val="28"/>
                <w:lang w:val="uk-UA"/>
              </w:rPr>
              <w:t>ІЛ–6</w:t>
            </w:r>
          </w:p>
        </w:tc>
        <w:tc>
          <w:tcPr>
            <w:tcW w:w="1595" w:type="dxa"/>
            <w:vAlign w:val="center"/>
          </w:tcPr>
          <w:p w:rsidR="00077303" w:rsidRDefault="00077303" w:rsidP="00C84796">
            <w:pPr>
              <w:spacing w:line="360" w:lineRule="auto"/>
              <w:jc w:val="center"/>
              <w:rPr>
                <w:sz w:val="28"/>
                <w:szCs w:val="28"/>
                <w:lang w:val="uk-UA"/>
              </w:rPr>
            </w:pPr>
            <w:r>
              <w:rPr>
                <w:sz w:val="28"/>
                <w:szCs w:val="28"/>
                <w:lang w:val="uk-UA"/>
              </w:rPr>
              <w:t>АЛТ</w:t>
            </w:r>
          </w:p>
        </w:tc>
        <w:tc>
          <w:tcPr>
            <w:tcW w:w="3190" w:type="dxa"/>
            <w:vAlign w:val="center"/>
          </w:tcPr>
          <w:p w:rsidR="00077303" w:rsidRDefault="00077303" w:rsidP="00741155">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0,79*</w:t>
            </w:r>
          </w:p>
        </w:tc>
        <w:tc>
          <w:tcPr>
            <w:tcW w:w="3191" w:type="dxa"/>
            <w:vAlign w:val="center"/>
          </w:tcPr>
          <w:p w:rsidR="00077303" w:rsidRDefault="00077303" w:rsidP="00741155">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0,76*</w:t>
            </w:r>
          </w:p>
        </w:tc>
      </w:tr>
      <w:tr w:rsidR="00077303" w:rsidTr="00C84796">
        <w:tc>
          <w:tcPr>
            <w:tcW w:w="0" w:type="auto"/>
            <w:vMerge/>
            <w:vAlign w:val="center"/>
          </w:tcPr>
          <w:p w:rsidR="00077303" w:rsidRDefault="00077303" w:rsidP="00C84796">
            <w:pPr>
              <w:rPr>
                <w:sz w:val="28"/>
                <w:szCs w:val="28"/>
                <w:lang w:val="uk-UA"/>
              </w:rPr>
            </w:pPr>
          </w:p>
        </w:tc>
        <w:tc>
          <w:tcPr>
            <w:tcW w:w="1595" w:type="dxa"/>
            <w:vAlign w:val="center"/>
          </w:tcPr>
          <w:p w:rsidR="00077303" w:rsidRDefault="00077303" w:rsidP="00C84796">
            <w:pPr>
              <w:spacing w:line="360" w:lineRule="auto"/>
              <w:jc w:val="center"/>
              <w:rPr>
                <w:sz w:val="28"/>
                <w:szCs w:val="28"/>
                <w:lang w:val="uk-UA"/>
              </w:rPr>
            </w:pPr>
            <w:r>
              <w:rPr>
                <w:sz w:val="28"/>
                <w:szCs w:val="28"/>
                <w:lang w:val="uk-UA"/>
              </w:rPr>
              <w:t>АСТ</w:t>
            </w:r>
          </w:p>
        </w:tc>
        <w:tc>
          <w:tcPr>
            <w:tcW w:w="3190" w:type="dxa"/>
            <w:vAlign w:val="center"/>
          </w:tcPr>
          <w:p w:rsidR="00077303" w:rsidRDefault="00077303" w:rsidP="00741155">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0,75*</w:t>
            </w:r>
          </w:p>
        </w:tc>
        <w:tc>
          <w:tcPr>
            <w:tcW w:w="3191" w:type="dxa"/>
            <w:vAlign w:val="center"/>
          </w:tcPr>
          <w:p w:rsidR="00077303" w:rsidRDefault="00077303" w:rsidP="00741155">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0,74*</w:t>
            </w:r>
          </w:p>
        </w:tc>
      </w:tr>
    </w:tbl>
    <w:p w:rsidR="00077303" w:rsidRDefault="00077303" w:rsidP="00C84796">
      <w:pPr>
        <w:spacing w:line="360" w:lineRule="auto"/>
        <w:ind w:firstLine="709"/>
        <w:jc w:val="both"/>
        <w:rPr>
          <w:sz w:val="28"/>
          <w:szCs w:val="28"/>
        </w:rPr>
      </w:pPr>
      <w:r>
        <w:rPr>
          <w:b/>
          <w:sz w:val="28"/>
          <w:szCs w:val="28"/>
          <w:lang w:val="uk-UA"/>
        </w:rPr>
        <w:t xml:space="preserve">Примітка: </w:t>
      </w:r>
      <w:r>
        <w:rPr>
          <w:sz w:val="28"/>
          <w:szCs w:val="28"/>
          <w:lang w:val="uk-UA"/>
        </w:rPr>
        <w:t xml:space="preserve">* – </w:t>
      </w:r>
      <w:r>
        <w:rPr>
          <w:sz w:val="28"/>
          <w:szCs w:val="28"/>
        </w:rPr>
        <w:t>p</w:t>
      </w:r>
      <w:r>
        <w:rPr>
          <w:sz w:val="28"/>
          <w:szCs w:val="28"/>
          <w:lang w:val="uk-UA"/>
        </w:rPr>
        <w:t xml:space="preserve"> &lt; 0,01</w:t>
      </w:r>
    </w:p>
    <w:p w:rsidR="00077303" w:rsidRDefault="00077303" w:rsidP="00C84796">
      <w:pPr>
        <w:spacing w:line="360" w:lineRule="auto"/>
        <w:ind w:firstLine="709"/>
        <w:jc w:val="both"/>
        <w:rPr>
          <w:sz w:val="28"/>
          <w:szCs w:val="28"/>
          <w:lang w:val="uk-UA"/>
        </w:rPr>
      </w:pPr>
      <w:r>
        <w:rPr>
          <w:sz w:val="28"/>
          <w:szCs w:val="28"/>
          <w:lang w:val="uk-UA"/>
        </w:rPr>
        <w:t xml:space="preserve">В 1 групі хворих мала місце сильна кореляційна залежність між ІЛ–6 та АЛТ – </w:t>
      </w:r>
      <w:r>
        <w:rPr>
          <w:sz w:val="28"/>
          <w:szCs w:val="28"/>
          <w:lang w:val="en-US"/>
        </w:rPr>
        <w:t>r</w:t>
      </w:r>
      <w:r>
        <w:rPr>
          <w:sz w:val="28"/>
          <w:szCs w:val="28"/>
          <w:lang w:val="uk-UA"/>
        </w:rPr>
        <w:t xml:space="preserve"> = 0,79 (</w:t>
      </w:r>
      <w:r>
        <w:rPr>
          <w:sz w:val="28"/>
          <w:szCs w:val="28"/>
          <w:lang w:val="en-US"/>
        </w:rPr>
        <w:t>p</w:t>
      </w:r>
      <w:r>
        <w:rPr>
          <w:sz w:val="28"/>
          <w:szCs w:val="28"/>
          <w:lang w:val="uk-UA"/>
        </w:rPr>
        <w:t xml:space="preserve"> &lt; 0,01), кореляційна залежність середньої сили спостерігалась між ІЛ–6 та АСТ – </w:t>
      </w:r>
      <w:r>
        <w:rPr>
          <w:sz w:val="28"/>
          <w:szCs w:val="28"/>
          <w:lang w:val="en-US"/>
        </w:rPr>
        <w:t>r</w:t>
      </w:r>
      <w:r>
        <w:rPr>
          <w:sz w:val="28"/>
          <w:szCs w:val="28"/>
          <w:lang w:val="uk-UA"/>
        </w:rPr>
        <w:t xml:space="preserve"> = 0,75 (</w:t>
      </w:r>
      <w:r>
        <w:rPr>
          <w:sz w:val="28"/>
          <w:szCs w:val="28"/>
          <w:lang w:val="en-US"/>
        </w:rPr>
        <w:t>p</w:t>
      </w:r>
      <w:r>
        <w:rPr>
          <w:sz w:val="28"/>
          <w:szCs w:val="28"/>
          <w:lang w:val="uk-UA"/>
        </w:rPr>
        <w:t xml:space="preserve"> &lt; 0,01), між ФНП–α та АСТ – </w:t>
      </w:r>
      <w:r>
        <w:rPr>
          <w:sz w:val="28"/>
          <w:szCs w:val="28"/>
          <w:lang w:val="en-US"/>
        </w:rPr>
        <w:t>r</w:t>
      </w:r>
      <w:r>
        <w:rPr>
          <w:sz w:val="28"/>
          <w:szCs w:val="28"/>
          <w:lang w:val="uk-UA"/>
        </w:rPr>
        <w:t xml:space="preserve"> = 0,73 (</w:t>
      </w:r>
      <w:r>
        <w:rPr>
          <w:sz w:val="28"/>
          <w:szCs w:val="28"/>
          <w:lang w:val="en-US"/>
        </w:rPr>
        <w:t>p</w:t>
      </w:r>
      <w:r>
        <w:rPr>
          <w:sz w:val="28"/>
          <w:szCs w:val="28"/>
          <w:lang w:val="uk-UA"/>
        </w:rPr>
        <w:t xml:space="preserve"> &lt; 0,01) і між ФНП–α та АЛТ – </w:t>
      </w:r>
      <w:r>
        <w:rPr>
          <w:sz w:val="28"/>
          <w:szCs w:val="28"/>
          <w:lang w:val="en-US"/>
        </w:rPr>
        <w:t>r</w:t>
      </w:r>
      <w:r>
        <w:rPr>
          <w:sz w:val="28"/>
          <w:szCs w:val="28"/>
          <w:lang w:val="uk-UA"/>
        </w:rPr>
        <w:t xml:space="preserve"> = 0,76 (</w:t>
      </w:r>
      <w:r>
        <w:rPr>
          <w:sz w:val="28"/>
          <w:szCs w:val="28"/>
          <w:lang w:val="en-US"/>
        </w:rPr>
        <w:t>p</w:t>
      </w:r>
      <w:r>
        <w:rPr>
          <w:sz w:val="28"/>
          <w:szCs w:val="28"/>
          <w:lang w:val="uk-UA"/>
        </w:rPr>
        <w:t xml:space="preserve"> &lt; 0,01). </w:t>
      </w:r>
    </w:p>
    <w:p w:rsidR="00077303" w:rsidRDefault="00077303" w:rsidP="00C84796">
      <w:pPr>
        <w:spacing w:line="360" w:lineRule="auto"/>
        <w:ind w:firstLine="709"/>
        <w:jc w:val="both"/>
        <w:rPr>
          <w:sz w:val="28"/>
          <w:szCs w:val="28"/>
          <w:lang w:val="uk-UA"/>
        </w:rPr>
      </w:pPr>
      <w:r>
        <w:rPr>
          <w:sz w:val="28"/>
          <w:szCs w:val="28"/>
          <w:lang w:val="uk-UA"/>
        </w:rPr>
        <w:t xml:space="preserve">В 2 групі пацієнтів також простежувалися дані кореляційні взаємозв’язки. Коефіцієнт кореляції між ІЛ–6 та АЛТ склав </w:t>
      </w:r>
      <w:r>
        <w:rPr>
          <w:sz w:val="28"/>
          <w:szCs w:val="28"/>
          <w:lang w:val="en-US"/>
        </w:rPr>
        <w:t>r</w:t>
      </w:r>
      <w:r>
        <w:rPr>
          <w:sz w:val="28"/>
          <w:szCs w:val="28"/>
          <w:lang w:val="uk-UA"/>
        </w:rPr>
        <w:t xml:space="preserve"> = 0,76 (</w:t>
      </w:r>
      <w:r>
        <w:rPr>
          <w:sz w:val="28"/>
          <w:szCs w:val="28"/>
          <w:lang w:val="en-US"/>
        </w:rPr>
        <w:t>p</w:t>
      </w:r>
      <w:r>
        <w:rPr>
          <w:sz w:val="28"/>
          <w:szCs w:val="28"/>
          <w:lang w:val="uk-UA"/>
        </w:rPr>
        <w:t xml:space="preserve"> &lt; 0,01), між ФНП–α та АЛТ –  </w:t>
      </w:r>
      <w:r>
        <w:rPr>
          <w:sz w:val="28"/>
          <w:szCs w:val="28"/>
          <w:lang w:val="en-US"/>
        </w:rPr>
        <w:t>r</w:t>
      </w:r>
      <w:r>
        <w:rPr>
          <w:sz w:val="28"/>
          <w:szCs w:val="28"/>
          <w:lang w:val="uk-UA"/>
        </w:rPr>
        <w:t xml:space="preserve"> = 0,71 (</w:t>
      </w:r>
      <w:r>
        <w:rPr>
          <w:sz w:val="28"/>
          <w:szCs w:val="28"/>
          <w:lang w:val="en-US"/>
        </w:rPr>
        <w:t>p</w:t>
      </w:r>
      <w:r>
        <w:rPr>
          <w:sz w:val="28"/>
          <w:szCs w:val="28"/>
          <w:lang w:val="uk-UA"/>
        </w:rPr>
        <w:t xml:space="preserve"> &lt; 0,01), між ІЛ–6 та АСТ – </w:t>
      </w:r>
      <w:r>
        <w:rPr>
          <w:sz w:val="28"/>
          <w:szCs w:val="28"/>
          <w:lang w:val="en-US"/>
        </w:rPr>
        <w:t>r</w:t>
      </w:r>
      <w:r>
        <w:rPr>
          <w:sz w:val="28"/>
          <w:szCs w:val="28"/>
          <w:lang w:val="uk-UA"/>
        </w:rPr>
        <w:t xml:space="preserve"> = 0,74 (</w:t>
      </w:r>
      <w:r>
        <w:rPr>
          <w:sz w:val="28"/>
          <w:szCs w:val="28"/>
          <w:lang w:val="en-US"/>
        </w:rPr>
        <w:t>p</w:t>
      </w:r>
      <w:r>
        <w:rPr>
          <w:sz w:val="28"/>
          <w:szCs w:val="28"/>
          <w:lang w:val="uk-UA"/>
        </w:rPr>
        <w:t xml:space="preserve"> &lt; 0,01) та між ФНП–α і АСТ – </w:t>
      </w:r>
      <w:r>
        <w:rPr>
          <w:sz w:val="28"/>
          <w:szCs w:val="28"/>
          <w:lang w:val="en-US"/>
        </w:rPr>
        <w:t>r</w:t>
      </w:r>
      <w:r>
        <w:rPr>
          <w:sz w:val="28"/>
          <w:szCs w:val="28"/>
          <w:lang w:val="uk-UA"/>
        </w:rPr>
        <w:t xml:space="preserve"> = 0,73 (</w:t>
      </w:r>
      <w:r>
        <w:rPr>
          <w:sz w:val="28"/>
          <w:szCs w:val="28"/>
          <w:lang w:val="en-US"/>
        </w:rPr>
        <w:t>p</w:t>
      </w:r>
      <w:r>
        <w:rPr>
          <w:sz w:val="28"/>
          <w:szCs w:val="28"/>
          <w:lang w:val="uk-UA"/>
        </w:rPr>
        <w:t xml:space="preserve"> &lt; 0,01). </w:t>
      </w:r>
    </w:p>
    <w:p w:rsidR="00077303" w:rsidRDefault="00077303" w:rsidP="00C84796">
      <w:pPr>
        <w:spacing w:line="360" w:lineRule="auto"/>
        <w:ind w:firstLine="709"/>
        <w:jc w:val="both"/>
        <w:rPr>
          <w:sz w:val="28"/>
          <w:szCs w:val="28"/>
          <w:lang w:val="uk-UA"/>
        </w:rPr>
      </w:pPr>
      <w:r>
        <w:rPr>
          <w:sz w:val="28"/>
          <w:szCs w:val="28"/>
          <w:lang w:val="uk-UA"/>
        </w:rPr>
        <w:t xml:space="preserve">Таким чином, отримані результати свідчать про те, що цитокінова система залучена в патогенез НАСГ у хворих на ЦД 2 типу. Її дисфункція супроводжується підвищеною продукцією прозапальних цитокінів (ФНП–α, ІЛ–6), рівень яких в </w:t>
      </w:r>
      <w:r>
        <w:rPr>
          <w:sz w:val="28"/>
          <w:szCs w:val="28"/>
          <w:lang w:val="uk-UA"/>
        </w:rPr>
        <w:lastRenderedPageBreak/>
        <w:t xml:space="preserve">сироватці крові має достовірний зв’язок з основними клініко–лабораторними показниками цитолітичного синдрому у пацієнтів НАСГ. </w:t>
      </w:r>
    </w:p>
    <w:p w:rsidR="00077303" w:rsidRDefault="00077303" w:rsidP="00C84796">
      <w:pPr>
        <w:spacing w:line="360" w:lineRule="auto"/>
        <w:ind w:firstLine="709"/>
        <w:jc w:val="both"/>
        <w:rPr>
          <w:sz w:val="28"/>
          <w:szCs w:val="28"/>
          <w:lang w:val="uk-UA"/>
        </w:rPr>
      </w:pPr>
      <w:r>
        <w:rPr>
          <w:sz w:val="28"/>
          <w:szCs w:val="28"/>
          <w:lang w:val="uk-UA"/>
        </w:rPr>
        <w:t xml:space="preserve">Проведені нами дослідження дозволяють зробити висновки, що рівень прозапальних цитокінів у хворих НАСГ та в поєднанні з ЦД 2 типу не залежить від статі та віку. Рівень ФНП–α та ІЛ–6 вірогідно зростав у хворих НАСГ з тривалістю захворювання більше 10 років, що пов’язано з прогресуванням хвороби і виснаженням компенсаторних механізмів внаслідок стійких запальних змін в печінці. У пацієнтів з супутнім ЦД 2 типу рівень прозапальних цитокінів був достовірно вище при тривалості хвороби більше 5 років, що свідчить про більш швидке прогресування захворювання на тлі метаболічних порушень. </w:t>
      </w:r>
    </w:p>
    <w:p w:rsidR="00077303" w:rsidRDefault="00077303" w:rsidP="00C84796">
      <w:pPr>
        <w:spacing w:line="360" w:lineRule="auto"/>
        <w:ind w:firstLine="709"/>
        <w:jc w:val="both"/>
        <w:rPr>
          <w:sz w:val="28"/>
          <w:szCs w:val="28"/>
          <w:lang w:val="uk-UA"/>
        </w:rPr>
      </w:pPr>
      <w:r>
        <w:rPr>
          <w:sz w:val="28"/>
          <w:szCs w:val="28"/>
          <w:lang w:val="uk-UA"/>
        </w:rPr>
        <w:t xml:space="preserve">Отримані кореляційні взаємозв’язки підтверджують наявність запалення та клітинного ушкодження в печінці, що узгоджується з літературними даними.  </w:t>
      </w:r>
    </w:p>
    <w:p w:rsidR="00077303" w:rsidRDefault="00077303" w:rsidP="00C84796">
      <w:pPr>
        <w:spacing w:line="360" w:lineRule="auto"/>
        <w:jc w:val="both"/>
        <w:rPr>
          <w:sz w:val="28"/>
          <w:szCs w:val="28"/>
          <w:lang w:val="uk-UA"/>
        </w:rPr>
      </w:pPr>
    </w:p>
    <w:p w:rsidR="00077303" w:rsidRDefault="00077303" w:rsidP="00C84796">
      <w:pPr>
        <w:spacing w:line="360" w:lineRule="auto"/>
        <w:ind w:firstLine="709"/>
        <w:jc w:val="both"/>
        <w:rPr>
          <w:sz w:val="28"/>
          <w:szCs w:val="28"/>
          <w:lang w:val="uk-UA"/>
        </w:rPr>
      </w:pPr>
      <w:r>
        <w:rPr>
          <w:sz w:val="28"/>
          <w:szCs w:val="28"/>
          <w:lang w:val="uk-UA"/>
        </w:rPr>
        <w:t>Даний розділ викладений в публікаціях:</w:t>
      </w:r>
    </w:p>
    <w:p w:rsidR="00077303" w:rsidRDefault="00077303" w:rsidP="00C84796">
      <w:pPr>
        <w:numPr>
          <w:ilvl w:val="0"/>
          <w:numId w:val="6"/>
        </w:numPr>
        <w:spacing w:line="360" w:lineRule="auto"/>
        <w:jc w:val="both"/>
        <w:rPr>
          <w:sz w:val="28"/>
          <w:szCs w:val="28"/>
          <w:lang w:val="uk-UA"/>
        </w:rPr>
      </w:pPr>
      <w:r>
        <w:rPr>
          <w:sz w:val="28"/>
          <w:szCs w:val="28"/>
          <w:lang w:val="uk-UA"/>
        </w:rPr>
        <w:t xml:space="preserve"> </w:t>
      </w:r>
      <w:r>
        <w:rPr>
          <w:sz w:val="28"/>
        </w:rPr>
        <w:t xml:space="preserve">Звягинцева Т.Д. </w:t>
      </w:r>
      <w:r>
        <w:rPr>
          <w:sz w:val="28"/>
          <w:lang w:val="uk-UA"/>
        </w:rPr>
        <w:t>Глущенко С.В.</w:t>
      </w:r>
      <w:r>
        <w:rPr>
          <w:sz w:val="28"/>
          <w:szCs w:val="28"/>
          <w:lang w:val="uk-UA"/>
        </w:rPr>
        <w:t xml:space="preserve"> </w:t>
      </w:r>
      <w:r>
        <w:rPr>
          <w:sz w:val="28"/>
          <w:szCs w:val="28"/>
        </w:rPr>
        <w:t>Патогенетические механизмы развития неалкогольного стеатогепатита и принципы современной терапии</w:t>
      </w:r>
      <w:r>
        <w:rPr>
          <w:sz w:val="28"/>
          <w:szCs w:val="28"/>
          <w:lang w:val="uk-UA"/>
        </w:rPr>
        <w:t xml:space="preserve"> // Журн. «Мистецтво лікування». – 2014. – №1 (107). – С. 26–28.</w:t>
      </w:r>
    </w:p>
    <w:p w:rsidR="00077303" w:rsidRDefault="00077303" w:rsidP="00C84796">
      <w:pPr>
        <w:numPr>
          <w:ilvl w:val="0"/>
          <w:numId w:val="6"/>
        </w:numPr>
        <w:spacing w:line="360" w:lineRule="auto"/>
        <w:jc w:val="both"/>
        <w:rPr>
          <w:sz w:val="28"/>
          <w:szCs w:val="28"/>
          <w:lang w:val="uk-UA"/>
        </w:rPr>
      </w:pPr>
      <w:r>
        <w:rPr>
          <w:sz w:val="28"/>
          <w:szCs w:val="28"/>
        </w:rPr>
        <w:t xml:space="preserve">Звягинцева Т.Д. </w:t>
      </w:r>
      <w:r>
        <w:rPr>
          <w:sz w:val="28"/>
          <w:szCs w:val="28"/>
          <w:lang w:val="uk-UA"/>
        </w:rPr>
        <w:t xml:space="preserve">Глущенко С.В. </w:t>
      </w:r>
      <w:r>
        <w:rPr>
          <w:sz w:val="28"/>
          <w:szCs w:val="28"/>
        </w:rPr>
        <w:t>Липотоксический стресс и провоспалительные цитокины как факторы развития неалкогольного стеатогепатита</w:t>
      </w:r>
      <w:r>
        <w:rPr>
          <w:sz w:val="28"/>
          <w:szCs w:val="28"/>
          <w:lang w:val="uk-UA"/>
        </w:rPr>
        <w:t xml:space="preserve"> // </w:t>
      </w:r>
      <w:r>
        <w:rPr>
          <w:w w:val="106"/>
          <w:sz w:val="28"/>
          <w:szCs w:val="28"/>
        </w:rPr>
        <w:t>Журн. «Научные ведомости БелГУ, серия Медицина. Фармация.» – 2014. – №18 (189). – вып. 27. – С.46–49.</w:t>
      </w:r>
    </w:p>
    <w:p w:rsidR="00077303" w:rsidRDefault="00077303" w:rsidP="00C84796">
      <w:pPr>
        <w:numPr>
          <w:ilvl w:val="0"/>
          <w:numId w:val="6"/>
        </w:numPr>
        <w:spacing w:line="360" w:lineRule="auto"/>
        <w:jc w:val="both"/>
        <w:rPr>
          <w:sz w:val="28"/>
          <w:szCs w:val="28"/>
          <w:lang w:val="uk-UA"/>
        </w:rPr>
      </w:pPr>
      <w:r>
        <w:rPr>
          <w:sz w:val="28"/>
          <w:szCs w:val="28"/>
          <w:lang w:val="uk-UA"/>
        </w:rPr>
        <w:t>Глущенко С.В. Современные механизмы развития неалкогольной жировой болезни печени // Журн. “Новости медицины и фармации”. –  2011. –Тематичний  номер №367. –  С. 29–30.</w:t>
      </w:r>
    </w:p>
    <w:p w:rsidR="00077303" w:rsidRDefault="00077303" w:rsidP="00C84796">
      <w:pPr>
        <w:numPr>
          <w:ilvl w:val="0"/>
          <w:numId w:val="6"/>
        </w:numPr>
        <w:spacing w:line="360" w:lineRule="auto"/>
        <w:jc w:val="both"/>
        <w:rPr>
          <w:sz w:val="28"/>
          <w:szCs w:val="28"/>
          <w:lang w:val="uk-UA"/>
        </w:rPr>
      </w:pPr>
      <w:r>
        <w:rPr>
          <w:sz w:val="28"/>
          <w:szCs w:val="28"/>
          <w:lang w:val="uk-UA"/>
        </w:rPr>
        <w:t>Патент «Спосіб діагностики неалкогольного стеатогепатиту» (деклараційний патент на корисну модель №94489 UA, Україна, МПК G01N 33/48 (2006.01) – №2014 06799, заявл. 16.06.2014; опубл. 10.11.2014, Бюл.№21).</w:t>
      </w:r>
    </w:p>
    <w:p w:rsidR="00077303" w:rsidRDefault="00077303" w:rsidP="00C84796">
      <w:pPr>
        <w:numPr>
          <w:ilvl w:val="0"/>
          <w:numId w:val="6"/>
        </w:numPr>
        <w:spacing w:line="360" w:lineRule="auto"/>
        <w:jc w:val="both"/>
        <w:rPr>
          <w:sz w:val="28"/>
          <w:szCs w:val="28"/>
          <w:lang w:val="uk-UA"/>
        </w:rPr>
      </w:pPr>
      <w:r>
        <w:rPr>
          <w:sz w:val="28"/>
          <w:szCs w:val="28"/>
          <w:lang w:val="uk-UA"/>
        </w:rPr>
        <w:t xml:space="preserve">Звягинцева Т.Д. </w:t>
      </w:r>
      <w:r w:rsidRPr="0034455C">
        <w:rPr>
          <w:sz w:val="28"/>
          <w:szCs w:val="28"/>
          <w:lang w:val="uk-UA"/>
        </w:rPr>
        <w:t xml:space="preserve">Глущенко С.В. </w:t>
      </w:r>
      <w:r>
        <w:rPr>
          <w:sz w:val="28"/>
          <w:szCs w:val="28"/>
        </w:rPr>
        <w:t xml:space="preserve">Значение </w:t>
      </w:r>
      <w:r>
        <w:rPr>
          <w:sz w:val="28"/>
          <w:szCs w:val="28"/>
          <w:lang w:val="en-US"/>
        </w:rPr>
        <w:t>L</w:t>
      </w:r>
      <w:r>
        <w:rPr>
          <w:sz w:val="28"/>
          <w:szCs w:val="28"/>
        </w:rPr>
        <w:t>–карнитина и провоспалительных цитокинов в развитии неалкогольного стеатогепатита</w:t>
      </w:r>
      <w:r w:rsidRPr="0034455C">
        <w:rPr>
          <w:sz w:val="28"/>
          <w:szCs w:val="28"/>
          <w:lang w:val="uk-UA"/>
        </w:rPr>
        <w:t xml:space="preserve"> / </w:t>
      </w:r>
      <w:r>
        <w:rPr>
          <w:sz w:val="28"/>
          <w:szCs w:val="28"/>
          <w:lang w:val="uk-UA"/>
        </w:rPr>
        <w:t xml:space="preserve">Т.Д. Звягинцева, </w:t>
      </w:r>
      <w:r w:rsidRPr="0034455C">
        <w:rPr>
          <w:sz w:val="28"/>
          <w:szCs w:val="28"/>
          <w:lang w:val="uk-UA"/>
        </w:rPr>
        <w:t>С.В. Глущенко // Новости медицины и фармации. – 201</w:t>
      </w:r>
      <w:r>
        <w:rPr>
          <w:sz w:val="28"/>
          <w:szCs w:val="28"/>
          <w:lang w:val="uk-UA"/>
        </w:rPr>
        <w:t>4</w:t>
      </w:r>
      <w:r w:rsidRPr="0034455C">
        <w:rPr>
          <w:sz w:val="28"/>
          <w:szCs w:val="28"/>
          <w:lang w:val="uk-UA"/>
        </w:rPr>
        <w:t>. –</w:t>
      </w:r>
      <w:r>
        <w:rPr>
          <w:sz w:val="28"/>
          <w:szCs w:val="28"/>
          <w:lang w:val="uk-UA"/>
        </w:rPr>
        <w:t xml:space="preserve"> №522 (20). – С. 20–21</w:t>
      </w:r>
      <w:r w:rsidRPr="0034455C">
        <w:rPr>
          <w:sz w:val="28"/>
          <w:szCs w:val="28"/>
          <w:lang w:val="uk-UA"/>
        </w:rPr>
        <w:t>.</w:t>
      </w:r>
      <w:r>
        <w:rPr>
          <w:sz w:val="28"/>
          <w:szCs w:val="28"/>
          <w:lang w:val="uk-UA"/>
        </w:rPr>
        <w:t xml:space="preserve">  </w:t>
      </w:r>
    </w:p>
    <w:p w:rsidR="00737B9C" w:rsidRPr="001F0B9F" w:rsidRDefault="00737B9C" w:rsidP="00737B9C">
      <w:pPr>
        <w:spacing w:line="360" w:lineRule="auto"/>
        <w:ind w:firstLine="709"/>
        <w:jc w:val="center"/>
        <w:rPr>
          <w:b/>
          <w:sz w:val="28"/>
          <w:szCs w:val="28"/>
          <w:lang w:val="uk-UA"/>
        </w:rPr>
      </w:pPr>
      <w:r w:rsidRPr="001F0B9F">
        <w:rPr>
          <w:b/>
          <w:sz w:val="28"/>
          <w:szCs w:val="28"/>
          <w:lang w:val="uk-UA"/>
        </w:rPr>
        <w:lastRenderedPageBreak/>
        <w:t xml:space="preserve">3.2. Роль </w:t>
      </w:r>
      <w:r w:rsidRPr="001F0B9F">
        <w:rPr>
          <w:b/>
          <w:sz w:val="28"/>
          <w:szCs w:val="28"/>
          <w:lang w:val="en-US"/>
        </w:rPr>
        <w:t>NO</w:t>
      </w:r>
      <w:r>
        <w:rPr>
          <w:b/>
          <w:sz w:val="28"/>
          <w:szCs w:val="28"/>
          <w:lang w:val="uk-UA"/>
        </w:rPr>
        <w:t xml:space="preserve"> та МДА у розвитку НАСГ </w:t>
      </w:r>
      <w:r w:rsidRPr="001F0B9F">
        <w:rPr>
          <w:b/>
          <w:sz w:val="28"/>
          <w:szCs w:val="28"/>
          <w:lang w:val="uk-UA"/>
        </w:rPr>
        <w:t>в поєднанні з ЦД 2 типу.</w:t>
      </w:r>
    </w:p>
    <w:p w:rsidR="00737B9C" w:rsidRDefault="00737B9C" w:rsidP="00737B9C">
      <w:pPr>
        <w:spacing w:line="360" w:lineRule="auto"/>
        <w:ind w:firstLine="709"/>
        <w:jc w:val="both"/>
        <w:rPr>
          <w:sz w:val="28"/>
          <w:szCs w:val="28"/>
          <w:lang w:val="uk-UA"/>
        </w:rPr>
      </w:pPr>
      <w:r>
        <w:rPr>
          <w:sz w:val="28"/>
          <w:szCs w:val="28"/>
          <w:lang w:val="uk-UA"/>
        </w:rPr>
        <w:t xml:space="preserve">З метою вивчення процесів ПОЛ при НАСГ у хворих на ЦД 2 типу нами проведено визначення рівнів  </w:t>
      </w:r>
      <w:r>
        <w:rPr>
          <w:sz w:val="28"/>
          <w:szCs w:val="28"/>
          <w:lang w:val="en-US"/>
        </w:rPr>
        <w:t>NO</w:t>
      </w:r>
      <w:r>
        <w:rPr>
          <w:sz w:val="28"/>
          <w:szCs w:val="28"/>
        </w:rPr>
        <w:t xml:space="preserve"> та МДА </w:t>
      </w:r>
      <w:r>
        <w:rPr>
          <w:sz w:val="28"/>
          <w:szCs w:val="28"/>
          <w:lang w:val="uk-UA"/>
        </w:rPr>
        <w:t xml:space="preserve">у хворих НАСГ та в поєднанні з ЦД 2 типу, а також у осіб контрольної групи. </w:t>
      </w:r>
    </w:p>
    <w:p w:rsidR="00737B9C" w:rsidRDefault="00737B9C" w:rsidP="00737B9C">
      <w:pPr>
        <w:spacing w:line="360" w:lineRule="auto"/>
        <w:ind w:firstLine="709"/>
        <w:jc w:val="both"/>
        <w:rPr>
          <w:sz w:val="28"/>
          <w:szCs w:val="28"/>
          <w:lang w:val="uk-UA"/>
        </w:rPr>
      </w:pPr>
      <w:r>
        <w:rPr>
          <w:sz w:val="28"/>
          <w:szCs w:val="28"/>
          <w:lang w:val="uk-UA"/>
        </w:rPr>
        <w:t xml:space="preserve">Проведено дослідження вмісту </w:t>
      </w:r>
      <w:r>
        <w:rPr>
          <w:sz w:val="28"/>
          <w:szCs w:val="28"/>
          <w:lang w:val="en-US"/>
        </w:rPr>
        <w:t>NO</w:t>
      </w:r>
      <w:r>
        <w:rPr>
          <w:sz w:val="28"/>
          <w:szCs w:val="28"/>
          <w:lang w:val="uk-UA"/>
        </w:rPr>
        <w:t xml:space="preserve"> та МДА в плазмі крові 105 хворих НАСГ у віці від 23 до 67 років, які були розділені на дві групи. В 1 групу увійшли хворі з поєднаним перебігом захворювання (65 пацієнтів), 2 – у поєднанні НАСГ з ЦД 2 типу (40 пацієнтів). Контрольну групу склали 20 практично здорових осіб. Середній вік хворих склав 47,88 ± 11,48 роки. В 1 групі чоловіків було 29 (44,6 %), жінок – 36 (55,4 %), в 2 – 18 (45 %) та 22 (55 %) відповідно. </w:t>
      </w:r>
    </w:p>
    <w:p w:rsidR="00737B9C" w:rsidRDefault="00737B9C" w:rsidP="00737B9C">
      <w:pPr>
        <w:spacing w:line="360" w:lineRule="auto"/>
        <w:ind w:firstLine="709"/>
        <w:jc w:val="both"/>
        <w:rPr>
          <w:sz w:val="28"/>
          <w:szCs w:val="28"/>
          <w:lang w:val="uk-UA"/>
        </w:rPr>
      </w:pPr>
      <w:r>
        <w:rPr>
          <w:sz w:val="28"/>
          <w:szCs w:val="28"/>
          <w:lang w:val="uk-UA"/>
        </w:rPr>
        <w:t xml:space="preserve">Встановлено, що в контрольній групі рівень </w:t>
      </w:r>
      <w:r>
        <w:rPr>
          <w:sz w:val="28"/>
          <w:szCs w:val="28"/>
          <w:lang w:val="en-US"/>
        </w:rPr>
        <w:t>NO</w:t>
      </w:r>
      <w:r>
        <w:rPr>
          <w:sz w:val="28"/>
          <w:szCs w:val="28"/>
          <w:lang w:val="uk-UA"/>
        </w:rPr>
        <w:t xml:space="preserve"> складав 64,7 (40,5; 53,9) мкмоль/л. Середня концентрація кінцевого продукту ліпопероксидації – МДА, у здорових осіб фіксувалась на рівні 2,91 (2,68; 3,0) мкмоль/л.</w:t>
      </w:r>
    </w:p>
    <w:p w:rsidR="00737B9C" w:rsidRDefault="00737B9C" w:rsidP="00737B9C">
      <w:pPr>
        <w:spacing w:line="360" w:lineRule="auto"/>
        <w:ind w:firstLine="709"/>
        <w:jc w:val="both"/>
        <w:rPr>
          <w:sz w:val="28"/>
          <w:szCs w:val="28"/>
          <w:lang w:val="uk-UA"/>
        </w:rPr>
      </w:pPr>
      <w:r>
        <w:rPr>
          <w:sz w:val="28"/>
          <w:szCs w:val="28"/>
          <w:lang w:val="uk-UA"/>
        </w:rPr>
        <w:t xml:space="preserve">При вивчені рівнів </w:t>
      </w:r>
      <w:r>
        <w:rPr>
          <w:sz w:val="28"/>
          <w:szCs w:val="28"/>
          <w:lang w:val="en-US"/>
        </w:rPr>
        <w:t>NO</w:t>
      </w:r>
      <w:r>
        <w:rPr>
          <w:sz w:val="28"/>
          <w:szCs w:val="28"/>
          <w:lang w:val="uk-UA"/>
        </w:rPr>
        <w:t xml:space="preserve"> у хворих обох груп було виявлено вірогідне підвищення (р &lt; 0,001) вмісту метаболітів </w:t>
      </w:r>
      <w:r>
        <w:rPr>
          <w:sz w:val="28"/>
          <w:szCs w:val="28"/>
          <w:lang w:val="en-US"/>
        </w:rPr>
        <w:t>NO</w:t>
      </w:r>
      <w:r>
        <w:rPr>
          <w:sz w:val="28"/>
          <w:szCs w:val="28"/>
          <w:lang w:val="uk-UA"/>
        </w:rPr>
        <w:t xml:space="preserve"> в плазмі крові, в порівнянні з контрольною групою (рис. 3.2.1).  Окрім того, рівень </w:t>
      </w:r>
      <w:r>
        <w:rPr>
          <w:sz w:val="28"/>
          <w:szCs w:val="28"/>
          <w:lang w:val="en-US"/>
        </w:rPr>
        <w:t>NO</w:t>
      </w:r>
      <w:r>
        <w:rPr>
          <w:sz w:val="28"/>
          <w:szCs w:val="28"/>
          <w:lang w:val="uk-UA"/>
        </w:rPr>
        <w:t xml:space="preserve"> у хворих 1 групи був достовірно (р &lt; 0,001), вищім, ніж у пацієнтів 2 групи – 166,9 (154,5; 184,9) мкмоль/л супротив 140,4 (129,6; 148,8) мкмоль/л відповідно.</w:t>
      </w:r>
    </w:p>
    <w:p w:rsidR="00737B9C" w:rsidRDefault="00ED7296" w:rsidP="00737B9C">
      <w:pPr>
        <w:spacing w:line="360" w:lineRule="auto"/>
        <w:ind w:firstLine="709"/>
        <w:jc w:val="both"/>
        <w:rPr>
          <w:sz w:val="28"/>
          <w:szCs w:val="28"/>
        </w:rPr>
      </w:pPr>
      <w:r>
        <w:rPr>
          <w:noProof/>
        </w:rPr>
        <w:pict>
          <v:shape id="Рисунок 13" o:spid="_x0000_i1026" type="#_x0000_t75" style="width:314pt;height:205.5pt;visibility:visible">
            <v:imagedata r:id="rId10" o:title=""/>
          </v:shape>
        </w:pict>
      </w:r>
    </w:p>
    <w:p w:rsidR="00737B9C" w:rsidRDefault="00737B9C" w:rsidP="00737B9C">
      <w:pPr>
        <w:spacing w:line="360" w:lineRule="auto"/>
        <w:ind w:firstLine="709"/>
        <w:jc w:val="both"/>
        <w:rPr>
          <w:sz w:val="28"/>
          <w:szCs w:val="28"/>
          <w:lang w:val="uk-UA"/>
        </w:rPr>
      </w:pPr>
      <w:r>
        <w:rPr>
          <w:sz w:val="28"/>
          <w:szCs w:val="28"/>
          <w:lang w:val="uk-UA"/>
        </w:rPr>
        <w:t xml:space="preserve">Рис. 3.2.1. Рівень </w:t>
      </w:r>
      <w:r>
        <w:rPr>
          <w:sz w:val="28"/>
          <w:szCs w:val="28"/>
          <w:lang w:val="en-US"/>
        </w:rPr>
        <w:t>NO</w:t>
      </w:r>
      <w:r>
        <w:rPr>
          <w:sz w:val="28"/>
          <w:szCs w:val="28"/>
          <w:lang w:val="uk-UA"/>
        </w:rPr>
        <w:t xml:space="preserve"> в плазмі крові хворих двох груп (мкмоль/л)</w:t>
      </w:r>
    </w:p>
    <w:p w:rsidR="00737B9C" w:rsidRDefault="00737B9C" w:rsidP="00737B9C">
      <w:pPr>
        <w:spacing w:line="360" w:lineRule="auto"/>
        <w:ind w:firstLine="709"/>
        <w:jc w:val="both"/>
        <w:rPr>
          <w:sz w:val="28"/>
          <w:szCs w:val="28"/>
          <w:lang w:val="uk-UA"/>
        </w:rPr>
      </w:pPr>
      <w:r>
        <w:rPr>
          <w:sz w:val="28"/>
          <w:szCs w:val="28"/>
          <w:lang w:val="uk-UA"/>
        </w:rPr>
        <w:t xml:space="preserve">Порівнюючи показники МДА в плазмі крові хворих виявились достовірне (р &lt; 0,001) підвищення рівнів МДА в обох групах відповідно контролю (рис. 3.2.2). </w:t>
      </w:r>
      <w:r w:rsidR="007C5007">
        <w:rPr>
          <w:sz w:val="28"/>
          <w:szCs w:val="28"/>
          <w:lang w:val="uk-UA"/>
        </w:rPr>
        <w:lastRenderedPageBreak/>
        <w:t>Вміст МДА в 1</w:t>
      </w:r>
      <w:r>
        <w:rPr>
          <w:sz w:val="28"/>
          <w:szCs w:val="28"/>
          <w:lang w:val="uk-UA"/>
        </w:rPr>
        <w:t xml:space="preserve"> групі пацієнтів склав 12,99 (11,97;</w:t>
      </w:r>
      <w:r w:rsidR="007C5007">
        <w:rPr>
          <w:sz w:val="28"/>
          <w:szCs w:val="28"/>
          <w:lang w:val="uk-UA"/>
        </w:rPr>
        <w:t xml:space="preserve"> </w:t>
      </w:r>
      <w:r>
        <w:rPr>
          <w:sz w:val="28"/>
          <w:szCs w:val="28"/>
          <w:lang w:val="uk-UA"/>
        </w:rPr>
        <w:t xml:space="preserve">14,12) мкмоль/л і був вірогідно (р &lt; 0,001) вище, ніж </w:t>
      </w:r>
      <w:r w:rsidR="007C5007">
        <w:rPr>
          <w:sz w:val="28"/>
          <w:szCs w:val="28"/>
          <w:lang w:val="uk-UA"/>
        </w:rPr>
        <w:t>у хворих 2</w:t>
      </w:r>
      <w:r>
        <w:rPr>
          <w:sz w:val="28"/>
          <w:szCs w:val="28"/>
          <w:lang w:val="uk-UA"/>
        </w:rPr>
        <w:t xml:space="preserve"> групи –  9,13 (7,99;</w:t>
      </w:r>
      <w:r w:rsidR="007C5007">
        <w:rPr>
          <w:sz w:val="28"/>
          <w:szCs w:val="28"/>
          <w:lang w:val="uk-UA"/>
        </w:rPr>
        <w:t xml:space="preserve"> </w:t>
      </w:r>
      <w:r>
        <w:rPr>
          <w:sz w:val="28"/>
          <w:szCs w:val="28"/>
          <w:lang w:val="uk-UA"/>
        </w:rPr>
        <w:t>10,36) мкмоль/л.</w:t>
      </w:r>
    </w:p>
    <w:p w:rsidR="00737B9C" w:rsidRDefault="00ED7296" w:rsidP="00737B9C">
      <w:pPr>
        <w:spacing w:line="360" w:lineRule="auto"/>
        <w:ind w:firstLine="709"/>
        <w:jc w:val="both"/>
        <w:rPr>
          <w:sz w:val="28"/>
          <w:szCs w:val="28"/>
          <w:lang w:val="uk-UA"/>
        </w:rPr>
      </w:pPr>
      <w:r>
        <w:rPr>
          <w:noProof/>
        </w:rPr>
        <w:pict>
          <v:shape id="Рисунок 12" o:spid="_x0000_i1027" type="#_x0000_t75" style="width:314pt;height:205.5pt;visibility:visible">
            <v:imagedata r:id="rId11" o:title=""/>
          </v:shape>
        </w:pict>
      </w:r>
    </w:p>
    <w:p w:rsidR="00737B9C" w:rsidRDefault="00737B9C" w:rsidP="00737B9C">
      <w:pPr>
        <w:spacing w:line="360" w:lineRule="auto"/>
        <w:ind w:firstLine="709"/>
        <w:jc w:val="both"/>
        <w:rPr>
          <w:sz w:val="28"/>
          <w:szCs w:val="28"/>
          <w:lang w:val="uk-UA"/>
        </w:rPr>
      </w:pPr>
      <w:r>
        <w:rPr>
          <w:sz w:val="28"/>
          <w:szCs w:val="28"/>
          <w:lang w:val="uk-UA"/>
        </w:rPr>
        <w:t xml:space="preserve">Рис. 3.2.2. Рівень </w:t>
      </w:r>
      <w:r>
        <w:rPr>
          <w:sz w:val="28"/>
          <w:szCs w:val="28"/>
        </w:rPr>
        <w:t>МДА</w:t>
      </w:r>
      <w:r>
        <w:rPr>
          <w:sz w:val="28"/>
          <w:szCs w:val="28"/>
          <w:lang w:val="uk-UA"/>
        </w:rPr>
        <w:t xml:space="preserve"> в плазмі крові хворих двох груп (мкмоль/л)</w:t>
      </w:r>
    </w:p>
    <w:p w:rsidR="00737B9C" w:rsidRDefault="00737B9C" w:rsidP="00737B9C">
      <w:pPr>
        <w:spacing w:line="360" w:lineRule="auto"/>
        <w:ind w:firstLine="709"/>
        <w:jc w:val="both"/>
        <w:rPr>
          <w:sz w:val="28"/>
          <w:szCs w:val="28"/>
          <w:lang w:val="uk-UA"/>
        </w:rPr>
      </w:pPr>
      <w:r>
        <w:rPr>
          <w:sz w:val="28"/>
          <w:szCs w:val="28"/>
          <w:lang w:val="uk-UA"/>
        </w:rPr>
        <w:t xml:space="preserve">При аналізі рівнів </w:t>
      </w:r>
      <w:r>
        <w:rPr>
          <w:sz w:val="28"/>
          <w:szCs w:val="28"/>
          <w:lang w:val="en-US"/>
        </w:rPr>
        <w:t>NO</w:t>
      </w:r>
      <w:r>
        <w:rPr>
          <w:sz w:val="28"/>
          <w:szCs w:val="28"/>
          <w:lang w:val="uk-UA"/>
        </w:rPr>
        <w:t xml:space="preserve"> та МДА в залежності від статі  в жодній групі відмінностей виявлено не було.</w:t>
      </w:r>
    </w:p>
    <w:p w:rsidR="00737B9C" w:rsidRDefault="00737B9C" w:rsidP="00737B9C">
      <w:pPr>
        <w:spacing w:line="360" w:lineRule="auto"/>
        <w:ind w:firstLine="709"/>
        <w:jc w:val="both"/>
        <w:rPr>
          <w:sz w:val="28"/>
          <w:szCs w:val="28"/>
          <w:lang w:val="uk-UA"/>
        </w:rPr>
      </w:pPr>
      <w:r>
        <w:rPr>
          <w:sz w:val="28"/>
          <w:szCs w:val="28"/>
          <w:lang w:val="uk-UA"/>
        </w:rPr>
        <w:t xml:space="preserve">Рівень </w:t>
      </w:r>
      <w:r>
        <w:rPr>
          <w:sz w:val="28"/>
          <w:szCs w:val="28"/>
          <w:lang w:val="en-US"/>
        </w:rPr>
        <w:t>NO</w:t>
      </w:r>
      <w:r>
        <w:rPr>
          <w:sz w:val="28"/>
          <w:szCs w:val="28"/>
          <w:lang w:val="uk-UA"/>
        </w:rPr>
        <w:t xml:space="preserve"> у чоловіків та у жінок 1 групи практично не відрізнявся (р</w:t>
      </w:r>
      <w:r w:rsidR="007C5007">
        <w:rPr>
          <w:sz w:val="28"/>
          <w:szCs w:val="28"/>
          <w:lang w:val="uk-UA"/>
        </w:rPr>
        <w:t xml:space="preserve"> </w:t>
      </w:r>
      <w:r>
        <w:rPr>
          <w:sz w:val="28"/>
          <w:szCs w:val="28"/>
          <w:lang w:val="uk-UA"/>
        </w:rPr>
        <w:t>&gt;</w:t>
      </w:r>
      <w:r w:rsidR="007C5007">
        <w:rPr>
          <w:sz w:val="28"/>
          <w:szCs w:val="28"/>
          <w:lang w:val="uk-UA"/>
        </w:rPr>
        <w:t xml:space="preserve"> </w:t>
      </w:r>
      <w:r>
        <w:rPr>
          <w:sz w:val="28"/>
          <w:szCs w:val="28"/>
          <w:lang w:val="uk-UA"/>
        </w:rPr>
        <w:t xml:space="preserve">0,05): у чоловіків – </w:t>
      </w:r>
      <w:r w:rsidR="007C5007">
        <w:rPr>
          <w:sz w:val="28"/>
          <w:szCs w:val="28"/>
          <w:lang w:val="uk-UA"/>
        </w:rPr>
        <w:t>166,91 (154,48; 184,86)</w:t>
      </w:r>
      <w:r>
        <w:rPr>
          <w:sz w:val="28"/>
          <w:szCs w:val="28"/>
          <w:lang w:val="uk-UA"/>
        </w:rPr>
        <w:t xml:space="preserve"> мкмоль/л, у жінок – </w:t>
      </w:r>
      <w:r w:rsidR="007C5007">
        <w:rPr>
          <w:sz w:val="28"/>
          <w:szCs w:val="28"/>
          <w:lang w:val="uk-UA"/>
        </w:rPr>
        <w:t>166,91 (159,74; 175,24)</w:t>
      </w:r>
      <w:r>
        <w:rPr>
          <w:sz w:val="28"/>
          <w:szCs w:val="28"/>
          <w:lang w:val="uk-UA"/>
        </w:rPr>
        <w:t xml:space="preserve"> мкмоль/л. В 2 групі вміст </w:t>
      </w:r>
      <w:r>
        <w:rPr>
          <w:sz w:val="28"/>
          <w:szCs w:val="28"/>
          <w:lang w:val="en-US"/>
        </w:rPr>
        <w:t>NO</w:t>
      </w:r>
      <w:r>
        <w:rPr>
          <w:sz w:val="28"/>
          <w:szCs w:val="28"/>
          <w:lang w:val="uk-UA"/>
        </w:rPr>
        <w:t xml:space="preserve"> складав  </w:t>
      </w:r>
      <w:r w:rsidR="007C5007">
        <w:rPr>
          <w:sz w:val="28"/>
          <w:szCs w:val="28"/>
          <w:lang w:val="uk-UA"/>
        </w:rPr>
        <w:t xml:space="preserve">140,42 (129,6; 148,8) </w:t>
      </w:r>
      <w:r>
        <w:rPr>
          <w:sz w:val="28"/>
          <w:szCs w:val="28"/>
          <w:lang w:val="uk-UA"/>
        </w:rPr>
        <w:t xml:space="preserve">мкмоль/л у чоловіків і  </w:t>
      </w:r>
      <w:r w:rsidR="007C5007">
        <w:rPr>
          <w:sz w:val="28"/>
          <w:szCs w:val="28"/>
          <w:lang w:val="uk-UA"/>
        </w:rPr>
        <w:t xml:space="preserve">139,79 (129,71; 145,96) </w:t>
      </w:r>
      <w:r>
        <w:rPr>
          <w:sz w:val="28"/>
          <w:szCs w:val="28"/>
          <w:lang w:val="uk-UA"/>
        </w:rPr>
        <w:t>мкмоль/л (р</w:t>
      </w:r>
      <w:r w:rsidR="007C5007">
        <w:rPr>
          <w:sz w:val="28"/>
          <w:szCs w:val="28"/>
          <w:lang w:val="uk-UA"/>
        </w:rPr>
        <w:t xml:space="preserve"> </w:t>
      </w:r>
      <w:r>
        <w:rPr>
          <w:sz w:val="28"/>
          <w:szCs w:val="28"/>
          <w:lang w:val="uk-UA"/>
        </w:rPr>
        <w:t>&gt;</w:t>
      </w:r>
      <w:r w:rsidR="007C5007">
        <w:rPr>
          <w:sz w:val="28"/>
          <w:szCs w:val="28"/>
          <w:lang w:val="uk-UA"/>
        </w:rPr>
        <w:t xml:space="preserve"> </w:t>
      </w:r>
      <w:r>
        <w:rPr>
          <w:sz w:val="28"/>
          <w:szCs w:val="28"/>
          <w:lang w:val="uk-UA"/>
        </w:rPr>
        <w:t xml:space="preserve">0,05) у жінок. </w:t>
      </w:r>
    </w:p>
    <w:p w:rsidR="00737B9C" w:rsidRDefault="00737B9C" w:rsidP="00737B9C">
      <w:pPr>
        <w:spacing w:line="360" w:lineRule="auto"/>
        <w:ind w:firstLine="709"/>
        <w:jc w:val="both"/>
        <w:rPr>
          <w:sz w:val="28"/>
          <w:szCs w:val="28"/>
          <w:lang w:val="uk-UA"/>
        </w:rPr>
      </w:pPr>
      <w:r>
        <w:rPr>
          <w:sz w:val="28"/>
          <w:szCs w:val="28"/>
          <w:lang w:val="uk-UA"/>
        </w:rPr>
        <w:t xml:space="preserve">Так само не відрізнялись показники МДА плазми крові в залежності від статі: в 1 групі пацієнтів у чоловіків середня концентрація дорівнювалась </w:t>
      </w:r>
      <w:r w:rsidR="007C5007">
        <w:rPr>
          <w:sz w:val="28"/>
          <w:szCs w:val="28"/>
          <w:lang w:val="uk-UA"/>
        </w:rPr>
        <w:t xml:space="preserve">13,02 (11,23; 14,98) </w:t>
      </w:r>
      <w:r>
        <w:rPr>
          <w:sz w:val="28"/>
          <w:szCs w:val="28"/>
          <w:lang w:val="uk-UA"/>
        </w:rPr>
        <w:t>мкмоль/л, у жінок –</w:t>
      </w:r>
      <w:r w:rsidR="007C5007">
        <w:rPr>
          <w:sz w:val="28"/>
          <w:szCs w:val="28"/>
          <w:lang w:val="uk-UA"/>
        </w:rPr>
        <w:t xml:space="preserve"> 12,99 (12,06; 14,06) </w:t>
      </w:r>
      <w:r>
        <w:rPr>
          <w:sz w:val="28"/>
          <w:szCs w:val="28"/>
          <w:lang w:val="uk-UA"/>
        </w:rPr>
        <w:t>мкмоль/л (р</w:t>
      </w:r>
      <w:r w:rsidR="007C5007">
        <w:rPr>
          <w:sz w:val="28"/>
          <w:szCs w:val="28"/>
          <w:lang w:val="uk-UA"/>
        </w:rPr>
        <w:t xml:space="preserve"> </w:t>
      </w:r>
      <w:r>
        <w:rPr>
          <w:sz w:val="28"/>
          <w:szCs w:val="28"/>
          <w:lang w:val="uk-UA"/>
        </w:rPr>
        <w:t>&gt;</w:t>
      </w:r>
      <w:r w:rsidR="007C5007">
        <w:rPr>
          <w:sz w:val="28"/>
          <w:szCs w:val="28"/>
          <w:lang w:val="uk-UA"/>
        </w:rPr>
        <w:t xml:space="preserve"> </w:t>
      </w:r>
      <w:r>
        <w:rPr>
          <w:sz w:val="28"/>
          <w:szCs w:val="28"/>
          <w:lang w:val="uk-UA"/>
        </w:rPr>
        <w:t>0,05). В 2 групі хворих –</w:t>
      </w:r>
      <w:r w:rsidR="007C5007">
        <w:rPr>
          <w:sz w:val="28"/>
          <w:szCs w:val="28"/>
          <w:lang w:val="uk-UA"/>
        </w:rPr>
        <w:t xml:space="preserve"> 9,13 (7,45; 10,49) </w:t>
      </w:r>
      <w:r>
        <w:rPr>
          <w:sz w:val="28"/>
          <w:szCs w:val="28"/>
          <w:lang w:val="uk-UA"/>
        </w:rPr>
        <w:t xml:space="preserve">та </w:t>
      </w:r>
      <w:r w:rsidR="007C5007">
        <w:rPr>
          <w:sz w:val="28"/>
          <w:szCs w:val="28"/>
          <w:lang w:val="uk-UA"/>
        </w:rPr>
        <w:t>9,2 (8,46; 10,04)</w:t>
      </w:r>
      <w:r>
        <w:rPr>
          <w:sz w:val="28"/>
          <w:szCs w:val="28"/>
          <w:lang w:val="uk-UA"/>
        </w:rPr>
        <w:t xml:space="preserve"> пг/мл (р</w:t>
      </w:r>
      <w:r w:rsidR="007C5007">
        <w:rPr>
          <w:sz w:val="28"/>
          <w:szCs w:val="28"/>
          <w:lang w:val="uk-UA"/>
        </w:rPr>
        <w:t xml:space="preserve"> </w:t>
      </w:r>
      <w:r>
        <w:rPr>
          <w:sz w:val="28"/>
          <w:szCs w:val="28"/>
          <w:lang w:val="uk-UA"/>
        </w:rPr>
        <w:t>&gt;</w:t>
      </w:r>
      <w:r w:rsidR="007C5007">
        <w:rPr>
          <w:sz w:val="28"/>
          <w:szCs w:val="28"/>
          <w:lang w:val="uk-UA"/>
        </w:rPr>
        <w:t xml:space="preserve"> </w:t>
      </w:r>
      <w:r>
        <w:rPr>
          <w:sz w:val="28"/>
          <w:szCs w:val="28"/>
          <w:lang w:val="uk-UA"/>
        </w:rPr>
        <w:t>0,05) у чоловіків та жінок відповідно.</w:t>
      </w:r>
    </w:p>
    <w:p w:rsidR="00737B9C" w:rsidRDefault="00737B9C" w:rsidP="00737B9C">
      <w:pPr>
        <w:spacing w:line="360" w:lineRule="auto"/>
        <w:ind w:firstLine="709"/>
        <w:jc w:val="both"/>
        <w:rPr>
          <w:sz w:val="28"/>
          <w:szCs w:val="28"/>
          <w:lang w:val="uk-UA"/>
        </w:rPr>
      </w:pPr>
      <w:r>
        <w:rPr>
          <w:sz w:val="28"/>
          <w:szCs w:val="28"/>
          <w:lang w:val="uk-UA"/>
        </w:rPr>
        <w:t xml:space="preserve">Порівнюючи показники </w:t>
      </w:r>
      <w:r>
        <w:rPr>
          <w:sz w:val="28"/>
          <w:szCs w:val="28"/>
          <w:lang w:val="en-US"/>
        </w:rPr>
        <w:t>NO</w:t>
      </w:r>
      <w:r>
        <w:rPr>
          <w:sz w:val="28"/>
          <w:szCs w:val="28"/>
          <w:lang w:val="uk-UA"/>
        </w:rPr>
        <w:t xml:space="preserve"> в різних вікових групах нами не було виявлено статистично достовірних відмінностей ні в одній групі (табл. 3.2.1.).</w:t>
      </w:r>
    </w:p>
    <w:p w:rsidR="007C5007" w:rsidRDefault="007C5007" w:rsidP="00737B9C">
      <w:pPr>
        <w:spacing w:line="360" w:lineRule="auto"/>
        <w:ind w:firstLine="709"/>
        <w:jc w:val="right"/>
        <w:rPr>
          <w:sz w:val="28"/>
          <w:szCs w:val="28"/>
          <w:lang w:val="uk-UA"/>
        </w:rPr>
      </w:pPr>
    </w:p>
    <w:p w:rsidR="007C5007" w:rsidRDefault="007C5007" w:rsidP="00737B9C">
      <w:pPr>
        <w:spacing w:line="360" w:lineRule="auto"/>
        <w:ind w:firstLine="709"/>
        <w:jc w:val="right"/>
        <w:rPr>
          <w:sz w:val="28"/>
          <w:szCs w:val="28"/>
          <w:lang w:val="uk-UA"/>
        </w:rPr>
      </w:pPr>
    </w:p>
    <w:p w:rsidR="007C5007" w:rsidRDefault="007C5007" w:rsidP="00737B9C">
      <w:pPr>
        <w:spacing w:line="360" w:lineRule="auto"/>
        <w:ind w:firstLine="709"/>
        <w:jc w:val="right"/>
        <w:rPr>
          <w:sz w:val="28"/>
          <w:szCs w:val="28"/>
          <w:lang w:val="uk-UA"/>
        </w:rPr>
      </w:pPr>
    </w:p>
    <w:p w:rsidR="007C5007" w:rsidRDefault="007C5007" w:rsidP="00737B9C">
      <w:pPr>
        <w:spacing w:line="360" w:lineRule="auto"/>
        <w:ind w:firstLine="709"/>
        <w:jc w:val="right"/>
        <w:rPr>
          <w:sz w:val="28"/>
          <w:szCs w:val="28"/>
          <w:lang w:val="uk-UA"/>
        </w:rPr>
      </w:pPr>
    </w:p>
    <w:p w:rsidR="007C5007" w:rsidRDefault="007C5007" w:rsidP="00737B9C">
      <w:pPr>
        <w:spacing w:line="360" w:lineRule="auto"/>
        <w:ind w:firstLine="709"/>
        <w:jc w:val="right"/>
        <w:rPr>
          <w:sz w:val="28"/>
          <w:szCs w:val="28"/>
          <w:lang w:val="uk-UA"/>
        </w:rPr>
      </w:pPr>
    </w:p>
    <w:p w:rsidR="00737B9C" w:rsidRDefault="00737B9C" w:rsidP="00737B9C">
      <w:pPr>
        <w:spacing w:line="360" w:lineRule="auto"/>
        <w:ind w:firstLine="709"/>
        <w:jc w:val="right"/>
        <w:rPr>
          <w:sz w:val="28"/>
          <w:szCs w:val="28"/>
          <w:lang w:val="uk-UA"/>
        </w:rPr>
      </w:pPr>
      <w:r>
        <w:rPr>
          <w:sz w:val="28"/>
          <w:szCs w:val="28"/>
          <w:lang w:val="uk-UA"/>
        </w:rPr>
        <w:lastRenderedPageBreak/>
        <w:t>Таблиця 3.2.1.</w:t>
      </w:r>
    </w:p>
    <w:p w:rsidR="00737B9C" w:rsidRDefault="00737B9C" w:rsidP="007C5007">
      <w:pPr>
        <w:spacing w:line="360" w:lineRule="auto"/>
        <w:jc w:val="center"/>
        <w:rPr>
          <w:sz w:val="28"/>
          <w:szCs w:val="28"/>
          <w:lang w:val="uk-UA"/>
        </w:rPr>
      </w:pPr>
      <w:r>
        <w:rPr>
          <w:sz w:val="28"/>
          <w:szCs w:val="28"/>
          <w:lang w:val="uk-UA"/>
        </w:rPr>
        <w:t xml:space="preserve">Вміст </w:t>
      </w:r>
      <w:r>
        <w:rPr>
          <w:sz w:val="28"/>
          <w:szCs w:val="28"/>
          <w:lang w:val="en-US"/>
        </w:rPr>
        <w:t>NO</w:t>
      </w:r>
      <w:r>
        <w:rPr>
          <w:sz w:val="28"/>
          <w:szCs w:val="28"/>
          <w:lang w:val="uk-UA"/>
        </w:rPr>
        <w:t xml:space="preserve"> в плазмі крові хворих в залежності від віку, мкмоль/л</w:t>
      </w:r>
    </w:p>
    <w:p w:rsidR="00737B9C" w:rsidRDefault="00737B9C" w:rsidP="007C5007">
      <w:pPr>
        <w:spacing w:line="360" w:lineRule="auto"/>
        <w:ind w:firstLine="709"/>
        <w:jc w:val="center"/>
        <w:rPr>
          <w:sz w:val="28"/>
          <w:szCs w:val="28"/>
          <w:lang w:val="uk-UA"/>
        </w:rPr>
      </w:pPr>
      <w:r>
        <w:rPr>
          <w:sz w:val="28"/>
          <w:szCs w:val="28"/>
          <w:lang w:val="uk-UA"/>
        </w:rPr>
        <w:t>(</w:t>
      </w:r>
      <w:r>
        <w:rPr>
          <w:sz w:val="28"/>
          <w:szCs w:val="28"/>
        </w:rPr>
        <w:t>Ме (25%;</w:t>
      </w:r>
      <w:r w:rsidR="007C5007">
        <w:rPr>
          <w:sz w:val="28"/>
          <w:szCs w:val="28"/>
          <w:lang w:val="uk-UA"/>
        </w:rPr>
        <w:t xml:space="preserve"> </w:t>
      </w:r>
      <w:r>
        <w:rPr>
          <w:sz w:val="28"/>
          <w:szCs w:val="28"/>
        </w:rPr>
        <w:t>75%)</w:t>
      </w:r>
      <w:r>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737B9C" w:rsidTr="00737B9C">
        <w:tc>
          <w:tcPr>
            <w:tcW w:w="3190" w:type="dxa"/>
            <w:vAlign w:val="center"/>
          </w:tcPr>
          <w:p w:rsidR="00737B9C" w:rsidRDefault="00737B9C" w:rsidP="00737B9C">
            <w:pPr>
              <w:spacing w:line="360" w:lineRule="auto"/>
              <w:jc w:val="center"/>
              <w:rPr>
                <w:sz w:val="28"/>
                <w:szCs w:val="28"/>
                <w:lang w:val="uk-UA"/>
              </w:rPr>
            </w:pPr>
            <w:r>
              <w:rPr>
                <w:sz w:val="28"/>
                <w:szCs w:val="28"/>
                <w:lang w:val="uk-UA"/>
              </w:rPr>
              <w:t>Вік хворих</w:t>
            </w:r>
          </w:p>
        </w:tc>
        <w:tc>
          <w:tcPr>
            <w:tcW w:w="3190" w:type="dxa"/>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r w:rsidR="00737B9C">
              <w:rPr>
                <w:sz w:val="28"/>
                <w:szCs w:val="28"/>
              </w:rPr>
              <w:t>n</w:t>
            </w:r>
            <w:r w:rsidR="007C5007">
              <w:rPr>
                <w:sz w:val="28"/>
                <w:szCs w:val="28"/>
                <w:lang w:val="uk-UA"/>
              </w:rPr>
              <w:t xml:space="preserve"> </w:t>
            </w:r>
            <w:r w:rsidR="00737B9C">
              <w:rPr>
                <w:sz w:val="28"/>
                <w:szCs w:val="28"/>
              </w:rPr>
              <w:t>=</w:t>
            </w:r>
            <w:r w:rsidR="007C5007">
              <w:rPr>
                <w:sz w:val="28"/>
                <w:szCs w:val="28"/>
                <w:lang w:val="uk-UA"/>
              </w:rPr>
              <w:t xml:space="preserve"> </w:t>
            </w:r>
            <w:r w:rsidR="00737B9C">
              <w:rPr>
                <w:sz w:val="28"/>
                <w:szCs w:val="28"/>
              </w:rPr>
              <w:t>65</w:t>
            </w:r>
          </w:p>
        </w:tc>
        <w:tc>
          <w:tcPr>
            <w:tcW w:w="3191" w:type="dxa"/>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 </w:t>
            </w:r>
            <w:r w:rsidR="00737B9C">
              <w:rPr>
                <w:sz w:val="28"/>
                <w:szCs w:val="28"/>
              </w:rPr>
              <w:t>n</w:t>
            </w:r>
            <w:r w:rsidR="007C5007">
              <w:rPr>
                <w:sz w:val="28"/>
                <w:szCs w:val="28"/>
                <w:lang w:val="uk-UA"/>
              </w:rPr>
              <w:t xml:space="preserve"> </w:t>
            </w:r>
            <w:r w:rsidR="00737B9C">
              <w:rPr>
                <w:sz w:val="28"/>
                <w:szCs w:val="28"/>
              </w:rPr>
              <w:t>=</w:t>
            </w:r>
            <w:r w:rsidR="007C5007">
              <w:rPr>
                <w:sz w:val="28"/>
                <w:szCs w:val="28"/>
                <w:lang w:val="uk-UA"/>
              </w:rPr>
              <w:t xml:space="preserve"> </w:t>
            </w:r>
            <w:r w:rsidR="00737B9C">
              <w:rPr>
                <w:sz w:val="28"/>
                <w:szCs w:val="28"/>
              </w:rPr>
              <w:t>40</w:t>
            </w:r>
          </w:p>
        </w:tc>
      </w:tr>
      <w:tr w:rsidR="007C5007" w:rsidTr="00737B9C">
        <w:tc>
          <w:tcPr>
            <w:tcW w:w="3190" w:type="dxa"/>
            <w:vAlign w:val="center"/>
          </w:tcPr>
          <w:p w:rsidR="007C5007" w:rsidRDefault="007C5007" w:rsidP="00737B9C">
            <w:pPr>
              <w:spacing w:line="360" w:lineRule="auto"/>
              <w:jc w:val="center"/>
              <w:rPr>
                <w:sz w:val="28"/>
                <w:szCs w:val="28"/>
                <w:lang w:val="uk-UA"/>
              </w:rPr>
            </w:pPr>
            <w:r>
              <w:rPr>
                <w:sz w:val="28"/>
                <w:szCs w:val="28"/>
                <w:lang w:val="uk-UA"/>
              </w:rPr>
              <w:t>23</w:t>
            </w:r>
            <w:r w:rsidR="00F2677F">
              <w:rPr>
                <w:sz w:val="28"/>
                <w:szCs w:val="28"/>
                <w:lang w:val="uk-UA"/>
              </w:rPr>
              <w:t>–</w:t>
            </w:r>
            <w:r>
              <w:rPr>
                <w:sz w:val="28"/>
                <w:szCs w:val="28"/>
                <w:lang w:val="uk-UA"/>
              </w:rPr>
              <w:t>29 років</w:t>
            </w:r>
          </w:p>
        </w:tc>
        <w:tc>
          <w:tcPr>
            <w:tcW w:w="3190" w:type="dxa"/>
            <w:vAlign w:val="center"/>
          </w:tcPr>
          <w:p w:rsidR="007C5007" w:rsidRDefault="007C5007" w:rsidP="00434F07">
            <w:pPr>
              <w:spacing w:line="360" w:lineRule="auto"/>
              <w:jc w:val="center"/>
              <w:rPr>
                <w:sz w:val="28"/>
                <w:szCs w:val="28"/>
                <w:lang w:val="uk-UA"/>
              </w:rPr>
            </w:pPr>
            <w:r>
              <w:rPr>
                <w:sz w:val="28"/>
                <w:szCs w:val="28"/>
                <w:lang w:val="uk-UA"/>
              </w:rPr>
              <w:t>169,24 (136,92; 199,82) *</w:t>
            </w:r>
          </w:p>
        </w:tc>
        <w:tc>
          <w:tcPr>
            <w:tcW w:w="3191" w:type="dxa"/>
            <w:vAlign w:val="center"/>
          </w:tcPr>
          <w:p w:rsidR="007C5007" w:rsidRDefault="007C5007" w:rsidP="00434F07">
            <w:pPr>
              <w:spacing w:line="360" w:lineRule="auto"/>
              <w:jc w:val="center"/>
              <w:rPr>
                <w:sz w:val="28"/>
                <w:szCs w:val="28"/>
                <w:lang w:val="uk-UA"/>
              </w:rPr>
            </w:pPr>
            <w:r>
              <w:rPr>
                <w:sz w:val="28"/>
                <w:szCs w:val="28"/>
                <w:lang w:val="uk-UA"/>
              </w:rPr>
              <w:t>140,41 (131,83; 149,64) *</w:t>
            </w:r>
          </w:p>
        </w:tc>
      </w:tr>
      <w:tr w:rsidR="007C5007" w:rsidTr="00737B9C">
        <w:tc>
          <w:tcPr>
            <w:tcW w:w="3190" w:type="dxa"/>
            <w:vAlign w:val="center"/>
          </w:tcPr>
          <w:p w:rsidR="007C5007" w:rsidRDefault="007C5007" w:rsidP="00737B9C">
            <w:pPr>
              <w:spacing w:line="360" w:lineRule="auto"/>
              <w:jc w:val="center"/>
              <w:rPr>
                <w:sz w:val="28"/>
                <w:szCs w:val="28"/>
                <w:lang w:val="uk-UA"/>
              </w:rPr>
            </w:pPr>
            <w:r>
              <w:rPr>
                <w:sz w:val="28"/>
                <w:szCs w:val="28"/>
                <w:lang w:val="uk-UA"/>
              </w:rPr>
              <w:t>30</w:t>
            </w:r>
            <w:r w:rsidR="00F2677F">
              <w:rPr>
                <w:sz w:val="28"/>
                <w:szCs w:val="28"/>
                <w:lang w:val="uk-UA"/>
              </w:rPr>
              <w:t>–</w:t>
            </w:r>
            <w:r>
              <w:rPr>
                <w:sz w:val="28"/>
                <w:szCs w:val="28"/>
                <w:lang w:val="uk-UA"/>
              </w:rPr>
              <w:t>39 років</w:t>
            </w:r>
          </w:p>
        </w:tc>
        <w:tc>
          <w:tcPr>
            <w:tcW w:w="3190" w:type="dxa"/>
            <w:vAlign w:val="center"/>
          </w:tcPr>
          <w:p w:rsidR="007C5007" w:rsidRDefault="007C5007" w:rsidP="00434F07">
            <w:pPr>
              <w:spacing w:line="360" w:lineRule="auto"/>
              <w:jc w:val="center"/>
              <w:rPr>
                <w:sz w:val="28"/>
                <w:szCs w:val="28"/>
                <w:lang w:val="uk-UA"/>
              </w:rPr>
            </w:pPr>
            <w:r>
              <w:rPr>
                <w:sz w:val="28"/>
                <w:szCs w:val="28"/>
                <w:lang w:val="uk-UA"/>
              </w:rPr>
              <w:t>169,40 (161,01; 198,22) *</w:t>
            </w:r>
          </w:p>
        </w:tc>
        <w:tc>
          <w:tcPr>
            <w:tcW w:w="3191" w:type="dxa"/>
            <w:vAlign w:val="center"/>
          </w:tcPr>
          <w:p w:rsidR="007C5007" w:rsidRDefault="007C5007" w:rsidP="00434F07">
            <w:pPr>
              <w:spacing w:line="360" w:lineRule="auto"/>
              <w:jc w:val="center"/>
              <w:rPr>
                <w:sz w:val="28"/>
                <w:szCs w:val="28"/>
                <w:lang w:val="uk-UA"/>
              </w:rPr>
            </w:pPr>
            <w:r>
              <w:rPr>
                <w:sz w:val="28"/>
                <w:szCs w:val="28"/>
                <w:lang w:val="uk-UA"/>
              </w:rPr>
              <w:t>141,17 (123,65; 149,40) *</w:t>
            </w:r>
          </w:p>
        </w:tc>
      </w:tr>
      <w:tr w:rsidR="007C5007" w:rsidTr="00737B9C">
        <w:tc>
          <w:tcPr>
            <w:tcW w:w="3190" w:type="dxa"/>
            <w:vAlign w:val="center"/>
          </w:tcPr>
          <w:p w:rsidR="007C5007" w:rsidRDefault="007C5007" w:rsidP="00737B9C">
            <w:pPr>
              <w:spacing w:line="360" w:lineRule="auto"/>
              <w:jc w:val="center"/>
              <w:rPr>
                <w:sz w:val="28"/>
                <w:szCs w:val="28"/>
                <w:lang w:val="uk-UA"/>
              </w:rPr>
            </w:pPr>
            <w:r>
              <w:rPr>
                <w:sz w:val="28"/>
                <w:szCs w:val="28"/>
                <w:lang w:val="uk-UA"/>
              </w:rPr>
              <w:t>40</w:t>
            </w:r>
            <w:r w:rsidR="00F2677F">
              <w:rPr>
                <w:sz w:val="28"/>
                <w:szCs w:val="28"/>
                <w:lang w:val="uk-UA"/>
              </w:rPr>
              <w:t>–</w:t>
            </w:r>
            <w:r>
              <w:rPr>
                <w:sz w:val="28"/>
                <w:szCs w:val="28"/>
                <w:lang w:val="uk-UA"/>
              </w:rPr>
              <w:t>49 років</w:t>
            </w:r>
          </w:p>
        </w:tc>
        <w:tc>
          <w:tcPr>
            <w:tcW w:w="3190" w:type="dxa"/>
            <w:vAlign w:val="center"/>
          </w:tcPr>
          <w:p w:rsidR="007C5007" w:rsidRDefault="007C5007" w:rsidP="00434F07">
            <w:pPr>
              <w:spacing w:line="360" w:lineRule="auto"/>
              <w:jc w:val="center"/>
              <w:rPr>
                <w:sz w:val="28"/>
                <w:szCs w:val="28"/>
                <w:lang w:val="uk-UA"/>
              </w:rPr>
            </w:pPr>
            <w:r>
              <w:rPr>
                <w:sz w:val="28"/>
                <w:szCs w:val="28"/>
                <w:lang w:val="uk-UA"/>
              </w:rPr>
              <w:t>169,74 (141,97; 197,76) *</w:t>
            </w:r>
          </w:p>
        </w:tc>
        <w:tc>
          <w:tcPr>
            <w:tcW w:w="3191" w:type="dxa"/>
            <w:vAlign w:val="center"/>
          </w:tcPr>
          <w:p w:rsidR="007C5007" w:rsidRDefault="007C5007" w:rsidP="00434F07">
            <w:pPr>
              <w:spacing w:line="360" w:lineRule="auto"/>
              <w:jc w:val="center"/>
              <w:rPr>
                <w:sz w:val="28"/>
                <w:szCs w:val="28"/>
                <w:lang w:val="uk-UA"/>
              </w:rPr>
            </w:pPr>
            <w:r>
              <w:rPr>
                <w:sz w:val="28"/>
                <w:szCs w:val="28"/>
                <w:lang w:val="uk-UA"/>
              </w:rPr>
              <w:t>139,40 (129,54; 170,12) *</w:t>
            </w:r>
          </w:p>
        </w:tc>
      </w:tr>
      <w:tr w:rsidR="007C5007" w:rsidTr="00737B9C">
        <w:tc>
          <w:tcPr>
            <w:tcW w:w="3190" w:type="dxa"/>
            <w:vAlign w:val="center"/>
          </w:tcPr>
          <w:p w:rsidR="007C5007" w:rsidRDefault="007C5007" w:rsidP="00737B9C">
            <w:pPr>
              <w:spacing w:line="360" w:lineRule="auto"/>
              <w:jc w:val="center"/>
              <w:rPr>
                <w:sz w:val="28"/>
                <w:szCs w:val="28"/>
                <w:lang w:val="uk-UA"/>
              </w:rPr>
            </w:pPr>
            <w:r>
              <w:rPr>
                <w:sz w:val="28"/>
                <w:szCs w:val="28"/>
                <w:lang w:val="uk-UA"/>
              </w:rPr>
              <w:t>50</w:t>
            </w:r>
            <w:r w:rsidR="00F2677F">
              <w:rPr>
                <w:sz w:val="28"/>
                <w:szCs w:val="28"/>
                <w:lang w:val="uk-UA"/>
              </w:rPr>
              <w:t>–</w:t>
            </w:r>
            <w:r>
              <w:rPr>
                <w:sz w:val="28"/>
                <w:szCs w:val="28"/>
                <w:lang w:val="uk-UA"/>
              </w:rPr>
              <w:t>59 років</w:t>
            </w:r>
          </w:p>
        </w:tc>
        <w:tc>
          <w:tcPr>
            <w:tcW w:w="3190" w:type="dxa"/>
            <w:vAlign w:val="center"/>
          </w:tcPr>
          <w:p w:rsidR="007C5007" w:rsidRDefault="007C5007" w:rsidP="00434F07">
            <w:pPr>
              <w:spacing w:line="360" w:lineRule="auto"/>
              <w:jc w:val="center"/>
              <w:rPr>
                <w:sz w:val="28"/>
                <w:szCs w:val="28"/>
                <w:lang w:val="uk-UA"/>
              </w:rPr>
            </w:pPr>
            <w:r>
              <w:rPr>
                <w:sz w:val="28"/>
                <w:szCs w:val="28"/>
                <w:lang w:val="uk-UA"/>
              </w:rPr>
              <w:t>166,77 (163,81; 173,93) *</w:t>
            </w:r>
          </w:p>
        </w:tc>
        <w:tc>
          <w:tcPr>
            <w:tcW w:w="3191" w:type="dxa"/>
            <w:vAlign w:val="center"/>
          </w:tcPr>
          <w:p w:rsidR="007C5007" w:rsidRDefault="007C5007" w:rsidP="00434F07">
            <w:pPr>
              <w:spacing w:line="360" w:lineRule="auto"/>
              <w:jc w:val="center"/>
              <w:rPr>
                <w:sz w:val="28"/>
                <w:szCs w:val="28"/>
                <w:lang w:val="uk-UA"/>
              </w:rPr>
            </w:pPr>
            <w:r>
              <w:rPr>
                <w:sz w:val="28"/>
                <w:szCs w:val="28"/>
                <w:lang w:val="uk-UA"/>
              </w:rPr>
              <w:t>140,14 (130,86; 145,89) *</w:t>
            </w:r>
          </w:p>
        </w:tc>
      </w:tr>
      <w:tr w:rsidR="007C5007" w:rsidTr="00737B9C">
        <w:tc>
          <w:tcPr>
            <w:tcW w:w="3190" w:type="dxa"/>
            <w:vAlign w:val="center"/>
          </w:tcPr>
          <w:p w:rsidR="007C5007" w:rsidRDefault="007C5007" w:rsidP="00737B9C">
            <w:pPr>
              <w:spacing w:line="360" w:lineRule="auto"/>
              <w:jc w:val="center"/>
              <w:rPr>
                <w:sz w:val="28"/>
                <w:szCs w:val="28"/>
                <w:lang w:val="uk-UA"/>
              </w:rPr>
            </w:pPr>
            <w:r>
              <w:rPr>
                <w:sz w:val="28"/>
                <w:szCs w:val="28"/>
                <w:lang w:val="uk-UA"/>
              </w:rPr>
              <w:t>60</w:t>
            </w:r>
            <w:r w:rsidR="00F2677F">
              <w:rPr>
                <w:sz w:val="28"/>
                <w:szCs w:val="28"/>
                <w:lang w:val="uk-UA"/>
              </w:rPr>
              <w:t>–</w:t>
            </w:r>
            <w:r>
              <w:rPr>
                <w:sz w:val="28"/>
                <w:szCs w:val="28"/>
                <w:lang w:val="uk-UA"/>
              </w:rPr>
              <w:t>67 років</w:t>
            </w:r>
          </w:p>
        </w:tc>
        <w:tc>
          <w:tcPr>
            <w:tcW w:w="3190" w:type="dxa"/>
            <w:vAlign w:val="center"/>
          </w:tcPr>
          <w:p w:rsidR="007C5007" w:rsidRDefault="007C5007" w:rsidP="00434F07">
            <w:pPr>
              <w:spacing w:line="360" w:lineRule="auto"/>
              <w:jc w:val="center"/>
              <w:rPr>
                <w:sz w:val="28"/>
                <w:szCs w:val="28"/>
                <w:lang w:val="uk-UA"/>
              </w:rPr>
            </w:pPr>
            <w:r>
              <w:rPr>
                <w:sz w:val="28"/>
                <w:szCs w:val="28"/>
                <w:lang w:val="uk-UA"/>
              </w:rPr>
              <w:t>168,56 (157,84; 175,79) *</w:t>
            </w:r>
          </w:p>
        </w:tc>
        <w:tc>
          <w:tcPr>
            <w:tcW w:w="3191" w:type="dxa"/>
            <w:vAlign w:val="center"/>
          </w:tcPr>
          <w:p w:rsidR="007C5007" w:rsidRDefault="007C5007" w:rsidP="00434F07">
            <w:pPr>
              <w:spacing w:line="360" w:lineRule="auto"/>
              <w:jc w:val="center"/>
              <w:rPr>
                <w:sz w:val="28"/>
                <w:szCs w:val="28"/>
                <w:lang w:val="uk-UA"/>
              </w:rPr>
            </w:pPr>
            <w:r>
              <w:rPr>
                <w:sz w:val="28"/>
                <w:szCs w:val="28"/>
                <w:lang w:val="uk-UA"/>
              </w:rPr>
              <w:t>141,58 (132,15; 146,61) *</w:t>
            </w:r>
          </w:p>
        </w:tc>
      </w:tr>
    </w:tbl>
    <w:p w:rsidR="00737B9C" w:rsidRDefault="00737B9C" w:rsidP="00737B9C">
      <w:pPr>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sidR="007C5007">
        <w:rPr>
          <w:sz w:val="28"/>
          <w:szCs w:val="28"/>
          <w:lang w:val="uk-UA"/>
        </w:rPr>
        <w:t xml:space="preserve"> </w:t>
      </w:r>
      <w:r>
        <w:rPr>
          <w:sz w:val="28"/>
          <w:szCs w:val="28"/>
          <w:lang w:val="uk-UA"/>
        </w:rPr>
        <w:t>&gt;</w:t>
      </w:r>
      <w:r w:rsidR="007C5007">
        <w:rPr>
          <w:sz w:val="28"/>
          <w:szCs w:val="28"/>
          <w:lang w:val="uk-UA"/>
        </w:rPr>
        <w:t xml:space="preserve"> </w:t>
      </w:r>
      <w:r>
        <w:rPr>
          <w:sz w:val="28"/>
          <w:szCs w:val="28"/>
          <w:lang w:val="uk-UA"/>
        </w:rPr>
        <w:t>0,05 при порівнянні показників в різних вікових групах</w:t>
      </w:r>
    </w:p>
    <w:p w:rsidR="00737B9C" w:rsidRPr="00943A81" w:rsidRDefault="00737B9C" w:rsidP="007C5007">
      <w:pPr>
        <w:spacing w:line="360" w:lineRule="auto"/>
        <w:ind w:firstLine="709"/>
        <w:jc w:val="both"/>
        <w:rPr>
          <w:sz w:val="28"/>
          <w:szCs w:val="28"/>
        </w:rPr>
      </w:pPr>
      <w:r>
        <w:rPr>
          <w:sz w:val="28"/>
          <w:szCs w:val="28"/>
          <w:lang w:val="uk-UA"/>
        </w:rPr>
        <w:t>За даними наших досліджень рівень МДА не залежав</w:t>
      </w:r>
      <w:r w:rsidR="007C5007">
        <w:rPr>
          <w:sz w:val="28"/>
          <w:szCs w:val="28"/>
          <w:lang w:val="uk-UA"/>
        </w:rPr>
        <w:t xml:space="preserve"> від віку хворих (табл. 3.2.2).</w:t>
      </w:r>
    </w:p>
    <w:p w:rsidR="00737B9C" w:rsidRDefault="00737B9C" w:rsidP="00737B9C">
      <w:pPr>
        <w:spacing w:line="360" w:lineRule="auto"/>
        <w:ind w:firstLine="709"/>
        <w:jc w:val="right"/>
        <w:rPr>
          <w:sz w:val="28"/>
          <w:szCs w:val="28"/>
          <w:lang w:val="uk-UA"/>
        </w:rPr>
      </w:pPr>
      <w:r>
        <w:rPr>
          <w:sz w:val="28"/>
          <w:szCs w:val="28"/>
          <w:lang w:val="uk-UA"/>
        </w:rPr>
        <w:t>Таблиця 3.2.2.</w:t>
      </w:r>
    </w:p>
    <w:p w:rsidR="00737B9C" w:rsidRDefault="00737B9C" w:rsidP="00F2677F">
      <w:pPr>
        <w:spacing w:line="360" w:lineRule="auto"/>
        <w:jc w:val="center"/>
        <w:rPr>
          <w:sz w:val="28"/>
          <w:szCs w:val="28"/>
          <w:lang w:val="uk-UA"/>
        </w:rPr>
      </w:pPr>
      <w:r>
        <w:rPr>
          <w:sz w:val="28"/>
          <w:szCs w:val="28"/>
          <w:lang w:val="uk-UA"/>
        </w:rPr>
        <w:t>Вміст МДА в плазмі крові хворих в залежності від віку, мкмоль/л</w:t>
      </w:r>
    </w:p>
    <w:p w:rsidR="00737B9C" w:rsidRDefault="00737B9C" w:rsidP="00F2677F">
      <w:pPr>
        <w:spacing w:line="360" w:lineRule="auto"/>
        <w:ind w:firstLine="709"/>
        <w:jc w:val="center"/>
        <w:rPr>
          <w:sz w:val="28"/>
          <w:szCs w:val="28"/>
          <w:lang w:val="uk-UA"/>
        </w:rPr>
      </w:pPr>
      <w:r>
        <w:rPr>
          <w:sz w:val="28"/>
          <w:szCs w:val="28"/>
          <w:lang w:val="uk-UA"/>
        </w:rPr>
        <w:t>(Ме (25%;</w:t>
      </w:r>
      <w:r w:rsidR="00F2677F">
        <w:rPr>
          <w:sz w:val="28"/>
          <w:szCs w:val="28"/>
          <w:lang w:val="uk-UA"/>
        </w:rPr>
        <w:t xml:space="preserve"> </w:t>
      </w:r>
      <w:r>
        <w:rPr>
          <w:sz w:val="28"/>
          <w:szCs w:val="28"/>
          <w:lang w:val="uk-UA"/>
        </w:rPr>
        <w:t>75%))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737B9C" w:rsidTr="00737B9C">
        <w:tc>
          <w:tcPr>
            <w:tcW w:w="3190" w:type="dxa"/>
            <w:vAlign w:val="center"/>
          </w:tcPr>
          <w:p w:rsidR="00737B9C" w:rsidRDefault="00737B9C" w:rsidP="00737B9C">
            <w:pPr>
              <w:spacing w:line="360" w:lineRule="auto"/>
              <w:jc w:val="center"/>
              <w:rPr>
                <w:sz w:val="28"/>
                <w:szCs w:val="28"/>
                <w:lang w:val="uk-UA"/>
              </w:rPr>
            </w:pPr>
            <w:r>
              <w:rPr>
                <w:sz w:val="28"/>
                <w:szCs w:val="28"/>
                <w:lang w:val="uk-UA"/>
              </w:rPr>
              <w:t>Вік хворих</w:t>
            </w:r>
          </w:p>
        </w:tc>
        <w:tc>
          <w:tcPr>
            <w:tcW w:w="3190" w:type="dxa"/>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r w:rsidR="00737B9C">
              <w:rPr>
                <w:sz w:val="28"/>
                <w:szCs w:val="28"/>
              </w:rPr>
              <w:t>n</w:t>
            </w:r>
            <w:r>
              <w:rPr>
                <w:sz w:val="28"/>
                <w:szCs w:val="28"/>
                <w:lang w:val="uk-UA"/>
              </w:rPr>
              <w:t xml:space="preserve"> </w:t>
            </w:r>
            <w:r w:rsidR="00737B9C">
              <w:rPr>
                <w:sz w:val="28"/>
                <w:szCs w:val="28"/>
                <w:lang w:val="uk-UA"/>
              </w:rPr>
              <w:t>=</w:t>
            </w:r>
            <w:r>
              <w:rPr>
                <w:sz w:val="28"/>
                <w:szCs w:val="28"/>
                <w:lang w:val="uk-UA"/>
              </w:rPr>
              <w:t xml:space="preserve"> </w:t>
            </w:r>
            <w:r w:rsidR="00737B9C">
              <w:rPr>
                <w:sz w:val="28"/>
                <w:szCs w:val="28"/>
                <w:lang w:val="uk-UA"/>
              </w:rPr>
              <w:t>65</w:t>
            </w:r>
          </w:p>
        </w:tc>
        <w:tc>
          <w:tcPr>
            <w:tcW w:w="3191" w:type="dxa"/>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 </w:t>
            </w:r>
            <w:r w:rsidR="00737B9C">
              <w:rPr>
                <w:sz w:val="28"/>
                <w:szCs w:val="28"/>
              </w:rPr>
              <w:t>n</w:t>
            </w:r>
            <w:r>
              <w:rPr>
                <w:sz w:val="28"/>
                <w:szCs w:val="28"/>
                <w:lang w:val="uk-UA"/>
              </w:rPr>
              <w:t xml:space="preserve"> </w:t>
            </w:r>
            <w:r w:rsidR="00737B9C">
              <w:rPr>
                <w:sz w:val="28"/>
                <w:szCs w:val="28"/>
                <w:lang w:val="uk-UA"/>
              </w:rPr>
              <w:t>=</w:t>
            </w:r>
            <w:r>
              <w:rPr>
                <w:sz w:val="28"/>
                <w:szCs w:val="28"/>
                <w:lang w:val="uk-UA"/>
              </w:rPr>
              <w:t xml:space="preserve"> </w:t>
            </w:r>
            <w:r w:rsidR="00737B9C">
              <w:rPr>
                <w:sz w:val="28"/>
                <w:szCs w:val="28"/>
                <w:lang w:val="uk-UA"/>
              </w:rPr>
              <w:t>40</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lang w:val="uk-UA"/>
              </w:rPr>
              <w:t>23–29 років</w:t>
            </w:r>
          </w:p>
        </w:tc>
        <w:tc>
          <w:tcPr>
            <w:tcW w:w="3190" w:type="dxa"/>
            <w:vAlign w:val="center"/>
          </w:tcPr>
          <w:p w:rsidR="00F2677F" w:rsidRDefault="00F2677F" w:rsidP="00434F07">
            <w:pPr>
              <w:spacing w:line="360" w:lineRule="auto"/>
              <w:jc w:val="center"/>
              <w:rPr>
                <w:sz w:val="28"/>
                <w:szCs w:val="28"/>
                <w:lang w:val="uk-UA"/>
              </w:rPr>
            </w:pPr>
            <w:r>
              <w:rPr>
                <w:sz w:val="28"/>
                <w:szCs w:val="28"/>
                <w:lang w:val="uk-UA"/>
              </w:rPr>
              <w:t>13,30 (10,56; 16,18) *</w:t>
            </w:r>
          </w:p>
        </w:tc>
        <w:tc>
          <w:tcPr>
            <w:tcW w:w="3191" w:type="dxa"/>
            <w:vAlign w:val="center"/>
          </w:tcPr>
          <w:p w:rsidR="00F2677F" w:rsidRDefault="00F2677F" w:rsidP="00434F07">
            <w:pPr>
              <w:spacing w:line="360" w:lineRule="auto"/>
              <w:jc w:val="center"/>
              <w:rPr>
                <w:sz w:val="28"/>
                <w:szCs w:val="28"/>
                <w:lang w:val="uk-UA"/>
              </w:rPr>
            </w:pPr>
            <w:r>
              <w:rPr>
                <w:sz w:val="28"/>
                <w:szCs w:val="28"/>
                <w:lang w:val="uk-UA"/>
              </w:rPr>
              <w:t>9,16 (7,97; 9,54) *</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lang w:val="uk-UA"/>
              </w:rPr>
              <w:t>30–39 років</w:t>
            </w:r>
          </w:p>
        </w:tc>
        <w:tc>
          <w:tcPr>
            <w:tcW w:w="3190" w:type="dxa"/>
            <w:vAlign w:val="center"/>
          </w:tcPr>
          <w:p w:rsidR="00F2677F" w:rsidRDefault="00F2677F" w:rsidP="00434F07">
            <w:pPr>
              <w:spacing w:line="360" w:lineRule="auto"/>
              <w:jc w:val="center"/>
              <w:rPr>
                <w:sz w:val="28"/>
                <w:szCs w:val="28"/>
                <w:lang w:val="uk-UA"/>
              </w:rPr>
            </w:pPr>
            <w:r>
              <w:rPr>
                <w:sz w:val="28"/>
                <w:szCs w:val="28"/>
                <w:lang w:val="uk-UA"/>
              </w:rPr>
              <w:t>13,36 (12,36; 16,01) *</w:t>
            </w:r>
          </w:p>
        </w:tc>
        <w:tc>
          <w:tcPr>
            <w:tcW w:w="3191" w:type="dxa"/>
            <w:vAlign w:val="center"/>
          </w:tcPr>
          <w:p w:rsidR="00F2677F" w:rsidRDefault="00F2677F" w:rsidP="00434F07">
            <w:pPr>
              <w:spacing w:line="360" w:lineRule="auto"/>
              <w:jc w:val="center"/>
              <w:rPr>
                <w:sz w:val="28"/>
                <w:szCs w:val="28"/>
                <w:lang w:val="uk-UA"/>
              </w:rPr>
            </w:pPr>
            <w:r>
              <w:rPr>
                <w:sz w:val="28"/>
                <w:szCs w:val="28"/>
                <w:lang w:val="uk-UA"/>
              </w:rPr>
              <w:t>8,42 (7,56; 11,30) *</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lang w:val="uk-UA"/>
              </w:rPr>
              <w:t>40–49 років</w:t>
            </w:r>
          </w:p>
        </w:tc>
        <w:tc>
          <w:tcPr>
            <w:tcW w:w="3190" w:type="dxa"/>
            <w:vAlign w:val="center"/>
          </w:tcPr>
          <w:p w:rsidR="00F2677F" w:rsidRDefault="00F2677F" w:rsidP="00434F07">
            <w:pPr>
              <w:spacing w:line="360" w:lineRule="auto"/>
              <w:jc w:val="center"/>
              <w:rPr>
                <w:sz w:val="28"/>
                <w:szCs w:val="28"/>
                <w:lang w:val="uk-UA"/>
              </w:rPr>
            </w:pPr>
            <w:r>
              <w:rPr>
                <w:sz w:val="28"/>
                <w:szCs w:val="28"/>
                <w:lang w:val="uk-UA"/>
              </w:rPr>
              <w:t>12,67 (11,81; 14,09) *</w:t>
            </w:r>
          </w:p>
        </w:tc>
        <w:tc>
          <w:tcPr>
            <w:tcW w:w="3191" w:type="dxa"/>
            <w:vAlign w:val="center"/>
          </w:tcPr>
          <w:p w:rsidR="00F2677F" w:rsidRDefault="00F2677F" w:rsidP="00434F07">
            <w:pPr>
              <w:spacing w:line="360" w:lineRule="auto"/>
              <w:jc w:val="center"/>
              <w:rPr>
                <w:sz w:val="28"/>
                <w:szCs w:val="28"/>
                <w:lang w:val="uk-UA"/>
              </w:rPr>
            </w:pPr>
            <w:r>
              <w:rPr>
                <w:sz w:val="28"/>
                <w:szCs w:val="28"/>
                <w:lang w:val="uk-UA"/>
              </w:rPr>
              <w:t>9,00 (7,61; 10,36) *</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lang w:val="uk-UA"/>
              </w:rPr>
              <w:t>50–59 років</w:t>
            </w:r>
          </w:p>
        </w:tc>
        <w:tc>
          <w:tcPr>
            <w:tcW w:w="3190" w:type="dxa"/>
            <w:vAlign w:val="center"/>
          </w:tcPr>
          <w:p w:rsidR="00F2677F" w:rsidRDefault="00F2677F" w:rsidP="00434F07">
            <w:pPr>
              <w:spacing w:line="360" w:lineRule="auto"/>
              <w:jc w:val="center"/>
              <w:rPr>
                <w:sz w:val="28"/>
                <w:szCs w:val="28"/>
                <w:lang w:val="uk-UA"/>
              </w:rPr>
            </w:pPr>
            <w:r>
              <w:rPr>
                <w:sz w:val="28"/>
                <w:szCs w:val="28"/>
                <w:lang w:val="uk-UA"/>
              </w:rPr>
              <w:t>13,22 (12,30; 14,06) *</w:t>
            </w:r>
          </w:p>
        </w:tc>
        <w:tc>
          <w:tcPr>
            <w:tcW w:w="3191" w:type="dxa"/>
            <w:vAlign w:val="center"/>
          </w:tcPr>
          <w:p w:rsidR="00F2677F" w:rsidRDefault="00F2677F" w:rsidP="00434F07">
            <w:pPr>
              <w:spacing w:line="360" w:lineRule="auto"/>
              <w:jc w:val="center"/>
              <w:rPr>
                <w:sz w:val="28"/>
                <w:szCs w:val="28"/>
                <w:lang w:val="uk-UA"/>
              </w:rPr>
            </w:pPr>
            <w:r>
              <w:rPr>
                <w:sz w:val="28"/>
                <w:szCs w:val="28"/>
                <w:lang w:val="uk-UA"/>
              </w:rPr>
              <w:t>9,22 (8,42; 9,49) *</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lang w:val="uk-UA"/>
              </w:rPr>
              <w:t>60–67 років</w:t>
            </w:r>
          </w:p>
        </w:tc>
        <w:tc>
          <w:tcPr>
            <w:tcW w:w="3190" w:type="dxa"/>
            <w:vAlign w:val="center"/>
          </w:tcPr>
          <w:p w:rsidR="00F2677F" w:rsidRDefault="00F2677F" w:rsidP="00434F07">
            <w:pPr>
              <w:spacing w:line="360" w:lineRule="auto"/>
              <w:jc w:val="center"/>
              <w:rPr>
                <w:sz w:val="28"/>
                <w:szCs w:val="28"/>
                <w:lang w:val="uk-UA"/>
              </w:rPr>
            </w:pPr>
            <w:r>
              <w:rPr>
                <w:sz w:val="28"/>
                <w:szCs w:val="28"/>
                <w:lang w:val="uk-UA"/>
              </w:rPr>
              <w:t>12,87 (12,21; 13,25) *</w:t>
            </w:r>
          </w:p>
        </w:tc>
        <w:tc>
          <w:tcPr>
            <w:tcW w:w="3191" w:type="dxa"/>
            <w:vAlign w:val="center"/>
          </w:tcPr>
          <w:p w:rsidR="00F2677F" w:rsidRDefault="00F2677F" w:rsidP="00434F07">
            <w:pPr>
              <w:spacing w:line="360" w:lineRule="auto"/>
              <w:jc w:val="center"/>
              <w:rPr>
                <w:sz w:val="28"/>
                <w:szCs w:val="28"/>
                <w:lang w:val="uk-UA"/>
              </w:rPr>
            </w:pPr>
            <w:r>
              <w:rPr>
                <w:sz w:val="28"/>
                <w:szCs w:val="28"/>
                <w:lang w:val="uk-UA"/>
              </w:rPr>
              <w:t>9,33 (9,13; 9,75) *</w:t>
            </w:r>
          </w:p>
        </w:tc>
      </w:tr>
    </w:tbl>
    <w:p w:rsidR="00737B9C" w:rsidRDefault="00737B9C" w:rsidP="00737B9C">
      <w:pPr>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sidR="00F2677F">
        <w:rPr>
          <w:sz w:val="28"/>
          <w:szCs w:val="28"/>
          <w:lang w:val="uk-UA"/>
        </w:rPr>
        <w:t xml:space="preserve"> </w:t>
      </w:r>
      <w:r>
        <w:rPr>
          <w:sz w:val="28"/>
          <w:szCs w:val="28"/>
          <w:lang w:val="uk-UA"/>
        </w:rPr>
        <w:t>&gt;</w:t>
      </w:r>
      <w:r w:rsidR="00F2677F">
        <w:rPr>
          <w:sz w:val="28"/>
          <w:szCs w:val="28"/>
          <w:lang w:val="uk-UA"/>
        </w:rPr>
        <w:t xml:space="preserve"> </w:t>
      </w:r>
      <w:r>
        <w:rPr>
          <w:sz w:val="28"/>
          <w:szCs w:val="28"/>
          <w:lang w:val="uk-UA"/>
        </w:rPr>
        <w:t>0,05 при порівнянні показників в різних вікових групах</w:t>
      </w:r>
    </w:p>
    <w:p w:rsidR="00737B9C" w:rsidRDefault="00737B9C" w:rsidP="00737B9C">
      <w:pPr>
        <w:spacing w:line="360" w:lineRule="auto"/>
        <w:ind w:firstLine="709"/>
        <w:jc w:val="both"/>
        <w:rPr>
          <w:sz w:val="28"/>
          <w:szCs w:val="28"/>
          <w:lang w:val="uk-UA"/>
        </w:rPr>
      </w:pPr>
      <w:r>
        <w:rPr>
          <w:sz w:val="28"/>
          <w:szCs w:val="28"/>
          <w:lang w:val="uk-UA"/>
        </w:rPr>
        <w:t xml:space="preserve">При аналізі вмісту </w:t>
      </w:r>
      <w:r>
        <w:rPr>
          <w:sz w:val="28"/>
          <w:szCs w:val="28"/>
          <w:lang w:val="en-US"/>
        </w:rPr>
        <w:t>NO</w:t>
      </w:r>
      <w:r>
        <w:rPr>
          <w:sz w:val="28"/>
          <w:szCs w:val="28"/>
        </w:rPr>
        <w:t xml:space="preserve"> в</w:t>
      </w:r>
      <w:r>
        <w:rPr>
          <w:sz w:val="28"/>
          <w:szCs w:val="28"/>
          <w:lang w:val="uk-UA"/>
        </w:rPr>
        <w:t xml:space="preserve"> плазмі крові у хворих двох груп в залежності від тривалості захворювання ми отримали наступні результати (табл. 3.2.3).</w:t>
      </w: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737B9C" w:rsidRDefault="00737B9C" w:rsidP="00737B9C">
      <w:pPr>
        <w:spacing w:line="360" w:lineRule="auto"/>
        <w:ind w:firstLine="709"/>
        <w:jc w:val="right"/>
        <w:rPr>
          <w:sz w:val="28"/>
          <w:szCs w:val="28"/>
          <w:lang w:val="uk-UA"/>
        </w:rPr>
      </w:pPr>
      <w:r>
        <w:rPr>
          <w:sz w:val="28"/>
          <w:szCs w:val="28"/>
          <w:lang w:val="uk-UA"/>
        </w:rPr>
        <w:lastRenderedPageBreak/>
        <w:t>Таблиця 3.2.3</w:t>
      </w:r>
    </w:p>
    <w:p w:rsidR="00737B9C" w:rsidRDefault="00737B9C" w:rsidP="00F2677F">
      <w:pPr>
        <w:spacing w:line="360" w:lineRule="auto"/>
        <w:ind w:firstLine="709"/>
        <w:jc w:val="center"/>
        <w:rPr>
          <w:sz w:val="28"/>
          <w:szCs w:val="28"/>
          <w:lang w:val="uk-UA"/>
        </w:rPr>
      </w:pPr>
      <w:r>
        <w:rPr>
          <w:sz w:val="28"/>
          <w:szCs w:val="28"/>
          <w:lang w:val="uk-UA"/>
        </w:rPr>
        <w:t xml:space="preserve">Вміст </w:t>
      </w:r>
      <w:r>
        <w:rPr>
          <w:sz w:val="28"/>
          <w:szCs w:val="28"/>
          <w:lang w:val="en-US"/>
        </w:rPr>
        <w:t>NO</w:t>
      </w:r>
      <w:r>
        <w:rPr>
          <w:sz w:val="28"/>
          <w:szCs w:val="28"/>
          <w:lang w:val="uk-UA"/>
        </w:rPr>
        <w:t xml:space="preserve"> в плазмі крові хворих в залежності від тривалості захворювання, мкмоль/л (Ме (25%;</w:t>
      </w:r>
      <w:r w:rsidR="00F2677F">
        <w:rPr>
          <w:sz w:val="28"/>
          <w:szCs w:val="28"/>
          <w:lang w:val="uk-UA"/>
        </w:rPr>
        <w:t xml:space="preserve"> </w:t>
      </w:r>
      <w:r>
        <w:rPr>
          <w:sz w:val="28"/>
          <w:szCs w:val="28"/>
          <w:lang w:val="uk-UA"/>
        </w:rPr>
        <w:t>75%))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3174"/>
        <w:gridCol w:w="3051"/>
      </w:tblGrid>
      <w:tr w:rsidR="00737B9C" w:rsidTr="00737B9C">
        <w:trPr>
          <w:trHeight w:val="519"/>
        </w:trPr>
        <w:tc>
          <w:tcPr>
            <w:tcW w:w="2013" w:type="pct"/>
            <w:vMerge w:val="restart"/>
            <w:vAlign w:val="center"/>
          </w:tcPr>
          <w:p w:rsidR="00737B9C" w:rsidRDefault="00737B9C" w:rsidP="00737B9C">
            <w:pPr>
              <w:spacing w:line="360" w:lineRule="auto"/>
              <w:jc w:val="center"/>
              <w:rPr>
                <w:sz w:val="28"/>
                <w:szCs w:val="28"/>
                <w:lang w:val="uk-UA"/>
              </w:rPr>
            </w:pPr>
            <w:r>
              <w:rPr>
                <w:sz w:val="28"/>
                <w:szCs w:val="28"/>
                <w:lang w:val="uk-UA"/>
              </w:rPr>
              <w:t>Тривалість захворювання</w:t>
            </w:r>
          </w:p>
        </w:tc>
        <w:tc>
          <w:tcPr>
            <w:tcW w:w="2987" w:type="pct"/>
            <w:gridSpan w:val="2"/>
            <w:vAlign w:val="center"/>
          </w:tcPr>
          <w:p w:rsidR="00737B9C" w:rsidRDefault="00737B9C" w:rsidP="00737B9C">
            <w:pPr>
              <w:spacing w:line="360" w:lineRule="auto"/>
              <w:jc w:val="center"/>
              <w:rPr>
                <w:sz w:val="28"/>
                <w:szCs w:val="28"/>
                <w:lang w:val="uk-UA"/>
              </w:rPr>
            </w:pPr>
            <w:r>
              <w:rPr>
                <w:sz w:val="28"/>
                <w:szCs w:val="28"/>
                <w:lang w:val="en-US"/>
              </w:rPr>
              <w:t>NO</w:t>
            </w:r>
            <w:r>
              <w:rPr>
                <w:sz w:val="28"/>
                <w:szCs w:val="28"/>
                <w:lang w:val="uk-UA"/>
              </w:rPr>
              <w:t>, мкмоль/л (Ме (25%;</w:t>
            </w:r>
            <w:r w:rsidR="00F2677F">
              <w:rPr>
                <w:sz w:val="28"/>
                <w:szCs w:val="28"/>
                <w:lang w:val="uk-UA"/>
              </w:rPr>
              <w:t xml:space="preserve"> </w:t>
            </w:r>
            <w:r>
              <w:rPr>
                <w:sz w:val="28"/>
                <w:szCs w:val="28"/>
                <w:lang w:val="uk-UA"/>
              </w:rPr>
              <w:t>75%))</w:t>
            </w:r>
          </w:p>
        </w:tc>
      </w:tr>
      <w:tr w:rsidR="00737B9C" w:rsidTr="00737B9C">
        <w:tc>
          <w:tcPr>
            <w:tcW w:w="0" w:type="auto"/>
            <w:vMerge/>
            <w:vAlign w:val="center"/>
          </w:tcPr>
          <w:p w:rsidR="00737B9C" w:rsidRDefault="00737B9C" w:rsidP="00737B9C">
            <w:pPr>
              <w:rPr>
                <w:sz w:val="28"/>
                <w:szCs w:val="28"/>
                <w:lang w:val="uk-UA"/>
              </w:rPr>
            </w:pPr>
          </w:p>
        </w:tc>
        <w:tc>
          <w:tcPr>
            <w:tcW w:w="1523" w:type="pct"/>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r w:rsidR="00737B9C">
              <w:rPr>
                <w:sz w:val="28"/>
                <w:szCs w:val="28"/>
              </w:rPr>
              <w:t>n</w:t>
            </w:r>
            <w:r>
              <w:rPr>
                <w:sz w:val="28"/>
                <w:szCs w:val="28"/>
                <w:lang w:val="uk-UA"/>
              </w:rPr>
              <w:t xml:space="preserve"> </w:t>
            </w:r>
            <w:r w:rsidR="00737B9C">
              <w:rPr>
                <w:sz w:val="28"/>
                <w:szCs w:val="28"/>
              </w:rPr>
              <w:t>=</w:t>
            </w:r>
            <w:r>
              <w:rPr>
                <w:sz w:val="28"/>
                <w:szCs w:val="28"/>
                <w:lang w:val="uk-UA"/>
              </w:rPr>
              <w:t xml:space="preserve"> </w:t>
            </w:r>
            <w:r w:rsidR="00737B9C">
              <w:rPr>
                <w:sz w:val="28"/>
                <w:szCs w:val="28"/>
              </w:rPr>
              <w:t>65</w:t>
            </w:r>
          </w:p>
        </w:tc>
        <w:tc>
          <w:tcPr>
            <w:tcW w:w="1464" w:type="pct"/>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 </w:t>
            </w:r>
            <w:r w:rsidR="00737B9C">
              <w:rPr>
                <w:sz w:val="28"/>
                <w:szCs w:val="28"/>
              </w:rPr>
              <w:t>n</w:t>
            </w:r>
            <w:r>
              <w:rPr>
                <w:sz w:val="28"/>
                <w:szCs w:val="28"/>
                <w:lang w:val="uk-UA"/>
              </w:rPr>
              <w:t xml:space="preserve"> </w:t>
            </w:r>
            <w:r w:rsidR="00737B9C">
              <w:rPr>
                <w:sz w:val="28"/>
                <w:szCs w:val="28"/>
              </w:rPr>
              <w:t>=</w:t>
            </w:r>
            <w:r>
              <w:rPr>
                <w:sz w:val="28"/>
                <w:szCs w:val="28"/>
                <w:lang w:val="uk-UA"/>
              </w:rPr>
              <w:t xml:space="preserve"> </w:t>
            </w:r>
            <w:r w:rsidR="00737B9C">
              <w:rPr>
                <w:sz w:val="28"/>
                <w:szCs w:val="28"/>
              </w:rPr>
              <w:t>40</w:t>
            </w:r>
          </w:p>
        </w:tc>
      </w:tr>
      <w:tr w:rsidR="00F2677F" w:rsidTr="00737B9C">
        <w:tc>
          <w:tcPr>
            <w:tcW w:w="2013" w:type="pct"/>
            <w:vAlign w:val="center"/>
          </w:tcPr>
          <w:p w:rsidR="00F2677F" w:rsidRDefault="00F2677F" w:rsidP="00737B9C">
            <w:pPr>
              <w:spacing w:line="360" w:lineRule="auto"/>
              <w:jc w:val="center"/>
              <w:rPr>
                <w:sz w:val="28"/>
                <w:szCs w:val="28"/>
                <w:lang w:val="uk-UA"/>
              </w:rPr>
            </w:pPr>
            <w:r>
              <w:rPr>
                <w:sz w:val="28"/>
                <w:szCs w:val="28"/>
                <w:lang w:val="uk-UA"/>
              </w:rPr>
              <w:t>До 5 років</w:t>
            </w:r>
          </w:p>
        </w:tc>
        <w:tc>
          <w:tcPr>
            <w:tcW w:w="1523" w:type="pct"/>
            <w:vAlign w:val="center"/>
          </w:tcPr>
          <w:p w:rsidR="00F2677F" w:rsidRDefault="00F2677F" w:rsidP="00434F07">
            <w:pPr>
              <w:spacing w:line="360" w:lineRule="auto"/>
              <w:jc w:val="center"/>
              <w:rPr>
                <w:sz w:val="28"/>
                <w:szCs w:val="28"/>
                <w:lang w:val="uk-UA"/>
              </w:rPr>
            </w:pPr>
            <w:r>
              <w:rPr>
                <w:sz w:val="28"/>
                <w:szCs w:val="28"/>
                <w:lang w:val="uk-UA"/>
              </w:rPr>
              <w:t>157,78(139,33; 187,06)</w:t>
            </w:r>
          </w:p>
        </w:tc>
        <w:tc>
          <w:tcPr>
            <w:tcW w:w="1464" w:type="pct"/>
            <w:vAlign w:val="center"/>
          </w:tcPr>
          <w:p w:rsidR="00F2677F" w:rsidRDefault="00F2677F" w:rsidP="00434F07">
            <w:pPr>
              <w:spacing w:line="360" w:lineRule="auto"/>
              <w:jc w:val="center"/>
              <w:rPr>
                <w:sz w:val="28"/>
                <w:szCs w:val="28"/>
                <w:lang w:val="uk-UA"/>
              </w:rPr>
            </w:pPr>
            <w:r>
              <w:rPr>
                <w:sz w:val="28"/>
                <w:szCs w:val="28"/>
                <w:lang w:val="uk-UA"/>
              </w:rPr>
              <w:t>137,5(128,03; 149,24)</w:t>
            </w:r>
          </w:p>
        </w:tc>
      </w:tr>
      <w:tr w:rsidR="00F2677F" w:rsidTr="00737B9C">
        <w:tc>
          <w:tcPr>
            <w:tcW w:w="2013" w:type="pct"/>
            <w:vAlign w:val="center"/>
          </w:tcPr>
          <w:p w:rsidR="00F2677F" w:rsidRDefault="00F2677F" w:rsidP="00737B9C">
            <w:pPr>
              <w:spacing w:line="360" w:lineRule="auto"/>
              <w:jc w:val="center"/>
              <w:rPr>
                <w:sz w:val="28"/>
                <w:szCs w:val="28"/>
                <w:lang w:val="uk-UA"/>
              </w:rPr>
            </w:pPr>
            <w:r>
              <w:rPr>
                <w:sz w:val="28"/>
                <w:szCs w:val="28"/>
                <w:lang w:val="uk-UA"/>
              </w:rPr>
              <w:t>Від 5 до 10 років</w:t>
            </w:r>
          </w:p>
        </w:tc>
        <w:tc>
          <w:tcPr>
            <w:tcW w:w="1523" w:type="pct"/>
            <w:vAlign w:val="center"/>
          </w:tcPr>
          <w:p w:rsidR="00F2677F" w:rsidRDefault="00F2677F" w:rsidP="00434F07">
            <w:pPr>
              <w:spacing w:line="360" w:lineRule="auto"/>
              <w:jc w:val="center"/>
              <w:rPr>
                <w:sz w:val="28"/>
                <w:szCs w:val="28"/>
                <w:lang w:val="uk-UA"/>
              </w:rPr>
            </w:pPr>
            <w:r>
              <w:rPr>
                <w:sz w:val="28"/>
                <w:szCs w:val="28"/>
                <w:lang w:val="uk-UA"/>
              </w:rPr>
              <w:t>169,95(162,72; 184,36)*</w:t>
            </w:r>
          </w:p>
        </w:tc>
        <w:tc>
          <w:tcPr>
            <w:tcW w:w="1464" w:type="pct"/>
            <w:vAlign w:val="center"/>
          </w:tcPr>
          <w:p w:rsidR="00F2677F" w:rsidRDefault="00F2677F" w:rsidP="00434F07">
            <w:pPr>
              <w:spacing w:line="360" w:lineRule="auto"/>
              <w:jc w:val="center"/>
              <w:rPr>
                <w:sz w:val="28"/>
                <w:szCs w:val="28"/>
                <w:lang w:val="uk-UA"/>
              </w:rPr>
            </w:pPr>
            <w:r>
              <w:rPr>
                <w:sz w:val="28"/>
                <w:szCs w:val="28"/>
                <w:lang w:val="uk-UA"/>
              </w:rPr>
              <w:t>141,0(130,53; 145,08)</w:t>
            </w:r>
          </w:p>
        </w:tc>
      </w:tr>
      <w:tr w:rsidR="00F2677F" w:rsidTr="00737B9C">
        <w:tc>
          <w:tcPr>
            <w:tcW w:w="2013" w:type="pct"/>
            <w:vAlign w:val="center"/>
          </w:tcPr>
          <w:p w:rsidR="00F2677F" w:rsidRDefault="00F2677F" w:rsidP="00737B9C">
            <w:pPr>
              <w:spacing w:line="360" w:lineRule="auto"/>
              <w:jc w:val="center"/>
              <w:rPr>
                <w:sz w:val="28"/>
                <w:szCs w:val="28"/>
                <w:lang w:val="uk-UA"/>
              </w:rPr>
            </w:pPr>
            <w:r>
              <w:rPr>
                <w:sz w:val="28"/>
                <w:szCs w:val="28"/>
                <w:lang w:val="uk-UA"/>
              </w:rPr>
              <w:t>Більше 10 років</w:t>
            </w:r>
          </w:p>
        </w:tc>
        <w:tc>
          <w:tcPr>
            <w:tcW w:w="1523" w:type="pct"/>
            <w:vAlign w:val="center"/>
          </w:tcPr>
          <w:p w:rsidR="00F2677F" w:rsidRDefault="00F2677F" w:rsidP="00434F07">
            <w:pPr>
              <w:spacing w:line="360" w:lineRule="auto"/>
              <w:jc w:val="center"/>
              <w:rPr>
                <w:sz w:val="28"/>
                <w:szCs w:val="28"/>
                <w:lang w:val="uk-UA"/>
              </w:rPr>
            </w:pPr>
            <w:r>
              <w:rPr>
                <w:sz w:val="28"/>
                <w:szCs w:val="28"/>
                <w:lang w:val="uk-UA"/>
              </w:rPr>
              <w:t>172,1(166,15; 180,9)*</w:t>
            </w:r>
          </w:p>
        </w:tc>
        <w:tc>
          <w:tcPr>
            <w:tcW w:w="1464" w:type="pct"/>
            <w:vAlign w:val="center"/>
          </w:tcPr>
          <w:p w:rsidR="00F2677F" w:rsidRDefault="00F2677F" w:rsidP="00434F07">
            <w:pPr>
              <w:spacing w:line="360" w:lineRule="auto"/>
              <w:jc w:val="center"/>
              <w:rPr>
                <w:sz w:val="28"/>
                <w:szCs w:val="28"/>
                <w:lang w:val="uk-UA"/>
              </w:rPr>
            </w:pPr>
            <w:r>
              <w:rPr>
                <w:sz w:val="28"/>
                <w:szCs w:val="28"/>
                <w:lang w:val="uk-UA"/>
              </w:rPr>
              <w:t>147,71(142,24; 165,5)</w:t>
            </w:r>
            <w:r>
              <w:rPr>
                <w:sz w:val="28"/>
                <w:szCs w:val="28"/>
              </w:rPr>
              <w:t>#</w:t>
            </w:r>
          </w:p>
        </w:tc>
      </w:tr>
    </w:tbl>
    <w:p w:rsidR="00737B9C" w:rsidRDefault="00737B9C" w:rsidP="00737B9C">
      <w:pPr>
        <w:spacing w:line="360" w:lineRule="auto"/>
        <w:ind w:firstLine="709"/>
        <w:jc w:val="both"/>
        <w:rPr>
          <w:sz w:val="28"/>
          <w:szCs w:val="28"/>
          <w:lang w:val="uk-UA"/>
        </w:rPr>
      </w:pPr>
      <w:r>
        <w:rPr>
          <w:b/>
          <w:sz w:val="28"/>
          <w:szCs w:val="28"/>
          <w:lang w:val="uk-UA"/>
        </w:rPr>
        <w:t xml:space="preserve">Примітка: </w:t>
      </w:r>
      <w:r>
        <w:rPr>
          <w:sz w:val="28"/>
          <w:szCs w:val="28"/>
        </w:rPr>
        <w:t>#</w:t>
      </w:r>
      <w:r>
        <w:rPr>
          <w:sz w:val="28"/>
          <w:szCs w:val="28"/>
          <w:lang w:val="uk-UA"/>
        </w:rPr>
        <w:t xml:space="preserve"> – </w:t>
      </w:r>
      <w:r>
        <w:rPr>
          <w:sz w:val="28"/>
          <w:szCs w:val="28"/>
        </w:rPr>
        <w:t>p</w:t>
      </w:r>
      <w:r w:rsidR="00F2677F">
        <w:rPr>
          <w:sz w:val="28"/>
          <w:szCs w:val="28"/>
          <w:lang w:val="uk-UA"/>
        </w:rPr>
        <w:t xml:space="preserve"> </w:t>
      </w:r>
      <w:r>
        <w:rPr>
          <w:sz w:val="28"/>
          <w:szCs w:val="28"/>
        </w:rPr>
        <w:t>˂</w:t>
      </w:r>
      <w:r w:rsidR="00F2677F">
        <w:rPr>
          <w:sz w:val="28"/>
          <w:szCs w:val="28"/>
          <w:lang w:val="uk-UA"/>
        </w:rPr>
        <w:t xml:space="preserve"> </w:t>
      </w:r>
      <w:r>
        <w:rPr>
          <w:sz w:val="28"/>
          <w:szCs w:val="28"/>
          <w:lang w:val="uk-UA"/>
        </w:rPr>
        <w:t>0,05 при порівнянні показників в групах з різною тривалістю захворювання;</w:t>
      </w:r>
    </w:p>
    <w:p w:rsidR="00F2677F" w:rsidRDefault="00737B9C" w:rsidP="00737B9C">
      <w:pPr>
        <w:spacing w:line="360" w:lineRule="auto"/>
        <w:ind w:firstLine="709"/>
        <w:jc w:val="both"/>
        <w:rPr>
          <w:sz w:val="28"/>
          <w:szCs w:val="28"/>
          <w:lang w:val="uk-UA"/>
        </w:rPr>
      </w:pPr>
      <w:r>
        <w:rPr>
          <w:sz w:val="28"/>
          <w:szCs w:val="28"/>
          <w:lang w:val="uk-UA"/>
        </w:rPr>
        <w:t xml:space="preserve">* – </w:t>
      </w:r>
      <w:r>
        <w:rPr>
          <w:sz w:val="28"/>
          <w:szCs w:val="28"/>
        </w:rPr>
        <w:t>p</w:t>
      </w:r>
      <w:r w:rsidR="00F2677F">
        <w:rPr>
          <w:sz w:val="28"/>
          <w:szCs w:val="28"/>
          <w:lang w:val="uk-UA"/>
        </w:rPr>
        <w:t xml:space="preserve"> </w:t>
      </w:r>
      <w:r>
        <w:rPr>
          <w:sz w:val="28"/>
          <w:szCs w:val="28"/>
        </w:rPr>
        <w:t>˂</w:t>
      </w:r>
      <w:r w:rsidR="00F2677F">
        <w:rPr>
          <w:sz w:val="28"/>
          <w:szCs w:val="28"/>
          <w:lang w:val="uk-UA"/>
        </w:rPr>
        <w:t xml:space="preserve"> </w:t>
      </w:r>
      <w:r>
        <w:rPr>
          <w:sz w:val="28"/>
          <w:szCs w:val="28"/>
          <w:lang w:val="uk-UA"/>
        </w:rPr>
        <w:t>0,001 при порівнянні показників в групах з різною тривалістю захворювання</w:t>
      </w:r>
    </w:p>
    <w:p w:rsidR="00F2677F" w:rsidRDefault="00F2677F" w:rsidP="00F2677F">
      <w:pPr>
        <w:spacing w:line="360" w:lineRule="auto"/>
        <w:ind w:firstLine="709"/>
        <w:jc w:val="both"/>
        <w:rPr>
          <w:sz w:val="28"/>
          <w:szCs w:val="28"/>
          <w:lang w:val="uk-UA"/>
        </w:rPr>
      </w:pPr>
      <w:r>
        <w:rPr>
          <w:sz w:val="28"/>
          <w:szCs w:val="28"/>
          <w:lang w:val="uk-UA"/>
        </w:rPr>
        <w:t xml:space="preserve">В 1 групі хворих вірогідне (р &lt; 0,001) підвищення рівнів </w:t>
      </w:r>
      <w:r>
        <w:rPr>
          <w:sz w:val="28"/>
          <w:szCs w:val="28"/>
          <w:lang w:val="en-US"/>
        </w:rPr>
        <w:t>NO</w:t>
      </w:r>
      <w:r>
        <w:rPr>
          <w:sz w:val="28"/>
          <w:szCs w:val="28"/>
          <w:lang w:val="uk-UA"/>
        </w:rPr>
        <w:t xml:space="preserve"> відбувалося при тривалості захворювання більше 5 років. Вміст </w:t>
      </w:r>
      <w:r>
        <w:rPr>
          <w:sz w:val="28"/>
          <w:szCs w:val="28"/>
          <w:lang w:val="en-US"/>
        </w:rPr>
        <w:t>NO</w:t>
      </w:r>
      <w:r>
        <w:rPr>
          <w:sz w:val="28"/>
          <w:szCs w:val="28"/>
          <w:lang w:val="uk-UA"/>
        </w:rPr>
        <w:t xml:space="preserve"> в плазмі крові у хворих з тривалістю захворювання до 5 років складав 157,78 (139,33; 187,06) мкмоль/л, від 5 до 10 років – 169,95 (162,72; 184,36) мкмоль/л, більше 10 років – 172,1 (166,15; 180,9) мкмоль/л.</w:t>
      </w:r>
    </w:p>
    <w:p w:rsidR="00737B9C" w:rsidRDefault="00F2677F" w:rsidP="00737B9C">
      <w:pPr>
        <w:spacing w:line="360" w:lineRule="auto"/>
        <w:ind w:firstLine="709"/>
        <w:jc w:val="both"/>
        <w:rPr>
          <w:sz w:val="28"/>
          <w:szCs w:val="28"/>
          <w:lang w:val="uk-UA"/>
        </w:rPr>
      </w:pPr>
      <w:r>
        <w:rPr>
          <w:sz w:val="28"/>
          <w:szCs w:val="28"/>
          <w:lang w:val="uk-UA"/>
        </w:rPr>
        <w:t>У пацієнтів 2</w:t>
      </w:r>
      <w:r w:rsidR="00737B9C">
        <w:rPr>
          <w:sz w:val="28"/>
          <w:szCs w:val="28"/>
          <w:lang w:val="uk-UA"/>
        </w:rPr>
        <w:t xml:space="preserve"> групи при тривалості захворювання більше 10 років встановлено достовірне (р</w:t>
      </w:r>
      <w:r>
        <w:rPr>
          <w:sz w:val="28"/>
          <w:szCs w:val="28"/>
          <w:lang w:val="uk-UA"/>
        </w:rPr>
        <w:t xml:space="preserve"> </w:t>
      </w:r>
      <w:r w:rsidR="00737B9C">
        <w:rPr>
          <w:sz w:val="28"/>
          <w:szCs w:val="28"/>
          <w:lang w:val="uk-UA"/>
        </w:rPr>
        <w:t>&lt;</w:t>
      </w:r>
      <w:r>
        <w:rPr>
          <w:sz w:val="28"/>
          <w:szCs w:val="28"/>
          <w:lang w:val="uk-UA"/>
        </w:rPr>
        <w:t xml:space="preserve"> </w:t>
      </w:r>
      <w:r w:rsidR="00737B9C">
        <w:rPr>
          <w:sz w:val="28"/>
          <w:szCs w:val="28"/>
          <w:lang w:val="uk-UA"/>
        </w:rPr>
        <w:t>0,05) підвищення (147,71 (142,24;</w:t>
      </w:r>
      <w:r>
        <w:rPr>
          <w:sz w:val="28"/>
          <w:szCs w:val="28"/>
          <w:lang w:val="uk-UA"/>
        </w:rPr>
        <w:t xml:space="preserve"> </w:t>
      </w:r>
      <w:r w:rsidR="00737B9C">
        <w:rPr>
          <w:sz w:val="28"/>
          <w:szCs w:val="28"/>
          <w:lang w:val="uk-UA"/>
        </w:rPr>
        <w:t xml:space="preserve">165,5) мкмоль/л) рівня </w:t>
      </w:r>
      <w:r w:rsidR="00737B9C">
        <w:rPr>
          <w:sz w:val="28"/>
          <w:szCs w:val="28"/>
          <w:lang w:val="en-US"/>
        </w:rPr>
        <w:t>NO</w:t>
      </w:r>
      <w:r w:rsidR="00737B9C">
        <w:rPr>
          <w:sz w:val="28"/>
          <w:szCs w:val="28"/>
          <w:lang w:val="uk-UA"/>
        </w:rPr>
        <w:t xml:space="preserve"> в порівнянні з тривалістю від 5 до 10 років (141,0 (130,53;</w:t>
      </w:r>
      <w:r>
        <w:rPr>
          <w:sz w:val="28"/>
          <w:szCs w:val="28"/>
          <w:lang w:val="uk-UA"/>
        </w:rPr>
        <w:t xml:space="preserve"> </w:t>
      </w:r>
      <w:r w:rsidR="00737B9C">
        <w:rPr>
          <w:sz w:val="28"/>
          <w:szCs w:val="28"/>
          <w:lang w:val="uk-UA"/>
        </w:rPr>
        <w:t>145,08) мкмоль/л) та до 5 років (137,5 (128,03;</w:t>
      </w:r>
      <w:r>
        <w:rPr>
          <w:sz w:val="28"/>
          <w:szCs w:val="28"/>
          <w:lang w:val="uk-UA"/>
        </w:rPr>
        <w:t xml:space="preserve"> </w:t>
      </w:r>
      <w:r w:rsidR="00737B9C">
        <w:rPr>
          <w:sz w:val="28"/>
          <w:szCs w:val="28"/>
          <w:lang w:val="uk-UA"/>
        </w:rPr>
        <w:t>149,24) мкмоль/л). При досліджені рівнів МДА</w:t>
      </w:r>
      <w:r w:rsidR="00737B9C">
        <w:rPr>
          <w:sz w:val="28"/>
          <w:szCs w:val="28"/>
        </w:rPr>
        <w:t xml:space="preserve"> в</w:t>
      </w:r>
      <w:r w:rsidR="00737B9C">
        <w:rPr>
          <w:sz w:val="28"/>
          <w:szCs w:val="28"/>
          <w:lang w:val="uk-UA"/>
        </w:rPr>
        <w:t xml:space="preserve"> плазмі крові пацієнтів двох груп в залежності від тривалості захворювання були одержані наступні результати (табл. 3.2.4).</w:t>
      </w:r>
    </w:p>
    <w:p w:rsidR="00F2677F" w:rsidRDefault="00F2677F" w:rsidP="00737B9C">
      <w:pPr>
        <w:spacing w:line="360" w:lineRule="auto"/>
        <w:ind w:firstLine="709"/>
        <w:jc w:val="both"/>
        <w:rPr>
          <w:sz w:val="28"/>
          <w:szCs w:val="28"/>
          <w:lang w:val="uk-UA"/>
        </w:rPr>
      </w:pPr>
    </w:p>
    <w:p w:rsidR="00F2677F" w:rsidRDefault="00F2677F" w:rsidP="00737B9C">
      <w:pPr>
        <w:spacing w:line="360" w:lineRule="auto"/>
        <w:ind w:firstLine="709"/>
        <w:jc w:val="both"/>
        <w:rPr>
          <w:sz w:val="28"/>
          <w:szCs w:val="28"/>
          <w:lang w:val="uk-UA"/>
        </w:rPr>
      </w:pPr>
    </w:p>
    <w:p w:rsidR="00F2677F" w:rsidRDefault="00F2677F" w:rsidP="00737B9C">
      <w:pPr>
        <w:spacing w:line="360" w:lineRule="auto"/>
        <w:ind w:firstLine="709"/>
        <w:jc w:val="both"/>
        <w:rPr>
          <w:sz w:val="28"/>
          <w:szCs w:val="28"/>
          <w:lang w:val="uk-UA"/>
        </w:rPr>
      </w:pPr>
    </w:p>
    <w:p w:rsidR="00F2677F" w:rsidRDefault="00F2677F" w:rsidP="00737B9C">
      <w:pPr>
        <w:spacing w:line="360" w:lineRule="auto"/>
        <w:ind w:firstLine="709"/>
        <w:jc w:val="both"/>
        <w:rPr>
          <w:sz w:val="28"/>
          <w:szCs w:val="28"/>
          <w:lang w:val="uk-UA"/>
        </w:rPr>
      </w:pPr>
    </w:p>
    <w:p w:rsidR="00F2677F" w:rsidRDefault="00F2677F" w:rsidP="00737B9C">
      <w:pPr>
        <w:spacing w:line="360" w:lineRule="auto"/>
        <w:ind w:firstLine="709"/>
        <w:jc w:val="both"/>
        <w:rPr>
          <w:sz w:val="28"/>
          <w:szCs w:val="28"/>
          <w:lang w:val="uk-UA"/>
        </w:rPr>
      </w:pPr>
    </w:p>
    <w:p w:rsidR="00F2677F" w:rsidRDefault="00F2677F" w:rsidP="00737B9C">
      <w:pPr>
        <w:spacing w:line="360" w:lineRule="auto"/>
        <w:ind w:firstLine="709"/>
        <w:jc w:val="both"/>
        <w:rPr>
          <w:sz w:val="28"/>
          <w:szCs w:val="28"/>
          <w:lang w:val="uk-UA"/>
        </w:rPr>
      </w:pPr>
    </w:p>
    <w:p w:rsidR="00F2677F" w:rsidRDefault="00F2677F" w:rsidP="00737B9C">
      <w:pPr>
        <w:spacing w:line="360" w:lineRule="auto"/>
        <w:ind w:firstLine="709"/>
        <w:jc w:val="both"/>
        <w:rPr>
          <w:sz w:val="28"/>
          <w:szCs w:val="28"/>
          <w:lang w:val="uk-UA"/>
        </w:rPr>
      </w:pPr>
    </w:p>
    <w:p w:rsidR="00737B9C" w:rsidRDefault="00737B9C" w:rsidP="00737B9C">
      <w:pPr>
        <w:spacing w:line="360" w:lineRule="auto"/>
        <w:ind w:firstLine="709"/>
        <w:jc w:val="right"/>
        <w:rPr>
          <w:sz w:val="28"/>
          <w:szCs w:val="28"/>
          <w:lang w:val="uk-UA"/>
        </w:rPr>
      </w:pPr>
      <w:r>
        <w:rPr>
          <w:sz w:val="28"/>
          <w:szCs w:val="28"/>
          <w:lang w:val="uk-UA"/>
        </w:rPr>
        <w:lastRenderedPageBreak/>
        <w:t>Таблиця 3.2.4</w:t>
      </w:r>
    </w:p>
    <w:p w:rsidR="00737B9C" w:rsidRDefault="00737B9C" w:rsidP="00F2677F">
      <w:pPr>
        <w:spacing w:line="360" w:lineRule="auto"/>
        <w:ind w:firstLine="709"/>
        <w:jc w:val="center"/>
        <w:rPr>
          <w:sz w:val="28"/>
          <w:szCs w:val="28"/>
          <w:lang w:val="uk-UA"/>
        </w:rPr>
      </w:pPr>
      <w:r>
        <w:rPr>
          <w:sz w:val="28"/>
          <w:szCs w:val="28"/>
          <w:lang w:val="uk-UA"/>
        </w:rPr>
        <w:t>Вміст МДА в плазмі крові хворих в залежності від тривалості захворювання, мкмоль/л (Ме (25%;</w:t>
      </w:r>
      <w:r w:rsidR="00F2677F">
        <w:rPr>
          <w:sz w:val="28"/>
          <w:szCs w:val="28"/>
          <w:lang w:val="uk-UA"/>
        </w:rPr>
        <w:t xml:space="preserve"> </w:t>
      </w:r>
      <w:r>
        <w:rPr>
          <w:sz w:val="28"/>
          <w:szCs w:val="28"/>
          <w:lang w:val="uk-UA"/>
        </w:rPr>
        <w:t>75%))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3174"/>
        <w:gridCol w:w="3051"/>
      </w:tblGrid>
      <w:tr w:rsidR="00737B9C" w:rsidTr="00737B9C">
        <w:trPr>
          <w:trHeight w:val="519"/>
        </w:trPr>
        <w:tc>
          <w:tcPr>
            <w:tcW w:w="2013" w:type="pct"/>
            <w:vMerge w:val="restart"/>
            <w:vAlign w:val="center"/>
          </w:tcPr>
          <w:p w:rsidR="00737B9C" w:rsidRDefault="00737B9C" w:rsidP="00737B9C">
            <w:pPr>
              <w:spacing w:line="360" w:lineRule="auto"/>
              <w:jc w:val="center"/>
              <w:rPr>
                <w:sz w:val="28"/>
                <w:szCs w:val="28"/>
                <w:lang w:val="uk-UA"/>
              </w:rPr>
            </w:pPr>
            <w:r>
              <w:rPr>
                <w:sz w:val="28"/>
                <w:szCs w:val="28"/>
                <w:lang w:val="uk-UA"/>
              </w:rPr>
              <w:t>Тривалість захворювання</w:t>
            </w:r>
          </w:p>
        </w:tc>
        <w:tc>
          <w:tcPr>
            <w:tcW w:w="2987" w:type="pct"/>
            <w:gridSpan w:val="2"/>
            <w:vAlign w:val="center"/>
          </w:tcPr>
          <w:p w:rsidR="00737B9C" w:rsidRDefault="00737B9C" w:rsidP="00737B9C">
            <w:pPr>
              <w:spacing w:line="360" w:lineRule="auto"/>
              <w:jc w:val="center"/>
              <w:rPr>
                <w:sz w:val="28"/>
                <w:szCs w:val="28"/>
                <w:lang w:val="uk-UA"/>
              </w:rPr>
            </w:pPr>
            <w:r>
              <w:rPr>
                <w:sz w:val="28"/>
                <w:szCs w:val="28"/>
                <w:lang w:val="en-US"/>
              </w:rPr>
              <w:t>МДА</w:t>
            </w:r>
            <w:r>
              <w:rPr>
                <w:sz w:val="28"/>
                <w:szCs w:val="28"/>
                <w:lang w:val="uk-UA"/>
              </w:rPr>
              <w:t>, мкмоль/л (Ме (25%;</w:t>
            </w:r>
            <w:r w:rsidR="00F2677F">
              <w:rPr>
                <w:sz w:val="28"/>
                <w:szCs w:val="28"/>
                <w:lang w:val="uk-UA"/>
              </w:rPr>
              <w:t xml:space="preserve"> </w:t>
            </w:r>
            <w:r>
              <w:rPr>
                <w:sz w:val="28"/>
                <w:szCs w:val="28"/>
                <w:lang w:val="uk-UA"/>
              </w:rPr>
              <w:t>75%))</w:t>
            </w:r>
          </w:p>
        </w:tc>
      </w:tr>
      <w:tr w:rsidR="00737B9C" w:rsidTr="00737B9C">
        <w:tc>
          <w:tcPr>
            <w:tcW w:w="0" w:type="auto"/>
            <w:vMerge/>
            <w:vAlign w:val="center"/>
          </w:tcPr>
          <w:p w:rsidR="00737B9C" w:rsidRDefault="00737B9C" w:rsidP="00737B9C">
            <w:pPr>
              <w:rPr>
                <w:sz w:val="28"/>
                <w:szCs w:val="28"/>
                <w:lang w:val="uk-UA"/>
              </w:rPr>
            </w:pPr>
          </w:p>
        </w:tc>
        <w:tc>
          <w:tcPr>
            <w:tcW w:w="1523" w:type="pct"/>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r w:rsidR="00737B9C">
              <w:rPr>
                <w:sz w:val="28"/>
                <w:szCs w:val="28"/>
              </w:rPr>
              <w:t>n</w:t>
            </w:r>
            <w:r>
              <w:rPr>
                <w:sz w:val="28"/>
                <w:szCs w:val="28"/>
                <w:lang w:val="uk-UA"/>
              </w:rPr>
              <w:t xml:space="preserve"> </w:t>
            </w:r>
            <w:r w:rsidR="00737B9C">
              <w:rPr>
                <w:sz w:val="28"/>
                <w:szCs w:val="28"/>
              </w:rPr>
              <w:t>=</w:t>
            </w:r>
            <w:r>
              <w:rPr>
                <w:sz w:val="28"/>
                <w:szCs w:val="28"/>
                <w:lang w:val="uk-UA"/>
              </w:rPr>
              <w:t xml:space="preserve"> </w:t>
            </w:r>
            <w:r w:rsidR="00737B9C">
              <w:rPr>
                <w:sz w:val="28"/>
                <w:szCs w:val="28"/>
              </w:rPr>
              <w:t>65</w:t>
            </w:r>
          </w:p>
        </w:tc>
        <w:tc>
          <w:tcPr>
            <w:tcW w:w="1464" w:type="pct"/>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 </w:t>
            </w:r>
            <w:r w:rsidR="00737B9C">
              <w:rPr>
                <w:sz w:val="28"/>
                <w:szCs w:val="28"/>
              </w:rPr>
              <w:t>n</w:t>
            </w:r>
            <w:r>
              <w:rPr>
                <w:sz w:val="28"/>
                <w:szCs w:val="28"/>
                <w:lang w:val="uk-UA"/>
              </w:rPr>
              <w:t xml:space="preserve"> </w:t>
            </w:r>
            <w:r w:rsidR="00737B9C">
              <w:rPr>
                <w:sz w:val="28"/>
                <w:szCs w:val="28"/>
              </w:rPr>
              <w:t>=</w:t>
            </w:r>
            <w:r>
              <w:rPr>
                <w:sz w:val="28"/>
                <w:szCs w:val="28"/>
                <w:lang w:val="uk-UA"/>
              </w:rPr>
              <w:t xml:space="preserve"> </w:t>
            </w:r>
            <w:r w:rsidR="00737B9C">
              <w:rPr>
                <w:sz w:val="28"/>
                <w:szCs w:val="28"/>
              </w:rPr>
              <w:t>40</w:t>
            </w:r>
          </w:p>
        </w:tc>
      </w:tr>
      <w:tr w:rsidR="00F2677F" w:rsidTr="00737B9C">
        <w:tc>
          <w:tcPr>
            <w:tcW w:w="2013" w:type="pct"/>
            <w:vAlign w:val="center"/>
          </w:tcPr>
          <w:p w:rsidR="00F2677F" w:rsidRDefault="00F2677F" w:rsidP="00737B9C">
            <w:pPr>
              <w:spacing w:line="360" w:lineRule="auto"/>
              <w:jc w:val="center"/>
              <w:rPr>
                <w:sz w:val="28"/>
                <w:szCs w:val="28"/>
                <w:lang w:val="uk-UA"/>
              </w:rPr>
            </w:pPr>
            <w:r>
              <w:rPr>
                <w:sz w:val="28"/>
                <w:szCs w:val="28"/>
                <w:lang w:val="uk-UA"/>
              </w:rPr>
              <w:t>До 5 років</w:t>
            </w:r>
          </w:p>
        </w:tc>
        <w:tc>
          <w:tcPr>
            <w:tcW w:w="1523" w:type="pct"/>
            <w:vAlign w:val="center"/>
          </w:tcPr>
          <w:p w:rsidR="00F2677F" w:rsidRDefault="00F2677F" w:rsidP="00434F07">
            <w:pPr>
              <w:spacing w:line="360" w:lineRule="auto"/>
              <w:jc w:val="center"/>
              <w:rPr>
                <w:sz w:val="28"/>
                <w:szCs w:val="28"/>
                <w:lang w:val="uk-UA"/>
              </w:rPr>
            </w:pPr>
            <w:r>
              <w:rPr>
                <w:sz w:val="28"/>
                <w:szCs w:val="28"/>
                <w:lang w:val="uk-UA"/>
              </w:rPr>
              <w:t>12,3(10,81; 13,49)</w:t>
            </w:r>
          </w:p>
        </w:tc>
        <w:tc>
          <w:tcPr>
            <w:tcW w:w="1464" w:type="pct"/>
            <w:vAlign w:val="center"/>
          </w:tcPr>
          <w:p w:rsidR="00F2677F" w:rsidRDefault="00F2677F" w:rsidP="00434F07">
            <w:pPr>
              <w:spacing w:line="360" w:lineRule="auto"/>
              <w:jc w:val="center"/>
              <w:rPr>
                <w:sz w:val="28"/>
                <w:szCs w:val="28"/>
                <w:lang w:val="uk-UA"/>
              </w:rPr>
            </w:pPr>
            <w:r>
              <w:rPr>
                <w:sz w:val="28"/>
                <w:szCs w:val="28"/>
                <w:lang w:val="uk-UA"/>
              </w:rPr>
              <w:t>8,68(7,81; 10,18)</w:t>
            </w:r>
          </w:p>
        </w:tc>
      </w:tr>
      <w:tr w:rsidR="00F2677F" w:rsidTr="00737B9C">
        <w:tc>
          <w:tcPr>
            <w:tcW w:w="2013" w:type="pct"/>
            <w:vAlign w:val="center"/>
          </w:tcPr>
          <w:p w:rsidR="00F2677F" w:rsidRDefault="00F2677F" w:rsidP="00737B9C">
            <w:pPr>
              <w:spacing w:line="360" w:lineRule="auto"/>
              <w:jc w:val="center"/>
              <w:rPr>
                <w:sz w:val="28"/>
                <w:szCs w:val="28"/>
                <w:lang w:val="uk-UA"/>
              </w:rPr>
            </w:pPr>
            <w:r>
              <w:rPr>
                <w:sz w:val="28"/>
                <w:szCs w:val="28"/>
                <w:lang w:val="uk-UA"/>
              </w:rPr>
              <w:t>Від 5 до 10 років</w:t>
            </w:r>
          </w:p>
        </w:tc>
        <w:tc>
          <w:tcPr>
            <w:tcW w:w="1523" w:type="pct"/>
            <w:vAlign w:val="center"/>
          </w:tcPr>
          <w:p w:rsidR="00F2677F" w:rsidRDefault="00F2677F" w:rsidP="00434F07">
            <w:pPr>
              <w:spacing w:line="360" w:lineRule="auto"/>
              <w:jc w:val="center"/>
              <w:rPr>
                <w:sz w:val="28"/>
                <w:szCs w:val="28"/>
                <w:lang w:val="uk-UA"/>
              </w:rPr>
            </w:pPr>
            <w:r>
              <w:rPr>
                <w:sz w:val="28"/>
                <w:szCs w:val="28"/>
                <w:lang w:val="uk-UA"/>
              </w:rPr>
              <w:t>13,97(12,06; 15,81)*</w:t>
            </w:r>
          </w:p>
        </w:tc>
        <w:tc>
          <w:tcPr>
            <w:tcW w:w="1464" w:type="pct"/>
            <w:vAlign w:val="center"/>
          </w:tcPr>
          <w:p w:rsidR="00F2677F" w:rsidRDefault="00F2677F" w:rsidP="00434F07">
            <w:pPr>
              <w:spacing w:line="360" w:lineRule="auto"/>
              <w:jc w:val="center"/>
              <w:rPr>
                <w:sz w:val="28"/>
                <w:szCs w:val="28"/>
                <w:lang w:val="uk-UA"/>
              </w:rPr>
            </w:pPr>
            <w:r>
              <w:rPr>
                <w:sz w:val="28"/>
                <w:szCs w:val="28"/>
                <w:lang w:val="uk-UA"/>
              </w:rPr>
              <w:t>9,07(8,21; 9,32)</w:t>
            </w:r>
          </w:p>
        </w:tc>
      </w:tr>
      <w:tr w:rsidR="00F2677F" w:rsidTr="00737B9C">
        <w:tc>
          <w:tcPr>
            <w:tcW w:w="2013" w:type="pct"/>
            <w:vAlign w:val="center"/>
          </w:tcPr>
          <w:p w:rsidR="00F2677F" w:rsidRDefault="00F2677F" w:rsidP="00737B9C">
            <w:pPr>
              <w:spacing w:line="360" w:lineRule="auto"/>
              <w:jc w:val="center"/>
              <w:rPr>
                <w:sz w:val="28"/>
                <w:szCs w:val="28"/>
                <w:lang w:val="uk-UA"/>
              </w:rPr>
            </w:pPr>
            <w:r>
              <w:rPr>
                <w:sz w:val="28"/>
                <w:szCs w:val="28"/>
                <w:lang w:val="uk-UA"/>
              </w:rPr>
              <w:t>Більше 10 років</w:t>
            </w:r>
          </w:p>
        </w:tc>
        <w:tc>
          <w:tcPr>
            <w:tcW w:w="1523" w:type="pct"/>
            <w:vAlign w:val="center"/>
          </w:tcPr>
          <w:p w:rsidR="00F2677F" w:rsidRDefault="00F2677F" w:rsidP="00434F07">
            <w:pPr>
              <w:spacing w:line="360" w:lineRule="auto"/>
              <w:jc w:val="center"/>
              <w:rPr>
                <w:sz w:val="28"/>
                <w:szCs w:val="28"/>
                <w:lang w:val="uk-UA"/>
              </w:rPr>
            </w:pPr>
            <w:r>
              <w:rPr>
                <w:sz w:val="28"/>
                <w:szCs w:val="28"/>
                <w:lang w:val="uk-UA"/>
              </w:rPr>
              <w:t>14,03(13,14; 15,59)*</w:t>
            </w:r>
          </w:p>
        </w:tc>
        <w:tc>
          <w:tcPr>
            <w:tcW w:w="1464" w:type="pct"/>
            <w:vAlign w:val="center"/>
          </w:tcPr>
          <w:p w:rsidR="00F2677F" w:rsidRDefault="00F2677F" w:rsidP="00434F07">
            <w:pPr>
              <w:spacing w:line="360" w:lineRule="auto"/>
              <w:jc w:val="center"/>
              <w:rPr>
                <w:sz w:val="28"/>
                <w:szCs w:val="28"/>
                <w:lang w:val="uk-UA"/>
              </w:rPr>
            </w:pPr>
            <w:r>
              <w:rPr>
                <w:sz w:val="28"/>
                <w:szCs w:val="28"/>
                <w:lang w:val="uk-UA"/>
              </w:rPr>
              <w:t>10,61(10,25; 11,15)</w:t>
            </w:r>
            <w:r>
              <w:rPr>
                <w:sz w:val="28"/>
                <w:szCs w:val="28"/>
              </w:rPr>
              <w:t>#</w:t>
            </w:r>
          </w:p>
        </w:tc>
      </w:tr>
    </w:tbl>
    <w:p w:rsidR="00737B9C" w:rsidRDefault="00737B9C" w:rsidP="00737B9C">
      <w:pPr>
        <w:spacing w:line="360" w:lineRule="auto"/>
        <w:ind w:firstLine="709"/>
        <w:jc w:val="both"/>
        <w:rPr>
          <w:sz w:val="28"/>
          <w:szCs w:val="28"/>
          <w:lang w:val="uk-UA"/>
        </w:rPr>
      </w:pPr>
      <w:r>
        <w:rPr>
          <w:b/>
          <w:sz w:val="28"/>
          <w:szCs w:val="28"/>
          <w:lang w:val="uk-UA"/>
        </w:rPr>
        <w:t xml:space="preserve">Примітка: </w:t>
      </w:r>
      <w:r>
        <w:rPr>
          <w:sz w:val="28"/>
          <w:szCs w:val="28"/>
        </w:rPr>
        <w:t>#</w:t>
      </w:r>
      <w:r>
        <w:rPr>
          <w:sz w:val="28"/>
          <w:szCs w:val="28"/>
          <w:lang w:val="uk-UA"/>
        </w:rPr>
        <w:t xml:space="preserve"> – </w:t>
      </w:r>
      <w:r>
        <w:rPr>
          <w:sz w:val="28"/>
          <w:szCs w:val="28"/>
        </w:rPr>
        <w:t>p</w:t>
      </w:r>
      <w:r w:rsidR="00F2677F">
        <w:rPr>
          <w:sz w:val="28"/>
          <w:szCs w:val="28"/>
          <w:lang w:val="uk-UA"/>
        </w:rPr>
        <w:t xml:space="preserve"> </w:t>
      </w:r>
      <w:r>
        <w:rPr>
          <w:sz w:val="28"/>
          <w:szCs w:val="28"/>
        </w:rPr>
        <w:t>˂</w:t>
      </w:r>
      <w:r w:rsidR="00F2677F">
        <w:rPr>
          <w:sz w:val="28"/>
          <w:szCs w:val="28"/>
          <w:lang w:val="uk-UA"/>
        </w:rPr>
        <w:t xml:space="preserve"> </w:t>
      </w:r>
      <w:r>
        <w:rPr>
          <w:sz w:val="28"/>
          <w:szCs w:val="28"/>
          <w:lang w:val="uk-UA"/>
        </w:rPr>
        <w:t>0,05 при порівнянні показників в групах з різною тривалістю захворювання;</w:t>
      </w:r>
    </w:p>
    <w:p w:rsidR="00F2677F" w:rsidRDefault="00737B9C" w:rsidP="00737B9C">
      <w:pPr>
        <w:spacing w:line="360" w:lineRule="auto"/>
        <w:ind w:firstLine="709"/>
        <w:jc w:val="both"/>
        <w:rPr>
          <w:sz w:val="28"/>
          <w:szCs w:val="28"/>
          <w:lang w:val="uk-UA"/>
        </w:rPr>
      </w:pPr>
      <w:r>
        <w:rPr>
          <w:sz w:val="28"/>
          <w:szCs w:val="28"/>
          <w:lang w:val="uk-UA"/>
        </w:rPr>
        <w:t xml:space="preserve">* – </w:t>
      </w:r>
      <w:r>
        <w:rPr>
          <w:sz w:val="28"/>
          <w:szCs w:val="28"/>
        </w:rPr>
        <w:t>p</w:t>
      </w:r>
      <w:r w:rsidR="00F2677F">
        <w:rPr>
          <w:sz w:val="28"/>
          <w:szCs w:val="28"/>
          <w:lang w:val="uk-UA"/>
        </w:rPr>
        <w:t xml:space="preserve"> </w:t>
      </w:r>
      <w:r>
        <w:rPr>
          <w:sz w:val="28"/>
          <w:szCs w:val="28"/>
        </w:rPr>
        <w:t>˂</w:t>
      </w:r>
      <w:r w:rsidR="00F2677F">
        <w:rPr>
          <w:sz w:val="28"/>
          <w:szCs w:val="28"/>
          <w:lang w:val="uk-UA"/>
        </w:rPr>
        <w:t xml:space="preserve"> </w:t>
      </w:r>
      <w:r>
        <w:rPr>
          <w:sz w:val="28"/>
          <w:szCs w:val="28"/>
          <w:lang w:val="uk-UA"/>
        </w:rPr>
        <w:t>0,001 при порівнянні показників в групах з різною тривалістю захворювання</w:t>
      </w:r>
    </w:p>
    <w:p w:rsidR="00F2677F" w:rsidRDefault="00F2677F" w:rsidP="00F2677F">
      <w:pPr>
        <w:spacing w:line="360" w:lineRule="auto"/>
        <w:ind w:firstLine="709"/>
        <w:jc w:val="both"/>
        <w:rPr>
          <w:sz w:val="28"/>
          <w:szCs w:val="28"/>
          <w:lang w:val="uk-UA"/>
        </w:rPr>
      </w:pPr>
      <w:r>
        <w:rPr>
          <w:sz w:val="28"/>
          <w:szCs w:val="28"/>
          <w:lang w:val="uk-UA"/>
        </w:rPr>
        <w:t>Рівень МДА у хворих 1 групи з тривалістю захворювання до 5 років (12,3 (10,81; 13,49) мкмоль/л), був вірогідно нижчім (</w:t>
      </w:r>
      <w:r>
        <w:rPr>
          <w:sz w:val="28"/>
          <w:szCs w:val="28"/>
        </w:rPr>
        <w:t>p</w:t>
      </w:r>
      <w:r>
        <w:rPr>
          <w:sz w:val="28"/>
          <w:szCs w:val="28"/>
          <w:lang w:val="uk-UA"/>
        </w:rPr>
        <w:t xml:space="preserve"> ˂ 0,001) ніж у хворих з тривалістю захворювання від 5 до 10 років (13,97 (12,06; 15,81) мкмоль/л) та у хворих з тривалістю захворювання більше 10 років –  до 14,03 (13,14; 15,59) мкмоль/л (</w:t>
      </w:r>
      <w:r>
        <w:rPr>
          <w:sz w:val="28"/>
          <w:szCs w:val="28"/>
        </w:rPr>
        <w:t>p</w:t>
      </w:r>
      <w:r>
        <w:rPr>
          <w:sz w:val="28"/>
          <w:szCs w:val="28"/>
          <w:lang w:val="uk-UA"/>
        </w:rPr>
        <w:t xml:space="preserve"> ˂ 0,001).</w:t>
      </w:r>
    </w:p>
    <w:p w:rsidR="00737B9C" w:rsidRDefault="00737B9C" w:rsidP="00737B9C">
      <w:pPr>
        <w:spacing w:line="360" w:lineRule="auto"/>
        <w:ind w:firstLine="709"/>
        <w:jc w:val="both"/>
        <w:rPr>
          <w:sz w:val="28"/>
          <w:szCs w:val="28"/>
          <w:lang w:val="uk-UA"/>
        </w:rPr>
      </w:pPr>
      <w:r>
        <w:rPr>
          <w:sz w:val="28"/>
          <w:szCs w:val="28"/>
          <w:lang w:val="uk-UA"/>
        </w:rPr>
        <w:t xml:space="preserve">Концентрація МДА плазми крові у пацієнтів </w:t>
      </w:r>
      <w:r w:rsidR="00F2677F">
        <w:rPr>
          <w:sz w:val="28"/>
          <w:szCs w:val="28"/>
          <w:lang w:val="uk-UA"/>
        </w:rPr>
        <w:t>2</w:t>
      </w:r>
      <w:r>
        <w:rPr>
          <w:sz w:val="28"/>
          <w:szCs w:val="28"/>
          <w:lang w:val="uk-UA"/>
        </w:rPr>
        <w:t xml:space="preserve"> групи з тривалістю захворювання більше 10 років була вірогідно (</w:t>
      </w:r>
      <w:r>
        <w:rPr>
          <w:sz w:val="28"/>
          <w:szCs w:val="28"/>
        </w:rPr>
        <w:t>p</w:t>
      </w:r>
      <w:r w:rsidR="00F2677F">
        <w:rPr>
          <w:sz w:val="28"/>
          <w:szCs w:val="28"/>
          <w:lang w:val="uk-UA"/>
        </w:rPr>
        <w:t xml:space="preserve"> </w:t>
      </w:r>
      <w:r>
        <w:rPr>
          <w:sz w:val="28"/>
          <w:szCs w:val="28"/>
          <w:lang w:val="uk-UA"/>
        </w:rPr>
        <w:t>˂</w:t>
      </w:r>
      <w:r w:rsidR="00F2677F">
        <w:rPr>
          <w:sz w:val="28"/>
          <w:szCs w:val="28"/>
          <w:lang w:val="uk-UA"/>
        </w:rPr>
        <w:t xml:space="preserve"> </w:t>
      </w:r>
      <w:r>
        <w:rPr>
          <w:sz w:val="28"/>
          <w:szCs w:val="28"/>
          <w:lang w:val="uk-UA"/>
        </w:rPr>
        <w:t>0,05) вище (10,61</w:t>
      </w:r>
      <w:r w:rsidR="00F2677F">
        <w:rPr>
          <w:sz w:val="28"/>
          <w:szCs w:val="28"/>
          <w:lang w:val="uk-UA"/>
        </w:rPr>
        <w:t xml:space="preserve"> </w:t>
      </w:r>
      <w:r>
        <w:rPr>
          <w:sz w:val="28"/>
          <w:szCs w:val="28"/>
          <w:lang w:val="uk-UA"/>
        </w:rPr>
        <w:t>(10,25;</w:t>
      </w:r>
      <w:r w:rsidR="00F2677F">
        <w:rPr>
          <w:sz w:val="28"/>
          <w:szCs w:val="28"/>
          <w:lang w:val="uk-UA"/>
        </w:rPr>
        <w:t xml:space="preserve"> </w:t>
      </w:r>
      <w:r>
        <w:rPr>
          <w:sz w:val="28"/>
          <w:szCs w:val="28"/>
          <w:lang w:val="uk-UA"/>
        </w:rPr>
        <w:t>11,15) мкмоль/л) в порівняні з тривалістю від 5 до 10 років (9,07</w:t>
      </w:r>
      <w:r w:rsidR="00F2677F">
        <w:rPr>
          <w:sz w:val="28"/>
          <w:szCs w:val="28"/>
          <w:lang w:val="uk-UA"/>
        </w:rPr>
        <w:t xml:space="preserve"> </w:t>
      </w:r>
      <w:r>
        <w:rPr>
          <w:sz w:val="28"/>
          <w:szCs w:val="28"/>
          <w:lang w:val="uk-UA"/>
        </w:rPr>
        <w:t>(8,21;</w:t>
      </w:r>
      <w:r w:rsidR="00F2677F">
        <w:rPr>
          <w:sz w:val="28"/>
          <w:szCs w:val="28"/>
          <w:lang w:val="uk-UA"/>
        </w:rPr>
        <w:t xml:space="preserve"> </w:t>
      </w:r>
      <w:r>
        <w:rPr>
          <w:sz w:val="28"/>
          <w:szCs w:val="28"/>
          <w:lang w:val="uk-UA"/>
        </w:rPr>
        <w:t>9,32) мкмоль/л) та до 5 років (8,68</w:t>
      </w:r>
      <w:r w:rsidR="00F2677F">
        <w:rPr>
          <w:sz w:val="28"/>
          <w:szCs w:val="28"/>
          <w:lang w:val="uk-UA"/>
        </w:rPr>
        <w:t xml:space="preserve"> </w:t>
      </w:r>
      <w:r>
        <w:rPr>
          <w:sz w:val="28"/>
          <w:szCs w:val="28"/>
          <w:lang w:val="uk-UA"/>
        </w:rPr>
        <w:t>(7,81;</w:t>
      </w:r>
      <w:r w:rsidR="00F2677F">
        <w:rPr>
          <w:sz w:val="28"/>
          <w:szCs w:val="28"/>
          <w:lang w:val="uk-UA"/>
        </w:rPr>
        <w:t xml:space="preserve"> </w:t>
      </w:r>
      <w:r>
        <w:rPr>
          <w:sz w:val="28"/>
          <w:szCs w:val="28"/>
          <w:lang w:val="uk-UA"/>
        </w:rPr>
        <w:t xml:space="preserve">10,18) мкмоль/л).  Центральним механізмом розвитку НАСГ є індукція вільними радикалами ліпотоксичного стресу [49, 52, 258]. Відображенням цього процесу є виявлені нами корелятивні зв’язки між показниками </w:t>
      </w:r>
      <w:r>
        <w:rPr>
          <w:sz w:val="28"/>
          <w:szCs w:val="28"/>
          <w:lang w:val="en-US"/>
        </w:rPr>
        <w:t>NO</w:t>
      </w:r>
      <w:r>
        <w:rPr>
          <w:sz w:val="28"/>
          <w:szCs w:val="28"/>
          <w:lang w:val="uk-UA"/>
        </w:rPr>
        <w:t xml:space="preserve"> та ліпідами сироватки крові (табл. 3.2.5). </w:t>
      </w: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F2677F" w:rsidRDefault="00F2677F" w:rsidP="00737B9C">
      <w:pPr>
        <w:spacing w:line="360" w:lineRule="auto"/>
        <w:ind w:firstLine="709"/>
        <w:jc w:val="right"/>
        <w:rPr>
          <w:sz w:val="28"/>
          <w:szCs w:val="28"/>
          <w:lang w:val="uk-UA"/>
        </w:rPr>
      </w:pPr>
    </w:p>
    <w:p w:rsidR="00737B9C" w:rsidRDefault="00737B9C" w:rsidP="00737B9C">
      <w:pPr>
        <w:spacing w:line="360" w:lineRule="auto"/>
        <w:ind w:firstLine="709"/>
        <w:jc w:val="right"/>
        <w:rPr>
          <w:sz w:val="28"/>
          <w:szCs w:val="28"/>
          <w:lang w:val="uk-UA"/>
        </w:rPr>
      </w:pPr>
      <w:r>
        <w:rPr>
          <w:sz w:val="28"/>
          <w:szCs w:val="28"/>
          <w:lang w:val="uk-UA"/>
        </w:rPr>
        <w:lastRenderedPageBreak/>
        <w:t>Таблиця 3.2.5</w:t>
      </w:r>
    </w:p>
    <w:p w:rsidR="00737B9C" w:rsidRDefault="00737B9C" w:rsidP="00F2677F">
      <w:pPr>
        <w:spacing w:line="360" w:lineRule="auto"/>
        <w:ind w:firstLine="709"/>
        <w:jc w:val="center"/>
        <w:rPr>
          <w:sz w:val="28"/>
          <w:szCs w:val="28"/>
          <w:lang w:val="uk-UA"/>
        </w:rPr>
      </w:pPr>
      <w:r>
        <w:rPr>
          <w:sz w:val="28"/>
          <w:szCs w:val="28"/>
          <w:lang w:val="uk-UA"/>
        </w:rPr>
        <w:t xml:space="preserve">Кореляційні зв’язки між рівнем </w:t>
      </w:r>
      <w:r>
        <w:rPr>
          <w:sz w:val="28"/>
          <w:szCs w:val="28"/>
          <w:lang w:val="en-US"/>
        </w:rPr>
        <w:t>NO</w:t>
      </w:r>
      <w:r>
        <w:rPr>
          <w:sz w:val="28"/>
          <w:szCs w:val="28"/>
          <w:lang w:val="uk-UA"/>
        </w:rPr>
        <w:t xml:space="preserve"> плазми крові та показниками ліпідограми у хворих </w:t>
      </w:r>
      <w:r w:rsidR="00F2677F">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737B9C" w:rsidTr="00737B9C">
        <w:tc>
          <w:tcPr>
            <w:tcW w:w="3190" w:type="dxa"/>
            <w:vMerge w:val="restart"/>
            <w:vAlign w:val="center"/>
          </w:tcPr>
          <w:p w:rsidR="00737B9C" w:rsidRDefault="00737B9C" w:rsidP="00737B9C">
            <w:pPr>
              <w:spacing w:line="360" w:lineRule="auto"/>
              <w:jc w:val="center"/>
              <w:rPr>
                <w:sz w:val="28"/>
                <w:szCs w:val="28"/>
                <w:lang w:val="uk-UA"/>
              </w:rPr>
            </w:pPr>
            <w:r>
              <w:rPr>
                <w:sz w:val="28"/>
                <w:szCs w:val="28"/>
                <w:lang w:val="uk-UA"/>
              </w:rPr>
              <w:t>Показники</w:t>
            </w:r>
          </w:p>
        </w:tc>
        <w:tc>
          <w:tcPr>
            <w:tcW w:w="6381" w:type="dxa"/>
            <w:gridSpan w:val="2"/>
            <w:vAlign w:val="center"/>
          </w:tcPr>
          <w:p w:rsidR="00737B9C" w:rsidRDefault="00737B9C" w:rsidP="00737B9C">
            <w:pPr>
              <w:spacing w:line="360" w:lineRule="auto"/>
              <w:jc w:val="center"/>
              <w:rPr>
                <w:sz w:val="28"/>
                <w:szCs w:val="28"/>
                <w:lang w:val="en-US"/>
              </w:rPr>
            </w:pPr>
            <w:r>
              <w:rPr>
                <w:sz w:val="28"/>
                <w:szCs w:val="28"/>
                <w:lang w:val="en-US"/>
              </w:rPr>
              <w:t>NO</w:t>
            </w:r>
          </w:p>
        </w:tc>
      </w:tr>
      <w:tr w:rsidR="00737B9C" w:rsidTr="00737B9C">
        <w:tc>
          <w:tcPr>
            <w:tcW w:w="0" w:type="auto"/>
            <w:vMerge/>
            <w:vAlign w:val="center"/>
          </w:tcPr>
          <w:p w:rsidR="00737B9C" w:rsidRDefault="00737B9C" w:rsidP="00737B9C">
            <w:pPr>
              <w:rPr>
                <w:sz w:val="28"/>
                <w:szCs w:val="28"/>
                <w:lang w:val="uk-UA"/>
              </w:rPr>
            </w:pPr>
          </w:p>
        </w:tc>
        <w:tc>
          <w:tcPr>
            <w:tcW w:w="3190" w:type="dxa"/>
            <w:vAlign w:val="center"/>
          </w:tcPr>
          <w:p w:rsidR="00737B9C" w:rsidRDefault="00F2677F" w:rsidP="00737B9C">
            <w:pPr>
              <w:spacing w:line="360" w:lineRule="auto"/>
              <w:jc w:val="center"/>
              <w:rPr>
                <w:sz w:val="28"/>
                <w:szCs w:val="28"/>
                <w:lang w:val="uk-UA"/>
              </w:rPr>
            </w:pPr>
            <w:r>
              <w:rPr>
                <w:sz w:val="28"/>
                <w:szCs w:val="28"/>
                <w:lang w:val="uk-UA"/>
              </w:rPr>
              <w:t xml:space="preserve">1 </w:t>
            </w:r>
            <w:r w:rsidR="00737B9C">
              <w:rPr>
                <w:sz w:val="28"/>
                <w:szCs w:val="28"/>
                <w:lang w:val="uk-UA"/>
              </w:rPr>
              <w:t xml:space="preserve">група </w:t>
            </w:r>
          </w:p>
        </w:tc>
        <w:tc>
          <w:tcPr>
            <w:tcW w:w="3191" w:type="dxa"/>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lang w:val="uk-UA"/>
              </w:rPr>
              <w:t>ЗХ</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0,74*</w:t>
            </w:r>
          </w:p>
        </w:tc>
        <w:tc>
          <w:tcPr>
            <w:tcW w:w="3191" w:type="dxa"/>
            <w:vAlign w:val="center"/>
          </w:tcPr>
          <w:p w:rsidR="00F2677F" w:rsidRDefault="00F2677F" w:rsidP="00434F07">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0,79*</w:t>
            </w:r>
          </w:p>
        </w:tc>
      </w:tr>
      <w:tr w:rsidR="00F2677F" w:rsidTr="00737B9C">
        <w:tc>
          <w:tcPr>
            <w:tcW w:w="3190" w:type="dxa"/>
            <w:vAlign w:val="center"/>
          </w:tcPr>
          <w:p w:rsidR="00F2677F" w:rsidRDefault="00F2677F" w:rsidP="00737B9C">
            <w:pPr>
              <w:spacing w:line="360" w:lineRule="auto"/>
              <w:jc w:val="center"/>
              <w:rPr>
                <w:sz w:val="28"/>
                <w:szCs w:val="28"/>
                <w:lang w:val="uk-UA"/>
              </w:rPr>
            </w:pPr>
            <w:r>
              <w:rPr>
                <w:sz w:val="28"/>
                <w:szCs w:val="28"/>
              </w:rPr>
              <w:t>β–ЛП</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0,79*</w:t>
            </w:r>
          </w:p>
        </w:tc>
        <w:tc>
          <w:tcPr>
            <w:tcW w:w="3191"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0,78*</w:t>
            </w:r>
          </w:p>
        </w:tc>
      </w:tr>
      <w:tr w:rsidR="00F2677F" w:rsidTr="00737B9C">
        <w:tc>
          <w:tcPr>
            <w:tcW w:w="3190" w:type="dxa"/>
            <w:vAlign w:val="center"/>
          </w:tcPr>
          <w:p w:rsidR="00F2677F" w:rsidRDefault="00F2677F" w:rsidP="00737B9C">
            <w:pPr>
              <w:spacing w:line="360" w:lineRule="auto"/>
              <w:jc w:val="center"/>
              <w:rPr>
                <w:sz w:val="28"/>
                <w:szCs w:val="28"/>
              </w:rPr>
            </w:pPr>
            <w:r>
              <w:rPr>
                <w:sz w:val="28"/>
                <w:szCs w:val="28"/>
              </w:rPr>
              <w:t>ТГ</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0,73*</w:t>
            </w:r>
          </w:p>
        </w:tc>
        <w:tc>
          <w:tcPr>
            <w:tcW w:w="3191"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0,77*</w:t>
            </w:r>
          </w:p>
        </w:tc>
      </w:tr>
      <w:tr w:rsidR="00F2677F" w:rsidTr="00737B9C">
        <w:tc>
          <w:tcPr>
            <w:tcW w:w="3190" w:type="dxa"/>
            <w:vAlign w:val="center"/>
          </w:tcPr>
          <w:p w:rsidR="00F2677F" w:rsidRDefault="00F2677F" w:rsidP="00737B9C">
            <w:pPr>
              <w:spacing w:line="360" w:lineRule="auto"/>
              <w:jc w:val="center"/>
              <w:rPr>
                <w:sz w:val="28"/>
                <w:szCs w:val="28"/>
              </w:rPr>
            </w:pPr>
            <w:r>
              <w:rPr>
                <w:sz w:val="28"/>
                <w:szCs w:val="28"/>
              </w:rPr>
              <w:t>ЛПВЩ</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0,80*</w:t>
            </w:r>
          </w:p>
        </w:tc>
        <w:tc>
          <w:tcPr>
            <w:tcW w:w="3191"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w:t>
            </w:r>
            <w:r w:rsidR="00434F07">
              <w:rPr>
                <w:sz w:val="28"/>
                <w:szCs w:val="28"/>
                <w:lang w:val="uk-UA"/>
              </w:rPr>
              <w:t xml:space="preserve"> </w:t>
            </w:r>
            <w:r>
              <w:rPr>
                <w:sz w:val="28"/>
                <w:szCs w:val="28"/>
                <w:lang w:val="uk-UA"/>
              </w:rPr>
              <w:t>0,79*</w:t>
            </w:r>
          </w:p>
        </w:tc>
      </w:tr>
      <w:tr w:rsidR="00F2677F" w:rsidTr="00737B9C">
        <w:tc>
          <w:tcPr>
            <w:tcW w:w="3190" w:type="dxa"/>
            <w:vAlign w:val="center"/>
          </w:tcPr>
          <w:p w:rsidR="00F2677F" w:rsidRDefault="00F2677F" w:rsidP="00737B9C">
            <w:pPr>
              <w:spacing w:line="360" w:lineRule="auto"/>
              <w:jc w:val="center"/>
              <w:rPr>
                <w:sz w:val="28"/>
                <w:szCs w:val="28"/>
              </w:rPr>
            </w:pPr>
            <w:r>
              <w:rPr>
                <w:sz w:val="28"/>
                <w:szCs w:val="28"/>
              </w:rPr>
              <w:t>ЛПНЩ</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0,81*</w:t>
            </w:r>
          </w:p>
        </w:tc>
        <w:tc>
          <w:tcPr>
            <w:tcW w:w="3191"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0,79*</w:t>
            </w:r>
          </w:p>
        </w:tc>
      </w:tr>
      <w:tr w:rsidR="00F2677F" w:rsidTr="00737B9C">
        <w:tc>
          <w:tcPr>
            <w:tcW w:w="3190" w:type="dxa"/>
            <w:vAlign w:val="center"/>
          </w:tcPr>
          <w:p w:rsidR="00F2677F" w:rsidRDefault="00F2677F" w:rsidP="00737B9C">
            <w:pPr>
              <w:spacing w:line="360" w:lineRule="auto"/>
              <w:jc w:val="center"/>
              <w:rPr>
                <w:sz w:val="28"/>
                <w:szCs w:val="28"/>
              </w:rPr>
            </w:pPr>
            <w:r>
              <w:rPr>
                <w:sz w:val="28"/>
                <w:szCs w:val="28"/>
              </w:rPr>
              <w:t>ЛПДНЩ</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0,72*</w:t>
            </w:r>
          </w:p>
        </w:tc>
        <w:tc>
          <w:tcPr>
            <w:tcW w:w="3191"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0,71*</w:t>
            </w:r>
          </w:p>
        </w:tc>
      </w:tr>
      <w:tr w:rsidR="00F2677F" w:rsidTr="00737B9C">
        <w:tc>
          <w:tcPr>
            <w:tcW w:w="3190" w:type="dxa"/>
            <w:vAlign w:val="center"/>
          </w:tcPr>
          <w:p w:rsidR="00F2677F" w:rsidRDefault="00F2677F" w:rsidP="00737B9C">
            <w:pPr>
              <w:spacing w:line="360" w:lineRule="auto"/>
              <w:jc w:val="center"/>
              <w:rPr>
                <w:sz w:val="28"/>
                <w:szCs w:val="28"/>
              </w:rPr>
            </w:pPr>
            <w:r>
              <w:rPr>
                <w:sz w:val="28"/>
                <w:szCs w:val="28"/>
                <w:lang w:val="uk-UA"/>
              </w:rPr>
              <w:t>Коефіцієнт атерогенності</w:t>
            </w:r>
          </w:p>
        </w:tc>
        <w:tc>
          <w:tcPr>
            <w:tcW w:w="3190"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0,74*</w:t>
            </w:r>
          </w:p>
        </w:tc>
        <w:tc>
          <w:tcPr>
            <w:tcW w:w="3191" w:type="dxa"/>
            <w:vAlign w:val="center"/>
          </w:tcPr>
          <w:p w:rsidR="00F2677F" w:rsidRDefault="00F2677F"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0,73*</w:t>
            </w:r>
          </w:p>
        </w:tc>
      </w:tr>
    </w:tbl>
    <w:p w:rsidR="00F2677F" w:rsidRDefault="00737B9C" w:rsidP="00737B9C">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w:t>
      </w:r>
    </w:p>
    <w:p w:rsidR="00737B9C" w:rsidRDefault="00737B9C" w:rsidP="00737B9C">
      <w:pPr>
        <w:spacing w:line="360" w:lineRule="auto"/>
        <w:ind w:firstLine="709"/>
        <w:jc w:val="both"/>
        <w:rPr>
          <w:sz w:val="28"/>
          <w:szCs w:val="28"/>
          <w:lang w:val="uk-UA"/>
        </w:rPr>
      </w:pPr>
      <w:r>
        <w:rPr>
          <w:sz w:val="28"/>
          <w:szCs w:val="28"/>
          <w:lang w:val="uk-UA"/>
        </w:rPr>
        <w:t xml:space="preserve">Встановлена сильна пряма кореляційна залежність між </w:t>
      </w:r>
      <w:r>
        <w:rPr>
          <w:sz w:val="28"/>
          <w:szCs w:val="28"/>
          <w:lang w:val="en-US"/>
        </w:rPr>
        <w:t>NO</w:t>
      </w:r>
      <w:r w:rsidRPr="00423488">
        <w:rPr>
          <w:sz w:val="28"/>
          <w:szCs w:val="28"/>
        </w:rPr>
        <w:t xml:space="preserve"> </w:t>
      </w:r>
      <w:r>
        <w:rPr>
          <w:sz w:val="28"/>
          <w:szCs w:val="28"/>
          <w:lang w:val="uk-UA"/>
        </w:rPr>
        <w:t>та ЗХ (</w:t>
      </w:r>
      <w:r>
        <w:rPr>
          <w:sz w:val="28"/>
          <w:szCs w:val="28"/>
          <w:lang w:val="en-US"/>
        </w:rPr>
        <w:t>r</w:t>
      </w:r>
      <w:r>
        <w:rPr>
          <w:sz w:val="28"/>
          <w:szCs w:val="28"/>
          <w:lang w:val="uk-UA"/>
        </w:rPr>
        <w:t xml:space="preserve"> </w:t>
      </w:r>
      <w:r>
        <w:rPr>
          <w:sz w:val="28"/>
          <w:szCs w:val="28"/>
        </w:rPr>
        <w:t>=</w:t>
      </w:r>
      <w:r w:rsidR="00434F07">
        <w:rPr>
          <w:sz w:val="28"/>
          <w:szCs w:val="28"/>
          <w:lang w:val="uk-UA"/>
        </w:rPr>
        <w:t xml:space="preserve"> </w:t>
      </w:r>
      <w:r>
        <w:rPr>
          <w:sz w:val="28"/>
          <w:szCs w:val="28"/>
          <w:lang w:val="uk-UA"/>
        </w:rPr>
        <w:t>0,7</w:t>
      </w:r>
      <w:r w:rsidR="00434F07">
        <w:rPr>
          <w:sz w:val="28"/>
          <w:szCs w:val="28"/>
          <w:lang w:val="uk-UA"/>
        </w:rPr>
        <w:t>4</w:t>
      </w:r>
      <w:r>
        <w:rPr>
          <w:sz w:val="28"/>
          <w:szCs w:val="28"/>
          <w:lang w:val="uk-UA"/>
        </w:rPr>
        <w:t>) (</w:t>
      </w:r>
      <w:r>
        <w:rPr>
          <w:sz w:val="28"/>
          <w:szCs w:val="28"/>
          <w:lang w:val="en-US"/>
        </w:rPr>
        <w:t>p</w:t>
      </w:r>
      <w:r>
        <w:rPr>
          <w:sz w:val="28"/>
          <w:szCs w:val="28"/>
          <w:lang w:val="uk-UA"/>
        </w:rPr>
        <w:t>&lt;0,01) як у хворих 1 так і у хворих 2</w:t>
      </w:r>
      <w:r w:rsidR="00434F07">
        <w:rPr>
          <w:sz w:val="28"/>
          <w:szCs w:val="28"/>
          <w:lang w:val="uk-UA"/>
        </w:rPr>
        <w:t xml:space="preserve"> </w:t>
      </w:r>
      <w:r>
        <w:rPr>
          <w:sz w:val="28"/>
          <w:szCs w:val="28"/>
          <w:lang w:val="uk-UA"/>
        </w:rPr>
        <w:t>(</w:t>
      </w:r>
      <w:r>
        <w:rPr>
          <w:sz w:val="28"/>
          <w:szCs w:val="28"/>
          <w:lang w:val="en-US"/>
        </w:rPr>
        <w:t>r</w:t>
      </w:r>
      <w:r>
        <w:rPr>
          <w:sz w:val="28"/>
          <w:szCs w:val="28"/>
          <w:lang w:val="uk-UA"/>
        </w:rPr>
        <w:t xml:space="preserve"> </w:t>
      </w:r>
      <w:r>
        <w:rPr>
          <w:sz w:val="28"/>
          <w:szCs w:val="28"/>
        </w:rPr>
        <w:t>=</w:t>
      </w:r>
      <w:r w:rsidR="00434F07">
        <w:rPr>
          <w:sz w:val="28"/>
          <w:szCs w:val="28"/>
          <w:lang w:val="uk-UA"/>
        </w:rPr>
        <w:t xml:space="preserve"> 0,79</w:t>
      </w:r>
      <w:r>
        <w:rPr>
          <w:sz w:val="28"/>
          <w:szCs w:val="28"/>
          <w:lang w:val="uk-UA"/>
        </w:rPr>
        <w:t>)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групи. Вміст NO у хворих обох груп виявляв сильний кореляційний зв’язок з рівнем </w:t>
      </w:r>
      <w:r>
        <w:rPr>
          <w:sz w:val="28"/>
          <w:szCs w:val="28"/>
        </w:rPr>
        <w:t>β</w:t>
      </w:r>
      <w:r w:rsidR="00F2677F">
        <w:rPr>
          <w:sz w:val="28"/>
          <w:szCs w:val="28"/>
          <w:lang w:val="uk-UA"/>
        </w:rPr>
        <w:t>–</w:t>
      </w:r>
      <w:r>
        <w:rPr>
          <w:sz w:val="28"/>
          <w:szCs w:val="28"/>
          <w:lang w:val="uk-UA"/>
        </w:rPr>
        <w:t>ЛП сироватки крові – (</w:t>
      </w:r>
      <w:r>
        <w:rPr>
          <w:sz w:val="28"/>
          <w:szCs w:val="28"/>
          <w:lang w:val="en-US"/>
        </w:rPr>
        <w:t>r</w:t>
      </w:r>
      <w:r w:rsidR="00434F07">
        <w:rPr>
          <w:sz w:val="28"/>
          <w:szCs w:val="28"/>
          <w:lang w:val="uk-UA"/>
        </w:rPr>
        <w:t xml:space="preserve"> = 0,72</w:t>
      </w:r>
      <w:r>
        <w:rPr>
          <w:sz w:val="28"/>
          <w:szCs w:val="28"/>
          <w:lang w:val="uk-UA"/>
        </w:rPr>
        <w:t>)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та (</w:t>
      </w:r>
      <w:r>
        <w:rPr>
          <w:sz w:val="28"/>
          <w:szCs w:val="28"/>
          <w:lang w:val="en-US"/>
        </w:rPr>
        <w:t>r</w:t>
      </w:r>
      <w:r w:rsidR="00434F07">
        <w:rPr>
          <w:sz w:val="28"/>
          <w:szCs w:val="28"/>
          <w:lang w:val="uk-UA"/>
        </w:rPr>
        <w:t xml:space="preserve"> = 0,79</w:t>
      </w:r>
      <w:r>
        <w:rPr>
          <w:sz w:val="28"/>
          <w:szCs w:val="28"/>
          <w:lang w:val="uk-UA"/>
        </w:rPr>
        <w:t>)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відповідно в 1 та 2 групах. Кореляційна залежність виявлена між </w:t>
      </w:r>
      <w:r>
        <w:rPr>
          <w:sz w:val="28"/>
          <w:szCs w:val="28"/>
          <w:lang w:val="en-US"/>
        </w:rPr>
        <w:t>NO</w:t>
      </w:r>
      <w:r>
        <w:rPr>
          <w:sz w:val="28"/>
          <w:szCs w:val="28"/>
          <w:lang w:val="uk-UA"/>
        </w:rPr>
        <w:t xml:space="preserve"> та ЛПНЩ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w:t>
      </w:r>
      <w:r w:rsidR="00434F07">
        <w:rPr>
          <w:sz w:val="28"/>
          <w:szCs w:val="28"/>
          <w:lang w:val="uk-UA"/>
        </w:rPr>
        <w:t>81</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w:t>
      </w:r>
      <w:r w:rsidR="00434F07">
        <w:rPr>
          <w:sz w:val="28"/>
          <w:szCs w:val="28"/>
          <w:lang w:val="uk-UA"/>
        </w:rPr>
        <w:t>79</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між </w:t>
      </w:r>
      <w:r>
        <w:rPr>
          <w:sz w:val="28"/>
          <w:szCs w:val="28"/>
          <w:lang w:val="en-US"/>
        </w:rPr>
        <w:t>NO</w:t>
      </w:r>
      <w:r>
        <w:rPr>
          <w:sz w:val="28"/>
          <w:szCs w:val="28"/>
          <w:lang w:val="uk-UA"/>
        </w:rPr>
        <w:t xml:space="preserve"> та ТГ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3</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7</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між </w:t>
      </w:r>
      <w:r>
        <w:rPr>
          <w:sz w:val="28"/>
          <w:szCs w:val="28"/>
          <w:lang w:val="en-US"/>
        </w:rPr>
        <w:t>NO</w:t>
      </w:r>
      <w:r>
        <w:rPr>
          <w:sz w:val="28"/>
          <w:szCs w:val="28"/>
          <w:lang w:val="uk-UA"/>
        </w:rPr>
        <w:t xml:space="preserve"> і коефіцієнтом атерогенності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4</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3</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та </w:t>
      </w:r>
      <w:r>
        <w:rPr>
          <w:sz w:val="28"/>
          <w:szCs w:val="28"/>
          <w:lang w:val="en-US"/>
        </w:rPr>
        <w:t>NO</w:t>
      </w:r>
      <w:r>
        <w:rPr>
          <w:sz w:val="28"/>
          <w:szCs w:val="28"/>
          <w:lang w:val="uk-UA"/>
        </w:rPr>
        <w:t xml:space="preserve"> та ЛПДНЩ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2</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1</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та. Обернений кореляційний зв</w:t>
      </w:r>
      <w:r>
        <w:rPr>
          <w:sz w:val="28"/>
          <w:szCs w:val="28"/>
        </w:rPr>
        <w:t>’</w:t>
      </w:r>
      <w:r>
        <w:rPr>
          <w:sz w:val="28"/>
          <w:szCs w:val="28"/>
          <w:lang w:val="uk-UA"/>
        </w:rPr>
        <w:t xml:space="preserve">язок встановлений між </w:t>
      </w:r>
      <w:r>
        <w:rPr>
          <w:sz w:val="28"/>
          <w:szCs w:val="28"/>
          <w:lang w:val="en-US"/>
        </w:rPr>
        <w:t>NO</w:t>
      </w:r>
      <w:r>
        <w:rPr>
          <w:sz w:val="28"/>
          <w:szCs w:val="28"/>
          <w:lang w:val="uk-UA"/>
        </w:rPr>
        <w:t xml:space="preserve"> та ЛПВЩ: в 1 групі він складав </w:t>
      </w:r>
      <w:r>
        <w:rPr>
          <w:sz w:val="28"/>
          <w:szCs w:val="28"/>
          <w:lang w:val="en-US"/>
        </w:rPr>
        <w:t>r</w:t>
      </w:r>
      <w:r>
        <w:rPr>
          <w:sz w:val="28"/>
          <w:szCs w:val="28"/>
          <w:lang w:val="uk-UA"/>
        </w:rPr>
        <w:t xml:space="preserve"> </w:t>
      </w:r>
      <w:r>
        <w:rPr>
          <w:sz w:val="28"/>
          <w:szCs w:val="28"/>
        </w:rPr>
        <w:t>=</w:t>
      </w:r>
      <w:r w:rsidR="00434F07">
        <w:rPr>
          <w:sz w:val="28"/>
          <w:szCs w:val="28"/>
          <w:lang w:val="uk-UA"/>
        </w:rPr>
        <w:t xml:space="preserve"> </w:t>
      </w:r>
      <w:r w:rsidR="00F2677F">
        <w:rPr>
          <w:sz w:val="28"/>
          <w:szCs w:val="28"/>
          <w:lang w:val="uk-UA"/>
        </w:rPr>
        <w:t>–</w:t>
      </w:r>
      <w:r w:rsidR="00434F07">
        <w:rPr>
          <w:sz w:val="28"/>
          <w:szCs w:val="28"/>
          <w:lang w:val="uk-UA"/>
        </w:rPr>
        <w:t xml:space="preserve"> 0,80</w:t>
      </w:r>
      <w:r>
        <w:rPr>
          <w:sz w:val="28"/>
          <w:szCs w:val="28"/>
          <w:lang w:val="uk-UA"/>
        </w:rPr>
        <w:t xml:space="preserve"> (р</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 2 – </w:t>
      </w:r>
      <w:r>
        <w:rPr>
          <w:sz w:val="28"/>
          <w:szCs w:val="28"/>
          <w:lang w:val="en-US"/>
        </w:rPr>
        <w:t>r</w:t>
      </w:r>
      <w:r>
        <w:rPr>
          <w:sz w:val="28"/>
          <w:szCs w:val="28"/>
          <w:lang w:val="uk-UA"/>
        </w:rPr>
        <w:t xml:space="preserve"> </w:t>
      </w:r>
      <w:r>
        <w:rPr>
          <w:sz w:val="28"/>
          <w:szCs w:val="28"/>
        </w:rPr>
        <w:t>=</w:t>
      </w:r>
      <w:r w:rsidR="00434F07">
        <w:rPr>
          <w:sz w:val="28"/>
          <w:szCs w:val="28"/>
          <w:lang w:val="uk-UA"/>
        </w:rPr>
        <w:t xml:space="preserve"> </w:t>
      </w:r>
      <w:r w:rsidR="00F2677F">
        <w:rPr>
          <w:sz w:val="28"/>
          <w:szCs w:val="28"/>
        </w:rPr>
        <w:t>–</w:t>
      </w:r>
      <w:r w:rsidR="00434F07">
        <w:rPr>
          <w:sz w:val="28"/>
          <w:szCs w:val="28"/>
          <w:lang w:val="uk-UA"/>
        </w:rPr>
        <w:t xml:space="preserve"> 0,79</w:t>
      </w:r>
      <w:r>
        <w:rPr>
          <w:sz w:val="28"/>
          <w:szCs w:val="28"/>
          <w:lang w:val="uk-UA"/>
        </w:rPr>
        <w:t xml:space="preserve"> (р</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w:t>
      </w:r>
    </w:p>
    <w:p w:rsidR="00737B9C" w:rsidRDefault="00737B9C" w:rsidP="00737B9C">
      <w:pPr>
        <w:spacing w:line="360" w:lineRule="auto"/>
        <w:ind w:firstLine="709"/>
        <w:jc w:val="both"/>
        <w:rPr>
          <w:sz w:val="28"/>
          <w:szCs w:val="28"/>
          <w:lang w:val="uk-UA"/>
        </w:rPr>
      </w:pPr>
      <w:r>
        <w:rPr>
          <w:sz w:val="28"/>
          <w:szCs w:val="28"/>
          <w:lang w:val="uk-UA"/>
        </w:rPr>
        <w:t xml:space="preserve">Отримані результати засвідчують роль </w:t>
      </w:r>
      <w:r>
        <w:rPr>
          <w:sz w:val="28"/>
          <w:szCs w:val="28"/>
          <w:lang w:val="en-US"/>
        </w:rPr>
        <w:t>NO</w:t>
      </w:r>
      <w:r>
        <w:rPr>
          <w:sz w:val="28"/>
          <w:szCs w:val="28"/>
          <w:lang w:val="uk-UA"/>
        </w:rPr>
        <w:t xml:space="preserve"> в обміні ліпідів у хворих НАСГ та в поєднанні з ЦД 2 типу. </w:t>
      </w:r>
    </w:p>
    <w:p w:rsidR="00737B9C" w:rsidRDefault="00737B9C" w:rsidP="00737B9C">
      <w:pPr>
        <w:spacing w:line="360" w:lineRule="auto"/>
        <w:ind w:firstLine="709"/>
        <w:jc w:val="both"/>
        <w:rPr>
          <w:sz w:val="28"/>
          <w:szCs w:val="28"/>
          <w:lang w:val="uk-UA"/>
        </w:rPr>
      </w:pPr>
      <w:r>
        <w:rPr>
          <w:sz w:val="28"/>
          <w:szCs w:val="28"/>
          <w:lang w:val="uk-UA"/>
        </w:rPr>
        <w:t>Відображенням інтенсивності процесів ПОЛ є</w:t>
      </w:r>
      <w:r w:rsidR="00434F07">
        <w:rPr>
          <w:sz w:val="28"/>
          <w:szCs w:val="28"/>
          <w:lang w:val="uk-UA"/>
        </w:rPr>
        <w:t xml:space="preserve"> накопичення вторинного продукту</w:t>
      </w:r>
      <w:r>
        <w:rPr>
          <w:sz w:val="28"/>
          <w:szCs w:val="28"/>
          <w:lang w:val="uk-UA"/>
        </w:rPr>
        <w:t xml:space="preserve"> ліпопероксидації – МДА, що підвищується у хворих в умовах надлишкового ліпідного балансу. Підтвердженням </w:t>
      </w:r>
      <w:r w:rsidR="00434F07">
        <w:rPr>
          <w:sz w:val="28"/>
          <w:szCs w:val="28"/>
          <w:lang w:val="uk-UA"/>
        </w:rPr>
        <w:t>цього</w:t>
      </w:r>
      <w:r>
        <w:rPr>
          <w:sz w:val="28"/>
          <w:szCs w:val="28"/>
          <w:lang w:val="uk-UA"/>
        </w:rPr>
        <w:t xml:space="preserve"> є виявлені нами </w:t>
      </w:r>
      <w:r>
        <w:rPr>
          <w:sz w:val="28"/>
          <w:szCs w:val="28"/>
          <w:lang w:val="uk-UA"/>
        </w:rPr>
        <w:lastRenderedPageBreak/>
        <w:t>кореляційні залежності між рівнем ліпідів сироватки крові та концентрацією МДА (табл. 3.2.6).</w:t>
      </w:r>
    </w:p>
    <w:p w:rsidR="00737B9C" w:rsidRDefault="00737B9C" w:rsidP="00737B9C">
      <w:pPr>
        <w:spacing w:line="360" w:lineRule="auto"/>
        <w:ind w:firstLine="709"/>
        <w:jc w:val="right"/>
        <w:rPr>
          <w:sz w:val="28"/>
          <w:szCs w:val="28"/>
          <w:lang w:val="uk-UA"/>
        </w:rPr>
      </w:pPr>
      <w:r>
        <w:rPr>
          <w:sz w:val="28"/>
          <w:szCs w:val="28"/>
          <w:lang w:val="uk-UA"/>
        </w:rPr>
        <w:t>Таблиця 3.2.6</w:t>
      </w:r>
    </w:p>
    <w:p w:rsidR="00737B9C" w:rsidRDefault="00737B9C" w:rsidP="00434F07">
      <w:pPr>
        <w:spacing w:line="360" w:lineRule="auto"/>
        <w:ind w:firstLine="709"/>
        <w:jc w:val="center"/>
        <w:rPr>
          <w:sz w:val="28"/>
          <w:szCs w:val="28"/>
          <w:lang w:val="uk-UA"/>
        </w:rPr>
      </w:pPr>
      <w:r>
        <w:rPr>
          <w:sz w:val="28"/>
          <w:szCs w:val="28"/>
          <w:lang w:val="uk-UA"/>
        </w:rPr>
        <w:t xml:space="preserve">Кореляційні зв’язки між рівнем МДА плазми крові та показниками ліпідограми у хворих </w:t>
      </w:r>
      <w:r w:rsidR="00434F07">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737B9C" w:rsidTr="00737B9C">
        <w:tc>
          <w:tcPr>
            <w:tcW w:w="3190" w:type="dxa"/>
            <w:vMerge w:val="restart"/>
            <w:vAlign w:val="center"/>
          </w:tcPr>
          <w:p w:rsidR="00737B9C" w:rsidRDefault="00737B9C" w:rsidP="00737B9C">
            <w:pPr>
              <w:spacing w:line="360" w:lineRule="auto"/>
              <w:jc w:val="center"/>
              <w:rPr>
                <w:sz w:val="28"/>
                <w:szCs w:val="28"/>
                <w:lang w:val="uk-UA"/>
              </w:rPr>
            </w:pPr>
            <w:r>
              <w:rPr>
                <w:sz w:val="28"/>
                <w:szCs w:val="28"/>
                <w:lang w:val="uk-UA"/>
              </w:rPr>
              <w:t>Показники</w:t>
            </w:r>
          </w:p>
        </w:tc>
        <w:tc>
          <w:tcPr>
            <w:tcW w:w="6381" w:type="dxa"/>
            <w:gridSpan w:val="2"/>
            <w:vAlign w:val="center"/>
          </w:tcPr>
          <w:p w:rsidR="00737B9C" w:rsidRDefault="00737B9C" w:rsidP="00737B9C">
            <w:pPr>
              <w:spacing w:line="360" w:lineRule="auto"/>
              <w:jc w:val="center"/>
              <w:rPr>
                <w:sz w:val="28"/>
                <w:szCs w:val="28"/>
                <w:lang w:val="uk-UA"/>
              </w:rPr>
            </w:pPr>
            <w:r>
              <w:rPr>
                <w:sz w:val="28"/>
                <w:szCs w:val="28"/>
                <w:lang w:val="uk-UA"/>
              </w:rPr>
              <w:t>МДА</w:t>
            </w:r>
          </w:p>
        </w:tc>
      </w:tr>
      <w:tr w:rsidR="00737B9C" w:rsidTr="00737B9C">
        <w:tc>
          <w:tcPr>
            <w:tcW w:w="0" w:type="auto"/>
            <w:vMerge/>
            <w:vAlign w:val="center"/>
          </w:tcPr>
          <w:p w:rsidR="00737B9C" w:rsidRDefault="00737B9C" w:rsidP="00737B9C">
            <w:pPr>
              <w:rPr>
                <w:sz w:val="28"/>
                <w:szCs w:val="28"/>
                <w:lang w:val="uk-UA"/>
              </w:rPr>
            </w:pPr>
          </w:p>
        </w:tc>
        <w:tc>
          <w:tcPr>
            <w:tcW w:w="3190" w:type="dxa"/>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p>
        </w:tc>
        <w:tc>
          <w:tcPr>
            <w:tcW w:w="3191" w:type="dxa"/>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w:t>
            </w:r>
          </w:p>
        </w:tc>
      </w:tr>
      <w:tr w:rsidR="00434F07" w:rsidTr="00737B9C">
        <w:tc>
          <w:tcPr>
            <w:tcW w:w="3190" w:type="dxa"/>
            <w:vAlign w:val="center"/>
          </w:tcPr>
          <w:p w:rsidR="00434F07" w:rsidRDefault="00434F07" w:rsidP="00737B9C">
            <w:pPr>
              <w:spacing w:line="360" w:lineRule="auto"/>
              <w:jc w:val="center"/>
              <w:rPr>
                <w:sz w:val="28"/>
                <w:szCs w:val="28"/>
                <w:lang w:val="uk-UA"/>
              </w:rPr>
            </w:pPr>
            <w:r>
              <w:rPr>
                <w:sz w:val="28"/>
                <w:szCs w:val="28"/>
                <w:lang w:val="uk-UA"/>
              </w:rPr>
              <w:t>ЗХ</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0,69*</w:t>
            </w:r>
          </w:p>
        </w:tc>
        <w:tc>
          <w:tcPr>
            <w:tcW w:w="3191" w:type="dxa"/>
            <w:vAlign w:val="center"/>
          </w:tcPr>
          <w:p w:rsidR="00434F07" w:rsidRDefault="00434F07" w:rsidP="00434F07">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 xml:space="preserve"> 0,77*</w:t>
            </w:r>
          </w:p>
        </w:tc>
      </w:tr>
      <w:tr w:rsidR="00434F07" w:rsidTr="00737B9C">
        <w:tc>
          <w:tcPr>
            <w:tcW w:w="3190" w:type="dxa"/>
            <w:vAlign w:val="center"/>
          </w:tcPr>
          <w:p w:rsidR="00434F07" w:rsidRDefault="00434F07" w:rsidP="00737B9C">
            <w:pPr>
              <w:spacing w:line="360" w:lineRule="auto"/>
              <w:jc w:val="center"/>
              <w:rPr>
                <w:sz w:val="28"/>
                <w:szCs w:val="28"/>
                <w:lang w:val="uk-UA"/>
              </w:rPr>
            </w:pPr>
            <w:r>
              <w:rPr>
                <w:sz w:val="28"/>
                <w:szCs w:val="28"/>
              </w:rPr>
              <w:t>β–ЛП</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0,73*</w:t>
            </w:r>
          </w:p>
        </w:tc>
        <w:tc>
          <w:tcPr>
            <w:tcW w:w="3191"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0,72*</w:t>
            </w:r>
          </w:p>
        </w:tc>
      </w:tr>
      <w:tr w:rsidR="00434F07" w:rsidTr="00737B9C">
        <w:tc>
          <w:tcPr>
            <w:tcW w:w="3190" w:type="dxa"/>
            <w:vAlign w:val="center"/>
          </w:tcPr>
          <w:p w:rsidR="00434F07" w:rsidRDefault="00434F07" w:rsidP="00737B9C">
            <w:pPr>
              <w:spacing w:line="360" w:lineRule="auto"/>
              <w:jc w:val="center"/>
              <w:rPr>
                <w:sz w:val="28"/>
                <w:szCs w:val="28"/>
              </w:rPr>
            </w:pPr>
            <w:r>
              <w:rPr>
                <w:sz w:val="28"/>
                <w:szCs w:val="28"/>
              </w:rPr>
              <w:t>ТГ</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0,70*</w:t>
            </w:r>
          </w:p>
        </w:tc>
        <w:tc>
          <w:tcPr>
            <w:tcW w:w="3191"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0,71*</w:t>
            </w:r>
          </w:p>
        </w:tc>
      </w:tr>
      <w:tr w:rsidR="00434F07" w:rsidTr="00737B9C">
        <w:tc>
          <w:tcPr>
            <w:tcW w:w="3190" w:type="dxa"/>
            <w:vAlign w:val="center"/>
          </w:tcPr>
          <w:p w:rsidR="00434F07" w:rsidRDefault="00434F07" w:rsidP="00737B9C">
            <w:pPr>
              <w:spacing w:line="360" w:lineRule="auto"/>
              <w:jc w:val="center"/>
              <w:rPr>
                <w:sz w:val="28"/>
                <w:szCs w:val="28"/>
              </w:rPr>
            </w:pPr>
            <w:r>
              <w:rPr>
                <w:sz w:val="28"/>
                <w:szCs w:val="28"/>
              </w:rPr>
              <w:t>ЛПВЩ</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0,74*</w:t>
            </w:r>
          </w:p>
        </w:tc>
        <w:tc>
          <w:tcPr>
            <w:tcW w:w="3191"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0,75*</w:t>
            </w:r>
          </w:p>
        </w:tc>
      </w:tr>
      <w:tr w:rsidR="00434F07" w:rsidTr="00737B9C">
        <w:tc>
          <w:tcPr>
            <w:tcW w:w="3190" w:type="dxa"/>
            <w:vAlign w:val="center"/>
          </w:tcPr>
          <w:p w:rsidR="00434F07" w:rsidRDefault="00434F07" w:rsidP="00737B9C">
            <w:pPr>
              <w:spacing w:line="360" w:lineRule="auto"/>
              <w:jc w:val="center"/>
              <w:rPr>
                <w:sz w:val="28"/>
                <w:szCs w:val="28"/>
              </w:rPr>
            </w:pPr>
            <w:r>
              <w:rPr>
                <w:sz w:val="28"/>
                <w:szCs w:val="28"/>
              </w:rPr>
              <w:t>ЛПНЩ</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0,77*</w:t>
            </w:r>
          </w:p>
        </w:tc>
        <w:tc>
          <w:tcPr>
            <w:tcW w:w="3191"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0,78*</w:t>
            </w:r>
          </w:p>
        </w:tc>
      </w:tr>
      <w:tr w:rsidR="00434F07" w:rsidTr="00737B9C">
        <w:tc>
          <w:tcPr>
            <w:tcW w:w="3190" w:type="dxa"/>
            <w:vAlign w:val="center"/>
          </w:tcPr>
          <w:p w:rsidR="00434F07" w:rsidRDefault="00434F07" w:rsidP="00737B9C">
            <w:pPr>
              <w:spacing w:line="360" w:lineRule="auto"/>
              <w:jc w:val="center"/>
              <w:rPr>
                <w:sz w:val="28"/>
                <w:szCs w:val="28"/>
              </w:rPr>
            </w:pPr>
            <w:r>
              <w:rPr>
                <w:sz w:val="28"/>
                <w:szCs w:val="28"/>
              </w:rPr>
              <w:t>ЛПДНЩ</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0,71*</w:t>
            </w:r>
          </w:p>
        </w:tc>
        <w:tc>
          <w:tcPr>
            <w:tcW w:w="3191"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0,71*</w:t>
            </w:r>
          </w:p>
        </w:tc>
      </w:tr>
      <w:tr w:rsidR="00434F07" w:rsidTr="00737B9C">
        <w:tc>
          <w:tcPr>
            <w:tcW w:w="3190" w:type="dxa"/>
            <w:vAlign w:val="center"/>
          </w:tcPr>
          <w:p w:rsidR="00434F07" w:rsidRDefault="00434F07" w:rsidP="00737B9C">
            <w:pPr>
              <w:spacing w:line="360" w:lineRule="auto"/>
              <w:jc w:val="center"/>
              <w:rPr>
                <w:sz w:val="28"/>
                <w:szCs w:val="28"/>
              </w:rPr>
            </w:pPr>
            <w:r>
              <w:rPr>
                <w:sz w:val="28"/>
                <w:szCs w:val="28"/>
                <w:lang w:val="uk-UA"/>
              </w:rPr>
              <w:t>Коефіцієнт атерогенності</w:t>
            </w:r>
          </w:p>
        </w:tc>
        <w:tc>
          <w:tcPr>
            <w:tcW w:w="3190"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0,73*</w:t>
            </w:r>
          </w:p>
        </w:tc>
        <w:tc>
          <w:tcPr>
            <w:tcW w:w="3191" w:type="dxa"/>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0,77*</w:t>
            </w:r>
          </w:p>
        </w:tc>
      </w:tr>
    </w:tbl>
    <w:p w:rsidR="00434F07" w:rsidRDefault="00737B9C" w:rsidP="00737B9C">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w:t>
      </w:r>
    </w:p>
    <w:p w:rsidR="00737B9C" w:rsidRDefault="00737B9C" w:rsidP="00737B9C">
      <w:pPr>
        <w:spacing w:line="360" w:lineRule="auto"/>
        <w:ind w:firstLine="709"/>
        <w:jc w:val="both"/>
        <w:rPr>
          <w:sz w:val="28"/>
          <w:szCs w:val="28"/>
          <w:lang w:val="uk-UA"/>
        </w:rPr>
      </w:pPr>
      <w:r>
        <w:rPr>
          <w:sz w:val="28"/>
          <w:szCs w:val="28"/>
          <w:lang w:val="uk-UA"/>
        </w:rPr>
        <w:t>Аналізуючи наші данні був виявлений сильний кореляційний взаємозв’язок між</w:t>
      </w:r>
      <w:r>
        <w:rPr>
          <w:sz w:val="28"/>
          <w:szCs w:val="28"/>
          <w:lang w:val="en-US"/>
        </w:rPr>
        <w:t xml:space="preserve"> </w:t>
      </w:r>
      <w:r>
        <w:rPr>
          <w:sz w:val="28"/>
          <w:szCs w:val="28"/>
          <w:lang w:val="uk-UA"/>
        </w:rPr>
        <w:t>ЛПНЩ сироватки крові та рівнем МДА в об</w:t>
      </w:r>
      <w:r w:rsidR="00434F07">
        <w:rPr>
          <w:sz w:val="28"/>
          <w:szCs w:val="28"/>
          <w:lang w:val="uk-UA"/>
        </w:rPr>
        <w:t>ох групах хворих – в 1 групі кое</w:t>
      </w:r>
      <w:r>
        <w:rPr>
          <w:sz w:val="28"/>
          <w:szCs w:val="28"/>
          <w:lang w:val="uk-UA"/>
        </w:rPr>
        <w:t xml:space="preserve">фіцієнт кореляції склав </w:t>
      </w: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w:t>
      </w:r>
      <w:r>
        <w:rPr>
          <w:sz w:val="28"/>
          <w:szCs w:val="28"/>
          <w:lang w:val="uk-UA"/>
        </w:rPr>
        <w:t>0,7</w:t>
      </w:r>
      <w:r w:rsidR="00434F07">
        <w:rPr>
          <w:sz w:val="28"/>
          <w:szCs w:val="28"/>
          <w:lang w:val="uk-UA"/>
        </w:rPr>
        <w:t>7</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 2 – </w:t>
      </w:r>
      <w:r>
        <w:rPr>
          <w:sz w:val="28"/>
          <w:szCs w:val="28"/>
          <w:lang w:val="en-US"/>
        </w:rPr>
        <w:t>r</w:t>
      </w:r>
      <w:r>
        <w:rPr>
          <w:sz w:val="28"/>
          <w:szCs w:val="28"/>
          <w:lang w:val="uk-UA"/>
        </w:rPr>
        <w:t xml:space="preserve"> </w:t>
      </w:r>
      <w:r>
        <w:rPr>
          <w:sz w:val="28"/>
          <w:szCs w:val="28"/>
          <w:lang w:val="en-US"/>
        </w:rPr>
        <w:t>=</w:t>
      </w:r>
      <w:r w:rsidR="00434F07">
        <w:rPr>
          <w:sz w:val="28"/>
          <w:szCs w:val="28"/>
          <w:lang w:val="uk-UA"/>
        </w:rPr>
        <w:t xml:space="preserve"> 0,78</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між МДА та ЗХ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w:t>
      </w:r>
      <w:r w:rsidR="00434F07">
        <w:rPr>
          <w:sz w:val="28"/>
          <w:szCs w:val="28"/>
          <w:lang w:val="uk-UA"/>
        </w:rPr>
        <w:t>69</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sidR="00434F07">
        <w:rPr>
          <w:sz w:val="28"/>
          <w:szCs w:val="28"/>
          <w:lang w:val="uk-UA"/>
        </w:rPr>
        <w:t xml:space="preserve"> = 0,77</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та МДА і коефіцієнтом атерогенності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3</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7</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Pr>
          <w:sz w:val="28"/>
          <w:szCs w:val="28"/>
        </w:rPr>
        <w:t>Β</w:t>
      </w:r>
      <w:r w:rsidR="00F2677F">
        <w:rPr>
          <w:sz w:val="28"/>
          <w:szCs w:val="28"/>
          <w:lang w:val="uk-UA"/>
        </w:rPr>
        <w:t>–</w:t>
      </w:r>
      <w:r>
        <w:rPr>
          <w:sz w:val="28"/>
          <w:szCs w:val="28"/>
          <w:lang w:val="uk-UA"/>
        </w:rPr>
        <w:t>ЛП також мали сильну пряму кореляційну залежність від вмісту МДА в 1  (</w:t>
      </w:r>
      <w:r>
        <w:rPr>
          <w:sz w:val="28"/>
          <w:szCs w:val="28"/>
          <w:lang w:val="en-US"/>
        </w:rPr>
        <w:t>r</w:t>
      </w:r>
      <w:r>
        <w:rPr>
          <w:sz w:val="28"/>
          <w:szCs w:val="28"/>
          <w:lang w:val="uk-UA"/>
        </w:rPr>
        <w:t xml:space="preserve"> =</w:t>
      </w:r>
      <w:r w:rsidR="00434F07">
        <w:rPr>
          <w:sz w:val="28"/>
          <w:szCs w:val="28"/>
          <w:lang w:val="uk-UA"/>
        </w:rPr>
        <w:t xml:space="preserve"> 0,73</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та 2 групі пацієнтів (</w:t>
      </w:r>
      <w:r>
        <w:rPr>
          <w:sz w:val="28"/>
          <w:szCs w:val="28"/>
          <w:lang w:val="en-US"/>
        </w:rPr>
        <w:t>r</w:t>
      </w:r>
      <w:r>
        <w:rPr>
          <w:sz w:val="28"/>
          <w:szCs w:val="28"/>
          <w:lang w:val="uk-UA"/>
        </w:rPr>
        <w:t xml:space="preserve"> =</w:t>
      </w:r>
      <w:r w:rsidR="00434F07">
        <w:rPr>
          <w:sz w:val="28"/>
          <w:szCs w:val="28"/>
          <w:lang w:val="uk-UA"/>
        </w:rPr>
        <w:t xml:space="preserve"> 0,72</w:t>
      </w:r>
      <w:r>
        <w:rPr>
          <w:sz w:val="28"/>
          <w:szCs w:val="28"/>
          <w:lang w:val="uk-UA"/>
        </w:rPr>
        <w:t xml:space="preserve"> (</w:t>
      </w:r>
      <w:r>
        <w:rPr>
          <w:sz w:val="28"/>
          <w:szCs w:val="28"/>
          <w:lang w:val="en-US"/>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Також прямий кореляційний зв’язок виявлений між  МДА та ТГ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0</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w:t>
      </w:r>
      <w:r w:rsidR="00434F07">
        <w:rPr>
          <w:sz w:val="28"/>
          <w:szCs w:val="28"/>
          <w:lang w:val="uk-UA"/>
        </w:rPr>
        <w:t>1</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 між МДА та ЛПДНЩ (</w:t>
      </w:r>
      <w:r w:rsidR="00F2677F">
        <w:rPr>
          <w:sz w:val="28"/>
          <w:szCs w:val="28"/>
          <w:lang w:val="uk-UA"/>
        </w:rPr>
        <w:t>1</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0,71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F2677F">
        <w:rPr>
          <w:sz w:val="28"/>
          <w:szCs w:val="28"/>
          <w:lang w:val="uk-UA"/>
        </w:rPr>
        <w:t>2</w:t>
      </w:r>
      <w:r>
        <w:rPr>
          <w:sz w:val="28"/>
          <w:szCs w:val="28"/>
          <w:lang w:val="uk-UA"/>
        </w:rPr>
        <w:t xml:space="preserve"> група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0,71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Обернена кореляційна залежність встановлена між МДА та ЛПВЩ: в 1 групі вона складала </w:t>
      </w:r>
      <w:r>
        <w:rPr>
          <w:sz w:val="28"/>
          <w:szCs w:val="28"/>
          <w:lang w:val="en-US"/>
        </w:rPr>
        <w:t>r</w:t>
      </w:r>
      <w:r>
        <w:rPr>
          <w:sz w:val="28"/>
          <w:szCs w:val="28"/>
          <w:lang w:val="uk-UA"/>
        </w:rPr>
        <w:t xml:space="preserve"> </w:t>
      </w:r>
      <w:r>
        <w:rPr>
          <w:sz w:val="28"/>
          <w:szCs w:val="28"/>
        </w:rPr>
        <w:t>=</w:t>
      </w:r>
      <w:r w:rsidR="00434F07">
        <w:rPr>
          <w:sz w:val="28"/>
          <w:szCs w:val="28"/>
          <w:lang w:val="uk-UA"/>
        </w:rPr>
        <w:t xml:space="preserve"> </w:t>
      </w:r>
      <w:r w:rsidR="00F2677F">
        <w:rPr>
          <w:sz w:val="28"/>
          <w:szCs w:val="28"/>
        </w:rPr>
        <w:t>–</w:t>
      </w:r>
      <w:r w:rsidR="00434F07">
        <w:rPr>
          <w:sz w:val="28"/>
          <w:szCs w:val="28"/>
          <w:lang w:val="uk-UA"/>
        </w:rPr>
        <w:t xml:space="preserve"> </w:t>
      </w:r>
      <w:r>
        <w:rPr>
          <w:sz w:val="28"/>
          <w:szCs w:val="28"/>
          <w:lang w:val="uk-UA"/>
        </w:rPr>
        <w:t>0,7</w:t>
      </w:r>
      <w:r w:rsidR="00434F07">
        <w:rPr>
          <w:sz w:val="28"/>
          <w:szCs w:val="28"/>
          <w:lang w:val="uk-UA"/>
        </w:rPr>
        <w:t>4</w:t>
      </w:r>
      <w:r>
        <w:rPr>
          <w:sz w:val="28"/>
          <w:szCs w:val="28"/>
          <w:lang w:val="uk-UA"/>
        </w:rPr>
        <w:t xml:space="preserve"> (р</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 2 – </w:t>
      </w:r>
      <w:r>
        <w:rPr>
          <w:sz w:val="28"/>
          <w:szCs w:val="28"/>
          <w:lang w:val="en-US"/>
        </w:rPr>
        <w:t>r</w:t>
      </w:r>
      <w:r>
        <w:rPr>
          <w:sz w:val="28"/>
          <w:szCs w:val="28"/>
          <w:lang w:val="uk-UA"/>
        </w:rPr>
        <w:t xml:space="preserve"> </w:t>
      </w:r>
      <w:r>
        <w:rPr>
          <w:sz w:val="28"/>
          <w:szCs w:val="28"/>
        </w:rPr>
        <w:t>=</w:t>
      </w:r>
      <w:r w:rsidR="00434F07">
        <w:rPr>
          <w:sz w:val="28"/>
          <w:szCs w:val="28"/>
          <w:lang w:val="uk-UA"/>
        </w:rPr>
        <w:t xml:space="preserve"> </w:t>
      </w:r>
      <w:r w:rsidR="00F2677F">
        <w:rPr>
          <w:sz w:val="28"/>
          <w:szCs w:val="28"/>
        </w:rPr>
        <w:t>–</w:t>
      </w:r>
      <w:r w:rsidR="00434F07">
        <w:rPr>
          <w:sz w:val="28"/>
          <w:szCs w:val="28"/>
          <w:lang w:val="uk-UA"/>
        </w:rPr>
        <w:t xml:space="preserve"> 0,75</w:t>
      </w:r>
      <w:r>
        <w:rPr>
          <w:sz w:val="28"/>
          <w:szCs w:val="28"/>
          <w:lang w:val="uk-UA"/>
        </w:rPr>
        <w:t xml:space="preserve"> (р</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w:t>
      </w:r>
    </w:p>
    <w:p w:rsidR="00737B9C" w:rsidRDefault="00737B9C" w:rsidP="00737B9C">
      <w:pPr>
        <w:spacing w:line="360" w:lineRule="auto"/>
        <w:ind w:firstLine="709"/>
        <w:jc w:val="both"/>
        <w:rPr>
          <w:sz w:val="28"/>
          <w:szCs w:val="28"/>
          <w:lang w:val="uk-UA"/>
        </w:rPr>
      </w:pPr>
      <w:r>
        <w:rPr>
          <w:sz w:val="28"/>
          <w:szCs w:val="28"/>
          <w:lang w:val="uk-UA"/>
        </w:rPr>
        <w:t xml:space="preserve">Проводячи кореляційний аналіз між рівнем </w:t>
      </w:r>
      <w:r>
        <w:rPr>
          <w:sz w:val="28"/>
          <w:szCs w:val="28"/>
          <w:lang w:val="en-US"/>
        </w:rPr>
        <w:t>NO</w:t>
      </w:r>
      <w:r>
        <w:rPr>
          <w:sz w:val="28"/>
          <w:szCs w:val="28"/>
          <w:lang w:val="uk-UA"/>
        </w:rPr>
        <w:t xml:space="preserve"> та МДА плазми крові</w:t>
      </w:r>
      <w:r>
        <w:rPr>
          <w:b/>
          <w:sz w:val="28"/>
          <w:szCs w:val="28"/>
          <w:lang w:val="uk-UA"/>
        </w:rPr>
        <w:t xml:space="preserve"> </w:t>
      </w:r>
      <w:r>
        <w:rPr>
          <w:sz w:val="28"/>
          <w:szCs w:val="28"/>
          <w:lang w:val="uk-UA"/>
        </w:rPr>
        <w:t>та показниками цитолітичного синдрому, ми отримали наступні результати (табл. 3.2.7).</w:t>
      </w:r>
    </w:p>
    <w:p w:rsidR="00737B9C" w:rsidRDefault="00737B9C" w:rsidP="00737B9C">
      <w:pPr>
        <w:spacing w:line="360" w:lineRule="auto"/>
        <w:ind w:firstLine="709"/>
        <w:jc w:val="right"/>
        <w:rPr>
          <w:sz w:val="28"/>
          <w:szCs w:val="28"/>
          <w:lang w:val="uk-UA"/>
        </w:rPr>
      </w:pPr>
      <w:r>
        <w:rPr>
          <w:sz w:val="28"/>
          <w:szCs w:val="28"/>
          <w:lang w:val="uk-UA"/>
        </w:rPr>
        <w:lastRenderedPageBreak/>
        <w:t>Таблиця 3.2.7</w:t>
      </w:r>
    </w:p>
    <w:p w:rsidR="00737B9C" w:rsidRDefault="00737B9C" w:rsidP="00434F07">
      <w:pPr>
        <w:spacing w:line="360" w:lineRule="auto"/>
        <w:ind w:firstLine="709"/>
        <w:jc w:val="center"/>
        <w:rPr>
          <w:sz w:val="28"/>
          <w:szCs w:val="28"/>
          <w:lang w:val="uk-UA"/>
        </w:rPr>
      </w:pPr>
      <w:r>
        <w:rPr>
          <w:sz w:val="28"/>
          <w:szCs w:val="28"/>
          <w:lang w:val="uk-UA"/>
        </w:rPr>
        <w:t xml:space="preserve">Кореляційні зв’язки між рівнем </w:t>
      </w:r>
      <w:r>
        <w:rPr>
          <w:sz w:val="28"/>
          <w:szCs w:val="28"/>
          <w:lang w:val="en-US"/>
        </w:rPr>
        <w:t>NO</w:t>
      </w:r>
      <w:r>
        <w:rPr>
          <w:sz w:val="28"/>
          <w:szCs w:val="28"/>
          <w:lang w:val="uk-UA"/>
        </w:rPr>
        <w:t xml:space="preserve"> та МДА плазми крові та показниками цитолітичних ферментів печінки у хворих </w:t>
      </w:r>
      <w:r w:rsidR="00434F07">
        <w:rPr>
          <w:sz w:val="28"/>
          <w:szCs w:val="28"/>
          <w:lang w:val="uk-UA"/>
        </w:rPr>
        <w:t>1 та 2 груп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5"/>
        <w:gridCol w:w="2084"/>
        <w:gridCol w:w="2084"/>
        <w:gridCol w:w="2084"/>
        <w:gridCol w:w="2084"/>
      </w:tblGrid>
      <w:tr w:rsidR="00737B9C" w:rsidTr="00737B9C">
        <w:tc>
          <w:tcPr>
            <w:tcW w:w="1000" w:type="pct"/>
            <w:vMerge w:val="restart"/>
            <w:vAlign w:val="center"/>
          </w:tcPr>
          <w:p w:rsidR="00737B9C" w:rsidRDefault="00737B9C" w:rsidP="00737B9C">
            <w:pPr>
              <w:spacing w:line="360" w:lineRule="auto"/>
              <w:jc w:val="center"/>
              <w:rPr>
                <w:sz w:val="28"/>
                <w:szCs w:val="28"/>
                <w:lang w:val="uk-UA"/>
              </w:rPr>
            </w:pPr>
            <w:r>
              <w:rPr>
                <w:sz w:val="28"/>
                <w:szCs w:val="28"/>
                <w:lang w:val="uk-UA"/>
              </w:rPr>
              <w:t xml:space="preserve"> Показники</w:t>
            </w:r>
          </w:p>
        </w:tc>
        <w:tc>
          <w:tcPr>
            <w:tcW w:w="2000" w:type="pct"/>
            <w:gridSpan w:val="2"/>
            <w:vAlign w:val="center"/>
          </w:tcPr>
          <w:p w:rsidR="00737B9C" w:rsidRDefault="00737B9C" w:rsidP="00737B9C">
            <w:pPr>
              <w:spacing w:line="360" w:lineRule="auto"/>
              <w:jc w:val="center"/>
              <w:rPr>
                <w:sz w:val="28"/>
                <w:szCs w:val="28"/>
                <w:lang w:val="uk-UA"/>
              </w:rPr>
            </w:pPr>
            <w:r>
              <w:rPr>
                <w:sz w:val="28"/>
                <w:szCs w:val="28"/>
                <w:lang w:val="en-US"/>
              </w:rPr>
              <w:t>NO</w:t>
            </w:r>
          </w:p>
        </w:tc>
        <w:tc>
          <w:tcPr>
            <w:tcW w:w="2000" w:type="pct"/>
            <w:gridSpan w:val="2"/>
            <w:vAlign w:val="center"/>
          </w:tcPr>
          <w:p w:rsidR="00737B9C" w:rsidRDefault="00737B9C" w:rsidP="00737B9C">
            <w:pPr>
              <w:spacing w:line="360" w:lineRule="auto"/>
              <w:jc w:val="center"/>
              <w:rPr>
                <w:sz w:val="28"/>
                <w:szCs w:val="28"/>
                <w:lang w:val="uk-UA"/>
              </w:rPr>
            </w:pPr>
            <w:r>
              <w:rPr>
                <w:sz w:val="28"/>
                <w:szCs w:val="28"/>
                <w:lang w:val="uk-UA"/>
              </w:rPr>
              <w:t>МДА</w:t>
            </w:r>
          </w:p>
        </w:tc>
      </w:tr>
      <w:tr w:rsidR="00737B9C" w:rsidTr="00737B9C">
        <w:tc>
          <w:tcPr>
            <w:tcW w:w="0" w:type="auto"/>
            <w:vMerge/>
            <w:vAlign w:val="center"/>
          </w:tcPr>
          <w:p w:rsidR="00737B9C" w:rsidRDefault="00737B9C" w:rsidP="00737B9C">
            <w:pPr>
              <w:rPr>
                <w:sz w:val="28"/>
                <w:szCs w:val="28"/>
                <w:lang w:val="uk-UA"/>
              </w:rPr>
            </w:pPr>
          </w:p>
        </w:tc>
        <w:tc>
          <w:tcPr>
            <w:tcW w:w="1000" w:type="pct"/>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p>
        </w:tc>
        <w:tc>
          <w:tcPr>
            <w:tcW w:w="1000" w:type="pct"/>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w:t>
            </w:r>
          </w:p>
        </w:tc>
        <w:tc>
          <w:tcPr>
            <w:tcW w:w="1000" w:type="pct"/>
            <w:vAlign w:val="center"/>
          </w:tcPr>
          <w:p w:rsidR="00737B9C" w:rsidRDefault="00F2677F" w:rsidP="00737B9C">
            <w:pPr>
              <w:spacing w:line="360" w:lineRule="auto"/>
              <w:jc w:val="center"/>
              <w:rPr>
                <w:sz w:val="28"/>
                <w:szCs w:val="28"/>
                <w:lang w:val="uk-UA"/>
              </w:rPr>
            </w:pPr>
            <w:r>
              <w:rPr>
                <w:sz w:val="28"/>
                <w:szCs w:val="28"/>
                <w:lang w:val="uk-UA"/>
              </w:rPr>
              <w:t>1</w:t>
            </w:r>
            <w:r w:rsidR="00737B9C">
              <w:rPr>
                <w:sz w:val="28"/>
                <w:szCs w:val="28"/>
                <w:lang w:val="uk-UA"/>
              </w:rPr>
              <w:t xml:space="preserve"> група </w:t>
            </w:r>
          </w:p>
        </w:tc>
        <w:tc>
          <w:tcPr>
            <w:tcW w:w="1000" w:type="pct"/>
            <w:vAlign w:val="center"/>
          </w:tcPr>
          <w:p w:rsidR="00737B9C" w:rsidRDefault="00F2677F" w:rsidP="00737B9C">
            <w:pPr>
              <w:spacing w:line="360" w:lineRule="auto"/>
              <w:jc w:val="center"/>
              <w:rPr>
                <w:sz w:val="28"/>
                <w:szCs w:val="28"/>
                <w:lang w:val="uk-UA"/>
              </w:rPr>
            </w:pPr>
            <w:r>
              <w:rPr>
                <w:sz w:val="28"/>
                <w:szCs w:val="28"/>
                <w:lang w:val="uk-UA"/>
              </w:rPr>
              <w:t>2</w:t>
            </w:r>
            <w:r w:rsidR="00737B9C">
              <w:rPr>
                <w:sz w:val="28"/>
                <w:szCs w:val="28"/>
                <w:lang w:val="uk-UA"/>
              </w:rPr>
              <w:t xml:space="preserve"> група</w:t>
            </w:r>
          </w:p>
        </w:tc>
      </w:tr>
      <w:tr w:rsidR="00434F07" w:rsidTr="00737B9C">
        <w:tc>
          <w:tcPr>
            <w:tcW w:w="1000" w:type="pct"/>
            <w:vAlign w:val="center"/>
          </w:tcPr>
          <w:p w:rsidR="00434F07" w:rsidRDefault="00434F07" w:rsidP="00737B9C">
            <w:pPr>
              <w:spacing w:line="360" w:lineRule="auto"/>
              <w:jc w:val="center"/>
              <w:rPr>
                <w:sz w:val="28"/>
                <w:szCs w:val="28"/>
                <w:lang w:val="uk-UA"/>
              </w:rPr>
            </w:pPr>
            <w:r>
              <w:rPr>
                <w:sz w:val="28"/>
                <w:szCs w:val="28"/>
                <w:lang w:val="uk-UA"/>
              </w:rPr>
              <w:t>АЛТ</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0,81*</w:t>
            </w:r>
            <w:r>
              <w:rPr>
                <w:sz w:val="28"/>
                <w:szCs w:val="28"/>
              </w:rPr>
              <w:t>#</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0,75*</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0,73*</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0,68*</w:t>
            </w:r>
          </w:p>
        </w:tc>
      </w:tr>
      <w:tr w:rsidR="00434F07" w:rsidTr="00737B9C">
        <w:tc>
          <w:tcPr>
            <w:tcW w:w="1000" w:type="pct"/>
            <w:vAlign w:val="center"/>
          </w:tcPr>
          <w:p w:rsidR="00434F07" w:rsidRDefault="00434F07" w:rsidP="00737B9C">
            <w:pPr>
              <w:spacing w:line="360" w:lineRule="auto"/>
              <w:jc w:val="center"/>
              <w:rPr>
                <w:sz w:val="28"/>
                <w:szCs w:val="28"/>
                <w:lang w:val="uk-UA"/>
              </w:rPr>
            </w:pPr>
            <w:r>
              <w:rPr>
                <w:sz w:val="28"/>
                <w:szCs w:val="28"/>
                <w:lang w:val="uk-UA"/>
              </w:rPr>
              <w:t>АСТ</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0,8*</w:t>
            </w:r>
            <w:r>
              <w:rPr>
                <w:sz w:val="28"/>
                <w:szCs w:val="28"/>
              </w:rPr>
              <w:t>#</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0,74*</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0,76*</w:t>
            </w:r>
          </w:p>
        </w:tc>
        <w:tc>
          <w:tcPr>
            <w:tcW w:w="1000" w:type="pct"/>
            <w:vAlign w:val="center"/>
          </w:tcPr>
          <w:p w:rsidR="00434F07" w:rsidRDefault="00434F07" w:rsidP="00434F07">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0,78*</w:t>
            </w:r>
          </w:p>
        </w:tc>
      </w:tr>
    </w:tbl>
    <w:p w:rsidR="00737B9C" w:rsidRDefault="00737B9C" w:rsidP="00737B9C">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w:t>
      </w:r>
      <w:r>
        <w:rPr>
          <w:sz w:val="28"/>
          <w:szCs w:val="28"/>
          <w:lang w:val="en-US"/>
        </w:rPr>
        <w:t>;</w:t>
      </w:r>
    </w:p>
    <w:p w:rsidR="00434F07" w:rsidRDefault="00737B9C" w:rsidP="00737B9C">
      <w:pPr>
        <w:spacing w:line="360" w:lineRule="auto"/>
        <w:ind w:firstLine="709"/>
        <w:jc w:val="both"/>
        <w:rPr>
          <w:sz w:val="28"/>
          <w:szCs w:val="28"/>
        </w:rPr>
      </w:pPr>
      <w:r>
        <w:rPr>
          <w:sz w:val="28"/>
          <w:szCs w:val="28"/>
        </w:rPr>
        <w:t xml:space="preserve"># </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0,05 при порівнянні показників 1 та 2</w:t>
      </w:r>
      <w:r w:rsidR="00434F07">
        <w:rPr>
          <w:sz w:val="28"/>
          <w:szCs w:val="28"/>
          <w:lang w:val="uk-UA"/>
        </w:rPr>
        <w:t xml:space="preserve"> </w:t>
      </w:r>
      <w:r>
        <w:rPr>
          <w:sz w:val="28"/>
          <w:szCs w:val="28"/>
          <w:lang w:val="uk-UA"/>
        </w:rPr>
        <w:t>групи</w:t>
      </w:r>
      <w:r>
        <w:rPr>
          <w:sz w:val="28"/>
          <w:szCs w:val="28"/>
        </w:rPr>
        <w:t xml:space="preserve"> </w:t>
      </w:r>
    </w:p>
    <w:p w:rsidR="00737B9C" w:rsidRDefault="00737B9C" w:rsidP="00737B9C">
      <w:pPr>
        <w:spacing w:line="360" w:lineRule="auto"/>
        <w:ind w:firstLine="709"/>
        <w:jc w:val="both"/>
        <w:rPr>
          <w:sz w:val="28"/>
          <w:szCs w:val="28"/>
          <w:lang w:val="uk-UA"/>
        </w:rPr>
      </w:pPr>
      <w:r>
        <w:rPr>
          <w:sz w:val="28"/>
          <w:szCs w:val="28"/>
          <w:lang w:val="uk-UA"/>
        </w:rPr>
        <w:t xml:space="preserve">Виявлена сильна кореляційна залежність між вмістом </w:t>
      </w:r>
      <w:r>
        <w:rPr>
          <w:sz w:val="28"/>
          <w:szCs w:val="28"/>
          <w:lang w:val="en-US"/>
        </w:rPr>
        <w:t>NO</w:t>
      </w:r>
      <w:r>
        <w:rPr>
          <w:sz w:val="28"/>
          <w:szCs w:val="28"/>
          <w:lang w:val="uk-UA"/>
        </w:rPr>
        <w:t xml:space="preserve"> та АЛТ (</w:t>
      </w:r>
      <w:r>
        <w:rPr>
          <w:sz w:val="28"/>
          <w:szCs w:val="28"/>
          <w:lang w:val="en-US"/>
        </w:rPr>
        <w:t>r</w:t>
      </w:r>
      <w:r w:rsidRPr="00423488">
        <w:rPr>
          <w:sz w:val="28"/>
          <w:szCs w:val="28"/>
        </w:rPr>
        <w:t xml:space="preserve"> </w:t>
      </w:r>
      <w:r>
        <w:rPr>
          <w:sz w:val="28"/>
          <w:szCs w:val="28"/>
          <w:lang w:val="uk-UA"/>
        </w:rPr>
        <w:t>=</w:t>
      </w:r>
      <w:r w:rsidR="00434F07">
        <w:rPr>
          <w:sz w:val="28"/>
          <w:szCs w:val="28"/>
          <w:lang w:val="uk-UA"/>
        </w:rPr>
        <w:t xml:space="preserve"> </w:t>
      </w:r>
      <w:r>
        <w:rPr>
          <w:sz w:val="28"/>
          <w:szCs w:val="28"/>
          <w:lang w:val="uk-UA"/>
        </w:rPr>
        <w:t>0,75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і </w:t>
      </w:r>
      <w:r>
        <w:rPr>
          <w:sz w:val="28"/>
          <w:szCs w:val="28"/>
          <w:lang w:val="en-US"/>
        </w:rPr>
        <w:t>NO</w:t>
      </w:r>
      <w:r>
        <w:rPr>
          <w:sz w:val="28"/>
          <w:szCs w:val="28"/>
          <w:lang w:val="uk-UA"/>
        </w:rPr>
        <w:t xml:space="preserve"> та АСТ (</w:t>
      </w:r>
      <w:r>
        <w:rPr>
          <w:sz w:val="28"/>
          <w:szCs w:val="28"/>
          <w:lang w:val="en-US"/>
        </w:rPr>
        <w:t>r</w:t>
      </w:r>
      <w:r w:rsidRPr="00423488">
        <w:rPr>
          <w:sz w:val="28"/>
          <w:szCs w:val="28"/>
        </w:rPr>
        <w:t xml:space="preserve"> </w:t>
      </w:r>
      <w:r>
        <w:rPr>
          <w:sz w:val="28"/>
          <w:szCs w:val="28"/>
          <w:lang w:val="uk-UA"/>
        </w:rPr>
        <w:t>=</w:t>
      </w:r>
      <w:r w:rsidR="00434F07">
        <w:rPr>
          <w:sz w:val="28"/>
          <w:szCs w:val="28"/>
          <w:lang w:val="uk-UA"/>
        </w:rPr>
        <w:t xml:space="preserve"> </w:t>
      </w:r>
      <w:r>
        <w:rPr>
          <w:sz w:val="28"/>
          <w:szCs w:val="28"/>
          <w:lang w:val="uk-UA"/>
        </w:rPr>
        <w:t>0,74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w:t>
      </w:r>
      <w:r w:rsidR="00434F07">
        <w:rPr>
          <w:sz w:val="28"/>
          <w:szCs w:val="28"/>
          <w:lang w:val="uk-UA"/>
        </w:rPr>
        <w:t>у хворих 2</w:t>
      </w:r>
      <w:r>
        <w:rPr>
          <w:sz w:val="28"/>
          <w:szCs w:val="28"/>
          <w:lang w:val="uk-UA"/>
        </w:rPr>
        <w:t xml:space="preserve"> групи. У хворих </w:t>
      </w:r>
      <w:r w:rsidR="00434F07">
        <w:rPr>
          <w:sz w:val="28"/>
          <w:szCs w:val="28"/>
          <w:lang w:val="uk-UA"/>
        </w:rPr>
        <w:t xml:space="preserve">1 </w:t>
      </w:r>
      <w:r>
        <w:rPr>
          <w:sz w:val="28"/>
          <w:szCs w:val="28"/>
          <w:lang w:val="uk-UA"/>
        </w:rPr>
        <w:t>групи кореляційний зв’язок вірогідно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0,05) посилювався і складав між </w:t>
      </w:r>
      <w:r>
        <w:rPr>
          <w:sz w:val="28"/>
          <w:szCs w:val="28"/>
          <w:lang w:val="en-US"/>
        </w:rPr>
        <w:t>NO</w:t>
      </w:r>
      <w:r>
        <w:rPr>
          <w:sz w:val="28"/>
          <w:szCs w:val="28"/>
          <w:lang w:val="uk-UA"/>
        </w:rPr>
        <w:t xml:space="preserve"> та АЛТ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0,81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і </w:t>
      </w:r>
      <w:r>
        <w:rPr>
          <w:sz w:val="28"/>
          <w:szCs w:val="28"/>
          <w:lang w:val="en-US"/>
        </w:rPr>
        <w:t>NO</w:t>
      </w:r>
      <w:r>
        <w:rPr>
          <w:sz w:val="28"/>
          <w:szCs w:val="28"/>
          <w:lang w:val="uk-UA"/>
        </w:rPr>
        <w:t xml:space="preserve"> та АСТ  –  </w:t>
      </w:r>
      <w:r>
        <w:rPr>
          <w:sz w:val="28"/>
          <w:szCs w:val="28"/>
          <w:lang w:val="en-US"/>
        </w:rPr>
        <w:t>r</w:t>
      </w:r>
      <w:r>
        <w:rPr>
          <w:sz w:val="28"/>
          <w:szCs w:val="28"/>
          <w:lang w:val="uk-UA"/>
        </w:rPr>
        <w:t xml:space="preserve"> =</w:t>
      </w:r>
      <w:r w:rsidR="00434F07">
        <w:rPr>
          <w:sz w:val="28"/>
          <w:szCs w:val="28"/>
          <w:lang w:val="uk-UA"/>
        </w:rPr>
        <w:t xml:space="preserve"> </w:t>
      </w:r>
      <w:r>
        <w:rPr>
          <w:sz w:val="28"/>
          <w:szCs w:val="28"/>
          <w:lang w:val="uk-UA"/>
        </w:rPr>
        <w:t>0,78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Пряма кореляційна залежність спостерігалась між МДА та АЛТ у хворих обох груп: r </w:t>
      </w:r>
      <w:r>
        <w:rPr>
          <w:sz w:val="28"/>
          <w:szCs w:val="28"/>
        </w:rPr>
        <w:t>=</w:t>
      </w:r>
      <w:r w:rsidR="00434F07">
        <w:rPr>
          <w:sz w:val="28"/>
          <w:szCs w:val="28"/>
          <w:lang w:val="uk-UA"/>
        </w:rPr>
        <w:t xml:space="preserve"> 0,73</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 1 та  </w:t>
      </w:r>
      <w:r>
        <w:rPr>
          <w:sz w:val="28"/>
          <w:szCs w:val="28"/>
          <w:lang w:val="en-US"/>
        </w:rPr>
        <w:t>r</w:t>
      </w:r>
      <w:r w:rsidRPr="00423488">
        <w:rPr>
          <w:sz w:val="28"/>
          <w:szCs w:val="28"/>
        </w:rPr>
        <w:t xml:space="preserve"> </w:t>
      </w:r>
      <w:r>
        <w:rPr>
          <w:sz w:val="28"/>
          <w:szCs w:val="28"/>
        </w:rPr>
        <w:t>=</w:t>
      </w:r>
      <w:r w:rsidR="00434F07">
        <w:rPr>
          <w:sz w:val="28"/>
          <w:szCs w:val="28"/>
          <w:lang w:val="uk-UA"/>
        </w:rPr>
        <w:t xml:space="preserve"> </w:t>
      </w:r>
      <w:r>
        <w:rPr>
          <w:sz w:val="28"/>
          <w:szCs w:val="28"/>
          <w:lang w:val="uk-UA"/>
        </w:rPr>
        <w:t>0,</w:t>
      </w:r>
      <w:r w:rsidR="00434F07">
        <w:rPr>
          <w:sz w:val="28"/>
          <w:szCs w:val="28"/>
          <w:lang w:val="uk-UA"/>
        </w:rPr>
        <w:t>68</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 2 групі відповідно. Так само рівень МДА мав прямий вплив на показник АСТ: в 1 групі коефіцієнт кореляції склав </w:t>
      </w:r>
      <w:r>
        <w:rPr>
          <w:sz w:val="28"/>
          <w:szCs w:val="28"/>
          <w:lang w:val="en-US"/>
        </w:rPr>
        <w:t>r</w:t>
      </w:r>
      <w:r w:rsidRPr="00423488">
        <w:rPr>
          <w:sz w:val="28"/>
          <w:szCs w:val="28"/>
        </w:rPr>
        <w:t xml:space="preserve"> </w:t>
      </w:r>
      <w:r>
        <w:rPr>
          <w:sz w:val="28"/>
          <w:szCs w:val="28"/>
        </w:rPr>
        <w:t>=</w:t>
      </w:r>
      <w:r w:rsidR="00434F07">
        <w:rPr>
          <w:sz w:val="28"/>
          <w:szCs w:val="28"/>
          <w:lang w:val="uk-UA"/>
        </w:rPr>
        <w:t xml:space="preserve"> </w:t>
      </w:r>
      <w:r>
        <w:rPr>
          <w:sz w:val="28"/>
          <w:szCs w:val="28"/>
          <w:lang w:val="uk-UA"/>
        </w:rPr>
        <w:t>0,7</w:t>
      </w:r>
      <w:r w:rsidR="00434F07">
        <w:rPr>
          <w:sz w:val="28"/>
          <w:szCs w:val="28"/>
          <w:lang w:val="uk-UA"/>
        </w:rPr>
        <w:t>6</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0,01), в 2 – </w:t>
      </w:r>
      <w:r>
        <w:rPr>
          <w:sz w:val="28"/>
          <w:szCs w:val="28"/>
          <w:lang w:val="en-US"/>
        </w:rPr>
        <w:t>r</w:t>
      </w:r>
      <w:r w:rsidRPr="00423488">
        <w:rPr>
          <w:sz w:val="28"/>
          <w:szCs w:val="28"/>
        </w:rPr>
        <w:t xml:space="preserve"> </w:t>
      </w:r>
      <w:r>
        <w:rPr>
          <w:sz w:val="28"/>
          <w:szCs w:val="28"/>
        </w:rPr>
        <w:t>=</w:t>
      </w:r>
      <w:r w:rsidR="00434F07">
        <w:rPr>
          <w:sz w:val="28"/>
          <w:szCs w:val="28"/>
          <w:lang w:val="uk-UA"/>
        </w:rPr>
        <w:t xml:space="preserve"> </w:t>
      </w:r>
      <w:r>
        <w:rPr>
          <w:sz w:val="28"/>
          <w:szCs w:val="28"/>
          <w:lang w:val="uk-UA"/>
        </w:rPr>
        <w:t>0,7</w:t>
      </w:r>
      <w:r w:rsidR="00434F07">
        <w:rPr>
          <w:sz w:val="28"/>
          <w:szCs w:val="28"/>
          <w:lang w:val="uk-UA"/>
        </w:rPr>
        <w:t>8</w:t>
      </w:r>
      <w:r>
        <w:rPr>
          <w:sz w:val="28"/>
          <w:szCs w:val="28"/>
          <w:lang w:val="uk-UA"/>
        </w:rPr>
        <w:t xml:space="preserve">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0,01).</w:t>
      </w:r>
    </w:p>
    <w:p w:rsidR="001C066D" w:rsidRDefault="00737B9C" w:rsidP="00434F07">
      <w:pPr>
        <w:spacing w:line="360" w:lineRule="auto"/>
        <w:ind w:firstLine="709"/>
        <w:jc w:val="both"/>
        <w:rPr>
          <w:sz w:val="28"/>
          <w:szCs w:val="28"/>
          <w:lang w:val="uk-UA"/>
        </w:rPr>
      </w:pPr>
      <w:r>
        <w:rPr>
          <w:sz w:val="28"/>
          <w:szCs w:val="28"/>
          <w:lang w:val="uk-UA"/>
        </w:rPr>
        <w:t xml:space="preserve">Отримані нами данні свідчать, що вміст </w:t>
      </w:r>
      <w:r>
        <w:rPr>
          <w:sz w:val="28"/>
          <w:szCs w:val="28"/>
          <w:lang w:val="en-US"/>
        </w:rPr>
        <w:t>NO</w:t>
      </w:r>
      <w:r>
        <w:rPr>
          <w:sz w:val="28"/>
          <w:szCs w:val="28"/>
          <w:lang w:val="uk-UA"/>
        </w:rPr>
        <w:t xml:space="preserve"> та МДА в плазмі крові хворих двох груп був вірогідно (</w:t>
      </w:r>
      <w:r>
        <w:rPr>
          <w:sz w:val="28"/>
          <w:szCs w:val="28"/>
        </w:rPr>
        <w:t>p</w:t>
      </w:r>
      <w:r w:rsidR="00434F07">
        <w:rPr>
          <w:sz w:val="28"/>
          <w:szCs w:val="28"/>
          <w:lang w:val="uk-UA"/>
        </w:rPr>
        <w:t xml:space="preserve"> </w:t>
      </w:r>
      <w:r>
        <w:rPr>
          <w:sz w:val="28"/>
          <w:szCs w:val="28"/>
          <w:lang w:val="uk-UA"/>
        </w:rPr>
        <w:t>&lt;</w:t>
      </w:r>
      <w:r w:rsidR="00434F07">
        <w:rPr>
          <w:sz w:val="28"/>
          <w:szCs w:val="28"/>
          <w:lang w:val="uk-UA"/>
        </w:rPr>
        <w:t xml:space="preserve"> </w:t>
      </w:r>
      <w:r>
        <w:rPr>
          <w:sz w:val="28"/>
          <w:szCs w:val="28"/>
          <w:lang w:val="uk-UA"/>
        </w:rPr>
        <w:t xml:space="preserve">0,001) підвищеним, що доводить роль оксидативного стресу в розвитку НАСГ та підтверджуються даними літератури [36, 49, 103, 164]. Рівні </w:t>
      </w:r>
      <w:r>
        <w:rPr>
          <w:sz w:val="28"/>
          <w:szCs w:val="28"/>
          <w:lang w:val="en-US"/>
        </w:rPr>
        <w:t>NO</w:t>
      </w:r>
      <w:r>
        <w:rPr>
          <w:sz w:val="28"/>
          <w:szCs w:val="28"/>
          <w:lang w:val="uk-UA"/>
        </w:rPr>
        <w:t xml:space="preserve"> та МДА не залежали від статі та віку хворих, але змінювалися залежно від тривалості захворювання. </w:t>
      </w:r>
      <w:r w:rsidR="00434F07">
        <w:rPr>
          <w:sz w:val="28"/>
          <w:szCs w:val="28"/>
          <w:lang w:val="uk-UA"/>
        </w:rPr>
        <w:t xml:space="preserve">У пацієнтів з супутнім ЦД 2 типу рівень </w:t>
      </w:r>
      <w:r w:rsidR="00434F07">
        <w:rPr>
          <w:sz w:val="28"/>
          <w:szCs w:val="28"/>
          <w:lang w:val="en-US"/>
        </w:rPr>
        <w:t>NO</w:t>
      </w:r>
      <w:r w:rsidR="00434F07">
        <w:rPr>
          <w:sz w:val="28"/>
          <w:szCs w:val="28"/>
          <w:lang w:val="uk-UA"/>
        </w:rPr>
        <w:t xml:space="preserve"> та МДА був достовірно вище при тривалості хвороби більше 5 років, що свідчить про зростання оксидативного стресу на фоні метаболічних порушень. </w:t>
      </w:r>
      <w:r>
        <w:rPr>
          <w:sz w:val="28"/>
          <w:szCs w:val="28"/>
          <w:lang w:val="uk-UA"/>
        </w:rPr>
        <w:t xml:space="preserve">Концентрація </w:t>
      </w:r>
      <w:r>
        <w:rPr>
          <w:sz w:val="28"/>
          <w:szCs w:val="28"/>
          <w:lang w:val="en-US"/>
        </w:rPr>
        <w:t>NO</w:t>
      </w:r>
      <w:r>
        <w:rPr>
          <w:sz w:val="28"/>
          <w:szCs w:val="28"/>
          <w:lang w:val="uk-UA"/>
        </w:rPr>
        <w:t xml:space="preserve"> та МДА вірогідно зростала у хворих НАСГ з тривалістю захворювання більше 10 років, що пов’язано з прогресуванням хвороби. </w:t>
      </w:r>
    </w:p>
    <w:p w:rsidR="00737B9C" w:rsidRDefault="00737B9C" w:rsidP="00434F07">
      <w:pPr>
        <w:spacing w:line="360" w:lineRule="auto"/>
        <w:ind w:firstLine="709"/>
        <w:jc w:val="both"/>
        <w:rPr>
          <w:sz w:val="28"/>
          <w:szCs w:val="28"/>
          <w:lang w:val="uk-UA"/>
        </w:rPr>
      </w:pPr>
      <w:r>
        <w:rPr>
          <w:sz w:val="28"/>
          <w:szCs w:val="28"/>
          <w:lang w:val="uk-UA"/>
        </w:rPr>
        <w:t xml:space="preserve">Розглядаючи кореляційні взаємозв’язки можна зробити висновок про значну роль </w:t>
      </w:r>
      <w:r>
        <w:rPr>
          <w:sz w:val="28"/>
          <w:szCs w:val="28"/>
          <w:lang w:val="en-US"/>
        </w:rPr>
        <w:t>NO</w:t>
      </w:r>
      <w:r>
        <w:rPr>
          <w:sz w:val="28"/>
          <w:szCs w:val="28"/>
          <w:lang w:val="uk-UA"/>
        </w:rPr>
        <w:t xml:space="preserve"> в активації окислювальних процесів, пов’язаних з утворенням продуктів ПОЛ, накопиченням вторинних продуктів ліпопероксидації, що є однією з основних причин розвитку та прогресування захворювання. </w:t>
      </w:r>
    </w:p>
    <w:p w:rsidR="00737B9C" w:rsidRDefault="00737B9C" w:rsidP="00737B9C">
      <w:pPr>
        <w:spacing w:line="360" w:lineRule="auto"/>
        <w:ind w:firstLine="709"/>
        <w:jc w:val="both"/>
        <w:rPr>
          <w:sz w:val="28"/>
          <w:szCs w:val="28"/>
          <w:lang w:val="uk-UA"/>
        </w:rPr>
      </w:pPr>
      <w:r>
        <w:rPr>
          <w:sz w:val="28"/>
          <w:szCs w:val="28"/>
          <w:lang w:val="uk-UA"/>
        </w:rPr>
        <w:lastRenderedPageBreak/>
        <w:t xml:space="preserve">Згідно отриманим даним виразність запального процесу в печінці знаходиться в прямій залежності від вмісту </w:t>
      </w:r>
      <w:r>
        <w:rPr>
          <w:sz w:val="28"/>
          <w:szCs w:val="28"/>
          <w:lang w:val="en-US"/>
        </w:rPr>
        <w:t>NO</w:t>
      </w:r>
      <w:r>
        <w:rPr>
          <w:sz w:val="28"/>
          <w:szCs w:val="28"/>
          <w:lang w:val="uk-UA"/>
        </w:rPr>
        <w:t xml:space="preserve"> та МДА плазми крові хворих</w:t>
      </w:r>
      <w:r w:rsidR="001C066D">
        <w:rPr>
          <w:sz w:val="28"/>
          <w:szCs w:val="28"/>
          <w:lang w:val="uk-UA"/>
        </w:rPr>
        <w:t xml:space="preserve"> на</w:t>
      </w:r>
      <w:r>
        <w:rPr>
          <w:sz w:val="28"/>
          <w:szCs w:val="28"/>
          <w:lang w:val="uk-UA"/>
        </w:rPr>
        <w:t xml:space="preserve"> НАСГ</w:t>
      </w:r>
      <w:r w:rsidR="001C066D">
        <w:rPr>
          <w:sz w:val="28"/>
          <w:szCs w:val="28"/>
          <w:lang w:val="uk-UA"/>
        </w:rPr>
        <w:t xml:space="preserve"> в поєднанні з ЦД 2 типу</w:t>
      </w:r>
      <w:r>
        <w:rPr>
          <w:sz w:val="28"/>
          <w:szCs w:val="28"/>
          <w:lang w:val="uk-UA"/>
        </w:rPr>
        <w:t>, що пов’язано з активацією вільнорадикального пошкодження гепатоцитів та індукцією прозапальних цитокінів.</w:t>
      </w:r>
    </w:p>
    <w:p w:rsidR="00737B9C" w:rsidRDefault="00737B9C" w:rsidP="00737B9C">
      <w:pPr>
        <w:spacing w:line="360" w:lineRule="auto"/>
        <w:ind w:firstLine="709"/>
        <w:jc w:val="both"/>
        <w:rPr>
          <w:sz w:val="28"/>
          <w:szCs w:val="28"/>
          <w:lang w:val="uk-UA"/>
        </w:rPr>
      </w:pPr>
    </w:p>
    <w:p w:rsidR="00737B9C" w:rsidRDefault="00737B9C" w:rsidP="00737B9C">
      <w:pPr>
        <w:spacing w:line="360" w:lineRule="auto"/>
        <w:ind w:firstLine="709"/>
        <w:jc w:val="both"/>
        <w:rPr>
          <w:sz w:val="28"/>
          <w:szCs w:val="28"/>
          <w:lang w:val="uk-UA"/>
        </w:rPr>
      </w:pPr>
      <w:r>
        <w:rPr>
          <w:sz w:val="28"/>
          <w:szCs w:val="28"/>
          <w:lang w:val="uk-UA"/>
        </w:rPr>
        <w:t>Даний розділ викладений в публікаціях:</w:t>
      </w:r>
    </w:p>
    <w:p w:rsidR="00737B9C" w:rsidRDefault="00737B9C" w:rsidP="00737B9C">
      <w:pPr>
        <w:numPr>
          <w:ilvl w:val="0"/>
          <w:numId w:val="7"/>
        </w:numPr>
        <w:spacing w:line="360" w:lineRule="auto"/>
        <w:jc w:val="both"/>
        <w:rPr>
          <w:sz w:val="28"/>
          <w:szCs w:val="28"/>
          <w:lang w:val="en-US"/>
        </w:rPr>
      </w:pPr>
      <w:r>
        <w:rPr>
          <w:sz w:val="28"/>
          <w:lang w:val="en-US"/>
        </w:rPr>
        <w:t>Zvyagintseva</w:t>
      </w:r>
      <w:r>
        <w:rPr>
          <w:sz w:val="28"/>
          <w:lang w:val="uk-UA"/>
        </w:rPr>
        <w:t xml:space="preserve"> </w:t>
      </w:r>
      <w:r>
        <w:rPr>
          <w:sz w:val="28"/>
          <w:lang w:val="en-US"/>
        </w:rPr>
        <w:t>T</w:t>
      </w:r>
      <w:r>
        <w:rPr>
          <w:sz w:val="28"/>
          <w:lang w:val="uk-UA"/>
        </w:rPr>
        <w:t>.</w:t>
      </w:r>
      <w:r>
        <w:rPr>
          <w:sz w:val="28"/>
          <w:lang w:val="en-US"/>
        </w:rPr>
        <w:t>D</w:t>
      </w:r>
      <w:r>
        <w:rPr>
          <w:sz w:val="28"/>
          <w:lang w:val="uk-UA"/>
        </w:rPr>
        <w:t xml:space="preserve">., </w:t>
      </w:r>
      <w:r>
        <w:rPr>
          <w:sz w:val="28"/>
          <w:lang w:val="en-US"/>
        </w:rPr>
        <w:t>Glushchenko</w:t>
      </w:r>
      <w:r>
        <w:rPr>
          <w:sz w:val="28"/>
          <w:lang w:val="uk-UA"/>
        </w:rPr>
        <w:t xml:space="preserve"> </w:t>
      </w:r>
      <w:r>
        <w:rPr>
          <w:sz w:val="28"/>
          <w:lang w:val="en-US"/>
        </w:rPr>
        <w:t>S</w:t>
      </w:r>
      <w:r>
        <w:rPr>
          <w:sz w:val="28"/>
          <w:lang w:val="uk-UA"/>
        </w:rPr>
        <w:t>.</w:t>
      </w:r>
      <w:r>
        <w:rPr>
          <w:sz w:val="28"/>
          <w:lang w:val="en-US"/>
        </w:rPr>
        <w:t>V</w:t>
      </w:r>
      <w:r>
        <w:rPr>
          <w:sz w:val="28"/>
          <w:lang w:val="uk-UA"/>
        </w:rPr>
        <w:t xml:space="preserve">. </w:t>
      </w:r>
      <w:r>
        <w:rPr>
          <w:sz w:val="28"/>
          <w:szCs w:val="28"/>
          <w:lang w:val="en-US"/>
        </w:rPr>
        <w:t>Hyperhomocysteinemia as a predictor of the development and progression of nonalcoholic fatty liver disease</w:t>
      </w:r>
      <w:r>
        <w:rPr>
          <w:sz w:val="28"/>
          <w:szCs w:val="28"/>
          <w:lang w:val="uk-UA"/>
        </w:rPr>
        <w:t xml:space="preserve"> // </w:t>
      </w:r>
      <w:r>
        <w:rPr>
          <w:w w:val="106"/>
          <w:sz w:val="28"/>
          <w:szCs w:val="28"/>
          <w:lang w:val="en-US"/>
        </w:rPr>
        <w:t>U</w:t>
      </w:r>
      <w:r>
        <w:rPr>
          <w:w w:val="99"/>
          <w:sz w:val="28"/>
          <w:szCs w:val="28"/>
          <w:lang w:val="en-US"/>
        </w:rPr>
        <w:t>n</w:t>
      </w:r>
      <w:r>
        <w:rPr>
          <w:w w:val="96"/>
          <w:sz w:val="28"/>
          <w:szCs w:val="28"/>
          <w:lang w:val="en-US"/>
        </w:rPr>
        <w:t>i</w:t>
      </w:r>
      <w:r>
        <w:rPr>
          <w:w w:val="119"/>
          <w:sz w:val="28"/>
          <w:szCs w:val="28"/>
          <w:lang w:val="en-US"/>
        </w:rPr>
        <w:t>t</w:t>
      </w:r>
      <w:r>
        <w:rPr>
          <w:w w:val="98"/>
          <w:sz w:val="28"/>
          <w:szCs w:val="28"/>
          <w:lang w:val="en-US"/>
        </w:rPr>
        <w:t>e</w:t>
      </w:r>
      <w:r>
        <w:rPr>
          <w:w w:val="99"/>
          <w:sz w:val="28"/>
          <w:szCs w:val="28"/>
          <w:lang w:val="en-US"/>
        </w:rPr>
        <w:t>d</w:t>
      </w:r>
      <w:r>
        <w:rPr>
          <w:spacing w:val="11"/>
          <w:sz w:val="28"/>
          <w:szCs w:val="28"/>
          <w:lang w:val="en-US"/>
        </w:rPr>
        <w:t xml:space="preserve"> </w:t>
      </w:r>
      <w:r>
        <w:rPr>
          <w:w w:val="108"/>
          <w:sz w:val="28"/>
          <w:szCs w:val="28"/>
          <w:lang w:val="en-US"/>
        </w:rPr>
        <w:t>E</w:t>
      </w:r>
      <w:r>
        <w:rPr>
          <w:w w:val="99"/>
          <w:sz w:val="28"/>
          <w:szCs w:val="28"/>
          <w:lang w:val="en-US"/>
        </w:rPr>
        <w:t>u</w:t>
      </w:r>
      <w:r>
        <w:rPr>
          <w:w w:val="115"/>
          <w:sz w:val="28"/>
          <w:szCs w:val="28"/>
          <w:lang w:val="en-US"/>
        </w:rPr>
        <w:t>r</w:t>
      </w:r>
      <w:r>
        <w:rPr>
          <w:w w:val="99"/>
          <w:sz w:val="28"/>
          <w:szCs w:val="28"/>
          <w:lang w:val="en-US"/>
        </w:rPr>
        <w:t>op</w:t>
      </w:r>
      <w:r>
        <w:rPr>
          <w:w w:val="98"/>
          <w:sz w:val="28"/>
          <w:szCs w:val="28"/>
          <w:lang w:val="en-US"/>
        </w:rPr>
        <w:t>e</w:t>
      </w:r>
      <w:r>
        <w:rPr>
          <w:w w:val="112"/>
          <w:sz w:val="28"/>
          <w:szCs w:val="28"/>
          <w:lang w:val="en-US"/>
        </w:rPr>
        <w:t>a</w:t>
      </w:r>
      <w:r>
        <w:rPr>
          <w:w w:val="99"/>
          <w:sz w:val="28"/>
          <w:szCs w:val="28"/>
          <w:lang w:val="en-US"/>
        </w:rPr>
        <w:t>n</w:t>
      </w:r>
      <w:r>
        <w:rPr>
          <w:spacing w:val="11"/>
          <w:sz w:val="28"/>
          <w:szCs w:val="28"/>
          <w:lang w:val="en-US"/>
        </w:rPr>
        <w:t xml:space="preserve"> </w:t>
      </w:r>
      <w:r>
        <w:rPr>
          <w:w w:val="99"/>
          <w:sz w:val="28"/>
          <w:szCs w:val="28"/>
          <w:lang w:val="en-US"/>
        </w:rPr>
        <w:t>G</w:t>
      </w:r>
      <w:r>
        <w:rPr>
          <w:w w:val="112"/>
          <w:sz w:val="28"/>
          <w:szCs w:val="28"/>
          <w:lang w:val="en-US"/>
        </w:rPr>
        <w:t>a</w:t>
      </w:r>
      <w:r>
        <w:rPr>
          <w:w w:val="98"/>
          <w:sz w:val="28"/>
          <w:szCs w:val="28"/>
          <w:lang w:val="en-US"/>
        </w:rPr>
        <w:t>s</w:t>
      </w:r>
      <w:r>
        <w:rPr>
          <w:w w:val="119"/>
          <w:sz w:val="28"/>
          <w:szCs w:val="28"/>
          <w:lang w:val="en-US"/>
        </w:rPr>
        <w:t>t</w:t>
      </w:r>
      <w:r>
        <w:rPr>
          <w:w w:val="115"/>
          <w:sz w:val="28"/>
          <w:szCs w:val="28"/>
          <w:lang w:val="en-US"/>
        </w:rPr>
        <w:t>r</w:t>
      </w:r>
      <w:r>
        <w:rPr>
          <w:w w:val="99"/>
          <w:sz w:val="28"/>
          <w:szCs w:val="28"/>
          <w:lang w:val="en-US"/>
        </w:rPr>
        <w:t>o</w:t>
      </w:r>
      <w:r>
        <w:rPr>
          <w:w w:val="98"/>
          <w:sz w:val="28"/>
          <w:szCs w:val="28"/>
          <w:lang w:val="en-US"/>
        </w:rPr>
        <w:t>e</w:t>
      </w:r>
      <w:r>
        <w:rPr>
          <w:w w:val="99"/>
          <w:sz w:val="28"/>
          <w:szCs w:val="28"/>
          <w:lang w:val="en-US"/>
        </w:rPr>
        <w:t>n</w:t>
      </w:r>
      <w:r>
        <w:rPr>
          <w:w w:val="119"/>
          <w:sz w:val="28"/>
          <w:szCs w:val="28"/>
          <w:lang w:val="en-US"/>
        </w:rPr>
        <w:t>t</w:t>
      </w:r>
      <w:r>
        <w:rPr>
          <w:w w:val="98"/>
          <w:sz w:val="28"/>
          <w:szCs w:val="28"/>
          <w:lang w:val="en-US"/>
        </w:rPr>
        <w:t>e</w:t>
      </w:r>
      <w:r>
        <w:rPr>
          <w:w w:val="115"/>
          <w:sz w:val="28"/>
          <w:szCs w:val="28"/>
          <w:lang w:val="en-US"/>
        </w:rPr>
        <w:t>r</w:t>
      </w:r>
      <w:r>
        <w:rPr>
          <w:w w:val="99"/>
          <w:sz w:val="28"/>
          <w:szCs w:val="28"/>
          <w:lang w:val="en-US"/>
        </w:rPr>
        <w:t>o</w:t>
      </w:r>
      <w:r>
        <w:rPr>
          <w:w w:val="96"/>
          <w:sz w:val="28"/>
          <w:szCs w:val="28"/>
          <w:lang w:val="en-US"/>
        </w:rPr>
        <w:t>l</w:t>
      </w:r>
      <w:r>
        <w:rPr>
          <w:w w:val="99"/>
          <w:sz w:val="28"/>
          <w:szCs w:val="28"/>
          <w:lang w:val="en-US"/>
        </w:rPr>
        <w:t>ogy</w:t>
      </w:r>
      <w:r>
        <w:rPr>
          <w:spacing w:val="12"/>
          <w:sz w:val="28"/>
          <w:szCs w:val="28"/>
          <w:lang w:val="en-US"/>
        </w:rPr>
        <w:t xml:space="preserve"> </w:t>
      </w:r>
      <w:r>
        <w:rPr>
          <w:w w:val="128"/>
          <w:sz w:val="28"/>
          <w:szCs w:val="28"/>
          <w:lang w:val="en-US"/>
        </w:rPr>
        <w:t>J</w:t>
      </w:r>
      <w:r>
        <w:rPr>
          <w:w w:val="99"/>
          <w:sz w:val="28"/>
          <w:szCs w:val="28"/>
          <w:lang w:val="en-US"/>
        </w:rPr>
        <w:t>ou</w:t>
      </w:r>
      <w:r>
        <w:rPr>
          <w:w w:val="115"/>
          <w:sz w:val="28"/>
          <w:szCs w:val="28"/>
          <w:lang w:val="en-US"/>
        </w:rPr>
        <w:t>r</w:t>
      </w:r>
      <w:r>
        <w:rPr>
          <w:w w:val="99"/>
          <w:sz w:val="28"/>
          <w:szCs w:val="28"/>
          <w:lang w:val="en-US"/>
        </w:rPr>
        <w:t>n</w:t>
      </w:r>
      <w:r>
        <w:rPr>
          <w:w w:val="112"/>
          <w:sz w:val="28"/>
          <w:szCs w:val="28"/>
          <w:lang w:val="en-US"/>
        </w:rPr>
        <w:t>a</w:t>
      </w:r>
      <w:r>
        <w:rPr>
          <w:w w:val="96"/>
          <w:sz w:val="28"/>
          <w:szCs w:val="28"/>
          <w:lang w:val="en-US"/>
        </w:rPr>
        <w:t>l</w:t>
      </w:r>
      <w:r>
        <w:rPr>
          <w:sz w:val="28"/>
          <w:szCs w:val="28"/>
          <w:lang w:val="en-US"/>
        </w:rPr>
        <w:t xml:space="preserve">. – 2014. – </w:t>
      </w:r>
      <w:r>
        <w:rPr>
          <w:w w:val="99"/>
          <w:sz w:val="28"/>
          <w:szCs w:val="28"/>
          <w:lang w:val="en-US"/>
        </w:rPr>
        <w:t>2</w:t>
      </w:r>
      <w:r>
        <w:rPr>
          <w:w w:val="149"/>
          <w:sz w:val="28"/>
          <w:szCs w:val="28"/>
          <w:lang w:val="en-US"/>
        </w:rPr>
        <w:t>(</w:t>
      </w:r>
      <w:r>
        <w:rPr>
          <w:w w:val="99"/>
          <w:sz w:val="28"/>
          <w:szCs w:val="28"/>
          <w:lang w:val="en-US"/>
        </w:rPr>
        <w:t>5</w:t>
      </w:r>
      <w:r>
        <w:rPr>
          <w:w w:val="108"/>
          <w:sz w:val="28"/>
          <w:szCs w:val="28"/>
          <w:lang w:val="en-US"/>
        </w:rPr>
        <w:t>S</w:t>
      </w:r>
      <w:r>
        <w:rPr>
          <w:w w:val="149"/>
          <w:sz w:val="28"/>
          <w:szCs w:val="28"/>
          <w:lang w:val="en-US"/>
        </w:rPr>
        <w:t>)</w:t>
      </w:r>
      <w:r>
        <w:rPr>
          <w:sz w:val="28"/>
          <w:szCs w:val="28"/>
          <w:lang w:val="en-US"/>
        </w:rPr>
        <w:t>. – A450. – P1162.</w:t>
      </w:r>
      <w:r>
        <w:rPr>
          <w:szCs w:val="28"/>
          <w:lang w:val="en-US"/>
        </w:rPr>
        <w:t xml:space="preserve">  </w:t>
      </w:r>
    </w:p>
    <w:p w:rsidR="00737B9C" w:rsidRDefault="00737B9C" w:rsidP="00737B9C">
      <w:pPr>
        <w:numPr>
          <w:ilvl w:val="0"/>
          <w:numId w:val="7"/>
        </w:numPr>
        <w:spacing w:line="360" w:lineRule="auto"/>
        <w:jc w:val="both"/>
        <w:rPr>
          <w:sz w:val="28"/>
          <w:szCs w:val="28"/>
          <w:lang w:val="uk-UA"/>
        </w:rPr>
      </w:pPr>
      <w:r>
        <w:rPr>
          <w:sz w:val="28"/>
        </w:rPr>
        <w:t xml:space="preserve">Звягинцева Т.Д. </w:t>
      </w:r>
      <w:r>
        <w:rPr>
          <w:sz w:val="28"/>
          <w:lang w:val="uk-UA"/>
        </w:rPr>
        <w:t>Глущенко С.В.</w:t>
      </w:r>
      <w:r>
        <w:rPr>
          <w:sz w:val="28"/>
          <w:szCs w:val="28"/>
          <w:lang w:val="uk-UA"/>
        </w:rPr>
        <w:t xml:space="preserve"> </w:t>
      </w:r>
      <w:r>
        <w:rPr>
          <w:sz w:val="28"/>
          <w:szCs w:val="28"/>
        </w:rPr>
        <w:t>Патогенетические механизмы развития неалкогольного стеатогепатита и принципы современной терапии</w:t>
      </w:r>
      <w:r>
        <w:rPr>
          <w:sz w:val="28"/>
          <w:szCs w:val="28"/>
          <w:lang w:val="uk-UA"/>
        </w:rPr>
        <w:t xml:space="preserve"> // Журн. «Мистецтво лікування». – 2014. </w:t>
      </w:r>
      <w:r w:rsidR="00F2677F">
        <w:rPr>
          <w:sz w:val="28"/>
          <w:szCs w:val="28"/>
          <w:lang w:val="uk-UA"/>
        </w:rPr>
        <w:t>–</w:t>
      </w:r>
      <w:r>
        <w:rPr>
          <w:sz w:val="28"/>
          <w:szCs w:val="28"/>
          <w:lang w:val="uk-UA"/>
        </w:rPr>
        <w:t xml:space="preserve"> №1 (107). – С. 26</w:t>
      </w:r>
      <w:r w:rsidR="00F2677F">
        <w:rPr>
          <w:sz w:val="28"/>
          <w:szCs w:val="28"/>
          <w:lang w:val="uk-UA"/>
        </w:rPr>
        <w:t>–</w:t>
      </w:r>
      <w:r>
        <w:rPr>
          <w:sz w:val="28"/>
          <w:szCs w:val="28"/>
          <w:lang w:val="uk-UA"/>
        </w:rPr>
        <w:t>28.</w:t>
      </w:r>
    </w:p>
    <w:p w:rsidR="00737B9C" w:rsidRDefault="00737B9C" w:rsidP="00737B9C">
      <w:pPr>
        <w:numPr>
          <w:ilvl w:val="0"/>
          <w:numId w:val="7"/>
        </w:numPr>
        <w:spacing w:line="360" w:lineRule="auto"/>
        <w:jc w:val="both"/>
        <w:rPr>
          <w:sz w:val="28"/>
          <w:szCs w:val="28"/>
          <w:lang w:val="uk-UA"/>
        </w:rPr>
      </w:pPr>
      <w:r>
        <w:rPr>
          <w:sz w:val="28"/>
          <w:szCs w:val="28"/>
        </w:rPr>
        <w:t xml:space="preserve">Звягинцева Т.Д. </w:t>
      </w:r>
      <w:r>
        <w:rPr>
          <w:sz w:val="28"/>
          <w:szCs w:val="28"/>
          <w:lang w:val="uk-UA"/>
        </w:rPr>
        <w:t xml:space="preserve">Глущенко С.В. </w:t>
      </w:r>
      <w:r>
        <w:rPr>
          <w:sz w:val="28"/>
          <w:szCs w:val="28"/>
        </w:rPr>
        <w:t>Липотоксический стресс и провоспалительные цитокины как факторы развития неалкогольного стеатогепатита</w:t>
      </w:r>
      <w:r>
        <w:rPr>
          <w:sz w:val="28"/>
          <w:szCs w:val="28"/>
          <w:lang w:val="uk-UA"/>
        </w:rPr>
        <w:t xml:space="preserve"> // </w:t>
      </w:r>
      <w:r>
        <w:rPr>
          <w:w w:val="106"/>
          <w:sz w:val="28"/>
          <w:szCs w:val="28"/>
        </w:rPr>
        <w:t xml:space="preserve">Журн. «Научные ведомости БелГУ, серия Медицина. Фармация.» – 2014. </w:t>
      </w:r>
      <w:r w:rsidR="00F2677F">
        <w:rPr>
          <w:w w:val="106"/>
          <w:sz w:val="28"/>
          <w:szCs w:val="28"/>
        </w:rPr>
        <w:t>–</w:t>
      </w:r>
      <w:r>
        <w:rPr>
          <w:w w:val="106"/>
          <w:sz w:val="28"/>
          <w:szCs w:val="28"/>
        </w:rPr>
        <w:t xml:space="preserve"> №18 (189). – вып. 27. – С.46</w:t>
      </w:r>
      <w:r w:rsidR="00F2677F">
        <w:rPr>
          <w:w w:val="106"/>
          <w:sz w:val="28"/>
          <w:szCs w:val="28"/>
        </w:rPr>
        <w:t>–</w:t>
      </w:r>
      <w:r>
        <w:rPr>
          <w:w w:val="106"/>
          <w:sz w:val="28"/>
          <w:szCs w:val="28"/>
        </w:rPr>
        <w:t>49.</w:t>
      </w:r>
    </w:p>
    <w:p w:rsidR="00737B9C" w:rsidRDefault="00737B9C" w:rsidP="00737B9C">
      <w:pPr>
        <w:numPr>
          <w:ilvl w:val="0"/>
          <w:numId w:val="7"/>
        </w:numPr>
        <w:spacing w:line="360" w:lineRule="auto"/>
        <w:jc w:val="both"/>
        <w:rPr>
          <w:sz w:val="28"/>
          <w:szCs w:val="28"/>
          <w:lang w:val="uk-UA"/>
        </w:rPr>
      </w:pPr>
      <w:r>
        <w:rPr>
          <w:sz w:val="28"/>
          <w:szCs w:val="28"/>
          <w:lang w:val="uk-UA"/>
        </w:rPr>
        <w:t>Патент «Спосіб діагностики неалкогольного стеатогепатиту» (деклараційний патент на корисну модель №94489 UA, Україна, МПК G01N 33/48 (2006.01) – №2014 06799, заявл. 16.06.2014; опубл. 10.11.2014, Бюл.№21).</w:t>
      </w:r>
    </w:p>
    <w:p w:rsidR="00077303" w:rsidRPr="00595805" w:rsidRDefault="00595805" w:rsidP="00A045A0">
      <w:pPr>
        <w:numPr>
          <w:ilvl w:val="0"/>
          <w:numId w:val="7"/>
        </w:numPr>
        <w:spacing w:line="360" w:lineRule="auto"/>
        <w:jc w:val="both"/>
        <w:rPr>
          <w:sz w:val="28"/>
          <w:szCs w:val="28"/>
          <w:lang w:val="uk-UA"/>
        </w:rPr>
      </w:pPr>
      <w:r w:rsidRPr="00595805">
        <w:rPr>
          <w:sz w:val="28"/>
          <w:lang w:val="uk-UA"/>
        </w:rPr>
        <w:t xml:space="preserve">Глущенко С. В. </w:t>
      </w:r>
      <w:r w:rsidRPr="00595805">
        <w:rPr>
          <w:sz w:val="28"/>
          <w:lang w:val="en-US"/>
        </w:rPr>
        <w:t>L</w:t>
      </w:r>
      <w:r w:rsidRPr="00595805">
        <w:rPr>
          <w:sz w:val="28"/>
          <w:lang w:val="uk-UA"/>
        </w:rPr>
        <w:t>-карнитин и оксидативный стрес – стресс при неалкогольном стеатогепатита / Т. Д. Звягинцева, С. В. Глущенко // 41-я Научная сессия ЦНИИГ «Расширяя границы». – 5–6 марта 2015. – С. 19–20.</w:t>
      </w:r>
    </w:p>
    <w:p w:rsidR="00077303" w:rsidRDefault="00077303" w:rsidP="001E1317">
      <w:pPr>
        <w:spacing w:line="360" w:lineRule="auto"/>
        <w:ind w:left="360"/>
        <w:jc w:val="both"/>
        <w:rPr>
          <w:sz w:val="28"/>
          <w:szCs w:val="28"/>
          <w:lang w:val="uk-UA"/>
        </w:rPr>
      </w:pPr>
    </w:p>
    <w:p w:rsidR="00A045A0" w:rsidRPr="0047250E" w:rsidRDefault="00A045A0" w:rsidP="00A045A0">
      <w:pPr>
        <w:spacing w:line="360" w:lineRule="auto"/>
        <w:ind w:firstLine="709"/>
        <w:jc w:val="center"/>
        <w:rPr>
          <w:b/>
          <w:sz w:val="28"/>
          <w:szCs w:val="28"/>
          <w:lang w:val="uk-UA"/>
        </w:rPr>
      </w:pPr>
      <w:r w:rsidRPr="0047250E">
        <w:rPr>
          <w:b/>
          <w:sz w:val="28"/>
          <w:szCs w:val="28"/>
          <w:lang w:val="uk-UA"/>
        </w:rPr>
        <w:t xml:space="preserve">3.3. Роль </w:t>
      </w:r>
      <w:r w:rsidRPr="0047250E">
        <w:rPr>
          <w:b/>
          <w:sz w:val="28"/>
          <w:szCs w:val="28"/>
          <w:lang w:val="en-US"/>
        </w:rPr>
        <w:t>L</w:t>
      </w:r>
      <w:r w:rsidR="003B68F3">
        <w:rPr>
          <w:b/>
          <w:sz w:val="28"/>
          <w:szCs w:val="28"/>
          <w:lang w:val="uk-UA"/>
        </w:rPr>
        <w:t>–</w:t>
      </w:r>
      <w:r>
        <w:rPr>
          <w:b/>
          <w:sz w:val="28"/>
          <w:szCs w:val="28"/>
          <w:lang w:val="uk-UA"/>
        </w:rPr>
        <w:t xml:space="preserve">карнітину у розвитку НАСГ </w:t>
      </w:r>
      <w:r w:rsidRPr="0047250E">
        <w:rPr>
          <w:b/>
          <w:sz w:val="28"/>
          <w:szCs w:val="28"/>
          <w:lang w:val="uk-UA"/>
        </w:rPr>
        <w:t>в поєднанні з ЦД 2 типу та взаємозв</w:t>
      </w:r>
      <w:r>
        <w:rPr>
          <w:b/>
          <w:sz w:val="28"/>
          <w:szCs w:val="28"/>
          <w:lang w:val="uk-UA"/>
        </w:rPr>
        <w:t>’</w:t>
      </w:r>
      <w:r w:rsidRPr="0047250E">
        <w:rPr>
          <w:b/>
          <w:sz w:val="28"/>
          <w:szCs w:val="28"/>
        </w:rPr>
        <w:t>язок з вивчаємими показниками</w:t>
      </w:r>
      <w:r w:rsidRPr="0047250E">
        <w:rPr>
          <w:b/>
          <w:sz w:val="28"/>
          <w:szCs w:val="28"/>
          <w:lang w:val="uk-UA"/>
        </w:rPr>
        <w:t>.</w:t>
      </w:r>
    </w:p>
    <w:p w:rsidR="00A045A0" w:rsidRDefault="00A045A0" w:rsidP="00A045A0">
      <w:pPr>
        <w:spacing w:line="360" w:lineRule="auto"/>
        <w:ind w:firstLine="709"/>
        <w:jc w:val="both"/>
        <w:rPr>
          <w:sz w:val="28"/>
          <w:szCs w:val="28"/>
          <w:lang w:val="uk-UA"/>
        </w:rPr>
      </w:pPr>
      <w:r>
        <w:rPr>
          <w:sz w:val="28"/>
          <w:szCs w:val="28"/>
          <w:lang w:val="uk-UA"/>
        </w:rPr>
        <w:t xml:space="preserve">Проведено дослідження вмісту </w:t>
      </w:r>
      <w:r>
        <w:rPr>
          <w:sz w:val="28"/>
          <w:szCs w:val="28"/>
          <w:lang w:val="en-US"/>
        </w:rPr>
        <w:t>L</w:t>
      </w:r>
      <w:r w:rsidR="003B68F3">
        <w:rPr>
          <w:sz w:val="28"/>
          <w:szCs w:val="28"/>
          <w:lang w:val="uk-UA"/>
        </w:rPr>
        <w:t>–</w:t>
      </w:r>
      <w:r>
        <w:rPr>
          <w:sz w:val="28"/>
          <w:szCs w:val="28"/>
          <w:lang w:val="uk-UA"/>
        </w:rPr>
        <w:t xml:space="preserve">карнітину в сироватці крові 105 хворих НАСГ у віці від 23 до 67 років, середній вік складав 47,88 ± 11,48 роки, які були розділені на дві групи. Першу групу склали хворі з поєднаним перебігом НАСГ та ЦД 2 типу (65 пацієнтів), другу – ізольований НАСГ (40 пацієнтів). Контрольну групу склали 20 здорових добровольців. В 1 групі чоловіків було 29 (44,6 %), жінок </w:t>
      </w:r>
      <w:r>
        <w:rPr>
          <w:sz w:val="28"/>
          <w:szCs w:val="28"/>
          <w:lang w:val="uk-UA"/>
        </w:rPr>
        <w:lastRenderedPageBreak/>
        <w:t>– 36 (55,4 %), в 2 – 18 (45 %) та 22 (55 %) відповідно. У всіх хворих було виключено вживання лікарських препаратів метаболіти яких виводяться з організму у вигляді ефірів карнітину (препарати вальпроєвої кислоти, антрациклінові антибіотики, ібупрофен, сульфадіазин).</w:t>
      </w:r>
    </w:p>
    <w:p w:rsidR="00A045A0" w:rsidRDefault="00A045A0" w:rsidP="00A045A0">
      <w:pPr>
        <w:spacing w:line="360" w:lineRule="auto"/>
        <w:ind w:firstLine="709"/>
        <w:jc w:val="both"/>
        <w:rPr>
          <w:sz w:val="28"/>
          <w:szCs w:val="28"/>
          <w:lang w:val="uk-UA"/>
        </w:rPr>
      </w:pPr>
      <w:r>
        <w:rPr>
          <w:sz w:val="28"/>
          <w:szCs w:val="28"/>
          <w:lang w:val="uk-UA"/>
        </w:rPr>
        <w:t xml:space="preserve">Встановлено, що у здорових осіб контрольної групи рівень </w:t>
      </w:r>
      <w:r>
        <w:rPr>
          <w:sz w:val="28"/>
          <w:szCs w:val="28"/>
          <w:lang w:val="en-US"/>
        </w:rPr>
        <w:t>L</w:t>
      </w:r>
      <w:r w:rsidR="003B68F3">
        <w:rPr>
          <w:sz w:val="28"/>
          <w:szCs w:val="28"/>
          <w:lang w:val="uk-UA"/>
        </w:rPr>
        <w:t>–</w:t>
      </w:r>
      <w:r>
        <w:rPr>
          <w:sz w:val="28"/>
          <w:szCs w:val="28"/>
          <w:lang w:val="uk-UA"/>
        </w:rPr>
        <w:t xml:space="preserve">карнітину в середньому складав </w:t>
      </w:r>
      <w:r>
        <w:rPr>
          <w:sz w:val="28"/>
          <w:szCs w:val="28"/>
        </w:rPr>
        <w:t>31,1(29,8;34,2)</w:t>
      </w:r>
      <w:r>
        <w:rPr>
          <w:sz w:val="28"/>
          <w:szCs w:val="28"/>
          <w:lang w:val="uk-UA"/>
        </w:rPr>
        <w:t xml:space="preserve"> мкмоль/л</w:t>
      </w:r>
    </w:p>
    <w:p w:rsidR="00A045A0" w:rsidRDefault="00A045A0" w:rsidP="00A045A0">
      <w:pPr>
        <w:spacing w:line="360" w:lineRule="auto"/>
        <w:ind w:firstLine="709"/>
        <w:jc w:val="both"/>
        <w:rPr>
          <w:sz w:val="28"/>
          <w:szCs w:val="28"/>
          <w:lang w:val="uk-UA"/>
        </w:rPr>
      </w:pPr>
      <w:r>
        <w:rPr>
          <w:sz w:val="28"/>
          <w:szCs w:val="28"/>
          <w:lang w:val="uk-UA"/>
        </w:rPr>
        <w:t xml:space="preserve">При вивченні рівнів </w:t>
      </w:r>
      <w:r>
        <w:rPr>
          <w:sz w:val="28"/>
          <w:szCs w:val="28"/>
          <w:lang w:val="en-US"/>
        </w:rPr>
        <w:t>L</w:t>
      </w:r>
      <w:r w:rsidR="003B68F3">
        <w:rPr>
          <w:sz w:val="28"/>
          <w:szCs w:val="28"/>
          <w:lang w:val="uk-UA"/>
        </w:rPr>
        <w:t>–</w:t>
      </w:r>
      <w:r>
        <w:rPr>
          <w:sz w:val="28"/>
          <w:szCs w:val="28"/>
          <w:lang w:val="uk-UA"/>
        </w:rPr>
        <w:t xml:space="preserve">карнітину у хворих обох груп було виявлено вірогідне зниження вмісту </w:t>
      </w:r>
      <w:r>
        <w:rPr>
          <w:sz w:val="28"/>
          <w:szCs w:val="28"/>
          <w:lang w:val="en-US"/>
        </w:rPr>
        <w:t>L</w:t>
      </w:r>
      <w:r w:rsidR="003B68F3">
        <w:rPr>
          <w:sz w:val="28"/>
          <w:szCs w:val="28"/>
          <w:lang w:val="uk-UA"/>
        </w:rPr>
        <w:t>–</w:t>
      </w:r>
      <w:r>
        <w:rPr>
          <w:sz w:val="28"/>
          <w:szCs w:val="28"/>
          <w:lang w:val="uk-UA"/>
        </w:rPr>
        <w:t xml:space="preserve">карнітину (р &lt; 0,001) в сироватці крові, в порівнянні з контрольною групою, (рис. 3.3.1). Окрім того, рівень </w:t>
      </w:r>
      <w:r>
        <w:rPr>
          <w:sz w:val="28"/>
          <w:szCs w:val="28"/>
          <w:lang w:val="en-US"/>
        </w:rPr>
        <w:t>L</w:t>
      </w:r>
      <w:r w:rsidR="003B68F3">
        <w:rPr>
          <w:sz w:val="28"/>
          <w:szCs w:val="28"/>
          <w:lang w:val="uk-UA"/>
        </w:rPr>
        <w:t>–</w:t>
      </w:r>
      <w:r>
        <w:rPr>
          <w:sz w:val="28"/>
          <w:szCs w:val="28"/>
          <w:lang w:val="uk-UA"/>
        </w:rPr>
        <w:t>карнітину у хворих з поєднанням НАСГ та ЦД 2 типом був вірогідно  (р &lt; 0,001) нижчім, ніж у пацієнтів з ізольованим перебігом захворювання.</w:t>
      </w:r>
    </w:p>
    <w:p w:rsidR="00A045A0" w:rsidRDefault="00ED7296" w:rsidP="00A045A0">
      <w:pPr>
        <w:spacing w:line="360" w:lineRule="auto"/>
        <w:ind w:firstLine="709"/>
        <w:jc w:val="both"/>
        <w:rPr>
          <w:sz w:val="28"/>
          <w:szCs w:val="28"/>
          <w:lang w:val="uk-UA"/>
        </w:rPr>
      </w:pPr>
      <w:r>
        <w:rPr>
          <w:noProof/>
          <w:sz w:val="28"/>
          <w:szCs w:val="28"/>
        </w:rPr>
        <w:pict>
          <v:shape id="Рисунок 10" o:spid="_x0000_i1028" type="#_x0000_t75" style="width:310.5pt;height:179pt;visibility:visible">
            <v:imagedata r:id="rId12" o:title=""/>
            <o:lock v:ext="edit" aspectratio="f"/>
          </v:shape>
        </w:pict>
      </w:r>
    </w:p>
    <w:p w:rsidR="00A045A0" w:rsidRDefault="00A045A0" w:rsidP="00A045A0">
      <w:pPr>
        <w:spacing w:line="360" w:lineRule="auto"/>
        <w:ind w:firstLine="709"/>
        <w:jc w:val="both"/>
        <w:rPr>
          <w:sz w:val="28"/>
          <w:szCs w:val="28"/>
          <w:lang w:val="uk-UA"/>
        </w:rPr>
      </w:pPr>
      <w:r>
        <w:rPr>
          <w:sz w:val="28"/>
          <w:szCs w:val="28"/>
          <w:lang w:val="uk-UA"/>
        </w:rPr>
        <w:t xml:space="preserve">Рис. 3.3.1 Рівень </w:t>
      </w:r>
      <w:r>
        <w:rPr>
          <w:sz w:val="28"/>
          <w:szCs w:val="28"/>
          <w:lang w:val="en-US"/>
        </w:rPr>
        <w:t>L</w:t>
      </w:r>
      <w:r w:rsidR="003B68F3">
        <w:rPr>
          <w:sz w:val="28"/>
          <w:szCs w:val="28"/>
          <w:lang w:val="uk-UA"/>
        </w:rPr>
        <w:t>–</w:t>
      </w:r>
      <w:r>
        <w:rPr>
          <w:sz w:val="28"/>
          <w:szCs w:val="28"/>
          <w:lang w:val="uk-UA"/>
        </w:rPr>
        <w:t>карнітину в сироватці крові хворих двох груп (мкмоль/л)</w:t>
      </w:r>
    </w:p>
    <w:p w:rsidR="00A045A0" w:rsidRDefault="00A045A0" w:rsidP="00A045A0">
      <w:pPr>
        <w:spacing w:line="360" w:lineRule="auto"/>
        <w:ind w:firstLine="709"/>
        <w:jc w:val="both"/>
        <w:rPr>
          <w:sz w:val="28"/>
          <w:szCs w:val="28"/>
          <w:lang w:val="uk-UA"/>
        </w:rPr>
      </w:pPr>
      <w:r>
        <w:rPr>
          <w:sz w:val="28"/>
          <w:szCs w:val="28"/>
          <w:lang w:val="uk-UA"/>
        </w:rPr>
        <w:t xml:space="preserve"> Данні про вміст </w:t>
      </w:r>
      <w:r>
        <w:rPr>
          <w:sz w:val="28"/>
          <w:szCs w:val="28"/>
          <w:lang w:val="en-US"/>
        </w:rPr>
        <w:t>L</w:t>
      </w:r>
      <w:r w:rsidR="003B68F3">
        <w:rPr>
          <w:sz w:val="28"/>
          <w:szCs w:val="28"/>
          <w:lang w:val="uk-UA"/>
        </w:rPr>
        <w:t>–</w:t>
      </w:r>
      <w:r>
        <w:rPr>
          <w:sz w:val="28"/>
          <w:szCs w:val="28"/>
          <w:lang w:val="uk-UA"/>
        </w:rPr>
        <w:t>карнітину у хворих обох груп та осіб контрольної групи представлений в табл. 3.3.1.</w:t>
      </w:r>
    </w:p>
    <w:p w:rsidR="00A045A0" w:rsidRDefault="00A045A0" w:rsidP="00A045A0">
      <w:pPr>
        <w:spacing w:line="360" w:lineRule="auto"/>
        <w:ind w:firstLine="709"/>
        <w:jc w:val="right"/>
        <w:rPr>
          <w:sz w:val="28"/>
          <w:szCs w:val="28"/>
          <w:lang w:val="uk-UA"/>
        </w:rPr>
      </w:pPr>
      <w:r>
        <w:rPr>
          <w:sz w:val="28"/>
          <w:szCs w:val="28"/>
          <w:lang w:val="uk-UA"/>
        </w:rPr>
        <w:t>Таблиця 3.3.1</w:t>
      </w:r>
    </w:p>
    <w:p w:rsidR="00A045A0" w:rsidRDefault="00A045A0" w:rsidP="00A045A0">
      <w:pPr>
        <w:spacing w:line="360" w:lineRule="auto"/>
        <w:ind w:firstLine="709"/>
        <w:jc w:val="center"/>
        <w:rPr>
          <w:sz w:val="28"/>
          <w:szCs w:val="28"/>
          <w:lang w:val="uk-UA"/>
        </w:rPr>
      </w:pPr>
      <w:r>
        <w:rPr>
          <w:sz w:val="28"/>
          <w:szCs w:val="28"/>
          <w:lang w:val="uk-UA"/>
        </w:rPr>
        <w:t xml:space="preserve">Вміст </w:t>
      </w:r>
      <w:r>
        <w:rPr>
          <w:sz w:val="28"/>
          <w:szCs w:val="28"/>
          <w:lang w:val="en-US"/>
        </w:rPr>
        <w:t>L</w:t>
      </w:r>
      <w:r w:rsidR="003B68F3">
        <w:rPr>
          <w:sz w:val="28"/>
          <w:szCs w:val="28"/>
          <w:lang w:val="uk-UA"/>
        </w:rPr>
        <w:t>–</w:t>
      </w:r>
      <w:r>
        <w:rPr>
          <w:sz w:val="28"/>
          <w:szCs w:val="28"/>
          <w:lang w:val="uk-UA"/>
        </w:rPr>
        <w:t>карнітину в сироватці крові у хворих 1 та 2 груп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5"/>
        <w:gridCol w:w="4786"/>
      </w:tblGrid>
      <w:tr w:rsidR="00A045A0" w:rsidTr="003B68F3">
        <w:tc>
          <w:tcPr>
            <w:tcW w:w="4785" w:type="dxa"/>
            <w:vAlign w:val="center"/>
          </w:tcPr>
          <w:p w:rsidR="00A045A0" w:rsidRDefault="00A045A0" w:rsidP="003B68F3">
            <w:pPr>
              <w:spacing w:line="360" w:lineRule="auto"/>
              <w:jc w:val="center"/>
              <w:rPr>
                <w:sz w:val="28"/>
                <w:szCs w:val="28"/>
                <w:lang w:val="uk-UA"/>
              </w:rPr>
            </w:pPr>
            <w:r>
              <w:rPr>
                <w:sz w:val="28"/>
                <w:szCs w:val="28"/>
                <w:lang w:val="uk-UA"/>
              </w:rPr>
              <w:t>Групи</w:t>
            </w:r>
          </w:p>
        </w:tc>
        <w:tc>
          <w:tcPr>
            <w:tcW w:w="4786" w:type="dxa"/>
            <w:vAlign w:val="center"/>
          </w:tcPr>
          <w:p w:rsidR="00A045A0" w:rsidRDefault="00A045A0" w:rsidP="003B68F3">
            <w:pPr>
              <w:spacing w:line="360" w:lineRule="auto"/>
              <w:jc w:val="center"/>
              <w:rPr>
                <w:sz w:val="28"/>
                <w:szCs w:val="28"/>
                <w:lang w:val="uk-UA"/>
              </w:rPr>
            </w:pPr>
            <w:r>
              <w:rPr>
                <w:sz w:val="28"/>
                <w:szCs w:val="28"/>
                <w:lang w:val="en-US"/>
              </w:rPr>
              <w:t>L</w:t>
            </w:r>
            <w:r w:rsidR="003B68F3">
              <w:rPr>
                <w:sz w:val="28"/>
                <w:szCs w:val="28"/>
                <w:lang w:val="uk-UA"/>
              </w:rPr>
              <w:t>–</w:t>
            </w:r>
            <w:r>
              <w:rPr>
                <w:sz w:val="28"/>
                <w:szCs w:val="28"/>
                <w:lang w:val="uk-UA"/>
              </w:rPr>
              <w:t xml:space="preserve">карнітин </w:t>
            </w:r>
            <w:r w:rsidR="003B68F3">
              <w:rPr>
                <w:sz w:val="28"/>
                <w:szCs w:val="28"/>
                <w:lang w:val="uk-UA"/>
              </w:rPr>
              <w:t>–</w:t>
            </w:r>
            <w:r>
              <w:rPr>
                <w:sz w:val="28"/>
                <w:szCs w:val="28"/>
                <w:lang w:val="uk-UA"/>
              </w:rPr>
              <w:t xml:space="preserve"> мкмоль/л</w:t>
            </w:r>
          </w:p>
          <w:p w:rsidR="00A045A0" w:rsidRDefault="00A045A0" w:rsidP="003B68F3">
            <w:pPr>
              <w:spacing w:line="360" w:lineRule="auto"/>
              <w:jc w:val="center"/>
              <w:rPr>
                <w:sz w:val="28"/>
                <w:szCs w:val="28"/>
                <w:lang w:val="uk-UA"/>
              </w:rPr>
            </w:pPr>
            <w:r>
              <w:rPr>
                <w:sz w:val="28"/>
                <w:szCs w:val="28"/>
                <w:lang w:val="uk-UA"/>
              </w:rPr>
              <w:t>(</w:t>
            </w:r>
            <w:r>
              <w:rPr>
                <w:sz w:val="28"/>
                <w:szCs w:val="28"/>
              </w:rPr>
              <w:t>Ме (25%;</w:t>
            </w:r>
            <w:r>
              <w:rPr>
                <w:sz w:val="28"/>
                <w:szCs w:val="28"/>
                <w:lang w:val="uk-UA"/>
              </w:rPr>
              <w:t xml:space="preserve"> </w:t>
            </w:r>
            <w:r>
              <w:rPr>
                <w:sz w:val="28"/>
                <w:szCs w:val="28"/>
              </w:rPr>
              <w:t>75%)</w:t>
            </w:r>
            <w:r>
              <w:rPr>
                <w:sz w:val="28"/>
                <w:szCs w:val="28"/>
                <w:lang w:val="uk-UA"/>
              </w:rPr>
              <w:t>)</w:t>
            </w:r>
          </w:p>
        </w:tc>
      </w:tr>
      <w:tr w:rsidR="00A045A0" w:rsidTr="003B68F3">
        <w:tc>
          <w:tcPr>
            <w:tcW w:w="4785" w:type="dxa"/>
            <w:vAlign w:val="center"/>
          </w:tcPr>
          <w:p w:rsidR="00A045A0" w:rsidRDefault="00A045A0" w:rsidP="003B68F3">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4786" w:type="dxa"/>
            <w:vAlign w:val="center"/>
          </w:tcPr>
          <w:p w:rsidR="00A045A0" w:rsidRDefault="00A045A0" w:rsidP="003B68F3">
            <w:pPr>
              <w:spacing w:line="360" w:lineRule="auto"/>
              <w:jc w:val="center"/>
              <w:rPr>
                <w:sz w:val="28"/>
                <w:szCs w:val="28"/>
                <w:lang w:val="uk-UA"/>
              </w:rPr>
            </w:pPr>
            <w:r w:rsidRPr="00A045A0">
              <w:rPr>
                <w:sz w:val="28"/>
                <w:szCs w:val="28"/>
                <w:lang w:val="uk-UA"/>
              </w:rPr>
              <w:t>12,8</w:t>
            </w:r>
            <w:r>
              <w:rPr>
                <w:sz w:val="28"/>
                <w:szCs w:val="28"/>
                <w:lang w:val="uk-UA"/>
              </w:rPr>
              <w:t xml:space="preserve"> </w:t>
            </w:r>
            <w:r w:rsidRPr="00A045A0">
              <w:rPr>
                <w:sz w:val="28"/>
                <w:szCs w:val="28"/>
                <w:lang w:val="uk-UA"/>
              </w:rPr>
              <w:t>(12,0;</w:t>
            </w:r>
            <w:r>
              <w:rPr>
                <w:sz w:val="28"/>
                <w:szCs w:val="28"/>
                <w:lang w:val="uk-UA"/>
              </w:rPr>
              <w:t xml:space="preserve"> </w:t>
            </w:r>
            <w:r w:rsidRPr="00A045A0">
              <w:rPr>
                <w:sz w:val="28"/>
                <w:szCs w:val="28"/>
                <w:lang w:val="uk-UA"/>
              </w:rPr>
              <w:t>14,1)*#</w:t>
            </w:r>
          </w:p>
        </w:tc>
      </w:tr>
      <w:tr w:rsidR="00A045A0" w:rsidTr="003B68F3">
        <w:tc>
          <w:tcPr>
            <w:tcW w:w="4785" w:type="dxa"/>
            <w:vAlign w:val="center"/>
          </w:tcPr>
          <w:p w:rsidR="00A045A0" w:rsidRDefault="00A045A0" w:rsidP="003B68F3">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4786" w:type="dxa"/>
            <w:vAlign w:val="center"/>
          </w:tcPr>
          <w:p w:rsidR="00A045A0" w:rsidRDefault="00A045A0" w:rsidP="003B68F3">
            <w:pPr>
              <w:spacing w:line="360" w:lineRule="auto"/>
              <w:jc w:val="center"/>
              <w:rPr>
                <w:sz w:val="28"/>
                <w:szCs w:val="28"/>
                <w:lang w:val="uk-UA"/>
              </w:rPr>
            </w:pPr>
            <w:r>
              <w:rPr>
                <w:sz w:val="28"/>
                <w:szCs w:val="28"/>
                <w:lang w:val="en-US"/>
              </w:rPr>
              <w:t>14,5</w:t>
            </w:r>
            <w:r>
              <w:rPr>
                <w:sz w:val="28"/>
                <w:szCs w:val="28"/>
                <w:lang w:val="uk-UA"/>
              </w:rPr>
              <w:t xml:space="preserve"> </w:t>
            </w:r>
            <w:r>
              <w:rPr>
                <w:sz w:val="28"/>
                <w:szCs w:val="28"/>
                <w:lang w:val="en-US"/>
              </w:rPr>
              <w:t>(13,1;</w:t>
            </w:r>
            <w:r>
              <w:rPr>
                <w:sz w:val="28"/>
                <w:szCs w:val="28"/>
                <w:lang w:val="uk-UA"/>
              </w:rPr>
              <w:t xml:space="preserve"> </w:t>
            </w:r>
            <w:r>
              <w:rPr>
                <w:sz w:val="28"/>
                <w:szCs w:val="28"/>
                <w:lang w:val="en-US"/>
              </w:rPr>
              <w:t>15,7)*</w:t>
            </w:r>
          </w:p>
        </w:tc>
      </w:tr>
      <w:tr w:rsidR="00A045A0" w:rsidTr="003B68F3">
        <w:tc>
          <w:tcPr>
            <w:tcW w:w="4785" w:type="dxa"/>
            <w:vAlign w:val="center"/>
          </w:tcPr>
          <w:p w:rsidR="00A045A0" w:rsidRDefault="00A045A0" w:rsidP="003B68F3">
            <w:pPr>
              <w:spacing w:line="360" w:lineRule="auto"/>
              <w:jc w:val="center"/>
              <w:rPr>
                <w:sz w:val="28"/>
                <w:szCs w:val="28"/>
                <w:lang w:val="uk-UA"/>
              </w:rPr>
            </w:pPr>
            <w:r>
              <w:rPr>
                <w:sz w:val="28"/>
                <w:szCs w:val="28"/>
                <w:lang w:val="uk-UA"/>
              </w:rPr>
              <w:t>Контрольна група</w:t>
            </w:r>
          </w:p>
        </w:tc>
        <w:tc>
          <w:tcPr>
            <w:tcW w:w="4786" w:type="dxa"/>
            <w:vAlign w:val="center"/>
          </w:tcPr>
          <w:p w:rsidR="00A045A0" w:rsidRDefault="00A045A0" w:rsidP="003B68F3">
            <w:pPr>
              <w:spacing w:line="360" w:lineRule="auto"/>
              <w:jc w:val="center"/>
              <w:rPr>
                <w:sz w:val="28"/>
                <w:szCs w:val="28"/>
                <w:lang w:val="uk-UA"/>
              </w:rPr>
            </w:pPr>
            <w:r>
              <w:rPr>
                <w:sz w:val="28"/>
                <w:szCs w:val="28"/>
              </w:rPr>
              <w:t>31,1</w:t>
            </w:r>
            <w:r>
              <w:rPr>
                <w:sz w:val="28"/>
                <w:szCs w:val="28"/>
                <w:lang w:val="uk-UA"/>
              </w:rPr>
              <w:t xml:space="preserve"> </w:t>
            </w:r>
            <w:r>
              <w:rPr>
                <w:sz w:val="28"/>
                <w:szCs w:val="28"/>
              </w:rPr>
              <w:t>(2</w:t>
            </w:r>
            <w:r>
              <w:rPr>
                <w:sz w:val="28"/>
                <w:szCs w:val="28"/>
                <w:lang w:val="en-US"/>
              </w:rPr>
              <w:t>9,8;</w:t>
            </w:r>
            <w:r>
              <w:rPr>
                <w:sz w:val="28"/>
                <w:szCs w:val="28"/>
                <w:lang w:val="uk-UA"/>
              </w:rPr>
              <w:t xml:space="preserve"> </w:t>
            </w:r>
            <w:r>
              <w:rPr>
                <w:sz w:val="28"/>
                <w:szCs w:val="28"/>
                <w:lang w:val="en-US"/>
              </w:rPr>
              <w:t>34,2)</w:t>
            </w:r>
          </w:p>
        </w:tc>
      </w:tr>
    </w:tbl>
    <w:p w:rsidR="00A045A0" w:rsidRDefault="00A045A0" w:rsidP="00A045A0">
      <w:pPr>
        <w:spacing w:line="360" w:lineRule="auto"/>
        <w:ind w:left="707" w:firstLine="709"/>
        <w:jc w:val="both"/>
        <w:rPr>
          <w:sz w:val="28"/>
          <w:szCs w:val="28"/>
          <w:lang w:val="uk-UA"/>
        </w:rPr>
      </w:pPr>
      <w:r>
        <w:rPr>
          <w:b/>
          <w:sz w:val="28"/>
          <w:szCs w:val="28"/>
          <w:lang w:val="uk-UA"/>
        </w:rPr>
        <w:lastRenderedPageBreak/>
        <w:t xml:space="preserve">Примітка: </w:t>
      </w:r>
      <w:r>
        <w:rPr>
          <w:sz w:val="28"/>
          <w:szCs w:val="28"/>
          <w:lang w:val="uk-UA"/>
        </w:rPr>
        <w:t xml:space="preserve">* – </w:t>
      </w:r>
      <w:r>
        <w:rPr>
          <w:sz w:val="28"/>
          <w:szCs w:val="28"/>
        </w:rPr>
        <w:t>p</w:t>
      </w:r>
      <w:r>
        <w:rPr>
          <w:sz w:val="28"/>
          <w:szCs w:val="28"/>
          <w:lang w:val="uk-UA"/>
        </w:rPr>
        <w:t xml:space="preserve"> &lt; 0,001 щодо групи контролю;</w:t>
      </w:r>
    </w:p>
    <w:p w:rsidR="00A045A0" w:rsidRDefault="00A045A0" w:rsidP="00A045A0">
      <w:pPr>
        <w:spacing w:line="360" w:lineRule="auto"/>
        <w:ind w:left="707" w:firstLine="709"/>
        <w:jc w:val="both"/>
        <w:rPr>
          <w:sz w:val="28"/>
          <w:szCs w:val="28"/>
          <w:lang w:val="uk-UA"/>
        </w:rPr>
      </w:pPr>
      <w:r>
        <w:rPr>
          <w:sz w:val="28"/>
          <w:szCs w:val="28"/>
          <w:lang w:val="uk-UA"/>
        </w:rPr>
        <w:t xml:space="preserve"># – </w:t>
      </w:r>
      <w:r>
        <w:rPr>
          <w:sz w:val="28"/>
          <w:szCs w:val="28"/>
        </w:rPr>
        <w:t>p</w:t>
      </w:r>
      <w:r>
        <w:rPr>
          <w:sz w:val="28"/>
          <w:szCs w:val="28"/>
          <w:lang w:val="uk-UA"/>
        </w:rPr>
        <w:t xml:space="preserve"> &lt; 0,001 щодо 2 групи.</w:t>
      </w:r>
      <w:r w:rsidRPr="00A045A0">
        <w:rPr>
          <w:sz w:val="28"/>
          <w:szCs w:val="28"/>
          <w:lang w:val="uk-UA"/>
        </w:rPr>
        <w:t xml:space="preserve"> </w:t>
      </w:r>
    </w:p>
    <w:p w:rsidR="00A045A0" w:rsidRDefault="00A045A0" w:rsidP="00A045A0">
      <w:pPr>
        <w:spacing w:line="360" w:lineRule="auto"/>
        <w:ind w:firstLine="709"/>
        <w:jc w:val="both"/>
        <w:rPr>
          <w:sz w:val="28"/>
          <w:szCs w:val="28"/>
          <w:lang w:val="uk-UA"/>
        </w:rPr>
      </w:pPr>
      <w:r>
        <w:rPr>
          <w:sz w:val="28"/>
          <w:szCs w:val="28"/>
          <w:lang w:val="uk-UA"/>
        </w:rPr>
        <w:t xml:space="preserve">При порівнянні статистичних показників хворих двох груп встановлено, що у пацієнтів  з  НАСГ рівні </w:t>
      </w:r>
      <w:r>
        <w:rPr>
          <w:sz w:val="28"/>
          <w:szCs w:val="28"/>
          <w:lang w:val="en-US"/>
        </w:rPr>
        <w:t>L</w:t>
      </w:r>
      <w:r w:rsidR="003B68F3">
        <w:rPr>
          <w:sz w:val="28"/>
          <w:szCs w:val="28"/>
          <w:lang w:val="uk-UA"/>
        </w:rPr>
        <w:t>–</w:t>
      </w:r>
      <w:r>
        <w:rPr>
          <w:sz w:val="28"/>
          <w:szCs w:val="28"/>
          <w:lang w:val="uk-UA"/>
        </w:rPr>
        <w:t>карнітину були вірогідно (</w:t>
      </w:r>
      <w:r>
        <w:rPr>
          <w:sz w:val="28"/>
          <w:szCs w:val="28"/>
        </w:rPr>
        <w:t>p</w:t>
      </w:r>
      <w:r>
        <w:rPr>
          <w:sz w:val="28"/>
          <w:szCs w:val="28"/>
          <w:lang w:val="uk-UA"/>
        </w:rPr>
        <w:t xml:space="preserve"> &lt; 0,001) знижені (14,5 (13,1; 15,7) мкмоль/л) у порівнянні з контрольною групою. В групі з супутнім ЦД 2 типу вміст </w:t>
      </w:r>
      <w:r>
        <w:rPr>
          <w:sz w:val="28"/>
          <w:szCs w:val="28"/>
          <w:lang w:val="en-US"/>
        </w:rPr>
        <w:t>L</w:t>
      </w:r>
      <w:r w:rsidR="003B68F3">
        <w:rPr>
          <w:sz w:val="28"/>
          <w:szCs w:val="28"/>
          <w:lang w:val="uk-UA"/>
        </w:rPr>
        <w:t>–</w:t>
      </w:r>
      <w:r>
        <w:rPr>
          <w:sz w:val="28"/>
          <w:szCs w:val="28"/>
          <w:lang w:val="uk-UA"/>
        </w:rPr>
        <w:t>карнітину був знижений ще більше і складав  12,8 (12,0; 14,1) мкмоль/л (</w:t>
      </w:r>
      <w:r>
        <w:rPr>
          <w:sz w:val="28"/>
          <w:szCs w:val="28"/>
        </w:rPr>
        <w:t>p</w:t>
      </w:r>
      <w:r>
        <w:rPr>
          <w:sz w:val="28"/>
          <w:szCs w:val="28"/>
          <w:lang w:val="uk-UA"/>
        </w:rPr>
        <w:t xml:space="preserve"> &lt; 0,001). </w:t>
      </w:r>
    </w:p>
    <w:p w:rsidR="00A045A0" w:rsidRDefault="00A045A0" w:rsidP="00A045A0">
      <w:pPr>
        <w:spacing w:line="360" w:lineRule="auto"/>
        <w:ind w:firstLine="709"/>
        <w:jc w:val="both"/>
        <w:rPr>
          <w:sz w:val="28"/>
          <w:szCs w:val="28"/>
          <w:lang w:val="uk-UA"/>
        </w:rPr>
      </w:pPr>
      <w:r>
        <w:rPr>
          <w:sz w:val="28"/>
          <w:szCs w:val="28"/>
          <w:lang w:val="uk-UA"/>
        </w:rPr>
        <w:t xml:space="preserve">При аналізі отриманих даних гендерних відмінностей виявлено не було. Рівень </w:t>
      </w:r>
      <w:r>
        <w:rPr>
          <w:sz w:val="28"/>
          <w:szCs w:val="28"/>
          <w:lang w:val="en-US"/>
        </w:rPr>
        <w:t>L</w:t>
      </w:r>
      <w:r w:rsidR="003B68F3">
        <w:rPr>
          <w:sz w:val="28"/>
          <w:szCs w:val="28"/>
          <w:lang w:val="uk-UA"/>
        </w:rPr>
        <w:t>–</w:t>
      </w:r>
      <w:r>
        <w:rPr>
          <w:sz w:val="28"/>
          <w:szCs w:val="28"/>
          <w:lang w:val="uk-UA"/>
        </w:rPr>
        <w:t>карнітину у чоловіків та у жінок практично не відрізнявся – 12,99 (12,05; 14,21) мкмоль/л (р &gt; 0,05) та 12,65 (11,95; 13,62) мкмоль/л (р &gt; 0,05) відповідно в 1 групі, та 14,77 (12,91; 15,65) мкмоль/л (р &gt; 0,05) у чоловіків і  14,31 (13,39; 15,92) мкмоль/л (р &gt; 0,05) у жінок в 2 групі.</w:t>
      </w:r>
    </w:p>
    <w:p w:rsidR="00A045A0" w:rsidRDefault="00A045A0" w:rsidP="00A045A0">
      <w:pPr>
        <w:spacing w:line="360" w:lineRule="auto"/>
        <w:ind w:firstLine="709"/>
        <w:jc w:val="both"/>
        <w:rPr>
          <w:sz w:val="28"/>
          <w:szCs w:val="28"/>
          <w:lang w:val="uk-UA"/>
        </w:rPr>
      </w:pPr>
      <w:r>
        <w:rPr>
          <w:sz w:val="28"/>
          <w:szCs w:val="28"/>
          <w:lang w:val="uk-UA"/>
        </w:rPr>
        <w:t xml:space="preserve">При вивчені вмісту </w:t>
      </w:r>
      <w:r>
        <w:rPr>
          <w:sz w:val="28"/>
          <w:szCs w:val="28"/>
          <w:lang w:val="en-US"/>
        </w:rPr>
        <w:t>L</w:t>
      </w:r>
      <w:r w:rsidR="003B68F3">
        <w:rPr>
          <w:sz w:val="28"/>
          <w:szCs w:val="28"/>
          <w:lang w:val="uk-UA"/>
        </w:rPr>
        <w:t>–</w:t>
      </w:r>
      <w:r>
        <w:rPr>
          <w:sz w:val="28"/>
          <w:szCs w:val="28"/>
          <w:lang w:val="uk-UA"/>
        </w:rPr>
        <w:t>карнітину у хворих обох груп в залежності від віку встановлено, що у всіх вікових групах його рівень був зниженим, але статистично не відрізнявся (табл. 3.3.2).</w:t>
      </w:r>
    </w:p>
    <w:p w:rsidR="00A045A0" w:rsidRDefault="00A045A0" w:rsidP="00A045A0">
      <w:pPr>
        <w:spacing w:line="360" w:lineRule="auto"/>
        <w:ind w:firstLine="709"/>
        <w:jc w:val="right"/>
        <w:rPr>
          <w:sz w:val="28"/>
          <w:szCs w:val="28"/>
          <w:lang w:val="uk-UA"/>
        </w:rPr>
      </w:pPr>
      <w:r>
        <w:rPr>
          <w:sz w:val="28"/>
          <w:szCs w:val="28"/>
          <w:lang w:val="uk-UA"/>
        </w:rPr>
        <w:t>Таблиця 3.3.2</w:t>
      </w:r>
    </w:p>
    <w:p w:rsidR="00A045A0" w:rsidRDefault="00A045A0" w:rsidP="00A045A0">
      <w:pPr>
        <w:spacing w:line="360" w:lineRule="auto"/>
        <w:jc w:val="center"/>
        <w:rPr>
          <w:sz w:val="28"/>
          <w:szCs w:val="28"/>
          <w:lang w:val="uk-UA"/>
        </w:rPr>
      </w:pPr>
      <w:r>
        <w:rPr>
          <w:sz w:val="28"/>
          <w:szCs w:val="28"/>
          <w:lang w:val="uk-UA"/>
        </w:rPr>
        <w:t xml:space="preserve">Вміст </w:t>
      </w:r>
      <w:r>
        <w:rPr>
          <w:sz w:val="28"/>
          <w:szCs w:val="28"/>
          <w:lang w:val="en-US"/>
        </w:rPr>
        <w:t>L</w:t>
      </w:r>
      <w:r w:rsidR="003B68F3">
        <w:rPr>
          <w:sz w:val="28"/>
          <w:szCs w:val="28"/>
          <w:lang w:val="uk-UA"/>
        </w:rPr>
        <w:t>–</w:t>
      </w:r>
      <w:r>
        <w:rPr>
          <w:sz w:val="28"/>
          <w:szCs w:val="28"/>
          <w:lang w:val="uk-UA"/>
        </w:rPr>
        <w:t>карнітину в сироватці крові хворих в залежності від віку, мкмоль/л</w:t>
      </w:r>
    </w:p>
    <w:p w:rsidR="00A045A0" w:rsidRDefault="00A045A0" w:rsidP="00A045A0">
      <w:pPr>
        <w:spacing w:line="360" w:lineRule="auto"/>
        <w:ind w:firstLine="709"/>
        <w:jc w:val="center"/>
        <w:rPr>
          <w:sz w:val="28"/>
          <w:szCs w:val="28"/>
          <w:lang w:val="uk-UA"/>
        </w:rPr>
      </w:pPr>
      <w:r>
        <w:rPr>
          <w:sz w:val="28"/>
          <w:szCs w:val="28"/>
          <w:lang w:val="uk-UA"/>
        </w:rPr>
        <w:t>(</w:t>
      </w:r>
      <w:r>
        <w:rPr>
          <w:sz w:val="28"/>
          <w:szCs w:val="28"/>
        </w:rPr>
        <w:t>Ме (25%;</w:t>
      </w:r>
      <w:r>
        <w:rPr>
          <w:sz w:val="28"/>
          <w:szCs w:val="28"/>
          <w:lang w:val="uk-UA"/>
        </w:rPr>
        <w:t xml:space="preserve"> </w:t>
      </w:r>
      <w:r>
        <w:rPr>
          <w:sz w:val="28"/>
          <w:szCs w:val="28"/>
        </w:rPr>
        <w:t>75%)</w:t>
      </w:r>
      <w:r>
        <w:rPr>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A045A0" w:rsidTr="003B68F3">
        <w:tc>
          <w:tcPr>
            <w:tcW w:w="3190" w:type="dxa"/>
            <w:vAlign w:val="center"/>
          </w:tcPr>
          <w:p w:rsidR="00A045A0" w:rsidRDefault="00A045A0" w:rsidP="003B68F3">
            <w:pPr>
              <w:spacing w:line="360" w:lineRule="auto"/>
              <w:jc w:val="center"/>
              <w:rPr>
                <w:sz w:val="28"/>
                <w:szCs w:val="28"/>
                <w:lang w:val="uk-UA"/>
              </w:rPr>
            </w:pPr>
            <w:r>
              <w:rPr>
                <w:sz w:val="28"/>
                <w:szCs w:val="28"/>
                <w:lang w:val="uk-UA"/>
              </w:rPr>
              <w:t>Вік хворих</w:t>
            </w: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r>
      <w:tr w:rsidR="00A045A0" w:rsidTr="003B68F3">
        <w:tc>
          <w:tcPr>
            <w:tcW w:w="3190" w:type="dxa"/>
            <w:vAlign w:val="center"/>
          </w:tcPr>
          <w:p w:rsidR="00A045A0" w:rsidRDefault="00A045A0" w:rsidP="003B68F3">
            <w:pPr>
              <w:spacing w:line="360" w:lineRule="auto"/>
              <w:jc w:val="center"/>
              <w:rPr>
                <w:sz w:val="28"/>
                <w:szCs w:val="28"/>
                <w:lang w:val="uk-UA"/>
              </w:rPr>
            </w:pPr>
            <w:r>
              <w:rPr>
                <w:sz w:val="28"/>
                <w:szCs w:val="28"/>
                <w:lang w:val="uk-UA"/>
              </w:rPr>
              <w:t>23</w:t>
            </w:r>
            <w:r w:rsidR="003B68F3">
              <w:rPr>
                <w:sz w:val="28"/>
                <w:szCs w:val="28"/>
                <w:lang w:val="uk-UA"/>
              </w:rPr>
              <w:t>–</w:t>
            </w:r>
            <w:r>
              <w:rPr>
                <w:sz w:val="28"/>
                <w:szCs w:val="28"/>
                <w:lang w:val="uk-UA"/>
              </w:rPr>
              <w:t>29 років</w:t>
            </w: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12,29 (11,56; 13,45)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15,64 (12,41; 17,23) *</w:t>
            </w:r>
          </w:p>
        </w:tc>
      </w:tr>
      <w:tr w:rsidR="00A045A0" w:rsidTr="003B68F3">
        <w:tc>
          <w:tcPr>
            <w:tcW w:w="3190" w:type="dxa"/>
            <w:vAlign w:val="center"/>
          </w:tcPr>
          <w:p w:rsidR="00A045A0" w:rsidRDefault="00A045A0" w:rsidP="003B68F3">
            <w:pPr>
              <w:spacing w:line="360" w:lineRule="auto"/>
              <w:jc w:val="center"/>
              <w:rPr>
                <w:sz w:val="28"/>
                <w:szCs w:val="28"/>
                <w:lang w:val="uk-UA"/>
              </w:rPr>
            </w:pPr>
            <w:r>
              <w:rPr>
                <w:sz w:val="28"/>
                <w:szCs w:val="28"/>
                <w:lang w:val="uk-UA"/>
              </w:rPr>
              <w:t>30</w:t>
            </w:r>
            <w:r w:rsidR="003B68F3">
              <w:rPr>
                <w:sz w:val="28"/>
                <w:szCs w:val="28"/>
                <w:lang w:val="uk-UA"/>
              </w:rPr>
              <w:t>–</w:t>
            </w:r>
            <w:r>
              <w:rPr>
                <w:sz w:val="28"/>
                <w:szCs w:val="28"/>
                <w:lang w:val="uk-UA"/>
              </w:rPr>
              <w:t>39 років</w:t>
            </w: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13,64 (13,6; 14,09)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15,32 (12,96; 15,66) *</w:t>
            </w:r>
          </w:p>
        </w:tc>
      </w:tr>
      <w:tr w:rsidR="00A045A0" w:rsidTr="003B68F3">
        <w:tc>
          <w:tcPr>
            <w:tcW w:w="3190" w:type="dxa"/>
            <w:vAlign w:val="center"/>
          </w:tcPr>
          <w:p w:rsidR="00A045A0" w:rsidRDefault="00A045A0" w:rsidP="003B68F3">
            <w:pPr>
              <w:spacing w:line="360" w:lineRule="auto"/>
              <w:jc w:val="center"/>
              <w:rPr>
                <w:sz w:val="28"/>
                <w:szCs w:val="28"/>
                <w:lang w:val="uk-UA"/>
              </w:rPr>
            </w:pPr>
            <w:r>
              <w:rPr>
                <w:sz w:val="28"/>
                <w:szCs w:val="28"/>
                <w:lang w:val="uk-UA"/>
              </w:rPr>
              <w:t>40</w:t>
            </w:r>
            <w:r w:rsidR="003B68F3">
              <w:rPr>
                <w:sz w:val="28"/>
                <w:szCs w:val="28"/>
                <w:lang w:val="uk-UA"/>
              </w:rPr>
              <w:t>–</w:t>
            </w:r>
            <w:r>
              <w:rPr>
                <w:sz w:val="28"/>
                <w:szCs w:val="28"/>
                <w:lang w:val="uk-UA"/>
              </w:rPr>
              <w:t>49 років</w:t>
            </w: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12,65 (12,12; 13,65)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13,95 (13,18; 14,33) *</w:t>
            </w:r>
          </w:p>
        </w:tc>
      </w:tr>
      <w:tr w:rsidR="00A045A0" w:rsidTr="003B68F3">
        <w:tc>
          <w:tcPr>
            <w:tcW w:w="3190" w:type="dxa"/>
            <w:vAlign w:val="center"/>
          </w:tcPr>
          <w:p w:rsidR="00A045A0" w:rsidRDefault="00A045A0" w:rsidP="003B68F3">
            <w:pPr>
              <w:spacing w:line="360" w:lineRule="auto"/>
              <w:jc w:val="center"/>
              <w:rPr>
                <w:sz w:val="28"/>
                <w:szCs w:val="28"/>
                <w:lang w:val="uk-UA"/>
              </w:rPr>
            </w:pPr>
            <w:r>
              <w:rPr>
                <w:sz w:val="28"/>
                <w:szCs w:val="28"/>
                <w:lang w:val="uk-UA"/>
              </w:rPr>
              <w:t>50</w:t>
            </w:r>
            <w:r w:rsidR="003B68F3">
              <w:rPr>
                <w:sz w:val="28"/>
                <w:szCs w:val="28"/>
                <w:lang w:val="uk-UA"/>
              </w:rPr>
              <w:t>–</w:t>
            </w:r>
            <w:r>
              <w:rPr>
                <w:sz w:val="28"/>
                <w:szCs w:val="28"/>
                <w:lang w:val="uk-UA"/>
              </w:rPr>
              <w:t>59 років</w:t>
            </w: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12,88 (12,03; 13,64)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15,28 (13,6; 16,39) *</w:t>
            </w:r>
          </w:p>
        </w:tc>
      </w:tr>
      <w:tr w:rsidR="00A045A0" w:rsidTr="003B68F3">
        <w:tc>
          <w:tcPr>
            <w:tcW w:w="3190" w:type="dxa"/>
            <w:vAlign w:val="center"/>
          </w:tcPr>
          <w:p w:rsidR="00A045A0" w:rsidRDefault="00A045A0" w:rsidP="003B68F3">
            <w:pPr>
              <w:spacing w:line="360" w:lineRule="auto"/>
              <w:jc w:val="center"/>
              <w:rPr>
                <w:sz w:val="28"/>
                <w:szCs w:val="28"/>
                <w:lang w:val="uk-UA"/>
              </w:rPr>
            </w:pPr>
            <w:r>
              <w:rPr>
                <w:sz w:val="28"/>
                <w:szCs w:val="28"/>
                <w:lang w:val="uk-UA"/>
              </w:rPr>
              <w:t>60</w:t>
            </w:r>
            <w:r w:rsidR="003B68F3">
              <w:rPr>
                <w:sz w:val="28"/>
                <w:szCs w:val="28"/>
                <w:lang w:val="uk-UA"/>
              </w:rPr>
              <w:t>–</w:t>
            </w:r>
            <w:r>
              <w:rPr>
                <w:sz w:val="28"/>
                <w:szCs w:val="28"/>
                <w:lang w:val="uk-UA"/>
              </w:rPr>
              <w:t>67 років</w:t>
            </w: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12,65 (11,48; 13,37)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14,35 (13,37; 15,8) *</w:t>
            </w:r>
          </w:p>
        </w:tc>
      </w:tr>
    </w:tbl>
    <w:p w:rsidR="00A045A0" w:rsidRDefault="00A045A0" w:rsidP="00A045A0">
      <w:pPr>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Pr>
          <w:sz w:val="28"/>
          <w:szCs w:val="28"/>
          <w:lang w:val="uk-UA"/>
        </w:rPr>
        <w:t xml:space="preserve"> &gt; 0,05 при порівнянні показників в різних вікових групах</w:t>
      </w:r>
    </w:p>
    <w:p w:rsidR="00A045A0" w:rsidRDefault="00A045A0" w:rsidP="00A045A0">
      <w:pPr>
        <w:spacing w:line="360" w:lineRule="auto"/>
        <w:ind w:firstLine="709"/>
        <w:jc w:val="both"/>
        <w:rPr>
          <w:sz w:val="28"/>
          <w:szCs w:val="28"/>
          <w:lang w:val="uk-UA"/>
        </w:rPr>
      </w:pPr>
      <w:r>
        <w:rPr>
          <w:sz w:val="28"/>
          <w:szCs w:val="28"/>
          <w:lang w:val="uk-UA"/>
        </w:rPr>
        <w:t xml:space="preserve">Аналізуючи данні, можна зробити висновок, що рівень </w:t>
      </w:r>
      <w:r>
        <w:rPr>
          <w:sz w:val="28"/>
          <w:szCs w:val="28"/>
          <w:lang w:val="en-US"/>
        </w:rPr>
        <w:t>L</w:t>
      </w:r>
      <w:r w:rsidR="003B68F3">
        <w:rPr>
          <w:sz w:val="28"/>
          <w:szCs w:val="28"/>
          <w:lang w:val="uk-UA"/>
        </w:rPr>
        <w:t>–</w:t>
      </w:r>
      <w:r>
        <w:rPr>
          <w:sz w:val="28"/>
          <w:szCs w:val="28"/>
          <w:lang w:val="uk-UA"/>
        </w:rPr>
        <w:t>карнітину не залежав від віку.</w:t>
      </w:r>
    </w:p>
    <w:p w:rsidR="00A045A0" w:rsidRDefault="00A045A0" w:rsidP="00A045A0">
      <w:pPr>
        <w:spacing w:line="360" w:lineRule="auto"/>
        <w:ind w:firstLine="709"/>
        <w:jc w:val="both"/>
        <w:rPr>
          <w:sz w:val="28"/>
          <w:szCs w:val="28"/>
          <w:lang w:val="uk-UA"/>
        </w:rPr>
      </w:pPr>
      <w:r>
        <w:rPr>
          <w:sz w:val="28"/>
          <w:szCs w:val="28"/>
          <w:lang w:val="uk-UA"/>
        </w:rPr>
        <w:t xml:space="preserve">При аналізі вмісту </w:t>
      </w:r>
      <w:r>
        <w:rPr>
          <w:sz w:val="28"/>
          <w:szCs w:val="28"/>
          <w:lang w:val="en-US"/>
        </w:rPr>
        <w:t>L</w:t>
      </w:r>
      <w:r w:rsidR="003B68F3">
        <w:rPr>
          <w:sz w:val="28"/>
          <w:szCs w:val="28"/>
          <w:lang w:val="uk-UA"/>
        </w:rPr>
        <w:t>–</w:t>
      </w:r>
      <w:r>
        <w:rPr>
          <w:sz w:val="28"/>
          <w:szCs w:val="28"/>
          <w:lang w:val="uk-UA"/>
        </w:rPr>
        <w:t xml:space="preserve">карнітину </w:t>
      </w:r>
      <w:r>
        <w:rPr>
          <w:sz w:val="28"/>
          <w:szCs w:val="28"/>
        </w:rPr>
        <w:t>в</w:t>
      </w:r>
      <w:r>
        <w:rPr>
          <w:sz w:val="28"/>
          <w:szCs w:val="28"/>
          <w:lang w:val="uk-UA"/>
        </w:rPr>
        <w:t xml:space="preserve"> сироватці крові у хворих двох груп в залежності від тривалості захворювання ми отримали наступні результати (табл. 3.3.3).</w:t>
      </w:r>
    </w:p>
    <w:p w:rsidR="00A045A0" w:rsidRDefault="00A045A0" w:rsidP="00A045A0">
      <w:pPr>
        <w:spacing w:line="360" w:lineRule="auto"/>
        <w:ind w:firstLine="709"/>
        <w:jc w:val="right"/>
        <w:rPr>
          <w:sz w:val="28"/>
          <w:szCs w:val="28"/>
          <w:lang w:val="uk-UA"/>
        </w:rPr>
      </w:pPr>
      <w:r>
        <w:rPr>
          <w:sz w:val="28"/>
          <w:szCs w:val="28"/>
          <w:lang w:val="uk-UA"/>
        </w:rPr>
        <w:lastRenderedPageBreak/>
        <w:t>Таблиця 3.3.3</w:t>
      </w:r>
    </w:p>
    <w:p w:rsidR="00A045A0" w:rsidRDefault="00A045A0" w:rsidP="00A045A0">
      <w:pPr>
        <w:spacing w:line="360" w:lineRule="auto"/>
        <w:ind w:firstLine="709"/>
        <w:jc w:val="center"/>
        <w:rPr>
          <w:sz w:val="28"/>
          <w:szCs w:val="28"/>
          <w:lang w:val="uk-UA"/>
        </w:rPr>
      </w:pPr>
      <w:r>
        <w:rPr>
          <w:sz w:val="28"/>
          <w:szCs w:val="28"/>
          <w:lang w:val="uk-UA"/>
        </w:rPr>
        <w:t xml:space="preserve">Вміст </w:t>
      </w:r>
      <w:r>
        <w:rPr>
          <w:sz w:val="28"/>
          <w:szCs w:val="28"/>
          <w:lang w:val="en-US"/>
        </w:rPr>
        <w:t>L</w:t>
      </w:r>
      <w:r w:rsidR="003B68F3">
        <w:rPr>
          <w:sz w:val="28"/>
          <w:szCs w:val="28"/>
          <w:lang w:val="uk-UA"/>
        </w:rPr>
        <w:t>–</w:t>
      </w:r>
      <w:r>
        <w:rPr>
          <w:sz w:val="28"/>
          <w:szCs w:val="28"/>
          <w:lang w:val="uk-UA"/>
        </w:rPr>
        <w:t>карнітину в сироватці крові хворих в залежності від тривалості захворювання, мкмоль/л (Ме (25%; 75%))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3174"/>
        <w:gridCol w:w="3051"/>
      </w:tblGrid>
      <w:tr w:rsidR="00A045A0" w:rsidTr="003B68F3">
        <w:trPr>
          <w:trHeight w:val="519"/>
        </w:trPr>
        <w:tc>
          <w:tcPr>
            <w:tcW w:w="2013" w:type="pct"/>
            <w:vMerge w:val="restart"/>
            <w:vAlign w:val="center"/>
          </w:tcPr>
          <w:p w:rsidR="00A045A0" w:rsidRDefault="00A045A0" w:rsidP="003B68F3">
            <w:pPr>
              <w:spacing w:line="360" w:lineRule="auto"/>
              <w:jc w:val="center"/>
              <w:rPr>
                <w:sz w:val="28"/>
                <w:szCs w:val="28"/>
                <w:lang w:val="uk-UA"/>
              </w:rPr>
            </w:pPr>
            <w:r>
              <w:rPr>
                <w:sz w:val="28"/>
                <w:szCs w:val="28"/>
                <w:lang w:val="uk-UA"/>
              </w:rPr>
              <w:t>Тривалість захворювання</w:t>
            </w:r>
          </w:p>
        </w:tc>
        <w:tc>
          <w:tcPr>
            <w:tcW w:w="2987" w:type="pct"/>
            <w:gridSpan w:val="2"/>
            <w:vAlign w:val="center"/>
          </w:tcPr>
          <w:p w:rsidR="00A045A0" w:rsidRDefault="00A045A0" w:rsidP="003B68F3">
            <w:pPr>
              <w:spacing w:line="360" w:lineRule="auto"/>
              <w:jc w:val="center"/>
              <w:rPr>
                <w:sz w:val="28"/>
                <w:szCs w:val="28"/>
                <w:lang w:val="uk-UA"/>
              </w:rPr>
            </w:pPr>
            <w:r>
              <w:rPr>
                <w:sz w:val="28"/>
                <w:szCs w:val="28"/>
                <w:lang w:val="en-US"/>
              </w:rPr>
              <w:t>L</w:t>
            </w:r>
            <w:r w:rsidR="003B68F3">
              <w:rPr>
                <w:sz w:val="28"/>
                <w:szCs w:val="28"/>
                <w:lang w:val="uk-UA"/>
              </w:rPr>
              <w:t>–</w:t>
            </w:r>
            <w:r>
              <w:rPr>
                <w:sz w:val="28"/>
                <w:szCs w:val="28"/>
                <w:lang w:val="uk-UA"/>
              </w:rPr>
              <w:t>карнітин, мкмоль/л (Ме (25%; 75%))</w:t>
            </w:r>
          </w:p>
        </w:tc>
      </w:tr>
      <w:tr w:rsidR="00A045A0" w:rsidTr="003B68F3">
        <w:tc>
          <w:tcPr>
            <w:tcW w:w="0" w:type="auto"/>
            <w:vMerge/>
            <w:vAlign w:val="center"/>
          </w:tcPr>
          <w:p w:rsidR="00A045A0" w:rsidRDefault="00A045A0" w:rsidP="003B68F3">
            <w:pPr>
              <w:rPr>
                <w:sz w:val="28"/>
                <w:szCs w:val="28"/>
                <w:lang w:val="uk-UA"/>
              </w:rPr>
            </w:pPr>
          </w:p>
        </w:tc>
        <w:tc>
          <w:tcPr>
            <w:tcW w:w="1523" w:type="pct"/>
            <w:vAlign w:val="center"/>
          </w:tcPr>
          <w:p w:rsidR="00A045A0" w:rsidRDefault="00A045A0" w:rsidP="003B68F3">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1464" w:type="pct"/>
            <w:vAlign w:val="center"/>
          </w:tcPr>
          <w:p w:rsidR="00A045A0" w:rsidRDefault="00A045A0" w:rsidP="003B68F3">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r>
      <w:tr w:rsidR="00A045A0" w:rsidTr="003B68F3">
        <w:tc>
          <w:tcPr>
            <w:tcW w:w="2013" w:type="pct"/>
            <w:vAlign w:val="center"/>
          </w:tcPr>
          <w:p w:rsidR="00A045A0" w:rsidRDefault="00A045A0" w:rsidP="003B68F3">
            <w:pPr>
              <w:spacing w:line="360" w:lineRule="auto"/>
              <w:jc w:val="center"/>
              <w:rPr>
                <w:sz w:val="28"/>
                <w:szCs w:val="28"/>
                <w:lang w:val="uk-UA"/>
              </w:rPr>
            </w:pPr>
            <w:r>
              <w:rPr>
                <w:sz w:val="28"/>
                <w:szCs w:val="28"/>
                <w:lang w:val="uk-UA"/>
              </w:rPr>
              <w:t>До 5 років</w:t>
            </w:r>
          </w:p>
        </w:tc>
        <w:tc>
          <w:tcPr>
            <w:tcW w:w="1523" w:type="pct"/>
            <w:vAlign w:val="center"/>
          </w:tcPr>
          <w:p w:rsidR="00A045A0" w:rsidRDefault="00A045A0" w:rsidP="003B68F3">
            <w:pPr>
              <w:spacing w:line="360" w:lineRule="auto"/>
              <w:jc w:val="center"/>
              <w:rPr>
                <w:sz w:val="28"/>
                <w:szCs w:val="28"/>
                <w:lang w:val="uk-UA"/>
              </w:rPr>
            </w:pPr>
            <w:r>
              <w:rPr>
                <w:sz w:val="28"/>
                <w:szCs w:val="28"/>
                <w:lang w:val="uk-UA"/>
              </w:rPr>
              <w:t>13,62 (12,6; 14,31)</w:t>
            </w:r>
          </w:p>
        </w:tc>
        <w:tc>
          <w:tcPr>
            <w:tcW w:w="1464" w:type="pct"/>
            <w:vAlign w:val="center"/>
          </w:tcPr>
          <w:p w:rsidR="00A045A0" w:rsidRDefault="00A045A0" w:rsidP="003B68F3">
            <w:pPr>
              <w:spacing w:line="360" w:lineRule="auto"/>
              <w:jc w:val="center"/>
              <w:rPr>
                <w:sz w:val="28"/>
                <w:szCs w:val="28"/>
                <w:lang w:val="uk-UA"/>
              </w:rPr>
            </w:pPr>
            <w:r>
              <w:rPr>
                <w:sz w:val="28"/>
                <w:szCs w:val="28"/>
                <w:lang w:val="uk-UA"/>
              </w:rPr>
              <w:t>15,01 (13,77; 16,39)</w:t>
            </w:r>
          </w:p>
        </w:tc>
      </w:tr>
      <w:tr w:rsidR="00A045A0" w:rsidTr="003B68F3">
        <w:tc>
          <w:tcPr>
            <w:tcW w:w="2013" w:type="pct"/>
            <w:vAlign w:val="center"/>
          </w:tcPr>
          <w:p w:rsidR="00A045A0" w:rsidRDefault="00A045A0" w:rsidP="003B68F3">
            <w:pPr>
              <w:spacing w:line="360" w:lineRule="auto"/>
              <w:jc w:val="center"/>
              <w:rPr>
                <w:sz w:val="28"/>
                <w:szCs w:val="28"/>
                <w:lang w:val="uk-UA"/>
              </w:rPr>
            </w:pPr>
            <w:r>
              <w:rPr>
                <w:sz w:val="28"/>
                <w:szCs w:val="28"/>
                <w:lang w:val="uk-UA"/>
              </w:rPr>
              <w:t>Від 5 до 10 років</w:t>
            </w:r>
          </w:p>
        </w:tc>
        <w:tc>
          <w:tcPr>
            <w:tcW w:w="1523" w:type="pct"/>
            <w:vAlign w:val="center"/>
          </w:tcPr>
          <w:p w:rsidR="00A045A0" w:rsidRDefault="00A045A0" w:rsidP="003B68F3">
            <w:pPr>
              <w:spacing w:line="360" w:lineRule="auto"/>
              <w:jc w:val="center"/>
              <w:rPr>
                <w:sz w:val="28"/>
                <w:szCs w:val="28"/>
                <w:lang w:val="uk-UA"/>
              </w:rPr>
            </w:pPr>
            <w:r>
              <w:rPr>
                <w:sz w:val="28"/>
                <w:szCs w:val="28"/>
                <w:lang w:val="uk-UA"/>
              </w:rPr>
              <w:t>13,6 (13,13; 13,96)</w:t>
            </w:r>
          </w:p>
        </w:tc>
        <w:tc>
          <w:tcPr>
            <w:tcW w:w="1464" w:type="pct"/>
            <w:vAlign w:val="center"/>
          </w:tcPr>
          <w:p w:rsidR="00A045A0" w:rsidRDefault="00A045A0" w:rsidP="003B68F3">
            <w:pPr>
              <w:spacing w:line="360" w:lineRule="auto"/>
              <w:jc w:val="center"/>
              <w:rPr>
                <w:sz w:val="28"/>
                <w:szCs w:val="28"/>
                <w:lang w:val="uk-UA"/>
              </w:rPr>
            </w:pPr>
            <w:r>
              <w:rPr>
                <w:sz w:val="28"/>
                <w:szCs w:val="28"/>
                <w:lang w:val="uk-UA"/>
              </w:rPr>
              <w:t>15,32 (14,35; 15,94)</w:t>
            </w:r>
          </w:p>
        </w:tc>
      </w:tr>
      <w:tr w:rsidR="00A045A0" w:rsidTr="003B68F3">
        <w:tc>
          <w:tcPr>
            <w:tcW w:w="2013" w:type="pct"/>
            <w:vAlign w:val="center"/>
          </w:tcPr>
          <w:p w:rsidR="00A045A0" w:rsidRDefault="00A045A0" w:rsidP="003B68F3">
            <w:pPr>
              <w:spacing w:line="360" w:lineRule="auto"/>
              <w:jc w:val="center"/>
              <w:rPr>
                <w:sz w:val="28"/>
                <w:szCs w:val="28"/>
                <w:lang w:val="uk-UA"/>
              </w:rPr>
            </w:pPr>
            <w:r>
              <w:rPr>
                <w:sz w:val="28"/>
                <w:szCs w:val="28"/>
                <w:lang w:val="uk-UA"/>
              </w:rPr>
              <w:t>Більше 10 років</w:t>
            </w:r>
          </w:p>
        </w:tc>
        <w:tc>
          <w:tcPr>
            <w:tcW w:w="1523" w:type="pct"/>
            <w:vAlign w:val="center"/>
          </w:tcPr>
          <w:p w:rsidR="00A045A0" w:rsidRDefault="00A045A0" w:rsidP="003B68F3">
            <w:pPr>
              <w:spacing w:line="360" w:lineRule="auto"/>
              <w:jc w:val="center"/>
              <w:rPr>
                <w:sz w:val="28"/>
                <w:szCs w:val="28"/>
                <w:lang w:val="uk-UA"/>
              </w:rPr>
            </w:pPr>
            <w:r>
              <w:rPr>
                <w:sz w:val="28"/>
                <w:szCs w:val="28"/>
                <w:lang w:val="uk-UA"/>
              </w:rPr>
              <w:t>11,95 (11,15; 12,42)*</w:t>
            </w:r>
          </w:p>
        </w:tc>
        <w:tc>
          <w:tcPr>
            <w:tcW w:w="1464" w:type="pct"/>
            <w:vAlign w:val="center"/>
          </w:tcPr>
          <w:p w:rsidR="00A045A0" w:rsidRDefault="00A045A0" w:rsidP="003B68F3">
            <w:pPr>
              <w:spacing w:line="360" w:lineRule="auto"/>
              <w:jc w:val="center"/>
              <w:rPr>
                <w:sz w:val="28"/>
                <w:szCs w:val="28"/>
                <w:lang w:val="uk-UA"/>
              </w:rPr>
            </w:pPr>
            <w:r>
              <w:rPr>
                <w:sz w:val="28"/>
                <w:szCs w:val="28"/>
                <w:lang w:val="uk-UA"/>
              </w:rPr>
              <w:t>12,7 (12,44; 12,93) *</w:t>
            </w:r>
          </w:p>
        </w:tc>
      </w:tr>
    </w:tbl>
    <w:p w:rsidR="00A045A0" w:rsidRDefault="00A045A0" w:rsidP="00A045A0">
      <w:pPr>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Pr>
          <w:sz w:val="28"/>
          <w:szCs w:val="28"/>
          <w:lang w:val="uk-UA"/>
        </w:rPr>
        <w:t xml:space="preserve"> </w:t>
      </w:r>
      <w:r>
        <w:rPr>
          <w:sz w:val="28"/>
          <w:szCs w:val="28"/>
        </w:rPr>
        <w:t>˂</w:t>
      </w:r>
      <w:r>
        <w:rPr>
          <w:sz w:val="28"/>
          <w:szCs w:val="28"/>
          <w:lang w:val="uk-UA"/>
        </w:rPr>
        <w:t xml:space="preserve"> 0,05 при порівнянні показників в групах з різною тривалістю захворювання</w:t>
      </w:r>
    </w:p>
    <w:p w:rsidR="00A045A0" w:rsidRDefault="00A045A0" w:rsidP="00A045A0">
      <w:pPr>
        <w:spacing w:line="360" w:lineRule="auto"/>
        <w:ind w:firstLine="709"/>
        <w:jc w:val="both"/>
        <w:rPr>
          <w:sz w:val="28"/>
          <w:szCs w:val="28"/>
          <w:lang w:val="uk-UA"/>
        </w:rPr>
      </w:pPr>
      <w:r>
        <w:rPr>
          <w:sz w:val="28"/>
          <w:szCs w:val="28"/>
          <w:lang w:val="uk-UA"/>
        </w:rPr>
        <w:t>Отримані дані свідчать про достовірне (</w:t>
      </w:r>
      <w:r>
        <w:rPr>
          <w:sz w:val="28"/>
          <w:szCs w:val="28"/>
        </w:rPr>
        <w:t>p</w:t>
      </w:r>
      <w:r>
        <w:rPr>
          <w:sz w:val="28"/>
          <w:szCs w:val="28"/>
          <w:lang w:val="uk-UA"/>
        </w:rPr>
        <w:t xml:space="preserve"> ˂ 0,05) зростання карнітинової недостатності в обох групах зі збільшенням тривалості захворювання понад 10 років. В 1 групі концентрація </w:t>
      </w:r>
      <w:r>
        <w:rPr>
          <w:sz w:val="28"/>
          <w:szCs w:val="28"/>
          <w:lang w:val="en-US"/>
        </w:rPr>
        <w:t>L</w:t>
      </w:r>
      <w:r w:rsidR="003B68F3">
        <w:rPr>
          <w:sz w:val="28"/>
          <w:szCs w:val="28"/>
          <w:lang w:val="uk-UA"/>
        </w:rPr>
        <w:t>–</w:t>
      </w:r>
      <w:r>
        <w:rPr>
          <w:sz w:val="28"/>
          <w:szCs w:val="28"/>
          <w:lang w:val="uk-UA"/>
        </w:rPr>
        <w:t>карнітину в сироватці крові хворих з тривалістю захворювання до 5 років була на рівні 13,62 (12,6; 14,31) мкмоль/л, від 5 до 10 років – 13,6 (13,13; 13,96) мкмоль/л та більше 10 років  – 11,95 (11,15; 12,42) мкмоль/л (</w:t>
      </w:r>
      <w:r>
        <w:rPr>
          <w:sz w:val="28"/>
          <w:szCs w:val="28"/>
        </w:rPr>
        <w:t>p</w:t>
      </w:r>
      <w:r>
        <w:rPr>
          <w:sz w:val="28"/>
          <w:szCs w:val="28"/>
          <w:lang w:val="uk-UA"/>
        </w:rPr>
        <w:t xml:space="preserve"> ˂ 0,05).</w:t>
      </w:r>
    </w:p>
    <w:p w:rsidR="00A045A0" w:rsidRDefault="00A045A0" w:rsidP="00A045A0">
      <w:pPr>
        <w:spacing w:line="360" w:lineRule="auto"/>
        <w:ind w:firstLine="709"/>
        <w:jc w:val="both"/>
        <w:rPr>
          <w:sz w:val="28"/>
          <w:szCs w:val="28"/>
          <w:lang w:val="uk-UA"/>
        </w:rPr>
      </w:pPr>
      <w:r>
        <w:rPr>
          <w:sz w:val="28"/>
          <w:szCs w:val="28"/>
          <w:lang w:val="uk-UA"/>
        </w:rPr>
        <w:t xml:space="preserve">В 2 групі вміст </w:t>
      </w:r>
      <w:r>
        <w:rPr>
          <w:sz w:val="28"/>
          <w:szCs w:val="28"/>
          <w:lang w:val="en-US"/>
        </w:rPr>
        <w:t>L</w:t>
      </w:r>
      <w:r w:rsidR="003B68F3">
        <w:rPr>
          <w:sz w:val="28"/>
          <w:szCs w:val="28"/>
          <w:lang w:val="uk-UA"/>
        </w:rPr>
        <w:t>–</w:t>
      </w:r>
      <w:r>
        <w:rPr>
          <w:sz w:val="28"/>
          <w:szCs w:val="28"/>
          <w:lang w:val="uk-UA"/>
        </w:rPr>
        <w:t xml:space="preserve">карнітину при тривалості хвороби до 5 років фіксувався на рівні 15,01 (13,77; 16,39) мкмоль/л, від 5 до 10 років – 15,32 (14,35; 15,94) мкмоль/л та більше 10 років  – 12,7 (12,44;1 2,93) мкмоль/л. Проведені нами дослідження дозволяють припустити, що поряд з відомими факторами патогенезу НАСГ </w:t>
      </w:r>
      <w:r w:rsidR="003B68F3">
        <w:rPr>
          <w:sz w:val="28"/>
          <w:szCs w:val="28"/>
          <w:lang w:val="uk-UA"/>
        </w:rPr>
        <w:t>в поєднанні з ЦД 2 типу</w:t>
      </w:r>
      <w:r>
        <w:rPr>
          <w:sz w:val="28"/>
          <w:szCs w:val="28"/>
          <w:lang w:val="uk-UA"/>
        </w:rPr>
        <w:t>, в розвитку з</w:t>
      </w:r>
      <w:r w:rsidR="003B68F3">
        <w:rPr>
          <w:sz w:val="28"/>
          <w:szCs w:val="28"/>
          <w:lang w:val="uk-UA"/>
        </w:rPr>
        <w:t>ахворювання має значення карніти</w:t>
      </w:r>
      <w:r>
        <w:rPr>
          <w:sz w:val="28"/>
          <w:szCs w:val="28"/>
          <w:lang w:val="uk-UA"/>
        </w:rPr>
        <w:t>нова недостатність.</w:t>
      </w:r>
    </w:p>
    <w:p w:rsidR="00A045A0" w:rsidRDefault="00A045A0" w:rsidP="00A045A0">
      <w:pPr>
        <w:spacing w:line="360" w:lineRule="auto"/>
        <w:ind w:firstLine="709"/>
        <w:jc w:val="both"/>
        <w:rPr>
          <w:sz w:val="28"/>
          <w:szCs w:val="28"/>
          <w:lang w:val="uk-UA"/>
        </w:rPr>
      </w:pPr>
      <w:r>
        <w:rPr>
          <w:sz w:val="28"/>
          <w:szCs w:val="28"/>
          <w:lang w:val="uk-UA"/>
        </w:rPr>
        <w:t>Основними механізмами розвитку мітохондріальної дисфункції при НАСГ є порушення транспорту довголанцюжкових жирних кислот, що призводить до пригнічення  β</w:t>
      </w:r>
      <w:r w:rsidR="003B68F3">
        <w:rPr>
          <w:sz w:val="28"/>
          <w:szCs w:val="28"/>
          <w:lang w:val="uk-UA"/>
        </w:rPr>
        <w:t>–</w:t>
      </w:r>
      <w:r>
        <w:rPr>
          <w:sz w:val="28"/>
          <w:szCs w:val="28"/>
          <w:lang w:val="uk-UA"/>
        </w:rPr>
        <w:t xml:space="preserve">окислення ВЖК та розвитку ліпотоксичного стресу [2, 109, 165]. Оскільки процес переносу жирних кислот відбувається за участі карнітинзалежних трансфераз, то зниження рівня </w:t>
      </w:r>
      <w:r>
        <w:rPr>
          <w:sz w:val="28"/>
          <w:szCs w:val="28"/>
          <w:lang w:val="en-US"/>
        </w:rPr>
        <w:t>L</w:t>
      </w:r>
      <w:r w:rsidR="003B68F3">
        <w:rPr>
          <w:sz w:val="28"/>
          <w:szCs w:val="28"/>
          <w:lang w:val="uk-UA"/>
        </w:rPr>
        <w:t>–</w:t>
      </w:r>
      <w:r>
        <w:rPr>
          <w:sz w:val="28"/>
          <w:szCs w:val="28"/>
          <w:lang w:val="uk-UA"/>
        </w:rPr>
        <w:t>карнітину сироватки крові може бути причетним до порушення ліпідного обміну у хворих НАСГ</w:t>
      </w:r>
      <w:r w:rsidR="003B68F3">
        <w:rPr>
          <w:sz w:val="28"/>
          <w:szCs w:val="28"/>
          <w:lang w:val="uk-UA"/>
        </w:rPr>
        <w:t xml:space="preserve"> та в поєднанні з ЦД 2 типу</w:t>
      </w:r>
      <w:r>
        <w:rPr>
          <w:sz w:val="28"/>
          <w:szCs w:val="28"/>
          <w:lang w:val="uk-UA"/>
        </w:rPr>
        <w:t>.</w:t>
      </w:r>
    </w:p>
    <w:p w:rsidR="00A045A0" w:rsidRDefault="00A045A0" w:rsidP="00A045A0">
      <w:pPr>
        <w:spacing w:line="360" w:lineRule="auto"/>
        <w:ind w:firstLine="709"/>
        <w:jc w:val="both"/>
        <w:rPr>
          <w:sz w:val="28"/>
          <w:szCs w:val="28"/>
          <w:lang w:val="uk-UA"/>
        </w:rPr>
      </w:pPr>
      <w:r>
        <w:rPr>
          <w:sz w:val="28"/>
          <w:szCs w:val="28"/>
          <w:lang w:val="uk-UA"/>
        </w:rPr>
        <w:t xml:space="preserve">Нами виявлені кореляційні зв’язки між рівнем </w:t>
      </w:r>
      <w:r>
        <w:rPr>
          <w:sz w:val="28"/>
          <w:szCs w:val="28"/>
          <w:lang w:val="en-US"/>
        </w:rPr>
        <w:t>L</w:t>
      </w:r>
      <w:r w:rsidR="003B68F3">
        <w:rPr>
          <w:sz w:val="28"/>
          <w:szCs w:val="28"/>
          <w:lang w:val="uk-UA"/>
        </w:rPr>
        <w:t>–</w:t>
      </w:r>
      <w:r>
        <w:rPr>
          <w:sz w:val="28"/>
          <w:szCs w:val="28"/>
          <w:lang w:val="uk-UA"/>
        </w:rPr>
        <w:t>карнітину сироватки крові та показниками ліпідного спектру крові (табл. 3.3.4).</w:t>
      </w:r>
    </w:p>
    <w:p w:rsidR="00A045A0" w:rsidRDefault="00A045A0" w:rsidP="00A045A0">
      <w:pPr>
        <w:spacing w:line="360" w:lineRule="auto"/>
        <w:ind w:firstLine="709"/>
        <w:jc w:val="right"/>
        <w:rPr>
          <w:sz w:val="28"/>
          <w:szCs w:val="28"/>
          <w:lang w:val="uk-UA"/>
        </w:rPr>
      </w:pPr>
      <w:r>
        <w:rPr>
          <w:sz w:val="28"/>
          <w:szCs w:val="28"/>
          <w:lang w:val="uk-UA"/>
        </w:rPr>
        <w:lastRenderedPageBreak/>
        <w:t>Таблиця 3.3.4</w:t>
      </w:r>
    </w:p>
    <w:p w:rsidR="00A045A0" w:rsidRDefault="00A045A0" w:rsidP="003B68F3">
      <w:pPr>
        <w:spacing w:line="360" w:lineRule="auto"/>
        <w:ind w:firstLine="709"/>
        <w:jc w:val="center"/>
        <w:rPr>
          <w:sz w:val="28"/>
          <w:szCs w:val="28"/>
          <w:lang w:val="uk-UA"/>
        </w:rPr>
      </w:pPr>
      <w:r>
        <w:rPr>
          <w:sz w:val="28"/>
          <w:szCs w:val="28"/>
          <w:lang w:val="uk-UA"/>
        </w:rPr>
        <w:t xml:space="preserve">Кореляційні зв’язки між рівнем </w:t>
      </w:r>
      <w:r>
        <w:rPr>
          <w:sz w:val="28"/>
          <w:szCs w:val="28"/>
          <w:lang w:val="en-US"/>
        </w:rPr>
        <w:t>L</w:t>
      </w:r>
      <w:r w:rsidR="003B68F3">
        <w:rPr>
          <w:sz w:val="28"/>
          <w:szCs w:val="28"/>
          <w:lang w:val="uk-UA"/>
        </w:rPr>
        <w:t>–</w:t>
      </w:r>
      <w:r>
        <w:rPr>
          <w:sz w:val="28"/>
          <w:szCs w:val="28"/>
          <w:lang w:val="uk-UA"/>
        </w:rPr>
        <w:t xml:space="preserve">карнітину сироватки крові та показниками ліпідограми у хворих </w:t>
      </w:r>
      <w:r w:rsidR="003B68F3">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A045A0" w:rsidTr="003B68F3">
        <w:tc>
          <w:tcPr>
            <w:tcW w:w="3190" w:type="dxa"/>
            <w:vMerge w:val="restart"/>
            <w:vAlign w:val="center"/>
          </w:tcPr>
          <w:p w:rsidR="00A045A0" w:rsidRDefault="00A045A0" w:rsidP="003B68F3">
            <w:pPr>
              <w:spacing w:line="360" w:lineRule="auto"/>
              <w:jc w:val="center"/>
              <w:rPr>
                <w:sz w:val="28"/>
                <w:szCs w:val="28"/>
                <w:lang w:val="uk-UA"/>
              </w:rPr>
            </w:pPr>
            <w:r>
              <w:rPr>
                <w:sz w:val="28"/>
                <w:szCs w:val="28"/>
                <w:lang w:val="uk-UA"/>
              </w:rPr>
              <w:t>Показники</w:t>
            </w:r>
          </w:p>
        </w:tc>
        <w:tc>
          <w:tcPr>
            <w:tcW w:w="6381" w:type="dxa"/>
            <w:gridSpan w:val="2"/>
            <w:vAlign w:val="center"/>
          </w:tcPr>
          <w:p w:rsidR="00A045A0" w:rsidRDefault="00A045A0" w:rsidP="003B68F3">
            <w:pPr>
              <w:spacing w:line="360" w:lineRule="auto"/>
              <w:jc w:val="center"/>
              <w:rPr>
                <w:sz w:val="28"/>
                <w:szCs w:val="28"/>
                <w:lang w:val="uk-UA"/>
              </w:rPr>
            </w:pPr>
            <w:r>
              <w:rPr>
                <w:sz w:val="28"/>
                <w:szCs w:val="28"/>
                <w:lang w:val="en-US"/>
              </w:rPr>
              <w:t>L</w:t>
            </w:r>
            <w:r w:rsidR="003B68F3">
              <w:rPr>
                <w:sz w:val="28"/>
                <w:szCs w:val="28"/>
                <w:lang w:val="uk-UA"/>
              </w:rPr>
              <w:t>–</w:t>
            </w:r>
            <w:r>
              <w:rPr>
                <w:sz w:val="28"/>
                <w:szCs w:val="28"/>
                <w:lang w:val="uk-UA"/>
              </w:rPr>
              <w:t>карнітин</w:t>
            </w:r>
          </w:p>
        </w:tc>
      </w:tr>
      <w:tr w:rsidR="00A045A0" w:rsidTr="003B68F3">
        <w:tc>
          <w:tcPr>
            <w:tcW w:w="0" w:type="auto"/>
            <w:vMerge/>
            <w:vAlign w:val="center"/>
          </w:tcPr>
          <w:p w:rsidR="00A045A0" w:rsidRDefault="00A045A0" w:rsidP="003B68F3">
            <w:pPr>
              <w:rPr>
                <w:sz w:val="28"/>
                <w:szCs w:val="28"/>
                <w:lang w:val="uk-UA"/>
              </w:rPr>
            </w:pP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 xml:space="preserve">1 група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2 група</w:t>
            </w:r>
          </w:p>
        </w:tc>
      </w:tr>
      <w:tr w:rsidR="003B68F3" w:rsidTr="003B68F3">
        <w:tc>
          <w:tcPr>
            <w:tcW w:w="3190" w:type="dxa"/>
            <w:vAlign w:val="center"/>
          </w:tcPr>
          <w:p w:rsidR="003B68F3" w:rsidRDefault="003B68F3" w:rsidP="003B68F3">
            <w:pPr>
              <w:spacing w:line="360" w:lineRule="auto"/>
              <w:jc w:val="center"/>
              <w:rPr>
                <w:sz w:val="28"/>
                <w:szCs w:val="28"/>
                <w:lang w:val="uk-UA"/>
              </w:rPr>
            </w:pPr>
            <w:r>
              <w:rPr>
                <w:sz w:val="28"/>
                <w:szCs w:val="28"/>
                <w:lang w:val="uk-UA"/>
              </w:rPr>
              <w:t>ЗХ</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0,75*</w:t>
            </w:r>
          </w:p>
        </w:tc>
        <w:tc>
          <w:tcPr>
            <w:tcW w:w="3191" w:type="dxa"/>
            <w:vAlign w:val="center"/>
          </w:tcPr>
          <w:p w:rsidR="003B68F3" w:rsidRDefault="003B68F3" w:rsidP="003B68F3">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 xml:space="preserve"> – 0,74*</w:t>
            </w:r>
          </w:p>
        </w:tc>
      </w:tr>
      <w:tr w:rsidR="003B68F3" w:rsidTr="003B68F3">
        <w:tc>
          <w:tcPr>
            <w:tcW w:w="3190" w:type="dxa"/>
            <w:vAlign w:val="center"/>
          </w:tcPr>
          <w:p w:rsidR="003B68F3" w:rsidRDefault="003B68F3" w:rsidP="003B68F3">
            <w:pPr>
              <w:spacing w:line="360" w:lineRule="auto"/>
              <w:jc w:val="center"/>
              <w:rPr>
                <w:sz w:val="28"/>
                <w:szCs w:val="28"/>
                <w:lang w:val="uk-UA"/>
              </w:rPr>
            </w:pPr>
            <w:r>
              <w:rPr>
                <w:sz w:val="28"/>
                <w:szCs w:val="28"/>
              </w:rPr>
              <w:t>β–ЛП</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0,74*</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0,74*</w:t>
            </w:r>
          </w:p>
        </w:tc>
      </w:tr>
      <w:tr w:rsidR="003B68F3" w:rsidTr="003B68F3">
        <w:tc>
          <w:tcPr>
            <w:tcW w:w="3190" w:type="dxa"/>
            <w:vAlign w:val="center"/>
          </w:tcPr>
          <w:p w:rsidR="003B68F3" w:rsidRDefault="003B68F3" w:rsidP="003B68F3">
            <w:pPr>
              <w:spacing w:line="360" w:lineRule="auto"/>
              <w:jc w:val="center"/>
              <w:rPr>
                <w:sz w:val="28"/>
                <w:szCs w:val="28"/>
              </w:rPr>
            </w:pPr>
            <w:r>
              <w:rPr>
                <w:sz w:val="28"/>
                <w:szCs w:val="28"/>
              </w:rPr>
              <w:t>ТГ</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0,77*</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0,73*</w:t>
            </w:r>
          </w:p>
        </w:tc>
      </w:tr>
      <w:tr w:rsidR="003B68F3" w:rsidTr="003B68F3">
        <w:tc>
          <w:tcPr>
            <w:tcW w:w="3190" w:type="dxa"/>
            <w:vAlign w:val="center"/>
          </w:tcPr>
          <w:p w:rsidR="003B68F3" w:rsidRDefault="003B68F3" w:rsidP="003B68F3">
            <w:pPr>
              <w:spacing w:line="360" w:lineRule="auto"/>
              <w:jc w:val="center"/>
              <w:rPr>
                <w:sz w:val="28"/>
                <w:szCs w:val="28"/>
              </w:rPr>
            </w:pPr>
            <w:r>
              <w:rPr>
                <w:sz w:val="28"/>
                <w:szCs w:val="28"/>
              </w:rPr>
              <w:t>ЛПВЩ</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0,75*</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0,74*</w:t>
            </w:r>
          </w:p>
        </w:tc>
      </w:tr>
      <w:tr w:rsidR="003B68F3" w:rsidTr="003B68F3">
        <w:tc>
          <w:tcPr>
            <w:tcW w:w="3190" w:type="dxa"/>
            <w:vAlign w:val="center"/>
          </w:tcPr>
          <w:p w:rsidR="003B68F3" w:rsidRDefault="003B68F3" w:rsidP="003B68F3">
            <w:pPr>
              <w:spacing w:line="360" w:lineRule="auto"/>
              <w:jc w:val="center"/>
              <w:rPr>
                <w:sz w:val="28"/>
                <w:szCs w:val="28"/>
              </w:rPr>
            </w:pPr>
            <w:r>
              <w:rPr>
                <w:sz w:val="28"/>
                <w:szCs w:val="28"/>
              </w:rPr>
              <w:t>ЛПНЩ</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0,74*</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0,73*</w:t>
            </w:r>
          </w:p>
        </w:tc>
      </w:tr>
      <w:tr w:rsidR="003B68F3" w:rsidTr="003B68F3">
        <w:tc>
          <w:tcPr>
            <w:tcW w:w="3190" w:type="dxa"/>
            <w:vAlign w:val="center"/>
          </w:tcPr>
          <w:p w:rsidR="003B68F3" w:rsidRDefault="003B68F3" w:rsidP="003B68F3">
            <w:pPr>
              <w:spacing w:line="360" w:lineRule="auto"/>
              <w:jc w:val="center"/>
              <w:rPr>
                <w:sz w:val="28"/>
                <w:szCs w:val="28"/>
              </w:rPr>
            </w:pPr>
            <w:r>
              <w:rPr>
                <w:sz w:val="28"/>
                <w:szCs w:val="28"/>
              </w:rPr>
              <w:t>ЛПДНЩ</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0,68*</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0,67*</w:t>
            </w:r>
          </w:p>
        </w:tc>
      </w:tr>
      <w:tr w:rsidR="003B68F3" w:rsidTr="003B68F3">
        <w:tc>
          <w:tcPr>
            <w:tcW w:w="3190" w:type="dxa"/>
            <w:vAlign w:val="center"/>
          </w:tcPr>
          <w:p w:rsidR="003B68F3" w:rsidRDefault="003B68F3" w:rsidP="003B68F3">
            <w:pPr>
              <w:spacing w:line="360" w:lineRule="auto"/>
              <w:jc w:val="center"/>
              <w:rPr>
                <w:sz w:val="28"/>
                <w:szCs w:val="28"/>
              </w:rPr>
            </w:pPr>
            <w:r>
              <w:rPr>
                <w:sz w:val="28"/>
                <w:szCs w:val="28"/>
                <w:lang w:val="uk-UA"/>
              </w:rPr>
              <w:t>Коефіцієнт атерогенності</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0,71*</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0,72*</w:t>
            </w:r>
          </w:p>
        </w:tc>
      </w:tr>
    </w:tbl>
    <w:p w:rsidR="003B68F3" w:rsidRDefault="00A045A0" w:rsidP="00A045A0">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w:t>
      </w:r>
    </w:p>
    <w:p w:rsidR="00A045A0" w:rsidRDefault="00A045A0" w:rsidP="00A045A0">
      <w:pPr>
        <w:spacing w:line="360" w:lineRule="auto"/>
        <w:ind w:firstLine="709"/>
        <w:jc w:val="both"/>
        <w:rPr>
          <w:sz w:val="28"/>
          <w:szCs w:val="28"/>
          <w:lang w:val="uk-UA"/>
        </w:rPr>
      </w:pPr>
      <w:r>
        <w:rPr>
          <w:sz w:val="28"/>
          <w:szCs w:val="28"/>
          <w:lang w:val="uk-UA"/>
        </w:rPr>
        <w:t xml:space="preserve">Встановлена обернена кореляційна залежність між </w:t>
      </w:r>
      <w:r>
        <w:rPr>
          <w:sz w:val="28"/>
          <w:szCs w:val="28"/>
          <w:lang w:val="en-US"/>
        </w:rPr>
        <w:t>L</w:t>
      </w:r>
      <w:r w:rsidR="003B68F3">
        <w:rPr>
          <w:sz w:val="28"/>
          <w:szCs w:val="28"/>
          <w:lang w:val="uk-UA"/>
        </w:rPr>
        <w:t>–</w:t>
      </w:r>
      <w:r>
        <w:rPr>
          <w:sz w:val="28"/>
          <w:szCs w:val="28"/>
          <w:lang w:val="uk-UA"/>
        </w:rPr>
        <w:t>карнітином та ЗХ (</w:t>
      </w:r>
      <w:r>
        <w:rPr>
          <w:sz w:val="28"/>
          <w:szCs w:val="28"/>
          <w:lang w:val="en-US"/>
        </w:rPr>
        <w:t>r</w:t>
      </w:r>
      <w:r>
        <w:rPr>
          <w:sz w:val="28"/>
          <w:szCs w:val="28"/>
          <w:lang w:val="uk-UA"/>
        </w:rPr>
        <w:t xml:space="preserve"> </w:t>
      </w:r>
      <w:r>
        <w:rPr>
          <w:sz w:val="28"/>
          <w:szCs w:val="28"/>
        </w:rPr>
        <w:t>=</w:t>
      </w:r>
      <w:r w:rsidR="003B68F3">
        <w:rPr>
          <w:sz w:val="28"/>
          <w:szCs w:val="28"/>
          <w:lang w:val="uk-UA"/>
        </w:rPr>
        <w:t xml:space="preserve"> –0,75</w:t>
      </w:r>
      <w:r>
        <w:rPr>
          <w:sz w:val="28"/>
          <w:szCs w:val="28"/>
          <w:lang w:val="uk-UA"/>
        </w:rPr>
        <w:t>)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як у хворих 1 так і у хворих 2 (</w:t>
      </w:r>
      <w:r>
        <w:rPr>
          <w:sz w:val="28"/>
          <w:szCs w:val="28"/>
          <w:lang w:val="en-US"/>
        </w:rPr>
        <w:t>r</w:t>
      </w:r>
      <w:r>
        <w:rPr>
          <w:sz w:val="28"/>
          <w:szCs w:val="28"/>
          <w:lang w:val="uk-UA"/>
        </w:rPr>
        <w:t xml:space="preserve"> </w:t>
      </w:r>
      <w:r>
        <w:rPr>
          <w:sz w:val="28"/>
          <w:szCs w:val="28"/>
        </w:rPr>
        <w:t>=</w:t>
      </w:r>
      <w:r w:rsidR="003B68F3">
        <w:rPr>
          <w:sz w:val="28"/>
          <w:szCs w:val="28"/>
          <w:lang w:val="uk-UA"/>
        </w:rPr>
        <w:t xml:space="preserve"> – </w:t>
      </w:r>
      <w:r>
        <w:rPr>
          <w:sz w:val="28"/>
          <w:szCs w:val="28"/>
          <w:lang w:val="uk-UA"/>
        </w:rPr>
        <w:t>0,7</w:t>
      </w:r>
      <w:r w:rsidR="003B68F3">
        <w:rPr>
          <w:sz w:val="28"/>
          <w:szCs w:val="28"/>
          <w:lang w:val="uk-UA"/>
        </w:rPr>
        <w:t>4</w:t>
      </w:r>
      <w:r>
        <w:rPr>
          <w:sz w:val="28"/>
          <w:szCs w:val="28"/>
          <w:lang w:val="uk-UA"/>
        </w:rPr>
        <w:t>)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групи. Вміст </w:t>
      </w:r>
      <w:r>
        <w:rPr>
          <w:sz w:val="28"/>
          <w:szCs w:val="28"/>
          <w:lang w:val="en-US"/>
        </w:rPr>
        <w:t>L</w:t>
      </w:r>
      <w:r w:rsidR="003B68F3">
        <w:rPr>
          <w:sz w:val="28"/>
          <w:szCs w:val="28"/>
          <w:lang w:val="uk-UA"/>
        </w:rPr>
        <w:t>–</w:t>
      </w:r>
      <w:r>
        <w:rPr>
          <w:sz w:val="28"/>
          <w:szCs w:val="28"/>
          <w:lang w:val="uk-UA"/>
        </w:rPr>
        <w:t xml:space="preserve">карнітина у хворих обох груп виявляв сильний обернений кореляційний зв’язок з рівнем </w:t>
      </w:r>
      <w:r>
        <w:rPr>
          <w:sz w:val="28"/>
          <w:szCs w:val="28"/>
        </w:rPr>
        <w:t>β</w:t>
      </w:r>
      <w:r w:rsidR="003B68F3">
        <w:rPr>
          <w:sz w:val="28"/>
          <w:szCs w:val="28"/>
          <w:lang w:val="uk-UA"/>
        </w:rPr>
        <w:t>–</w:t>
      </w:r>
      <w:r>
        <w:rPr>
          <w:sz w:val="28"/>
          <w:szCs w:val="28"/>
          <w:lang w:val="uk-UA"/>
        </w:rPr>
        <w:t>ЛП сироватки крові –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0,74)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та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0,74)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відповідно в 1 та 2 групах. Також обернена кореляційна залежність виявлена між  </w:t>
      </w:r>
      <w:r>
        <w:rPr>
          <w:sz w:val="28"/>
          <w:szCs w:val="28"/>
          <w:lang w:val="en-US"/>
        </w:rPr>
        <w:t>L</w:t>
      </w:r>
      <w:r w:rsidR="003B68F3">
        <w:rPr>
          <w:sz w:val="28"/>
          <w:szCs w:val="28"/>
          <w:lang w:val="uk-UA"/>
        </w:rPr>
        <w:t>–</w:t>
      </w:r>
      <w:r>
        <w:rPr>
          <w:sz w:val="28"/>
          <w:szCs w:val="28"/>
          <w:lang w:val="uk-UA"/>
        </w:rPr>
        <w:t xml:space="preserve">карнітином та ТГ (1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7</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2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3</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між </w:t>
      </w:r>
      <w:r>
        <w:rPr>
          <w:sz w:val="28"/>
          <w:szCs w:val="28"/>
          <w:lang w:val="en-US"/>
        </w:rPr>
        <w:t>L</w:t>
      </w:r>
      <w:r w:rsidR="003B68F3">
        <w:rPr>
          <w:sz w:val="28"/>
          <w:szCs w:val="28"/>
          <w:lang w:val="uk-UA"/>
        </w:rPr>
        <w:t>–</w:t>
      </w:r>
      <w:r>
        <w:rPr>
          <w:sz w:val="28"/>
          <w:szCs w:val="28"/>
          <w:lang w:val="uk-UA"/>
        </w:rPr>
        <w:t xml:space="preserve">карнітином та ЛПНЩ (1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0,74</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2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3</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між </w:t>
      </w:r>
      <w:r>
        <w:rPr>
          <w:sz w:val="28"/>
          <w:szCs w:val="28"/>
          <w:lang w:val="en-US"/>
        </w:rPr>
        <w:t>L</w:t>
      </w:r>
      <w:r w:rsidR="003B68F3">
        <w:rPr>
          <w:sz w:val="28"/>
          <w:szCs w:val="28"/>
          <w:lang w:val="uk-UA"/>
        </w:rPr>
        <w:t>–</w:t>
      </w:r>
      <w:r>
        <w:rPr>
          <w:sz w:val="28"/>
          <w:szCs w:val="28"/>
          <w:lang w:val="uk-UA"/>
        </w:rPr>
        <w:t xml:space="preserve">карнітином та ЛПДНЩ (1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0,6</w:t>
      </w:r>
      <w:r w:rsidR="003B68F3">
        <w:rPr>
          <w:sz w:val="28"/>
          <w:szCs w:val="28"/>
          <w:lang w:val="uk-UA"/>
        </w:rPr>
        <w:t>8</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2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0,6</w:t>
      </w:r>
      <w:r w:rsidR="003B68F3">
        <w:rPr>
          <w:sz w:val="28"/>
          <w:szCs w:val="28"/>
          <w:lang w:val="uk-UA"/>
        </w:rPr>
        <w:t>7</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та </w:t>
      </w:r>
      <w:r>
        <w:rPr>
          <w:sz w:val="28"/>
          <w:szCs w:val="28"/>
          <w:lang w:val="en-US"/>
        </w:rPr>
        <w:t>L</w:t>
      </w:r>
      <w:r w:rsidR="003B68F3">
        <w:rPr>
          <w:sz w:val="28"/>
          <w:szCs w:val="28"/>
          <w:lang w:val="uk-UA"/>
        </w:rPr>
        <w:t>–</w:t>
      </w:r>
      <w:r>
        <w:rPr>
          <w:sz w:val="28"/>
          <w:szCs w:val="28"/>
          <w:lang w:val="uk-UA"/>
        </w:rPr>
        <w:t xml:space="preserve">карнітином і коефіцієнтом атерогенності (1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1</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2 група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0,72</w:t>
      </w:r>
      <w:r>
        <w:rPr>
          <w:sz w:val="28"/>
          <w:szCs w:val="28"/>
          <w:lang w:val="uk-UA"/>
        </w:rPr>
        <w:t xml:space="preserve">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Прямий кореляційний зв</w:t>
      </w:r>
      <w:r>
        <w:rPr>
          <w:sz w:val="28"/>
          <w:szCs w:val="28"/>
        </w:rPr>
        <w:t>’</w:t>
      </w:r>
      <w:r>
        <w:rPr>
          <w:sz w:val="28"/>
          <w:szCs w:val="28"/>
          <w:lang w:val="uk-UA"/>
        </w:rPr>
        <w:t xml:space="preserve">язок встановлений між </w:t>
      </w:r>
      <w:r>
        <w:rPr>
          <w:sz w:val="28"/>
          <w:szCs w:val="28"/>
          <w:lang w:val="en-US"/>
        </w:rPr>
        <w:t>L</w:t>
      </w:r>
      <w:r w:rsidR="003B68F3">
        <w:rPr>
          <w:sz w:val="28"/>
          <w:szCs w:val="28"/>
          <w:lang w:val="uk-UA"/>
        </w:rPr>
        <w:t>–</w:t>
      </w:r>
      <w:r>
        <w:rPr>
          <w:sz w:val="28"/>
          <w:szCs w:val="28"/>
          <w:lang w:val="uk-UA"/>
        </w:rPr>
        <w:t xml:space="preserve">карнітином та ЛПВЩ: в 1 групі він складав </w:t>
      </w:r>
      <w:r>
        <w:rPr>
          <w:sz w:val="28"/>
          <w:szCs w:val="28"/>
          <w:lang w:val="en-US"/>
        </w:rPr>
        <w:t>r</w:t>
      </w:r>
      <w:r>
        <w:rPr>
          <w:sz w:val="28"/>
          <w:szCs w:val="28"/>
          <w:lang w:val="uk-UA"/>
        </w:rPr>
        <w:t xml:space="preserve"> </w:t>
      </w:r>
      <w:r>
        <w:rPr>
          <w:sz w:val="28"/>
          <w:szCs w:val="28"/>
        </w:rPr>
        <w:t>=</w:t>
      </w:r>
      <w:r w:rsidR="003B68F3">
        <w:rPr>
          <w:sz w:val="28"/>
          <w:szCs w:val="28"/>
          <w:lang w:val="uk-UA"/>
        </w:rPr>
        <w:t xml:space="preserve"> 0,71</w:t>
      </w:r>
      <w:r>
        <w:rPr>
          <w:sz w:val="28"/>
          <w:szCs w:val="28"/>
          <w:lang w:val="uk-UA"/>
        </w:rPr>
        <w:t xml:space="preserve"> (р</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в 2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Pr>
          <w:sz w:val="28"/>
          <w:szCs w:val="28"/>
        </w:rPr>
        <w:t>=</w:t>
      </w:r>
      <w:r w:rsidR="003B68F3">
        <w:rPr>
          <w:sz w:val="28"/>
          <w:szCs w:val="28"/>
          <w:lang w:val="uk-UA"/>
        </w:rPr>
        <w:t xml:space="preserve"> </w:t>
      </w:r>
      <w:r>
        <w:rPr>
          <w:sz w:val="28"/>
          <w:szCs w:val="28"/>
          <w:lang w:val="uk-UA"/>
        </w:rPr>
        <w:t>0,7</w:t>
      </w:r>
      <w:r w:rsidR="003B68F3">
        <w:rPr>
          <w:sz w:val="28"/>
          <w:szCs w:val="28"/>
          <w:lang w:val="uk-UA"/>
        </w:rPr>
        <w:t>4</w:t>
      </w:r>
      <w:r>
        <w:rPr>
          <w:sz w:val="28"/>
          <w:szCs w:val="28"/>
          <w:lang w:val="uk-UA"/>
        </w:rPr>
        <w:t xml:space="preserve"> (р</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w:t>
      </w:r>
    </w:p>
    <w:p w:rsidR="003B68F3" w:rsidRDefault="00A045A0" w:rsidP="00A045A0">
      <w:pPr>
        <w:spacing w:line="360" w:lineRule="auto"/>
        <w:ind w:firstLine="709"/>
        <w:jc w:val="both"/>
        <w:rPr>
          <w:sz w:val="28"/>
          <w:szCs w:val="28"/>
          <w:lang w:val="uk-UA"/>
        </w:rPr>
      </w:pPr>
      <w:r>
        <w:rPr>
          <w:sz w:val="28"/>
          <w:szCs w:val="28"/>
          <w:lang w:val="uk-UA"/>
        </w:rPr>
        <w:t xml:space="preserve">Отримані результати засвідчують роль </w:t>
      </w:r>
      <w:r>
        <w:rPr>
          <w:sz w:val="28"/>
          <w:szCs w:val="28"/>
          <w:lang w:val="en-US"/>
        </w:rPr>
        <w:t>L</w:t>
      </w:r>
      <w:r w:rsidR="003B68F3">
        <w:rPr>
          <w:sz w:val="28"/>
          <w:szCs w:val="28"/>
          <w:lang w:val="uk-UA"/>
        </w:rPr>
        <w:t>–</w:t>
      </w:r>
      <w:r>
        <w:rPr>
          <w:sz w:val="28"/>
          <w:szCs w:val="28"/>
          <w:lang w:val="uk-UA"/>
        </w:rPr>
        <w:t xml:space="preserve">карнітину в обміні ліпідів у хворих НАСГ та в поєднанні з ЦД 2 типу. </w:t>
      </w:r>
    </w:p>
    <w:p w:rsidR="00A045A0" w:rsidRDefault="00A045A0" w:rsidP="00A045A0">
      <w:pPr>
        <w:spacing w:line="360" w:lineRule="auto"/>
        <w:ind w:firstLine="709"/>
        <w:jc w:val="both"/>
        <w:rPr>
          <w:sz w:val="28"/>
          <w:szCs w:val="28"/>
          <w:lang w:val="uk-UA"/>
        </w:rPr>
      </w:pPr>
      <w:r>
        <w:rPr>
          <w:sz w:val="28"/>
          <w:szCs w:val="28"/>
          <w:lang w:val="uk-UA"/>
        </w:rPr>
        <w:lastRenderedPageBreak/>
        <w:t xml:space="preserve">При вивчені  кореляційних залежностей між </w:t>
      </w:r>
      <w:r>
        <w:rPr>
          <w:sz w:val="28"/>
          <w:szCs w:val="28"/>
          <w:lang w:val="en-US"/>
        </w:rPr>
        <w:t>L</w:t>
      </w:r>
      <w:r w:rsidR="003B68F3">
        <w:rPr>
          <w:sz w:val="28"/>
          <w:szCs w:val="28"/>
          <w:lang w:val="uk-UA"/>
        </w:rPr>
        <w:t>–</w:t>
      </w:r>
      <w:r>
        <w:rPr>
          <w:sz w:val="28"/>
          <w:szCs w:val="28"/>
          <w:lang w:val="uk-UA"/>
        </w:rPr>
        <w:t>карнітином та окремими показниками ПОЛ був виявлений сильний обернений зв</w:t>
      </w:r>
      <w:r>
        <w:rPr>
          <w:sz w:val="28"/>
          <w:szCs w:val="28"/>
        </w:rPr>
        <w:t>’</w:t>
      </w:r>
      <w:r>
        <w:rPr>
          <w:sz w:val="28"/>
          <w:szCs w:val="28"/>
          <w:lang w:val="uk-UA"/>
        </w:rPr>
        <w:t xml:space="preserve">язок між </w:t>
      </w:r>
      <w:r>
        <w:rPr>
          <w:sz w:val="28"/>
          <w:szCs w:val="28"/>
          <w:lang w:val="en-US"/>
        </w:rPr>
        <w:t>L</w:t>
      </w:r>
      <w:r w:rsidR="003B68F3">
        <w:rPr>
          <w:sz w:val="28"/>
          <w:szCs w:val="28"/>
          <w:lang w:val="uk-UA"/>
        </w:rPr>
        <w:t>–</w:t>
      </w:r>
      <w:r>
        <w:rPr>
          <w:sz w:val="28"/>
          <w:szCs w:val="28"/>
          <w:lang w:val="uk-UA"/>
        </w:rPr>
        <w:t xml:space="preserve">карнітином та </w:t>
      </w:r>
      <w:r>
        <w:rPr>
          <w:sz w:val="28"/>
          <w:szCs w:val="28"/>
          <w:lang w:val="en-US"/>
        </w:rPr>
        <w:t>NO</w:t>
      </w:r>
      <w:r w:rsidRPr="00423488">
        <w:rPr>
          <w:sz w:val="28"/>
          <w:szCs w:val="28"/>
        </w:rPr>
        <w:t xml:space="preserve"> </w:t>
      </w:r>
      <w:r>
        <w:rPr>
          <w:sz w:val="28"/>
          <w:szCs w:val="28"/>
          <w:lang w:val="uk-UA"/>
        </w:rPr>
        <w:t>і МДА (табл. 3.3.5).</w:t>
      </w:r>
    </w:p>
    <w:p w:rsidR="00A045A0" w:rsidRDefault="00A045A0" w:rsidP="00A045A0">
      <w:pPr>
        <w:spacing w:line="360" w:lineRule="auto"/>
        <w:ind w:firstLine="709"/>
        <w:jc w:val="right"/>
        <w:rPr>
          <w:sz w:val="28"/>
          <w:szCs w:val="28"/>
          <w:lang w:val="uk-UA"/>
        </w:rPr>
      </w:pPr>
      <w:r>
        <w:rPr>
          <w:sz w:val="28"/>
          <w:szCs w:val="28"/>
          <w:lang w:val="uk-UA"/>
        </w:rPr>
        <w:t>Таблиця 3.3.5</w:t>
      </w:r>
    </w:p>
    <w:p w:rsidR="00A045A0" w:rsidRDefault="00A045A0" w:rsidP="003B68F3">
      <w:pPr>
        <w:spacing w:line="360" w:lineRule="auto"/>
        <w:ind w:firstLine="709"/>
        <w:jc w:val="center"/>
        <w:rPr>
          <w:sz w:val="28"/>
          <w:szCs w:val="28"/>
          <w:lang w:val="uk-UA"/>
        </w:rPr>
      </w:pPr>
      <w:r>
        <w:rPr>
          <w:sz w:val="28"/>
          <w:szCs w:val="28"/>
          <w:lang w:val="uk-UA"/>
        </w:rPr>
        <w:t xml:space="preserve">Кореляційні зв’язки між рівнем </w:t>
      </w:r>
      <w:r>
        <w:rPr>
          <w:sz w:val="28"/>
          <w:szCs w:val="28"/>
          <w:lang w:val="en-US"/>
        </w:rPr>
        <w:t>L</w:t>
      </w:r>
      <w:r w:rsidR="003B68F3">
        <w:rPr>
          <w:sz w:val="28"/>
          <w:szCs w:val="28"/>
          <w:lang w:val="uk-UA"/>
        </w:rPr>
        <w:t>–</w:t>
      </w:r>
      <w:r>
        <w:rPr>
          <w:sz w:val="28"/>
          <w:szCs w:val="28"/>
          <w:lang w:val="uk-UA"/>
        </w:rPr>
        <w:t xml:space="preserve">карнітину сироватки крові та </w:t>
      </w:r>
      <w:r>
        <w:rPr>
          <w:sz w:val="28"/>
          <w:szCs w:val="28"/>
          <w:lang w:val="en-US"/>
        </w:rPr>
        <w:t>NO</w:t>
      </w:r>
      <w:r>
        <w:rPr>
          <w:sz w:val="28"/>
          <w:szCs w:val="28"/>
          <w:lang w:val="uk-UA"/>
        </w:rPr>
        <w:t xml:space="preserve"> і МДА  плазми крові у хворих </w:t>
      </w:r>
      <w:r w:rsidR="003B68F3">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A045A0" w:rsidTr="003B68F3">
        <w:tc>
          <w:tcPr>
            <w:tcW w:w="3190" w:type="dxa"/>
            <w:vMerge w:val="restart"/>
            <w:vAlign w:val="center"/>
          </w:tcPr>
          <w:p w:rsidR="00A045A0" w:rsidRDefault="00A045A0" w:rsidP="003B68F3">
            <w:pPr>
              <w:spacing w:line="360" w:lineRule="auto"/>
              <w:jc w:val="center"/>
              <w:rPr>
                <w:sz w:val="28"/>
                <w:szCs w:val="28"/>
                <w:lang w:val="uk-UA"/>
              </w:rPr>
            </w:pPr>
            <w:r>
              <w:rPr>
                <w:sz w:val="28"/>
                <w:szCs w:val="28"/>
                <w:lang w:val="uk-UA"/>
              </w:rPr>
              <w:t>Показники</w:t>
            </w:r>
          </w:p>
        </w:tc>
        <w:tc>
          <w:tcPr>
            <w:tcW w:w="6381" w:type="dxa"/>
            <w:gridSpan w:val="2"/>
            <w:vAlign w:val="center"/>
          </w:tcPr>
          <w:p w:rsidR="00A045A0" w:rsidRDefault="00A045A0" w:rsidP="003B68F3">
            <w:pPr>
              <w:spacing w:line="360" w:lineRule="auto"/>
              <w:jc w:val="center"/>
              <w:rPr>
                <w:sz w:val="28"/>
                <w:szCs w:val="28"/>
                <w:lang w:val="uk-UA"/>
              </w:rPr>
            </w:pPr>
            <w:r>
              <w:rPr>
                <w:sz w:val="28"/>
                <w:szCs w:val="28"/>
                <w:lang w:val="en-US"/>
              </w:rPr>
              <w:t>L</w:t>
            </w:r>
            <w:r w:rsidR="003B68F3">
              <w:rPr>
                <w:sz w:val="28"/>
                <w:szCs w:val="28"/>
                <w:lang w:val="uk-UA"/>
              </w:rPr>
              <w:t>–</w:t>
            </w:r>
            <w:r>
              <w:rPr>
                <w:sz w:val="28"/>
                <w:szCs w:val="28"/>
                <w:lang w:val="uk-UA"/>
              </w:rPr>
              <w:t>карнітин</w:t>
            </w:r>
          </w:p>
        </w:tc>
      </w:tr>
      <w:tr w:rsidR="00A045A0" w:rsidTr="003B68F3">
        <w:tc>
          <w:tcPr>
            <w:tcW w:w="0" w:type="auto"/>
            <w:vMerge/>
            <w:vAlign w:val="center"/>
          </w:tcPr>
          <w:p w:rsidR="00A045A0" w:rsidRDefault="00A045A0" w:rsidP="003B68F3">
            <w:pPr>
              <w:rPr>
                <w:sz w:val="28"/>
                <w:szCs w:val="28"/>
                <w:lang w:val="uk-UA"/>
              </w:rPr>
            </w:pP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 xml:space="preserve">1 група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2 група</w:t>
            </w:r>
          </w:p>
        </w:tc>
      </w:tr>
      <w:tr w:rsidR="003B68F3" w:rsidTr="003B68F3">
        <w:tc>
          <w:tcPr>
            <w:tcW w:w="3190" w:type="dxa"/>
            <w:vAlign w:val="center"/>
          </w:tcPr>
          <w:p w:rsidR="003B68F3" w:rsidRDefault="003B68F3" w:rsidP="003B68F3">
            <w:pPr>
              <w:spacing w:line="360" w:lineRule="auto"/>
              <w:jc w:val="center"/>
              <w:rPr>
                <w:sz w:val="28"/>
                <w:szCs w:val="28"/>
                <w:lang w:val="uk-UA"/>
              </w:rPr>
            </w:pPr>
            <w:r>
              <w:rPr>
                <w:sz w:val="28"/>
                <w:szCs w:val="28"/>
                <w:lang w:val="en-US"/>
              </w:rPr>
              <w:t>NO</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0,78*</w:t>
            </w:r>
          </w:p>
        </w:tc>
        <w:tc>
          <w:tcPr>
            <w:tcW w:w="3191" w:type="dxa"/>
            <w:vAlign w:val="center"/>
          </w:tcPr>
          <w:p w:rsidR="003B68F3" w:rsidRDefault="003B68F3" w:rsidP="003B68F3">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 xml:space="preserve"> – 0,76*</w:t>
            </w:r>
          </w:p>
        </w:tc>
      </w:tr>
      <w:tr w:rsidR="003B68F3" w:rsidTr="003B68F3">
        <w:tc>
          <w:tcPr>
            <w:tcW w:w="3190" w:type="dxa"/>
            <w:vAlign w:val="center"/>
          </w:tcPr>
          <w:p w:rsidR="003B68F3" w:rsidRDefault="003B68F3" w:rsidP="003B68F3">
            <w:pPr>
              <w:spacing w:line="360" w:lineRule="auto"/>
              <w:jc w:val="center"/>
              <w:rPr>
                <w:sz w:val="28"/>
                <w:szCs w:val="28"/>
                <w:lang w:val="uk-UA"/>
              </w:rPr>
            </w:pPr>
            <w:r>
              <w:rPr>
                <w:sz w:val="28"/>
                <w:szCs w:val="28"/>
                <w:lang w:val="uk-UA"/>
              </w:rPr>
              <w:t>МДА</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0,74*</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0,73*</w:t>
            </w:r>
          </w:p>
        </w:tc>
      </w:tr>
    </w:tbl>
    <w:p w:rsidR="003B68F3" w:rsidRDefault="00A045A0" w:rsidP="00A045A0">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w:t>
      </w:r>
    </w:p>
    <w:p w:rsidR="00A045A0" w:rsidRDefault="00A045A0" w:rsidP="00A045A0">
      <w:pPr>
        <w:spacing w:line="360" w:lineRule="auto"/>
        <w:ind w:firstLine="709"/>
        <w:jc w:val="both"/>
        <w:rPr>
          <w:sz w:val="28"/>
          <w:szCs w:val="28"/>
          <w:lang w:val="uk-UA"/>
        </w:rPr>
      </w:pPr>
      <w:r>
        <w:rPr>
          <w:sz w:val="28"/>
          <w:szCs w:val="28"/>
          <w:lang w:val="uk-UA"/>
        </w:rPr>
        <w:t xml:space="preserve">Статистично достовірний зворотній кореляційний зв’язок спостерігався між </w:t>
      </w:r>
      <w:r>
        <w:rPr>
          <w:sz w:val="28"/>
          <w:szCs w:val="28"/>
          <w:lang w:val="en-US"/>
        </w:rPr>
        <w:t>L</w:t>
      </w:r>
      <w:r w:rsidR="003B68F3">
        <w:rPr>
          <w:sz w:val="28"/>
          <w:szCs w:val="28"/>
          <w:lang w:val="uk-UA"/>
        </w:rPr>
        <w:t>–</w:t>
      </w:r>
      <w:r>
        <w:rPr>
          <w:sz w:val="28"/>
          <w:szCs w:val="28"/>
          <w:lang w:val="uk-UA"/>
        </w:rPr>
        <w:t xml:space="preserve">карнітином та </w:t>
      </w:r>
      <w:r>
        <w:rPr>
          <w:sz w:val="28"/>
          <w:szCs w:val="28"/>
          <w:lang w:val="en-US"/>
        </w:rPr>
        <w:t>NO</w:t>
      </w:r>
      <w:r>
        <w:rPr>
          <w:sz w:val="28"/>
          <w:szCs w:val="28"/>
          <w:lang w:val="uk-UA"/>
        </w:rPr>
        <w:t xml:space="preserve"> в 1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Pr="00A045A0">
        <w:rPr>
          <w:sz w:val="28"/>
          <w:szCs w:val="28"/>
        </w:rPr>
        <w:t>=</w:t>
      </w:r>
      <w:r w:rsidR="003B68F3">
        <w:rPr>
          <w:sz w:val="28"/>
          <w:szCs w:val="28"/>
          <w:lang w:val="uk-UA"/>
        </w:rPr>
        <w:t xml:space="preserve"> – </w:t>
      </w:r>
      <w:r>
        <w:rPr>
          <w:sz w:val="28"/>
          <w:szCs w:val="28"/>
          <w:lang w:val="uk-UA"/>
        </w:rPr>
        <w:t>0,7</w:t>
      </w:r>
      <w:r w:rsidR="003B68F3">
        <w:rPr>
          <w:sz w:val="28"/>
          <w:szCs w:val="28"/>
          <w:lang w:val="uk-UA"/>
        </w:rPr>
        <w:t>8</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та 2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Pr="00A045A0">
        <w:rPr>
          <w:sz w:val="28"/>
          <w:szCs w:val="28"/>
        </w:rPr>
        <w:t>=</w:t>
      </w:r>
      <w:r w:rsidR="003B68F3">
        <w:rPr>
          <w:sz w:val="28"/>
          <w:szCs w:val="28"/>
          <w:lang w:val="uk-UA"/>
        </w:rPr>
        <w:t xml:space="preserve"> – </w:t>
      </w:r>
      <w:r>
        <w:rPr>
          <w:sz w:val="28"/>
          <w:szCs w:val="28"/>
          <w:lang w:val="uk-UA"/>
        </w:rPr>
        <w:t>0,7</w:t>
      </w:r>
      <w:r w:rsidR="003B68F3">
        <w:rPr>
          <w:sz w:val="28"/>
          <w:szCs w:val="28"/>
          <w:lang w:val="uk-UA"/>
        </w:rPr>
        <w:t>6</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групах. Також обернена кореляційна залежність мала місце між </w:t>
      </w:r>
      <w:r>
        <w:rPr>
          <w:sz w:val="28"/>
          <w:szCs w:val="28"/>
          <w:lang w:val="en-US"/>
        </w:rPr>
        <w:t>L</w:t>
      </w:r>
      <w:r w:rsidR="003B68F3">
        <w:rPr>
          <w:sz w:val="28"/>
          <w:szCs w:val="28"/>
          <w:lang w:val="uk-UA"/>
        </w:rPr>
        <w:t>–</w:t>
      </w:r>
      <w:r>
        <w:rPr>
          <w:sz w:val="28"/>
          <w:szCs w:val="28"/>
          <w:lang w:val="uk-UA"/>
        </w:rPr>
        <w:t xml:space="preserve">карнітином та МДА в 1 та 2 групах: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4</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та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3</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відповідно.</w:t>
      </w:r>
    </w:p>
    <w:p w:rsidR="00A045A0" w:rsidRDefault="00A045A0" w:rsidP="00A045A0">
      <w:pPr>
        <w:spacing w:line="360" w:lineRule="auto"/>
        <w:ind w:firstLine="709"/>
        <w:jc w:val="both"/>
        <w:rPr>
          <w:sz w:val="28"/>
          <w:szCs w:val="28"/>
          <w:lang w:val="uk-UA"/>
        </w:rPr>
      </w:pPr>
      <w:r>
        <w:rPr>
          <w:sz w:val="28"/>
          <w:szCs w:val="28"/>
          <w:lang w:val="uk-UA"/>
        </w:rPr>
        <w:t xml:space="preserve">Аналізуючи взаємозв’язки між </w:t>
      </w:r>
      <w:r>
        <w:rPr>
          <w:sz w:val="28"/>
          <w:szCs w:val="28"/>
          <w:lang w:val="en-US"/>
        </w:rPr>
        <w:t>L</w:t>
      </w:r>
      <w:r w:rsidR="003B68F3">
        <w:rPr>
          <w:sz w:val="28"/>
          <w:szCs w:val="28"/>
          <w:lang w:val="uk-UA"/>
        </w:rPr>
        <w:t>–</w:t>
      </w:r>
      <w:r>
        <w:rPr>
          <w:sz w:val="28"/>
          <w:szCs w:val="28"/>
          <w:lang w:val="uk-UA"/>
        </w:rPr>
        <w:t>карнітином та прозапальними цитокінами виявися сильний зворотній зв’язок між даними показниками (табл. 3.3.6).</w:t>
      </w:r>
    </w:p>
    <w:p w:rsidR="00A045A0" w:rsidRDefault="00A045A0" w:rsidP="00A045A0">
      <w:pPr>
        <w:spacing w:line="360" w:lineRule="auto"/>
        <w:ind w:firstLine="709"/>
        <w:jc w:val="right"/>
        <w:rPr>
          <w:sz w:val="28"/>
          <w:szCs w:val="28"/>
          <w:lang w:val="uk-UA"/>
        </w:rPr>
      </w:pPr>
      <w:r>
        <w:rPr>
          <w:sz w:val="28"/>
          <w:szCs w:val="28"/>
          <w:lang w:val="uk-UA"/>
        </w:rPr>
        <w:t>Таблиця 3.3.6</w:t>
      </w:r>
    </w:p>
    <w:p w:rsidR="00A045A0" w:rsidRDefault="00A045A0" w:rsidP="003B68F3">
      <w:pPr>
        <w:spacing w:line="360" w:lineRule="auto"/>
        <w:ind w:firstLine="709"/>
        <w:jc w:val="center"/>
        <w:rPr>
          <w:sz w:val="28"/>
          <w:szCs w:val="28"/>
          <w:lang w:val="uk-UA"/>
        </w:rPr>
      </w:pPr>
      <w:r>
        <w:rPr>
          <w:sz w:val="28"/>
          <w:szCs w:val="28"/>
          <w:lang w:val="uk-UA"/>
        </w:rPr>
        <w:t xml:space="preserve">Кореляційні зв’язки між рівнем </w:t>
      </w:r>
      <w:r>
        <w:rPr>
          <w:sz w:val="28"/>
          <w:szCs w:val="28"/>
          <w:lang w:val="en-US"/>
        </w:rPr>
        <w:t>L</w:t>
      </w:r>
      <w:r w:rsidR="003B68F3">
        <w:rPr>
          <w:sz w:val="28"/>
          <w:szCs w:val="28"/>
          <w:lang w:val="uk-UA"/>
        </w:rPr>
        <w:t>–</w:t>
      </w:r>
      <w:r>
        <w:rPr>
          <w:sz w:val="28"/>
          <w:szCs w:val="28"/>
          <w:lang w:val="uk-UA"/>
        </w:rPr>
        <w:t>карнітину та ФНП</w:t>
      </w:r>
      <w:r w:rsidR="003B68F3">
        <w:rPr>
          <w:sz w:val="28"/>
          <w:szCs w:val="28"/>
          <w:lang w:val="uk-UA"/>
        </w:rPr>
        <w:t>–</w:t>
      </w:r>
      <w:r>
        <w:rPr>
          <w:sz w:val="28"/>
          <w:szCs w:val="28"/>
          <w:lang w:val="uk-UA"/>
        </w:rPr>
        <w:t>α і ІЛ</w:t>
      </w:r>
      <w:r w:rsidR="003B68F3">
        <w:rPr>
          <w:sz w:val="28"/>
          <w:szCs w:val="28"/>
          <w:lang w:val="uk-UA"/>
        </w:rPr>
        <w:t>–</w:t>
      </w:r>
      <w:r>
        <w:rPr>
          <w:sz w:val="28"/>
          <w:szCs w:val="28"/>
          <w:lang w:val="uk-UA"/>
        </w:rPr>
        <w:t xml:space="preserve">6 в сироватці крові у хворих </w:t>
      </w:r>
      <w:r w:rsidR="003B68F3">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A045A0" w:rsidTr="003B68F3">
        <w:tc>
          <w:tcPr>
            <w:tcW w:w="3190" w:type="dxa"/>
            <w:vMerge w:val="restart"/>
            <w:vAlign w:val="center"/>
          </w:tcPr>
          <w:p w:rsidR="00A045A0" w:rsidRDefault="00A045A0" w:rsidP="003B68F3">
            <w:pPr>
              <w:spacing w:line="360" w:lineRule="auto"/>
              <w:jc w:val="center"/>
              <w:rPr>
                <w:sz w:val="28"/>
                <w:szCs w:val="28"/>
                <w:lang w:val="uk-UA"/>
              </w:rPr>
            </w:pPr>
            <w:r>
              <w:rPr>
                <w:sz w:val="28"/>
                <w:szCs w:val="28"/>
                <w:lang w:val="uk-UA"/>
              </w:rPr>
              <w:t>Показники</w:t>
            </w:r>
          </w:p>
        </w:tc>
        <w:tc>
          <w:tcPr>
            <w:tcW w:w="6381" w:type="dxa"/>
            <w:gridSpan w:val="2"/>
            <w:vAlign w:val="center"/>
          </w:tcPr>
          <w:p w:rsidR="00A045A0" w:rsidRDefault="00A045A0" w:rsidP="003B68F3">
            <w:pPr>
              <w:spacing w:line="360" w:lineRule="auto"/>
              <w:jc w:val="center"/>
              <w:rPr>
                <w:sz w:val="28"/>
                <w:szCs w:val="28"/>
                <w:lang w:val="uk-UA"/>
              </w:rPr>
            </w:pPr>
            <w:r>
              <w:rPr>
                <w:sz w:val="28"/>
                <w:szCs w:val="28"/>
                <w:lang w:val="en-US"/>
              </w:rPr>
              <w:t>L</w:t>
            </w:r>
            <w:r w:rsidR="003B68F3">
              <w:rPr>
                <w:sz w:val="28"/>
                <w:szCs w:val="28"/>
                <w:lang w:val="uk-UA"/>
              </w:rPr>
              <w:t>–</w:t>
            </w:r>
            <w:r>
              <w:rPr>
                <w:sz w:val="28"/>
                <w:szCs w:val="28"/>
                <w:lang w:val="uk-UA"/>
              </w:rPr>
              <w:t>карнітин</w:t>
            </w:r>
          </w:p>
        </w:tc>
      </w:tr>
      <w:tr w:rsidR="00A045A0" w:rsidTr="003B68F3">
        <w:tc>
          <w:tcPr>
            <w:tcW w:w="0" w:type="auto"/>
            <w:vMerge/>
            <w:vAlign w:val="center"/>
          </w:tcPr>
          <w:p w:rsidR="00A045A0" w:rsidRDefault="00A045A0" w:rsidP="003B68F3">
            <w:pPr>
              <w:rPr>
                <w:sz w:val="28"/>
                <w:szCs w:val="28"/>
                <w:lang w:val="uk-UA"/>
              </w:rPr>
            </w:pPr>
          </w:p>
        </w:tc>
        <w:tc>
          <w:tcPr>
            <w:tcW w:w="3190" w:type="dxa"/>
            <w:vAlign w:val="center"/>
          </w:tcPr>
          <w:p w:rsidR="00A045A0" w:rsidRDefault="00A045A0" w:rsidP="003B68F3">
            <w:pPr>
              <w:spacing w:line="360" w:lineRule="auto"/>
              <w:jc w:val="center"/>
              <w:rPr>
                <w:sz w:val="28"/>
                <w:szCs w:val="28"/>
                <w:lang w:val="uk-UA"/>
              </w:rPr>
            </w:pPr>
            <w:r>
              <w:rPr>
                <w:sz w:val="28"/>
                <w:szCs w:val="28"/>
                <w:lang w:val="uk-UA"/>
              </w:rPr>
              <w:t xml:space="preserve">1 група </w:t>
            </w:r>
          </w:p>
        </w:tc>
        <w:tc>
          <w:tcPr>
            <w:tcW w:w="3191" w:type="dxa"/>
            <w:vAlign w:val="center"/>
          </w:tcPr>
          <w:p w:rsidR="00A045A0" w:rsidRDefault="00A045A0" w:rsidP="003B68F3">
            <w:pPr>
              <w:spacing w:line="360" w:lineRule="auto"/>
              <w:jc w:val="center"/>
              <w:rPr>
                <w:sz w:val="28"/>
                <w:szCs w:val="28"/>
                <w:lang w:val="uk-UA"/>
              </w:rPr>
            </w:pPr>
            <w:r>
              <w:rPr>
                <w:sz w:val="28"/>
                <w:szCs w:val="28"/>
                <w:lang w:val="uk-UA"/>
              </w:rPr>
              <w:t>2 група</w:t>
            </w:r>
          </w:p>
        </w:tc>
      </w:tr>
      <w:tr w:rsidR="003B68F3" w:rsidTr="003B68F3">
        <w:tc>
          <w:tcPr>
            <w:tcW w:w="3190" w:type="dxa"/>
            <w:vAlign w:val="center"/>
          </w:tcPr>
          <w:p w:rsidR="003B68F3" w:rsidRDefault="003B68F3" w:rsidP="003B68F3">
            <w:pPr>
              <w:spacing w:line="360" w:lineRule="auto"/>
              <w:jc w:val="center"/>
              <w:rPr>
                <w:sz w:val="28"/>
                <w:szCs w:val="28"/>
                <w:lang w:val="uk-UA"/>
              </w:rPr>
            </w:pPr>
            <w:r>
              <w:rPr>
                <w:sz w:val="28"/>
                <w:szCs w:val="28"/>
                <w:lang w:val="uk-UA"/>
              </w:rPr>
              <w:t>ФНП–α</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0,76*</w:t>
            </w:r>
          </w:p>
        </w:tc>
        <w:tc>
          <w:tcPr>
            <w:tcW w:w="3191" w:type="dxa"/>
            <w:vAlign w:val="center"/>
          </w:tcPr>
          <w:p w:rsidR="003B68F3" w:rsidRDefault="003B68F3" w:rsidP="003B68F3">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 xml:space="preserve"> – 0,78*</w:t>
            </w:r>
          </w:p>
        </w:tc>
      </w:tr>
      <w:tr w:rsidR="003B68F3" w:rsidTr="003B68F3">
        <w:tc>
          <w:tcPr>
            <w:tcW w:w="3190" w:type="dxa"/>
            <w:vAlign w:val="center"/>
          </w:tcPr>
          <w:p w:rsidR="003B68F3" w:rsidRDefault="003B68F3" w:rsidP="003B68F3">
            <w:pPr>
              <w:spacing w:line="360" w:lineRule="auto"/>
              <w:jc w:val="center"/>
              <w:rPr>
                <w:sz w:val="28"/>
                <w:szCs w:val="28"/>
                <w:lang w:val="uk-UA"/>
              </w:rPr>
            </w:pPr>
            <w:r>
              <w:rPr>
                <w:sz w:val="28"/>
                <w:szCs w:val="28"/>
                <w:lang w:val="uk-UA"/>
              </w:rPr>
              <w:t>ІЛ–6</w:t>
            </w:r>
          </w:p>
        </w:tc>
        <w:tc>
          <w:tcPr>
            <w:tcW w:w="3190"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0,81*</w:t>
            </w:r>
          </w:p>
        </w:tc>
        <w:tc>
          <w:tcPr>
            <w:tcW w:w="3191" w:type="dxa"/>
            <w:vAlign w:val="center"/>
          </w:tcPr>
          <w:p w:rsidR="003B68F3" w:rsidRDefault="003B68F3" w:rsidP="003B68F3">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 0,76*</w:t>
            </w:r>
          </w:p>
        </w:tc>
      </w:tr>
    </w:tbl>
    <w:p w:rsidR="003B68F3" w:rsidRDefault="00A045A0" w:rsidP="00A045A0">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w:t>
      </w:r>
    </w:p>
    <w:p w:rsidR="00A045A0" w:rsidRDefault="00A045A0" w:rsidP="00A045A0">
      <w:pPr>
        <w:spacing w:line="360" w:lineRule="auto"/>
        <w:ind w:firstLine="709"/>
        <w:jc w:val="both"/>
        <w:rPr>
          <w:sz w:val="28"/>
          <w:szCs w:val="28"/>
          <w:lang w:val="uk-UA"/>
        </w:rPr>
      </w:pPr>
      <w:r>
        <w:rPr>
          <w:sz w:val="28"/>
          <w:szCs w:val="28"/>
          <w:lang w:val="uk-UA"/>
        </w:rPr>
        <w:t xml:space="preserve">При оцінці отриманих результатів була виявлена обернена кореляційна залежність між </w:t>
      </w:r>
      <w:r>
        <w:rPr>
          <w:sz w:val="28"/>
          <w:szCs w:val="28"/>
          <w:lang w:val="en-US"/>
        </w:rPr>
        <w:t>L</w:t>
      </w:r>
      <w:r w:rsidR="003B68F3">
        <w:rPr>
          <w:sz w:val="28"/>
          <w:szCs w:val="28"/>
          <w:lang w:val="uk-UA"/>
        </w:rPr>
        <w:t>–</w:t>
      </w:r>
      <w:r>
        <w:rPr>
          <w:sz w:val="28"/>
          <w:szCs w:val="28"/>
          <w:lang w:val="uk-UA"/>
        </w:rPr>
        <w:t>карнітином та ФНП</w:t>
      </w:r>
      <w:r w:rsidR="003B68F3">
        <w:rPr>
          <w:sz w:val="28"/>
          <w:szCs w:val="28"/>
          <w:lang w:val="uk-UA"/>
        </w:rPr>
        <w:t>–</w:t>
      </w:r>
      <w:r>
        <w:rPr>
          <w:sz w:val="28"/>
          <w:szCs w:val="28"/>
          <w:lang w:val="uk-UA"/>
        </w:rPr>
        <w:t>α, як в 1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6</w:t>
      </w:r>
      <w:r>
        <w:rPr>
          <w:sz w:val="28"/>
          <w:szCs w:val="28"/>
          <w:lang w:val="uk-UA"/>
        </w:rPr>
        <w:t>;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так і в 2 групах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8</w:t>
      </w:r>
      <w:r>
        <w:rPr>
          <w:sz w:val="28"/>
          <w:szCs w:val="28"/>
          <w:lang w:val="uk-UA"/>
        </w:rPr>
        <w:t>;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Рівень ІЛ</w:t>
      </w:r>
      <w:r w:rsidR="003B68F3">
        <w:rPr>
          <w:sz w:val="28"/>
          <w:szCs w:val="28"/>
          <w:lang w:val="uk-UA"/>
        </w:rPr>
        <w:t>–</w:t>
      </w:r>
      <w:r>
        <w:rPr>
          <w:sz w:val="28"/>
          <w:szCs w:val="28"/>
          <w:lang w:val="uk-UA"/>
        </w:rPr>
        <w:t xml:space="preserve">6 також мав зворотну кореляцію з </w:t>
      </w:r>
      <w:r>
        <w:rPr>
          <w:sz w:val="28"/>
          <w:szCs w:val="28"/>
          <w:lang w:val="en-US"/>
        </w:rPr>
        <w:t>L</w:t>
      </w:r>
      <w:r w:rsidR="003B68F3">
        <w:rPr>
          <w:sz w:val="28"/>
          <w:szCs w:val="28"/>
          <w:lang w:val="uk-UA"/>
        </w:rPr>
        <w:t>–</w:t>
      </w:r>
      <w:r>
        <w:rPr>
          <w:sz w:val="28"/>
          <w:szCs w:val="28"/>
          <w:lang w:val="uk-UA"/>
        </w:rPr>
        <w:t xml:space="preserve">карнітином. В 1 групі коефіцієнт кореляції склав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w:t>
      </w:r>
      <w:r w:rsidR="003B68F3">
        <w:rPr>
          <w:sz w:val="28"/>
          <w:szCs w:val="28"/>
          <w:lang w:val="uk-UA"/>
        </w:rPr>
        <w:t>81</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в 2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w:t>
      </w:r>
      <w:r w:rsidR="003B68F3">
        <w:rPr>
          <w:sz w:val="28"/>
          <w:szCs w:val="28"/>
          <w:lang w:val="uk-UA"/>
        </w:rPr>
        <w:t>76</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w:t>
      </w:r>
    </w:p>
    <w:p w:rsidR="00A045A0" w:rsidRDefault="00A045A0" w:rsidP="00A045A0">
      <w:pPr>
        <w:spacing w:line="360" w:lineRule="auto"/>
        <w:ind w:firstLine="709"/>
        <w:jc w:val="both"/>
        <w:rPr>
          <w:sz w:val="28"/>
          <w:szCs w:val="28"/>
          <w:lang w:val="uk-UA"/>
        </w:rPr>
      </w:pPr>
      <w:r>
        <w:rPr>
          <w:sz w:val="28"/>
          <w:szCs w:val="28"/>
          <w:lang w:val="uk-UA"/>
        </w:rPr>
        <w:lastRenderedPageBreak/>
        <w:t xml:space="preserve">Також з’ясувалось, що рівень </w:t>
      </w:r>
      <w:r>
        <w:rPr>
          <w:sz w:val="28"/>
          <w:szCs w:val="28"/>
          <w:lang w:val="en-US"/>
        </w:rPr>
        <w:t>L</w:t>
      </w:r>
      <w:r w:rsidR="003B68F3">
        <w:rPr>
          <w:sz w:val="28"/>
          <w:szCs w:val="28"/>
          <w:lang w:val="uk-UA"/>
        </w:rPr>
        <w:t>–</w:t>
      </w:r>
      <w:r>
        <w:rPr>
          <w:sz w:val="28"/>
          <w:szCs w:val="28"/>
          <w:lang w:val="uk-UA"/>
        </w:rPr>
        <w:t>карнітину має сильну обернену кореляційну залежніс</w:t>
      </w:r>
      <w:r w:rsidR="003B68F3">
        <w:rPr>
          <w:sz w:val="28"/>
          <w:szCs w:val="28"/>
          <w:lang w:val="uk-UA"/>
        </w:rPr>
        <w:t>т</w:t>
      </w:r>
      <w:r>
        <w:rPr>
          <w:sz w:val="28"/>
          <w:szCs w:val="28"/>
          <w:lang w:val="uk-UA"/>
        </w:rPr>
        <w:t xml:space="preserve">ь від маркерів клітинного пошкодження, зокрема АЛТ та АСТ. В 1 групі хворих коефіцієнт кореляції між АЛТ та </w:t>
      </w:r>
      <w:r>
        <w:rPr>
          <w:sz w:val="28"/>
          <w:szCs w:val="28"/>
          <w:lang w:val="en-US"/>
        </w:rPr>
        <w:t>L</w:t>
      </w:r>
      <w:r w:rsidR="003B68F3">
        <w:rPr>
          <w:sz w:val="28"/>
          <w:szCs w:val="28"/>
          <w:lang w:val="uk-UA"/>
        </w:rPr>
        <w:t>–</w:t>
      </w:r>
      <w:r>
        <w:rPr>
          <w:sz w:val="28"/>
          <w:szCs w:val="28"/>
          <w:lang w:val="uk-UA"/>
        </w:rPr>
        <w:t xml:space="preserve">карнітином склав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1</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в 2 групі </w:t>
      </w:r>
      <w:r w:rsidR="003B68F3">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6</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Показник АСТ в</w:t>
      </w:r>
      <w:r w:rsidR="003B68F3">
        <w:rPr>
          <w:sz w:val="28"/>
          <w:szCs w:val="28"/>
          <w:lang w:val="uk-UA"/>
        </w:rPr>
        <w:t xml:space="preserve"> обох групах хворих мав зворотну</w:t>
      </w:r>
      <w:r>
        <w:rPr>
          <w:sz w:val="28"/>
          <w:szCs w:val="28"/>
          <w:lang w:val="uk-UA"/>
        </w:rPr>
        <w:t xml:space="preserve"> кореляцію з </w:t>
      </w:r>
      <w:r>
        <w:rPr>
          <w:sz w:val="28"/>
          <w:szCs w:val="28"/>
          <w:lang w:val="en-US"/>
        </w:rPr>
        <w:t>L</w:t>
      </w:r>
      <w:r w:rsidR="003B68F3">
        <w:rPr>
          <w:sz w:val="28"/>
          <w:szCs w:val="28"/>
          <w:lang w:val="uk-UA"/>
        </w:rPr>
        <w:t>–</w:t>
      </w:r>
      <w:r>
        <w:rPr>
          <w:sz w:val="28"/>
          <w:szCs w:val="28"/>
          <w:lang w:val="uk-UA"/>
        </w:rPr>
        <w:t xml:space="preserve">карнітином: </w:t>
      </w:r>
      <w:r>
        <w:rPr>
          <w:sz w:val="28"/>
          <w:szCs w:val="28"/>
          <w:lang w:val="en-US"/>
        </w:rPr>
        <w:t>r</w:t>
      </w:r>
      <w:r>
        <w:rPr>
          <w:sz w:val="28"/>
          <w:szCs w:val="28"/>
          <w:lang w:val="uk-UA"/>
        </w:rPr>
        <w:t xml:space="preserve"> =</w:t>
      </w:r>
      <w:r w:rsidR="003B68F3">
        <w:rPr>
          <w:sz w:val="28"/>
          <w:szCs w:val="28"/>
          <w:lang w:val="uk-UA"/>
        </w:rPr>
        <w:t xml:space="preserve"> – </w:t>
      </w:r>
      <w:r>
        <w:rPr>
          <w:sz w:val="28"/>
          <w:szCs w:val="28"/>
          <w:lang w:val="uk-UA"/>
        </w:rPr>
        <w:t>0,7</w:t>
      </w:r>
      <w:r w:rsidR="003B68F3">
        <w:rPr>
          <w:sz w:val="28"/>
          <w:szCs w:val="28"/>
          <w:lang w:val="uk-UA"/>
        </w:rPr>
        <w:t>6</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 xml:space="preserve">0,01) в 1 групі та </w:t>
      </w:r>
      <w:r>
        <w:rPr>
          <w:sz w:val="28"/>
          <w:szCs w:val="28"/>
          <w:lang w:val="en-US"/>
        </w:rPr>
        <w:t>r</w:t>
      </w:r>
      <w:r>
        <w:rPr>
          <w:sz w:val="28"/>
          <w:szCs w:val="28"/>
          <w:lang w:val="uk-UA"/>
        </w:rPr>
        <w:t xml:space="preserve"> =</w:t>
      </w:r>
      <w:r w:rsidR="003B68F3">
        <w:rPr>
          <w:sz w:val="28"/>
          <w:szCs w:val="28"/>
          <w:lang w:val="uk-UA"/>
        </w:rPr>
        <w:t xml:space="preserve"> – 0,79</w:t>
      </w:r>
      <w:r>
        <w:rPr>
          <w:sz w:val="28"/>
          <w:szCs w:val="28"/>
          <w:lang w:val="uk-UA"/>
        </w:rPr>
        <w:t xml:space="preserve"> (</w:t>
      </w:r>
      <w:r>
        <w:rPr>
          <w:sz w:val="28"/>
          <w:szCs w:val="28"/>
          <w:lang w:val="en-US"/>
        </w:rPr>
        <w:t>p</w:t>
      </w:r>
      <w:r w:rsidR="003B68F3">
        <w:rPr>
          <w:sz w:val="28"/>
          <w:szCs w:val="28"/>
          <w:lang w:val="uk-UA"/>
        </w:rPr>
        <w:t xml:space="preserve"> </w:t>
      </w:r>
      <w:r>
        <w:rPr>
          <w:sz w:val="28"/>
          <w:szCs w:val="28"/>
          <w:lang w:val="uk-UA"/>
        </w:rPr>
        <w:t>&lt;</w:t>
      </w:r>
      <w:r w:rsidR="003B68F3">
        <w:rPr>
          <w:sz w:val="28"/>
          <w:szCs w:val="28"/>
          <w:lang w:val="uk-UA"/>
        </w:rPr>
        <w:t xml:space="preserve"> </w:t>
      </w:r>
      <w:r>
        <w:rPr>
          <w:sz w:val="28"/>
          <w:szCs w:val="28"/>
          <w:lang w:val="uk-UA"/>
        </w:rPr>
        <w:t>0,01) в 2 групі хворих.</w:t>
      </w:r>
    </w:p>
    <w:p w:rsidR="00A045A0" w:rsidRDefault="00A045A0" w:rsidP="00A045A0">
      <w:pPr>
        <w:spacing w:line="360" w:lineRule="auto"/>
        <w:ind w:firstLine="709"/>
        <w:jc w:val="both"/>
        <w:rPr>
          <w:sz w:val="28"/>
          <w:szCs w:val="28"/>
          <w:lang w:val="uk-UA"/>
        </w:rPr>
      </w:pPr>
      <w:r>
        <w:rPr>
          <w:sz w:val="28"/>
          <w:szCs w:val="28"/>
          <w:lang w:val="uk-UA"/>
        </w:rPr>
        <w:t xml:space="preserve">Знижений рівень </w:t>
      </w:r>
      <w:r>
        <w:rPr>
          <w:sz w:val="28"/>
          <w:szCs w:val="28"/>
          <w:lang w:val="en-US"/>
        </w:rPr>
        <w:t>L</w:t>
      </w:r>
      <w:r w:rsidR="003B68F3">
        <w:rPr>
          <w:sz w:val="28"/>
          <w:szCs w:val="28"/>
          <w:lang w:val="uk-UA"/>
        </w:rPr>
        <w:t>–</w:t>
      </w:r>
      <w:r>
        <w:rPr>
          <w:sz w:val="28"/>
          <w:szCs w:val="28"/>
          <w:lang w:val="uk-UA"/>
        </w:rPr>
        <w:t>карнітину в сироватці крові у хворих НАСГ</w:t>
      </w:r>
      <w:r w:rsidR="003B68F3">
        <w:rPr>
          <w:sz w:val="28"/>
          <w:szCs w:val="28"/>
          <w:lang w:val="uk-UA"/>
        </w:rPr>
        <w:t xml:space="preserve"> в поєднанні х ЦД 2 типу</w:t>
      </w:r>
      <w:r>
        <w:rPr>
          <w:sz w:val="28"/>
          <w:szCs w:val="28"/>
          <w:lang w:val="uk-UA"/>
        </w:rPr>
        <w:t xml:space="preserve"> свідчить про наявність карнітинової недостатності, яка призводить до порушення транспорту жирних кислот в мітохондрії, збільшення накопичення ліпідів в тканинах, зокрема в печінці, та розвитку мітохондріальної дисфункції [115, 170]. Наявні кореляційні зв</w:t>
      </w:r>
      <w:r>
        <w:rPr>
          <w:sz w:val="28"/>
          <w:szCs w:val="28"/>
        </w:rPr>
        <w:t>’</w:t>
      </w:r>
      <w:r>
        <w:rPr>
          <w:sz w:val="28"/>
          <w:szCs w:val="28"/>
          <w:lang w:val="uk-UA"/>
        </w:rPr>
        <w:t xml:space="preserve">язки говорять про причетність </w:t>
      </w:r>
      <w:r>
        <w:rPr>
          <w:sz w:val="28"/>
          <w:szCs w:val="28"/>
          <w:lang w:val="en-US"/>
        </w:rPr>
        <w:t>L</w:t>
      </w:r>
      <w:r w:rsidR="003B68F3">
        <w:rPr>
          <w:sz w:val="28"/>
          <w:szCs w:val="28"/>
          <w:lang w:val="uk-UA"/>
        </w:rPr>
        <w:t>–</w:t>
      </w:r>
      <w:r>
        <w:rPr>
          <w:sz w:val="28"/>
          <w:szCs w:val="28"/>
          <w:lang w:val="uk-UA"/>
        </w:rPr>
        <w:t xml:space="preserve">карнітина до розвитку ліпотоксичного </w:t>
      </w:r>
      <w:r w:rsidR="002768FB">
        <w:rPr>
          <w:sz w:val="28"/>
          <w:szCs w:val="28"/>
          <w:lang w:val="uk-UA"/>
        </w:rPr>
        <w:t>стресу</w:t>
      </w:r>
      <w:r>
        <w:rPr>
          <w:sz w:val="28"/>
          <w:szCs w:val="28"/>
          <w:lang w:val="uk-UA"/>
        </w:rPr>
        <w:t>, а як наслідок активації ПОЛ та розвитку системного запалення в печінці. Тоді як клітинне пошкодження гепатоцитів посилює карнітиновий дисбаланс та наростання метаболічних порушень [33, 178, 218, 225].</w:t>
      </w:r>
    </w:p>
    <w:p w:rsidR="00A045A0" w:rsidRDefault="00A045A0" w:rsidP="00A045A0">
      <w:pPr>
        <w:spacing w:line="360" w:lineRule="auto"/>
        <w:ind w:firstLine="709"/>
        <w:jc w:val="both"/>
        <w:rPr>
          <w:sz w:val="28"/>
          <w:szCs w:val="28"/>
          <w:lang w:val="uk-UA"/>
        </w:rPr>
      </w:pPr>
    </w:p>
    <w:p w:rsidR="00A045A0" w:rsidRDefault="00A045A0" w:rsidP="00A045A0">
      <w:pPr>
        <w:spacing w:line="360" w:lineRule="auto"/>
        <w:ind w:firstLine="709"/>
        <w:jc w:val="both"/>
        <w:rPr>
          <w:sz w:val="28"/>
          <w:szCs w:val="28"/>
          <w:lang w:val="uk-UA"/>
        </w:rPr>
      </w:pPr>
      <w:r>
        <w:rPr>
          <w:sz w:val="28"/>
          <w:szCs w:val="28"/>
          <w:lang w:val="uk-UA"/>
        </w:rPr>
        <w:t>Даний розділ викладений в публікаціях:</w:t>
      </w:r>
    </w:p>
    <w:p w:rsidR="00A045A0" w:rsidRDefault="00A045A0" w:rsidP="00A045A0">
      <w:pPr>
        <w:numPr>
          <w:ilvl w:val="0"/>
          <w:numId w:val="8"/>
        </w:numPr>
        <w:spacing w:line="360" w:lineRule="auto"/>
        <w:jc w:val="both"/>
        <w:rPr>
          <w:sz w:val="28"/>
          <w:szCs w:val="28"/>
          <w:lang w:val="uk-UA"/>
        </w:rPr>
      </w:pPr>
      <w:r>
        <w:rPr>
          <w:sz w:val="28"/>
          <w:szCs w:val="28"/>
          <w:lang w:val="uk-UA"/>
        </w:rPr>
        <w:t>Патент «Спосіб діагностики неалкогольного стеатогепатиту» (деклараційний патент на корисну модель №94489 UA, Україна, МПК G01N 33/48 (2006.01) – №2014 06799, заявл. 16.06.2014; опубл. 10.11.2014, Бюл.№21).</w:t>
      </w:r>
    </w:p>
    <w:p w:rsidR="00A045A0" w:rsidRPr="002D6B00" w:rsidRDefault="00A045A0" w:rsidP="00A045A0">
      <w:pPr>
        <w:numPr>
          <w:ilvl w:val="0"/>
          <w:numId w:val="8"/>
        </w:numPr>
        <w:spacing w:line="360" w:lineRule="auto"/>
        <w:jc w:val="both"/>
        <w:rPr>
          <w:sz w:val="28"/>
          <w:szCs w:val="28"/>
        </w:rPr>
      </w:pPr>
      <w:r>
        <w:rPr>
          <w:sz w:val="28"/>
          <w:lang w:val="uk-UA"/>
        </w:rPr>
        <w:t xml:space="preserve">Глущенко С.В. </w:t>
      </w:r>
      <w:r>
        <w:rPr>
          <w:sz w:val="28"/>
          <w:szCs w:val="28"/>
        </w:rPr>
        <w:t>Роль L</w:t>
      </w:r>
      <w:r w:rsidR="003B68F3">
        <w:rPr>
          <w:sz w:val="28"/>
          <w:szCs w:val="28"/>
        </w:rPr>
        <w:t>–</w:t>
      </w:r>
      <w:r>
        <w:rPr>
          <w:sz w:val="28"/>
          <w:szCs w:val="28"/>
        </w:rPr>
        <w:t>карнитина в развитии неалкогольного стеатогепатиа // Журн. «</w:t>
      </w:r>
      <w:r>
        <w:rPr>
          <w:sz w:val="28"/>
          <w:szCs w:val="28"/>
          <w:lang w:val="uk-UA"/>
        </w:rPr>
        <w:t>Проблеми безперервної медичної освіти та науки</w:t>
      </w:r>
      <w:r>
        <w:rPr>
          <w:sz w:val="28"/>
          <w:szCs w:val="28"/>
        </w:rPr>
        <w:t xml:space="preserve">». – 2014. – </w:t>
      </w:r>
      <w:r>
        <w:rPr>
          <w:sz w:val="28"/>
          <w:szCs w:val="28"/>
          <w:lang w:val="uk-UA"/>
        </w:rPr>
        <w:t>№</w:t>
      </w:r>
      <w:r>
        <w:rPr>
          <w:sz w:val="28"/>
          <w:szCs w:val="28"/>
        </w:rPr>
        <w:t>4</w:t>
      </w:r>
      <w:r>
        <w:rPr>
          <w:sz w:val="28"/>
          <w:szCs w:val="28"/>
          <w:lang w:val="uk-UA"/>
        </w:rPr>
        <w:t xml:space="preserve"> </w:t>
      </w:r>
      <w:r>
        <w:rPr>
          <w:sz w:val="28"/>
          <w:szCs w:val="28"/>
        </w:rPr>
        <w:t>[16]. – С.83</w:t>
      </w:r>
      <w:r w:rsidR="003B68F3">
        <w:rPr>
          <w:sz w:val="28"/>
          <w:szCs w:val="28"/>
        </w:rPr>
        <w:t>–</w:t>
      </w:r>
      <w:r>
        <w:rPr>
          <w:sz w:val="28"/>
          <w:szCs w:val="28"/>
        </w:rPr>
        <w:t>86.</w:t>
      </w:r>
    </w:p>
    <w:p w:rsidR="00A045A0" w:rsidRPr="00595805" w:rsidRDefault="00A045A0" w:rsidP="00A045A0">
      <w:pPr>
        <w:numPr>
          <w:ilvl w:val="0"/>
          <w:numId w:val="8"/>
        </w:numPr>
        <w:spacing w:line="360" w:lineRule="auto"/>
        <w:jc w:val="both"/>
        <w:rPr>
          <w:sz w:val="28"/>
          <w:szCs w:val="28"/>
        </w:rPr>
      </w:pPr>
      <w:r>
        <w:rPr>
          <w:sz w:val="28"/>
          <w:szCs w:val="28"/>
          <w:lang w:val="uk-UA"/>
        </w:rPr>
        <w:t xml:space="preserve">Звягинцева Т.Д. </w:t>
      </w:r>
      <w:r w:rsidRPr="0034455C">
        <w:rPr>
          <w:sz w:val="28"/>
          <w:szCs w:val="28"/>
          <w:lang w:val="uk-UA"/>
        </w:rPr>
        <w:t xml:space="preserve">Глущенко С.В. </w:t>
      </w:r>
      <w:r>
        <w:rPr>
          <w:sz w:val="28"/>
          <w:szCs w:val="28"/>
        </w:rPr>
        <w:t xml:space="preserve">Значение </w:t>
      </w:r>
      <w:r>
        <w:rPr>
          <w:sz w:val="28"/>
          <w:szCs w:val="28"/>
          <w:lang w:val="en-US"/>
        </w:rPr>
        <w:t>L</w:t>
      </w:r>
      <w:r w:rsidR="003B68F3">
        <w:rPr>
          <w:sz w:val="28"/>
          <w:szCs w:val="28"/>
        </w:rPr>
        <w:t>–</w:t>
      </w:r>
      <w:r>
        <w:rPr>
          <w:sz w:val="28"/>
          <w:szCs w:val="28"/>
        </w:rPr>
        <w:t>карнитина и провоспалительных цитокинов в развитии неалкогольного стеатогепатита</w:t>
      </w:r>
      <w:r w:rsidRPr="0034455C">
        <w:rPr>
          <w:sz w:val="28"/>
          <w:szCs w:val="28"/>
          <w:lang w:val="uk-UA"/>
        </w:rPr>
        <w:t xml:space="preserve"> / </w:t>
      </w:r>
      <w:r>
        <w:rPr>
          <w:sz w:val="28"/>
          <w:szCs w:val="28"/>
          <w:lang w:val="uk-UA"/>
        </w:rPr>
        <w:t xml:space="preserve">Т.Д. Звягинцева, </w:t>
      </w:r>
      <w:r w:rsidRPr="0034455C">
        <w:rPr>
          <w:sz w:val="28"/>
          <w:szCs w:val="28"/>
          <w:lang w:val="uk-UA"/>
        </w:rPr>
        <w:t>С.В. Глущенко // Новости медицины и фармации. – 201</w:t>
      </w:r>
      <w:r>
        <w:rPr>
          <w:sz w:val="28"/>
          <w:szCs w:val="28"/>
          <w:lang w:val="uk-UA"/>
        </w:rPr>
        <w:t>4</w:t>
      </w:r>
      <w:r w:rsidRPr="0034455C">
        <w:rPr>
          <w:sz w:val="28"/>
          <w:szCs w:val="28"/>
          <w:lang w:val="uk-UA"/>
        </w:rPr>
        <w:t>. –</w:t>
      </w:r>
      <w:r>
        <w:rPr>
          <w:sz w:val="28"/>
          <w:szCs w:val="28"/>
          <w:lang w:val="uk-UA"/>
        </w:rPr>
        <w:t xml:space="preserve"> №522 (20). – С. 20</w:t>
      </w:r>
      <w:r w:rsidR="003B68F3">
        <w:rPr>
          <w:sz w:val="28"/>
          <w:szCs w:val="28"/>
          <w:lang w:val="uk-UA"/>
        </w:rPr>
        <w:t>–</w:t>
      </w:r>
      <w:r>
        <w:rPr>
          <w:sz w:val="28"/>
          <w:szCs w:val="28"/>
          <w:lang w:val="uk-UA"/>
        </w:rPr>
        <w:t>21</w:t>
      </w:r>
      <w:r w:rsidRPr="0034455C">
        <w:rPr>
          <w:sz w:val="28"/>
          <w:szCs w:val="28"/>
          <w:lang w:val="uk-UA"/>
        </w:rPr>
        <w:t>.</w:t>
      </w:r>
    </w:p>
    <w:p w:rsidR="00595805" w:rsidRPr="00595805" w:rsidRDefault="00595805" w:rsidP="00595805">
      <w:pPr>
        <w:numPr>
          <w:ilvl w:val="0"/>
          <w:numId w:val="8"/>
        </w:numPr>
        <w:spacing w:line="360" w:lineRule="auto"/>
        <w:jc w:val="both"/>
        <w:rPr>
          <w:sz w:val="28"/>
          <w:szCs w:val="28"/>
          <w:lang w:val="uk-UA"/>
        </w:rPr>
      </w:pPr>
      <w:r w:rsidRPr="00595805">
        <w:rPr>
          <w:sz w:val="28"/>
          <w:lang w:val="uk-UA"/>
        </w:rPr>
        <w:t xml:space="preserve">Глущенко С. В. </w:t>
      </w:r>
      <w:r w:rsidRPr="00595805">
        <w:rPr>
          <w:sz w:val="28"/>
          <w:lang w:val="en-US"/>
        </w:rPr>
        <w:t>L</w:t>
      </w:r>
      <w:r w:rsidRPr="00595805">
        <w:rPr>
          <w:sz w:val="28"/>
          <w:lang w:val="uk-UA"/>
        </w:rPr>
        <w:t>-карнитин и оксидативный стрес – стресс при неалкогольном стеатогепатита / Т. Д.</w:t>
      </w:r>
      <w:r>
        <w:rPr>
          <w:sz w:val="28"/>
          <w:lang w:val="uk-UA"/>
        </w:rPr>
        <w:t xml:space="preserve"> Звягинцева, С. В. Глущенко // </w:t>
      </w:r>
      <w:r w:rsidRPr="00595805">
        <w:rPr>
          <w:sz w:val="28"/>
          <w:lang w:val="uk-UA"/>
        </w:rPr>
        <w:t xml:space="preserve">41-я Научная сессия ЦНИИГ «Расширяя границы». – 5–6 </w:t>
      </w:r>
      <w:r>
        <w:rPr>
          <w:sz w:val="28"/>
          <w:lang w:val="uk-UA"/>
        </w:rPr>
        <w:t>марта 2015. – С. 19–20.</w:t>
      </w:r>
    </w:p>
    <w:p w:rsidR="00595805" w:rsidRPr="00595805" w:rsidRDefault="00595805" w:rsidP="00595805">
      <w:pPr>
        <w:spacing w:line="360" w:lineRule="auto"/>
        <w:ind w:left="720"/>
        <w:jc w:val="both"/>
        <w:rPr>
          <w:sz w:val="28"/>
          <w:szCs w:val="28"/>
          <w:lang w:val="uk-UA"/>
        </w:rPr>
      </w:pPr>
    </w:p>
    <w:p w:rsidR="0047048A" w:rsidRPr="0047250E" w:rsidRDefault="0047048A" w:rsidP="0047048A">
      <w:pPr>
        <w:spacing w:line="360" w:lineRule="auto"/>
        <w:jc w:val="center"/>
        <w:rPr>
          <w:b/>
          <w:sz w:val="28"/>
          <w:szCs w:val="28"/>
          <w:lang w:val="uk-UA"/>
        </w:rPr>
      </w:pPr>
      <w:r w:rsidRPr="0047250E">
        <w:rPr>
          <w:b/>
          <w:sz w:val="28"/>
          <w:szCs w:val="28"/>
          <w:lang w:val="uk-UA"/>
        </w:rPr>
        <w:lastRenderedPageBreak/>
        <w:t>3.4. Вивчення рів</w:t>
      </w:r>
      <w:r>
        <w:rPr>
          <w:b/>
          <w:sz w:val="28"/>
          <w:szCs w:val="28"/>
          <w:lang w:val="uk-UA"/>
        </w:rPr>
        <w:t xml:space="preserve">ня гомоцистеїна у хворих </w:t>
      </w:r>
      <w:r w:rsidR="00413BFD">
        <w:rPr>
          <w:b/>
          <w:sz w:val="28"/>
          <w:szCs w:val="28"/>
          <w:lang w:val="uk-UA"/>
        </w:rPr>
        <w:t xml:space="preserve">на </w:t>
      </w:r>
      <w:r>
        <w:rPr>
          <w:b/>
          <w:sz w:val="28"/>
          <w:szCs w:val="28"/>
          <w:lang w:val="uk-UA"/>
        </w:rPr>
        <w:t xml:space="preserve">НАСГ </w:t>
      </w:r>
      <w:r w:rsidRPr="0047250E">
        <w:rPr>
          <w:b/>
          <w:sz w:val="28"/>
          <w:szCs w:val="28"/>
          <w:lang w:val="uk-UA"/>
        </w:rPr>
        <w:t>в поєднанні з ЦД 2 типу та зв</w:t>
      </w:r>
      <w:r>
        <w:rPr>
          <w:b/>
          <w:sz w:val="28"/>
          <w:szCs w:val="28"/>
          <w:lang w:val="uk-UA"/>
        </w:rPr>
        <w:t>’</w:t>
      </w:r>
      <w:r w:rsidRPr="0047250E">
        <w:rPr>
          <w:b/>
          <w:sz w:val="28"/>
          <w:szCs w:val="28"/>
          <w:lang w:val="uk-UA"/>
        </w:rPr>
        <w:t>язок з вивчаємими показниками.</w:t>
      </w:r>
    </w:p>
    <w:p w:rsidR="0047048A" w:rsidRDefault="0047048A" w:rsidP="0047048A">
      <w:pPr>
        <w:spacing w:line="360" w:lineRule="auto"/>
        <w:ind w:firstLine="709"/>
        <w:jc w:val="both"/>
        <w:rPr>
          <w:sz w:val="28"/>
          <w:szCs w:val="28"/>
          <w:lang w:val="uk-UA"/>
        </w:rPr>
      </w:pPr>
      <w:r>
        <w:rPr>
          <w:sz w:val="28"/>
          <w:szCs w:val="28"/>
          <w:lang w:val="uk-UA"/>
        </w:rPr>
        <w:t>З метою виявлення ГГЦ нами були вивчені рівні ГЦ у 4</w:t>
      </w:r>
      <w:r w:rsidR="00CF6631">
        <w:rPr>
          <w:sz w:val="28"/>
          <w:szCs w:val="28"/>
          <w:lang w:val="uk-UA"/>
        </w:rPr>
        <w:t>0</w:t>
      </w:r>
      <w:r>
        <w:rPr>
          <w:sz w:val="28"/>
          <w:szCs w:val="28"/>
          <w:lang w:val="uk-UA"/>
        </w:rPr>
        <w:t xml:space="preserve"> хворих на НАСГ в поєднанні з ЦД 2 типу (1 група) та 4</w:t>
      </w:r>
      <w:r w:rsidR="00CF6631">
        <w:rPr>
          <w:sz w:val="28"/>
          <w:szCs w:val="28"/>
          <w:lang w:val="uk-UA"/>
        </w:rPr>
        <w:t>5</w:t>
      </w:r>
      <w:r>
        <w:rPr>
          <w:sz w:val="28"/>
          <w:szCs w:val="28"/>
          <w:lang w:val="uk-UA"/>
        </w:rPr>
        <w:t xml:space="preserve"> хворих на НАСГ (2 група), у віці від 23 до 67 років. Середній вік складав 47,06 ± 12,64 роки. Контрольну групу склали 20 практично здорових осіб. Серед хворих 1</w:t>
      </w:r>
      <w:r w:rsidR="00CF6631">
        <w:rPr>
          <w:sz w:val="28"/>
          <w:szCs w:val="28"/>
          <w:lang w:val="uk-UA"/>
        </w:rPr>
        <w:t xml:space="preserve"> </w:t>
      </w:r>
      <w:r>
        <w:rPr>
          <w:sz w:val="28"/>
          <w:szCs w:val="28"/>
          <w:lang w:val="uk-UA"/>
        </w:rPr>
        <w:t>групи чоловіків було</w:t>
      </w:r>
      <w:r w:rsidR="00CF6631">
        <w:rPr>
          <w:sz w:val="28"/>
          <w:szCs w:val="28"/>
          <w:lang w:val="uk-UA"/>
        </w:rPr>
        <w:t>18 (45 %)</w:t>
      </w:r>
      <w:r>
        <w:rPr>
          <w:sz w:val="28"/>
          <w:szCs w:val="28"/>
          <w:lang w:val="uk-UA"/>
        </w:rPr>
        <w:t xml:space="preserve">, жінок – </w:t>
      </w:r>
      <w:r w:rsidR="00CF6631">
        <w:rPr>
          <w:sz w:val="28"/>
          <w:szCs w:val="28"/>
          <w:lang w:val="uk-UA"/>
        </w:rPr>
        <w:t>22 (55 %)</w:t>
      </w:r>
      <w:r>
        <w:rPr>
          <w:sz w:val="28"/>
          <w:szCs w:val="28"/>
          <w:lang w:val="uk-UA"/>
        </w:rPr>
        <w:t xml:space="preserve">. В 2 групі гендерний розподіл був наступним – </w:t>
      </w:r>
      <w:r w:rsidR="00CF6631">
        <w:rPr>
          <w:sz w:val="28"/>
          <w:szCs w:val="28"/>
          <w:lang w:val="uk-UA"/>
        </w:rPr>
        <w:t>22 (48,9 %)</w:t>
      </w:r>
      <w:r>
        <w:rPr>
          <w:sz w:val="28"/>
          <w:szCs w:val="28"/>
          <w:lang w:val="uk-UA"/>
        </w:rPr>
        <w:t xml:space="preserve"> чоловіків та</w:t>
      </w:r>
      <w:r w:rsidR="00CF6631">
        <w:rPr>
          <w:sz w:val="28"/>
          <w:szCs w:val="28"/>
          <w:lang w:val="uk-UA"/>
        </w:rPr>
        <w:t xml:space="preserve"> 23 (51,1 %)</w:t>
      </w:r>
      <w:r>
        <w:rPr>
          <w:sz w:val="28"/>
          <w:szCs w:val="28"/>
          <w:lang w:val="uk-UA"/>
        </w:rPr>
        <w:t xml:space="preserve">  жінки. </w:t>
      </w:r>
    </w:p>
    <w:p w:rsidR="0047048A" w:rsidRDefault="0047048A" w:rsidP="0047048A">
      <w:pPr>
        <w:spacing w:line="360" w:lineRule="auto"/>
        <w:ind w:firstLine="709"/>
        <w:jc w:val="both"/>
        <w:rPr>
          <w:sz w:val="28"/>
          <w:szCs w:val="28"/>
          <w:lang w:val="uk-UA"/>
        </w:rPr>
      </w:pPr>
      <w:r>
        <w:rPr>
          <w:sz w:val="28"/>
          <w:szCs w:val="28"/>
          <w:lang w:val="uk-UA"/>
        </w:rPr>
        <w:t xml:space="preserve">У всіх хворих було виключено вживання лікарських препаратів здатних впливати на рівень ГЦ (метотрексат, сульфасалазін, ізоніазід, гідралазин, оральні контрацептиви, імунодепресанти, </w:t>
      </w:r>
      <w:r>
        <w:rPr>
          <w:sz w:val="28"/>
          <w:szCs w:val="28"/>
          <w:lang w:val="en-US"/>
        </w:rPr>
        <w:t>L</w:t>
      </w:r>
      <w:r w:rsidR="00CF6631">
        <w:rPr>
          <w:sz w:val="28"/>
          <w:szCs w:val="28"/>
          <w:lang w:val="uk-UA"/>
        </w:rPr>
        <w:t>–</w:t>
      </w:r>
      <w:r>
        <w:rPr>
          <w:sz w:val="28"/>
          <w:szCs w:val="28"/>
          <w:lang w:val="uk-UA"/>
        </w:rPr>
        <w:t xml:space="preserve">ДОФА). </w:t>
      </w:r>
    </w:p>
    <w:p w:rsidR="0047048A" w:rsidRDefault="0047048A" w:rsidP="0047048A">
      <w:pPr>
        <w:spacing w:line="360" w:lineRule="auto"/>
        <w:ind w:firstLine="709"/>
        <w:jc w:val="both"/>
        <w:rPr>
          <w:sz w:val="28"/>
          <w:szCs w:val="28"/>
          <w:lang w:val="uk-UA"/>
        </w:rPr>
      </w:pPr>
      <w:r>
        <w:rPr>
          <w:sz w:val="28"/>
          <w:szCs w:val="28"/>
          <w:lang w:val="uk-UA"/>
        </w:rPr>
        <w:t>Виявлено, що у осіб контрольної групи рівень ГЦ в середньому складав 11,2 (10,72; 12,18) мкмоль/л. Згідно з даними літератури, в Україні даний рівень ГЦ слід віднести до субнормальних показників [1].</w:t>
      </w:r>
    </w:p>
    <w:p w:rsidR="0047048A" w:rsidRDefault="0047048A" w:rsidP="0047048A">
      <w:pPr>
        <w:spacing w:line="360" w:lineRule="auto"/>
        <w:ind w:firstLine="709"/>
        <w:jc w:val="both"/>
        <w:rPr>
          <w:sz w:val="28"/>
          <w:szCs w:val="28"/>
          <w:lang w:val="uk-UA"/>
        </w:rPr>
      </w:pPr>
      <w:r>
        <w:rPr>
          <w:sz w:val="28"/>
          <w:szCs w:val="28"/>
          <w:lang w:val="uk-UA"/>
        </w:rPr>
        <w:t xml:space="preserve"> При аналізі вмісту ГЦ у хворих двох груп було встановлено вірогідне підвищення (р &lt; 0,001) рівнів ГЦ у зрівнянні з контрольною групою (рис. 3.3.1). Окрім того, у хворих 1 групи рівень ГЦ був достеменно вищім (р &lt; 0,001), ніж у хворих 2 групи.</w:t>
      </w:r>
    </w:p>
    <w:p w:rsidR="0047048A" w:rsidRDefault="00ED7296" w:rsidP="0047048A">
      <w:pPr>
        <w:spacing w:line="360" w:lineRule="auto"/>
        <w:ind w:firstLine="709"/>
        <w:jc w:val="both"/>
        <w:rPr>
          <w:sz w:val="28"/>
          <w:szCs w:val="28"/>
          <w:lang w:val="uk-UA"/>
        </w:rPr>
      </w:pPr>
      <w:r>
        <w:rPr>
          <w:noProof/>
        </w:rPr>
        <w:pict>
          <v:shape id="Рисунок 8" o:spid="_x0000_i1029" type="#_x0000_t75" style="width:314pt;height:205.5pt;visibility:visible">
            <v:imagedata r:id="rId13" o:title=""/>
          </v:shape>
        </w:pict>
      </w:r>
    </w:p>
    <w:p w:rsidR="0047048A" w:rsidRDefault="0047048A" w:rsidP="0047048A">
      <w:pPr>
        <w:spacing w:line="360" w:lineRule="auto"/>
        <w:ind w:firstLine="709"/>
        <w:jc w:val="both"/>
        <w:rPr>
          <w:sz w:val="28"/>
          <w:szCs w:val="28"/>
          <w:lang w:val="uk-UA"/>
        </w:rPr>
      </w:pPr>
      <w:r>
        <w:rPr>
          <w:sz w:val="28"/>
          <w:szCs w:val="28"/>
          <w:lang w:val="uk-UA"/>
        </w:rPr>
        <w:t>Рис. 3.4.1. Рівень ГЦ сироватки крові хворих двох груп у зрівнянні з контрольною групою (мкмоль/л)</w:t>
      </w:r>
    </w:p>
    <w:p w:rsidR="0047048A" w:rsidRDefault="0047048A" w:rsidP="0047048A">
      <w:pPr>
        <w:tabs>
          <w:tab w:val="left" w:pos="1440"/>
        </w:tabs>
        <w:spacing w:line="360" w:lineRule="auto"/>
        <w:ind w:firstLine="709"/>
        <w:jc w:val="both"/>
        <w:rPr>
          <w:sz w:val="28"/>
          <w:szCs w:val="28"/>
          <w:lang w:val="uk-UA"/>
        </w:rPr>
      </w:pPr>
      <w:r>
        <w:rPr>
          <w:sz w:val="28"/>
          <w:szCs w:val="28"/>
          <w:lang w:val="uk-UA"/>
        </w:rPr>
        <w:lastRenderedPageBreak/>
        <w:t xml:space="preserve">Отримані нами данні свідчать, що середній рівень ГЦ сироватки крові у хворих 2 групи в 2,7 рази перевищував показники практично здорових осіб і складав 31,25 (29,67; 35,12) мкмоль/л (р &lt; 0,001). Тоді як в 1 групі пацієнтів цей показник був на рівні 50,65 (43,25; 54,18) мкмоль/л, що в 4,5 рази віще показників контрольної групи (р &lt; 0,001). Для більш детального встановлення діапазонів ГГЦ у хворих обох груп нами був застосований метод процентильного аналізу (табл. 3.4.1). Процентильний розподіл засвідчив, що серед хворих із супутнім ЦД 2 типу має місце зміщення рівнів ГЦ в бік більш високих значень. </w:t>
      </w:r>
    </w:p>
    <w:p w:rsidR="0047048A" w:rsidRDefault="0047048A" w:rsidP="0047048A">
      <w:pPr>
        <w:spacing w:line="360" w:lineRule="auto"/>
        <w:ind w:firstLine="709"/>
        <w:jc w:val="right"/>
        <w:rPr>
          <w:sz w:val="28"/>
          <w:szCs w:val="28"/>
          <w:lang w:val="uk-UA"/>
        </w:rPr>
      </w:pPr>
      <w:r>
        <w:rPr>
          <w:sz w:val="28"/>
          <w:szCs w:val="28"/>
          <w:lang w:val="uk-UA"/>
        </w:rPr>
        <w:t>Таблиця 3.4.1</w:t>
      </w:r>
    </w:p>
    <w:p w:rsidR="0047048A" w:rsidRDefault="0047048A" w:rsidP="0047048A">
      <w:pPr>
        <w:spacing w:line="360" w:lineRule="auto"/>
        <w:ind w:firstLine="709"/>
        <w:jc w:val="center"/>
        <w:rPr>
          <w:sz w:val="28"/>
          <w:szCs w:val="28"/>
          <w:lang w:val="uk-UA"/>
        </w:rPr>
      </w:pPr>
      <w:r>
        <w:rPr>
          <w:sz w:val="28"/>
          <w:szCs w:val="28"/>
          <w:lang w:val="uk-UA"/>
        </w:rPr>
        <w:t>Метрологічні параметри рівня ГЦ в сироватці крові хворих 1 та 2 груп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89"/>
        <w:gridCol w:w="1488"/>
        <w:gridCol w:w="1488"/>
        <w:gridCol w:w="1488"/>
        <w:gridCol w:w="1488"/>
        <w:gridCol w:w="1490"/>
        <w:gridCol w:w="1490"/>
      </w:tblGrid>
      <w:tr w:rsidR="0047048A" w:rsidTr="00CF6631">
        <w:tc>
          <w:tcPr>
            <w:tcW w:w="714" w:type="pct"/>
            <w:vMerge w:val="restart"/>
            <w:vAlign w:val="center"/>
          </w:tcPr>
          <w:p w:rsidR="0047048A" w:rsidRDefault="0047048A" w:rsidP="00113E76">
            <w:pPr>
              <w:spacing w:line="360" w:lineRule="auto"/>
              <w:jc w:val="center"/>
              <w:rPr>
                <w:sz w:val="28"/>
                <w:szCs w:val="28"/>
                <w:lang w:val="uk-UA"/>
              </w:rPr>
            </w:pPr>
            <w:r>
              <w:rPr>
                <w:sz w:val="28"/>
                <w:szCs w:val="28"/>
                <w:lang w:val="uk-UA"/>
              </w:rPr>
              <w:t>Медіана</w:t>
            </w:r>
          </w:p>
        </w:tc>
        <w:tc>
          <w:tcPr>
            <w:tcW w:w="714" w:type="pct"/>
            <w:vMerge w:val="restart"/>
            <w:vAlign w:val="center"/>
          </w:tcPr>
          <w:p w:rsidR="0047048A" w:rsidRDefault="0047048A" w:rsidP="00113E76">
            <w:pPr>
              <w:spacing w:line="360" w:lineRule="auto"/>
              <w:jc w:val="center"/>
              <w:rPr>
                <w:sz w:val="28"/>
                <w:szCs w:val="28"/>
                <w:lang w:val="uk-UA"/>
              </w:rPr>
            </w:pPr>
            <w:r>
              <w:rPr>
                <w:lang w:val="en-US"/>
              </w:rPr>
              <w:t>d</w:t>
            </w:r>
            <w:r w:rsidR="00CF6631">
              <w:rPr>
                <w:lang w:val="en-US"/>
              </w:rPr>
              <w:t>–</w:t>
            </w:r>
          </w:p>
        </w:tc>
        <w:tc>
          <w:tcPr>
            <w:tcW w:w="714" w:type="pct"/>
            <w:vMerge w:val="restart"/>
            <w:vAlign w:val="center"/>
          </w:tcPr>
          <w:p w:rsidR="0047048A" w:rsidRDefault="0047048A" w:rsidP="00113E76">
            <w:pPr>
              <w:spacing w:line="360" w:lineRule="auto"/>
              <w:jc w:val="center"/>
              <w:rPr>
                <w:sz w:val="28"/>
                <w:szCs w:val="28"/>
                <w:lang w:val="uk-UA"/>
              </w:rPr>
            </w:pPr>
            <w:r>
              <w:rPr>
                <w:lang w:val="en-US"/>
              </w:rPr>
              <w:t>d+</w:t>
            </w:r>
          </w:p>
        </w:tc>
        <w:tc>
          <w:tcPr>
            <w:tcW w:w="2858" w:type="pct"/>
            <w:gridSpan w:val="4"/>
            <w:vAlign w:val="center"/>
          </w:tcPr>
          <w:p w:rsidR="0047048A" w:rsidRDefault="0047048A" w:rsidP="00113E76">
            <w:pPr>
              <w:spacing w:line="360" w:lineRule="auto"/>
              <w:jc w:val="center"/>
              <w:rPr>
                <w:sz w:val="28"/>
                <w:szCs w:val="28"/>
                <w:lang w:val="uk-UA"/>
              </w:rPr>
            </w:pPr>
            <w:r>
              <w:rPr>
                <w:sz w:val="28"/>
                <w:szCs w:val="28"/>
                <w:lang w:val="uk-UA"/>
              </w:rPr>
              <w:t>Процентилі</w:t>
            </w:r>
          </w:p>
        </w:tc>
      </w:tr>
      <w:tr w:rsidR="0047048A" w:rsidTr="00113E76">
        <w:tc>
          <w:tcPr>
            <w:tcW w:w="0" w:type="auto"/>
            <w:vMerge/>
            <w:vAlign w:val="center"/>
          </w:tcPr>
          <w:p w:rsidR="0047048A" w:rsidRDefault="0047048A" w:rsidP="00113E76">
            <w:pPr>
              <w:rPr>
                <w:sz w:val="28"/>
                <w:szCs w:val="28"/>
                <w:lang w:val="uk-UA"/>
              </w:rPr>
            </w:pPr>
          </w:p>
        </w:tc>
        <w:tc>
          <w:tcPr>
            <w:tcW w:w="0" w:type="auto"/>
            <w:vMerge/>
            <w:vAlign w:val="center"/>
          </w:tcPr>
          <w:p w:rsidR="0047048A" w:rsidRDefault="0047048A" w:rsidP="00113E76">
            <w:pPr>
              <w:rPr>
                <w:sz w:val="28"/>
                <w:szCs w:val="28"/>
                <w:lang w:val="uk-UA"/>
              </w:rPr>
            </w:pPr>
          </w:p>
        </w:tc>
        <w:tc>
          <w:tcPr>
            <w:tcW w:w="0" w:type="auto"/>
            <w:vMerge/>
            <w:vAlign w:val="center"/>
          </w:tcPr>
          <w:p w:rsidR="0047048A" w:rsidRDefault="0047048A" w:rsidP="00113E76">
            <w:pPr>
              <w:rPr>
                <w:sz w:val="28"/>
                <w:szCs w:val="28"/>
                <w:lang w:val="uk-UA"/>
              </w:rPr>
            </w:pPr>
          </w:p>
        </w:tc>
        <w:tc>
          <w:tcPr>
            <w:tcW w:w="714" w:type="pct"/>
            <w:vAlign w:val="center"/>
          </w:tcPr>
          <w:p w:rsidR="0047048A" w:rsidRDefault="0047048A" w:rsidP="00113E76">
            <w:pPr>
              <w:spacing w:line="360" w:lineRule="auto"/>
              <w:jc w:val="center"/>
              <w:rPr>
                <w:sz w:val="28"/>
                <w:szCs w:val="28"/>
                <w:lang w:val="uk-UA"/>
              </w:rPr>
            </w:pPr>
            <w:r>
              <w:rPr>
                <w:sz w:val="28"/>
                <w:szCs w:val="28"/>
                <w:lang w:val="uk-UA"/>
              </w:rPr>
              <w:t>10%</w:t>
            </w:r>
          </w:p>
        </w:tc>
        <w:tc>
          <w:tcPr>
            <w:tcW w:w="714" w:type="pct"/>
            <w:vAlign w:val="center"/>
          </w:tcPr>
          <w:p w:rsidR="0047048A" w:rsidRDefault="0047048A" w:rsidP="00113E76">
            <w:pPr>
              <w:spacing w:line="360" w:lineRule="auto"/>
              <w:jc w:val="center"/>
              <w:rPr>
                <w:sz w:val="28"/>
                <w:szCs w:val="28"/>
                <w:lang w:val="uk-UA"/>
              </w:rPr>
            </w:pPr>
            <w:r>
              <w:rPr>
                <w:sz w:val="28"/>
                <w:szCs w:val="28"/>
                <w:lang w:val="uk-UA"/>
              </w:rPr>
              <w:t>25%</w:t>
            </w:r>
          </w:p>
        </w:tc>
        <w:tc>
          <w:tcPr>
            <w:tcW w:w="715" w:type="pct"/>
            <w:vAlign w:val="center"/>
          </w:tcPr>
          <w:p w:rsidR="0047048A" w:rsidRDefault="0047048A" w:rsidP="00113E76">
            <w:pPr>
              <w:spacing w:line="360" w:lineRule="auto"/>
              <w:jc w:val="center"/>
              <w:rPr>
                <w:sz w:val="28"/>
                <w:szCs w:val="28"/>
                <w:lang w:val="uk-UA"/>
              </w:rPr>
            </w:pPr>
            <w:r>
              <w:rPr>
                <w:sz w:val="28"/>
                <w:szCs w:val="28"/>
                <w:lang w:val="uk-UA"/>
              </w:rPr>
              <w:t>75%</w:t>
            </w:r>
          </w:p>
        </w:tc>
        <w:tc>
          <w:tcPr>
            <w:tcW w:w="715" w:type="pct"/>
            <w:vAlign w:val="center"/>
          </w:tcPr>
          <w:p w:rsidR="0047048A" w:rsidRDefault="0047048A" w:rsidP="00113E76">
            <w:pPr>
              <w:spacing w:line="360" w:lineRule="auto"/>
              <w:jc w:val="center"/>
              <w:rPr>
                <w:sz w:val="28"/>
                <w:szCs w:val="28"/>
                <w:lang w:val="uk-UA"/>
              </w:rPr>
            </w:pPr>
            <w:r>
              <w:rPr>
                <w:sz w:val="28"/>
                <w:szCs w:val="28"/>
                <w:lang w:val="uk-UA"/>
              </w:rPr>
              <w:t>90%</w:t>
            </w:r>
          </w:p>
        </w:tc>
      </w:tr>
      <w:tr w:rsidR="0047048A" w:rsidTr="00113E76">
        <w:tc>
          <w:tcPr>
            <w:tcW w:w="5000" w:type="pct"/>
            <w:gridSpan w:val="7"/>
            <w:vAlign w:val="center"/>
          </w:tcPr>
          <w:p w:rsidR="0047048A" w:rsidRPr="00CF6631" w:rsidRDefault="0047048A" w:rsidP="00CF6631">
            <w:pPr>
              <w:spacing w:line="360" w:lineRule="auto"/>
              <w:jc w:val="center"/>
              <w:rPr>
                <w:sz w:val="28"/>
                <w:szCs w:val="28"/>
                <w:lang w:val="uk-UA"/>
              </w:rPr>
            </w:pPr>
            <w:r>
              <w:rPr>
                <w:sz w:val="28"/>
                <w:szCs w:val="28"/>
                <w:lang w:val="uk-UA"/>
              </w:rPr>
              <w:t xml:space="preserve">1 група, </w:t>
            </w:r>
            <w:r>
              <w:rPr>
                <w:sz w:val="28"/>
                <w:szCs w:val="28"/>
              </w:rPr>
              <w:t>n</w:t>
            </w:r>
            <w:r w:rsidR="00CF6631">
              <w:rPr>
                <w:sz w:val="28"/>
                <w:szCs w:val="28"/>
                <w:lang w:val="uk-UA"/>
              </w:rPr>
              <w:t xml:space="preserve"> </w:t>
            </w:r>
            <w:r>
              <w:rPr>
                <w:sz w:val="28"/>
                <w:szCs w:val="28"/>
              </w:rPr>
              <w:t>=</w:t>
            </w:r>
            <w:r w:rsidR="00CF6631">
              <w:rPr>
                <w:sz w:val="28"/>
                <w:szCs w:val="28"/>
                <w:lang w:val="uk-UA"/>
              </w:rPr>
              <w:t xml:space="preserve"> </w:t>
            </w:r>
            <w:r>
              <w:rPr>
                <w:sz w:val="28"/>
                <w:szCs w:val="28"/>
              </w:rPr>
              <w:t>4</w:t>
            </w:r>
            <w:r w:rsidR="00CF6631">
              <w:rPr>
                <w:sz w:val="28"/>
                <w:szCs w:val="28"/>
                <w:lang w:val="uk-UA"/>
              </w:rPr>
              <w:t>0</w:t>
            </w:r>
          </w:p>
        </w:tc>
      </w:tr>
      <w:tr w:rsidR="00CF6631" w:rsidTr="00113E76">
        <w:tc>
          <w:tcPr>
            <w:tcW w:w="714" w:type="pct"/>
            <w:vAlign w:val="center"/>
          </w:tcPr>
          <w:p w:rsidR="00CF6631" w:rsidRDefault="00CF6631" w:rsidP="00113E76">
            <w:pPr>
              <w:spacing w:line="360" w:lineRule="auto"/>
              <w:jc w:val="center"/>
              <w:rPr>
                <w:sz w:val="28"/>
                <w:szCs w:val="28"/>
                <w:lang w:val="uk-UA"/>
              </w:rPr>
            </w:pPr>
            <w:r>
              <w:rPr>
                <w:sz w:val="28"/>
                <w:szCs w:val="28"/>
                <w:lang w:val="uk-UA"/>
              </w:rPr>
              <w:t>50,65*</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7,4</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3,53</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30,79</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43,25</w:t>
            </w:r>
          </w:p>
        </w:tc>
        <w:tc>
          <w:tcPr>
            <w:tcW w:w="715" w:type="pct"/>
            <w:vAlign w:val="center"/>
          </w:tcPr>
          <w:p w:rsidR="00CF6631" w:rsidRDefault="00CF6631" w:rsidP="00113E76">
            <w:pPr>
              <w:spacing w:line="360" w:lineRule="auto"/>
              <w:jc w:val="center"/>
              <w:rPr>
                <w:sz w:val="28"/>
                <w:szCs w:val="28"/>
                <w:lang w:val="uk-UA"/>
              </w:rPr>
            </w:pPr>
            <w:r>
              <w:rPr>
                <w:sz w:val="28"/>
                <w:szCs w:val="28"/>
                <w:lang w:val="uk-UA"/>
              </w:rPr>
              <w:t>54,18</w:t>
            </w:r>
          </w:p>
        </w:tc>
        <w:tc>
          <w:tcPr>
            <w:tcW w:w="715" w:type="pct"/>
            <w:vAlign w:val="center"/>
          </w:tcPr>
          <w:p w:rsidR="00CF6631" w:rsidRDefault="00CF6631" w:rsidP="00113E76">
            <w:pPr>
              <w:spacing w:line="360" w:lineRule="auto"/>
              <w:jc w:val="center"/>
              <w:rPr>
                <w:sz w:val="28"/>
                <w:szCs w:val="28"/>
                <w:lang w:val="uk-UA"/>
              </w:rPr>
            </w:pPr>
            <w:r>
              <w:rPr>
                <w:sz w:val="28"/>
                <w:szCs w:val="28"/>
                <w:lang w:val="uk-UA"/>
              </w:rPr>
              <w:t>57,41</w:t>
            </w:r>
          </w:p>
        </w:tc>
      </w:tr>
      <w:tr w:rsidR="00CF6631" w:rsidTr="00113E76">
        <w:tc>
          <w:tcPr>
            <w:tcW w:w="5000" w:type="pct"/>
            <w:gridSpan w:val="7"/>
            <w:vAlign w:val="center"/>
          </w:tcPr>
          <w:p w:rsidR="00CF6631" w:rsidRPr="00CF6631" w:rsidRDefault="00CF6631" w:rsidP="00CF6631">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w:t>
            </w:r>
            <w:r>
              <w:rPr>
                <w:sz w:val="28"/>
                <w:szCs w:val="28"/>
                <w:lang w:val="uk-UA"/>
              </w:rPr>
              <w:t>5</w:t>
            </w:r>
          </w:p>
        </w:tc>
      </w:tr>
      <w:tr w:rsidR="00CF6631" w:rsidTr="00113E76">
        <w:tc>
          <w:tcPr>
            <w:tcW w:w="714" w:type="pct"/>
            <w:vAlign w:val="center"/>
          </w:tcPr>
          <w:p w:rsidR="00CF6631" w:rsidRDefault="00CF6631" w:rsidP="00113E76">
            <w:pPr>
              <w:spacing w:line="360" w:lineRule="auto"/>
              <w:jc w:val="center"/>
              <w:rPr>
                <w:sz w:val="28"/>
                <w:szCs w:val="28"/>
                <w:lang w:val="uk-UA"/>
              </w:rPr>
            </w:pPr>
            <w:r>
              <w:rPr>
                <w:sz w:val="28"/>
                <w:szCs w:val="28"/>
                <w:lang w:val="uk-UA"/>
              </w:rPr>
              <w:t>31,25</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1,58</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3,88</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29,18</w:t>
            </w:r>
          </w:p>
        </w:tc>
        <w:tc>
          <w:tcPr>
            <w:tcW w:w="714" w:type="pct"/>
            <w:vAlign w:val="center"/>
          </w:tcPr>
          <w:p w:rsidR="00CF6631" w:rsidRDefault="00CF6631" w:rsidP="00113E76">
            <w:pPr>
              <w:spacing w:line="360" w:lineRule="auto"/>
              <w:jc w:val="center"/>
              <w:rPr>
                <w:sz w:val="28"/>
                <w:szCs w:val="28"/>
                <w:lang w:val="uk-UA"/>
              </w:rPr>
            </w:pPr>
            <w:r>
              <w:rPr>
                <w:sz w:val="28"/>
                <w:szCs w:val="28"/>
                <w:lang w:val="uk-UA"/>
              </w:rPr>
              <w:t>29,67</w:t>
            </w:r>
          </w:p>
        </w:tc>
        <w:tc>
          <w:tcPr>
            <w:tcW w:w="715" w:type="pct"/>
            <w:vAlign w:val="center"/>
          </w:tcPr>
          <w:p w:rsidR="00CF6631" w:rsidRDefault="00CF6631" w:rsidP="00113E76">
            <w:pPr>
              <w:spacing w:line="360" w:lineRule="auto"/>
              <w:jc w:val="center"/>
              <w:rPr>
                <w:sz w:val="28"/>
                <w:szCs w:val="28"/>
                <w:lang w:val="uk-UA"/>
              </w:rPr>
            </w:pPr>
            <w:r>
              <w:rPr>
                <w:sz w:val="28"/>
                <w:szCs w:val="28"/>
                <w:lang w:val="uk-UA"/>
              </w:rPr>
              <w:t>35,12</w:t>
            </w:r>
          </w:p>
        </w:tc>
        <w:tc>
          <w:tcPr>
            <w:tcW w:w="715" w:type="pct"/>
            <w:vAlign w:val="center"/>
          </w:tcPr>
          <w:p w:rsidR="00CF6631" w:rsidRDefault="00CF6631" w:rsidP="00113E76">
            <w:pPr>
              <w:spacing w:line="360" w:lineRule="auto"/>
              <w:jc w:val="center"/>
              <w:rPr>
                <w:sz w:val="28"/>
                <w:szCs w:val="28"/>
                <w:lang w:val="uk-UA"/>
              </w:rPr>
            </w:pPr>
            <w:r>
              <w:rPr>
                <w:sz w:val="28"/>
                <w:szCs w:val="28"/>
                <w:lang w:val="uk-UA"/>
              </w:rPr>
              <w:t>38,32</w:t>
            </w:r>
          </w:p>
        </w:tc>
      </w:tr>
    </w:tbl>
    <w:p w:rsidR="00CF6631" w:rsidRDefault="0047048A" w:rsidP="0047048A">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sidR="00CF6631">
        <w:rPr>
          <w:sz w:val="28"/>
          <w:szCs w:val="28"/>
          <w:lang w:val="uk-UA"/>
        </w:rPr>
        <w:t xml:space="preserve"> </w:t>
      </w:r>
      <w:r>
        <w:rPr>
          <w:sz w:val="28"/>
          <w:szCs w:val="28"/>
          <w:lang w:val="uk-UA"/>
        </w:rPr>
        <w:t>&lt;</w:t>
      </w:r>
      <w:r w:rsidR="00CF6631">
        <w:rPr>
          <w:sz w:val="28"/>
          <w:szCs w:val="28"/>
          <w:lang w:val="uk-UA"/>
        </w:rPr>
        <w:t xml:space="preserve"> </w:t>
      </w:r>
      <w:r>
        <w:rPr>
          <w:sz w:val="28"/>
          <w:szCs w:val="28"/>
          <w:lang w:val="uk-UA"/>
        </w:rPr>
        <w:t xml:space="preserve">0,001 щодо </w:t>
      </w:r>
      <w:r w:rsidR="00CF6631">
        <w:rPr>
          <w:sz w:val="28"/>
          <w:szCs w:val="28"/>
          <w:lang w:val="uk-UA"/>
        </w:rPr>
        <w:t xml:space="preserve">2 </w:t>
      </w:r>
      <w:r>
        <w:rPr>
          <w:sz w:val="28"/>
          <w:szCs w:val="28"/>
          <w:lang w:val="uk-UA"/>
        </w:rPr>
        <w:t xml:space="preserve">групи </w:t>
      </w:r>
    </w:p>
    <w:p w:rsidR="0047048A" w:rsidRDefault="0047048A" w:rsidP="0047048A">
      <w:pPr>
        <w:tabs>
          <w:tab w:val="left" w:pos="1440"/>
        </w:tabs>
        <w:spacing w:line="360" w:lineRule="auto"/>
        <w:ind w:firstLine="709"/>
        <w:jc w:val="both"/>
        <w:rPr>
          <w:sz w:val="28"/>
          <w:szCs w:val="28"/>
          <w:lang w:val="uk-UA"/>
        </w:rPr>
      </w:pPr>
      <w:r>
        <w:rPr>
          <w:sz w:val="28"/>
          <w:szCs w:val="28"/>
          <w:lang w:val="uk-UA"/>
        </w:rPr>
        <w:t xml:space="preserve">Додаткові докази значної поширеності ГГЦ у хворих НАСГ ми отримали після проведення ранжирування рівнів ГЦ згідно рекомендацій експертів  [9, 56, 119] (табл. 3.4.2). Виявилось, що </w:t>
      </w:r>
      <w:r>
        <w:rPr>
          <w:sz w:val="28"/>
          <w:szCs w:val="28"/>
          <w:lang w:val="en-US"/>
        </w:rPr>
        <w:t>I</w:t>
      </w:r>
      <w:r>
        <w:rPr>
          <w:sz w:val="28"/>
          <w:szCs w:val="28"/>
          <w:lang w:val="uk-UA"/>
        </w:rPr>
        <w:t xml:space="preserve"> ступінь ГГЦ у хворих </w:t>
      </w:r>
      <w:r w:rsidR="00CF6631">
        <w:rPr>
          <w:sz w:val="28"/>
          <w:szCs w:val="28"/>
          <w:lang w:val="uk-UA"/>
        </w:rPr>
        <w:t xml:space="preserve">2 </w:t>
      </w:r>
      <w:r>
        <w:rPr>
          <w:sz w:val="28"/>
          <w:szCs w:val="28"/>
          <w:lang w:val="uk-UA"/>
        </w:rPr>
        <w:t>групи зустрічалась у 42,2</w:t>
      </w:r>
      <w:r w:rsidR="00CF6631">
        <w:rPr>
          <w:sz w:val="28"/>
          <w:szCs w:val="28"/>
          <w:lang w:val="uk-UA"/>
        </w:rPr>
        <w:t xml:space="preserve"> </w:t>
      </w:r>
      <w:r>
        <w:rPr>
          <w:sz w:val="28"/>
          <w:szCs w:val="28"/>
          <w:lang w:val="uk-UA"/>
        </w:rPr>
        <w:t xml:space="preserve">% пацієнтів, тоді як у </w:t>
      </w:r>
      <w:r w:rsidR="00CF6631">
        <w:rPr>
          <w:sz w:val="28"/>
          <w:szCs w:val="28"/>
          <w:lang w:val="uk-UA"/>
        </w:rPr>
        <w:t>1</w:t>
      </w:r>
      <w:r>
        <w:rPr>
          <w:sz w:val="28"/>
          <w:szCs w:val="28"/>
          <w:lang w:val="uk-UA"/>
        </w:rPr>
        <w:t xml:space="preserve"> гр</w:t>
      </w:r>
      <w:r w:rsidR="00CF6631">
        <w:rPr>
          <w:sz w:val="28"/>
          <w:szCs w:val="28"/>
          <w:lang w:val="uk-UA"/>
        </w:rPr>
        <w:t>упі пацієнтів цей показник досте</w:t>
      </w:r>
      <w:r>
        <w:rPr>
          <w:sz w:val="28"/>
          <w:szCs w:val="28"/>
          <w:lang w:val="uk-UA"/>
        </w:rPr>
        <w:t>менно (</w:t>
      </w:r>
      <w:r>
        <w:rPr>
          <w:sz w:val="28"/>
          <w:szCs w:val="28"/>
        </w:rPr>
        <w:t>p</w:t>
      </w:r>
      <w:r w:rsidR="00CF6631">
        <w:rPr>
          <w:sz w:val="28"/>
          <w:szCs w:val="28"/>
          <w:lang w:val="uk-UA"/>
        </w:rPr>
        <w:t xml:space="preserve"> </w:t>
      </w:r>
      <w:r>
        <w:rPr>
          <w:sz w:val="28"/>
          <w:szCs w:val="28"/>
          <w:lang w:val="uk-UA"/>
        </w:rPr>
        <w:t>&lt;</w:t>
      </w:r>
      <w:r w:rsidR="00CF6631">
        <w:rPr>
          <w:sz w:val="28"/>
          <w:szCs w:val="28"/>
          <w:lang w:val="uk-UA"/>
        </w:rPr>
        <w:t xml:space="preserve"> </w:t>
      </w:r>
      <w:r>
        <w:rPr>
          <w:sz w:val="28"/>
          <w:szCs w:val="28"/>
          <w:lang w:val="uk-UA"/>
        </w:rPr>
        <w:t xml:space="preserve">0,001) нижчий  </w:t>
      </w:r>
      <w:r w:rsidR="00CF6631">
        <w:rPr>
          <w:sz w:val="28"/>
          <w:szCs w:val="28"/>
          <w:lang w:val="uk-UA"/>
        </w:rPr>
        <w:t>–</w:t>
      </w:r>
      <w:r>
        <w:rPr>
          <w:sz w:val="28"/>
          <w:szCs w:val="28"/>
          <w:lang w:val="uk-UA"/>
        </w:rPr>
        <w:t xml:space="preserve"> 17,5</w:t>
      </w:r>
      <w:r w:rsidR="00CF6631">
        <w:rPr>
          <w:sz w:val="28"/>
          <w:szCs w:val="28"/>
          <w:lang w:val="uk-UA"/>
        </w:rPr>
        <w:t xml:space="preserve"> </w:t>
      </w:r>
      <w:r>
        <w:rPr>
          <w:sz w:val="28"/>
          <w:szCs w:val="28"/>
          <w:lang w:val="uk-UA"/>
        </w:rPr>
        <w:t>% хворих. II ступень ГГЦ достовірно (</w:t>
      </w:r>
      <w:r>
        <w:rPr>
          <w:sz w:val="28"/>
          <w:szCs w:val="28"/>
        </w:rPr>
        <w:t>p</w:t>
      </w:r>
      <w:r w:rsidR="00CF6631">
        <w:rPr>
          <w:sz w:val="28"/>
          <w:szCs w:val="28"/>
          <w:lang w:val="uk-UA"/>
        </w:rPr>
        <w:t xml:space="preserve"> </w:t>
      </w:r>
      <w:r>
        <w:rPr>
          <w:sz w:val="28"/>
          <w:szCs w:val="28"/>
          <w:lang w:val="uk-UA"/>
        </w:rPr>
        <w:t>&lt;</w:t>
      </w:r>
      <w:r w:rsidR="00CF6631">
        <w:rPr>
          <w:sz w:val="28"/>
          <w:szCs w:val="28"/>
          <w:lang w:val="uk-UA"/>
        </w:rPr>
        <w:t xml:space="preserve"> </w:t>
      </w:r>
      <w:r>
        <w:rPr>
          <w:sz w:val="28"/>
          <w:szCs w:val="28"/>
          <w:lang w:val="uk-UA"/>
        </w:rPr>
        <w:t xml:space="preserve">0,001) частіше зустрічалась в </w:t>
      </w:r>
      <w:r w:rsidR="00CF6631">
        <w:rPr>
          <w:sz w:val="28"/>
          <w:szCs w:val="28"/>
          <w:lang w:val="uk-UA"/>
        </w:rPr>
        <w:t>1</w:t>
      </w:r>
      <w:r>
        <w:rPr>
          <w:sz w:val="28"/>
          <w:szCs w:val="28"/>
          <w:lang w:val="uk-UA"/>
        </w:rPr>
        <w:t xml:space="preserve"> групі  </w:t>
      </w:r>
      <w:r w:rsidR="00CF6631">
        <w:rPr>
          <w:sz w:val="28"/>
          <w:szCs w:val="28"/>
          <w:lang w:val="uk-UA"/>
        </w:rPr>
        <w:t>–</w:t>
      </w:r>
      <w:r>
        <w:rPr>
          <w:sz w:val="28"/>
          <w:szCs w:val="28"/>
          <w:lang w:val="uk-UA"/>
        </w:rPr>
        <w:t xml:space="preserve"> 82,5</w:t>
      </w:r>
      <w:r w:rsidR="00CF6631">
        <w:rPr>
          <w:sz w:val="28"/>
          <w:szCs w:val="28"/>
          <w:lang w:val="uk-UA"/>
        </w:rPr>
        <w:t xml:space="preserve"> </w:t>
      </w:r>
      <w:r>
        <w:rPr>
          <w:sz w:val="28"/>
          <w:szCs w:val="28"/>
          <w:lang w:val="uk-UA"/>
        </w:rPr>
        <w:t xml:space="preserve">% пацієнта, ніж в </w:t>
      </w:r>
      <w:r w:rsidR="00CF6631">
        <w:rPr>
          <w:sz w:val="28"/>
          <w:szCs w:val="28"/>
          <w:lang w:val="uk-UA"/>
        </w:rPr>
        <w:t xml:space="preserve">2 </w:t>
      </w:r>
      <w:r>
        <w:rPr>
          <w:sz w:val="28"/>
          <w:szCs w:val="28"/>
          <w:lang w:val="uk-UA"/>
        </w:rPr>
        <w:t>– 57,8</w:t>
      </w:r>
      <w:r w:rsidR="00CF6631">
        <w:rPr>
          <w:sz w:val="28"/>
          <w:szCs w:val="28"/>
          <w:lang w:val="uk-UA"/>
        </w:rPr>
        <w:t xml:space="preserve"> </w:t>
      </w:r>
      <w:r>
        <w:rPr>
          <w:sz w:val="28"/>
          <w:szCs w:val="28"/>
          <w:lang w:val="uk-UA"/>
        </w:rPr>
        <w:t>%. III ступень ГГЦ не було виявлено ні в одного хворого.</w:t>
      </w:r>
      <w:r w:rsidR="00CF6631">
        <w:rPr>
          <w:sz w:val="28"/>
          <w:szCs w:val="28"/>
          <w:lang w:val="uk-UA"/>
        </w:rPr>
        <w:t xml:space="preserve"> </w:t>
      </w:r>
    </w:p>
    <w:p w:rsidR="00CF6631" w:rsidRDefault="00CF6631" w:rsidP="0047048A">
      <w:pPr>
        <w:tabs>
          <w:tab w:val="left" w:pos="1440"/>
        </w:tabs>
        <w:spacing w:line="360" w:lineRule="auto"/>
        <w:ind w:firstLine="709"/>
        <w:jc w:val="both"/>
        <w:rPr>
          <w:sz w:val="28"/>
          <w:szCs w:val="28"/>
          <w:lang w:val="uk-UA"/>
        </w:rPr>
      </w:pPr>
    </w:p>
    <w:p w:rsidR="00CF6631" w:rsidRDefault="00CF6631" w:rsidP="0047048A">
      <w:pPr>
        <w:tabs>
          <w:tab w:val="left" w:pos="1440"/>
        </w:tabs>
        <w:spacing w:line="360" w:lineRule="auto"/>
        <w:ind w:firstLine="709"/>
        <w:jc w:val="both"/>
        <w:rPr>
          <w:sz w:val="28"/>
          <w:szCs w:val="28"/>
          <w:lang w:val="uk-UA"/>
        </w:rPr>
      </w:pPr>
    </w:p>
    <w:p w:rsidR="00CF6631" w:rsidRDefault="00CF6631" w:rsidP="0047048A">
      <w:pPr>
        <w:tabs>
          <w:tab w:val="left" w:pos="1440"/>
        </w:tabs>
        <w:spacing w:line="360" w:lineRule="auto"/>
        <w:ind w:firstLine="709"/>
        <w:jc w:val="both"/>
        <w:rPr>
          <w:sz w:val="28"/>
          <w:szCs w:val="28"/>
          <w:lang w:val="uk-UA"/>
        </w:rPr>
      </w:pPr>
    </w:p>
    <w:p w:rsidR="00CF6631" w:rsidRDefault="00CF6631" w:rsidP="0047048A">
      <w:pPr>
        <w:tabs>
          <w:tab w:val="left" w:pos="1440"/>
        </w:tabs>
        <w:spacing w:line="360" w:lineRule="auto"/>
        <w:ind w:firstLine="709"/>
        <w:jc w:val="both"/>
        <w:rPr>
          <w:sz w:val="28"/>
          <w:szCs w:val="28"/>
          <w:lang w:val="uk-UA"/>
        </w:rPr>
      </w:pPr>
    </w:p>
    <w:p w:rsidR="00CF6631" w:rsidRDefault="00CF6631" w:rsidP="0047048A">
      <w:pPr>
        <w:tabs>
          <w:tab w:val="left" w:pos="1440"/>
        </w:tabs>
        <w:spacing w:line="360" w:lineRule="auto"/>
        <w:ind w:firstLine="709"/>
        <w:jc w:val="both"/>
        <w:rPr>
          <w:sz w:val="28"/>
          <w:szCs w:val="28"/>
          <w:lang w:val="uk-UA"/>
        </w:rPr>
      </w:pPr>
    </w:p>
    <w:p w:rsidR="00CF6631" w:rsidRDefault="00CF6631" w:rsidP="0047048A">
      <w:pPr>
        <w:tabs>
          <w:tab w:val="left" w:pos="1440"/>
        </w:tabs>
        <w:spacing w:line="360" w:lineRule="auto"/>
        <w:ind w:firstLine="709"/>
        <w:jc w:val="both"/>
        <w:rPr>
          <w:sz w:val="28"/>
          <w:szCs w:val="28"/>
          <w:lang w:val="uk-UA"/>
        </w:rPr>
      </w:pPr>
    </w:p>
    <w:p w:rsidR="0047048A" w:rsidRDefault="0047048A" w:rsidP="0047048A">
      <w:pPr>
        <w:tabs>
          <w:tab w:val="left" w:pos="1440"/>
        </w:tabs>
        <w:spacing w:line="360" w:lineRule="auto"/>
        <w:ind w:firstLine="709"/>
        <w:jc w:val="right"/>
        <w:rPr>
          <w:sz w:val="28"/>
          <w:szCs w:val="28"/>
          <w:lang w:val="uk-UA"/>
        </w:rPr>
      </w:pPr>
      <w:r>
        <w:rPr>
          <w:sz w:val="28"/>
          <w:szCs w:val="28"/>
          <w:lang w:val="uk-UA"/>
        </w:rPr>
        <w:lastRenderedPageBreak/>
        <w:t>Таблиця 3.4.2</w:t>
      </w:r>
    </w:p>
    <w:p w:rsidR="0047048A" w:rsidRDefault="0047048A" w:rsidP="00CF6631">
      <w:pPr>
        <w:tabs>
          <w:tab w:val="left" w:pos="1440"/>
        </w:tabs>
        <w:spacing w:line="360" w:lineRule="auto"/>
        <w:ind w:firstLine="709"/>
        <w:jc w:val="center"/>
        <w:rPr>
          <w:sz w:val="28"/>
          <w:szCs w:val="28"/>
          <w:lang w:val="uk-UA"/>
        </w:rPr>
      </w:pPr>
      <w:r>
        <w:rPr>
          <w:sz w:val="28"/>
          <w:szCs w:val="28"/>
          <w:lang w:val="uk-UA"/>
        </w:rPr>
        <w:t xml:space="preserve">Ранжирування рівнів ГЦ сироватки крові у хворих </w:t>
      </w:r>
      <w:r w:rsidR="00CF6631">
        <w:rPr>
          <w:sz w:val="28"/>
          <w:szCs w:val="28"/>
          <w:lang w:val="uk-UA"/>
        </w:rPr>
        <w:t>1 та 2 груп</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5"/>
        <w:gridCol w:w="2576"/>
        <w:gridCol w:w="1386"/>
        <w:gridCol w:w="2357"/>
        <w:gridCol w:w="1407"/>
      </w:tblGrid>
      <w:tr w:rsidR="0047048A" w:rsidTr="00113E76">
        <w:tc>
          <w:tcPr>
            <w:tcW w:w="1293" w:type="pct"/>
            <w:vMerge w:val="restart"/>
            <w:vAlign w:val="center"/>
          </w:tcPr>
          <w:p w:rsidR="0047048A" w:rsidRDefault="0047048A" w:rsidP="00113E76">
            <w:pPr>
              <w:tabs>
                <w:tab w:val="left" w:pos="1440"/>
              </w:tabs>
              <w:spacing w:line="360" w:lineRule="auto"/>
              <w:jc w:val="center"/>
              <w:rPr>
                <w:sz w:val="28"/>
                <w:szCs w:val="28"/>
                <w:lang w:val="uk-UA"/>
              </w:rPr>
            </w:pPr>
            <w:r>
              <w:rPr>
                <w:sz w:val="28"/>
                <w:szCs w:val="28"/>
                <w:lang w:val="uk-UA"/>
              </w:rPr>
              <w:t>Рівень ГГЦ</w:t>
            </w:r>
          </w:p>
        </w:tc>
        <w:tc>
          <w:tcPr>
            <w:tcW w:w="1901" w:type="pct"/>
            <w:gridSpan w:val="2"/>
            <w:vAlign w:val="center"/>
          </w:tcPr>
          <w:p w:rsidR="0047048A" w:rsidRPr="00CF6631" w:rsidRDefault="0047048A" w:rsidP="00113E76">
            <w:pPr>
              <w:tabs>
                <w:tab w:val="left" w:pos="1440"/>
              </w:tabs>
              <w:spacing w:line="360" w:lineRule="auto"/>
              <w:jc w:val="center"/>
              <w:rPr>
                <w:sz w:val="28"/>
                <w:szCs w:val="28"/>
                <w:lang w:val="uk-UA"/>
              </w:rPr>
            </w:pPr>
            <w:r>
              <w:rPr>
                <w:sz w:val="28"/>
                <w:szCs w:val="28"/>
                <w:lang w:val="uk-UA"/>
              </w:rPr>
              <w:t xml:space="preserve">1 група, </w:t>
            </w:r>
            <w:r>
              <w:rPr>
                <w:sz w:val="28"/>
                <w:szCs w:val="28"/>
              </w:rPr>
              <w:t>n</w:t>
            </w:r>
            <w:r w:rsidR="00CF6631">
              <w:rPr>
                <w:sz w:val="28"/>
                <w:szCs w:val="28"/>
                <w:lang w:val="uk-UA"/>
              </w:rPr>
              <w:t xml:space="preserve"> </w:t>
            </w:r>
            <w:r>
              <w:rPr>
                <w:sz w:val="28"/>
                <w:szCs w:val="28"/>
              </w:rPr>
              <w:t>=</w:t>
            </w:r>
            <w:r w:rsidR="00CF6631">
              <w:rPr>
                <w:sz w:val="28"/>
                <w:szCs w:val="28"/>
                <w:lang w:val="uk-UA"/>
              </w:rPr>
              <w:t xml:space="preserve"> </w:t>
            </w:r>
            <w:r w:rsidR="00CF6631">
              <w:rPr>
                <w:sz w:val="28"/>
                <w:szCs w:val="28"/>
              </w:rPr>
              <w:t>4</w:t>
            </w:r>
            <w:r w:rsidR="00CF6631">
              <w:rPr>
                <w:sz w:val="28"/>
                <w:szCs w:val="28"/>
                <w:lang w:val="uk-UA"/>
              </w:rPr>
              <w:t>0</w:t>
            </w:r>
          </w:p>
        </w:tc>
        <w:tc>
          <w:tcPr>
            <w:tcW w:w="1806" w:type="pct"/>
            <w:gridSpan w:val="2"/>
            <w:vAlign w:val="center"/>
          </w:tcPr>
          <w:p w:rsidR="0047048A" w:rsidRPr="00CF6631" w:rsidRDefault="0047048A" w:rsidP="00CF6631">
            <w:pPr>
              <w:tabs>
                <w:tab w:val="left" w:pos="1440"/>
              </w:tabs>
              <w:spacing w:line="360" w:lineRule="auto"/>
              <w:jc w:val="center"/>
              <w:rPr>
                <w:sz w:val="28"/>
                <w:szCs w:val="28"/>
                <w:lang w:val="uk-UA"/>
              </w:rPr>
            </w:pPr>
            <w:r>
              <w:rPr>
                <w:sz w:val="28"/>
                <w:szCs w:val="28"/>
                <w:lang w:val="uk-UA"/>
              </w:rPr>
              <w:t xml:space="preserve">2 група, </w:t>
            </w:r>
            <w:r>
              <w:rPr>
                <w:sz w:val="28"/>
                <w:szCs w:val="28"/>
              </w:rPr>
              <w:t>n</w:t>
            </w:r>
            <w:r w:rsidR="00CF6631">
              <w:rPr>
                <w:sz w:val="28"/>
                <w:szCs w:val="28"/>
                <w:lang w:val="uk-UA"/>
              </w:rPr>
              <w:t xml:space="preserve"> </w:t>
            </w:r>
            <w:r>
              <w:rPr>
                <w:sz w:val="28"/>
                <w:szCs w:val="28"/>
              </w:rPr>
              <w:t>=</w:t>
            </w:r>
            <w:r w:rsidR="00CF6631">
              <w:rPr>
                <w:sz w:val="28"/>
                <w:szCs w:val="28"/>
                <w:lang w:val="uk-UA"/>
              </w:rPr>
              <w:t xml:space="preserve"> 45</w:t>
            </w:r>
          </w:p>
        </w:tc>
      </w:tr>
      <w:tr w:rsidR="0047048A" w:rsidTr="00113E76">
        <w:tc>
          <w:tcPr>
            <w:tcW w:w="0" w:type="auto"/>
            <w:vMerge/>
            <w:vAlign w:val="center"/>
          </w:tcPr>
          <w:p w:rsidR="0047048A" w:rsidRDefault="0047048A" w:rsidP="00113E76">
            <w:pPr>
              <w:rPr>
                <w:sz w:val="28"/>
                <w:szCs w:val="28"/>
                <w:lang w:val="uk-UA"/>
              </w:rPr>
            </w:pPr>
          </w:p>
        </w:tc>
        <w:tc>
          <w:tcPr>
            <w:tcW w:w="1236"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Абсолютна кількість</w:t>
            </w:r>
          </w:p>
        </w:tc>
        <w:tc>
          <w:tcPr>
            <w:tcW w:w="665"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w:t>
            </w:r>
          </w:p>
        </w:tc>
        <w:tc>
          <w:tcPr>
            <w:tcW w:w="1131"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Абсолютна кількість</w:t>
            </w:r>
          </w:p>
        </w:tc>
        <w:tc>
          <w:tcPr>
            <w:tcW w:w="675"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w:t>
            </w:r>
          </w:p>
        </w:tc>
      </w:tr>
      <w:tr w:rsidR="00CF6631" w:rsidTr="00113E76">
        <w:tc>
          <w:tcPr>
            <w:tcW w:w="1293"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I ступень</w:t>
            </w:r>
            <w:r>
              <w:rPr>
                <w:sz w:val="28"/>
                <w:szCs w:val="28"/>
                <w:lang w:val="en-US"/>
              </w:rPr>
              <w:t xml:space="preserve"> </w:t>
            </w:r>
          </w:p>
        </w:tc>
        <w:tc>
          <w:tcPr>
            <w:tcW w:w="1236"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7</w:t>
            </w:r>
          </w:p>
        </w:tc>
        <w:tc>
          <w:tcPr>
            <w:tcW w:w="665"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17,5*</w:t>
            </w:r>
          </w:p>
        </w:tc>
        <w:tc>
          <w:tcPr>
            <w:tcW w:w="1131"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19</w:t>
            </w:r>
          </w:p>
        </w:tc>
        <w:tc>
          <w:tcPr>
            <w:tcW w:w="675"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42,2</w:t>
            </w:r>
          </w:p>
        </w:tc>
      </w:tr>
      <w:tr w:rsidR="00CF6631" w:rsidTr="00113E76">
        <w:tc>
          <w:tcPr>
            <w:tcW w:w="1293"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 xml:space="preserve">II ступень </w:t>
            </w:r>
          </w:p>
        </w:tc>
        <w:tc>
          <w:tcPr>
            <w:tcW w:w="1236"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33</w:t>
            </w:r>
          </w:p>
        </w:tc>
        <w:tc>
          <w:tcPr>
            <w:tcW w:w="665"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82,5*</w:t>
            </w:r>
          </w:p>
        </w:tc>
        <w:tc>
          <w:tcPr>
            <w:tcW w:w="1131"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26</w:t>
            </w:r>
          </w:p>
        </w:tc>
        <w:tc>
          <w:tcPr>
            <w:tcW w:w="675"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57,8</w:t>
            </w:r>
          </w:p>
        </w:tc>
      </w:tr>
      <w:tr w:rsidR="00CF6631" w:rsidTr="00113E76">
        <w:tc>
          <w:tcPr>
            <w:tcW w:w="1293"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 xml:space="preserve">III ступень </w:t>
            </w:r>
          </w:p>
        </w:tc>
        <w:tc>
          <w:tcPr>
            <w:tcW w:w="1236"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w:t>
            </w:r>
          </w:p>
        </w:tc>
        <w:tc>
          <w:tcPr>
            <w:tcW w:w="665"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w:t>
            </w:r>
          </w:p>
        </w:tc>
        <w:tc>
          <w:tcPr>
            <w:tcW w:w="1131"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w:t>
            </w:r>
          </w:p>
        </w:tc>
        <w:tc>
          <w:tcPr>
            <w:tcW w:w="675" w:type="pct"/>
            <w:vAlign w:val="center"/>
          </w:tcPr>
          <w:p w:rsidR="00CF6631" w:rsidRDefault="00CF6631" w:rsidP="00113E76">
            <w:pPr>
              <w:tabs>
                <w:tab w:val="left" w:pos="1440"/>
              </w:tabs>
              <w:spacing w:line="360" w:lineRule="auto"/>
              <w:jc w:val="center"/>
              <w:rPr>
                <w:sz w:val="28"/>
                <w:szCs w:val="28"/>
                <w:lang w:val="uk-UA"/>
              </w:rPr>
            </w:pPr>
            <w:r>
              <w:rPr>
                <w:sz w:val="28"/>
                <w:szCs w:val="28"/>
                <w:lang w:val="uk-UA"/>
              </w:rPr>
              <w:t>–</w:t>
            </w:r>
          </w:p>
        </w:tc>
      </w:tr>
    </w:tbl>
    <w:p w:rsidR="00CF6631" w:rsidRDefault="0047048A" w:rsidP="0047048A">
      <w:pPr>
        <w:tabs>
          <w:tab w:val="left" w:pos="1440"/>
        </w:tabs>
        <w:spacing w:line="360" w:lineRule="auto"/>
        <w:ind w:firstLine="709"/>
        <w:jc w:val="both"/>
        <w:rPr>
          <w:sz w:val="28"/>
          <w:szCs w:val="28"/>
          <w:lang w:val="uk-UA"/>
        </w:rPr>
      </w:pPr>
      <w:r>
        <w:rPr>
          <w:b/>
          <w:sz w:val="28"/>
          <w:szCs w:val="28"/>
          <w:lang w:val="uk-UA"/>
        </w:rPr>
        <w:t>Примітка:</w:t>
      </w:r>
      <w:r>
        <w:rPr>
          <w:sz w:val="28"/>
          <w:szCs w:val="28"/>
          <w:lang w:val="uk-UA"/>
        </w:rPr>
        <w:t xml:space="preserve"> I ступень – 15</w:t>
      </w:r>
      <w:r w:rsidR="00CF6631">
        <w:rPr>
          <w:sz w:val="28"/>
          <w:szCs w:val="28"/>
          <w:lang w:val="uk-UA"/>
        </w:rPr>
        <w:t>–</w:t>
      </w:r>
      <w:r>
        <w:rPr>
          <w:sz w:val="28"/>
          <w:szCs w:val="28"/>
          <w:lang w:val="uk-UA"/>
        </w:rPr>
        <w:t xml:space="preserve">30 мкмоль/л; II ступень  </w:t>
      </w:r>
      <w:r w:rsidR="00CF6631">
        <w:rPr>
          <w:sz w:val="28"/>
          <w:szCs w:val="28"/>
          <w:lang w:val="uk-UA"/>
        </w:rPr>
        <w:t>–</w:t>
      </w:r>
      <w:r>
        <w:rPr>
          <w:sz w:val="28"/>
          <w:szCs w:val="28"/>
          <w:lang w:val="uk-UA"/>
        </w:rPr>
        <w:t xml:space="preserve"> 31</w:t>
      </w:r>
      <w:r w:rsidR="00CF6631">
        <w:rPr>
          <w:sz w:val="28"/>
          <w:szCs w:val="28"/>
          <w:lang w:val="uk-UA"/>
        </w:rPr>
        <w:t>–</w:t>
      </w:r>
      <w:r>
        <w:rPr>
          <w:sz w:val="28"/>
          <w:szCs w:val="28"/>
          <w:lang w:val="uk-UA"/>
        </w:rPr>
        <w:t xml:space="preserve">100 мкмоль/л;   III ступень &gt;100 мкмоль/л; * – </w:t>
      </w:r>
      <w:r>
        <w:rPr>
          <w:sz w:val="28"/>
          <w:szCs w:val="28"/>
        </w:rPr>
        <w:t>p</w:t>
      </w:r>
      <w:r w:rsidR="00CF6631">
        <w:rPr>
          <w:sz w:val="28"/>
          <w:szCs w:val="28"/>
          <w:lang w:val="uk-UA"/>
        </w:rPr>
        <w:t xml:space="preserve"> </w:t>
      </w:r>
      <w:r>
        <w:rPr>
          <w:sz w:val="28"/>
          <w:szCs w:val="28"/>
          <w:lang w:val="uk-UA"/>
        </w:rPr>
        <w:t>&lt;</w:t>
      </w:r>
      <w:r w:rsidR="00CF6631">
        <w:rPr>
          <w:sz w:val="28"/>
          <w:szCs w:val="28"/>
          <w:lang w:val="uk-UA"/>
        </w:rPr>
        <w:t xml:space="preserve"> </w:t>
      </w:r>
      <w:r>
        <w:rPr>
          <w:sz w:val="28"/>
          <w:szCs w:val="28"/>
          <w:lang w:val="uk-UA"/>
        </w:rPr>
        <w:t xml:space="preserve">0,001 щодо </w:t>
      </w:r>
      <w:r w:rsidR="00CF6631">
        <w:rPr>
          <w:sz w:val="28"/>
          <w:szCs w:val="28"/>
          <w:lang w:val="uk-UA"/>
        </w:rPr>
        <w:t xml:space="preserve">2 </w:t>
      </w:r>
      <w:r>
        <w:rPr>
          <w:sz w:val="28"/>
          <w:szCs w:val="28"/>
          <w:lang w:val="uk-UA"/>
        </w:rPr>
        <w:t>групи</w:t>
      </w:r>
    </w:p>
    <w:p w:rsidR="0047048A" w:rsidRDefault="0047048A" w:rsidP="0047048A">
      <w:pPr>
        <w:tabs>
          <w:tab w:val="left" w:pos="1440"/>
        </w:tabs>
        <w:spacing w:line="360" w:lineRule="auto"/>
        <w:ind w:firstLine="709"/>
        <w:jc w:val="both"/>
        <w:rPr>
          <w:sz w:val="28"/>
          <w:szCs w:val="28"/>
          <w:lang w:val="uk-UA"/>
        </w:rPr>
      </w:pPr>
      <w:r>
        <w:rPr>
          <w:sz w:val="28"/>
          <w:szCs w:val="28"/>
          <w:lang w:val="uk-UA"/>
        </w:rPr>
        <w:t xml:space="preserve">Нами виявлені певні статеві та вікові відмінності в рівнях ГЦ (табл. 3.4.3). </w:t>
      </w:r>
    </w:p>
    <w:p w:rsidR="0047048A" w:rsidRDefault="0047048A" w:rsidP="0047048A">
      <w:pPr>
        <w:tabs>
          <w:tab w:val="left" w:pos="1440"/>
        </w:tabs>
        <w:spacing w:line="360" w:lineRule="auto"/>
        <w:ind w:firstLine="709"/>
        <w:jc w:val="right"/>
        <w:rPr>
          <w:sz w:val="28"/>
          <w:szCs w:val="28"/>
          <w:lang w:val="uk-UA"/>
        </w:rPr>
      </w:pPr>
      <w:r>
        <w:rPr>
          <w:sz w:val="28"/>
          <w:szCs w:val="28"/>
          <w:lang w:val="uk-UA"/>
        </w:rPr>
        <w:t>Таблиця 3.4.3</w:t>
      </w:r>
    </w:p>
    <w:p w:rsidR="0047048A" w:rsidRDefault="0047048A" w:rsidP="00CF6631">
      <w:pPr>
        <w:spacing w:line="360" w:lineRule="auto"/>
        <w:ind w:firstLine="709"/>
        <w:jc w:val="center"/>
        <w:rPr>
          <w:sz w:val="28"/>
          <w:szCs w:val="28"/>
          <w:lang w:val="uk-UA"/>
        </w:rPr>
      </w:pPr>
      <w:r>
        <w:rPr>
          <w:sz w:val="28"/>
          <w:szCs w:val="28"/>
          <w:lang w:val="uk-UA"/>
        </w:rPr>
        <w:t xml:space="preserve">Вміст ГЦ сироватки крові у хворих </w:t>
      </w:r>
      <w:r w:rsidR="00CF6631">
        <w:rPr>
          <w:sz w:val="28"/>
          <w:szCs w:val="28"/>
          <w:lang w:val="uk-UA"/>
        </w:rPr>
        <w:t xml:space="preserve">1 та 2 груп </w:t>
      </w:r>
      <w:r>
        <w:rPr>
          <w:sz w:val="28"/>
          <w:szCs w:val="28"/>
          <w:lang w:val="uk-UA"/>
        </w:rPr>
        <w:t>в залежності від статі та віку, мкмоль/л (Ме (25%;</w:t>
      </w:r>
      <w:r w:rsidR="00113E76">
        <w:rPr>
          <w:sz w:val="28"/>
          <w:szCs w:val="28"/>
          <w:lang w:val="uk-UA"/>
        </w:rPr>
        <w:t xml:space="preserve"> </w:t>
      </w:r>
      <w:r>
        <w:rPr>
          <w:sz w:val="28"/>
          <w:szCs w:val="28"/>
          <w:lang w:val="uk-UA"/>
        </w:rPr>
        <w:t>75%))</w:t>
      </w:r>
    </w:p>
    <w:tbl>
      <w:tblPr>
        <w:tblW w:w="46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52"/>
        <w:gridCol w:w="1953"/>
        <w:gridCol w:w="1953"/>
        <w:gridCol w:w="1953"/>
        <w:gridCol w:w="1953"/>
      </w:tblGrid>
      <w:tr w:rsidR="0047048A" w:rsidTr="00113E76">
        <w:tc>
          <w:tcPr>
            <w:tcW w:w="1000"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Групи хворих</w:t>
            </w:r>
          </w:p>
        </w:tc>
        <w:tc>
          <w:tcPr>
            <w:tcW w:w="1000"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Чоловіки</w:t>
            </w:r>
          </w:p>
        </w:tc>
        <w:tc>
          <w:tcPr>
            <w:tcW w:w="1000"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Жінки</w:t>
            </w:r>
          </w:p>
        </w:tc>
        <w:tc>
          <w:tcPr>
            <w:tcW w:w="1000"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 40 років</w:t>
            </w:r>
          </w:p>
        </w:tc>
        <w:tc>
          <w:tcPr>
            <w:tcW w:w="1000"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&gt; 40 років</w:t>
            </w:r>
          </w:p>
        </w:tc>
      </w:tr>
      <w:tr w:rsidR="00113E76" w:rsidTr="00113E76">
        <w:tc>
          <w:tcPr>
            <w:tcW w:w="1000" w:type="pct"/>
            <w:vAlign w:val="center"/>
          </w:tcPr>
          <w:p w:rsidR="00113E76" w:rsidRPr="00113E76" w:rsidRDefault="00113E76" w:rsidP="00113E76">
            <w:pPr>
              <w:tabs>
                <w:tab w:val="left" w:pos="1440"/>
              </w:tabs>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w:t>
            </w:r>
            <w:r>
              <w:rPr>
                <w:sz w:val="28"/>
                <w:szCs w:val="28"/>
                <w:lang w:val="uk-UA"/>
              </w:rPr>
              <w:t>0</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51,64 </w:t>
            </w:r>
          </w:p>
          <w:p w:rsidR="00113E76" w:rsidRDefault="00113E76" w:rsidP="00113E76">
            <w:pPr>
              <w:tabs>
                <w:tab w:val="left" w:pos="1440"/>
              </w:tabs>
              <w:spacing w:line="360" w:lineRule="auto"/>
              <w:jc w:val="center"/>
              <w:rPr>
                <w:sz w:val="28"/>
                <w:szCs w:val="28"/>
                <w:lang w:val="uk-UA"/>
              </w:rPr>
            </w:pPr>
            <w:r>
              <w:rPr>
                <w:sz w:val="28"/>
                <w:szCs w:val="28"/>
                <w:lang w:val="uk-UA"/>
              </w:rPr>
              <w:t>(49,21; 56,5)*</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44,55 </w:t>
            </w:r>
          </w:p>
          <w:p w:rsidR="00113E76" w:rsidRDefault="00113E76" w:rsidP="00113E76">
            <w:pPr>
              <w:tabs>
                <w:tab w:val="left" w:pos="1440"/>
              </w:tabs>
              <w:spacing w:line="360" w:lineRule="auto"/>
              <w:jc w:val="center"/>
              <w:rPr>
                <w:sz w:val="28"/>
                <w:szCs w:val="28"/>
                <w:lang w:val="uk-UA"/>
              </w:rPr>
            </w:pPr>
            <w:r>
              <w:rPr>
                <w:sz w:val="28"/>
                <w:szCs w:val="28"/>
                <w:lang w:val="uk-UA"/>
              </w:rPr>
              <w:t>(30,93; 53,23)</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30,82 </w:t>
            </w:r>
          </w:p>
          <w:p w:rsidR="00113E76" w:rsidRDefault="00113E76" w:rsidP="00113E76">
            <w:pPr>
              <w:tabs>
                <w:tab w:val="left" w:pos="1440"/>
              </w:tabs>
              <w:spacing w:line="360" w:lineRule="auto"/>
              <w:jc w:val="center"/>
              <w:rPr>
                <w:sz w:val="28"/>
                <w:szCs w:val="28"/>
                <w:lang w:val="en-US"/>
              </w:rPr>
            </w:pPr>
            <w:r>
              <w:rPr>
                <w:sz w:val="28"/>
                <w:szCs w:val="28"/>
                <w:lang w:val="uk-UA"/>
              </w:rPr>
              <w:t>(29,98; 30,95)^</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51,32 </w:t>
            </w:r>
          </w:p>
          <w:p w:rsidR="00113E76" w:rsidRDefault="00113E76" w:rsidP="00113E76">
            <w:pPr>
              <w:tabs>
                <w:tab w:val="left" w:pos="1440"/>
              </w:tabs>
              <w:spacing w:line="360" w:lineRule="auto"/>
              <w:jc w:val="center"/>
              <w:rPr>
                <w:sz w:val="28"/>
                <w:szCs w:val="28"/>
                <w:lang w:val="uk-UA"/>
              </w:rPr>
            </w:pPr>
            <w:r>
              <w:rPr>
                <w:sz w:val="28"/>
                <w:szCs w:val="28"/>
                <w:lang w:val="uk-UA"/>
              </w:rPr>
              <w:t>(48,71; 54,81)</w:t>
            </w:r>
          </w:p>
        </w:tc>
      </w:tr>
      <w:tr w:rsidR="00113E76" w:rsidTr="00113E76">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2 група,</w:t>
            </w:r>
          </w:p>
          <w:p w:rsidR="00113E76" w:rsidRPr="00113E76" w:rsidRDefault="00113E76" w:rsidP="00113E76">
            <w:pPr>
              <w:tabs>
                <w:tab w:val="left" w:pos="1440"/>
              </w:tabs>
              <w:spacing w:line="360" w:lineRule="auto"/>
              <w:jc w:val="center"/>
              <w:rPr>
                <w:sz w:val="28"/>
                <w:szCs w:val="28"/>
                <w:lang w:val="uk-UA"/>
              </w:rPr>
            </w:pPr>
            <w:r>
              <w:rPr>
                <w:sz w:val="28"/>
                <w:szCs w:val="28"/>
                <w:lang w:val="uk-UA"/>
              </w:rPr>
              <w:t xml:space="preserve">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w:t>
            </w:r>
            <w:r>
              <w:rPr>
                <w:sz w:val="28"/>
                <w:szCs w:val="28"/>
                <w:lang w:val="uk-UA"/>
              </w:rPr>
              <w:t>5</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33,42 </w:t>
            </w:r>
          </w:p>
          <w:p w:rsidR="00113E76" w:rsidRDefault="00113E76" w:rsidP="00113E76">
            <w:pPr>
              <w:tabs>
                <w:tab w:val="left" w:pos="1440"/>
              </w:tabs>
              <w:spacing w:line="360" w:lineRule="auto"/>
              <w:jc w:val="center"/>
              <w:rPr>
                <w:sz w:val="28"/>
                <w:szCs w:val="28"/>
                <w:lang w:val="uk-UA"/>
              </w:rPr>
            </w:pPr>
            <w:r>
              <w:rPr>
                <w:sz w:val="28"/>
                <w:szCs w:val="28"/>
                <w:lang w:val="uk-UA"/>
              </w:rPr>
              <w:t>(30,15; 37,12)*</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30,64 </w:t>
            </w:r>
          </w:p>
          <w:p w:rsidR="00113E76" w:rsidRDefault="00113E76" w:rsidP="00113E76">
            <w:pPr>
              <w:tabs>
                <w:tab w:val="left" w:pos="1440"/>
              </w:tabs>
              <w:spacing w:line="360" w:lineRule="auto"/>
              <w:jc w:val="center"/>
              <w:rPr>
                <w:sz w:val="28"/>
                <w:szCs w:val="28"/>
                <w:lang w:val="uk-UA"/>
              </w:rPr>
            </w:pPr>
            <w:r>
              <w:rPr>
                <w:sz w:val="28"/>
                <w:szCs w:val="28"/>
                <w:lang w:val="uk-UA"/>
              </w:rPr>
              <w:t>(29,34; 32,2)</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29,85 </w:t>
            </w:r>
          </w:p>
          <w:p w:rsidR="00113E76" w:rsidRDefault="00113E76" w:rsidP="00113E76">
            <w:pPr>
              <w:tabs>
                <w:tab w:val="left" w:pos="1440"/>
              </w:tabs>
              <w:spacing w:line="360" w:lineRule="auto"/>
              <w:jc w:val="center"/>
              <w:rPr>
                <w:sz w:val="28"/>
                <w:szCs w:val="28"/>
                <w:lang w:val="en-US"/>
              </w:rPr>
            </w:pPr>
            <w:r>
              <w:rPr>
                <w:sz w:val="28"/>
                <w:szCs w:val="28"/>
                <w:lang w:val="uk-UA"/>
              </w:rPr>
              <w:t>(29,33; 31,65)</w:t>
            </w:r>
            <w:r>
              <w:rPr>
                <w:sz w:val="28"/>
                <w:szCs w:val="28"/>
                <w:lang w:val="en-US"/>
              </w:rPr>
              <w:t>#</w:t>
            </w:r>
          </w:p>
        </w:tc>
        <w:tc>
          <w:tcPr>
            <w:tcW w:w="1000" w:type="pct"/>
            <w:vAlign w:val="center"/>
          </w:tcPr>
          <w:p w:rsidR="00113E76" w:rsidRDefault="00113E76" w:rsidP="00113E76">
            <w:pPr>
              <w:tabs>
                <w:tab w:val="left" w:pos="1440"/>
              </w:tabs>
              <w:spacing w:line="360" w:lineRule="auto"/>
              <w:jc w:val="center"/>
              <w:rPr>
                <w:sz w:val="28"/>
                <w:szCs w:val="28"/>
                <w:lang w:val="uk-UA"/>
              </w:rPr>
            </w:pPr>
            <w:r>
              <w:rPr>
                <w:sz w:val="28"/>
                <w:szCs w:val="28"/>
                <w:lang w:val="uk-UA"/>
              </w:rPr>
              <w:t xml:space="preserve">31,99 </w:t>
            </w:r>
          </w:p>
          <w:p w:rsidR="00113E76" w:rsidRDefault="00113E76" w:rsidP="00113E76">
            <w:pPr>
              <w:tabs>
                <w:tab w:val="left" w:pos="1440"/>
              </w:tabs>
              <w:spacing w:line="360" w:lineRule="auto"/>
              <w:jc w:val="center"/>
              <w:rPr>
                <w:sz w:val="28"/>
                <w:szCs w:val="28"/>
                <w:lang w:val="uk-UA"/>
              </w:rPr>
            </w:pPr>
            <w:r>
              <w:rPr>
                <w:sz w:val="28"/>
                <w:szCs w:val="28"/>
                <w:lang w:val="uk-UA"/>
              </w:rPr>
              <w:t>(30,17; 36,40)</w:t>
            </w:r>
          </w:p>
        </w:tc>
      </w:tr>
    </w:tbl>
    <w:p w:rsidR="00113E76" w:rsidRDefault="0047048A" w:rsidP="0047048A">
      <w:pPr>
        <w:tabs>
          <w:tab w:val="left" w:pos="1440"/>
        </w:tabs>
        <w:spacing w:line="360" w:lineRule="auto"/>
        <w:ind w:firstLine="709"/>
        <w:jc w:val="both"/>
        <w:rPr>
          <w:sz w:val="28"/>
          <w:szCs w:val="28"/>
          <w:lang w:val="uk-UA"/>
        </w:rPr>
      </w:pPr>
      <w:r>
        <w:rPr>
          <w:b/>
          <w:sz w:val="28"/>
          <w:szCs w:val="28"/>
          <w:lang w:val="uk-UA"/>
        </w:rPr>
        <w:t xml:space="preserve">Примітка: </w:t>
      </w:r>
      <w:r>
        <w:rPr>
          <w:sz w:val="28"/>
          <w:szCs w:val="28"/>
          <w:lang w:val="uk-UA"/>
        </w:rPr>
        <w:t xml:space="preserve">* –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 xml:space="preserve">0,05 щодо жінок; </w:t>
      </w:r>
      <w:r>
        <w:rPr>
          <w:sz w:val="28"/>
          <w:szCs w:val="28"/>
        </w:rPr>
        <w:t xml:space="preserve"># </w:t>
      </w:r>
      <w:r>
        <w:rPr>
          <w:sz w:val="28"/>
          <w:szCs w:val="28"/>
          <w:lang w:val="uk-UA"/>
        </w:rPr>
        <w:t xml:space="preserve">–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 xml:space="preserve">0,05 щодо групи &gt; 40 років;    ^ –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0,001 щодо групи &gt; 40 років</w:t>
      </w:r>
    </w:p>
    <w:p w:rsidR="0047048A" w:rsidRDefault="0047048A" w:rsidP="0047048A">
      <w:pPr>
        <w:tabs>
          <w:tab w:val="left" w:pos="1440"/>
        </w:tabs>
        <w:spacing w:line="360" w:lineRule="auto"/>
        <w:ind w:firstLine="709"/>
        <w:jc w:val="both"/>
        <w:rPr>
          <w:sz w:val="28"/>
          <w:szCs w:val="28"/>
          <w:lang w:val="uk-UA"/>
        </w:rPr>
      </w:pPr>
      <w:r>
        <w:rPr>
          <w:sz w:val="28"/>
          <w:szCs w:val="28"/>
          <w:lang w:val="uk-UA"/>
        </w:rPr>
        <w:t>Так, у чоловіків 1</w:t>
      </w:r>
      <w:r w:rsidR="00113E76">
        <w:rPr>
          <w:sz w:val="28"/>
          <w:szCs w:val="28"/>
          <w:lang w:val="uk-UA"/>
        </w:rPr>
        <w:t xml:space="preserve"> </w:t>
      </w:r>
      <w:r>
        <w:rPr>
          <w:sz w:val="28"/>
          <w:szCs w:val="28"/>
          <w:lang w:val="uk-UA"/>
        </w:rPr>
        <w:t>групи вміст ГЦ сироватки крові був вірогідно вищім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 xml:space="preserve">0,05), ніж у жінок </w:t>
      </w:r>
      <w:r w:rsidR="00113E76">
        <w:rPr>
          <w:sz w:val="28"/>
          <w:szCs w:val="28"/>
          <w:lang w:val="uk-UA"/>
        </w:rPr>
        <w:t xml:space="preserve">51,64 (49,21; 56,5) </w:t>
      </w:r>
      <w:r>
        <w:rPr>
          <w:sz w:val="28"/>
          <w:szCs w:val="28"/>
          <w:lang w:val="uk-UA"/>
        </w:rPr>
        <w:t xml:space="preserve">мкмоль/л проти </w:t>
      </w:r>
      <w:r w:rsidR="00113E76">
        <w:rPr>
          <w:sz w:val="28"/>
          <w:szCs w:val="28"/>
          <w:lang w:val="uk-UA"/>
        </w:rPr>
        <w:t xml:space="preserve">44,55 (30,93; 53,23) </w:t>
      </w:r>
      <w:r>
        <w:rPr>
          <w:sz w:val="28"/>
          <w:szCs w:val="28"/>
          <w:lang w:val="uk-UA"/>
        </w:rPr>
        <w:t>мкмоль/л). Ця закономірність спостерігалась і у хворих 2 групи: вміст ГЦ в сироватці крові у чоловіків був дост</w:t>
      </w:r>
      <w:r w:rsidR="00113E76">
        <w:rPr>
          <w:sz w:val="28"/>
          <w:szCs w:val="28"/>
          <w:lang w:val="uk-UA"/>
        </w:rPr>
        <w:t>е</w:t>
      </w:r>
      <w:r>
        <w:rPr>
          <w:sz w:val="28"/>
          <w:szCs w:val="28"/>
          <w:lang w:val="uk-UA"/>
        </w:rPr>
        <w:t>менно вищім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 xml:space="preserve">0,05) і складав  </w:t>
      </w:r>
      <w:r w:rsidR="00113E76">
        <w:rPr>
          <w:sz w:val="28"/>
          <w:szCs w:val="28"/>
          <w:lang w:val="uk-UA"/>
        </w:rPr>
        <w:t xml:space="preserve">(33,42 (30,15; 37,12) </w:t>
      </w:r>
      <w:r>
        <w:rPr>
          <w:sz w:val="28"/>
          <w:szCs w:val="28"/>
          <w:lang w:val="uk-UA"/>
        </w:rPr>
        <w:t>мкмоль/л, тоді як у жінок –</w:t>
      </w:r>
      <w:r w:rsidR="00113E76">
        <w:rPr>
          <w:sz w:val="28"/>
          <w:szCs w:val="28"/>
          <w:lang w:val="uk-UA"/>
        </w:rPr>
        <w:t xml:space="preserve"> 30,64 (29,34; 32,2)</w:t>
      </w:r>
      <w:r>
        <w:rPr>
          <w:sz w:val="28"/>
          <w:szCs w:val="28"/>
          <w:lang w:val="uk-UA"/>
        </w:rPr>
        <w:t>мкмоль/л. В той же час у чоловіків і жінок контрольної групи, вміст ГЦ суттєво не відрізнявся і становив 11,07 (10,57;</w:t>
      </w:r>
      <w:r w:rsidR="00113E76">
        <w:rPr>
          <w:sz w:val="28"/>
          <w:szCs w:val="28"/>
          <w:lang w:val="uk-UA"/>
        </w:rPr>
        <w:t xml:space="preserve"> </w:t>
      </w:r>
      <w:r>
        <w:rPr>
          <w:sz w:val="28"/>
          <w:szCs w:val="28"/>
          <w:lang w:val="uk-UA"/>
        </w:rPr>
        <w:t>11,81) мкмоль/л проти 11,33 (10,81;</w:t>
      </w:r>
      <w:r w:rsidR="00113E76">
        <w:rPr>
          <w:sz w:val="28"/>
          <w:szCs w:val="28"/>
          <w:lang w:val="uk-UA"/>
        </w:rPr>
        <w:t xml:space="preserve"> </w:t>
      </w:r>
      <w:r>
        <w:rPr>
          <w:sz w:val="28"/>
          <w:szCs w:val="28"/>
          <w:lang w:val="uk-UA"/>
        </w:rPr>
        <w:t>12,47) мкмоль/л, відповідно.</w:t>
      </w:r>
    </w:p>
    <w:p w:rsidR="0047048A" w:rsidRDefault="0047048A" w:rsidP="0047048A">
      <w:pPr>
        <w:tabs>
          <w:tab w:val="left" w:pos="1440"/>
        </w:tabs>
        <w:spacing w:line="360" w:lineRule="auto"/>
        <w:ind w:firstLine="709"/>
        <w:jc w:val="both"/>
        <w:rPr>
          <w:sz w:val="28"/>
          <w:szCs w:val="28"/>
          <w:lang w:val="uk-UA"/>
        </w:rPr>
      </w:pPr>
      <w:r>
        <w:rPr>
          <w:sz w:val="28"/>
          <w:szCs w:val="28"/>
          <w:lang w:val="uk-UA"/>
        </w:rPr>
        <w:t xml:space="preserve">При вивчені вмісту ГЦ у хворих двох груп встановлені вікові відмінності рівнів цієї амінокислоти, так у всіх пацієнтів вміст ГЦ зростав по мірі збільшення </w:t>
      </w:r>
      <w:r>
        <w:rPr>
          <w:sz w:val="28"/>
          <w:szCs w:val="28"/>
          <w:lang w:val="uk-UA"/>
        </w:rPr>
        <w:lastRenderedPageBreak/>
        <w:t xml:space="preserve">віку. В </w:t>
      </w:r>
      <w:r w:rsidR="00113E76">
        <w:rPr>
          <w:sz w:val="28"/>
          <w:szCs w:val="28"/>
          <w:lang w:val="uk-UA"/>
        </w:rPr>
        <w:t xml:space="preserve">2 </w:t>
      </w:r>
      <w:r>
        <w:rPr>
          <w:sz w:val="28"/>
          <w:szCs w:val="28"/>
          <w:lang w:val="uk-UA"/>
        </w:rPr>
        <w:t xml:space="preserve">групі хворих у віці до 40 років рівень ГЦ був </w:t>
      </w:r>
      <w:r w:rsidR="00113E76">
        <w:rPr>
          <w:sz w:val="28"/>
          <w:szCs w:val="28"/>
          <w:lang w:val="uk-UA"/>
        </w:rPr>
        <w:t>достеменно</w:t>
      </w:r>
      <w:r>
        <w:rPr>
          <w:sz w:val="28"/>
          <w:szCs w:val="28"/>
          <w:lang w:val="uk-UA"/>
        </w:rPr>
        <w:t xml:space="preserve">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0,05) нижчім, ніж у віковій групі старших за 40 років – 29,85 (29,33;</w:t>
      </w:r>
      <w:r w:rsidR="00113E76">
        <w:rPr>
          <w:sz w:val="28"/>
          <w:szCs w:val="28"/>
          <w:lang w:val="uk-UA"/>
        </w:rPr>
        <w:t xml:space="preserve"> </w:t>
      </w:r>
      <w:r>
        <w:rPr>
          <w:sz w:val="28"/>
          <w:szCs w:val="28"/>
          <w:lang w:val="uk-UA"/>
        </w:rPr>
        <w:t>31,65) та 31,99 (30,17;</w:t>
      </w:r>
      <w:r w:rsidR="00113E76">
        <w:rPr>
          <w:sz w:val="28"/>
          <w:szCs w:val="28"/>
          <w:lang w:val="uk-UA"/>
        </w:rPr>
        <w:t xml:space="preserve"> </w:t>
      </w:r>
      <w:r>
        <w:rPr>
          <w:sz w:val="28"/>
          <w:szCs w:val="28"/>
          <w:lang w:val="uk-UA"/>
        </w:rPr>
        <w:t xml:space="preserve">36,40) мкмоль/л відповідно. В </w:t>
      </w:r>
      <w:r w:rsidR="00113E76">
        <w:rPr>
          <w:sz w:val="28"/>
          <w:szCs w:val="28"/>
          <w:lang w:val="uk-UA"/>
        </w:rPr>
        <w:t>1</w:t>
      </w:r>
      <w:r>
        <w:rPr>
          <w:sz w:val="28"/>
          <w:szCs w:val="28"/>
          <w:lang w:val="uk-UA"/>
        </w:rPr>
        <w:t xml:space="preserve"> групі ці відмінності були ще більш виразними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0,001): у хворих віком до 40 років середній вміст ГЦ сироватки крові складав 30,82 (29,98;</w:t>
      </w:r>
      <w:r w:rsidR="00113E76">
        <w:rPr>
          <w:sz w:val="28"/>
          <w:szCs w:val="28"/>
          <w:lang w:val="uk-UA"/>
        </w:rPr>
        <w:t xml:space="preserve"> </w:t>
      </w:r>
      <w:r>
        <w:rPr>
          <w:sz w:val="28"/>
          <w:szCs w:val="28"/>
          <w:lang w:val="uk-UA"/>
        </w:rPr>
        <w:t>30,95) мкмоль/л, тоді як у пацієнтів старших за 40 років він був на рівні 51,32 (48,71;</w:t>
      </w:r>
      <w:r w:rsidR="00113E76">
        <w:rPr>
          <w:sz w:val="28"/>
          <w:szCs w:val="28"/>
          <w:lang w:val="uk-UA"/>
        </w:rPr>
        <w:t xml:space="preserve"> </w:t>
      </w:r>
      <w:r>
        <w:rPr>
          <w:sz w:val="28"/>
          <w:szCs w:val="28"/>
          <w:lang w:val="uk-UA"/>
        </w:rPr>
        <w:t>54,81) мкмоль/л.</w:t>
      </w:r>
    </w:p>
    <w:p w:rsidR="0047048A" w:rsidRDefault="0047048A" w:rsidP="0047048A">
      <w:pPr>
        <w:tabs>
          <w:tab w:val="left" w:pos="1440"/>
        </w:tabs>
        <w:spacing w:line="360" w:lineRule="auto"/>
        <w:ind w:firstLine="709"/>
        <w:jc w:val="both"/>
        <w:rPr>
          <w:sz w:val="28"/>
          <w:szCs w:val="28"/>
          <w:lang w:val="uk-UA"/>
        </w:rPr>
      </w:pPr>
      <w:r>
        <w:rPr>
          <w:sz w:val="28"/>
          <w:szCs w:val="28"/>
          <w:lang w:val="uk-UA"/>
        </w:rPr>
        <w:t>Аналізуючи вміст ГЦ в сироватці крові у хворих двох груп в залежності від тривалості захворю</w:t>
      </w:r>
      <w:r w:rsidR="00113E76">
        <w:rPr>
          <w:sz w:val="28"/>
          <w:szCs w:val="28"/>
          <w:lang w:val="uk-UA"/>
        </w:rPr>
        <w:t>вання отримані наступні результа</w:t>
      </w:r>
      <w:r>
        <w:rPr>
          <w:sz w:val="28"/>
          <w:szCs w:val="28"/>
          <w:lang w:val="uk-UA"/>
        </w:rPr>
        <w:t>ти (табл. 3.3.4.)</w:t>
      </w:r>
    </w:p>
    <w:p w:rsidR="0047048A" w:rsidRDefault="0047048A" w:rsidP="0047048A">
      <w:pPr>
        <w:spacing w:line="360" w:lineRule="auto"/>
        <w:ind w:firstLine="709"/>
        <w:jc w:val="right"/>
        <w:rPr>
          <w:sz w:val="28"/>
          <w:szCs w:val="28"/>
          <w:lang w:val="uk-UA"/>
        </w:rPr>
      </w:pPr>
      <w:r>
        <w:rPr>
          <w:sz w:val="28"/>
          <w:szCs w:val="28"/>
          <w:lang w:val="uk-UA"/>
        </w:rPr>
        <w:t>Таблиця 3.3.4</w:t>
      </w:r>
    </w:p>
    <w:p w:rsidR="0047048A" w:rsidRDefault="0047048A" w:rsidP="00113E76">
      <w:pPr>
        <w:spacing w:line="360" w:lineRule="auto"/>
        <w:jc w:val="center"/>
        <w:rPr>
          <w:sz w:val="28"/>
          <w:szCs w:val="28"/>
          <w:lang w:val="uk-UA"/>
        </w:rPr>
      </w:pPr>
      <w:r>
        <w:rPr>
          <w:sz w:val="28"/>
          <w:szCs w:val="28"/>
          <w:lang w:val="uk-UA"/>
        </w:rPr>
        <w:t>Вміст ГЦ в сироватці крові хворих в залежності від тривалості захворювання, мкмоль/л (Ме (25%;</w:t>
      </w:r>
      <w:r w:rsidR="00113E76">
        <w:rPr>
          <w:sz w:val="28"/>
          <w:szCs w:val="28"/>
          <w:lang w:val="uk-UA"/>
        </w:rPr>
        <w:t xml:space="preserve"> </w:t>
      </w:r>
      <w:r>
        <w:rPr>
          <w:sz w:val="28"/>
          <w:szCs w:val="28"/>
          <w:lang w:val="uk-UA"/>
        </w:rPr>
        <w:t>75%))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96"/>
        <w:gridCol w:w="3174"/>
        <w:gridCol w:w="3051"/>
      </w:tblGrid>
      <w:tr w:rsidR="0047048A" w:rsidTr="00113E76">
        <w:trPr>
          <w:trHeight w:val="519"/>
        </w:trPr>
        <w:tc>
          <w:tcPr>
            <w:tcW w:w="2013" w:type="pct"/>
            <w:vMerge w:val="restart"/>
            <w:vAlign w:val="center"/>
          </w:tcPr>
          <w:p w:rsidR="0047048A" w:rsidRDefault="0047048A" w:rsidP="00113E76">
            <w:pPr>
              <w:spacing w:line="360" w:lineRule="auto"/>
              <w:jc w:val="center"/>
              <w:rPr>
                <w:sz w:val="28"/>
                <w:szCs w:val="28"/>
                <w:lang w:val="uk-UA"/>
              </w:rPr>
            </w:pPr>
            <w:r>
              <w:rPr>
                <w:sz w:val="28"/>
                <w:szCs w:val="28"/>
                <w:lang w:val="uk-UA"/>
              </w:rPr>
              <w:t>Тривалість захворювання</w:t>
            </w:r>
          </w:p>
        </w:tc>
        <w:tc>
          <w:tcPr>
            <w:tcW w:w="2987" w:type="pct"/>
            <w:gridSpan w:val="2"/>
            <w:vAlign w:val="center"/>
          </w:tcPr>
          <w:p w:rsidR="0047048A" w:rsidRDefault="0047048A" w:rsidP="00113E76">
            <w:pPr>
              <w:spacing w:line="360" w:lineRule="auto"/>
              <w:jc w:val="center"/>
              <w:rPr>
                <w:sz w:val="28"/>
                <w:szCs w:val="28"/>
                <w:lang w:val="uk-UA"/>
              </w:rPr>
            </w:pPr>
            <w:r>
              <w:rPr>
                <w:sz w:val="28"/>
                <w:szCs w:val="28"/>
                <w:lang w:val="uk-UA"/>
              </w:rPr>
              <w:t>ГЦ, мкмоль/л (Ме (25%;</w:t>
            </w:r>
            <w:r w:rsidR="00113E76">
              <w:rPr>
                <w:sz w:val="28"/>
                <w:szCs w:val="28"/>
                <w:lang w:val="uk-UA"/>
              </w:rPr>
              <w:t xml:space="preserve"> </w:t>
            </w:r>
            <w:r>
              <w:rPr>
                <w:sz w:val="28"/>
                <w:szCs w:val="28"/>
                <w:lang w:val="uk-UA"/>
              </w:rPr>
              <w:t>75%))</w:t>
            </w:r>
          </w:p>
        </w:tc>
      </w:tr>
      <w:tr w:rsidR="0047048A" w:rsidTr="00113E76">
        <w:tc>
          <w:tcPr>
            <w:tcW w:w="0" w:type="auto"/>
            <w:vMerge/>
            <w:vAlign w:val="center"/>
          </w:tcPr>
          <w:p w:rsidR="0047048A" w:rsidRDefault="0047048A" w:rsidP="00113E76">
            <w:pPr>
              <w:rPr>
                <w:sz w:val="28"/>
                <w:szCs w:val="28"/>
                <w:lang w:val="uk-UA"/>
              </w:rPr>
            </w:pPr>
          </w:p>
        </w:tc>
        <w:tc>
          <w:tcPr>
            <w:tcW w:w="1523" w:type="pct"/>
            <w:vAlign w:val="center"/>
          </w:tcPr>
          <w:p w:rsidR="0047048A" w:rsidRPr="00113E76" w:rsidRDefault="0047048A" w:rsidP="00113E76">
            <w:pPr>
              <w:spacing w:line="360" w:lineRule="auto"/>
              <w:jc w:val="center"/>
              <w:rPr>
                <w:sz w:val="28"/>
                <w:szCs w:val="28"/>
                <w:lang w:val="uk-UA"/>
              </w:rPr>
            </w:pPr>
            <w:r>
              <w:rPr>
                <w:sz w:val="28"/>
                <w:szCs w:val="28"/>
                <w:lang w:val="uk-UA"/>
              </w:rPr>
              <w:t xml:space="preserve">1 група, </w:t>
            </w:r>
            <w:r w:rsidR="00113E76">
              <w:rPr>
                <w:sz w:val="28"/>
                <w:szCs w:val="28"/>
              </w:rPr>
              <w:t>n=4</w:t>
            </w:r>
            <w:r w:rsidR="00113E76">
              <w:rPr>
                <w:sz w:val="28"/>
                <w:szCs w:val="28"/>
                <w:lang w:val="uk-UA"/>
              </w:rPr>
              <w:t>0</w:t>
            </w:r>
          </w:p>
        </w:tc>
        <w:tc>
          <w:tcPr>
            <w:tcW w:w="1464" w:type="pct"/>
            <w:vAlign w:val="center"/>
          </w:tcPr>
          <w:p w:rsidR="0047048A" w:rsidRPr="00113E76" w:rsidRDefault="0047048A" w:rsidP="00113E76">
            <w:pPr>
              <w:spacing w:line="360" w:lineRule="auto"/>
              <w:jc w:val="center"/>
              <w:rPr>
                <w:sz w:val="28"/>
                <w:szCs w:val="28"/>
                <w:lang w:val="uk-UA"/>
              </w:rPr>
            </w:pPr>
            <w:r>
              <w:rPr>
                <w:sz w:val="28"/>
                <w:szCs w:val="28"/>
                <w:lang w:val="uk-UA"/>
              </w:rPr>
              <w:t xml:space="preserve">2 група, </w:t>
            </w:r>
            <w:r w:rsidR="00113E76">
              <w:rPr>
                <w:sz w:val="28"/>
                <w:szCs w:val="28"/>
              </w:rPr>
              <w:t>n=4</w:t>
            </w:r>
            <w:r w:rsidR="00113E76">
              <w:rPr>
                <w:sz w:val="28"/>
                <w:szCs w:val="28"/>
                <w:lang w:val="uk-UA"/>
              </w:rPr>
              <w:t>5</w:t>
            </w:r>
          </w:p>
        </w:tc>
      </w:tr>
      <w:tr w:rsidR="00113E76" w:rsidTr="00113E76">
        <w:tc>
          <w:tcPr>
            <w:tcW w:w="2013" w:type="pct"/>
            <w:vAlign w:val="center"/>
          </w:tcPr>
          <w:p w:rsidR="00113E76" w:rsidRDefault="00113E76" w:rsidP="00113E76">
            <w:pPr>
              <w:spacing w:line="360" w:lineRule="auto"/>
              <w:jc w:val="center"/>
              <w:rPr>
                <w:sz w:val="28"/>
                <w:szCs w:val="28"/>
                <w:lang w:val="uk-UA"/>
              </w:rPr>
            </w:pPr>
            <w:r>
              <w:rPr>
                <w:sz w:val="28"/>
                <w:szCs w:val="28"/>
                <w:lang w:val="uk-UA"/>
              </w:rPr>
              <w:t>До 5 років</w:t>
            </w:r>
          </w:p>
        </w:tc>
        <w:tc>
          <w:tcPr>
            <w:tcW w:w="1523" w:type="pct"/>
            <w:vAlign w:val="center"/>
          </w:tcPr>
          <w:p w:rsidR="00113E76" w:rsidRDefault="00113E76" w:rsidP="00113E76">
            <w:pPr>
              <w:spacing w:line="360" w:lineRule="auto"/>
              <w:jc w:val="center"/>
              <w:rPr>
                <w:sz w:val="28"/>
                <w:szCs w:val="28"/>
                <w:lang w:val="uk-UA"/>
              </w:rPr>
            </w:pPr>
            <w:r>
              <w:rPr>
                <w:sz w:val="28"/>
                <w:szCs w:val="28"/>
                <w:lang w:val="uk-UA"/>
              </w:rPr>
              <w:t>43,02 (30,89; 48,55)</w:t>
            </w:r>
          </w:p>
        </w:tc>
        <w:tc>
          <w:tcPr>
            <w:tcW w:w="1464" w:type="pct"/>
            <w:vAlign w:val="center"/>
          </w:tcPr>
          <w:p w:rsidR="00113E76" w:rsidRDefault="00113E76" w:rsidP="00113E76">
            <w:pPr>
              <w:spacing w:line="360" w:lineRule="auto"/>
              <w:jc w:val="center"/>
              <w:rPr>
                <w:sz w:val="28"/>
                <w:szCs w:val="28"/>
                <w:lang w:val="uk-UA"/>
              </w:rPr>
            </w:pPr>
            <w:r>
              <w:rPr>
                <w:sz w:val="28"/>
                <w:szCs w:val="28"/>
                <w:lang w:val="uk-UA"/>
              </w:rPr>
              <w:t>30,64 (29,4; 32,51)</w:t>
            </w:r>
          </w:p>
        </w:tc>
      </w:tr>
      <w:tr w:rsidR="00113E76" w:rsidTr="00113E76">
        <w:tc>
          <w:tcPr>
            <w:tcW w:w="2013" w:type="pct"/>
            <w:vAlign w:val="center"/>
          </w:tcPr>
          <w:p w:rsidR="00113E76" w:rsidRDefault="00113E76" w:rsidP="00113E76">
            <w:pPr>
              <w:spacing w:line="360" w:lineRule="auto"/>
              <w:jc w:val="center"/>
              <w:rPr>
                <w:sz w:val="28"/>
                <w:szCs w:val="28"/>
                <w:lang w:val="uk-UA"/>
              </w:rPr>
            </w:pPr>
            <w:r>
              <w:rPr>
                <w:sz w:val="28"/>
                <w:szCs w:val="28"/>
                <w:lang w:val="uk-UA"/>
              </w:rPr>
              <w:t>Від 5 до 10 років</w:t>
            </w:r>
          </w:p>
        </w:tc>
        <w:tc>
          <w:tcPr>
            <w:tcW w:w="1523" w:type="pct"/>
            <w:vAlign w:val="center"/>
          </w:tcPr>
          <w:p w:rsidR="00113E76" w:rsidRDefault="00113E76" w:rsidP="00113E76">
            <w:pPr>
              <w:spacing w:line="360" w:lineRule="auto"/>
              <w:jc w:val="center"/>
              <w:rPr>
                <w:sz w:val="28"/>
                <w:szCs w:val="28"/>
                <w:lang w:val="uk-UA"/>
              </w:rPr>
            </w:pPr>
            <w:r>
              <w:rPr>
                <w:sz w:val="28"/>
                <w:szCs w:val="28"/>
                <w:lang w:val="uk-UA"/>
              </w:rPr>
              <w:t>52,07 (51,27; 52,98)*</w:t>
            </w:r>
          </w:p>
        </w:tc>
        <w:tc>
          <w:tcPr>
            <w:tcW w:w="1464" w:type="pct"/>
            <w:vAlign w:val="center"/>
          </w:tcPr>
          <w:p w:rsidR="00113E76" w:rsidRDefault="00113E76" w:rsidP="00113E76">
            <w:pPr>
              <w:spacing w:line="360" w:lineRule="auto"/>
              <w:jc w:val="center"/>
              <w:rPr>
                <w:sz w:val="28"/>
                <w:szCs w:val="28"/>
                <w:lang w:val="uk-UA"/>
              </w:rPr>
            </w:pPr>
            <w:r>
              <w:rPr>
                <w:sz w:val="28"/>
                <w:szCs w:val="28"/>
                <w:lang w:val="uk-UA"/>
              </w:rPr>
              <w:t>30,45 (29,9; 38,27)</w:t>
            </w:r>
          </w:p>
        </w:tc>
      </w:tr>
      <w:tr w:rsidR="00113E76" w:rsidTr="00113E76">
        <w:tc>
          <w:tcPr>
            <w:tcW w:w="2013" w:type="pct"/>
            <w:vAlign w:val="center"/>
          </w:tcPr>
          <w:p w:rsidR="00113E76" w:rsidRDefault="00113E76" w:rsidP="00113E76">
            <w:pPr>
              <w:spacing w:line="360" w:lineRule="auto"/>
              <w:jc w:val="center"/>
              <w:rPr>
                <w:sz w:val="28"/>
                <w:szCs w:val="28"/>
                <w:lang w:val="uk-UA"/>
              </w:rPr>
            </w:pPr>
            <w:r>
              <w:rPr>
                <w:sz w:val="28"/>
                <w:szCs w:val="28"/>
                <w:lang w:val="uk-UA"/>
              </w:rPr>
              <w:t>Більше 10 років</w:t>
            </w:r>
          </w:p>
        </w:tc>
        <w:tc>
          <w:tcPr>
            <w:tcW w:w="1523" w:type="pct"/>
            <w:vAlign w:val="center"/>
          </w:tcPr>
          <w:p w:rsidR="00113E76" w:rsidRDefault="00113E76" w:rsidP="00113E76">
            <w:pPr>
              <w:spacing w:line="360" w:lineRule="auto"/>
              <w:jc w:val="center"/>
              <w:rPr>
                <w:sz w:val="28"/>
                <w:szCs w:val="28"/>
                <w:lang w:val="uk-UA"/>
              </w:rPr>
            </w:pPr>
            <w:r>
              <w:rPr>
                <w:sz w:val="28"/>
                <w:szCs w:val="28"/>
                <w:lang w:val="uk-UA"/>
              </w:rPr>
              <w:t>54,81 (52,65; 58,23)*</w:t>
            </w:r>
          </w:p>
        </w:tc>
        <w:tc>
          <w:tcPr>
            <w:tcW w:w="1464" w:type="pct"/>
            <w:vAlign w:val="center"/>
          </w:tcPr>
          <w:p w:rsidR="00113E76" w:rsidRDefault="00113E76" w:rsidP="00113E76">
            <w:pPr>
              <w:spacing w:line="360" w:lineRule="auto"/>
              <w:jc w:val="center"/>
              <w:rPr>
                <w:sz w:val="28"/>
                <w:szCs w:val="28"/>
                <w:lang w:val="uk-UA"/>
              </w:rPr>
            </w:pPr>
            <w:r>
              <w:rPr>
                <w:sz w:val="28"/>
                <w:szCs w:val="28"/>
                <w:lang w:val="uk-UA"/>
              </w:rPr>
              <w:t>34,27 (32,28; 36,55)</w:t>
            </w:r>
            <w:r>
              <w:rPr>
                <w:sz w:val="28"/>
                <w:szCs w:val="28"/>
              </w:rPr>
              <w:t>#</w:t>
            </w:r>
          </w:p>
        </w:tc>
      </w:tr>
    </w:tbl>
    <w:p w:rsidR="0047048A" w:rsidRDefault="0047048A" w:rsidP="0047048A">
      <w:pPr>
        <w:spacing w:line="360" w:lineRule="auto"/>
        <w:ind w:firstLine="709"/>
        <w:jc w:val="both"/>
        <w:rPr>
          <w:sz w:val="28"/>
          <w:szCs w:val="28"/>
          <w:lang w:val="uk-UA"/>
        </w:rPr>
      </w:pPr>
      <w:r>
        <w:rPr>
          <w:b/>
          <w:sz w:val="28"/>
          <w:szCs w:val="28"/>
          <w:lang w:val="uk-UA"/>
        </w:rPr>
        <w:t xml:space="preserve">Примітка: </w:t>
      </w:r>
      <w:r>
        <w:rPr>
          <w:sz w:val="28"/>
          <w:szCs w:val="28"/>
        </w:rPr>
        <w:t>#</w:t>
      </w:r>
      <w:r>
        <w:rPr>
          <w:sz w:val="28"/>
          <w:szCs w:val="28"/>
          <w:lang w:val="uk-UA"/>
        </w:rPr>
        <w:t xml:space="preserve"> – </w:t>
      </w:r>
      <w:r>
        <w:rPr>
          <w:sz w:val="28"/>
          <w:szCs w:val="28"/>
        </w:rPr>
        <w:t>p</w:t>
      </w:r>
      <w:r w:rsidR="00113E76">
        <w:rPr>
          <w:sz w:val="28"/>
          <w:szCs w:val="28"/>
          <w:lang w:val="uk-UA"/>
        </w:rPr>
        <w:t xml:space="preserve"> </w:t>
      </w:r>
      <w:r>
        <w:rPr>
          <w:sz w:val="28"/>
          <w:szCs w:val="28"/>
        </w:rPr>
        <w:t>˂</w:t>
      </w:r>
      <w:r w:rsidR="00113E76">
        <w:rPr>
          <w:sz w:val="28"/>
          <w:szCs w:val="28"/>
          <w:lang w:val="uk-UA"/>
        </w:rPr>
        <w:t xml:space="preserve"> </w:t>
      </w:r>
      <w:r>
        <w:rPr>
          <w:sz w:val="28"/>
          <w:szCs w:val="28"/>
          <w:lang w:val="uk-UA"/>
        </w:rPr>
        <w:t>0,05 при порівнянні показників в групах з різною тривалістю захворювання;</w:t>
      </w:r>
    </w:p>
    <w:p w:rsidR="00113E76" w:rsidRDefault="0047048A" w:rsidP="0047048A">
      <w:pPr>
        <w:spacing w:line="360" w:lineRule="auto"/>
        <w:ind w:firstLine="709"/>
        <w:jc w:val="both"/>
        <w:rPr>
          <w:sz w:val="28"/>
          <w:szCs w:val="28"/>
          <w:lang w:val="uk-UA"/>
        </w:rPr>
      </w:pPr>
      <w:r>
        <w:rPr>
          <w:sz w:val="28"/>
          <w:szCs w:val="28"/>
          <w:lang w:val="uk-UA"/>
        </w:rPr>
        <w:t xml:space="preserve">* – </w:t>
      </w:r>
      <w:r>
        <w:rPr>
          <w:sz w:val="28"/>
          <w:szCs w:val="28"/>
        </w:rPr>
        <w:t>p</w:t>
      </w:r>
      <w:r w:rsidR="00113E76">
        <w:rPr>
          <w:sz w:val="28"/>
          <w:szCs w:val="28"/>
          <w:lang w:val="uk-UA"/>
        </w:rPr>
        <w:t xml:space="preserve"> </w:t>
      </w:r>
      <w:r>
        <w:rPr>
          <w:sz w:val="28"/>
          <w:szCs w:val="28"/>
        </w:rPr>
        <w:t>˂</w:t>
      </w:r>
      <w:r w:rsidR="00113E76">
        <w:rPr>
          <w:sz w:val="28"/>
          <w:szCs w:val="28"/>
          <w:lang w:val="uk-UA"/>
        </w:rPr>
        <w:t xml:space="preserve"> </w:t>
      </w:r>
      <w:r>
        <w:rPr>
          <w:sz w:val="28"/>
          <w:szCs w:val="28"/>
          <w:lang w:val="uk-UA"/>
        </w:rPr>
        <w:t>0,001 при порівнянні показників в групах з різною тривалістю захворювання</w:t>
      </w:r>
    </w:p>
    <w:p w:rsidR="0047048A" w:rsidRDefault="00113E76" w:rsidP="00113E76">
      <w:pPr>
        <w:spacing w:line="360" w:lineRule="auto"/>
        <w:ind w:firstLine="709"/>
        <w:jc w:val="both"/>
        <w:rPr>
          <w:sz w:val="28"/>
          <w:szCs w:val="28"/>
          <w:lang w:val="uk-UA"/>
        </w:rPr>
      </w:pPr>
      <w:r>
        <w:rPr>
          <w:sz w:val="28"/>
          <w:szCs w:val="28"/>
          <w:lang w:val="uk-UA"/>
        </w:rPr>
        <w:t xml:space="preserve">У хворих на НАСГ в поєднанні з ЦД 2 типу при тривалості  захворювання від 5 до 10 років (52,07 (51,27; 52,98) мкмоль/мл, </w:t>
      </w:r>
      <w:r>
        <w:rPr>
          <w:sz w:val="28"/>
          <w:szCs w:val="28"/>
        </w:rPr>
        <w:t>p</w:t>
      </w:r>
      <w:r>
        <w:rPr>
          <w:sz w:val="28"/>
          <w:szCs w:val="28"/>
          <w:lang w:val="uk-UA"/>
        </w:rPr>
        <w:t xml:space="preserve"> ˂ 0,001) та більше 10 років (54,81 (52,65; 58,23) мкмоль/л, </w:t>
      </w:r>
      <w:r>
        <w:rPr>
          <w:sz w:val="28"/>
          <w:szCs w:val="28"/>
        </w:rPr>
        <w:t>p</w:t>
      </w:r>
      <w:r>
        <w:rPr>
          <w:sz w:val="28"/>
          <w:szCs w:val="28"/>
          <w:lang w:val="uk-UA"/>
        </w:rPr>
        <w:t xml:space="preserve"> ˂ 0,001) рівень ГЦ був достовірно вище, ніж у хворих з тривалістю хвороби до 5 років (43,02 (30,89; 48,55) мкмоль/л). </w:t>
      </w:r>
      <w:r w:rsidR="0047048A">
        <w:rPr>
          <w:sz w:val="28"/>
          <w:szCs w:val="28"/>
          <w:lang w:val="uk-UA"/>
        </w:rPr>
        <w:t>Вміст ГЦ сироватки крові у хворих НАСГ з тривалістю захворювання більше 10 років був вірогідно вище (</w:t>
      </w:r>
      <w:r w:rsidR="0047048A">
        <w:rPr>
          <w:sz w:val="28"/>
          <w:szCs w:val="28"/>
        </w:rPr>
        <w:t>p</w:t>
      </w:r>
      <w:r>
        <w:rPr>
          <w:sz w:val="28"/>
          <w:szCs w:val="28"/>
          <w:lang w:val="uk-UA"/>
        </w:rPr>
        <w:t xml:space="preserve"> </w:t>
      </w:r>
      <w:r w:rsidR="0047048A">
        <w:rPr>
          <w:sz w:val="28"/>
          <w:szCs w:val="28"/>
          <w:lang w:val="uk-UA"/>
        </w:rPr>
        <w:t>˂</w:t>
      </w:r>
      <w:r>
        <w:rPr>
          <w:sz w:val="28"/>
          <w:szCs w:val="28"/>
          <w:lang w:val="uk-UA"/>
        </w:rPr>
        <w:t xml:space="preserve"> </w:t>
      </w:r>
      <w:r w:rsidR="0047048A">
        <w:rPr>
          <w:sz w:val="28"/>
          <w:szCs w:val="28"/>
          <w:lang w:val="uk-UA"/>
        </w:rPr>
        <w:t>0,05) (34,27 (32,28;</w:t>
      </w:r>
      <w:r>
        <w:rPr>
          <w:sz w:val="28"/>
          <w:szCs w:val="28"/>
          <w:lang w:val="uk-UA"/>
        </w:rPr>
        <w:t xml:space="preserve"> </w:t>
      </w:r>
      <w:r w:rsidR="0047048A">
        <w:rPr>
          <w:sz w:val="28"/>
          <w:szCs w:val="28"/>
          <w:lang w:val="uk-UA"/>
        </w:rPr>
        <w:t>36,55) мкмоль/л), ніж у хворих з тривалістю до 5 років (30,64 (29,4;</w:t>
      </w:r>
      <w:r>
        <w:rPr>
          <w:sz w:val="28"/>
          <w:szCs w:val="28"/>
          <w:lang w:val="uk-UA"/>
        </w:rPr>
        <w:t xml:space="preserve"> </w:t>
      </w:r>
      <w:r w:rsidR="0047048A">
        <w:rPr>
          <w:sz w:val="28"/>
          <w:szCs w:val="28"/>
          <w:lang w:val="uk-UA"/>
        </w:rPr>
        <w:t>32,51) мкмоль/л) та від 5 до 10 років (30,45 (29,9;</w:t>
      </w:r>
      <w:r>
        <w:rPr>
          <w:sz w:val="28"/>
          <w:szCs w:val="28"/>
          <w:lang w:val="uk-UA"/>
        </w:rPr>
        <w:t xml:space="preserve"> </w:t>
      </w:r>
      <w:r w:rsidR="0047048A">
        <w:rPr>
          <w:sz w:val="28"/>
          <w:szCs w:val="28"/>
          <w:lang w:val="uk-UA"/>
        </w:rPr>
        <w:t xml:space="preserve">38,27) мкмоль/л). </w:t>
      </w:r>
    </w:p>
    <w:p w:rsidR="0047048A" w:rsidRDefault="0047048A" w:rsidP="0047048A">
      <w:pPr>
        <w:tabs>
          <w:tab w:val="left" w:pos="1440"/>
        </w:tabs>
        <w:spacing w:line="360" w:lineRule="auto"/>
        <w:ind w:firstLine="709"/>
        <w:jc w:val="both"/>
        <w:rPr>
          <w:sz w:val="28"/>
          <w:szCs w:val="28"/>
          <w:lang w:val="uk-UA"/>
        </w:rPr>
      </w:pPr>
      <w:r>
        <w:rPr>
          <w:sz w:val="28"/>
          <w:szCs w:val="28"/>
          <w:lang w:val="uk-UA"/>
        </w:rPr>
        <w:t xml:space="preserve">Відомо, що реалізація негативного впливу ГГЦ на метаболічні процеси в організмі відбувається шляхом порушення процесів метилування та індукції хімічної модифікації регуляторних білків, в тому числі </w:t>
      </w:r>
      <w:r w:rsidR="00113E76">
        <w:rPr>
          <w:sz w:val="28"/>
          <w:szCs w:val="28"/>
          <w:lang w:val="uk-UA"/>
        </w:rPr>
        <w:t>ліпопротеїдів</w:t>
      </w:r>
      <w:r>
        <w:rPr>
          <w:sz w:val="28"/>
          <w:szCs w:val="28"/>
          <w:lang w:val="uk-UA"/>
        </w:rPr>
        <w:t xml:space="preserve"> [161, 180].  </w:t>
      </w:r>
      <w:r>
        <w:rPr>
          <w:sz w:val="28"/>
          <w:szCs w:val="28"/>
          <w:lang w:val="uk-UA"/>
        </w:rPr>
        <w:lastRenderedPageBreak/>
        <w:t xml:space="preserve">Тому метою наших </w:t>
      </w:r>
      <w:r w:rsidR="00113E76">
        <w:rPr>
          <w:sz w:val="28"/>
          <w:szCs w:val="28"/>
          <w:lang w:val="uk-UA"/>
        </w:rPr>
        <w:t>досліджень</w:t>
      </w:r>
      <w:r>
        <w:rPr>
          <w:sz w:val="28"/>
          <w:szCs w:val="28"/>
          <w:lang w:val="uk-UA"/>
        </w:rPr>
        <w:t xml:space="preserve"> стало з’</w:t>
      </w:r>
      <w:r>
        <w:rPr>
          <w:sz w:val="28"/>
          <w:szCs w:val="28"/>
        </w:rPr>
        <w:t xml:space="preserve">ясування </w:t>
      </w:r>
      <w:r w:rsidR="00113E76">
        <w:rPr>
          <w:sz w:val="28"/>
          <w:szCs w:val="28"/>
          <w:lang w:val="uk-UA"/>
        </w:rPr>
        <w:t>причетності</w:t>
      </w:r>
      <w:r>
        <w:rPr>
          <w:sz w:val="28"/>
          <w:szCs w:val="28"/>
          <w:lang w:val="uk-UA"/>
        </w:rPr>
        <w:t xml:space="preserve"> ГГЦ до метаболічних порушень при НАСГ</w:t>
      </w:r>
      <w:r w:rsidR="00113E76">
        <w:rPr>
          <w:sz w:val="28"/>
          <w:szCs w:val="28"/>
          <w:lang w:val="uk-UA"/>
        </w:rPr>
        <w:t xml:space="preserve"> в поєднанні з ЦД 2 типу</w:t>
      </w:r>
      <w:r>
        <w:rPr>
          <w:sz w:val="28"/>
          <w:szCs w:val="28"/>
          <w:lang w:val="uk-UA"/>
        </w:rPr>
        <w:t>.</w:t>
      </w:r>
    </w:p>
    <w:p w:rsidR="0047048A" w:rsidRDefault="0047048A" w:rsidP="0047048A">
      <w:pPr>
        <w:spacing w:line="360" w:lineRule="auto"/>
        <w:ind w:firstLine="709"/>
        <w:jc w:val="both"/>
        <w:rPr>
          <w:sz w:val="28"/>
          <w:szCs w:val="28"/>
          <w:lang w:val="uk-UA"/>
        </w:rPr>
      </w:pPr>
      <w:r>
        <w:rPr>
          <w:sz w:val="28"/>
          <w:szCs w:val="28"/>
          <w:lang w:val="uk-UA"/>
        </w:rPr>
        <w:t>Нами встановлена сильна кореляційна залежність між ГЦ та прозапальними цитокінами (табл. 3.3.5.).</w:t>
      </w:r>
    </w:p>
    <w:p w:rsidR="0047048A" w:rsidRDefault="0047048A" w:rsidP="0047048A">
      <w:pPr>
        <w:spacing w:line="360" w:lineRule="auto"/>
        <w:ind w:firstLine="709"/>
        <w:jc w:val="right"/>
        <w:rPr>
          <w:sz w:val="28"/>
          <w:szCs w:val="28"/>
          <w:lang w:val="uk-UA"/>
        </w:rPr>
      </w:pPr>
      <w:r>
        <w:rPr>
          <w:sz w:val="28"/>
          <w:szCs w:val="28"/>
          <w:lang w:val="uk-UA"/>
        </w:rPr>
        <w:t>Таблиця 3.3.5</w:t>
      </w:r>
    </w:p>
    <w:p w:rsidR="0047048A" w:rsidRDefault="0047048A" w:rsidP="00113E76">
      <w:pPr>
        <w:spacing w:line="360" w:lineRule="auto"/>
        <w:ind w:firstLine="709"/>
        <w:jc w:val="center"/>
        <w:rPr>
          <w:sz w:val="28"/>
          <w:szCs w:val="28"/>
          <w:lang w:val="uk-UA"/>
        </w:rPr>
      </w:pPr>
      <w:r>
        <w:rPr>
          <w:sz w:val="28"/>
          <w:szCs w:val="28"/>
          <w:lang w:val="uk-UA"/>
        </w:rPr>
        <w:t>Кореляційні зв’язки між рівнем ГЦ та ФНП</w:t>
      </w:r>
      <w:r w:rsidR="00CF6631">
        <w:rPr>
          <w:sz w:val="28"/>
          <w:szCs w:val="28"/>
          <w:lang w:val="uk-UA"/>
        </w:rPr>
        <w:t>–</w:t>
      </w:r>
      <w:r>
        <w:rPr>
          <w:sz w:val="28"/>
          <w:szCs w:val="28"/>
          <w:lang w:val="uk-UA"/>
        </w:rPr>
        <w:t>α і ІЛ</w:t>
      </w:r>
      <w:r w:rsidR="00CF6631">
        <w:rPr>
          <w:sz w:val="28"/>
          <w:szCs w:val="28"/>
          <w:lang w:val="uk-UA"/>
        </w:rPr>
        <w:t>–</w:t>
      </w:r>
      <w:r>
        <w:rPr>
          <w:sz w:val="28"/>
          <w:szCs w:val="28"/>
          <w:lang w:val="uk-UA"/>
        </w:rPr>
        <w:t xml:space="preserve">6 в сироватці крові у хворих </w:t>
      </w:r>
      <w:r w:rsidR="00113E76">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47048A" w:rsidTr="00113E76">
        <w:tc>
          <w:tcPr>
            <w:tcW w:w="3190" w:type="dxa"/>
            <w:vMerge w:val="restart"/>
            <w:vAlign w:val="center"/>
          </w:tcPr>
          <w:p w:rsidR="0047048A" w:rsidRDefault="0047048A" w:rsidP="00113E76">
            <w:pPr>
              <w:spacing w:line="360" w:lineRule="auto"/>
              <w:jc w:val="center"/>
              <w:rPr>
                <w:sz w:val="28"/>
                <w:szCs w:val="28"/>
                <w:lang w:val="uk-UA"/>
              </w:rPr>
            </w:pPr>
            <w:r>
              <w:rPr>
                <w:sz w:val="28"/>
                <w:szCs w:val="28"/>
                <w:lang w:val="uk-UA"/>
              </w:rPr>
              <w:t>Показники</w:t>
            </w:r>
          </w:p>
        </w:tc>
        <w:tc>
          <w:tcPr>
            <w:tcW w:w="6381" w:type="dxa"/>
            <w:gridSpan w:val="2"/>
            <w:vAlign w:val="center"/>
          </w:tcPr>
          <w:p w:rsidR="0047048A" w:rsidRDefault="0047048A" w:rsidP="00113E76">
            <w:pPr>
              <w:spacing w:line="360" w:lineRule="auto"/>
              <w:jc w:val="center"/>
              <w:rPr>
                <w:sz w:val="28"/>
                <w:szCs w:val="28"/>
                <w:lang w:val="uk-UA"/>
              </w:rPr>
            </w:pPr>
            <w:r>
              <w:rPr>
                <w:sz w:val="28"/>
                <w:szCs w:val="28"/>
                <w:lang w:val="en-US"/>
              </w:rPr>
              <w:t>ГЦ</w:t>
            </w:r>
          </w:p>
        </w:tc>
      </w:tr>
      <w:tr w:rsidR="0047048A" w:rsidTr="00113E76">
        <w:tc>
          <w:tcPr>
            <w:tcW w:w="0" w:type="auto"/>
            <w:vMerge/>
            <w:vAlign w:val="center"/>
          </w:tcPr>
          <w:p w:rsidR="0047048A" w:rsidRDefault="0047048A" w:rsidP="00113E76">
            <w:pPr>
              <w:rPr>
                <w:sz w:val="28"/>
                <w:szCs w:val="28"/>
                <w:lang w:val="uk-UA"/>
              </w:rPr>
            </w:pPr>
          </w:p>
        </w:tc>
        <w:tc>
          <w:tcPr>
            <w:tcW w:w="3190" w:type="dxa"/>
            <w:vAlign w:val="center"/>
          </w:tcPr>
          <w:p w:rsidR="0047048A" w:rsidRDefault="0047048A" w:rsidP="00113E76">
            <w:pPr>
              <w:spacing w:line="360" w:lineRule="auto"/>
              <w:jc w:val="center"/>
              <w:rPr>
                <w:sz w:val="28"/>
                <w:szCs w:val="28"/>
                <w:lang w:val="uk-UA"/>
              </w:rPr>
            </w:pPr>
            <w:r>
              <w:rPr>
                <w:sz w:val="28"/>
                <w:szCs w:val="28"/>
                <w:lang w:val="uk-UA"/>
              </w:rPr>
              <w:t xml:space="preserve">1 група </w:t>
            </w:r>
          </w:p>
        </w:tc>
        <w:tc>
          <w:tcPr>
            <w:tcW w:w="3191" w:type="dxa"/>
            <w:vAlign w:val="center"/>
          </w:tcPr>
          <w:p w:rsidR="0047048A" w:rsidRDefault="0047048A" w:rsidP="00113E76">
            <w:pPr>
              <w:spacing w:line="360" w:lineRule="auto"/>
              <w:jc w:val="center"/>
              <w:rPr>
                <w:sz w:val="28"/>
                <w:szCs w:val="28"/>
                <w:lang w:val="uk-UA"/>
              </w:rPr>
            </w:pPr>
            <w:r>
              <w:rPr>
                <w:sz w:val="28"/>
                <w:szCs w:val="28"/>
                <w:lang w:val="uk-UA"/>
              </w:rPr>
              <w:t>2 група</w:t>
            </w:r>
          </w:p>
        </w:tc>
      </w:tr>
      <w:tr w:rsidR="00113E76" w:rsidTr="00113E76">
        <w:tc>
          <w:tcPr>
            <w:tcW w:w="3190" w:type="dxa"/>
            <w:vAlign w:val="center"/>
          </w:tcPr>
          <w:p w:rsidR="00113E76" w:rsidRDefault="00113E76" w:rsidP="00113E76">
            <w:pPr>
              <w:spacing w:line="360" w:lineRule="auto"/>
              <w:jc w:val="center"/>
              <w:rPr>
                <w:sz w:val="28"/>
                <w:szCs w:val="28"/>
                <w:lang w:val="uk-UA"/>
              </w:rPr>
            </w:pPr>
            <w:r>
              <w:rPr>
                <w:sz w:val="28"/>
                <w:szCs w:val="28"/>
                <w:lang w:val="uk-UA"/>
              </w:rPr>
              <w:t>ФНП–α</w:t>
            </w:r>
          </w:p>
        </w:tc>
        <w:tc>
          <w:tcPr>
            <w:tcW w:w="3190" w:type="dxa"/>
            <w:vAlign w:val="center"/>
          </w:tcPr>
          <w:p w:rsidR="00113E76" w:rsidRDefault="00113E76" w:rsidP="00113E76">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0,68*</w:t>
            </w:r>
          </w:p>
        </w:tc>
        <w:tc>
          <w:tcPr>
            <w:tcW w:w="3191" w:type="dxa"/>
            <w:vAlign w:val="center"/>
          </w:tcPr>
          <w:p w:rsidR="00113E76" w:rsidRDefault="00113E76" w:rsidP="00113E76">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 xml:space="preserve"> 0,76*</w:t>
            </w:r>
          </w:p>
        </w:tc>
      </w:tr>
      <w:tr w:rsidR="00113E76" w:rsidTr="00113E76">
        <w:tc>
          <w:tcPr>
            <w:tcW w:w="3190" w:type="dxa"/>
            <w:vAlign w:val="center"/>
          </w:tcPr>
          <w:p w:rsidR="00113E76" w:rsidRDefault="00113E76" w:rsidP="00113E76">
            <w:pPr>
              <w:spacing w:line="360" w:lineRule="auto"/>
              <w:jc w:val="center"/>
              <w:rPr>
                <w:sz w:val="28"/>
                <w:szCs w:val="28"/>
                <w:lang w:val="uk-UA"/>
              </w:rPr>
            </w:pPr>
            <w:r>
              <w:rPr>
                <w:sz w:val="28"/>
                <w:szCs w:val="28"/>
                <w:lang w:val="uk-UA"/>
              </w:rPr>
              <w:t>ІЛ–6</w:t>
            </w:r>
          </w:p>
        </w:tc>
        <w:tc>
          <w:tcPr>
            <w:tcW w:w="3190" w:type="dxa"/>
            <w:vAlign w:val="center"/>
          </w:tcPr>
          <w:p w:rsidR="00113E76" w:rsidRDefault="00113E76" w:rsidP="00113E76">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0,73*</w:t>
            </w:r>
          </w:p>
        </w:tc>
        <w:tc>
          <w:tcPr>
            <w:tcW w:w="3191" w:type="dxa"/>
            <w:vAlign w:val="center"/>
          </w:tcPr>
          <w:p w:rsidR="00113E76" w:rsidRDefault="00113E76" w:rsidP="00113E76">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0,75*</w:t>
            </w:r>
          </w:p>
        </w:tc>
      </w:tr>
    </w:tbl>
    <w:p w:rsidR="00113E76" w:rsidRDefault="0047048A" w:rsidP="0047048A">
      <w:pPr>
        <w:spacing w:line="360" w:lineRule="auto"/>
        <w:ind w:firstLine="709"/>
        <w:jc w:val="both"/>
        <w:rPr>
          <w:sz w:val="28"/>
          <w:szCs w:val="28"/>
        </w:rPr>
      </w:pPr>
      <w:r>
        <w:rPr>
          <w:b/>
          <w:sz w:val="28"/>
          <w:szCs w:val="28"/>
          <w:lang w:val="uk-UA"/>
        </w:rPr>
        <w:t xml:space="preserve">Примітка: </w:t>
      </w:r>
      <w:r>
        <w:rPr>
          <w:sz w:val="28"/>
          <w:szCs w:val="28"/>
          <w:lang w:val="uk-UA"/>
        </w:rPr>
        <w:t xml:space="preserve">* – </w:t>
      </w:r>
      <w:r>
        <w:rPr>
          <w:sz w:val="28"/>
          <w:szCs w:val="28"/>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0,01</w:t>
      </w:r>
    </w:p>
    <w:p w:rsidR="0047048A" w:rsidRDefault="0047048A" w:rsidP="0047048A">
      <w:pPr>
        <w:spacing w:line="360" w:lineRule="auto"/>
        <w:ind w:firstLine="709"/>
        <w:jc w:val="both"/>
        <w:rPr>
          <w:sz w:val="28"/>
          <w:szCs w:val="28"/>
          <w:lang w:val="uk-UA"/>
        </w:rPr>
      </w:pPr>
      <w:r>
        <w:rPr>
          <w:sz w:val="28"/>
          <w:szCs w:val="28"/>
          <w:lang w:val="uk-UA"/>
        </w:rPr>
        <w:t>При аналізі отриманих результатів була виявлена кореляційна залежність між ГЦ та ФНП</w:t>
      </w:r>
      <w:r w:rsidR="00CF6631">
        <w:rPr>
          <w:sz w:val="28"/>
          <w:szCs w:val="28"/>
          <w:lang w:val="uk-UA"/>
        </w:rPr>
        <w:t>–</w:t>
      </w:r>
      <w:r>
        <w:rPr>
          <w:sz w:val="28"/>
          <w:szCs w:val="28"/>
          <w:lang w:val="uk-UA"/>
        </w:rPr>
        <w:t xml:space="preserve">α, як в </w:t>
      </w:r>
      <w:r w:rsidR="00113E76">
        <w:rPr>
          <w:sz w:val="28"/>
          <w:szCs w:val="28"/>
          <w:lang w:val="uk-UA"/>
        </w:rPr>
        <w:t>1</w:t>
      </w:r>
      <w:r>
        <w:rPr>
          <w:sz w:val="28"/>
          <w:szCs w:val="28"/>
          <w:lang w:val="uk-UA"/>
        </w:rPr>
        <w:t xml:space="preserve"> (</w:t>
      </w:r>
      <w:r>
        <w:rPr>
          <w:sz w:val="28"/>
          <w:szCs w:val="28"/>
          <w:lang w:val="en-US"/>
        </w:rPr>
        <w:t>r</w:t>
      </w:r>
      <w:r w:rsidR="00113E76">
        <w:rPr>
          <w:sz w:val="28"/>
          <w:szCs w:val="28"/>
          <w:lang w:val="uk-UA"/>
        </w:rPr>
        <w:t xml:space="preserve"> = 0,</w:t>
      </w:r>
      <w:r>
        <w:rPr>
          <w:sz w:val="28"/>
          <w:szCs w:val="28"/>
          <w:lang w:val="uk-UA"/>
        </w:rPr>
        <w:t>6</w:t>
      </w:r>
      <w:r w:rsidR="00113E76">
        <w:rPr>
          <w:sz w:val="28"/>
          <w:szCs w:val="28"/>
          <w:lang w:val="uk-UA"/>
        </w:rPr>
        <w:t>8</w:t>
      </w:r>
      <w:r>
        <w:rPr>
          <w:sz w:val="28"/>
          <w:szCs w:val="28"/>
          <w:lang w:val="uk-UA"/>
        </w:rPr>
        <w:t>; (</w:t>
      </w:r>
      <w:r>
        <w:rPr>
          <w:sz w:val="28"/>
          <w:szCs w:val="28"/>
          <w:lang w:val="en-US"/>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0,01)), так і в 2 групах (</w:t>
      </w:r>
      <w:r>
        <w:rPr>
          <w:sz w:val="28"/>
          <w:szCs w:val="28"/>
          <w:lang w:val="en-US"/>
        </w:rPr>
        <w:t>r</w:t>
      </w:r>
      <w:r>
        <w:rPr>
          <w:sz w:val="28"/>
          <w:szCs w:val="28"/>
          <w:lang w:val="uk-UA"/>
        </w:rPr>
        <w:t xml:space="preserve"> =</w:t>
      </w:r>
      <w:r w:rsidR="00113E76">
        <w:rPr>
          <w:sz w:val="28"/>
          <w:szCs w:val="28"/>
          <w:lang w:val="uk-UA"/>
        </w:rPr>
        <w:t xml:space="preserve"> </w:t>
      </w:r>
      <w:r>
        <w:rPr>
          <w:sz w:val="28"/>
          <w:szCs w:val="28"/>
          <w:lang w:val="uk-UA"/>
        </w:rPr>
        <w:t>0,</w:t>
      </w:r>
      <w:r w:rsidR="00113E76">
        <w:rPr>
          <w:sz w:val="28"/>
          <w:szCs w:val="28"/>
          <w:lang w:val="uk-UA"/>
        </w:rPr>
        <w:t>7</w:t>
      </w:r>
      <w:r>
        <w:rPr>
          <w:sz w:val="28"/>
          <w:szCs w:val="28"/>
          <w:lang w:val="uk-UA"/>
        </w:rPr>
        <w:t>6; (</w:t>
      </w:r>
      <w:r>
        <w:rPr>
          <w:sz w:val="28"/>
          <w:szCs w:val="28"/>
          <w:lang w:val="en-US"/>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0,01)). Рівень ІЛ</w:t>
      </w:r>
      <w:r w:rsidR="00CF6631">
        <w:rPr>
          <w:sz w:val="28"/>
          <w:szCs w:val="28"/>
          <w:lang w:val="uk-UA"/>
        </w:rPr>
        <w:t>–</w:t>
      </w:r>
      <w:r>
        <w:rPr>
          <w:sz w:val="28"/>
          <w:szCs w:val="28"/>
          <w:lang w:val="uk-UA"/>
        </w:rPr>
        <w:t xml:space="preserve">6 також мав сильний кореляційний зв’язок з ГЦ. В </w:t>
      </w:r>
      <w:r w:rsidR="00113E76">
        <w:rPr>
          <w:sz w:val="28"/>
          <w:szCs w:val="28"/>
          <w:lang w:val="uk-UA"/>
        </w:rPr>
        <w:t>1</w:t>
      </w:r>
      <w:r>
        <w:rPr>
          <w:sz w:val="28"/>
          <w:szCs w:val="28"/>
          <w:lang w:val="uk-UA"/>
        </w:rPr>
        <w:t xml:space="preserve"> групі коефіцієнт кореляції склав </w:t>
      </w:r>
      <w:r>
        <w:rPr>
          <w:sz w:val="28"/>
          <w:szCs w:val="28"/>
          <w:lang w:val="en-US"/>
        </w:rPr>
        <w:t>r</w:t>
      </w:r>
      <w:r>
        <w:rPr>
          <w:sz w:val="28"/>
          <w:szCs w:val="28"/>
          <w:lang w:val="uk-UA"/>
        </w:rPr>
        <w:t xml:space="preserve"> =</w:t>
      </w:r>
      <w:r w:rsidR="00113E76">
        <w:rPr>
          <w:sz w:val="28"/>
          <w:szCs w:val="28"/>
          <w:lang w:val="uk-UA"/>
        </w:rPr>
        <w:t xml:space="preserve"> 0</w:t>
      </w:r>
      <w:r>
        <w:rPr>
          <w:sz w:val="28"/>
          <w:szCs w:val="28"/>
          <w:lang w:val="uk-UA"/>
        </w:rPr>
        <w:t>,7</w:t>
      </w:r>
      <w:r w:rsidR="00113E76">
        <w:rPr>
          <w:sz w:val="28"/>
          <w:szCs w:val="28"/>
          <w:lang w:val="uk-UA"/>
        </w:rPr>
        <w:t>3</w:t>
      </w:r>
      <w:r>
        <w:rPr>
          <w:sz w:val="28"/>
          <w:szCs w:val="28"/>
          <w:lang w:val="uk-UA"/>
        </w:rPr>
        <w:t xml:space="preserve"> (</w:t>
      </w:r>
      <w:r>
        <w:rPr>
          <w:sz w:val="28"/>
          <w:szCs w:val="28"/>
          <w:lang w:val="en-US"/>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 xml:space="preserve">0,01), в 2 – </w:t>
      </w:r>
      <w:r>
        <w:rPr>
          <w:sz w:val="28"/>
          <w:szCs w:val="28"/>
          <w:lang w:val="en-US"/>
        </w:rPr>
        <w:t>r</w:t>
      </w:r>
      <w:r>
        <w:rPr>
          <w:sz w:val="28"/>
          <w:szCs w:val="28"/>
          <w:lang w:val="uk-UA"/>
        </w:rPr>
        <w:t xml:space="preserve"> =</w:t>
      </w:r>
      <w:r w:rsidR="00113E76">
        <w:rPr>
          <w:sz w:val="28"/>
          <w:szCs w:val="28"/>
          <w:lang w:val="uk-UA"/>
        </w:rPr>
        <w:t xml:space="preserve"> </w:t>
      </w:r>
      <w:r>
        <w:rPr>
          <w:sz w:val="28"/>
          <w:szCs w:val="28"/>
          <w:lang w:val="uk-UA"/>
        </w:rPr>
        <w:t>0,7</w:t>
      </w:r>
      <w:r w:rsidR="00113E76">
        <w:rPr>
          <w:sz w:val="28"/>
          <w:szCs w:val="28"/>
          <w:lang w:val="uk-UA"/>
        </w:rPr>
        <w:t>5</w:t>
      </w:r>
      <w:r>
        <w:rPr>
          <w:sz w:val="28"/>
          <w:szCs w:val="28"/>
          <w:lang w:val="uk-UA"/>
        </w:rPr>
        <w:t xml:space="preserve"> (</w:t>
      </w:r>
      <w:r>
        <w:rPr>
          <w:sz w:val="28"/>
          <w:szCs w:val="28"/>
          <w:lang w:val="en-US"/>
        </w:rPr>
        <w:t>p</w:t>
      </w:r>
      <w:r w:rsidR="00113E76">
        <w:rPr>
          <w:sz w:val="28"/>
          <w:szCs w:val="28"/>
          <w:lang w:val="uk-UA"/>
        </w:rPr>
        <w:t xml:space="preserve"> </w:t>
      </w:r>
      <w:r>
        <w:rPr>
          <w:sz w:val="28"/>
          <w:szCs w:val="28"/>
          <w:lang w:val="uk-UA"/>
        </w:rPr>
        <w:t>&lt;</w:t>
      </w:r>
      <w:r w:rsidR="00113E76">
        <w:rPr>
          <w:sz w:val="28"/>
          <w:szCs w:val="28"/>
          <w:lang w:val="uk-UA"/>
        </w:rPr>
        <w:t xml:space="preserve"> </w:t>
      </w:r>
      <w:r>
        <w:rPr>
          <w:sz w:val="28"/>
          <w:szCs w:val="28"/>
          <w:lang w:val="uk-UA"/>
        </w:rPr>
        <w:t xml:space="preserve">0,01). </w:t>
      </w:r>
    </w:p>
    <w:p w:rsidR="0047048A" w:rsidRDefault="0047048A" w:rsidP="0047048A">
      <w:pPr>
        <w:spacing w:line="360" w:lineRule="auto"/>
        <w:ind w:firstLine="709"/>
        <w:jc w:val="both"/>
        <w:rPr>
          <w:sz w:val="28"/>
          <w:szCs w:val="28"/>
          <w:lang w:val="uk-UA"/>
        </w:rPr>
      </w:pPr>
      <w:r>
        <w:rPr>
          <w:sz w:val="28"/>
          <w:szCs w:val="28"/>
          <w:lang w:val="uk-UA"/>
        </w:rPr>
        <w:t xml:space="preserve">Додатковим підтвердженням патогенетичного зв’язку між ГЦ та розвитком системного запалення є виявлена нами кореляційна залежність рівня цитолітичних ферментів печінки від </w:t>
      </w:r>
      <w:r w:rsidR="00113E76">
        <w:rPr>
          <w:sz w:val="28"/>
          <w:szCs w:val="28"/>
          <w:lang w:val="uk-UA"/>
        </w:rPr>
        <w:t>вмісту</w:t>
      </w:r>
      <w:r>
        <w:rPr>
          <w:sz w:val="28"/>
          <w:szCs w:val="28"/>
          <w:lang w:val="uk-UA"/>
        </w:rPr>
        <w:t xml:space="preserve"> ГЦ сироватки крові. В </w:t>
      </w:r>
      <w:r w:rsidR="00113E76">
        <w:rPr>
          <w:sz w:val="28"/>
          <w:szCs w:val="28"/>
          <w:lang w:val="uk-UA"/>
        </w:rPr>
        <w:t>1</w:t>
      </w:r>
      <w:r>
        <w:rPr>
          <w:sz w:val="28"/>
          <w:szCs w:val="28"/>
          <w:lang w:val="uk-UA"/>
        </w:rPr>
        <w:t xml:space="preserve"> групі хворих коефіцієнт кореляції між ГЦ та АЛТ склав </w:t>
      </w:r>
      <w:r>
        <w:rPr>
          <w:sz w:val="28"/>
          <w:szCs w:val="28"/>
          <w:lang w:val="en-US"/>
        </w:rPr>
        <w:t>r</w:t>
      </w:r>
      <w:r w:rsidR="00E53258">
        <w:rPr>
          <w:sz w:val="28"/>
          <w:szCs w:val="28"/>
          <w:lang w:val="uk-UA"/>
        </w:rPr>
        <w:t xml:space="preserve"> = 0,72</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0,01), в 2 групі </w:t>
      </w:r>
      <w:r w:rsidR="00CF6631">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E53258">
        <w:rPr>
          <w:sz w:val="28"/>
          <w:szCs w:val="28"/>
          <w:lang w:val="uk-UA"/>
        </w:rPr>
        <w:t xml:space="preserve"> </w:t>
      </w:r>
      <w:r>
        <w:rPr>
          <w:sz w:val="28"/>
          <w:szCs w:val="28"/>
          <w:lang w:val="uk-UA"/>
        </w:rPr>
        <w:t>0,7</w:t>
      </w:r>
      <w:r w:rsidR="00E53258">
        <w:rPr>
          <w:sz w:val="28"/>
          <w:szCs w:val="28"/>
          <w:lang w:val="uk-UA"/>
        </w:rPr>
        <w:t>7</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0,01). Показник АСТ в обох групах пацієнтів також мав кореляційну залежність від ГЦ: </w:t>
      </w:r>
      <w:r>
        <w:rPr>
          <w:sz w:val="28"/>
          <w:szCs w:val="28"/>
          <w:lang w:val="en-US"/>
        </w:rPr>
        <w:t>r</w:t>
      </w:r>
      <w:r>
        <w:rPr>
          <w:sz w:val="28"/>
          <w:szCs w:val="28"/>
          <w:lang w:val="uk-UA"/>
        </w:rPr>
        <w:t xml:space="preserve"> =</w:t>
      </w:r>
      <w:r w:rsidR="00E53258">
        <w:rPr>
          <w:sz w:val="28"/>
          <w:szCs w:val="28"/>
          <w:lang w:val="uk-UA"/>
        </w:rPr>
        <w:t xml:space="preserve"> </w:t>
      </w:r>
      <w:r>
        <w:rPr>
          <w:sz w:val="28"/>
          <w:szCs w:val="28"/>
          <w:lang w:val="uk-UA"/>
        </w:rPr>
        <w:t>0,7</w:t>
      </w:r>
      <w:r w:rsidR="00E53258">
        <w:rPr>
          <w:sz w:val="28"/>
          <w:szCs w:val="28"/>
          <w:lang w:val="uk-UA"/>
        </w:rPr>
        <w:t>5</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0,01) в </w:t>
      </w:r>
      <w:r w:rsidR="00113E76">
        <w:rPr>
          <w:sz w:val="28"/>
          <w:szCs w:val="28"/>
          <w:lang w:val="uk-UA"/>
        </w:rPr>
        <w:t>1</w:t>
      </w:r>
      <w:r>
        <w:rPr>
          <w:sz w:val="28"/>
          <w:szCs w:val="28"/>
          <w:lang w:val="uk-UA"/>
        </w:rPr>
        <w:t xml:space="preserve"> групі та </w:t>
      </w:r>
      <w:r>
        <w:rPr>
          <w:sz w:val="28"/>
          <w:szCs w:val="28"/>
          <w:lang w:val="en-US"/>
        </w:rPr>
        <w:t>r</w:t>
      </w:r>
      <w:r>
        <w:rPr>
          <w:sz w:val="28"/>
          <w:szCs w:val="28"/>
          <w:lang w:val="uk-UA"/>
        </w:rPr>
        <w:t xml:space="preserve"> =</w:t>
      </w:r>
      <w:r w:rsidR="00E53258">
        <w:rPr>
          <w:sz w:val="28"/>
          <w:szCs w:val="28"/>
          <w:lang w:val="uk-UA"/>
        </w:rPr>
        <w:t xml:space="preserve"> </w:t>
      </w:r>
      <w:r>
        <w:rPr>
          <w:sz w:val="28"/>
          <w:szCs w:val="28"/>
          <w:lang w:val="uk-UA"/>
        </w:rPr>
        <w:t>0,7</w:t>
      </w:r>
      <w:r w:rsidR="00E53258">
        <w:rPr>
          <w:sz w:val="28"/>
          <w:szCs w:val="28"/>
          <w:lang w:val="uk-UA"/>
        </w:rPr>
        <w:t>7</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0,01) в 2 групі хворих. Окрім того, вміст прозапальних цитокінів та маркерів клітинного пошкодження  печінки вірогідно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0,001) зростав зі ступенем ГГЦ (табл. 3.3.6.).</w:t>
      </w:r>
    </w:p>
    <w:p w:rsidR="0047048A" w:rsidRDefault="0047048A" w:rsidP="0047048A">
      <w:pPr>
        <w:spacing w:line="360" w:lineRule="auto"/>
        <w:ind w:firstLine="709"/>
        <w:jc w:val="both"/>
        <w:rPr>
          <w:sz w:val="28"/>
          <w:szCs w:val="28"/>
          <w:lang w:val="uk-UA"/>
        </w:rPr>
      </w:pPr>
    </w:p>
    <w:p w:rsidR="0047048A" w:rsidRDefault="0047048A" w:rsidP="0047048A">
      <w:pPr>
        <w:spacing w:line="360" w:lineRule="auto"/>
        <w:ind w:firstLine="709"/>
        <w:jc w:val="both"/>
        <w:rPr>
          <w:sz w:val="28"/>
          <w:szCs w:val="28"/>
          <w:lang w:val="uk-UA"/>
        </w:rPr>
      </w:pPr>
    </w:p>
    <w:p w:rsidR="0047048A" w:rsidRDefault="0047048A" w:rsidP="0047048A">
      <w:pPr>
        <w:spacing w:line="360" w:lineRule="auto"/>
        <w:ind w:firstLine="709"/>
        <w:jc w:val="both"/>
        <w:rPr>
          <w:sz w:val="28"/>
          <w:szCs w:val="28"/>
          <w:lang w:val="uk-UA"/>
        </w:rPr>
      </w:pPr>
    </w:p>
    <w:p w:rsidR="0047048A" w:rsidRDefault="0047048A" w:rsidP="00E53258">
      <w:pPr>
        <w:spacing w:line="360" w:lineRule="auto"/>
        <w:jc w:val="both"/>
        <w:rPr>
          <w:sz w:val="28"/>
          <w:szCs w:val="28"/>
          <w:lang w:val="uk-UA"/>
        </w:rPr>
      </w:pPr>
    </w:p>
    <w:p w:rsidR="00E53258" w:rsidRDefault="00E53258" w:rsidP="00E53258">
      <w:pPr>
        <w:spacing w:line="360" w:lineRule="auto"/>
        <w:jc w:val="both"/>
        <w:rPr>
          <w:sz w:val="28"/>
          <w:szCs w:val="28"/>
          <w:lang w:val="uk-UA"/>
        </w:rPr>
      </w:pPr>
    </w:p>
    <w:p w:rsidR="0047048A" w:rsidRDefault="0047048A" w:rsidP="0047048A">
      <w:pPr>
        <w:spacing w:line="360" w:lineRule="auto"/>
        <w:ind w:firstLine="709"/>
        <w:jc w:val="both"/>
        <w:rPr>
          <w:sz w:val="28"/>
          <w:szCs w:val="28"/>
          <w:lang w:val="uk-UA"/>
        </w:rPr>
      </w:pPr>
    </w:p>
    <w:p w:rsidR="0047048A" w:rsidRDefault="0047048A" w:rsidP="0047048A">
      <w:pPr>
        <w:tabs>
          <w:tab w:val="left" w:pos="1440"/>
        </w:tabs>
        <w:spacing w:line="360" w:lineRule="auto"/>
        <w:ind w:firstLine="709"/>
        <w:jc w:val="right"/>
        <w:rPr>
          <w:sz w:val="28"/>
          <w:szCs w:val="28"/>
          <w:lang w:val="uk-UA"/>
        </w:rPr>
      </w:pPr>
      <w:r>
        <w:rPr>
          <w:sz w:val="28"/>
          <w:szCs w:val="28"/>
          <w:lang w:val="uk-UA"/>
        </w:rPr>
        <w:lastRenderedPageBreak/>
        <w:t>Таблиця 3.3.6</w:t>
      </w:r>
    </w:p>
    <w:p w:rsidR="0047048A" w:rsidRDefault="0047048A" w:rsidP="00E53258">
      <w:pPr>
        <w:spacing w:line="360" w:lineRule="auto"/>
        <w:ind w:firstLine="709"/>
        <w:jc w:val="center"/>
        <w:rPr>
          <w:sz w:val="28"/>
          <w:szCs w:val="28"/>
          <w:lang w:val="uk-UA"/>
        </w:rPr>
      </w:pPr>
      <w:r>
        <w:rPr>
          <w:sz w:val="28"/>
          <w:szCs w:val="28"/>
          <w:lang w:val="uk-UA"/>
        </w:rPr>
        <w:t>Вміст прозапальних цитокінів (Ме (25%;</w:t>
      </w:r>
      <w:r w:rsidR="00E53258">
        <w:rPr>
          <w:sz w:val="28"/>
          <w:szCs w:val="28"/>
          <w:lang w:val="uk-UA"/>
        </w:rPr>
        <w:t xml:space="preserve"> </w:t>
      </w:r>
      <w:r>
        <w:rPr>
          <w:sz w:val="28"/>
          <w:szCs w:val="28"/>
          <w:lang w:val="uk-UA"/>
        </w:rPr>
        <w:t>75%)) та цитолітичних ферментів печінки (</w:t>
      </w:r>
      <w:r>
        <w:rPr>
          <w:sz w:val="28"/>
          <w:szCs w:val="28"/>
          <w:lang w:val="en-US"/>
        </w:rPr>
        <w:t>M</w:t>
      </w:r>
      <w:r w:rsidR="00E53258">
        <w:rPr>
          <w:sz w:val="28"/>
          <w:szCs w:val="28"/>
          <w:lang w:val="uk-UA"/>
        </w:rPr>
        <w:t xml:space="preserve"> </w:t>
      </w:r>
      <w:r>
        <w:rPr>
          <w:sz w:val="28"/>
          <w:szCs w:val="28"/>
          <w:lang w:val="uk-UA"/>
        </w:rPr>
        <w:t>±</w:t>
      </w:r>
      <w:r w:rsidR="00E53258">
        <w:rPr>
          <w:sz w:val="28"/>
          <w:szCs w:val="28"/>
          <w:lang w:val="uk-UA"/>
        </w:rPr>
        <w:t xml:space="preserve"> </w:t>
      </w:r>
      <w:r>
        <w:rPr>
          <w:sz w:val="28"/>
          <w:szCs w:val="28"/>
          <w:lang w:val="en-US"/>
        </w:rPr>
        <w:t>m</w:t>
      </w:r>
      <w:r>
        <w:rPr>
          <w:sz w:val="28"/>
          <w:szCs w:val="28"/>
          <w:lang w:val="uk-UA"/>
        </w:rPr>
        <w:t xml:space="preserve">) у хворих </w:t>
      </w:r>
      <w:r w:rsidR="00E53258">
        <w:rPr>
          <w:sz w:val="28"/>
          <w:szCs w:val="28"/>
          <w:lang w:val="uk-UA"/>
        </w:rPr>
        <w:t xml:space="preserve">1 та 2 груп </w:t>
      </w:r>
      <w:r>
        <w:rPr>
          <w:sz w:val="28"/>
          <w:szCs w:val="28"/>
          <w:lang w:val="uk-UA"/>
        </w:rPr>
        <w:t>в залежності від ступеня ГГЦ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2553"/>
        <w:gridCol w:w="2734"/>
        <w:gridCol w:w="2580"/>
      </w:tblGrid>
      <w:tr w:rsidR="0047048A" w:rsidTr="00E53258">
        <w:tc>
          <w:tcPr>
            <w:tcW w:w="1225"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Показники</w:t>
            </w:r>
          </w:p>
        </w:tc>
        <w:tc>
          <w:tcPr>
            <w:tcW w:w="1225"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Рівень ГГЦ</w:t>
            </w:r>
          </w:p>
        </w:tc>
        <w:tc>
          <w:tcPr>
            <w:tcW w:w="1312" w:type="pct"/>
            <w:vAlign w:val="center"/>
          </w:tcPr>
          <w:p w:rsidR="0047048A" w:rsidRPr="00E53258" w:rsidRDefault="0047048A" w:rsidP="00E53258">
            <w:pPr>
              <w:tabs>
                <w:tab w:val="left" w:pos="1440"/>
              </w:tabs>
              <w:spacing w:line="360" w:lineRule="auto"/>
              <w:jc w:val="center"/>
              <w:rPr>
                <w:sz w:val="28"/>
                <w:szCs w:val="28"/>
                <w:lang w:val="uk-UA"/>
              </w:rPr>
            </w:pPr>
            <w:r>
              <w:rPr>
                <w:sz w:val="28"/>
                <w:szCs w:val="28"/>
                <w:lang w:val="uk-UA"/>
              </w:rPr>
              <w:t xml:space="preserve">1 група, </w:t>
            </w:r>
            <w:r>
              <w:rPr>
                <w:sz w:val="28"/>
                <w:szCs w:val="28"/>
              </w:rPr>
              <w:t>n</w:t>
            </w:r>
            <w:r w:rsidR="00E53258">
              <w:rPr>
                <w:sz w:val="28"/>
                <w:szCs w:val="28"/>
                <w:lang w:val="uk-UA"/>
              </w:rPr>
              <w:t xml:space="preserve"> </w:t>
            </w:r>
            <w:r>
              <w:rPr>
                <w:sz w:val="28"/>
                <w:szCs w:val="28"/>
              </w:rPr>
              <w:t>=</w:t>
            </w:r>
            <w:r w:rsidR="00E53258">
              <w:rPr>
                <w:sz w:val="28"/>
                <w:szCs w:val="28"/>
                <w:lang w:val="uk-UA"/>
              </w:rPr>
              <w:t xml:space="preserve"> </w:t>
            </w:r>
            <w:r>
              <w:rPr>
                <w:sz w:val="28"/>
                <w:szCs w:val="28"/>
              </w:rPr>
              <w:t>4</w:t>
            </w:r>
            <w:r w:rsidR="00E53258">
              <w:rPr>
                <w:sz w:val="28"/>
                <w:szCs w:val="28"/>
                <w:lang w:val="uk-UA"/>
              </w:rPr>
              <w:t>0</w:t>
            </w:r>
          </w:p>
        </w:tc>
        <w:tc>
          <w:tcPr>
            <w:tcW w:w="1238" w:type="pct"/>
            <w:vAlign w:val="center"/>
          </w:tcPr>
          <w:p w:rsidR="0047048A" w:rsidRPr="00E53258" w:rsidRDefault="0047048A" w:rsidP="00E53258">
            <w:pPr>
              <w:tabs>
                <w:tab w:val="left" w:pos="1440"/>
              </w:tabs>
              <w:spacing w:line="360" w:lineRule="auto"/>
              <w:jc w:val="center"/>
              <w:rPr>
                <w:sz w:val="28"/>
                <w:szCs w:val="28"/>
                <w:lang w:val="uk-UA"/>
              </w:rPr>
            </w:pPr>
            <w:r>
              <w:rPr>
                <w:sz w:val="28"/>
                <w:szCs w:val="28"/>
                <w:lang w:val="uk-UA"/>
              </w:rPr>
              <w:t xml:space="preserve">2 група, </w:t>
            </w:r>
            <w:r>
              <w:rPr>
                <w:sz w:val="28"/>
                <w:szCs w:val="28"/>
              </w:rPr>
              <w:t>n</w:t>
            </w:r>
            <w:r w:rsidR="00E53258">
              <w:rPr>
                <w:sz w:val="28"/>
                <w:szCs w:val="28"/>
                <w:lang w:val="uk-UA"/>
              </w:rPr>
              <w:t xml:space="preserve"> </w:t>
            </w:r>
            <w:r>
              <w:rPr>
                <w:sz w:val="28"/>
                <w:szCs w:val="28"/>
              </w:rPr>
              <w:t>=</w:t>
            </w:r>
            <w:r w:rsidR="00E53258">
              <w:rPr>
                <w:sz w:val="28"/>
                <w:szCs w:val="28"/>
                <w:lang w:val="uk-UA"/>
              </w:rPr>
              <w:t xml:space="preserve"> </w:t>
            </w:r>
            <w:r>
              <w:rPr>
                <w:sz w:val="28"/>
                <w:szCs w:val="28"/>
              </w:rPr>
              <w:t>4</w:t>
            </w:r>
            <w:r w:rsidR="00E53258">
              <w:rPr>
                <w:sz w:val="28"/>
                <w:szCs w:val="28"/>
                <w:lang w:val="uk-UA"/>
              </w:rPr>
              <w:t>5</w:t>
            </w:r>
          </w:p>
        </w:tc>
      </w:tr>
      <w:tr w:rsidR="00E53258" w:rsidTr="00E53258">
        <w:tc>
          <w:tcPr>
            <w:tcW w:w="1225" w:type="pct"/>
            <w:vMerge w:val="restart"/>
            <w:vAlign w:val="center"/>
          </w:tcPr>
          <w:p w:rsidR="00E53258" w:rsidRDefault="00E53258" w:rsidP="00113E76">
            <w:pPr>
              <w:tabs>
                <w:tab w:val="left" w:pos="1440"/>
              </w:tabs>
              <w:spacing w:line="360" w:lineRule="auto"/>
              <w:jc w:val="center"/>
              <w:rPr>
                <w:sz w:val="28"/>
                <w:szCs w:val="28"/>
                <w:lang w:val="uk-UA"/>
              </w:rPr>
            </w:pPr>
            <w:r>
              <w:rPr>
                <w:sz w:val="28"/>
                <w:szCs w:val="28"/>
                <w:lang w:val="uk-UA"/>
              </w:rPr>
              <w:t>ФНП–α, пг/мл</w:t>
            </w: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7,34 (7,16; 7,69)</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7,93 (7,63; 8,41)</w:t>
            </w:r>
          </w:p>
        </w:tc>
      </w:tr>
      <w:tr w:rsidR="00E53258" w:rsidTr="00E53258">
        <w:tc>
          <w:tcPr>
            <w:tcW w:w="0" w:type="auto"/>
            <w:vMerge/>
            <w:vAlign w:val="center"/>
          </w:tcPr>
          <w:p w:rsidR="00E53258" w:rsidRDefault="00E53258" w:rsidP="00113E76">
            <w:pPr>
              <w:rPr>
                <w:sz w:val="28"/>
                <w:szCs w:val="28"/>
                <w:lang w:val="uk-UA"/>
              </w:rPr>
            </w:pP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8,74 (8,06; 9,06)*</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9,0 (8,51; 9,08)*</w:t>
            </w:r>
          </w:p>
        </w:tc>
      </w:tr>
      <w:tr w:rsidR="00E53258" w:rsidTr="00E53258">
        <w:tc>
          <w:tcPr>
            <w:tcW w:w="1225" w:type="pct"/>
            <w:vMerge w:val="restart"/>
            <w:vAlign w:val="center"/>
          </w:tcPr>
          <w:p w:rsidR="00E53258" w:rsidRDefault="00E53258" w:rsidP="00113E76">
            <w:pPr>
              <w:tabs>
                <w:tab w:val="left" w:pos="1440"/>
              </w:tabs>
              <w:spacing w:line="360" w:lineRule="auto"/>
              <w:jc w:val="center"/>
              <w:rPr>
                <w:sz w:val="28"/>
                <w:szCs w:val="28"/>
                <w:lang w:val="uk-UA"/>
              </w:rPr>
            </w:pPr>
            <w:r>
              <w:rPr>
                <w:sz w:val="28"/>
                <w:szCs w:val="28"/>
                <w:lang w:val="uk-UA"/>
              </w:rPr>
              <w:t>ІЛ–6, пг/мл</w:t>
            </w: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19,6 (19,56; 19,96)</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18,65 (16,98; 19,33)</w:t>
            </w:r>
          </w:p>
        </w:tc>
      </w:tr>
      <w:tr w:rsidR="00E53258" w:rsidTr="00E53258">
        <w:tc>
          <w:tcPr>
            <w:tcW w:w="0" w:type="auto"/>
            <w:vMerge/>
            <w:vAlign w:val="center"/>
          </w:tcPr>
          <w:p w:rsidR="00E53258" w:rsidRDefault="00E53258" w:rsidP="00113E76">
            <w:pPr>
              <w:rPr>
                <w:sz w:val="28"/>
                <w:szCs w:val="28"/>
                <w:lang w:val="uk-UA"/>
              </w:rPr>
            </w:pP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23,6 (22,32; 26,43)*</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21,05(20,01;22,08)*</w:t>
            </w:r>
          </w:p>
        </w:tc>
      </w:tr>
      <w:tr w:rsidR="00E53258" w:rsidTr="00E53258">
        <w:tc>
          <w:tcPr>
            <w:tcW w:w="1225" w:type="pct"/>
            <w:vMerge w:val="restart"/>
            <w:vAlign w:val="center"/>
          </w:tcPr>
          <w:p w:rsidR="00E53258" w:rsidRDefault="00E53258" w:rsidP="00113E76">
            <w:pPr>
              <w:tabs>
                <w:tab w:val="left" w:pos="1440"/>
              </w:tabs>
              <w:spacing w:line="360" w:lineRule="auto"/>
              <w:jc w:val="center"/>
              <w:rPr>
                <w:sz w:val="28"/>
                <w:szCs w:val="28"/>
                <w:lang w:val="uk-UA"/>
              </w:rPr>
            </w:pPr>
            <w:r>
              <w:rPr>
                <w:sz w:val="28"/>
                <w:szCs w:val="28"/>
                <w:lang w:val="uk-UA"/>
              </w:rPr>
              <w:t>АЛТ, Од/л</w:t>
            </w: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97,71 ± 1,8</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98,47 ± 4,23</w:t>
            </w:r>
          </w:p>
        </w:tc>
      </w:tr>
      <w:tr w:rsidR="00E53258" w:rsidTr="00E53258">
        <w:tc>
          <w:tcPr>
            <w:tcW w:w="0" w:type="auto"/>
            <w:vMerge/>
            <w:vAlign w:val="center"/>
          </w:tcPr>
          <w:p w:rsidR="00E53258" w:rsidRDefault="00E53258" w:rsidP="00113E76">
            <w:pPr>
              <w:rPr>
                <w:sz w:val="28"/>
                <w:szCs w:val="28"/>
                <w:lang w:val="uk-UA"/>
              </w:rPr>
            </w:pP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106,88 ± 6,51*</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111,48 ± 7,32*</w:t>
            </w:r>
          </w:p>
        </w:tc>
      </w:tr>
      <w:tr w:rsidR="00E53258" w:rsidTr="00E53258">
        <w:tc>
          <w:tcPr>
            <w:tcW w:w="1225" w:type="pct"/>
            <w:vMerge w:val="restart"/>
            <w:vAlign w:val="center"/>
          </w:tcPr>
          <w:p w:rsidR="00E53258" w:rsidRDefault="00E53258" w:rsidP="00113E76">
            <w:pPr>
              <w:tabs>
                <w:tab w:val="left" w:pos="1440"/>
              </w:tabs>
              <w:spacing w:line="360" w:lineRule="auto"/>
              <w:jc w:val="center"/>
              <w:rPr>
                <w:sz w:val="28"/>
                <w:szCs w:val="28"/>
                <w:lang w:val="uk-UA"/>
              </w:rPr>
            </w:pPr>
            <w:r>
              <w:rPr>
                <w:sz w:val="28"/>
                <w:szCs w:val="28"/>
                <w:lang w:val="uk-UA"/>
              </w:rPr>
              <w:t>АСТ, Од/л</w:t>
            </w: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87,0 ± 0,82</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86,89 ± 4,76</w:t>
            </w:r>
          </w:p>
        </w:tc>
      </w:tr>
      <w:tr w:rsidR="00E53258" w:rsidTr="00E53258">
        <w:tc>
          <w:tcPr>
            <w:tcW w:w="0" w:type="auto"/>
            <w:vMerge/>
            <w:vAlign w:val="center"/>
          </w:tcPr>
          <w:p w:rsidR="00E53258" w:rsidRDefault="00E53258" w:rsidP="00113E76">
            <w:pPr>
              <w:rPr>
                <w:sz w:val="28"/>
                <w:szCs w:val="28"/>
                <w:lang w:val="uk-UA"/>
              </w:rPr>
            </w:pPr>
          </w:p>
        </w:tc>
        <w:tc>
          <w:tcPr>
            <w:tcW w:w="1225"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II ступень</w:t>
            </w:r>
          </w:p>
        </w:tc>
        <w:tc>
          <w:tcPr>
            <w:tcW w:w="1312"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98,3 ± 5,81*</w:t>
            </w:r>
          </w:p>
        </w:tc>
        <w:tc>
          <w:tcPr>
            <w:tcW w:w="123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100,26 ± 6,68*</w:t>
            </w:r>
          </w:p>
        </w:tc>
      </w:tr>
    </w:tbl>
    <w:p w:rsidR="00E53258" w:rsidRDefault="0047048A" w:rsidP="0047048A">
      <w:pPr>
        <w:spacing w:line="360" w:lineRule="auto"/>
        <w:ind w:firstLine="709"/>
        <w:jc w:val="both"/>
        <w:rPr>
          <w:sz w:val="28"/>
          <w:szCs w:val="28"/>
        </w:rPr>
      </w:pPr>
      <w:r>
        <w:rPr>
          <w:b/>
          <w:sz w:val="28"/>
          <w:szCs w:val="28"/>
          <w:lang w:val="uk-UA"/>
        </w:rPr>
        <w:t xml:space="preserve">Примітка: </w:t>
      </w:r>
      <w:r>
        <w:rPr>
          <w:sz w:val="28"/>
          <w:szCs w:val="28"/>
          <w:lang w:val="uk-UA"/>
        </w:rPr>
        <w:t xml:space="preserve">* –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0,001 щодо I ступеню  </w:t>
      </w:r>
    </w:p>
    <w:p w:rsidR="0047048A" w:rsidRDefault="0047048A" w:rsidP="0047048A">
      <w:pPr>
        <w:spacing w:line="360" w:lineRule="auto"/>
        <w:ind w:firstLine="709"/>
        <w:jc w:val="both"/>
        <w:rPr>
          <w:sz w:val="28"/>
          <w:szCs w:val="28"/>
          <w:lang w:val="uk-UA"/>
        </w:rPr>
      </w:pPr>
      <w:r>
        <w:rPr>
          <w:sz w:val="28"/>
          <w:szCs w:val="28"/>
          <w:lang w:val="uk-UA"/>
        </w:rPr>
        <w:t>У пацієнтів 1</w:t>
      </w:r>
      <w:r w:rsidR="00E53258">
        <w:rPr>
          <w:sz w:val="28"/>
          <w:szCs w:val="28"/>
          <w:lang w:val="uk-UA"/>
        </w:rPr>
        <w:t xml:space="preserve"> </w:t>
      </w:r>
      <w:r>
        <w:rPr>
          <w:sz w:val="28"/>
          <w:szCs w:val="28"/>
          <w:lang w:val="uk-UA"/>
        </w:rPr>
        <w:t>групи рівень ФНП</w:t>
      </w:r>
      <w:r w:rsidR="00CF6631">
        <w:rPr>
          <w:sz w:val="28"/>
          <w:szCs w:val="28"/>
          <w:lang w:val="uk-UA"/>
        </w:rPr>
        <w:t>–</w:t>
      </w:r>
      <w:r>
        <w:rPr>
          <w:sz w:val="28"/>
          <w:szCs w:val="28"/>
          <w:lang w:val="uk-UA"/>
        </w:rPr>
        <w:t xml:space="preserve">α в сироватці крові з ГГЦ I ступеню  складав </w:t>
      </w:r>
      <w:r w:rsidR="00E53258">
        <w:rPr>
          <w:sz w:val="28"/>
          <w:szCs w:val="28"/>
          <w:lang w:val="uk-UA"/>
        </w:rPr>
        <w:t xml:space="preserve">7,34 (7,16; 7,69) </w:t>
      </w:r>
      <w:r>
        <w:rPr>
          <w:sz w:val="28"/>
          <w:szCs w:val="28"/>
          <w:lang w:val="uk-UA"/>
        </w:rPr>
        <w:t xml:space="preserve">пг/мл, тоді як при ГГЦ II ступеню були зафіксовані </w:t>
      </w:r>
      <w:r w:rsidR="00113E76">
        <w:rPr>
          <w:sz w:val="28"/>
          <w:szCs w:val="28"/>
          <w:lang w:val="uk-UA"/>
        </w:rPr>
        <w:t>достеменно</w:t>
      </w:r>
      <w:r>
        <w:rPr>
          <w:sz w:val="28"/>
          <w:szCs w:val="28"/>
          <w:lang w:val="uk-UA"/>
        </w:rPr>
        <w:t xml:space="preserve">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0,001) більш високі показники ФНП</w:t>
      </w:r>
      <w:r w:rsidR="00CF6631">
        <w:rPr>
          <w:sz w:val="28"/>
          <w:szCs w:val="28"/>
          <w:lang w:val="uk-UA"/>
        </w:rPr>
        <w:t>–</w:t>
      </w:r>
      <w:r>
        <w:rPr>
          <w:sz w:val="28"/>
          <w:szCs w:val="28"/>
          <w:lang w:val="uk-UA"/>
        </w:rPr>
        <w:t xml:space="preserve">α – </w:t>
      </w:r>
      <w:r w:rsidR="00E53258">
        <w:rPr>
          <w:sz w:val="28"/>
          <w:szCs w:val="28"/>
          <w:lang w:val="uk-UA"/>
        </w:rPr>
        <w:t>8,74 (8,06; 9,06)</w:t>
      </w:r>
      <w:r>
        <w:rPr>
          <w:sz w:val="28"/>
          <w:szCs w:val="28"/>
          <w:lang w:val="uk-UA"/>
        </w:rPr>
        <w:t xml:space="preserve"> пг/мл. Ця закономірність зберігалась і у хворих 2 групи: при I ступені ГГЦ концентрація ФНП</w:t>
      </w:r>
      <w:r w:rsidR="00CF6631">
        <w:rPr>
          <w:sz w:val="28"/>
          <w:szCs w:val="28"/>
          <w:lang w:val="uk-UA"/>
        </w:rPr>
        <w:t>–</w:t>
      </w:r>
      <w:r>
        <w:rPr>
          <w:sz w:val="28"/>
          <w:szCs w:val="28"/>
          <w:lang w:val="uk-UA"/>
        </w:rPr>
        <w:t xml:space="preserve">α в сироватці крові складала </w:t>
      </w:r>
      <w:r w:rsidR="00E53258">
        <w:rPr>
          <w:sz w:val="28"/>
          <w:szCs w:val="28"/>
          <w:lang w:val="uk-UA"/>
        </w:rPr>
        <w:t xml:space="preserve">7,93 (7,63; 8,41) </w:t>
      </w:r>
      <w:r>
        <w:rPr>
          <w:sz w:val="28"/>
          <w:szCs w:val="28"/>
          <w:lang w:val="uk-UA"/>
        </w:rPr>
        <w:t>пг/мл, а при II ступені –</w:t>
      </w:r>
      <w:r w:rsidR="00E53258">
        <w:rPr>
          <w:sz w:val="28"/>
          <w:szCs w:val="28"/>
          <w:lang w:val="uk-UA"/>
        </w:rPr>
        <w:t xml:space="preserve"> 9,0 (8,51; 9,08)</w:t>
      </w:r>
      <w:r>
        <w:rPr>
          <w:sz w:val="28"/>
          <w:szCs w:val="28"/>
          <w:lang w:val="uk-UA"/>
        </w:rPr>
        <w:t>пг/мл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0,001). Вміст ІЛ</w:t>
      </w:r>
      <w:r w:rsidR="00CF6631">
        <w:rPr>
          <w:sz w:val="28"/>
          <w:szCs w:val="28"/>
          <w:lang w:val="uk-UA"/>
        </w:rPr>
        <w:t>–</w:t>
      </w:r>
      <w:r>
        <w:rPr>
          <w:sz w:val="28"/>
          <w:szCs w:val="28"/>
          <w:lang w:val="uk-UA"/>
        </w:rPr>
        <w:t xml:space="preserve">6 виявляв тенденцію до зростання відповідно важкості ГГЦ у пацієнтів обох груп. При I ступені ГГЦ в </w:t>
      </w:r>
      <w:r w:rsidR="00113E76">
        <w:rPr>
          <w:sz w:val="28"/>
          <w:szCs w:val="28"/>
          <w:lang w:val="uk-UA"/>
        </w:rPr>
        <w:t>1</w:t>
      </w:r>
      <w:r>
        <w:rPr>
          <w:sz w:val="28"/>
          <w:szCs w:val="28"/>
          <w:lang w:val="uk-UA"/>
        </w:rPr>
        <w:t xml:space="preserve"> групі рівень ІЛ</w:t>
      </w:r>
      <w:r w:rsidR="00CF6631">
        <w:rPr>
          <w:sz w:val="28"/>
          <w:szCs w:val="28"/>
          <w:lang w:val="uk-UA"/>
        </w:rPr>
        <w:t>–</w:t>
      </w:r>
      <w:r>
        <w:rPr>
          <w:sz w:val="28"/>
          <w:szCs w:val="28"/>
          <w:lang w:val="uk-UA"/>
        </w:rPr>
        <w:t xml:space="preserve">6 складав </w:t>
      </w:r>
      <w:r w:rsidR="00E53258">
        <w:rPr>
          <w:sz w:val="28"/>
          <w:szCs w:val="28"/>
          <w:lang w:val="uk-UA"/>
        </w:rPr>
        <w:t xml:space="preserve">19,6 (19,56; 19,96) </w:t>
      </w:r>
      <w:r>
        <w:rPr>
          <w:sz w:val="28"/>
          <w:szCs w:val="28"/>
          <w:lang w:val="uk-UA"/>
        </w:rPr>
        <w:t>пг/мл, в 2 групі –</w:t>
      </w:r>
      <w:r w:rsidR="00E53258">
        <w:rPr>
          <w:sz w:val="28"/>
          <w:szCs w:val="28"/>
          <w:lang w:val="uk-UA"/>
        </w:rPr>
        <w:t xml:space="preserve"> 18,65 (16,98; 19,33) </w:t>
      </w:r>
      <w:r>
        <w:rPr>
          <w:sz w:val="28"/>
          <w:szCs w:val="28"/>
          <w:lang w:val="uk-UA"/>
        </w:rPr>
        <w:t>пг/мл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0,001). У хворих з II ступенем ГГЦ цей показник фіксувався на рівні </w:t>
      </w:r>
      <w:r w:rsidR="00E53258">
        <w:rPr>
          <w:sz w:val="28"/>
          <w:szCs w:val="28"/>
          <w:lang w:val="uk-UA"/>
        </w:rPr>
        <w:t xml:space="preserve">23,6 (22,32; 26,43) </w:t>
      </w:r>
      <w:r>
        <w:rPr>
          <w:sz w:val="28"/>
          <w:szCs w:val="28"/>
          <w:lang w:val="uk-UA"/>
        </w:rPr>
        <w:t xml:space="preserve">пг/мл та </w:t>
      </w:r>
      <w:r w:rsidR="00E53258">
        <w:rPr>
          <w:sz w:val="28"/>
          <w:szCs w:val="28"/>
          <w:lang w:val="uk-UA"/>
        </w:rPr>
        <w:t>21,05 (20,01; 22,08)</w:t>
      </w:r>
      <w:r>
        <w:rPr>
          <w:sz w:val="28"/>
          <w:szCs w:val="28"/>
          <w:lang w:val="uk-UA"/>
        </w:rPr>
        <w:t>пг/мл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0,001)</w:t>
      </w:r>
      <w:r>
        <w:rPr>
          <w:sz w:val="28"/>
          <w:szCs w:val="28"/>
          <w:lang w:val="uk-UA"/>
        </w:rPr>
        <w:t xml:space="preserve"> в </w:t>
      </w:r>
      <w:r w:rsidR="00113E76">
        <w:rPr>
          <w:sz w:val="28"/>
          <w:szCs w:val="28"/>
          <w:lang w:val="uk-UA"/>
        </w:rPr>
        <w:t>1</w:t>
      </w:r>
      <w:r>
        <w:rPr>
          <w:sz w:val="28"/>
          <w:szCs w:val="28"/>
          <w:lang w:val="uk-UA"/>
        </w:rPr>
        <w:t xml:space="preserve"> групі та 2 групі відповідно. Пацієнти обох груп при II ступені ГГЦ мали </w:t>
      </w:r>
      <w:r w:rsidR="00113E76">
        <w:rPr>
          <w:sz w:val="28"/>
          <w:szCs w:val="28"/>
          <w:lang w:val="uk-UA"/>
        </w:rPr>
        <w:t>достеменно</w:t>
      </w:r>
      <w:r>
        <w:rPr>
          <w:sz w:val="28"/>
          <w:szCs w:val="28"/>
          <w:lang w:val="uk-UA"/>
        </w:rPr>
        <w:t xml:space="preserve">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0,001) вищі рівні АЛТ ніж хворі з I ступенем ГГЦ: в </w:t>
      </w:r>
      <w:r w:rsidR="00113E76">
        <w:rPr>
          <w:sz w:val="28"/>
          <w:szCs w:val="28"/>
          <w:lang w:val="uk-UA"/>
        </w:rPr>
        <w:t>1</w:t>
      </w:r>
      <w:r>
        <w:rPr>
          <w:sz w:val="28"/>
          <w:szCs w:val="28"/>
          <w:lang w:val="uk-UA"/>
        </w:rPr>
        <w:t xml:space="preserve"> групі – </w:t>
      </w:r>
      <w:r w:rsidR="00E53258">
        <w:rPr>
          <w:sz w:val="28"/>
          <w:szCs w:val="28"/>
          <w:lang w:val="uk-UA"/>
        </w:rPr>
        <w:t>106,88 ± 6,51</w:t>
      </w:r>
      <w:r>
        <w:rPr>
          <w:sz w:val="28"/>
          <w:szCs w:val="28"/>
          <w:lang w:val="uk-UA"/>
        </w:rPr>
        <w:t xml:space="preserve"> Од/л порівняно з </w:t>
      </w:r>
      <w:r w:rsidR="00E53258">
        <w:rPr>
          <w:sz w:val="28"/>
          <w:szCs w:val="28"/>
          <w:lang w:val="uk-UA"/>
        </w:rPr>
        <w:t xml:space="preserve">97,71 ± 1,8 </w:t>
      </w:r>
      <w:r>
        <w:rPr>
          <w:sz w:val="28"/>
          <w:szCs w:val="28"/>
          <w:lang w:val="uk-UA"/>
        </w:rPr>
        <w:t>Од/л, в 2 групі –</w:t>
      </w:r>
      <w:r w:rsidR="00E53258">
        <w:rPr>
          <w:sz w:val="28"/>
          <w:szCs w:val="28"/>
          <w:lang w:val="uk-UA"/>
        </w:rPr>
        <w:t xml:space="preserve">111,48 ± 7,32 </w:t>
      </w:r>
      <w:r>
        <w:rPr>
          <w:sz w:val="28"/>
          <w:szCs w:val="28"/>
          <w:lang w:val="uk-UA"/>
        </w:rPr>
        <w:t xml:space="preserve">Од/л та </w:t>
      </w:r>
      <w:r w:rsidR="00E53258">
        <w:rPr>
          <w:sz w:val="28"/>
          <w:szCs w:val="28"/>
          <w:lang w:val="uk-UA"/>
        </w:rPr>
        <w:t xml:space="preserve">98,47 ± 4,23 </w:t>
      </w:r>
      <w:r>
        <w:rPr>
          <w:sz w:val="28"/>
          <w:szCs w:val="28"/>
          <w:lang w:val="uk-UA"/>
        </w:rPr>
        <w:t xml:space="preserve">Од/л відповідно. Нами реєструвалось зростання вмісту АСТ в сироватці крові в залежності від ступеню ГГЦ. В </w:t>
      </w:r>
      <w:r w:rsidR="00113E76">
        <w:rPr>
          <w:sz w:val="28"/>
          <w:szCs w:val="28"/>
          <w:lang w:val="uk-UA"/>
        </w:rPr>
        <w:t>1</w:t>
      </w:r>
      <w:r>
        <w:rPr>
          <w:sz w:val="28"/>
          <w:szCs w:val="28"/>
          <w:lang w:val="uk-UA"/>
        </w:rPr>
        <w:t xml:space="preserve"> групі при I ступені ГГЦ концентрація АСТ складала</w:t>
      </w:r>
      <w:r w:rsidR="00E53258">
        <w:rPr>
          <w:sz w:val="28"/>
          <w:szCs w:val="28"/>
          <w:lang w:val="uk-UA"/>
        </w:rPr>
        <w:t xml:space="preserve"> 87,0 ± 0,82</w:t>
      </w:r>
      <w:r>
        <w:rPr>
          <w:sz w:val="28"/>
          <w:szCs w:val="28"/>
          <w:lang w:val="uk-UA"/>
        </w:rPr>
        <w:t xml:space="preserve"> Од/л, в 2 – </w:t>
      </w:r>
      <w:r w:rsidR="00E53258">
        <w:rPr>
          <w:sz w:val="28"/>
          <w:szCs w:val="28"/>
          <w:lang w:val="uk-UA"/>
        </w:rPr>
        <w:t xml:space="preserve">86,89 ±4 ,76 </w:t>
      </w:r>
      <w:r>
        <w:rPr>
          <w:sz w:val="28"/>
          <w:szCs w:val="28"/>
          <w:lang w:val="uk-UA"/>
        </w:rPr>
        <w:t xml:space="preserve"> Од/л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0,001), а при II ступені – </w:t>
      </w:r>
      <w:r w:rsidR="00E53258">
        <w:rPr>
          <w:sz w:val="28"/>
          <w:szCs w:val="28"/>
          <w:lang w:val="uk-UA"/>
        </w:rPr>
        <w:t xml:space="preserve">98,3 ± 5,81 </w:t>
      </w:r>
      <w:r>
        <w:rPr>
          <w:sz w:val="28"/>
          <w:szCs w:val="28"/>
          <w:lang w:val="uk-UA"/>
        </w:rPr>
        <w:t xml:space="preserve"> Од/л та </w:t>
      </w:r>
      <w:r w:rsidR="00E53258">
        <w:rPr>
          <w:sz w:val="28"/>
          <w:szCs w:val="28"/>
          <w:lang w:val="uk-UA"/>
        </w:rPr>
        <w:t>100,26 ± 6,68</w:t>
      </w:r>
      <w:r>
        <w:rPr>
          <w:sz w:val="28"/>
          <w:szCs w:val="28"/>
          <w:lang w:val="uk-UA"/>
        </w:rPr>
        <w:t>Од/л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0,001) відповідно в </w:t>
      </w:r>
      <w:r w:rsidR="00113E76">
        <w:rPr>
          <w:sz w:val="28"/>
          <w:szCs w:val="28"/>
          <w:lang w:val="uk-UA"/>
        </w:rPr>
        <w:t>1</w:t>
      </w:r>
      <w:r>
        <w:rPr>
          <w:sz w:val="28"/>
          <w:szCs w:val="28"/>
          <w:lang w:val="uk-UA"/>
        </w:rPr>
        <w:t xml:space="preserve"> та 2 групах.</w:t>
      </w:r>
    </w:p>
    <w:p w:rsidR="0047048A" w:rsidRDefault="0047048A" w:rsidP="0047048A">
      <w:pPr>
        <w:spacing w:line="360" w:lineRule="auto"/>
        <w:ind w:firstLine="709"/>
        <w:jc w:val="both"/>
        <w:rPr>
          <w:sz w:val="28"/>
          <w:szCs w:val="28"/>
          <w:lang w:val="uk-UA"/>
        </w:rPr>
      </w:pPr>
      <w:r>
        <w:rPr>
          <w:sz w:val="28"/>
          <w:szCs w:val="28"/>
          <w:lang w:val="uk-UA"/>
        </w:rPr>
        <w:lastRenderedPageBreak/>
        <w:t>При вивчені  кореляційних залежностей між ГЦ та окремими показниками ПОЛ був виявлений сильний зв</w:t>
      </w:r>
      <w:r>
        <w:rPr>
          <w:sz w:val="28"/>
          <w:szCs w:val="28"/>
        </w:rPr>
        <w:t>’</w:t>
      </w:r>
      <w:r>
        <w:rPr>
          <w:sz w:val="28"/>
          <w:szCs w:val="28"/>
          <w:lang w:val="uk-UA"/>
        </w:rPr>
        <w:t xml:space="preserve">язок між ГЦ та </w:t>
      </w:r>
      <w:r>
        <w:rPr>
          <w:sz w:val="28"/>
          <w:szCs w:val="28"/>
          <w:lang w:val="en-US"/>
        </w:rPr>
        <w:t>NO</w:t>
      </w:r>
      <w:r w:rsidRPr="00423488">
        <w:rPr>
          <w:sz w:val="28"/>
          <w:szCs w:val="28"/>
        </w:rPr>
        <w:t xml:space="preserve"> </w:t>
      </w:r>
      <w:r>
        <w:rPr>
          <w:sz w:val="28"/>
          <w:szCs w:val="28"/>
          <w:lang w:val="uk-UA"/>
        </w:rPr>
        <w:t>і МДА (табл. 3.3.7.).</w:t>
      </w:r>
    </w:p>
    <w:p w:rsidR="0047048A" w:rsidRDefault="0047048A" w:rsidP="0047048A">
      <w:pPr>
        <w:spacing w:line="360" w:lineRule="auto"/>
        <w:ind w:firstLine="709"/>
        <w:jc w:val="right"/>
        <w:rPr>
          <w:sz w:val="28"/>
          <w:szCs w:val="28"/>
          <w:lang w:val="uk-UA"/>
        </w:rPr>
      </w:pPr>
      <w:r>
        <w:rPr>
          <w:sz w:val="28"/>
          <w:szCs w:val="28"/>
          <w:lang w:val="uk-UA"/>
        </w:rPr>
        <w:t>Таблиця 3.3.7.</w:t>
      </w:r>
    </w:p>
    <w:p w:rsidR="0047048A" w:rsidRDefault="0047048A" w:rsidP="00E53258">
      <w:pPr>
        <w:spacing w:line="360" w:lineRule="auto"/>
        <w:ind w:firstLine="709"/>
        <w:jc w:val="center"/>
        <w:rPr>
          <w:sz w:val="28"/>
          <w:szCs w:val="28"/>
          <w:lang w:val="uk-UA"/>
        </w:rPr>
      </w:pPr>
      <w:r>
        <w:rPr>
          <w:sz w:val="28"/>
          <w:szCs w:val="28"/>
          <w:lang w:val="uk-UA"/>
        </w:rPr>
        <w:t xml:space="preserve">Кореляційні зв’язки між рівнем ГЦ сироватки крові та </w:t>
      </w:r>
      <w:r>
        <w:rPr>
          <w:sz w:val="28"/>
          <w:szCs w:val="28"/>
          <w:lang w:val="en-US"/>
        </w:rPr>
        <w:t>NO</w:t>
      </w:r>
      <w:r>
        <w:rPr>
          <w:sz w:val="28"/>
          <w:szCs w:val="28"/>
          <w:lang w:val="uk-UA"/>
        </w:rPr>
        <w:t xml:space="preserve"> і МДА  плазми крові у хворих </w:t>
      </w:r>
      <w:r w:rsidR="00E53258">
        <w:rPr>
          <w:sz w:val="28"/>
          <w:szCs w:val="28"/>
          <w:lang w:val="uk-UA"/>
        </w:rPr>
        <w:t>1 та 2 груп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47048A" w:rsidTr="00113E76">
        <w:tc>
          <w:tcPr>
            <w:tcW w:w="3190" w:type="dxa"/>
            <w:vMerge w:val="restart"/>
            <w:vAlign w:val="center"/>
          </w:tcPr>
          <w:p w:rsidR="0047048A" w:rsidRDefault="0047048A" w:rsidP="00113E76">
            <w:pPr>
              <w:spacing w:line="360" w:lineRule="auto"/>
              <w:jc w:val="center"/>
              <w:rPr>
                <w:sz w:val="28"/>
                <w:szCs w:val="28"/>
                <w:lang w:val="uk-UA"/>
              </w:rPr>
            </w:pPr>
            <w:r>
              <w:rPr>
                <w:sz w:val="28"/>
                <w:szCs w:val="28"/>
                <w:lang w:val="uk-UA"/>
              </w:rPr>
              <w:t>Показники</w:t>
            </w:r>
          </w:p>
        </w:tc>
        <w:tc>
          <w:tcPr>
            <w:tcW w:w="6381" w:type="dxa"/>
            <w:gridSpan w:val="2"/>
            <w:vAlign w:val="center"/>
          </w:tcPr>
          <w:p w:rsidR="0047048A" w:rsidRDefault="0047048A" w:rsidP="00113E76">
            <w:pPr>
              <w:spacing w:line="360" w:lineRule="auto"/>
              <w:jc w:val="center"/>
              <w:rPr>
                <w:sz w:val="28"/>
                <w:szCs w:val="28"/>
                <w:lang w:val="uk-UA"/>
              </w:rPr>
            </w:pPr>
            <w:r>
              <w:rPr>
                <w:sz w:val="28"/>
                <w:szCs w:val="28"/>
                <w:lang w:val="uk-UA"/>
              </w:rPr>
              <w:t>ГЦ</w:t>
            </w:r>
          </w:p>
        </w:tc>
      </w:tr>
      <w:tr w:rsidR="0047048A" w:rsidTr="00113E76">
        <w:tc>
          <w:tcPr>
            <w:tcW w:w="0" w:type="auto"/>
            <w:vMerge/>
            <w:vAlign w:val="center"/>
          </w:tcPr>
          <w:p w:rsidR="0047048A" w:rsidRDefault="0047048A" w:rsidP="00113E76">
            <w:pPr>
              <w:rPr>
                <w:sz w:val="28"/>
                <w:szCs w:val="28"/>
                <w:lang w:val="uk-UA"/>
              </w:rPr>
            </w:pPr>
          </w:p>
        </w:tc>
        <w:tc>
          <w:tcPr>
            <w:tcW w:w="3190" w:type="dxa"/>
            <w:vAlign w:val="center"/>
          </w:tcPr>
          <w:p w:rsidR="0047048A" w:rsidRDefault="0047048A" w:rsidP="00113E76">
            <w:pPr>
              <w:spacing w:line="360" w:lineRule="auto"/>
              <w:jc w:val="center"/>
              <w:rPr>
                <w:sz w:val="28"/>
                <w:szCs w:val="28"/>
                <w:lang w:val="uk-UA"/>
              </w:rPr>
            </w:pPr>
            <w:r>
              <w:rPr>
                <w:sz w:val="28"/>
                <w:szCs w:val="28"/>
                <w:lang w:val="uk-UA"/>
              </w:rPr>
              <w:t xml:space="preserve">1 група </w:t>
            </w:r>
          </w:p>
        </w:tc>
        <w:tc>
          <w:tcPr>
            <w:tcW w:w="3191" w:type="dxa"/>
            <w:vAlign w:val="center"/>
          </w:tcPr>
          <w:p w:rsidR="0047048A" w:rsidRDefault="0047048A" w:rsidP="00113E76">
            <w:pPr>
              <w:spacing w:line="360" w:lineRule="auto"/>
              <w:jc w:val="center"/>
              <w:rPr>
                <w:sz w:val="28"/>
                <w:szCs w:val="28"/>
                <w:lang w:val="uk-UA"/>
              </w:rPr>
            </w:pPr>
            <w:r>
              <w:rPr>
                <w:sz w:val="28"/>
                <w:szCs w:val="28"/>
                <w:lang w:val="uk-UA"/>
              </w:rPr>
              <w:t>2 група</w:t>
            </w:r>
          </w:p>
        </w:tc>
      </w:tr>
      <w:tr w:rsidR="00E53258" w:rsidTr="00113E76">
        <w:tc>
          <w:tcPr>
            <w:tcW w:w="3190" w:type="dxa"/>
            <w:vAlign w:val="center"/>
          </w:tcPr>
          <w:p w:rsidR="00E53258" w:rsidRDefault="00E53258" w:rsidP="00113E76">
            <w:pPr>
              <w:spacing w:line="360" w:lineRule="auto"/>
              <w:jc w:val="center"/>
              <w:rPr>
                <w:sz w:val="28"/>
                <w:szCs w:val="28"/>
                <w:lang w:val="uk-UA"/>
              </w:rPr>
            </w:pPr>
            <w:r>
              <w:rPr>
                <w:sz w:val="28"/>
                <w:szCs w:val="28"/>
                <w:lang w:val="en-US"/>
              </w:rPr>
              <w:t>NO</w:t>
            </w:r>
          </w:p>
        </w:tc>
        <w:tc>
          <w:tcPr>
            <w:tcW w:w="3190" w:type="dxa"/>
            <w:vAlign w:val="center"/>
          </w:tcPr>
          <w:p w:rsidR="00E53258" w:rsidRDefault="00E53258" w:rsidP="00A0176F">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0,70*</w:t>
            </w:r>
          </w:p>
        </w:tc>
        <w:tc>
          <w:tcPr>
            <w:tcW w:w="3191" w:type="dxa"/>
            <w:vAlign w:val="center"/>
          </w:tcPr>
          <w:p w:rsidR="00E53258" w:rsidRDefault="00E53258" w:rsidP="00A0176F">
            <w:pPr>
              <w:pStyle w:val="12"/>
              <w:spacing w:line="360" w:lineRule="auto"/>
              <w:rPr>
                <w:sz w:val="28"/>
                <w:szCs w:val="28"/>
                <w:lang w:val="uk-UA"/>
              </w:rPr>
            </w:pPr>
            <w:r>
              <w:rPr>
                <w:sz w:val="28"/>
                <w:szCs w:val="28"/>
                <w:lang w:val="en-US"/>
              </w:rPr>
              <w:t xml:space="preserve">   r</w:t>
            </w:r>
            <w:r>
              <w:rPr>
                <w:sz w:val="28"/>
                <w:szCs w:val="28"/>
                <w:lang w:val="uk-UA"/>
              </w:rPr>
              <w:t xml:space="preserve"> </w:t>
            </w:r>
            <w:r>
              <w:rPr>
                <w:sz w:val="28"/>
                <w:szCs w:val="28"/>
                <w:lang w:val="en-US"/>
              </w:rPr>
              <w:t>=</w:t>
            </w:r>
            <w:r>
              <w:rPr>
                <w:sz w:val="28"/>
                <w:szCs w:val="28"/>
                <w:lang w:val="uk-UA"/>
              </w:rPr>
              <w:t xml:space="preserve"> 0,74*</w:t>
            </w:r>
          </w:p>
        </w:tc>
      </w:tr>
      <w:tr w:rsidR="00E53258" w:rsidTr="00113E76">
        <w:tc>
          <w:tcPr>
            <w:tcW w:w="3190" w:type="dxa"/>
            <w:vAlign w:val="center"/>
          </w:tcPr>
          <w:p w:rsidR="00E53258" w:rsidRDefault="00E53258" w:rsidP="00113E76">
            <w:pPr>
              <w:spacing w:line="360" w:lineRule="auto"/>
              <w:jc w:val="center"/>
              <w:rPr>
                <w:sz w:val="28"/>
                <w:szCs w:val="28"/>
                <w:lang w:val="uk-UA"/>
              </w:rPr>
            </w:pPr>
            <w:r>
              <w:rPr>
                <w:sz w:val="28"/>
                <w:szCs w:val="28"/>
                <w:lang w:val="uk-UA"/>
              </w:rPr>
              <w:t>МДА</w:t>
            </w:r>
          </w:p>
        </w:tc>
        <w:tc>
          <w:tcPr>
            <w:tcW w:w="3190" w:type="dxa"/>
            <w:vAlign w:val="center"/>
          </w:tcPr>
          <w:p w:rsidR="00E53258" w:rsidRDefault="00E53258" w:rsidP="00A0176F">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0,76*</w:t>
            </w:r>
          </w:p>
        </w:tc>
        <w:tc>
          <w:tcPr>
            <w:tcW w:w="3191" w:type="dxa"/>
            <w:vAlign w:val="center"/>
          </w:tcPr>
          <w:p w:rsidR="00E53258" w:rsidRDefault="00E53258" w:rsidP="00A0176F">
            <w:pPr>
              <w:spacing w:line="360" w:lineRule="auto"/>
              <w:jc w:val="center"/>
              <w:rPr>
                <w:sz w:val="28"/>
                <w:szCs w:val="28"/>
                <w:lang w:val="uk-UA"/>
              </w:rPr>
            </w:pPr>
            <w:r>
              <w:rPr>
                <w:sz w:val="28"/>
                <w:szCs w:val="28"/>
                <w:lang w:val="en-US"/>
              </w:rPr>
              <w:t>r</w:t>
            </w:r>
            <w:r>
              <w:rPr>
                <w:sz w:val="28"/>
                <w:szCs w:val="28"/>
                <w:lang w:val="uk-UA"/>
              </w:rPr>
              <w:t xml:space="preserve"> </w:t>
            </w:r>
            <w:r>
              <w:rPr>
                <w:sz w:val="28"/>
                <w:szCs w:val="28"/>
                <w:lang w:val="en-US"/>
              </w:rPr>
              <w:t>=</w:t>
            </w:r>
            <w:r>
              <w:rPr>
                <w:sz w:val="28"/>
                <w:szCs w:val="28"/>
                <w:lang w:val="uk-UA"/>
              </w:rPr>
              <w:t xml:space="preserve"> 0,69*</w:t>
            </w:r>
          </w:p>
        </w:tc>
      </w:tr>
    </w:tbl>
    <w:p w:rsidR="00E53258" w:rsidRDefault="0047048A" w:rsidP="0047048A">
      <w:pPr>
        <w:spacing w:line="360" w:lineRule="auto"/>
        <w:ind w:firstLine="709"/>
        <w:jc w:val="both"/>
        <w:rPr>
          <w:sz w:val="28"/>
          <w:szCs w:val="28"/>
          <w:lang w:val="en-US"/>
        </w:rPr>
      </w:pPr>
      <w:r>
        <w:rPr>
          <w:b/>
          <w:sz w:val="28"/>
          <w:szCs w:val="28"/>
          <w:lang w:val="uk-UA"/>
        </w:rPr>
        <w:t xml:space="preserve">Примітка: </w:t>
      </w:r>
      <w:r>
        <w:rPr>
          <w:sz w:val="28"/>
          <w:szCs w:val="28"/>
          <w:lang w:val="uk-UA"/>
        </w:rPr>
        <w:t xml:space="preserve">* –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0,01</w:t>
      </w:r>
    </w:p>
    <w:p w:rsidR="0047048A" w:rsidRDefault="0047048A" w:rsidP="0047048A">
      <w:pPr>
        <w:spacing w:line="360" w:lineRule="auto"/>
        <w:ind w:firstLine="709"/>
        <w:jc w:val="both"/>
        <w:rPr>
          <w:sz w:val="28"/>
          <w:szCs w:val="28"/>
          <w:lang w:val="uk-UA"/>
        </w:rPr>
      </w:pPr>
      <w:r>
        <w:rPr>
          <w:sz w:val="28"/>
          <w:szCs w:val="28"/>
          <w:lang w:val="uk-UA"/>
        </w:rPr>
        <w:t xml:space="preserve">Статистично достовірний кореляційний зв’язок спостерігався між ГЦ та </w:t>
      </w:r>
      <w:r>
        <w:rPr>
          <w:sz w:val="28"/>
          <w:szCs w:val="28"/>
          <w:lang w:val="en-US"/>
        </w:rPr>
        <w:t>NO</w:t>
      </w:r>
      <w:r>
        <w:rPr>
          <w:sz w:val="28"/>
          <w:szCs w:val="28"/>
          <w:lang w:val="uk-UA"/>
        </w:rPr>
        <w:t xml:space="preserve"> в </w:t>
      </w:r>
      <w:r w:rsidR="00113E76">
        <w:rPr>
          <w:sz w:val="28"/>
          <w:szCs w:val="28"/>
          <w:lang w:val="uk-UA"/>
        </w:rPr>
        <w:t>1</w:t>
      </w:r>
      <w:r>
        <w:rPr>
          <w:sz w:val="28"/>
          <w:szCs w:val="28"/>
          <w:lang w:val="uk-UA"/>
        </w:rPr>
        <w:t xml:space="preserve"> – </w:t>
      </w:r>
      <w:r>
        <w:rPr>
          <w:sz w:val="28"/>
          <w:szCs w:val="28"/>
          <w:lang w:val="en-US"/>
        </w:rPr>
        <w:t>r</w:t>
      </w:r>
      <w:r>
        <w:rPr>
          <w:sz w:val="28"/>
          <w:szCs w:val="28"/>
          <w:lang w:val="uk-UA"/>
        </w:rPr>
        <w:t xml:space="preserve"> </w:t>
      </w:r>
      <w:r>
        <w:rPr>
          <w:sz w:val="28"/>
          <w:szCs w:val="28"/>
        </w:rPr>
        <w:t>=</w:t>
      </w:r>
      <w:r w:rsidR="00E53258">
        <w:rPr>
          <w:sz w:val="28"/>
          <w:szCs w:val="28"/>
          <w:lang w:val="uk-UA"/>
        </w:rPr>
        <w:t xml:space="preserve"> </w:t>
      </w:r>
      <w:r>
        <w:rPr>
          <w:sz w:val="28"/>
          <w:szCs w:val="28"/>
          <w:lang w:val="uk-UA"/>
        </w:rPr>
        <w:t>0,7</w:t>
      </w:r>
      <w:r w:rsidR="00E53258">
        <w:rPr>
          <w:sz w:val="28"/>
          <w:szCs w:val="28"/>
          <w:lang w:val="uk-UA"/>
        </w:rPr>
        <w:t>0</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0,01) та 2  </w:t>
      </w:r>
      <w:r w:rsidR="00CF6631">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Pr>
          <w:sz w:val="28"/>
          <w:szCs w:val="28"/>
        </w:rPr>
        <w:t>=</w:t>
      </w:r>
      <w:r w:rsidR="00E53258">
        <w:rPr>
          <w:sz w:val="28"/>
          <w:szCs w:val="28"/>
          <w:lang w:val="uk-UA"/>
        </w:rPr>
        <w:t xml:space="preserve"> 0,74</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0,01) групах. Також пряма кореляційна залежність мала місце між ГЦ та МДА в </w:t>
      </w:r>
      <w:r w:rsidR="00113E76">
        <w:rPr>
          <w:sz w:val="28"/>
          <w:szCs w:val="28"/>
          <w:lang w:val="uk-UA"/>
        </w:rPr>
        <w:t>1</w:t>
      </w:r>
      <w:r>
        <w:rPr>
          <w:sz w:val="28"/>
          <w:szCs w:val="28"/>
          <w:lang w:val="uk-UA"/>
        </w:rPr>
        <w:t xml:space="preserve"> та 2 групах: </w:t>
      </w:r>
      <w:r>
        <w:rPr>
          <w:sz w:val="28"/>
          <w:szCs w:val="28"/>
          <w:lang w:val="en-US"/>
        </w:rPr>
        <w:t>r</w:t>
      </w:r>
      <w:r>
        <w:rPr>
          <w:sz w:val="28"/>
          <w:szCs w:val="28"/>
          <w:lang w:val="uk-UA"/>
        </w:rPr>
        <w:t xml:space="preserve"> =</w:t>
      </w:r>
      <w:r w:rsidR="00E53258">
        <w:rPr>
          <w:sz w:val="28"/>
          <w:szCs w:val="28"/>
          <w:lang w:val="uk-UA"/>
        </w:rPr>
        <w:t xml:space="preserve"> </w:t>
      </w:r>
      <w:r>
        <w:rPr>
          <w:sz w:val="28"/>
          <w:szCs w:val="28"/>
          <w:lang w:val="uk-UA"/>
        </w:rPr>
        <w:t>0,76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0,01) та </w:t>
      </w:r>
      <w:r>
        <w:rPr>
          <w:sz w:val="28"/>
          <w:szCs w:val="28"/>
          <w:lang w:val="en-US"/>
        </w:rPr>
        <w:t>r</w:t>
      </w:r>
      <w:r>
        <w:rPr>
          <w:sz w:val="28"/>
          <w:szCs w:val="28"/>
          <w:lang w:val="uk-UA"/>
        </w:rPr>
        <w:t xml:space="preserve"> =</w:t>
      </w:r>
      <w:r w:rsidR="00E53258">
        <w:rPr>
          <w:sz w:val="28"/>
          <w:szCs w:val="28"/>
          <w:lang w:val="uk-UA"/>
        </w:rPr>
        <w:t xml:space="preserve"> </w:t>
      </w:r>
      <w:r>
        <w:rPr>
          <w:sz w:val="28"/>
          <w:szCs w:val="28"/>
          <w:lang w:val="uk-UA"/>
        </w:rPr>
        <w:t>0,</w:t>
      </w:r>
      <w:r w:rsidR="00E53258">
        <w:rPr>
          <w:sz w:val="28"/>
          <w:szCs w:val="28"/>
          <w:lang w:val="uk-UA"/>
        </w:rPr>
        <w:t>69</w:t>
      </w:r>
      <w:r>
        <w:rPr>
          <w:sz w:val="28"/>
          <w:szCs w:val="28"/>
          <w:lang w:val="uk-UA"/>
        </w:rPr>
        <w:t xml:space="preserve"> (</w:t>
      </w:r>
      <w:r>
        <w:rPr>
          <w:sz w:val="28"/>
          <w:szCs w:val="28"/>
          <w:lang w:val="en-US"/>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0,01) відповідно.</w:t>
      </w:r>
    </w:p>
    <w:p w:rsidR="0047048A" w:rsidRDefault="0047048A" w:rsidP="0047048A">
      <w:pPr>
        <w:spacing w:line="360" w:lineRule="auto"/>
        <w:ind w:firstLine="709"/>
        <w:jc w:val="both"/>
        <w:rPr>
          <w:sz w:val="28"/>
          <w:szCs w:val="28"/>
          <w:lang w:val="uk-UA"/>
        </w:rPr>
      </w:pPr>
      <w:r>
        <w:rPr>
          <w:sz w:val="28"/>
          <w:szCs w:val="28"/>
          <w:lang w:val="uk-UA"/>
        </w:rPr>
        <w:t xml:space="preserve">Вміст </w:t>
      </w:r>
      <w:r>
        <w:rPr>
          <w:sz w:val="28"/>
          <w:szCs w:val="28"/>
          <w:lang w:val="en-US"/>
        </w:rPr>
        <w:t>NO</w:t>
      </w:r>
      <w:r>
        <w:rPr>
          <w:sz w:val="28"/>
          <w:szCs w:val="28"/>
          <w:lang w:val="uk-UA"/>
        </w:rPr>
        <w:t xml:space="preserve"> та МДА виявляв тенденцію до зростання у пацієнтів обох груп залежно від ступеню ГГЦ (табл. 3.3.8.).</w:t>
      </w:r>
    </w:p>
    <w:p w:rsidR="0047048A" w:rsidRDefault="0047048A" w:rsidP="0047048A">
      <w:pPr>
        <w:tabs>
          <w:tab w:val="left" w:pos="1440"/>
        </w:tabs>
        <w:spacing w:line="360" w:lineRule="auto"/>
        <w:ind w:firstLine="709"/>
        <w:jc w:val="right"/>
        <w:rPr>
          <w:sz w:val="28"/>
          <w:szCs w:val="28"/>
          <w:lang w:val="uk-UA"/>
        </w:rPr>
      </w:pPr>
      <w:r>
        <w:rPr>
          <w:sz w:val="28"/>
          <w:szCs w:val="28"/>
          <w:lang w:val="uk-UA"/>
        </w:rPr>
        <w:t>Таблиця 3.3.8</w:t>
      </w:r>
    </w:p>
    <w:p w:rsidR="0047048A" w:rsidRDefault="0047048A" w:rsidP="00E53258">
      <w:pPr>
        <w:spacing w:line="360" w:lineRule="auto"/>
        <w:ind w:firstLine="709"/>
        <w:jc w:val="center"/>
        <w:rPr>
          <w:sz w:val="28"/>
          <w:szCs w:val="28"/>
          <w:lang w:val="uk-UA"/>
        </w:rPr>
      </w:pPr>
      <w:r>
        <w:rPr>
          <w:sz w:val="28"/>
          <w:szCs w:val="28"/>
          <w:lang w:val="uk-UA"/>
        </w:rPr>
        <w:t xml:space="preserve">Вміст </w:t>
      </w:r>
      <w:r>
        <w:rPr>
          <w:sz w:val="28"/>
          <w:szCs w:val="28"/>
          <w:lang w:val="en-US"/>
        </w:rPr>
        <w:t>NO</w:t>
      </w:r>
      <w:r>
        <w:rPr>
          <w:sz w:val="28"/>
          <w:szCs w:val="28"/>
          <w:lang w:val="uk-UA"/>
        </w:rPr>
        <w:t xml:space="preserve"> та МДА (Ме (25%;</w:t>
      </w:r>
      <w:r w:rsidR="00E53258">
        <w:rPr>
          <w:sz w:val="28"/>
          <w:szCs w:val="28"/>
          <w:lang w:val="uk-UA"/>
        </w:rPr>
        <w:t xml:space="preserve"> </w:t>
      </w:r>
      <w:r>
        <w:rPr>
          <w:sz w:val="28"/>
          <w:szCs w:val="28"/>
          <w:lang w:val="uk-UA"/>
        </w:rPr>
        <w:t xml:space="preserve">75%)) у хворих </w:t>
      </w:r>
      <w:r w:rsidR="00E53258">
        <w:rPr>
          <w:sz w:val="28"/>
          <w:szCs w:val="28"/>
          <w:lang w:val="uk-UA"/>
        </w:rPr>
        <w:t xml:space="preserve">1 та 2 груп </w:t>
      </w:r>
      <w:r>
        <w:rPr>
          <w:sz w:val="28"/>
          <w:szCs w:val="28"/>
          <w:lang w:val="uk-UA"/>
        </w:rPr>
        <w:t>в залежності від ступеня ГГЦ</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4"/>
        <w:gridCol w:w="2097"/>
        <w:gridCol w:w="3191"/>
        <w:gridCol w:w="3039"/>
      </w:tblGrid>
      <w:tr w:rsidR="0047048A" w:rsidTr="00113E76">
        <w:tc>
          <w:tcPr>
            <w:tcW w:w="1005"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Показники</w:t>
            </w:r>
          </w:p>
        </w:tc>
        <w:tc>
          <w:tcPr>
            <w:tcW w:w="1006" w:type="pct"/>
            <w:vAlign w:val="center"/>
          </w:tcPr>
          <w:p w:rsidR="0047048A" w:rsidRDefault="0047048A" w:rsidP="00113E76">
            <w:pPr>
              <w:tabs>
                <w:tab w:val="left" w:pos="1440"/>
              </w:tabs>
              <w:spacing w:line="360" w:lineRule="auto"/>
              <w:jc w:val="center"/>
              <w:rPr>
                <w:sz w:val="28"/>
                <w:szCs w:val="28"/>
                <w:lang w:val="uk-UA"/>
              </w:rPr>
            </w:pPr>
            <w:r>
              <w:rPr>
                <w:sz w:val="28"/>
                <w:szCs w:val="28"/>
                <w:lang w:val="uk-UA"/>
              </w:rPr>
              <w:t>Рівень ГГЦ</w:t>
            </w:r>
          </w:p>
        </w:tc>
        <w:tc>
          <w:tcPr>
            <w:tcW w:w="1531" w:type="pct"/>
            <w:vAlign w:val="center"/>
          </w:tcPr>
          <w:p w:rsidR="0047048A" w:rsidRPr="00E53258" w:rsidRDefault="0047048A" w:rsidP="00113E76">
            <w:pPr>
              <w:tabs>
                <w:tab w:val="left" w:pos="1440"/>
              </w:tabs>
              <w:spacing w:line="360" w:lineRule="auto"/>
              <w:jc w:val="center"/>
              <w:rPr>
                <w:sz w:val="28"/>
                <w:szCs w:val="28"/>
                <w:lang w:val="uk-UA"/>
              </w:rPr>
            </w:pPr>
            <w:r>
              <w:rPr>
                <w:sz w:val="28"/>
                <w:szCs w:val="28"/>
                <w:lang w:val="uk-UA"/>
              </w:rPr>
              <w:t xml:space="preserve">1 група, </w:t>
            </w:r>
            <w:r w:rsidR="00E53258">
              <w:rPr>
                <w:sz w:val="28"/>
                <w:szCs w:val="28"/>
              </w:rPr>
              <w:t>n=4</w:t>
            </w:r>
            <w:r w:rsidR="00E53258">
              <w:rPr>
                <w:sz w:val="28"/>
                <w:szCs w:val="28"/>
                <w:lang w:val="uk-UA"/>
              </w:rPr>
              <w:t>0</w:t>
            </w:r>
          </w:p>
        </w:tc>
        <w:tc>
          <w:tcPr>
            <w:tcW w:w="1458" w:type="pct"/>
            <w:vAlign w:val="center"/>
          </w:tcPr>
          <w:p w:rsidR="0047048A" w:rsidRPr="00E53258" w:rsidRDefault="0047048A" w:rsidP="00E53258">
            <w:pPr>
              <w:tabs>
                <w:tab w:val="left" w:pos="1440"/>
              </w:tabs>
              <w:spacing w:line="360" w:lineRule="auto"/>
              <w:jc w:val="center"/>
              <w:rPr>
                <w:sz w:val="28"/>
                <w:szCs w:val="28"/>
                <w:lang w:val="uk-UA"/>
              </w:rPr>
            </w:pPr>
            <w:r>
              <w:rPr>
                <w:sz w:val="28"/>
                <w:szCs w:val="28"/>
                <w:lang w:val="uk-UA"/>
              </w:rPr>
              <w:t xml:space="preserve">2 група, </w:t>
            </w:r>
            <w:r>
              <w:rPr>
                <w:sz w:val="28"/>
                <w:szCs w:val="28"/>
              </w:rPr>
              <w:t>n=4</w:t>
            </w:r>
            <w:r w:rsidR="00E53258">
              <w:rPr>
                <w:sz w:val="28"/>
                <w:szCs w:val="28"/>
                <w:lang w:val="uk-UA"/>
              </w:rPr>
              <w:t>5</w:t>
            </w:r>
          </w:p>
        </w:tc>
      </w:tr>
      <w:tr w:rsidR="00E53258" w:rsidTr="00113E76">
        <w:tc>
          <w:tcPr>
            <w:tcW w:w="1005" w:type="pct"/>
            <w:vMerge w:val="restart"/>
            <w:vAlign w:val="center"/>
          </w:tcPr>
          <w:p w:rsidR="00E53258" w:rsidRDefault="00E53258" w:rsidP="00113E76">
            <w:pPr>
              <w:tabs>
                <w:tab w:val="left" w:pos="1440"/>
              </w:tabs>
              <w:spacing w:line="360" w:lineRule="auto"/>
              <w:jc w:val="center"/>
              <w:rPr>
                <w:sz w:val="28"/>
                <w:szCs w:val="28"/>
                <w:lang w:val="uk-UA"/>
              </w:rPr>
            </w:pPr>
            <w:r>
              <w:rPr>
                <w:sz w:val="28"/>
                <w:szCs w:val="28"/>
                <w:lang w:val="en-US"/>
              </w:rPr>
              <w:t>NO</w:t>
            </w:r>
            <w:r>
              <w:rPr>
                <w:sz w:val="28"/>
                <w:szCs w:val="28"/>
                <w:lang w:val="uk-UA"/>
              </w:rPr>
              <w:t>, мкмоль/л</w:t>
            </w:r>
          </w:p>
        </w:tc>
        <w:tc>
          <w:tcPr>
            <w:tcW w:w="1006"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 ступень</w:t>
            </w:r>
          </w:p>
        </w:tc>
        <w:tc>
          <w:tcPr>
            <w:tcW w:w="1531"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130,67 (127,3; 139,19)</w:t>
            </w:r>
          </w:p>
        </w:tc>
        <w:tc>
          <w:tcPr>
            <w:tcW w:w="145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129,54 (126,12; 134,17)</w:t>
            </w:r>
          </w:p>
        </w:tc>
      </w:tr>
      <w:tr w:rsidR="00E53258" w:rsidTr="00113E76">
        <w:tc>
          <w:tcPr>
            <w:tcW w:w="1005" w:type="pct"/>
            <w:vMerge/>
            <w:vAlign w:val="center"/>
          </w:tcPr>
          <w:p w:rsidR="00E53258" w:rsidRDefault="00E53258" w:rsidP="00113E76">
            <w:pPr>
              <w:tabs>
                <w:tab w:val="left" w:pos="1440"/>
              </w:tabs>
              <w:spacing w:line="360" w:lineRule="auto"/>
              <w:jc w:val="center"/>
              <w:rPr>
                <w:sz w:val="28"/>
                <w:szCs w:val="28"/>
                <w:lang w:val="uk-UA"/>
              </w:rPr>
            </w:pPr>
          </w:p>
        </w:tc>
        <w:tc>
          <w:tcPr>
            <w:tcW w:w="1006"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II ступень</w:t>
            </w:r>
          </w:p>
        </w:tc>
        <w:tc>
          <w:tcPr>
            <w:tcW w:w="1531"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173,39 (162,18; 187,3)*</w:t>
            </w:r>
          </w:p>
        </w:tc>
        <w:tc>
          <w:tcPr>
            <w:tcW w:w="145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147,71 (142,97;161,48)*</w:t>
            </w:r>
          </w:p>
        </w:tc>
      </w:tr>
      <w:tr w:rsidR="00E53258" w:rsidTr="00113E76">
        <w:tc>
          <w:tcPr>
            <w:tcW w:w="1005" w:type="pct"/>
            <w:vMerge w:val="restart"/>
            <w:vAlign w:val="center"/>
          </w:tcPr>
          <w:p w:rsidR="00E53258" w:rsidRDefault="00E53258" w:rsidP="00113E76">
            <w:pPr>
              <w:tabs>
                <w:tab w:val="left" w:pos="1440"/>
              </w:tabs>
              <w:spacing w:line="360" w:lineRule="auto"/>
              <w:jc w:val="center"/>
              <w:rPr>
                <w:sz w:val="28"/>
                <w:szCs w:val="28"/>
                <w:lang w:val="uk-UA"/>
              </w:rPr>
            </w:pPr>
            <w:r>
              <w:br w:type="page"/>
            </w:r>
            <w:r>
              <w:rPr>
                <w:sz w:val="28"/>
                <w:szCs w:val="28"/>
                <w:lang w:val="uk-UA"/>
              </w:rPr>
              <w:t>МДА, мкмоль/л</w:t>
            </w:r>
          </w:p>
        </w:tc>
        <w:tc>
          <w:tcPr>
            <w:tcW w:w="1006"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 ступень</w:t>
            </w:r>
          </w:p>
        </w:tc>
        <w:tc>
          <w:tcPr>
            <w:tcW w:w="1531"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10,64 (10,5; 10,93)</w:t>
            </w:r>
          </w:p>
        </w:tc>
        <w:tc>
          <w:tcPr>
            <w:tcW w:w="145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7,91 (7,31; 8,43)</w:t>
            </w:r>
          </w:p>
        </w:tc>
      </w:tr>
      <w:tr w:rsidR="00E53258" w:rsidTr="00113E76">
        <w:tc>
          <w:tcPr>
            <w:tcW w:w="0" w:type="auto"/>
            <w:vMerge/>
            <w:vAlign w:val="center"/>
          </w:tcPr>
          <w:p w:rsidR="00E53258" w:rsidRDefault="00E53258" w:rsidP="00113E76">
            <w:pPr>
              <w:rPr>
                <w:sz w:val="28"/>
                <w:szCs w:val="28"/>
                <w:lang w:val="uk-UA"/>
              </w:rPr>
            </w:pPr>
          </w:p>
        </w:tc>
        <w:tc>
          <w:tcPr>
            <w:tcW w:w="1006" w:type="pct"/>
            <w:vAlign w:val="center"/>
          </w:tcPr>
          <w:p w:rsidR="00E53258" w:rsidRDefault="00E53258" w:rsidP="00113E76">
            <w:pPr>
              <w:tabs>
                <w:tab w:val="left" w:pos="1440"/>
              </w:tabs>
              <w:spacing w:line="360" w:lineRule="auto"/>
              <w:jc w:val="center"/>
              <w:rPr>
                <w:sz w:val="28"/>
                <w:szCs w:val="28"/>
                <w:lang w:val="uk-UA"/>
              </w:rPr>
            </w:pPr>
            <w:r>
              <w:rPr>
                <w:sz w:val="28"/>
                <w:szCs w:val="28"/>
                <w:lang w:val="uk-UA"/>
              </w:rPr>
              <w:t>II ступень</w:t>
            </w:r>
          </w:p>
        </w:tc>
        <w:tc>
          <w:tcPr>
            <w:tcW w:w="1531"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13,38 (12,36; 15,26)*</w:t>
            </w:r>
          </w:p>
        </w:tc>
        <w:tc>
          <w:tcPr>
            <w:tcW w:w="1458" w:type="pct"/>
            <w:vAlign w:val="center"/>
          </w:tcPr>
          <w:p w:rsidR="00E53258" w:rsidRDefault="00E53258" w:rsidP="00A0176F">
            <w:pPr>
              <w:tabs>
                <w:tab w:val="left" w:pos="1440"/>
              </w:tabs>
              <w:spacing w:line="360" w:lineRule="auto"/>
              <w:jc w:val="center"/>
              <w:rPr>
                <w:sz w:val="28"/>
                <w:szCs w:val="28"/>
                <w:lang w:val="uk-UA"/>
              </w:rPr>
            </w:pPr>
            <w:r>
              <w:rPr>
                <w:sz w:val="28"/>
                <w:szCs w:val="28"/>
                <w:lang w:val="uk-UA"/>
              </w:rPr>
              <w:t>10,09 (9,35; 10,8)*</w:t>
            </w:r>
          </w:p>
        </w:tc>
      </w:tr>
    </w:tbl>
    <w:p w:rsidR="00E53258" w:rsidRDefault="0047048A" w:rsidP="0047048A">
      <w:pPr>
        <w:spacing w:line="360" w:lineRule="auto"/>
        <w:ind w:firstLine="709"/>
        <w:jc w:val="both"/>
        <w:rPr>
          <w:sz w:val="28"/>
          <w:szCs w:val="28"/>
        </w:rPr>
      </w:pPr>
      <w:r>
        <w:rPr>
          <w:b/>
          <w:sz w:val="28"/>
          <w:szCs w:val="28"/>
          <w:lang w:val="uk-UA"/>
        </w:rPr>
        <w:t xml:space="preserve">Примітка: </w:t>
      </w:r>
      <w:r>
        <w:rPr>
          <w:sz w:val="28"/>
          <w:szCs w:val="28"/>
          <w:lang w:val="uk-UA"/>
        </w:rPr>
        <w:t xml:space="preserve">* – </w:t>
      </w:r>
      <w:r>
        <w:rPr>
          <w:sz w:val="28"/>
          <w:szCs w:val="28"/>
        </w:rPr>
        <w:t>p</w:t>
      </w:r>
      <w:r w:rsidR="00E53258">
        <w:rPr>
          <w:sz w:val="28"/>
          <w:szCs w:val="28"/>
          <w:lang w:val="uk-UA"/>
        </w:rPr>
        <w:t xml:space="preserve"> </w:t>
      </w:r>
      <w:r>
        <w:rPr>
          <w:sz w:val="28"/>
          <w:szCs w:val="28"/>
          <w:lang w:val="uk-UA"/>
        </w:rPr>
        <w:t>&lt;</w:t>
      </w:r>
      <w:r w:rsidR="00E53258">
        <w:rPr>
          <w:sz w:val="28"/>
          <w:szCs w:val="28"/>
          <w:lang w:val="uk-UA"/>
        </w:rPr>
        <w:t xml:space="preserve"> </w:t>
      </w:r>
      <w:r>
        <w:rPr>
          <w:sz w:val="28"/>
          <w:szCs w:val="28"/>
          <w:lang w:val="uk-UA"/>
        </w:rPr>
        <w:t xml:space="preserve">0,001 щодо I ступеню  </w:t>
      </w:r>
    </w:p>
    <w:p w:rsidR="0047048A" w:rsidRDefault="004161DF" w:rsidP="004161DF">
      <w:pPr>
        <w:spacing w:line="360" w:lineRule="auto"/>
        <w:ind w:firstLine="709"/>
        <w:jc w:val="both"/>
        <w:rPr>
          <w:sz w:val="28"/>
          <w:szCs w:val="28"/>
          <w:lang w:val="uk-UA"/>
        </w:rPr>
      </w:pPr>
      <w:r>
        <w:rPr>
          <w:sz w:val="28"/>
          <w:szCs w:val="28"/>
          <w:lang w:val="uk-UA"/>
        </w:rPr>
        <w:t xml:space="preserve">Зміни показників  </w:t>
      </w:r>
      <w:r>
        <w:rPr>
          <w:sz w:val="28"/>
          <w:szCs w:val="28"/>
          <w:lang w:val="en-US"/>
        </w:rPr>
        <w:t>NO</w:t>
      </w:r>
      <w:r>
        <w:rPr>
          <w:sz w:val="28"/>
          <w:szCs w:val="28"/>
          <w:lang w:val="uk-UA"/>
        </w:rPr>
        <w:t xml:space="preserve"> в залежності від ступеню ГГЦ виявлені у хворих 1 групи – 173,39 (162,18; 187,3) мкмоль/л та 130,67 (127,3; 139,19) мкмоль/л відповідно при I та II ступеню ГГЦ (</w:t>
      </w:r>
      <w:r>
        <w:rPr>
          <w:sz w:val="28"/>
          <w:szCs w:val="28"/>
        </w:rPr>
        <w:t>p</w:t>
      </w:r>
      <w:r>
        <w:rPr>
          <w:sz w:val="28"/>
          <w:szCs w:val="28"/>
          <w:lang w:val="uk-UA"/>
        </w:rPr>
        <w:t xml:space="preserve"> &lt; 0,001).</w:t>
      </w:r>
      <w:r w:rsidR="0047048A">
        <w:rPr>
          <w:sz w:val="28"/>
          <w:szCs w:val="28"/>
          <w:lang w:val="uk-UA"/>
        </w:rPr>
        <w:t xml:space="preserve">В </w:t>
      </w:r>
      <w:r>
        <w:rPr>
          <w:sz w:val="28"/>
          <w:szCs w:val="28"/>
          <w:lang w:val="uk-UA"/>
        </w:rPr>
        <w:t>2</w:t>
      </w:r>
      <w:r w:rsidR="0047048A">
        <w:rPr>
          <w:sz w:val="28"/>
          <w:szCs w:val="28"/>
          <w:lang w:val="uk-UA"/>
        </w:rPr>
        <w:t xml:space="preserve"> групі у пацієнтів з II ступенем ГГЦ рівень </w:t>
      </w:r>
      <w:r w:rsidR="0047048A">
        <w:rPr>
          <w:sz w:val="28"/>
          <w:szCs w:val="28"/>
          <w:lang w:val="en-US"/>
        </w:rPr>
        <w:t>NO</w:t>
      </w:r>
      <w:r w:rsidR="0047048A">
        <w:rPr>
          <w:sz w:val="28"/>
          <w:szCs w:val="28"/>
          <w:lang w:val="uk-UA"/>
        </w:rPr>
        <w:t xml:space="preserve"> в плазмі крові складав 147,71</w:t>
      </w:r>
      <w:r>
        <w:rPr>
          <w:sz w:val="28"/>
          <w:szCs w:val="28"/>
          <w:lang w:val="uk-UA"/>
        </w:rPr>
        <w:t xml:space="preserve"> </w:t>
      </w:r>
      <w:r w:rsidR="0047048A">
        <w:rPr>
          <w:sz w:val="28"/>
          <w:szCs w:val="28"/>
          <w:lang w:val="uk-UA"/>
        </w:rPr>
        <w:t>(142,97;</w:t>
      </w:r>
      <w:r>
        <w:rPr>
          <w:sz w:val="28"/>
          <w:szCs w:val="28"/>
          <w:lang w:val="uk-UA"/>
        </w:rPr>
        <w:t xml:space="preserve"> </w:t>
      </w:r>
      <w:r w:rsidR="0047048A">
        <w:rPr>
          <w:sz w:val="28"/>
          <w:szCs w:val="28"/>
          <w:lang w:val="uk-UA"/>
        </w:rPr>
        <w:t xml:space="preserve">161,48) мкмоль/л, що </w:t>
      </w:r>
      <w:r w:rsidR="00113E76">
        <w:rPr>
          <w:sz w:val="28"/>
          <w:szCs w:val="28"/>
          <w:lang w:val="uk-UA"/>
        </w:rPr>
        <w:t>достеменно</w:t>
      </w:r>
      <w:r w:rsidR="0047048A">
        <w:rPr>
          <w:sz w:val="28"/>
          <w:szCs w:val="28"/>
          <w:lang w:val="uk-UA"/>
        </w:rPr>
        <w:t xml:space="preserve"> (</w:t>
      </w:r>
      <w:r w:rsidR="0047048A">
        <w:rPr>
          <w:sz w:val="28"/>
          <w:szCs w:val="28"/>
        </w:rPr>
        <w:t>p</w:t>
      </w:r>
      <w:r>
        <w:rPr>
          <w:sz w:val="28"/>
          <w:szCs w:val="28"/>
          <w:lang w:val="uk-UA"/>
        </w:rPr>
        <w:t xml:space="preserve"> </w:t>
      </w:r>
      <w:r w:rsidR="0047048A">
        <w:rPr>
          <w:sz w:val="28"/>
          <w:szCs w:val="28"/>
          <w:lang w:val="uk-UA"/>
        </w:rPr>
        <w:t>&lt;</w:t>
      </w:r>
      <w:r>
        <w:rPr>
          <w:sz w:val="28"/>
          <w:szCs w:val="28"/>
          <w:lang w:val="uk-UA"/>
        </w:rPr>
        <w:t xml:space="preserve"> </w:t>
      </w:r>
      <w:r w:rsidR="0047048A">
        <w:rPr>
          <w:sz w:val="28"/>
          <w:szCs w:val="28"/>
          <w:lang w:val="uk-UA"/>
        </w:rPr>
        <w:t>0,001) вище, ніж у хворих з I ступенем ГГЦ – 129,54</w:t>
      </w:r>
      <w:r>
        <w:rPr>
          <w:sz w:val="28"/>
          <w:szCs w:val="28"/>
          <w:lang w:val="uk-UA"/>
        </w:rPr>
        <w:t xml:space="preserve"> </w:t>
      </w:r>
      <w:r w:rsidR="0047048A">
        <w:rPr>
          <w:sz w:val="28"/>
          <w:szCs w:val="28"/>
          <w:lang w:val="uk-UA"/>
        </w:rPr>
        <w:t>(126,12;</w:t>
      </w:r>
      <w:r>
        <w:rPr>
          <w:sz w:val="28"/>
          <w:szCs w:val="28"/>
          <w:lang w:val="uk-UA"/>
        </w:rPr>
        <w:t xml:space="preserve"> </w:t>
      </w:r>
      <w:r w:rsidR="0047048A">
        <w:rPr>
          <w:sz w:val="28"/>
          <w:szCs w:val="28"/>
          <w:lang w:val="uk-UA"/>
        </w:rPr>
        <w:lastRenderedPageBreak/>
        <w:t>134,17) мкмоль/л. Рівень кінцевого продукту ліпопероксидації – МДА також залежав від концентрації Г</w:t>
      </w:r>
      <w:r>
        <w:rPr>
          <w:sz w:val="28"/>
          <w:szCs w:val="28"/>
          <w:lang w:val="uk-UA"/>
        </w:rPr>
        <w:t>Ц сироватки крові. З високою достовірністю (</w:t>
      </w:r>
      <w:r>
        <w:rPr>
          <w:sz w:val="28"/>
          <w:szCs w:val="28"/>
        </w:rPr>
        <w:t>p</w:t>
      </w:r>
      <w:r>
        <w:rPr>
          <w:sz w:val="28"/>
          <w:szCs w:val="28"/>
          <w:lang w:val="uk-UA"/>
        </w:rPr>
        <w:t xml:space="preserve"> &lt; 0,001) показник МДА змінювався і у хворих 1 групи 10,64 (10,5; 10,93) мкмоль/л порівняно з 13,38 (12,36; 15,26) мкмоль/л при I та II ступенях ГГЦ відповідно. У пацієнтів 2 </w:t>
      </w:r>
      <w:r w:rsidR="0047048A">
        <w:rPr>
          <w:sz w:val="28"/>
          <w:szCs w:val="28"/>
          <w:lang w:val="uk-UA"/>
        </w:rPr>
        <w:t>групи  при ГГЦ  I ступеню  він складав 7,91</w:t>
      </w:r>
      <w:r>
        <w:rPr>
          <w:sz w:val="28"/>
          <w:szCs w:val="28"/>
          <w:lang w:val="uk-UA"/>
        </w:rPr>
        <w:t xml:space="preserve"> </w:t>
      </w:r>
      <w:r w:rsidR="0047048A">
        <w:rPr>
          <w:sz w:val="28"/>
          <w:szCs w:val="28"/>
          <w:lang w:val="uk-UA"/>
        </w:rPr>
        <w:t>(7,31;</w:t>
      </w:r>
      <w:r>
        <w:rPr>
          <w:sz w:val="28"/>
          <w:szCs w:val="28"/>
          <w:lang w:val="uk-UA"/>
        </w:rPr>
        <w:t xml:space="preserve"> </w:t>
      </w:r>
      <w:r w:rsidR="0047048A">
        <w:rPr>
          <w:sz w:val="28"/>
          <w:szCs w:val="28"/>
          <w:lang w:val="uk-UA"/>
        </w:rPr>
        <w:t>8,43) мкмоль/л, а при II ступеню – 10,09</w:t>
      </w:r>
      <w:r>
        <w:rPr>
          <w:sz w:val="28"/>
          <w:szCs w:val="28"/>
          <w:lang w:val="uk-UA"/>
        </w:rPr>
        <w:t xml:space="preserve"> </w:t>
      </w:r>
      <w:r w:rsidR="0047048A">
        <w:rPr>
          <w:sz w:val="28"/>
          <w:szCs w:val="28"/>
          <w:lang w:val="uk-UA"/>
        </w:rPr>
        <w:t>(9,35;</w:t>
      </w:r>
      <w:r>
        <w:rPr>
          <w:sz w:val="28"/>
          <w:szCs w:val="28"/>
          <w:lang w:val="uk-UA"/>
        </w:rPr>
        <w:t xml:space="preserve"> </w:t>
      </w:r>
      <w:r w:rsidR="0047048A">
        <w:rPr>
          <w:sz w:val="28"/>
          <w:szCs w:val="28"/>
          <w:lang w:val="uk-UA"/>
        </w:rPr>
        <w:t>10,8) мкмоль/л (</w:t>
      </w:r>
      <w:r w:rsidR="0047048A">
        <w:rPr>
          <w:sz w:val="28"/>
          <w:szCs w:val="28"/>
        </w:rPr>
        <w:t>p</w:t>
      </w:r>
      <w:r>
        <w:rPr>
          <w:sz w:val="28"/>
          <w:szCs w:val="28"/>
          <w:lang w:val="uk-UA"/>
        </w:rPr>
        <w:t xml:space="preserve"> </w:t>
      </w:r>
      <w:r w:rsidR="0047048A">
        <w:rPr>
          <w:sz w:val="28"/>
          <w:szCs w:val="28"/>
          <w:lang w:val="uk-UA"/>
        </w:rPr>
        <w:t>&lt;</w:t>
      </w:r>
      <w:r>
        <w:rPr>
          <w:sz w:val="28"/>
          <w:szCs w:val="28"/>
          <w:lang w:val="uk-UA"/>
        </w:rPr>
        <w:t xml:space="preserve"> </w:t>
      </w:r>
      <w:r w:rsidR="0047048A">
        <w:rPr>
          <w:sz w:val="28"/>
          <w:szCs w:val="28"/>
          <w:lang w:val="uk-UA"/>
        </w:rPr>
        <w:t xml:space="preserve">0,001). </w:t>
      </w:r>
    </w:p>
    <w:p w:rsidR="0047048A" w:rsidRDefault="0047048A" w:rsidP="0047048A">
      <w:pPr>
        <w:tabs>
          <w:tab w:val="left" w:pos="1440"/>
        </w:tabs>
        <w:spacing w:line="360" w:lineRule="auto"/>
        <w:ind w:firstLine="709"/>
        <w:jc w:val="both"/>
        <w:rPr>
          <w:sz w:val="28"/>
          <w:szCs w:val="28"/>
          <w:lang w:val="uk-UA"/>
        </w:rPr>
      </w:pPr>
      <w:r>
        <w:rPr>
          <w:sz w:val="28"/>
          <w:szCs w:val="28"/>
          <w:lang w:val="uk-UA"/>
        </w:rPr>
        <w:t xml:space="preserve">Отримані нами результати виявили сильний обернений кореляційний зв’язок між рівнем ГЦ та </w:t>
      </w:r>
      <w:r>
        <w:rPr>
          <w:sz w:val="28"/>
          <w:szCs w:val="28"/>
          <w:lang w:val="en-US"/>
        </w:rPr>
        <w:t>L</w:t>
      </w:r>
      <w:r w:rsidR="00CF6631">
        <w:rPr>
          <w:sz w:val="28"/>
          <w:szCs w:val="28"/>
          <w:lang w:val="uk-UA"/>
        </w:rPr>
        <w:t>–</w:t>
      </w:r>
      <w:r>
        <w:rPr>
          <w:sz w:val="28"/>
          <w:szCs w:val="28"/>
          <w:lang w:val="uk-UA"/>
        </w:rPr>
        <w:t xml:space="preserve">карнітину сироватки крові у хворих обох груп. В </w:t>
      </w:r>
      <w:r w:rsidR="00113E76">
        <w:rPr>
          <w:sz w:val="28"/>
          <w:szCs w:val="28"/>
          <w:lang w:val="uk-UA"/>
        </w:rPr>
        <w:t>1</w:t>
      </w:r>
      <w:r>
        <w:rPr>
          <w:sz w:val="28"/>
          <w:szCs w:val="28"/>
          <w:lang w:val="uk-UA"/>
        </w:rPr>
        <w:t xml:space="preserve"> групі хворих коефіцієнт кореляції між ГЦ та </w:t>
      </w:r>
      <w:r>
        <w:rPr>
          <w:sz w:val="28"/>
          <w:szCs w:val="28"/>
          <w:lang w:val="en-US"/>
        </w:rPr>
        <w:t>L</w:t>
      </w:r>
      <w:r w:rsidR="00CF6631">
        <w:rPr>
          <w:sz w:val="28"/>
          <w:szCs w:val="28"/>
          <w:lang w:val="uk-UA"/>
        </w:rPr>
        <w:t>–</w:t>
      </w:r>
      <w:r>
        <w:rPr>
          <w:sz w:val="28"/>
          <w:szCs w:val="28"/>
          <w:lang w:val="uk-UA"/>
        </w:rPr>
        <w:t xml:space="preserve">карнітином склав </w:t>
      </w:r>
      <w:r>
        <w:rPr>
          <w:sz w:val="28"/>
          <w:szCs w:val="28"/>
          <w:lang w:val="en-US"/>
        </w:rPr>
        <w:t>r</w:t>
      </w:r>
      <w:r>
        <w:rPr>
          <w:sz w:val="28"/>
          <w:szCs w:val="28"/>
          <w:lang w:val="uk-UA"/>
        </w:rPr>
        <w:t xml:space="preserve"> =</w:t>
      </w:r>
      <w:r w:rsidR="004161DF">
        <w:rPr>
          <w:sz w:val="28"/>
          <w:szCs w:val="28"/>
          <w:lang w:val="uk-UA"/>
        </w:rPr>
        <w:t xml:space="preserve"> </w:t>
      </w:r>
      <w:r w:rsidR="00CF6631">
        <w:rPr>
          <w:sz w:val="28"/>
          <w:szCs w:val="28"/>
          <w:lang w:val="uk-UA"/>
        </w:rPr>
        <w:t>–</w:t>
      </w:r>
      <w:r w:rsidR="004161DF">
        <w:rPr>
          <w:sz w:val="28"/>
          <w:szCs w:val="28"/>
          <w:lang w:val="uk-UA"/>
        </w:rPr>
        <w:t xml:space="preserve"> 0,73</w:t>
      </w:r>
      <w:r>
        <w:rPr>
          <w:sz w:val="28"/>
          <w:szCs w:val="28"/>
          <w:lang w:val="uk-UA"/>
        </w:rPr>
        <w:t xml:space="preserve"> (</w:t>
      </w:r>
      <w:r>
        <w:rPr>
          <w:sz w:val="28"/>
          <w:szCs w:val="28"/>
          <w:lang w:val="en-US"/>
        </w:rPr>
        <w:t>p</w:t>
      </w:r>
      <w:r w:rsidR="004161DF">
        <w:rPr>
          <w:sz w:val="28"/>
          <w:szCs w:val="28"/>
          <w:lang w:val="uk-UA"/>
        </w:rPr>
        <w:t xml:space="preserve"> </w:t>
      </w:r>
      <w:r>
        <w:rPr>
          <w:sz w:val="28"/>
          <w:szCs w:val="28"/>
          <w:lang w:val="uk-UA"/>
        </w:rPr>
        <w:t>&lt;</w:t>
      </w:r>
      <w:r w:rsidR="004161DF">
        <w:rPr>
          <w:sz w:val="28"/>
          <w:szCs w:val="28"/>
          <w:lang w:val="uk-UA"/>
        </w:rPr>
        <w:t xml:space="preserve"> </w:t>
      </w:r>
      <w:r>
        <w:rPr>
          <w:sz w:val="28"/>
          <w:szCs w:val="28"/>
          <w:lang w:val="uk-UA"/>
        </w:rPr>
        <w:t xml:space="preserve">0,01), в 2 групі </w:t>
      </w:r>
      <w:r w:rsidR="00CF6631">
        <w:rPr>
          <w:sz w:val="28"/>
          <w:szCs w:val="28"/>
          <w:lang w:val="uk-UA"/>
        </w:rPr>
        <w:t>–</w:t>
      </w:r>
      <w:r>
        <w:rPr>
          <w:sz w:val="28"/>
          <w:szCs w:val="28"/>
          <w:lang w:val="uk-UA"/>
        </w:rPr>
        <w:t xml:space="preserve">  </w:t>
      </w:r>
      <w:r>
        <w:rPr>
          <w:sz w:val="28"/>
          <w:szCs w:val="28"/>
          <w:lang w:val="en-US"/>
        </w:rPr>
        <w:t>r</w:t>
      </w:r>
      <w:r>
        <w:rPr>
          <w:sz w:val="28"/>
          <w:szCs w:val="28"/>
          <w:lang w:val="uk-UA"/>
        </w:rPr>
        <w:t xml:space="preserve"> =</w:t>
      </w:r>
      <w:r w:rsidR="004161DF">
        <w:rPr>
          <w:sz w:val="28"/>
          <w:szCs w:val="28"/>
          <w:lang w:val="uk-UA"/>
        </w:rPr>
        <w:t xml:space="preserve"> </w:t>
      </w:r>
      <w:r w:rsidR="00CF6631">
        <w:rPr>
          <w:sz w:val="28"/>
          <w:szCs w:val="28"/>
          <w:lang w:val="uk-UA"/>
        </w:rPr>
        <w:t>–</w:t>
      </w:r>
      <w:r w:rsidR="004161DF">
        <w:rPr>
          <w:sz w:val="28"/>
          <w:szCs w:val="28"/>
          <w:lang w:val="uk-UA"/>
        </w:rPr>
        <w:t xml:space="preserve"> 0,74</w:t>
      </w:r>
      <w:r>
        <w:rPr>
          <w:sz w:val="28"/>
          <w:szCs w:val="28"/>
          <w:lang w:val="uk-UA"/>
        </w:rPr>
        <w:t xml:space="preserve"> (</w:t>
      </w:r>
      <w:r>
        <w:rPr>
          <w:sz w:val="28"/>
          <w:szCs w:val="28"/>
          <w:lang w:val="en-US"/>
        </w:rPr>
        <w:t>p</w:t>
      </w:r>
      <w:r w:rsidR="004161DF">
        <w:rPr>
          <w:sz w:val="28"/>
          <w:szCs w:val="28"/>
          <w:lang w:val="uk-UA"/>
        </w:rPr>
        <w:t xml:space="preserve"> </w:t>
      </w:r>
      <w:r>
        <w:rPr>
          <w:sz w:val="28"/>
          <w:szCs w:val="28"/>
          <w:lang w:val="uk-UA"/>
        </w:rPr>
        <w:t>&lt;</w:t>
      </w:r>
      <w:r w:rsidR="004161DF">
        <w:rPr>
          <w:sz w:val="28"/>
          <w:szCs w:val="28"/>
          <w:lang w:val="uk-UA"/>
        </w:rPr>
        <w:t xml:space="preserve"> </w:t>
      </w:r>
      <w:r>
        <w:rPr>
          <w:sz w:val="28"/>
          <w:szCs w:val="28"/>
          <w:lang w:val="uk-UA"/>
        </w:rPr>
        <w:t xml:space="preserve">0,01). </w:t>
      </w:r>
    </w:p>
    <w:p w:rsidR="0047048A" w:rsidRDefault="0047048A" w:rsidP="0047048A">
      <w:pPr>
        <w:spacing w:line="360" w:lineRule="auto"/>
        <w:ind w:firstLine="709"/>
        <w:jc w:val="both"/>
        <w:rPr>
          <w:sz w:val="28"/>
          <w:szCs w:val="28"/>
          <w:lang w:val="uk-UA"/>
        </w:rPr>
      </w:pPr>
      <w:r>
        <w:rPr>
          <w:sz w:val="28"/>
          <w:szCs w:val="28"/>
          <w:lang w:val="uk-UA"/>
        </w:rPr>
        <w:t xml:space="preserve">Результати проведених досліджень засвідчують, що у хворих НАСГ </w:t>
      </w:r>
      <w:r w:rsidR="004161DF">
        <w:rPr>
          <w:sz w:val="28"/>
          <w:szCs w:val="28"/>
          <w:lang w:val="uk-UA"/>
        </w:rPr>
        <w:t xml:space="preserve">в поєднанні з ЦД 2 типу </w:t>
      </w:r>
      <w:r>
        <w:rPr>
          <w:sz w:val="28"/>
          <w:szCs w:val="28"/>
          <w:lang w:val="uk-UA"/>
        </w:rPr>
        <w:t xml:space="preserve">має місце ГГЦ. Рівень ГЦ був </w:t>
      </w:r>
      <w:r w:rsidR="00113E76">
        <w:rPr>
          <w:sz w:val="28"/>
          <w:szCs w:val="28"/>
          <w:lang w:val="uk-UA"/>
        </w:rPr>
        <w:t>достеменно</w:t>
      </w:r>
      <w:r w:rsidR="004161DF">
        <w:rPr>
          <w:sz w:val="28"/>
          <w:szCs w:val="28"/>
          <w:lang w:val="uk-UA"/>
        </w:rPr>
        <w:t xml:space="preserve"> вище в 1</w:t>
      </w:r>
      <w:r>
        <w:rPr>
          <w:sz w:val="28"/>
          <w:szCs w:val="28"/>
          <w:lang w:val="uk-UA"/>
        </w:rPr>
        <w:t xml:space="preserve"> групі пацієнтів, що пов’язано з впливом ГЦ на резистентність до інсуліну та підтверджується даними літератури [215, 229]. Нами виявлені гендерні та вікові відмінності рівнів ГЦ сироватки крові – у віковій групі старших за 40 років та у чоловіків обох груп ГГЦ була більш виразна. Дані особливості узгоджуються з літературними даними та пояснюються зниженням </w:t>
      </w:r>
      <w:r w:rsidR="004161DF">
        <w:rPr>
          <w:sz w:val="28"/>
          <w:szCs w:val="28"/>
          <w:lang w:val="uk-UA"/>
        </w:rPr>
        <w:t>функції</w:t>
      </w:r>
      <w:r>
        <w:rPr>
          <w:sz w:val="28"/>
          <w:szCs w:val="28"/>
          <w:lang w:val="uk-UA"/>
        </w:rPr>
        <w:t xml:space="preserve"> нирок з віком та більшою м’язовою масою у чоловіків [14]. </w:t>
      </w:r>
    </w:p>
    <w:p w:rsidR="0047048A" w:rsidRDefault="0047048A" w:rsidP="0047048A">
      <w:pPr>
        <w:spacing w:line="360" w:lineRule="auto"/>
        <w:ind w:firstLine="709"/>
        <w:jc w:val="both"/>
        <w:rPr>
          <w:sz w:val="28"/>
          <w:szCs w:val="28"/>
          <w:lang w:val="uk-UA"/>
        </w:rPr>
      </w:pPr>
      <w:r>
        <w:rPr>
          <w:sz w:val="28"/>
          <w:szCs w:val="28"/>
          <w:lang w:val="uk-UA"/>
        </w:rPr>
        <w:t xml:space="preserve">Нами доведено наростання ГГЦ паралельно збільшенню тривалості захворювання. У пацієнтів з супутнім ЦД 2 типу рівень ГЦ був достовірно вище при тривалості хвороби більше 5 років, що свідчить про зростання ГГЦ на фоні метаболічних порушень. </w:t>
      </w:r>
      <w:r w:rsidR="004161DF">
        <w:rPr>
          <w:sz w:val="28"/>
          <w:szCs w:val="28"/>
          <w:lang w:val="uk-UA"/>
        </w:rPr>
        <w:t>Концентрація ГЦ вірогідно зростала у хворих НАСГ з тривалістю захворювання більше 10 років, що пов’язано з прогресуванням хвороби.</w:t>
      </w:r>
    </w:p>
    <w:p w:rsidR="0047048A" w:rsidRDefault="0047048A" w:rsidP="0047048A">
      <w:pPr>
        <w:spacing w:line="360" w:lineRule="auto"/>
        <w:ind w:firstLine="709"/>
        <w:jc w:val="both"/>
        <w:rPr>
          <w:sz w:val="28"/>
          <w:szCs w:val="28"/>
          <w:lang w:val="uk-UA"/>
        </w:rPr>
      </w:pPr>
      <w:r>
        <w:rPr>
          <w:sz w:val="28"/>
          <w:szCs w:val="28"/>
          <w:lang w:val="uk-UA"/>
        </w:rPr>
        <w:t xml:space="preserve"> Отримані нами данні свідчать про роль ГЦ в індукції оксидативного стресу, про що свідчать кореляційні зв’язки з </w:t>
      </w:r>
      <w:r>
        <w:rPr>
          <w:sz w:val="28"/>
          <w:szCs w:val="28"/>
          <w:lang w:val="en-US"/>
        </w:rPr>
        <w:t>NO</w:t>
      </w:r>
      <w:r>
        <w:rPr>
          <w:sz w:val="28"/>
          <w:szCs w:val="28"/>
          <w:lang w:val="uk-UA"/>
        </w:rPr>
        <w:t xml:space="preserve"> та кінцевим продуктом ПОЛ – МДА. В свою чергу утворення продуктів ПОЛ в жирових депо сприяє гальмуванню дихальної функції мітохондрій і розвитку їх дисфункції на тлі зростаючої карнітинової недостатності. Сильні кореляційні залежності між ГЦ та прозапальними цитокінами, а також маркерами клітинного ушкодження (АЛТ і АСТ) доводять участь ГЦ в розвитку запальної реакції в клітинах печінки. ГЦ </w:t>
      </w:r>
      <w:r>
        <w:rPr>
          <w:sz w:val="28"/>
          <w:szCs w:val="28"/>
          <w:lang w:val="uk-UA"/>
        </w:rPr>
        <w:lastRenderedPageBreak/>
        <w:t>сироватки крові може розглядатися як предиктор та неінвазивний маркер прогресування НАСГ [229, 240].</w:t>
      </w:r>
    </w:p>
    <w:p w:rsidR="0047048A" w:rsidRDefault="0047048A" w:rsidP="0047048A">
      <w:pPr>
        <w:spacing w:line="360" w:lineRule="auto"/>
        <w:ind w:firstLine="709"/>
        <w:jc w:val="both"/>
        <w:rPr>
          <w:sz w:val="28"/>
          <w:szCs w:val="28"/>
          <w:lang w:val="uk-UA"/>
        </w:rPr>
      </w:pPr>
    </w:p>
    <w:p w:rsidR="0047048A" w:rsidRDefault="0047048A" w:rsidP="0047048A">
      <w:pPr>
        <w:spacing w:line="360" w:lineRule="auto"/>
        <w:ind w:firstLine="709"/>
        <w:jc w:val="both"/>
        <w:rPr>
          <w:sz w:val="28"/>
          <w:szCs w:val="28"/>
          <w:lang w:val="uk-UA"/>
        </w:rPr>
      </w:pPr>
      <w:r>
        <w:rPr>
          <w:sz w:val="28"/>
          <w:szCs w:val="28"/>
          <w:lang w:val="uk-UA"/>
        </w:rPr>
        <w:t>Даний розділ викладений в публікаціях:</w:t>
      </w:r>
    </w:p>
    <w:p w:rsidR="0047048A" w:rsidRDefault="0047048A" w:rsidP="0047048A">
      <w:pPr>
        <w:numPr>
          <w:ilvl w:val="0"/>
          <w:numId w:val="9"/>
        </w:numPr>
        <w:spacing w:line="360" w:lineRule="auto"/>
        <w:jc w:val="both"/>
        <w:rPr>
          <w:sz w:val="28"/>
          <w:szCs w:val="28"/>
          <w:lang w:val="en-US"/>
        </w:rPr>
      </w:pPr>
      <w:r>
        <w:rPr>
          <w:sz w:val="28"/>
          <w:lang w:val="en-US"/>
        </w:rPr>
        <w:t>Zvyagintseva</w:t>
      </w:r>
      <w:r>
        <w:rPr>
          <w:sz w:val="28"/>
          <w:lang w:val="uk-UA"/>
        </w:rPr>
        <w:t xml:space="preserve"> </w:t>
      </w:r>
      <w:r>
        <w:rPr>
          <w:sz w:val="28"/>
          <w:lang w:val="en-US"/>
        </w:rPr>
        <w:t>T</w:t>
      </w:r>
      <w:r>
        <w:rPr>
          <w:sz w:val="28"/>
          <w:lang w:val="uk-UA"/>
        </w:rPr>
        <w:t>.</w:t>
      </w:r>
      <w:r>
        <w:rPr>
          <w:sz w:val="28"/>
          <w:lang w:val="en-US"/>
        </w:rPr>
        <w:t>D</w:t>
      </w:r>
      <w:r>
        <w:rPr>
          <w:sz w:val="28"/>
          <w:lang w:val="uk-UA"/>
        </w:rPr>
        <w:t xml:space="preserve">., </w:t>
      </w:r>
      <w:r>
        <w:rPr>
          <w:sz w:val="28"/>
          <w:lang w:val="en-US"/>
        </w:rPr>
        <w:t>Glushchenko</w:t>
      </w:r>
      <w:r>
        <w:rPr>
          <w:sz w:val="28"/>
          <w:lang w:val="uk-UA"/>
        </w:rPr>
        <w:t xml:space="preserve"> </w:t>
      </w:r>
      <w:r>
        <w:rPr>
          <w:sz w:val="28"/>
          <w:lang w:val="en-US"/>
        </w:rPr>
        <w:t>S</w:t>
      </w:r>
      <w:r>
        <w:rPr>
          <w:sz w:val="28"/>
          <w:lang w:val="uk-UA"/>
        </w:rPr>
        <w:t>.</w:t>
      </w:r>
      <w:r>
        <w:rPr>
          <w:sz w:val="28"/>
          <w:lang w:val="en-US"/>
        </w:rPr>
        <w:t>V</w:t>
      </w:r>
      <w:r>
        <w:rPr>
          <w:sz w:val="28"/>
          <w:lang w:val="uk-UA"/>
        </w:rPr>
        <w:t xml:space="preserve">. </w:t>
      </w:r>
      <w:r>
        <w:rPr>
          <w:sz w:val="28"/>
          <w:szCs w:val="28"/>
          <w:lang w:val="en-US"/>
        </w:rPr>
        <w:t>Hyperhomocysteinemia as a predictor of the development and progression of nonalcoholic fatty liver disease</w:t>
      </w:r>
      <w:r>
        <w:rPr>
          <w:sz w:val="28"/>
          <w:szCs w:val="28"/>
          <w:lang w:val="uk-UA"/>
        </w:rPr>
        <w:t xml:space="preserve"> // </w:t>
      </w:r>
      <w:r>
        <w:rPr>
          <w:w w:val="106"/>
          <w:sz w:val="28"/>
          <w:szCs w:val="28"/>
          <w:lang w:val="en-US"/>
        </w:rPr>
        <w:t>U</w:t>
      </w:r>
      <w:r>
        <w:rPr>
          <w:w w:val="99"/>
          <w:sz w:val="28"/>
          <w:szCs w:val="28"/>
          <w:lang w:val="en-US"/>
        </w:rPr>
        <w:t>n</w:t>
      </w:r>
      <w:r>
        <w:rPr>
          <w:w w:val="96"/>
          <w:sz w:val="28"/>
          <w:szCs w:val="28"/>
          <w:lang w:val="en-US"/>
        </w:rPr>
        <w:t>i</w:t>
      </w:r>
      <w:r>
        <w:rPr>
          <w:w w:val="119"/>
          <w:sz w:val="28"/>
          <w:szCs w:val="28"/>
          <w:lang w:val="en-US"/>
        </w:rPr>
        <w:t>t</w:t>
      </w:r>
      <w:r>
        <w:rPr>
          <w:w w:val="98"/>
          <w:sz w:val="28"/>
          <w:szCs w:val="28"/>
          <w:lang w:val="en-US"/>
        </w:rPr>
        <w:t>e</w:t>
      </w:r>
      <w:r>
        <w:rPr>
          <w:w w:val="99"/>
          <w:sz w:val="28"/>
          <w:szCs w:val="28"/>
          <w:lang w:val="en-US"/>
        </w:rPr>
        <w:t>d</w:t>
      </w:r>
      <w:r>
        <w:rPr>
          <w:spacing w:val="11"/>
          <w:sz w:val="28"/>
          <w:szCs w:val="28"/>
          <w:lang w:val="en-US"/>
        </w:rPr>
        <w:t xml:space="preserve"> </w:t>
      </w:r>
      <w:r>
        <w:rPr>
          <w:w w:val="108"/>
          <w:sz w:val="28"/>
          <w:szCs w:val="28"/>
          <w:lang w:val="en-US"/>
        </w:rPr>
        <w:t>E</w:t>
      </w:r>
      <w:r>
        <w:rPr>
          <w:w w:val="99"/>
          <w:sz w:val="28"/>
          <w:szCs w:val="28"/>
          <w:lang w:val="en-US"/>
        </w:rPr>
        <w:t>u</w:t>
      </w:r>
      <w:r>
        <w:rPr>
          <w:w w:val="115"/>
          <w:sz w:val="28"/>
          <w:szCs w:val="28"/>
          <w:lang w:val="en-US"/>
        </w:rPr>
        <w:t>r</w:t>
      </w:r>
      <w:r>
        <w:rPr>
          <w:w w:val="99"/>
          <w:sz w:val="28"/>
          <w:szCs w:val="28"/>
          <w:lang w:val="en-US"/>
        </w:rPr>
        <w:t>op</w:t>
      </w:r>
      <w:r>
        <w:rPr>
          <w:w w:val="98"/>
          <w:sz w:val="28"/>
          <w:szCs w:val="28"/>
          <w:lang w:val="en-US"/>
        </w:rPr>
        <w:t>e</w:t>
      </w:r>
      <w:r>
        <w:rPr>
          <w:w w:val="112"/>
          <w:sz w:val="28"/>
          <w:szCs w:val="28"/>
          <w:lang w:val="en-US"/>
        </w:rPr>
        <w:t>a</w:t>
      </w:r>
      <w:r>
        <w:rPr>
          <w:w w:val="99"/>
          <w:sz w:val="28"/>
          <w:szCs w:val="28"/>
          <w:lang w:val="en-US"/>
        </w:rPr>
        <w:t>n</w:t>
      </w:r>
      <w:r>
        <w:rPr>
          <w:spacing w:val="11"/>
          <w:sz w:val="28"/>
          <w:szCs w:val="28"/>
          <w:lang w:val="en-US"/>
        </w:rPr>
        <w:t xml:space="preserve"> </w:t>
      </w:r>
      <w:r>
        <w:rPr>
          <w:w w:val="99"/>
          <w:sz w:val="28"/>
          <w:szCs w:val="28"/>
          <w:lang w:val="en-US"/>
        </w:rPr>
        <w:t>G</w:t>
      </w:r>
      <w:r>
        <w:rPr>
          <w:w w:val="112"/>
          <w:sz w:val="28"/>
          <w:szCs w:val="28"/>
          <w:lang w:val="en-US"/>
        </w:rPr>
        <w:t>a</w:t>
      </w:r>
      <w:r>
        <w:rPr>
          <w:w w:val="98"/>
          <w:sz w:val="28"/>
          <w:szCs w:val="28"/>
          <w:lang w:val="en-US"/>
        </w:rPr>
        <w:t>s</w:t>
      </w:r>
      <w:r>
        <w:rPr>
          <w:w w:val="119"/>
          <w:sz w:val="28"/>
          <w:szCs w:val="28"/>
          <w:lang w:val="en-US"/>
        </w:rPr>
        <w:t>t</w:t>
      </w:r>
      <w:r>
        <w:rPr>
          <w:w w:val="115"/>
          <w:sz w:val="28"/>
          <w:szCs w:val="28"/>
          <w:lang w:val="en-US"/>
        </w:rPr>
        <w:t>r</w:t>
      </w:r>
      <w:r>
        <w:rPr>
          <w:w w:val="99"/>
          <w:sz w:val="28"/>
          <w:szCs w:val="28"/>
          <w:lang w:val="en-US"/>
        </w:rPr>
        <w:t>o</w:t>
      </w:r>
      <w:r>
        <w:rPr>
          <w:w w:val="98"/>
          <w:sz w:val="28"/>
          <w:szCs w:val="28"/>
          <w:lang w:val="en-US"/>
        </w:rPr>
        <w:t>e</w:t>
      </w:r>
      <w:r>
        <w:rPr>
          <w:w w:val="99"/>
          <w:sz w:val="28"/>
          <w:szCs w:val="28"/>
          <w:lang w:val="en-US"/>
        </w:rPr>
        <w:t>n</w:t>
      </w:r>
      <w:r>
        <w:rPr>
          <w:w w:val="119"/>
          <w:sz w:val="28"/>
          <w:szCs w:val="28"/>
          <w:lang w:val="en-US"/>
        </w:rPr>
        <w:t>t</w:t>
      </w:r>
      <w:r>
        <w:rPr>
          <w:w w:val="98"/>
          <w:sz w:val="28"/>
          <w:szCs w:val="28"/>
          <w:lang w:val="en-US"/>
        </w:rPr>
        <w:t>e</w:t>
      </w:r>
      <w:r>
        <w:rPr>
          <w:w w:val="115"/>
          <w:sz w:val="28"/>
          <w:szCs w:val="28"/>
          <w:lang w:val="en-US"/>
        </w:rPr>
        <w:t>r</w:t>
      </w:r>
      <w:r>
        <w:rPr>
          <w:w w:val="99"/>
          <w:sz w:val="28"/>
          <w:szCs w:val="28"/>
          <w:lang w:val="en-US"/>
        </w:rPr>
        <w:t>o</w:t>
      </w:r>
      <w:r>
        <w:rPr>
          <w:w w:val="96"/>
          <w:sz w:val="28"/>
          <w:szCs w:val="28"/>
          <w:lang w:val="en-US"/>
        </w:rPr>
        <w:t>l</w:t>
      </w:r>
      <w:r>
        <w:rPr>
          <w:w w:val="99"/>
          <w:sz w:val="28"/>
          <w:szCs w:val="28"/>
          <w:lang w:val="en-US"/>
        </w:rPr>
        <w:t>ogy</w:t>
      </w:r>
      <w:r>
        <w:rPr>
          <w:spacing w:val="12"/>
          <w:sz w:val="28"/>
          <w:szCs w:val="28"/>
          <w:lang w:val="en-US"/>
        </w:rPr>
        <w:t xml:space="preserve"> </w:t>
      </w:r>
      <w:r>
        <w:rPr>
          <w:w w:val="128"/>
          <w:sz w:val="28"/>
          <w:szCs w:val="28"/>
          <w:lang w:val="en-US"/>
        </w:rPr>
        <w:t>J</w:t>
      </w:r>
      <w:r>
        <w:rPr>
          <w:w w:val="99"/>
          <w:sz w:val="28"/>
          <w:szCs w:val="28"/>
          <w:lang w:val="en-US"/>
        </w:rPr>
        <w:t>ou</w:t>
      </w:r>
      <w:r>
        <w:rPr>
          <w:w w:val="115"/>
          <w:sz w:val="28"/>
          <w:szCs w:val="28"/>
          <w:lang w:val="en-US"/>
        </w:rPr>
        <w:t>r</w:t>
      </w:r>
      <w:r>
        <w:rPr>
          <w:w w:val="99"/>
          <w:sz w:val="28"/>
          <w:szCs w:val="28"/>
          <w:lang w:val="en-US"/>
        </w:rPr>
        <w:t>n</w:t>
      </w:r>
      <w:r>
        <w:rPr>
          <w:w w:val="112"/>
          <w:sz w:val="28"/>
          <w:szCs w:val="28"/>
          <w:lang w:val="en-US"/>
        </w:rPr>
        <w:t>a</w:t>
      </w:r>
      <w:r>
        <w:rPr>
          <w:w w:val="96"/>
          <w:sz w:val="28"/>
          <w:szCs w:val="28"/>
          <w:lang w:val="en-US"/>
        </w:rPr>
        <w:t>l</w:t>
      </w:r>
      <w:r>
        <w:rPr>
          <w:sz w:val="28"/>
          <w:szCs w:val="28"/>
          <w:lang w:val="en-US"/>
        </w:rPr>
        <w:t xml:space="preserve">. – 2014. – </w:t>
      </w:r>
      <w:r>
        <w:rPr>
          <w:w w:val="99"/>
          <w:sz w:val="28"/>
          <w:szCs w:val="28"/>
          <w:lang w:val="en-US"/>
        </w:rPr>
        <w:t>2</w:t>
      </w:r>
      <w:r>
        <w:rPr>
          <w:w w:val="149"/>
          <w:sz w:val="28"/>
          <w:szCs w:val="28"/>
          <w:lang w:val="en-US"/>
        </w:rPr>
        <w:t>(</w:t>
      </w:r>
      <w:r>
        <w:rPr>
          <w:w w:val="99"/>
          <w:sz w:val="28"/>
          <w:szCs w:val="28"/>
          <w:lang w:val="en-US"/>
        </w:rPr>
        <w:t>5</w:t>
      </w:r>
      <w:r>
        <w:rPr>
          <w:w w:val="108"/>
          <w:sz w:val="28"/>
          <w:szCs w:val="28"/>
          <w:lang w:val="en-US"/>
        </w:rPr>
        <w:t>S</w:t>
      </w:r>
      <w:r>
        <w:rPr>
          <w:w w:val="149"/>
          <w:sz w:val="28"/>
          <w:szCs w:val="28"/>
          <w:lang w:val="en-US"/>
        </w:rPr>
        <w:t>)</w:t>
      </w:r>
      <w:r>
        <w:rPr>
          <w:sz w:val="28"/>
          <w:szCs w:val="28"/>
          <w:lang w:val="en-US"/>
        </w:rPr>
        <w:t>. – A450. – P1162.</w:t>
      </w:r>
      <w:r>
        <w:rPr>
          <w:szCs w:val="28"/>
          <w:lang w:val="en-US"/>
        </w:rPr>
        <w:t xml:space="preserve">  </w:t>
      </w:r>
    </w:p>
    <w:p w:rsidR="0047048A" w:rsidRDefault="0047048A" w:rsidP="0047048A">
      <w:pPr>
        <w:numPr>
          <w:ilvl w:val="0"/>
          <w:numId w:val="9"/>
        </w:numPr>
        <w:spacing w:line="360" w:lineRule="auto"/>
        <w:jc w:val="both"/>
        <w:rPr>
          <w:sz w:val="28"/>
          <w:szCs w:val="28"/>
        </w:rPr>
      </w:pPr>
      <w:r>
        <w:rPr>
          <w:sz w:val="28"/>
          <w:lang w:val="uk-UA"/>
        </w:rPr>
        <w:t xml:space="preserve">Глущенко С.В. </w:t>
      </w:r>
      <w:r>
        <w:rPr>
          <w:sz w:val="28"/>
          <w:szCs w:val="28"/>
        </w:rPr>
        <w:t>Гипергомоцистеинемия как предиктор развития и прогрессирования неалкогольной жировой болезни печени // Журн. «</w:t>
      </w:r>
      <w:r>
        <w:rPr>
          <w:sz w:val="28"/>
          <w:szCs w:val="28"/>
          <w:lang w:val="uk-UA"/>
        </w:rPr>
        <w:t>Проблеми безперервної медичної освіти та науки</w:t>
      </w:r>
      <w:r>
        <w:rPr>
          <w:sz w:val="28"/>
          <w:szCs w:val="28"/>
        </w:rPr>
        <w:t xml:space="preserve">». – 2014. – </w:t>
      </w:r>
      <w:r>
        <w:rPr>
          <w:sz w:val="28"/>
          <w:szCs w:val="28"/>
          <w:lang w:val="uk-UA"/>
        </w:rPr>
        <w:t>№</w:t>
      </w:r>
      <w:r>
        <w:rPr>
          <w:sz w:val="28"/>
          <w:szCs w:val="28"/>
        </w:rPr>
        <w:t>2[14]. – С.89</w:t>
      </w:r>
      <w:r w:rsidR="00CF6631">
        <w:rPr>
          <w:sz w:val="28"/>
          <w:szCs w:val="28"/>
        </w:rPr>
        <w:t>–</w:t>
      </w:r>
      <w:r>
        <w:rPr>
          <w:sz w:val="28"/>
          <w:szCs w:val="28"/>
        </w:rPr>
        <w:t>92.</w:t>
      </w:r>
    </w:p>
    <w:p w:rsidR="0047048A" w:rsidRDefault="0047048A" w:rsidP="0047048A">
      <w:pPr>
        <w:numPr>
          <w:ilvl w:val="0"/>
          <w:numId w:val="9"/>
        </w:numPr>
        <w:spacing w:line="360" w:lineRule="auto"/>
        <w:jc w:val="both"/>
        <w:rPr>
          <w:sz w:val="28"/>
          <w:szCs w:val="28"/>
        </w:rPr>
      </w:pPr>
      <w:r>
        <w:rPr>
          <w:sz w:val="28"/>
          <w:szCs w:val="28"/>
        </w:rPr>
        <w:t>Звягинцева Т.Д., Чернобай А.И.</w:t>
      </w:r>
      <w:r>
        <w:rPr>
          <w:sz w:val="28"/>
          <w:szCs w:val="28"/>
          <w:lang w:val="uk-UA"/>
        </w:rPr>
        <w:t xml:space="preserve">, Глущенко С.В. </w:t>
      </w:r>
      <w:r>
        <w:rPr>
          <w:sz w:val="28"/>
          <w:szCs w:val="28"/>
        </w:rPr>
        <w:t>Роль адеметионина в развитии и прогрессировании хронических // Журн. «</w:t>
      </w:r>
      <w:r>
        <w:rPr>
          <w:sz w:val="28"/>
          <w:szCs w:val="28"/>
          <w:lang w:val="uk-UA"/>
        </w:rPr>
        <w:t>Український медичний часопис</w:t>
      </w:r>
      <w:r>
        <w:rPr>
          <w:sz w:val="28"/>
          <w:szCs w:val="28"/>
        </w:rPr>
        <w:t>»</w:t>
      </w:r>
      <w:r>
        <w:rPr>
          <w:sz w:val="28"/>
          <w:szCs w:val="28"/>
          <w:lang w:val="uk-UA"/>
        </w:rPr>
        <w:t>. – 2014. – №3 (101). – С. 56</w:t>
      </w:r>
      <w:r w:rsidR="00CF6631">
        <w:rPr>
          <w:sz w:val="28"/>
          <w:szCs w:val="28"/>
          <w:lang w:val="uk-UA"/>
        </w:rPr>
        <w:t>–</w:t>
      </w:r>
      <w:r>
        <w:rPr>
          <w:sz w:val="28"/>
          <w:szCs w:val="28"/>
          <w:lang w:val="uk-UA"/>
        </w:rPr>
        <w:t>59.</w:t>
      </w:r>
    </w:p>
    <w:p w:rsidR="0047048A" w:rsidRDefault="0047048A" w:rsidP="0047048A">
      <w:pPr>
        <w:numPr>
          <w:ilvl w:val="0"/>
          <w:numId w:val="9"/>
        </w:numPr>
        <w:spacing w:line="360" w:lineRule="auto"/>
        <w:jc w:val="both"/>
        <w:rPr>
          <w:sz w:val="28"/>
          <w:szCs w:val="28"/>
        </w:rPr>
      </w:pPr>
      <w:r>
        <w:rPr>
          <w:sz w:val="28"/>
          <w:szCs w:val="28"/>
        </w:rPr>
        <w:t>Звягинцева Т.Д., Чернобай А.И.</w:t>
      </w:r>
      <w:r>
        <w:rPr>
          <w:sz w:val="28"/>
          <w:szCs w:val="28"/>
          <w:lang w:val="uk-UA"/>
        </w:rPr>
        <w:t xml:space="preserve">, Глущенко С.В. </w:t>
      </w:r>
      <w:r>
        <w:rPr>
          <w:sz w:val="28"/>
          <w:szCs w:val="28"/>
        </w:rPr>
        <w:t xml:space="preserve">Хронические заболевания печени и нарушение синтеза </w:t>
      </w:r>
      <w:r>
        <w:rPr>
          <w:sz w:val="28"/>
          <w:szCs w:val="28"/>
          <w:lang w:val="en-US"/>
        </w:rPr>
        <w:t>S</w:t>
      </w:r>
      <w:r w:rsidR="00CF6631">
        <w:rPr>
          <w:sz w:val="28"/>
          <w:szCs w:val="28"/>
        </w:rPr>
        <w:t>–</w:t>
      </w:r>
      <w:r>
        <w:rPr>
          <w:sz w:val="28"/>
          <w:szCs w:val="28"/>
        </w:rPr>
        <w:t>аденозил</w:t>
      </w:r>
      <w:r w:rsidR="00CF6631">
        <w:rPr>
          <w:sz w:val="28"/>
          <w:szCs w:val="28"/>
        </w:rPr>
        <w:t>–</w:t>
      </w:r>
      <w:r>
        <w:rPr>
          <w:sz w:val="28"/>
          <w:szCs w:val="28"/>
          <w:lang w:val="en-US"/>
        </w:rPr>
        <w:t>L</w:t>
      </w:r>
      <w:r w:rsidR="00CF6631">
        <w:rPr>
          <w:sz w:val="28"/>
          <w:szCs w:val="28"/>
        </w:rPr>
        <w:t>–</w:t>
      </w:r>
      <w:r>
        <w:rPr>
          <w:sz w:val="28"/>
          <w:szCs w:val="28"/>
        </w:rPr>
        <w:t>метионина // Журн. «</w:t>
      </w:r>
      <w:r>
        <w:rPr>
          <w:sz w:val="28"/>
          <w:szCs w:val="28"/>
          <w:lang w:val="uk-UA"/>
        </w:rPr>
        <w:t>Сучасна гастроєнтерологія</w:t>
      </w:r>
      <w:r>
        <w:rPr>
          <w:sz w:val="28"/>
          <w:szCs w:val="28"/>
        </w:rPr>
        <w:t>»</w:t>
      </w:r>
      <w:r>
        <w:rPr>
          <w:sz w:val="28"/>
          <w:szCs w:val="28"/>
          <w:lang w:val="uk-UA"/>
        </w:rPr>
        <w:t>. – 2014. – №3 (77). – С. 80</w:t>
      </w:r>
      <w:r w:rsidR="00CF6631">
        <w:rPr>
          <w:sz w:val="28"/>
          <w:szCs w:val="28"/>
          <w:lang w:val="uk-UA"/>
        </w:rPr>
        <w:t>–</w:t>
      </w:r>
      <w:r>
        <w:rPr>
          <w:sz w:val="28"/>
          <w:szCs w:val="28"/>
          <w:lang w:val="uk-UA"/>
        </w:rPr>
        <w:t>87.</w:t>
      </w:r>
    </w:p>
    <w:p w:rsidR="0047048A" w:rsidRDefault="0047048A" w:rsidP="0047048A">
      <w:pPr>
        <w:numPr>
          <w:ilvl w:val="0"/>
          <w:numId w:val="9"/>
        </w:numPr>
        <w:spacing w:line="360" w:lineRule="auto"/>
        <w:jc w:val="both"/>
        <w:rPr>
          <w:sz w:val="28"/>
          <w:szCs w:val="28"/>
        </w:rPr>
      </w:pPr>
      <w:r>
        <w:rPr>
          <w:sz w:val="28"/>
          <w:szCs w:val="28"/>
        </w:rPr>
        <w:t>Звягинцева Т.Д.,</w:t>
      </w:r>
      <w:r>
        <w:rPr>
          <w:sz w:val="28"/>
          <w:szCs w:val="28"/>
          <w:lang w:val="uk-UA"/>
        </w:rPr>
        <w:t xml:space="preserve"> Глущенко С.В. Гіпергомоцистеїнемія – предиктор запальних змін печінки</w:t>
      </w:r>
      <w:r>
        <w:rPr>
          <w:sz w:val="28"/>
          <w:szCs w:val="28"/>
        </w:rPr>
        <w:t xml:space="preserve"> // </w:t>
      </w:r>
      <w:r>
        <w:rPr>
          <w:w w:val="106"/>
          <w:sz w:val="28"/>
          <w:szCs w:val="28"/>
          <w:lang w:val="uk-UA"/>
        </w:rPr>
        <w:t>Журн. «Лікарська справа». – 2014. – №11. – С.154</w:t>
      </w:r>
      <w:r w:rsidR="00CF6631">
        <w:rPr>
          <w:w w:val="106"/>
          <w:sz w:val="28"/>
          <w:szCs w:val="28"/>
          <w:lang w:val="uk-UA"/>
        </w:rPr>
        <w:t>–</w:t>
      </w:r>
      <w:r>
        <w:rPr>
          <w:w w:val="106"/>
          <w:sz w:val="28"/>
          <w:szCs w:val="28"/>
          <w:lang w:val="uk-UA"/>
        </w:rPr>
        <w:t>155.</w:t>
      </w:r>
    </w:p>
    <w:p w:rsidR="0047048A" w:rsidRDefault="0047048A" w:rsidP="0047048A">
      <w:pPr>
        <w:numPr>
          <w:ilvl w:val="0"/>
          <w:numId w:val="9"/>
        </w:numPr>
        <w:spacing w:line="360" w:lineRule="auto"/>
        <w:jc w:val="both"/>
        <w:rPr>
          <w:sz w:val="28"/>
          <w:szCs w:val="28"/>
          <w:lang w:val="uk-UA"/>
        </w:rPr>
      </w:pPr>
      <w:r>
        <w:rPr>
          <w:sz w:val="28"/>
          <w:szCs w:val="28"/>
          <w:lang w:val="uk-UA"/>
        </w:rPr>
        <w:t>Патент «Спосіб діагностики неалкогольного стеатогепатиту» (деклараційний патент на корисну модель №94489 UA, Україна, МПК G01N 33/48 (2006.01) – №2014 06799, заявл. 16.06.2014; опубл. 10.11.2014, Бюл.№21).</w:t>
      </w:r>
    </w:p>
    <w:p w:rsidR="0047048A" w:rsidRDefault="0047048A" w:rsidP="0047048A">
      <w:pPr>
        <w:spacing w:line="360" w:lineRule="auto"/>
        <w:jc w:val="both"/>
        <w:rPr>
          <w:sz w:val="28"/>
          <w:szCs w:val="28"/>
        </w:rPr>
      </w:pPr>
    </w:p>
    <w:p w:rsidR="0047048A" w:rsidRDefault="0047048A" w:rsidP="0047048A">
      <w:pPr>
        <w:spacing w:line="360" w:lineRule="auto"/>
        <w:jc w:val="both"/>
        <w:rPr>
          <w:sz w:val="28"/>
          <w:szCs w:val="28"/>
          <w:lang w:val="uk-UA"/>
        </w:rPr>
      </w:pPr>
    </w:p>
    <w:p w:rsidR="0047048A" w:rsidRDefault="0047048A" w:rsidP="0047048A">
      <w:pPr>
        <w:spacing w:line="360" w:lineRule="auto"/>
        <w:ind w:firstLine="709"/>
        <w:jc w:val="both"/>
        <w:rPr>
          <w:sz w:val="28"/>
          <w:szCs w:val="28"/>
          <w:lang w:val="uk-UA"/>
        </w:rPr>
      </w:pPr>
      <w:r>
        <w:rPr>
          <w:sz w:val="28"/>
          <w:szCs w:val="28"/>
          <w:lang w:val="uk-UA"/>
        </w:rPr>
        <w:t>Для ілюстрації наводимо клінічний приклад:</w:t>
      </w:r>
    </w:p>
    <w:p w:rsidR="0047048A" w:rsidRDefault="0047048A" w:rsidP="0047048A">
      <w:pPr>
        <w:spacing w:line="360" w:lineRule="auto"/>
        <w:ind w:firstLine="709"/>
        <w:jc w:val="both"/>
        <w:rPr>
          <w:sz w:val="28"/>
          <w:szCs w:val="28"/>
          <w:lang w:val="uk-UA"/>
        </w:rPr>
      </w:pPr>
      <w:r>
        <w:rPr>
          <w:sz w:val="28"/>
          <w:szCs w:val="28"/>
          <w:lang w:val="uk-UA"/>
        </w:rPr>
        <w:t>Хвора Х., 58 років, знаходилась на лікуванні в гастроентерологічному відділенні. При надходженні висувала скарги важкість в правому підребер’ї, періодичні болі в правому підребер’ї, нудоту, відрижку, порушення апетиту, загальну слабкість, зниження працездатності, підвищену стомлюваність, порушення сну.</w:t>
      </w:r>
    </w:p>
    <w:p w:rsidR="0047048A" w:rsidRDefault="0047048A" w:rsidP="0047048A">
      <w:pPr>
        <w:spacing w:line="360" w:lineRule="auto"/>
        <w:ind w:firstLine="709"/>
        <w:jc w:val="both"/>
        <w:rPr>
          <w:sz w:val="28"/>
          <w:szCs w:val="28"/>
          <w:lang w:val="uk-UA"/>
        </w:rPr>
      </w:pPr>
      <w:r>
        <w:rPr>
          <w:sz w:val="28"/>
          <w:szCs w:val="28"/>
          <w:lang w:val="uk-UA"/>
        </w:rPr>
        <w:lastRenderedPageBreak/>
        <w:t>Анамнез хвороби: страждає на неалкогольну жирову хворобу печінки протягом останніх 6 років. Загострення хронічного процесу в печінці відмічаються 2</w:t>
      </w:r>
      <w:r w:rsidR="00CF6631">
        <w:rPr>
          <w:sz w:val="28"/>
          <w:szCs w:val="28"/>
          <w:lang w:val="uk-UA"/>
        </w:rPr>
        <w:t>–</w:t>
      </w:r>
      <w:r>
        <w:rPr>
          <w:sz w:val="28"/>
          <w:szCs w:val="28"/>
          <w:lang w:val="uk-UA"/>
        </w:rPr>
        <w:t xml:space="preserve">3 рази на рік, неодноразово отримувала лікування в стаціонарних і амбулаторних умовах. Надійшла в гастроентерологічне відділення для проходження планового обстеження та лікування. </w:t>
      </w:r>
    </w:p>
    <w:p w:rsidR="0047048A" w:rsidRDefault="0047048A" w:rsidP="0047048A">
      <w:pPr>
        <w:spacing w:line="360" w:lineRule="auto"/>
        <w:ind w:firstLine="709"/>
        <w:jc w:val="both"/>
        <w:rPr>
          <w:sz w:val="28"/>
          <w:szCs w:val="28"/>
          <w:lang w:val="uk-UA"/>
        </w:rPr>
      </w:pPr>
      <w:r>
        <w:rPr>
          <w:sz w:val="28"/>
          <w:szCs w:val="28"/>
          <w:lang w:val="uk-UA"/>
        </w:rPr>
        <w:t>Анамнез життя: Росла та розвивалась нормально, соціально</w:t>
      </w:r>
      <w:r w:rsidR="00CF6631">
        <w:rPr>
          <w:sz w:val="28"/>
          <w:szCs w:val="28"/>
          <w:lang w:val="uk-UA"/>
        </w:rPr>
        <w:t>–</w:t>
      </w:r>
      <w:r>
        <w:rPr>
          <w:sz w:val="28"/>
          <w:szCs w:val="28"/>
          <w:lang w:val="uk-UA"/>
        </w:rPr>
        <w:t xml:space="preserve">побутові умови добрі. Спадковість не обтяжена. Харчування збалансоване. </w:t>
      </w:r>
      <w:r>
        <w:rPr>
          <w:color w:val="000000"/>
          <w:sz w:val="28"/>
          <w:szCs w:val="28"/>
          <w:shd w:val="clear" w:color="auto" w:fill="FFFFFF"/>
          <w:lang w:val="uk-UA"/>
        </w:rPr>
        <w:t>Операцій і травм не було. Гінекологічний анамнез не обтяжений. Алергію на харчові і лікарські речовини заперечує. На туберкульоз, хворобу Боткіна, венеричні, психічні захворювання не хворіла. Із перенесених хронічних захворювань: варикоз вен нижніх кінцівок</w:t>
      </w:r>
      <w:r>
        <w:rPr>
          <w:sz w:val="28"/>
          <w:szCs w:val="28"/>
          <w:lang w:val="uk-UA"/>
        </w:rPr>
        <w:t xml:space="preserve">. Не палить, алкоголем не зловживає. </w:t>
      </w:r>
    </w:p>
    <w:p w:rsidR="0047048A" w:rsidRDefault="0047048A" w:rsidP="0047048A">
      <w:pPr>
        <w:spacing w:line="360" w:lineRule="auto"/>
        <w:ind w:firstLine="709"/>
        <w:jc w:val="both"/>
        <w:rPr>
          <w:sz w:val="28"/>
          <w:szCs w:val="28"/>
          <w:lang w:val="uk-UA"/>
        </w:rPr>
      </w:pPr>
      <w:r>
        <w:rPr>
          <w:sz w:val="28"/>
          <w:szCs w:val="28"/>
          <w:lang w:val="uk-UA"/>
        </w:rPr>
        <w:t xml:space="preserve">Об’єктивно: загальний стан відносно задовільний, гіперстенік, положення активне, свідомість ясна. Зріст </w:t>
      </w:r>
      <w:smartTag w:uri="urn:schemas-microsoft-com:office:smarttags" w:element="metricconverter">
        <w:smartTagPr>
          <w:attr w:name="ProductID" w:val="165 см"/>
        </w:smartTagPr>
        <w:r>
          <w:rPr>
            <w:sz w:val="28"/>
            <w:szCs w:val="28"/>
            <w:lang w:val="uk-UA"/>
          </w:rPr>
          <w:t>165 см</w:t>
        </w:r>
      </w:smartTag>
      <w:r>
        <w:rPr>
          <w:sz w:val="28"/>
          <w:szCs w:val="28"/>
          <w:lang w:val="uk-UA"/>
        </w:rPr>
        <w:t xml:space="preserve">, вага </w:t>
      </w:r>
      <w:smartTag w:uri="urn:schemas-microsoft-com:office:smarttags" w:element="metricconverter">
        <w:smartTagPr>
          <w:attr w:name="ProductID" w:val="80 кг"/>
        </w:smartTagPr>
        <w:r>
          <w:rPr>
            <w:sz w:val="28"/>
            <w:szCs w:val="28"/>
            <w:lang w:val="uk-UA"/>
          </w:rPr>
          <w:t>80 кг</w:t>
        </w:r>
      </w:smartTag>
      <w:r>
        <w:rPr>
          <w:sz w:val="28"/>
          <w:szCs w:val="28"/>
          <w:lang w:val="uk-UA"/>
        </w:rPr>
        <w:t xml:space="preserve">. ІМТ = 29. Кожні покрови чисті, звичайного кольору та вологості. Набряків немає. У легенях: перкуторно – легеневий звук; аускультативно – везикулярне дихання. Частота дихальних рухів – 16 за 1 хвилину. Серце: межі відносної серцевої тупості не розширені. Тони серця звучні, діяльність ритмічна. ЧСС – 74 уд. За 1 хвилину. AT =130/75 мм рт. Ст. Язик покритий білим нальотом. Живіт незмінених розмірів, бере участь у акті дихання. При пальпації м’який, безболісний. Печінка ущільнена, її край закруглений, виступає за край реберної дуги на </w:t>
      </w:r>
      <w:smartTag w:uri="urn:schemas-microsoft-com:office:smarttags" w:element="metricconverter">
        <w:smartTagPr>
          <w:attr w:name="ProductID" w:val="3 см"/>
        </w:smartTagPr>
        <w:r>
          <w:rPr>
            <w:sz w:val="28"/>
            <w:szCs w:val="28"/>
            <w:lang w:val="uk-UA"/>
          </w:rPr>
          <w:t>3 см</w:t>
        </w:r>
      </w:smartTag>
      <w:r>
        <w:rPr>
          <w:sz w:val="28"/>
          <w:szCs w:val="28"/>
          <w:lang w:val="uk-UA"/>
        </w:rPr>
        <w:t>, безболісна при пальпації. Селезінка не пальпірується. Симптом Пастернацького негативний з обох сторін. Стул, діурез не порушені.</w:t>
      </w:r>
    </w:p>
    <w:p w:rsidR="0047048A" w:rsidRDefault="0047048A" w:rsidP="0047048A">
      <w:pPr>
        <w:spacing w:line="360" w:lineRule="auto"/>
        <w:ind w:firstLine="709"/>
        <w:jc w:val="both"/>
        <w:rPr>
          <w:sz w:val="28"/>
          <w:szCs w:val="28"/>
          <w:lang w:val="uk-UA"/>
        </w:rPr>
      </w:pPr>
      <w:r>
        <w:rPr>
          <w:sz w:val="28"/>
          <w:szCs w:val="28"/>
          <w:lang w:val="uk-UA"/>
        </w:rPr>
        <w:t>Дані додаткових обстежень: клінічний аналіз крові: гемоглобін – 126 г/л, еритроцити – 4,2х10</w:t>
      </w:r>
      <w:r>
        <w:rPr>
          <w:sz w:val="28"/>
          <w:szCs w:val="28"/>
          <w:vertAlign w:val="superscript"/>
          <w:lang w:val="uk-UA"/>
        </w:rPr>
        <w:t>12</w:t>
      </w:r>
      <w:r>
        <w:rPr>
          <w:sz w:val="28"/>
          <w:szCs w:val="28"/>
          <w:lang w:val="uk-UA"/>
        </w:rPr>
        <w:t>/л, кольоровий показник – 0,9, лейкоцити – 7,4х10</w:t>
      </w:r>
      <w:r>
        <w:rPr>
          <w:sz w:val="28"/>
          <w:szCs w:val="28"/>
          <w:vertAlign w:val="superscript"/>
          <w:lang w:val="uk-UA"/>
        </w:rPr>
        <w:t>9</w:t>
      </w:r>
      <w:r>
        <w:rPr>
          <w:sz w:val="28"/>
          <w:szCs w:val="28"/>
          <w:lang w:val="uk-UA"/>
        </w:rPr>
        <w:t>/л, лейкоцитарна формула не порушена, ШОЕ</w:t>
      </w:r>
      <w:r w:rsidR="00CF6631">
        <w:rPr>
          <w:sz w:val="28"/>
          <w:szCs w:val="28"/>
          <w:lang w:val="uk-UA"/>
        </w:rPr>
        <w:t>–</w:t>
      </w:r>
      <w:r>
        <w:rPr>
          <w:sz w:val="28"/>
          <w:szCs w:val="28"/>
          <w:lang w:val="uk-UA"/>
        </w:rPr>
        <w:t xml:space="preserve">8 мм/год. </w:t>
      </w:r>
    </w:p>
    <w:p w:rsidR="0047048A" w:rsidRDefault="0047048A" w:rsidP="0047048A">
      <w:pPr>
        <w:spacing w:line="360" w:lineRule="auto"/>
        <w:ind w:firstLine="709"/>
        <w:jc w:val="both"/>
        <w:rPr>
          <w:sz w:val="28"/>
          <w:szCs w:val="28"/>
          <w:lang w:val="uk-UA"/>
        </w:rPr>
      </w:pPr>
      <w:r>
        <w:rPr>
          <w:sz w:val="28"/>
          <w:szCs w:val="28"/>
          <w:lang w:val="uk-UA"/>
        </w:rPr>
        <w:t>Біохімічні показники: загальний білірубін – 14 мкмоль/л, кон’югований – 4 мкмоль/л, некон’югований – 10 мкмоль/л, тимолова проба – 1,5 Од., АЛТ – 108 Од/л., ACT – 95 Од/л., ЛФ – 260 Од/л,  загальний холестерин – 5,8 ммоль/л, тригліцериди – 1,7 ммоль/л, β</w:t>
      </w:r>
      <w:r w:rsidR="00CF6631">
        <w:rPr>
          <w:sz w:val="28"/>
          <w:szCs w:val="28"/>
          <w:lang w:val="uk-UA"/>
        </w:rPr>
        <w:t>–</w:t>
      </w:r>
      <w:r>
        <w:rPr>
          <w:sz w:val="28"/>
          <w:szCs w:val="28"/>
          <w:lang w:val="uk-UA"/>
        </w:rPr>
        <w:t xml:space="preserve">ЛП – 62 Од., ХС ЛПВЩ – 0,89 ммоль/л, ХС ЛПНЩ </w:t>
      </w:r>
      <w:r w:rsidR="00CF6631">
        <w:rPr>
          <w:sz w:val="28"/>
          <w:szCs w:val="28"/>
          <w:lang w:val="uk-UA"/>
        </w:rPr>
        <w:t>–</w:t>
      </w:r>
      <w:r>
        <w:rPr>
          <w:sz w:val="28"/>
          <w:szCs w:val="28"/>
          <w:lang w:val="uk-UA"/>
        </w:rPr>
        <w:t xml:space="preserve">4,6 ммоль/л, ХС ЛПДНЩ – 0,39 ммоль/л, КА – 4,8;  загальний білок – 62,9 г/л, </w:t>
      </w:r>
      <w:r>
        <w:rPr>
          <w:sz w:val="28"/>
          <w:szCs w:val="28"/>
          <w:lang w:val="uk-UA"/>
        </w:rPr>
        <w:lastRenderedPageBreak/>
        <w:t>альбуміни – 62,1 %, α</w:t>
      </w:r>
      <w:r w:rsidR="00CF6631">
        <w:rPr>
          <w:sz w:val="28"/>
          <w:szCs w:val="28"/>
          <w:lang w:val="uk-UA"/>
        </w:rPr>
        <w:t>–</w:t>
      </w:r>
      <w:r>
        <w:rPr>
          <w:sz w:val="28"/>
          <w:szCs w:val="28"/>
          <w:lang w:val="uk-UA"/>
        </w:rPr>
        <w:t>глобуліни – 4,5%, β</w:t>
      </w:r>
      <w:r w:rsidR="00CF6631">
        <w:rPr>
          <w:sz w:val="28"/>
          <w:szCs w:val="28"/>
          <w:lang w:val="uk-UA"/>
        </w:rPr>
        <w:t>–</w:t>
      </w:r>
      <w:r>
        <w:rPr>
          <w:sz w:val="28"/>
          <w:szCs w:val="28"/>
          <w:lang w:val="uk-UA"/>
        </w:rPr>
        <w:t>глобуліни – 12,1 %, γ</w:t>
      </w:r>
      <w:r w:rsidR="00CF6631">
        <w:rPr>
          <w:sz w:val="28"/>
          <w:szCs w:val="28"/>
          <w:lang w:val="uk-UA"/>
        </w:rPr>
        <w:t>–</w:t>
      </w:r>
      <w:r>
        <w:rPr>
          <w:sz w:val="28"/>
          <w:szCs w:val="28"/>
          <w:lang w:val="uk-UA"/>
        </w:rPr>
        <w:t xml:space="preserve">глобуліни – 12,2 %; ПТІ 89 %, фібриноген 1,8 г/л, толерантніст плазми до гепарину – 13 хв., </w:t>
      </w:r>
      <w:r>
        <w:rPr>
          <w:sz w:val="28"/>
          <w:szCs w:val="28"/>
        </w:rPr>
        <w:t>L</w:t>
      </w:r>
      <w:r w:rsidR="00CF6631">
        <w:rPr>
          <w:sz w:val="28"/>
          <w:szCs w:val="28"/>
          <w:lang w:val="uk-UA"/>
        </w:rPr>
        <w:t>–</w:t>
      </w:r>
      <w:r>
        <w:rPr>
          <w:sz w:val="28"/>
          <w:szCs w:val="28"/>
          <w:lang w:val="uk-UA"/>
        </w:rPr>
        <w:t>карнітин – 12,96 мкмоль/л, ГЦ – 30,126 мкмоль/л, IЛ</w:t>
      </w:r>
      <w:r w:rsidR="00CF6631">
        <w:rPr>
          <w:sz w:val="28"/>
          <w:szCs w:val="28"/>
          <w:lang w:val="uk-UA"/>
        </w:rPr>
        <w:t>–</w:t>
      </w:r>
      <w:r>
        <w:rPr>
          <w:sz w:val="28"/>
          <w:szCs w:val="28"/>
          <w:lang w:val="uk-UA"/>
        </w:rPr>
        <w:t>6 – 22,55 пг/мл, ФНП</w:t>
      </w:r>
      <w:r w:rsidR="00CF6631">
        <w:rPr>
          <w:sz w:val="28"/>
          <w:szCs w:val="28"/>
          <w:lang w:val="uk-UA"/>
        </w:rPr>
        <w:t>–</w:t>
      </w:r>
      <w:r>
        <w:rPr>
          <w:sz w:val="28"/>
          <w:szCs w:val="28"/>
        </w:rPr>
        <w:t>α</w:t>
      </w:r>
      <w:r>
        <w:rPr>
          <w:sz w:val="28"/>
          <w:szCs w:val="28"/>
          <w:lang w:val="uk-UA"/>
        </w:rPr>
        <w:t xml:space="preserve"> – 9,045 пг/мл, МДА – 8,42 мкмоль/л, оксид азоту – 122,68 мкмоль/л.</w:t>
      </w:r>
    </w:p>
    <w:p w:rsidR="0047048A" w:rsidRDefault="0047048A" w:rsidP="0047048A">
      <w:pPr>
        <w:spacing w:line="360" w:lineRule="auto"/>
        <w:ind w:firstLine="709"/>
        <w:jc w:val="both"/>
        <w:rPr>
          <w:sz w:val="28"/>
          <w:szCs w:val="28"/>
          <w:lang w:val="uk-UA"/>
        </w:rPr>
      </w:pPr>
      <w:r>
        <w:rPr>
          <w:sz w:val="28"/>
          <w:szCs w:val="28"/>
          <w:lang w:val="uk-UA"/>
        </w:rPr>
        <w:t>ЕКГ: синусовий ритм,ЧСС – 75 уд/хв., помірна гіпертрофія міокарду лівого шлуночка.</w:t>
      </w:r>
    </w:p>
    <w:p w:rsidR="0047048A" w:rsidRDefault="0047048A" w:rsidP="0047048A">
      <w:pPr>
        <w:spacing w:line="360" w:lineRule="auto"/>
        <w:ind w:firstLine="709"/>
        <w:jc w:val="both"/>
        <w:rPr>
          <w:sz w:val="28"/>
          <w:szCs w:val="28"/>
          <w:lang w:val="uk-UA"/>
        </w:rPr>
      </w:pPr>
      <w:r>
        <w:rPr>
          <w:sz w:val="28"/>
          <w:szCs w:val="28"/>
          <w:lang w:val="uk-UA"/>
        </w:rPr>
        <w:t xml:space="preserve">УЗД: печінка збільшена: КВР – </w:t>
      </w:r>
      <w:smartTag w:uri="urn:schemas-microsoft-com:office:smarttags" w:element="metricconverter">
        <w:smartTagPr>
          <w:attr w:name="ProductID" w:val="17,5 см"/>
        </w:smartTagPr>
        <w:r>
          <w:rPr>
            <w:sz w:val="28"/>
            <w:szCs w:val="28"/>
            <w:lang w:val="uk-UA"/>
          </w:rPr>
          <w:t>17,5 см</w:t>
        </w:r>
      </w:smartTag>
      <w:r>
        <w:rPr>
          <w:sz w:val="28"/>
          <w:szCs w:val="28"/>
          <w:lang w:val="uk-UA"/>
        </w:rPr>
        <w:t xml:space="preserve">., ККР – </w:t>
      </w:r>
      <w:smartTag w:uri="urn:schemas-microsoft-com:office:smarttags" w:element="metricconverter">
        <w:smartTagPr>
          <w:attr w:name="ProductID" w:val="11 см"/>
        </w:smartTagPr>
        <w:r>
          <w:rPr>
            <w:sz w:val="28"/>
            <w:szCs w:val="28"/>
            <w:lang w:val="uk-UA"/>
          </w:rPr>
          <w:t>11 см</w:t>
        </w:r>
      </w:smartTag>
      <w:r>
        <w:rPr>
          <w:sz w:val="28"/>
          <w:szCs w:val="28"/>
          <w:lang w:val="uk-UA"/>
        </w:rPr>
        <w:t>., структура однорідна, ехогенність дифузно підвищена, наявний ефект дорсального поглинання ехо</w:t>
      </w:r>
      <w:r w:rsidR="00CF6631">
        <w:rPr>
          <w:sz w:val="28"/>
          <w:szCs w:val="28"/>
          <w:lang w:val="uk-UA"/>
        </w:rPr>
        <w:t>–</w:t>
      </w:r>
      <w:r>
        <w:rPr>
          <w:sz w:val="28"/>
          <w:szCs w:val="28"/>
          <w:lang w:val="uk-UA"/>
        </w:rPr>
        <w:t xml:space="preserve">сигналу, судинний малюнок збіднений, портальна вена – </w:t>
      </w:r>
      <w:smartTag w:uri="urn:schemas-microsoft-com:office:smarttags" w:element="metricconverter">
        <w:smartTagPr>
          <w:attr w:name="ProductID" w:val="10,5 мм"/>
        </w:smartTagPr>
        <w:r>
          <w:rPr>
            <w:sz w:val="28"/>
            <w:szCs w:val="28"/>
            <w:lang w:val="uk-UA"/>
          </w:rPr>
          <w:t>10,5 мм</w:t>
        </w:r>
      </w:smartTag>
      <w:r>
        <w:rPr>
          <w:sz w:val="28"/>
          <w:szCs w:val="28"/>
          <w:lang w:val="uk-UA"/>
        </w:rPr>
        <w:t xml:space="preserve">., загальна жовчна протока – </w:t>
      </w:r>
      <w:smartTag w:uri="urn:schemas-microsoft-com:office:smarttags" w:element="metricconverter">
        <w:smartTagPr>
          <w:attr w:name="ProductID" w:val="6,4 мм"/>
        </w:smartTagPr>
        <w:r>
          <w:rPr>
            <w:sz w:val="28"/>
            <w:szCs w:val="28"/>
            <w:lang w:val="uk-UA"/>
          </w:rPr>
          <w:t>6,4 мм</w:t>
        </w:r>
      </w:smartTag>
      <w:r>
        <w:rPr>
          <w:sz w:val="28"/>
          <w:szCs w:val="28"/>
          <w:lang w:val="uk-UA"/>
        </w:rPr>
        <w:t>. Селезінка не збільшена (рис. 4.2).</w:t>
      </w:r>
    </w:p>
    <w:p w:rsidR="0047048A" w:rsidRDefault="00ED7296" w:rsidP="0047048A">
      <w:pPr>
        <w:spacing w:line="360" w:lineRule="auto"/>
        <w:ind w:firstLine="709"/>
        <w:jc w:val="both"/>
        <w:rPr>
          <w:sz w:val="28"/>
          <w:szCs w:val="28"/>
          <w:lang w:val="uk-UA"/>
        </w:rPr>
      </w:pPr>
      <w:r>
        <w:rPr>
          <w:noProof/>
          <w:sz w:val="28"/>
          <w:szCs w:val="28"/>
        </w:rPr>
        <w:pict>
          <v:shape id="_x0000_i1030" type="#_x0000_t75" alt="Описание: 6" style="width:324.5pt;height:238pt;visibility:visible">
            <v:imagedata r:id="rId14" o:title=""/>
          </v:shape>
        </w:pict>
      </w:r>
    </w:p>
    <w:p w:rsidR="0047048A" w:rsidRDefault="0047048A" w:rsidP="0047048A">
      <w:pPr>
        <w:spacing w:line="360" w:lineRule="auto"/>
        <w:ind w:firstLine="709"/>
        <w:jc w:val="both"/>
        <w:rPr>
          <w:sz w:val="28"/>
          <w:szCs w:val="28"/>
          <w:lang w:val="uk-UA"/>
        </w:rPr>
      </w:pPr>
      <w:r>
        <w:rPr>
          <w:sz w:val="28"/>
          <w:szCs w:val="28"/>
          <w:lang w:val="uk-UA"/>
        </w:rPr>
        <w:t>Рис.4.2. Ультрасонограма хворої Х., 58 років. Дифузний стеатоз 2 ст.</w:t>
      </w:r>
    </w:p>
    <w:p w:rsidR="0047048A" w:rsidRDefault="0047048A" w:rsidP="0047048A">
      <w:pPr>
        <w:spacing w:line="360" w:lineRule="auto"/>
        <w:ind w:firstLine="709"/>
        <w:jc w:val="both"/>
        <w:rPr>
          <w:sz w:val="28"/>
          <w:szCs w:val="28"/>
          <w:lang w:val="uk-UA"/>
        </w:rPr>
      </w:pPr>
      <w:r>
        <w:rPr>
          <w:sz w:val="28"/>
          <w:szCs w:val="28"/>
          <w:lang w:val="uk-UA"/>
        </w:rPr>
        <w:t>ФГДС: ознак портальної гіпертензії не виявлено.</w:t>
      </w:r>
    </w:p>
    <w:p w:rsidR="0047048A" w:rsidRDefault="0047048A" w:rsidP="0047048A">
      <w:pPr>
        <w:spacing w:line="360" w:lineRule="auto"/>
        <w:ind w:firstLine="709"/>
        <w:jc w:val="both"/>
        <w:rPr>
          <w:sz w:val="28"/>
          <w:szCs w:val="28"/>
          <w:lang w:val="uk-UA"/>
        </w:rPr>
      </w:pPr>
      <w:r>
        <w:rPr>
          <w:sz w:val="28"/>
          <w:szCs w:val="28"/>
          <w:lang w:val="uk-UA"/>
        </w:rPr>
        <w:t>Клінічний діагноз: Неалкогольний стеатогепатит.</w:t>
      </w:r>
    </w:p>
    <w:p w:rsidR="0047048A" w:rsidRDefault="0047048A" w:rsidP="0047048A">
      <w:pPr>
        <w:spacing w:line="360" w:lineRule="auto"/>
        <w:ind w:firstLine="709"/>
        <w:jc w:val="both"/>
        <w:rPr>
          <w:sz w:val="28"/>
          <w:szCs w:val="28"/>
          <w:lang w:val="uk-UA"/>
        </w:rPr>
      </w:pPr>
      <w:r>
        <w:rPr>
          <w:sz w:val="28"/>
          <w:szCs w:val="28"/>
          <w:lang w:val="uk-UA"/>
        </w:rPr>
        <w:t xml:space="preserve">Таким чином, у результаті проведеного дослідження у хворої </w:t>
      </w:r>
      <w:r w:rsidR="004161DF">
        <w:rPr>
          <w:sz w:val="28"/>
          <w:szCs w:val="28"/>
          <w:lang w:val="uk-UA"/>
        </w:rPr>
        <w:t xml:space="preserve">на </w:t>
      </w:r>
      <w:r>
        <w:rPr>
          <w:sz w:val="28"/>
          <w:szCs w:val="28"/>
          <w:lang w:val="uk-UA"/>
        </w:rPr>
        <w:t xml:space="preserve">НАСГ виявлена ГГЦ II ступеню, карнітинова недостатність, підвищення вмісту прозапальних цитокінів, зміни рівня продуктів ПОЛ, зокрема МДА, та </w:t>
      </w:r>
      <w:r>
        <w:rPr>
          <w:sz w:val="28"/>
          <w:szCs w:val="28"/>
          <w:lang w:val="en-US"/>
        </w:rPr>
        <w:t>NO</w:t>
      </w:r>
      <w:r>
        <w:rPr>
          <w:sz w:val="28"/>
          <w:szCs w:val="28"/>
          <w:lang w:val="uk-UA"/>
        </w:rPr>
        <w:t>.</w:t>
      </w: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A0176F" w:rsidRDefault="00A0176F" w:rsidP="0047048A">
      <w:pPr>
        <w:spacing w:line="360" w:lineRule="auto"/>
        <w:jc w:val="both"/>
        <w:rPr>
          <w:sz w:val="28"/>
          <w:szCs w:val="28"/>
          <w:lang w:val="uk-UA"/>
        </w:rPr>
      </w:pPr>
    </w:p>
    <w:p w:rsidR="00A0176F" w:rsidRPr="00907F8D" w:rsidRDefault="00A0176F" w:rsidP="00A0176F">
      <w:pPr>
        <w:spacing w:line="360" w:lineRule="auto"/>
        <w:jc w:val="center"/>
        <w:rPr>
          <w:b/>
          <w:sz w:val="28"/>
          <w:szCs w:val="28"/>
          <w:lang w:val="uk-UA"/>
        </w:rPr>
      </w:pPr>
      <w:r w:rsidRPr="00907F8D">
        <w:rPr>
          <w:b/>
          <w:sz w:val="28"/>
          <w:szCs w:val="28"/>
          <w:lang w:val="uk-UA"/>
        </w:rPr>
        <w:lastRenderedPageBreak/>
        <w:t>РОЗДІЛ 4.</w:t>
      </w:r>
    </w:p>
    <w:p w:rsidR="00A0176F" w:rsidRPr="00907F8D" w:rsidRDefault="00A0176F" w:rsidP="00A0176F">
      <w:pPr>
        <w:spacing w:line="360" w:lineRule="auto"/>
        <w:jc w:val="center"/>
        <w:rPr>
          <w:b/>
          <w:sz w:val="28"/>
          <w:szCs w:val="28"/>
          <w:lang w:val="uk-UA"/>
        </w:rPr>
      </w:pPr>
      <w:r w:rsidRPr="00907F8D">
        <w:rPr>
          <w:b/>
          <w:sz w:val="28"/>
          <w:szCs w:val="28"/>
          <w:lang w:val="uk-UA"/>
        </w:rPr>
        <w:t xml:space="preserve"> ВПЛИВ КОМПЛЕКСНОЇ ТЕРАПІЇ НА ПОКАЗНИКИ </w:t>
      </w:r>
      <w:r w:rsidRPr="00907F8D">
        <w:rPr>
          <w:b/>
          <w:sz w:val="28"/>
          <w:szCs w:val="28"/>
          <w:lang w:val="en-US"/>
        </w:rPr>
        <w:t>L</w:t>
      </w:r>
      <w:r w:rsidR="00F026A2">
        <w:rPr>
          <w:b/>
          <w:sz w:val="28"/>
          <w:szCs w:val="28"/>
          <w:lang w:val="uk-UA"/>
        </w:rPr>
        <w:t>–</w:t>
      </w:r>
      <w:r w:rsidRPr="00907F8D">
        <w:rPr>
          <w:b/>
          <w:sz w:val="28"/>
          <w:szCs w:val="28"/>
          <w:lang w:val="uk-UA"/>
        </w:rPr>
        <w:t xml:space="preserve">КАРНІТИНУ, ГОМОЦИСТЕЇНУ, ПРОЗАПАЛЬНИХ ЦИТОКІНІВ ТА ОКСИДУ АЗОТУ І МАЛОНОВОГО ДІАЛЬДЕГІДУ У ХВОРИХ </w:t>
      </w:r>
      <w:r>
        <w:rPr>
          <w:b/>
          <w:sz w:val="28"/>
          <w:szCs w:val="28"/>
          <w:lang w:val="uk-UA"/>
        </w:rPr>
        <w:t xml:space="preserve">НА </w:t>
      </w:r>
      <w:r w:rsidRPr="00907F8D">
        <w:rPr>
          <w:b/>
          <w:sz w:val="28"/>
          <w:szCs w:val="28"/>
          <w:lang w:val="uk-UA"/>
        </w:rPr>
        <w:t>НЕАЛКОГОЛЬНИ</w:t>
      </w:r>
      <w:r>
        <w:rPr>
          <w:b/>
          <w:sz w:val="28"/>
          <w:szCs w:val="28"/>
          <w:lang w:val="uk-UA"/>
        </w:rPr>
        <w:t>Й</w:t>
      </w:r>
      <w:r w:rsidRPr="00907F8D">
        <w:rPr>
          <w:b/>
          <w:sz w:val="28"/>
          <w:szCs w:val="28"/>
          <w:lang w:val="uk-UA"/>
        </w:rPr>
        <w:t xml:space="preserve"> СТЕАТОГЕПАТИТ В ПОЄДНАННІ З ЦУКРОВИМ ДІАБЕТОМ 2 ТИПУ</w:t>
      </w:r>
    </w:p>
    <w:p w:rsidR="00A0176F" w:rsidRDefault="00A0176F" w:rsidP="00A0176F">
      <w:pPr>
        <w:spacing w:line="360" w:lineRule="auto"/>
        <w:ind w:firstLine="709"/>
        <w:jc w:val="both"/>
        <w:rPr>
          <w:sz w:val="28"/>
          <w:szCs w:val="28"/>
          <w:lang w:val="uk-UA"/>
        </w:rPr>
      </w:pPr>
      <w:r>
        <w:rPr>
          <w:sz w:val="28"/>
          <w:szCs w:val="28"/>
          <w:lang w:val="uk-UA"/>
        </w:rPr>
        <w:t>Наведені нами в попередніх розділах дані свідчать, що  L</w:t>
      </w:r>
      <w:r w:rsidR="00F026A2">
        <w:rPr>
          <w:sz w:val="28"/>
          <w:szCs w:val="28"/>
          <w:lang w:val="uk-UA"/>
        </w:rPr>
        <w:t>–</w:t>
      </w:r>
      <w:r>
        <w:rPr>
          <w:sz w:val="28"/>
          <w:szCs w:val="28"/>
          <w:lang w:val="uk-UA"/>
        </w:rPr>
        <w:t>карнітин, ГЦ та асоційовані з ними метаболічні та імунологічні порушення причетні до розвитку НАСГ на тлі ЦД 2 типу. Одже, при лікуванні хворих на НАСГ в поєднанні з ЦД 2 типу необхідно використовувати комбінацію лікарських засобів, що впливають одночасно на різні патогенетичні ланки і усувають характерні для них клінічні і біохімічні порушення [54, 82, 83, 253].</w:t>
      </w:r>
    </w:p>
    <w:p w:rsidR="00A0176F" w:rsidRDefault="00A0176F" w:rsidP="00A0176F">
      <w:pPr>
        <w:spacing w:line="360" w:lineRule="auto"/>
        <w:ind w:firstLine="709"/>
        <w:jc w:val="both"/>
        <w:rPr>
          <w:sz w:val="28"/>
          <w:szCs w:val="28"/>
          <w:lang w:val="uk-UA"/>
        </w:rPr>
      </w:pPr>
      <w:r>
        <w:rPr>
          <w:sz w:val="28"/>
          <w:szCs w:val="28"/>
          <w:lang w:val="uk-UA"/>
        </w:rPr>
        <w:t xml:space="preserve">Враховуючи вищезазначене, вирішено було підібрати для хворих на НАСГ в поєднанні з ЦД 2 типу ефективну схему терапії, що відповідала б таким вимогам: забезпечувала виражену гепатопротекторну дію, володіла протизапальною, гіполіпідемічною, антиоксидантною та антифібротичною активністю. </w:t>
      </w:r>
    </w:p>
    <w:p w:rsidR="00A0176F" w:rsidRDefault="00A0176F" w:rsidP="00A0176F">
      <w:pPr>
        <w:spacing w:line="360" w:lineRule="auto"/>
        <w:ind w:firstLine="709"/>
        <w:jc w:val="both"/>
        <w:rPr>
          <w:sz w:val="28"/>
          <w:szCs w:val="28"/>
          <w:lang w:val="uk-UA"/>
        </w:rPr>
      </w:pPr>
      <w:r>
        <w:rPr>
          <w:sz w:val="28"/>
          <w:szCs w:val="28"/>
          <w:lang w:val="uk-UA"/>
        </w:rPr>
        <w:t>Про ефективність запропонованої терапії судили на підставі динаміки клінічних симптомів і біохімічних показників печінкових проб в сироватці крові (АЛТ, АСТ, ліпідного профілю), визначення рівня що  L</w:t>
      </w:r>
      <w:r w:rsidR="00F026A2">
        <w:rPr>
          <w:sz w:val="28"/>
          <w:szCs w:val="28"/>
          <w:lang w:val="uk-UA"/>
        </w:rPr>
        <w:t>–</w:t>
      </w:r>
      <w:r>
        <w:rPr>
          <w:sz w:val="28"/>
          <w:szCs w:val="28"/>
          <w:lang w:val="uk-UA"/>
        </w:rPr>
        <w:t>карнітину, ГЦ, ФНП</w:t>
      </w:r>
      <w:r w:rsidR="00F026A2">
        <w:rPr>
          <w:sz w:val="28"/>
          <w:szCs w:val="28"/>
          <w:lang w:val="uk-UA"/>
        </w:rPr>
        <w:t>–</w:t>
      </w:r>
      <w:r>
        <w:rPr>
          <w:sz w:val="28"/>
          <w:szCs w:val="28"/>
          <w:lang w:val="uk-UA"/>
        </w:rPr>
        <w:t>α та ІЛ</w:t>
      </w:r>
      <w:r w:rsidR="00F026A2">
        <w:rPr>
          <w:sz w:val="28"/>
          <w:szCs w:val="28"/>
          <w:lang w:val="uk-UA"/>
        </w:rPr>
        <w:t>–</w:t>
      </w:r>
      <w:r>
        <w:rPr>
          <w:sz w:val="28"/>
          <w:szCs w:val="28"/>
          <w:lang w:val="uk-UA"/>
        </w:rPr>
        <w:t>6 в сироватці крові і NO та МДА в плазмі крові. Контрольні показники реєструвались на початку та через 1 місяць лікування.</w:t>
      </w:r>
    </w:p>
    <w:p w:rsidR="00A0176F" w:rsidRDefault="00A0176F" w:rsidP="00A0176F">
      <w:pPr>
        <w:spacing w:line="360" w:lineRule="auto"/>
        <w:ind w:firstLine="709"/>
        <w:jc w:val="both"/>
        <w:rPr>
          <w:sz w:val="28"/>
          <w:szCs w:val="28"/>
          <w:lang w:val="uk-UA"/>
        </w:rPr>
      </w:pPr>
      <w:r>
        <w:rPr>
          <w:sz w:val="28"/>
          <w:szCs w:val="28"/>
          <w:lang w:val="uk-UA"/>
        </w:rPr>
        <w:t>Всі пацієнти отримували рекомендації по належній дієті та модифікації способу життя. Призначена комплексна терапія включала: препарат L</w:t>
      </w:r>
      <w:r w:rsidR="00F026A2">
        <w:rPr>
          <w:sz w:val="28"/>
          <w:szCs w:val="28"/>
          <w:lang w:val="uk-UA"/>
        </w:rPr>
        <w:t>–</w:t>
      </w:r>
      <w:r>
        <w:rPr>
          <w:sz w:val="28"/>
          <w:szCs w:val="28"/>
          <w:lang w:val="uk-UA"/>
        </w:rPr>
        <w:t>карнітину, в дозі 2 капсули 3 рази на добу (457,2 мг карнітину), депротеінізований гемодериват  розчин для інфузій 10% (1000мг) 250 мл у фізіологічному розчині протягом 10 днів, з подальшим переходом на прийом препарату всередину по 1 таблетці 3 рази на добу (600мг), фолієва кислота в дозі 1 таблетка 2 рази на добу (10 мг).</w:t>
      </w:r>
    </w:p>
    <w:p w:rsidR="00A0176F" w:rsidRDefault="00A0176F" w:rsidP="00A0176F">
      <w:pPr>
        <w:spacing w:line="360" w:lineRule="auto"/>
        <w:ind w:firstLine="709"/>
        <w:jc w:val="both"/>
        <w:rPr>
          <w:sz w:val="28"/>
          <w:szCs w:val="28"/>
          <w:lang w:val="uk-UA"/>
        </w:rPr>
      </w:pPr>
      <w:r>
        <w:rPr>
          <w:sz w:val="28"/>
          <w:szCs w:val="28"/>
          <w:lang w:val="uk-UA"/>
        </w:rPr>
        <w:t>В динаміці лікування у хворих обох груп відмічалось зменшення клінічних проявів захворювання та нормалізація самопочуття пацієнтів. У пацієнтів на фоні терапії поліпшення загального стану відмічалось на 4</w:t>
      </w:r>
      <w:r w:rsidR="00F026A2">
        <w:rPr>
          <w:sz w:val="28"/>
          <w:szCs w:val="28"/>
          <w:lang w:val="uk-UA"/>
        </w:rPr>
        <w:t>–</w:t>
      </w:r>
      <w:r>
        <w:rPr>
          <w:sz w:val="28"/>
          <w:szCs w:val="28"/>
          <w:lang w:val="uk-UA"/>
        </w:rPr>
        <w:t xml:space="preserve">5 день від початку лікування. </w:t>
      </w:r>
      <w:r>
        <w:rPr>
          <w:sz w:val="28"/>
          <w:szCs w:val="28"/>
          <w:lang w:val="uk-UA"/>
        </w:rPr>
        <w:lastRenderedPageBreak/>
        <w:t>Динаміка клінічних симптомі та синдромів у хворих на фоні лікування представлена в табл. 3.5.1</w:t>
      </w:r>
    </w:p>
    <w:p w:rsidR="00A0176F" w:rsidRDefault="00A0176F" w:rsidP="00A0176F">
      <w:pPr>
        <w:spacing w:line="360" w:lineRule="auto"/>
        <w:ind w:firstLine="709"/>
        <w:jc w:val="right"/>
        <w:rPr>
          <w:sz w:val="28"/>
          <w:szCs w:val="28"/>
          <w:lang w:val="uk-UA"/>
        </w:rPr>
      </w:pPr>
      <w:r>
        <w:rPr>
          <w:sz w:val="28"/>
          <w:szCs w:val="28"/>
          <w:lang w:val="uk-UA"/>
        </w:rPr>
        <w:t>Таблиця 3.5.1</w:t>
      </w:r>
    </w:p>
    <w:p w:rsidR="00A0176F" w:rsidRDefault="00A0176F" w:rsidP="00A0176F">
      <w:pPr>
        <w:spacing w:line="360" w:lineRule="auto"/>
        <w:ind w:firstLine="709"/>
        <w:jc w:val="center"/>
        <w:rPr>
          <w:sz w:val="28"/>
          <w:szCs w:val="28"/>
          <w:lang w:val="uk-UA"/>
        </w:rPr>
      </w:pPr>
      <w:r>
        <w:rPr>
          <w:sz w:val="28"/>
          <w:szCs w:val="28"/>
          <w:lang w:val="uk-UA"/>
        </w:rPr>
        <w:t xml:space="preserve">Динаміка клінічних симптомів та синдромів у хворих </w:t>
      </w:r>
      <w:r w:rsidR="00077FA6">
        <w:rPr>
          <w:sz w:val="28"/>
          <w:szCs w:val="28"/>
          <w:lang w:val="uk-UA"/>
        </w:rPr>
        <w:t xml:space="preserve">1 </w:t>
      </w:r>
      <w:r>
        <w:rPr>
          <w:sz w:val="28"/>
          <w:szCs w:val="28"/>
          <w:lang w:val="uk-UA"/>
        </w:rPr>
        <w:t xml:space="preserve">та </w:t>
      </w:r>
      <w:r w:rsidR="00077FA6">
        <w:rPr>
          <w:sz w:val="28"/>
          <w:szCs w:val="28"/>
          <w:lang w:val="uk-UA"/>
        </w:rPr>
        <w:t>2</w:t>
      </w:r>
      <w:r>
        <w:rPr>
          <w:sz w:val="28"/>
          <w:szCs w:val="28"/>
          <w:lang w:val="uk-UA"/>
        </w:rPr>
        <w:t xml:space="preserve"> груп до та після лікування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6"/>
        <w:gridCol w:w="1649"/>
        <w:gridCol w:w="31"/>
        <w:gridCol w:w="1669"/>
        <w:gridCol w:w="10"/>
        <w:gridCol w:w="1680"/>
        <w:gridCol w:w="15"/>
        <w:gridCol w:w="1661"/>
      </w:tblGrid>
      <w:tr w:rsidR="00A0176F" w:rsidTr="00077FA6">
        <w:tc>
          <w:tcPr>
            <w:tcW w:w="1778" w:type="pct"/>
            <w:vMerge w:val="restart"/>
            <w:vAlign w:val="center"/>
          </w:tcPr>
          <w:p w:rsidR="00A0176F" w:rsidRDefault="00A0176F" w:rsidP="00A0176F">
            <w:pPr>
              <w:spacing w:line="360" w:lineRule="auto"/>
              <w:jc w:val="center"/>
              <w:rPr>
                <w:sz w:val="28"/>
                <w:szCs w:val="28"/>
                <w:lang w:val="uk-UA"/>
              </w:rPr>
            </w:pPr>
            <w:r>
              <w:rPr>
                <w:sz w:val="28"/>
                <w:szCs w:val="28"/>
                <w:lang w:val="uk-UA"/>
              </w:rPr>
              <w:t>Симптоми та синдроми</w:t>
            </w:r>
          </w:p>
        </w:tc>
        <w:tc>
          <w:tcPr>
            <w:tcW w:w="1612" w:type="pct"/>
            <w:gridSpan w:val="4"/>
            <w:vAlign w:val="center"/>
          </w:tcPr>
          <w:p w:rsidR="00A0176F" w:rsidRDefault="00A0176F" w:rsidP="00A0176F">
            <w:pPr>
              <w:spacing w:line="360" w:lineRule="auto"/>
              <w:jc w:val="center"/>
              <w:rPr>
                <w:sz w:val="28"/>
                <w:szCs w:val="28"/>
                <w:lang w:val="uk-UA"/>
              </w:rPr>
            </w:pPr>
            <w:r>
              <w:rPr>
                <w:sz w:val="28"/>
                <w:szCs w:val="28"/>
                <w:lang w:val="uk-UA"/>
              </w:rPr>
              <w:t xml:space="preserve">Хворі </w:t>
            </w:r>
            <w:r w:rsidR="00077FA6">
              <w:rPr>
                <w:sz w:val="28"/>
                <w:szCs w:val="28"/>
                <w:lang w:val="uk-UA"/>
              </w:rPr>
              <w:t>1</w:t>
            </w:r>
            <w:r>
              <w:rPr>
                <w:sz w:val="28"/>
                <w:szCs w:val="28"/>
                <w:lang w:val="uk-UA"/>
              </w:rPr>
              <w:t xml:space="preserve"> групи, n (%)</w:t>
            </w:r>
          </w:p>
        </w:tc>
        <w:tc>
          <w:tcPr>
            <w:tcW w:w="1610" w:type="pct"/>
            <w:gridSpan w:val="3"/>
          </w:tcPr>
          <w:p w:rsidR="00A0176F" w:rsidRDefault="00A0176F" w:rsidP="00A0176F">
            <w:pPr>
              <w:spacing w:line="360" w:lineRule="auto"/>
              <w:jc w:val="center"/>
              <w:rPr>
                <w:sz w:val="28"/>
                <w:szCs w:val="28"/>
                <w:lang w:val="uk-UA"/>
              </w:rPr>
            </w:pPr>
            <w:r>
              <w:rPr>
                <w:sz w:val="28"/>
                <w:szCs w:val="28"/>
                <w:lang w:val="uk-UA"/>
              </w:rPr>
              <w:t xml:space="preserve">Хворі </w:t>
            </w:r>
            <w:r w:rsidR="00077FA6">
              <w:rPr>
                <w:sz w:val="28"/>
                <w:szCs w:val="28"/>
                <w:lang w:val="uk-UA"/>
              </w:rPr>
              <w:t>2</w:t>
            </w:r>
            <w:r>
              <w:rPr>
                <w:sz w:val="28"/>
                <w:szCs w:val="28"/>
                <w:lang w:val="uk-UA"/>
              </w:rPr>
              <w:t xml:space="preserve"> групи, n (%)</w:t>
            </w:r>
          </w:p>
        </w:tc>
      </w:tr>
      <w:tr w:rsidR="00A0176F" w:rsidTr="00077FA6">
        <w:tc>
          <w:tcPr>
            <w:tcW w:w="1778" w:type="pct"/>
            <w:vMerge/>
            <w:vAlign w:val="center"/>
          </w:tcPr>
          <w:p w:rsidR="00A0176F" w:rsidRDefault="00A0176F" w:rsidP="00A0176F">
            <w:pPr>
              <w:rPr>
                <w:sz w:val="28"/>
                <w:szCs w:val="28"/>
                <w:lang w:val="uk-UA"/>
              </w:rPr>
            </w:pP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Після лікування</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804" w:type="pct"/>
            <w:gridSpan w:val="2"/>
            <w:vAlign w:val="center"/>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A0176F" w:rsidTr="00077FA6">
        <w:tc>
          <w:tcPr>
            <w:tcW w:w="1778" w:type="pct"/>
            <w:vAlign w:val="center"/>
          </w:tcPr>
          <w:p w:rsidR="00A0176F" w:rsidRDefault="00A0176F" w:rsidP="00A0176F">
            <w:pPr>
              <w:spacing w:line="360" w:lineRule="auto"/>
              <w:jc w:val="center"/>
              <w:rPr>
                <w:sz w:val="28"/>
                <w:szCs w:val="28"/>
                <w:lang w:val="uk-UA"/>
              </w:rPr>
            </w:pPr>
            <w:r>
              <w:rPr>
                <w:sz w:val="28"/>
                <w:szCs w:val="28"/>
                <w:lang w:val="uk-UA"/>
              </w:rPr>
              <w:t>1</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2</w:t>
            </w:r>
          </w:p>
        </w:tc>
        <w:tc>
          <w:tcPr>
            <w:tcW w:w="806" w:type="pct"/>
            <w:gridSpan w:val="2"/>
          </w:tcPr>
          <w:p w:rsidR="00A0176F" w:rsidRDefault="00A0176F" w:rsidP="00A0176F">
            <w:pPr>
              <w:spacing w:line="360" w:lineRule="auto"/>
              <w:jc w:val="center"/>
              <w:rPr>
                <w:sz w:val="28"/>
                <w:szCs w:val="28"/>
                <w:lang w:val="uk-UA"/>
              </w:rPr>
            </w:pPr>
            <w:r>
              <w:rPr>
                <w:sz w:val="28"/>
                <w:szCs w:val="28"/>
                <w:lang w:val="uk-UA"/>
              </w:rPr>
              <w:t>3</w:t>
            </w:r>
          </w:p>
        </w:tc>
        <w:tc>
          <w:tcPr>
            <w:tcW w:w="806" w:type="pct"/>
          </w:tcPr>
          <w:p w:rsidR="00A0176F" w:rsidRDefault="00A0176F" w:rsidP="00A0176F">
            <w:pPr>
              <w:spacing w:line="360" w:lineRule="auto"/>
              <w:jc w:val="center"/>
              <w:rPr>
                <w:sz w:val="28"/>
                <w:szCs w:val="28"/>
                <w:lang w:val="uk-UA"/>
              </w:rPr>
            </w:pPr>
            <w:r>
              <w:rPr>
                <w:sz w:val="28"/>
                <w:szCs w:val="28"/>
                <w:lang w:val="uk-UA"/>
              </w:rPr>
              <w:t>4</w:t>
            </w:r>
          </w:p>
        </w:tc>
        <w:tc>
          <w:tcPr>
            <w:tcW w:w="804" w:type="pct"/>
            <w:gridSpan w:val="2"/>
          </w:tcPr>
          <w:p w:rsidR="00A0176F" w:rsidRDefault="00A0176F" w:rsidP="00A0176F">
            <w:pPr>
              <w:spacing w:line="360" w:lineRule="auto"/>
              <w:jc w:val="center"/>
              <w:rPr>
                <w:sz w:val="28"/>
                <w:szCs w:val="28"/>
                <w:lang w:val="uk-UA"/>
              </w:rPr>
            </w:pPr>
            <w:r>
              <w:rPr>
                <w:sz w:val="28"/>
                <w:szCs w:val="28"/>
                <w:lang w:val="uk-UA"/>
              </w:rPr>
              <w:t>5</w:t>
            </w:r>
          </w:p>
        </w:tc>
      </w:tr>
      <w:tr w:rsidR="00A0176F" w:rsidTr="00077FA6">
        <w:tc>
          <w:tcPr>
            <w:tcW w:w="1778" w:type="pct"/>
            <w:vAlign w:val="center"/>
          </w:tcPr>
          <w:p w:rsidR="00A0176F" w:rsidRDefault="00A0176F" w:rsidP="00A0176F">
            <w:pPr>
              <w:numPr>
                <w:ilvl w:val="0"/>
                <w:numId w:val="13"/>
              </w:numPr>
              <w:spacing w:line="360" w:lineRule="auto"/>
              <w:rPr>
                <w:sz w:val="28"/>
                <w:szCs w:val="28"/>
                <w:lang w:val="uk-UA"/>
              </w:rPr>
            </w:pPr>
            <w:r>
              <w:rPr>
                <w:sz w:val="28"/>
                <w:szCs w:val="28"/>
                <w:lang w:val="uk-UA"/>
              </w:rPr>
              <w:t xml:space="preserve">Больовий синдром (періодичність болю):     </w:t>
            </w:r>
          </w:p>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постійний ниючий біль                             </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 xml:space="preserve">                                     </w:t>
            </w:r>
          </w:p>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19 (29,3%)</w:t>
            </w:r>
          </w:p>
        </w:tc>
        <w:tc>
          <w:tcPr>
            <w:tcW w:w="806" w:type="pct"/>
            <w:gridSpan w:val="2"/>
          </w:tcPr>
          <w:p w:rsidR="00A0176F" w:rsidRDefault="00A0176F" w:rsidP="00A0176F">
            <w:pPr>
              <w:spacing w:line="360" w:lineRule="auto"/>
              <w:jc w:val="center"/>
              <w:rPr>
                <w:sz w:val="28"/>
                <w:szCs w:val="28"/>
                <w:lang w:val="uk-UA"/>
              </w:rPr>
            </w:pPr>
          </w:p>
          <w:p w:rsidR="00A0176F" w:rsidRDefault="00A0176F" w:rsidP="00A0176F">
            <w:pPr>
              <w:spacing w:line="360" w:lineRule="auto"/>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 xml:space="preserve">                                      </w:t>
            </w:r>
          </w:p>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 xml:space="preserve">9 (22,5%)                        </w:t>
            </w:r>
          </w:p>
        </w:tc>
        <w:tc>
          <w:tcPr>
            <w:tcW w:w="804" w:type="pct"/>
            <w:gridSpan w:val="2"/>
            <w:vAlign w:val="center"/>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періодичний ниючій біль</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 xml:space="preserve">40 (61,5%)                                              </w:t>
            </w:r>
          </w:p>
        </w:tc>
        <w:tc>
          <w:tcPr>
            <w:tcW w:w="806" w:type="pct"/>
            <w:gridSpan w:val="2"/>
          </w:tcPr>
          <w:p w:rsidR="00A0176F" w:rsidRDefault="00A0176F" w:rsidP="00A0176F">
            <w:pPr>
              <w:spacing w:line="360" w:lineRule="auto"/>
              <w:jc w:val="center"/>
              <w:rPr>
                <w:sz w:val="28"/>
                <w:szCs w:val="28"/>
                <w:lang w:val="uk-UA"/>
              </w:rPr>
            </w:pPr>
            <w:r>
              <w:rPr>
                <w:sz w:val="28"/>
                <w:szCs w:val="28"/>
                <w:lang w:val="uk-UA"/>
              </w:rPr>
              <w:t>2 (3%)</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 xml:space="preserve">20 (50%)                                              </w:t>
            </w:r>
          </w:p>
        </w:tc>
        <w:tc>
          <w:tcPr>
            <w:tcW w:w="804" w:type="pct"/>
            <w:gridSpan w:val="2"/>
            <w:vAlign w:val="center"/>
          </w:tcPr>
          <w:p w:rsidR="00A0176F" w:rsidRDefault="00A0176F" w:rsidP="00A0176F">
            <w:pPr>
              <w:spacing w:line="360" w:lineRule="auto"/>
              <w:jc w:val="center"/>
              <w:rPr>
                <w:sz w:val="28"/>
                <w:szCs w:val="28"/>
                <w:lang w:val="uk-UA"/>
              </w:rPr>
            </w:pPr>
            <w:r>
              <w:rPr>
                <w:sz w:val="28"/>
                <w:szCs w:val="28"/>
                <w:lang w:val="uk-UA"/>
              </w:rPr>
              <w:t>1 (2,5%)</w:t>
            </w:r>
          </w:p>
        </w:tc>
      </w:tr>
      <w:tr w:rsidR="00A0176F" w:rsidTr="00077FA6">
        <w:tc>
          <w:tcPr>
            <w:tcW w:w="1778" w:type="pct"/>
            <w:vAlign w:val="center"/>
          </w:tcPr>
          <w:p w:rsidR="00A0176F" w:rsidRDefault="00A0176F" w:rsidP="00A0176F">
            <w:pPr>
              <w:numPr>
                <w:ilvl w:val="0"/>
                <w:numId w:val="13"/>
              </w:numPr>
              <w:spacing w:line="360" w:lineRule="auto"/>
              <w:rPr>
                <w:sz w:val="28"/>
                <w:szCs w:val="28"/>
                <w:lang w:val="uk-UA"/>
              </w:rPr>
            </w:pPr>
            <w:r>
              <w:rPr>
                <w:sz w:val="28"/>
                <w:szCs w:val="28"/>
                <w:lang w:val="uk-UA"/>
              </w:rPr>
              <w:t xml:space="preserve">Диспепсичний синдром:                                     </w:t>
            </w:r>
          </w:p>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важкість та дискомфорт в правому підребер’ї</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 xml:space="preserve">                                      51 (81,5%)</w:t>
            </w:r>
          </w:p>
        </w:tc>
        <w:tc>
          <w:tcPr>
            <w:tcW w:w="806" w:type="pct"/>
            <w:gridSpan w:val="2"/>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3 (4,6%)</w:t>
            </w:r>
          </w:p>
        </w:tc>
        <w:tc>
          <w:tcPr>
            <w:tcW w:w="806" w:type="pct"/>
            <w:vAlign w:val="center"/>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38 (95%)</w:t>
            </w:r>
          </w:p>
        </w:tc>
        <w:tc>
          <w:tcPr>
            <w:tcW w:w="804" w:type="pct"/>
            <w:gridSpan w:val="2"/>
            <w:vAlign w:val="center"/>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2 (5%)</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відрижка повітрям</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43 (66,1%)</w:t>
            </w:r>
          </w:p>
        </w:tc>
        <w:tc>
          <w:tcPr>
            <w:tcW w:w="806" w:type="pct"/>
            <w:gridSpan w:val="2"/>
          </w:tcPr>
          <w:p w:rsidR="00A0176F" w:rsidRDefault="00F026A2" w:rsidP="00A0176F">
            <w:pPr>
              <w:spacing w:line="360" w:lineRule="auto"/>
              <w:jc w:val="center"/>
              <w:rPr>
                <w:sz w:val="28"/>
                <w:szCs w:val="28"/>
                <w:lang w:val="uk-UA"/>
              </w:rPr>
            </w:pPr>
            <w:r>
              <w:rPr>
                <w:sz w:val="28"/>
                <w:szCs w:val="28"/>
                <w:lang w:val="uk-UA"/>
              </w:rPr>
              <w:t>–</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13 (32,5%)</w:t>
            </w:r>
          </w:p>
        </w:tc>
        <w:tc>
          <w:tcPr>
            <w:tcW w:w="804" w:type="pct"/>
            <w:gridSpan w:val="2"/>
            <w:vAlign w:val="center"/>
          </w:tcPr>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зниження апетиту</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42 (64,6%)</w:t>
            </w:r>
          </w:p>
        </w:tc>
        <w:tc>
          <w:tcPr>
            <w:tcW w:w="806" w:type="pct"/>
            <w:gridSpan w:val="2"/>
          </w:tcPr>
          <w:p w:rsidR="00A0176F" w:rsidRDefault="00F026A2" w:rsidP="00A0176F">
            <w:pPr>
              <w:spacing w:line="360" w:lineRule="auto"/>
              <w:jc w:val="center"/>
              <w:rPr>
                <w:sz w:val="28"/>
                <w:szCs w:val="28"/>
                <w:lang w:val="uk-UA"/>
              </w:rPr>
            </w:pPr>
            <w:r>
              <w:rPr>
                <w:sz w:val="28"/>
                <w:szCs w:val="28"/>
                <w:lang w:val="uk-UA"/>
              </w:rPr>
              <w:t>–</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26 (65%)</w:t>
            </w:r>
          </w:p>
        </w:tc>
        <w:tc>
          <w:tcPr>
            <w:tcW w:w="804" w:type="pct"/>
            <w:gridSpan w:val="2"/>
            <w:vAlign w:val="center"/>
          </w:tcPr>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нудота</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30 (46,2%)</w:t>
            </w:r>
          </w:p>
        </w:tc>
        <w:tc>
          <w:tcPr>
            <w:tcW w:w="806" w:type="pct"/>
            <w:gridSpan w:val="2"/>
          </w:tcPr>
          <w:p w:rsidR="00A0176F" w:rsidRDefault="00F026A2" w:rsidP="00A0176F">
            <w:pPr>
              <w:spacing w:line="360" w:lineRule="auto"/>
              <w:jc w:val="center"/>
              <w:rPr>
                <w:sz w:val="28"/>
                <w:szCs w:val="28"/>
                <w:lang w:val="uk-UA"/>
              </w:rPr>
            </w:pPr>
            <w:r>
              <w:rPr>
                <w:sz w:val="28"/>
                <w:szCs w:val="28"/>
                <w:lang w:val="uk-UA"/>
              </w:rPr>
              <w:t>–</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35 (87,5%)</w:t>
            </w:r>
          </w:p>
        </w:tc>
        <w:tc>
          <w:tcPr>
            <w:tcW w:w="804" w:type="pct"/>
            <w:gridSpan w:val="2"/>
            <w:vAlign w:val="center"/>
          </w:tcPr>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метеоризм</w:t>
            </w:r>
          </w:p>
        </w:tc>
        <w:tc>
          <w:tcPr>
            <w:tcW w:w="806" w:type="pct"/>
            <w:gridSpan w:val="2"/>
            <w:vAlign w:val="center"/>
          </w:tcPr>
          <w:p w:rsidR="00A0176F" w:rsidRDefault="00A0176F" w:rsidP="00A0176F">
            <w:pPr>
              <w:spacing w:line="360" w:lineRule="auto"/>
              <w:jc w:val="center"/>
              <w:rPr>
                <w:sz w:val="28"/>
                <w:szCs w:val="28"/>
                <w:lang w:val="uk-UA"/>
              </w:rPr>
            </w:pPr>
            <w:r>
              <w:rPr>
                <w:sz w:val="28"/>
                <w:szCs w:val="28"/>
                <w:lang w:val="uk-UA"/>
              </w:rPr>
              <w:t>15 (23,1%)</w:t>
            </w:r>
          </w:p>
        </w:tc>
        <w:tc>
          <w:tcPr>
            <w:tcW w:w="806" w:type="pct"/>
            <w:gridSpan w:val="2"/>
          </w:tcPr>
          <w:p w:rsidR="00A0176F" w:rsidRDefault="00A0176F" w:rsidP="00A0176F">
            <w:pPr>
              <w:spacing w:line="360" w:lineRule="auto"/>
              <w:rPr>
                <w:sz w:val="28"/>
                <w:szCs w:val="28"/>
                <w:lang w:val="uk-UA"/>
              </w:rPr>
            </w:pPr>
            <w:r>
              <w:rPr>
                <w:sz w:val="28"/>
                <w:szCs w:val="28"/>
                <w:lang w:val="uk-UA"/>
              </w:rPr>
              <w:t xml:space="preserve">         </w:t>
            </w:r>
          </w:p>
          <w:p w:rsidR="00A0176F" w:rsidRDefault="00A0176F" w:rsidP="00A0176F">
            <w:pPr>
              <w:spacing w:line="360" w:lineRule="auto"/>
              <w:rPr>
                <w:sz w:val="28"/>
                <w:szCs w:val="28"/>
                <w:lang w:val="uk-UA"/>
              </w:rPr>
            </w:pPr>
            <w:r>
              <w:rPr>
                <w:sz w:val="28"/>
                <w:szCs w:val="28"/>
                <w:lang w:val="uk-UA"/>
              </w:rPr>
              <w:t xml:space="preserve">        </w:t>
            </w:r>
            <w:r w:rsidR="00F026A2">
              <w:rPr>
                <w:sz w:val="28"/>
                <w:szCs w:val="28"/>
                <w:lang w:val="uk-UA"/>
              </w:rPr>
              <w:t>–</w:t>
            </w:r>
          </w:p>
        </w:tc>
        <w:tc>
          <w:tcPr>
            <w:tcW w:w="806" w:type="pct"/>
            <w:vAlign w:val="center"/>
          </w:tcPr>
          <w:p w:rsidR="00A0176F" w:rsidRDefault="00A0176F" w:rsidP="00A0176F">
            <w:pPr>
              <w:spacing w:line="360" w:lineRule="auto"/>
              <w:jc w:val="center"/>
              <w:rPr>
                <w:sz w:val="28"/>
                <w:szCs w:val="28"/>
                <w:lang w:val="uk-UA"/>
              </w:rPr>
            </w:pPr>
            <w:r>
              <w:rPr>
                <w:sz w:val="28"/>
                <w:szCs w:val="28"/>
                <w:lang w:val="uk-UA"/>
              </w:rPr>
              <w:t xml:space="preserve"> 13 (32,</w:t>
            </w:r>
            <w:r>
              <w:rPr>
                <w:sz w:val="28"/>
                <w:szCs w:val="28"/>
              </w:rPr>
              <w:t>5%)</w:t>
            </w:r>
          </w:p>
        </w:tc>
        <w:tc>
          <w:tcPr>
            <w:tcW w:w="804" w:type="pct"/>
            <w:gridSpan w:val="2"/>
            <w:vAlign w:val="center"/>
          </w:tcPr>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A0176F" w:rsidP="00A0176F">
            <w:pPr>
              <w:numPr>
                <w:ilvl w:val="0"/>
                <w:numId w:val="13"/>
              </w:numPr>
              <w:spacing w:line="360" w:lineRule="auto"/>
              <w:rPr>
                <w:sz w:val="28"/>
                <w:szCs w:val="28"/>
                <w:lang w:val="uk-UA"/>
              </w:rPr>
            </w:pPr>
            <w:r>
              <w:rPr>
                <w:sz w:val="28"/>
                <w:szCs w:val="28"/>
                <w:lang w:val="uk-UA"/>
              </w:rPr>
              <w:t>Астеновегетативний синдром:</w:t>
            </w:r>
          </w:p>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швидка стомлюваність</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 xml:space="preserve">                                    </w:t>
            </w:r>
          </w:p>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57 (</w:t>
            </w:r>
            <w:r>
              <w:rPr>
                <w:sz w:val="28"/>
                <w:szCs w:val="28"/>
              </w:rPr>
              <w:t>8</w:t>
            </w:r>
            <w:r>
              <w:rPr>
                <w:sz w:val="28"/>
                <w:szCs w:val="28"/>
                <w:lang w:val="uk-UA"/>
              </w:rPr>
              <w:t>7</w:t>
            </w:r>
            <w:r>
              <w:rPr>
                <w:sz w:val="28"/>
                <w:szCs w:val="28"/>
              </w:rPr>
              <w:t>,7%)</w:t>
            </w:r>
          </w:p>
        </w:tc>
        <w:tc>
          <w:tcPr>
            <w:tcW w:w="816" w:type="pct"/>
            <w:gridSpan w:val="2"/>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c>
          <w:tcPr>
            <w:tcW w:w="818" w:type="pct"/>
            <w:gridSpan w:val="3"/>
            <w:vAlign w:val="center"/>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26 (65%)</w:t>
            </w:r>
          </w:p>
        </w:tc>
        <w:tc>
          <w:tcPr>
            <w:tcW w:w="797" w:type="pct"/>
            <w:vAlign w:val="center"/>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r>
      <w:tr w:rsidR="00A0176F" w:rsidTr="00077FA6">
        <w:trPr>
          <w:trHeight w:val="983"/>
        </w:trPr>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зниження працездатності</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54 (83,1%)</w:t>
            </w:r>
          </w:p>
        </w:tc>
        <w:tc>
          <w:tcPr>
            <w:tcW w:w="816" w:type="pct"/>
            <w:gridSpan w:val="2"/>
            <w:vAlign w:val="center"/>
          </w:tcPr>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p w:rsidR="00A0176F" w:rsidRDefault="00A0176F" w:rsidP="00A0176F">
            <w:pPr>
              <w:spacing w:line="360" w:lineRule="auto"/>
              <w:jc w:val="center"/>
              <w:rPr>
                <w:sz w:val="28"/>
                <w:szCs w:val="28"/>
                <w:lang w:val="uk-UA"/>
              </w:rPr>
            </w:pPr>
          </w:p>
        </w:tc>
        <w:tc>
          <w:tcPr>
            <w:tcW w:w="818" w:type="pct"/>
            <w:gridSpan w:val="3"/>
            <w:vAlign w:val="center"/>
          </w:tcPr>
          <w:p w:rsidR="00A0176F" w:rsidRDefault="00A0176F" w:rsidP="00A0176F">
            <w:pPr>
              <w:spacing w:line="360" w:lineRule="auto"/>
              <w:jc w:val="center"/>
              <w:rPr>
                <w:sz w:val="28"/>
                <w:szCs w:val="28"/>
                <w:lang w:val="uk-UA"/>
              </w:rPr>
            </w:pPr>
            <w:r>
              <w:rPr>
                <w:sz w:val="28"/>
                <w:szCs w:val="28"/>
                <w:lang w:val="uk-UA"/>
              </w:rPr>
              <w:t>31 (77,5%)</w:t>
            </w:r>
          </w:p>
        </w:tc>
        <w:tc>
          <w:tcPr>
            <w:tcW w:w="797" w:type="pct"/>
            <w:vAlign w:val="center"/>
          </w:tcPr>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загальна слабкість</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55 (84,6%)</w:t>
            </w:r>
          </w:p>
        </w:tc>
        <w:tc>
          <w:tcPr>
            <w:tcW w:w="816" w:type="pct"/>
            <w:gridSpan w:val="2"/>
          </w:tcPr>
          <w:p w:rsidR="00A0176F" w:rsidRDefault="00F026A2" w:rsidP="00A0176F">
            <w:pPr>
              <w:spacing w:line="360" w:lineRule="auto"/>
              <w:jc w:val="center"/>
              <w:rPr>
                <w:sz w:val="28"/>
                <w:szCs w:val="28"/>
                <w:lang w:val="uk-UA"/>
              </w:rPr>
            </w:pPr>
            <w:r>
              <w:rPr>
                <w:sz w:val="28"/>
                <w:szCs w:val="28"/>
                <w:lang w:val="uk-UA"/>
              </w:rPr>
              <w:t>–</w:t>
            </w:r>
          </w:p>
        </w:tc>
        <w:tc>
          <w:tcPr>
            <w:tcW w:w="818" w:type="pct"/>
            <w:gridSpan w:val="3"/>
            <w:vAlign w:val="center"/>
          </w:tcPr>
          <w:p w:rsidR="00A0176F" w:rsidRDefault="00A0176F" w:rsidP="00A0176F">
            <w:pPr>
              <w:spacing w:line="360" w:lineRule="auto"/>
              <w:jc w:val="center"/>
              <w:rPr>
                <w:sz w:val="28"/>
                <w:szCs w:val="28"/>
                <w:lang w:val="uk-UA"/>
              </w:rPr>
            </w:pPr>
            <w:r>
              <w:rPr>
                <w:sz w:val="28"/>
                <w:szCs w:val="28"/>
                <w:lang w:val="uk-UA"/>
              </w:rPr>
              <w:t>23 (57,5%)</w:t>
            </w:r>
          </w:p>
        </w:tc>
        <w:tc>
          <w:tcPr>
            <w:tcW w:w="797" w:type="pct"/>
            <w:vAlign w:val="center"/>
          </w:tcPr>
          <w:p w:rsidR="00A0176F" w:rsidRDefault="00F026A2" w:rsidP="00A0176F">
            <w:pPr>
              <w:spacing w:line="360" w:lineRule="auto"/>
              <w:jc w:val="center"/>
              <w:rPr>
                <w:sz w:val="28"/>
                <w:szCs w:val="28"/>
                <w:lang w:val="uk-UA"/>
              </w:rPr>
            </w:pPr>
            <w:r>
              <w:rPr>
                <w:sz w:val="28"/>
                <w:szCs w:val="28"/>
                <w:lang w:val="uk-UA"/>
              </w:rPr>
              <w:t>–</w:t>
            </w:r>
          </w:p>
        </w:tc>
      </w:tr>
    </w:tbl>
    <w:p w:rsidR="00077FA6" w:rsidRPr="00077FA6" w:rsidRDefault="00077FA6">
      <w:pPr>
        <w:rPr>
          <w:sz w:val="28"/>
          <w:lang w:val="uk-UA"/>
        </w:rPr>
      </w:pPr>
      <w:r>
        <w:br w:type="page"/>
      </w:r>
      <w:r>
        <w:rPr>
          <w:sz w:val="28"/>
          <w:lang w:val="uk-UA"/>
        </w:rPr>
        <w:lastRenderedPageBreak/>
        <w:t>Продовження таблиці 3.5.1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705"/>
        <w:gridCol w:w="1649"/>
        <w:gridCol w:w="1701"/>
        <w:gridCol w:w="1705"/>
        <w:gridCol w:w="1661"/>
      </w:tblGrid>
      <w:tr w:rsidR="00077FA6" w:rsidTr="00077FA6">
        <w:tc>
          <w:tcPr>
            <w:tcW w:w="1778" w:type="pct"/>
            <w:vAlign w:val="center"/>
          </w:tcPr>
          <w:p w:rsidR="00077FA6" w:rsidRDefault="00077FA6" w:rsidP="007E691D">
            <w:pPr>
              <w:spacing w:line="360" w:lineRule="auto"/>
              <w:ind w:left="360"/>
              <w:jc w:val="center"/>
              <w:rPr>
                <w:sz w:val="28"/>
                <w:szCs w:val="28"/>
                <w:lang w:val="uk-UA"/>
              </w:rPr>
            </w:pPr>
            <w:r>
              <w:br w:type="page"/>
            </w:r>
            <w:r>
              <w:rPr>
                <w:sz w:val="28"/>
                <w:szCs w:val="28"/>
                <w:lang w:val="uk-UA"/>
              </w:rPr>
              <w:t>1</w:t>
            </w:r>
          </w:p>
        </w:tc>
        <w:tc>
          <w:tcPr>
            <w:tcW w:w="791" w:type="pct"/>
            <w:vAlign w:val="center"/>
          </w:tcPr>
          <w:p w:rsidR="00077FA6" w:rsidRDefault="00077FA6" w:rsidP="007E691D">
            <w:pPr>
              <w:spacing w:line="360" w:lineRule="auto"/>
              <w:jc w:val="center"/>
              <w:rPr>
                <w:sz w:val="28"/>
                <w:szCs w:val="28"/>
                <w:lang w:val="uk-UA"/>
              </w:rPr>
            </w:pPr>
            <w:r>
              <w:rPr>
                <w:sz w:val="28"/>
                <w:szCs w:val="28"/>
                <w:lang w:val="uk-UA"/>
              </w:rPr>
              <w:t>2</w:t>
            </w:r>
          </w:p>
        </w:tc>
        <w:tc>
          <w:tcPr>
            <w:tcW w:w="816" w:type="pct"/>
            <w:vAlign w:val="center"/>
          </w:tcPr>
          <w:p w:rsidR="00077FA6" w:rsidRDefault="00077FA6" w:rsidP="007E691D">
            <w:pPr>
              <w:spacing w:line="360" w:lineRule="auto"/>
              <w:jc w:val="center"/>
              <w:rPr>
                <w:sz w:val="28"/>
                <w:szCs w:val="28"/>
                <w:lang w:val="uk-UA"/>
              </w:rPr>
            </w:pPr>
            <w:r>
              <w:rPr>
                <w:sz w:val="28"/>
                <w:szCs w:val="28"/>
                <w:lang w:val="uk-UA"/>
              </w:rPr>
              <w:t>3</w:t>
            </w:r>
          </w:p>
        </w:tc>
        <w:tc>
          <w:tcPr>
            <w:tcW w:w="818" w:type="pct"/>
            <w:vAlign w:val="center"/>
          </w:tcPr>
          <w:p w:rsidR="00077FA6" w:rsidRDefault="00077FA6" w:rsidP="007E691D">
            <w:pPr>
              <w:spacing w:line="360" w:lineRule="auto"/>
              <w:jc w:val="center"/>
              <w:rPr>
                <w:sz w:val="28"/>
                <w:szCs w:val="28"/>
                <w:lang w:val="uk-UA"/>
              </w:rPr>
            </w:pPr>
            <w:r>
              <w:rPr>
                <w:sz w:val="28"/>
                <w:szCs w:val="28"/>
                <w:lang w:val="uk-UA"/>
              </w:rPr>
              <w:t>4</w:t>
            </w:r>
          </w:p>
        </w:tc>
        <w:tc>
          <w:tcPr>
            <w:tcW w:w="797" w:type="pct"/>
            <w:vAlign w:val="center"/>
          </w:tcPr>
          <w:p w:rsidR="00077FA6" w:rsidRDefault="00077FA6" w:rsidP="007E691D">
            <w:pPr>
              <w:spacing w:line="360" w:lineRule="auto"/>
              <w:jc w:val="center"/>
              <w:rPr>
                <w:sz w:val="28"/>
                <w:szCs w:val="28"/>
                <w:lang w:val="uk-UA"/>
              </w:rPr>
            </w:pPr>
            <w:r>
              <w:rPr>
                <w:sz w:val="28"/>
                <w:szCs w:val="28"/>
                <w:lang w:val="uk-UA"/>
              </w:rPr>
              <w:t>5</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дратівливість</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45 (69,5%)</w:t>
            </w:r>
          </w:p>
        </w:tc>
        <w:tc>
          <w:tcPr>
            <w:tcW w:w="816" w:type="pct"/>
          </w:tcPr>
          <w:p w:rsidR="00A0176F" w:rsidRDefault="00A0176F" w:rsidP="00A0176F">
            <w:pPr>
              <w:spacing w:line="360" w:lineRule="auto"/>
              <w:jc w:val="center"/>
              <w:rPr>
                <w:sz w:val="28"/>
                <w:szCs w:val="28"/>
                <w:lang w:val="uk-UA"/>
              </w:rPr>
            </w:pPr>
            <w:r>
              <w:rPr>
                <w:sz w:val="28"/>
                <w:szCs w:val="28"/>
                <w:lang w:val="uk-UA"/>
              </w:rPr>
              <w:t>1 (1,5%)</w:t>
            </w:r>
          </w:p>
        </w:tc>
        <w:tc>
          <w:tcPr>
            <w:tcW w:w="818" w:type="pct"/>
            <w:vAlign w:val="center"/>
          </w:tcPr>
          <w:p w:rsidR="00A0176F" w:rsidRDefault="00A0176F" w:rsidP="00A0176F">
            <w:pPr>
              <w:spacing w:line="360" w:lineRule="auto"/>
              <w:jc w:val="center"/>
              <w:rPr>
                <w:sz w:val="28"/>
                <w:szCs w:val="28"/>
                <w:lang w:val="uk-UA"/>
              </w:rPr>
            </w:pPr>
            <w:r>
              <w:rPr>
                <w:sz w:val="28"/>
                <w:szCs w:val="28"/>
                <w:lang w:val="uk-UA"/>
              </w:rPr>
              <w:t xml:space="preserve">19 (47,5%)                                              </w:t>
            </w:r>
          </w:p>
        </w:tc>
        <w:tc>
          <w:tcPr>
            <w:tcW w:w="797" w:type="pct"/>
            <w:vAlign w:val="center"/>
          </w:tcPr>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порушення сну</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 xml:space="preserve">41 (63,1%)                                              </w:t>
            </w:r>
          </w:p>
        </w:tc>
        <w:tc>
          <w:tcPr>
            <w:tcW w:w="816" w:type="pct"/>
          </w:tcPr>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c>
          <w:tcPr>
            <w:tcW w:w="818" w:type="pct"/>
            <w:vAlign w:val="center"/>
          </w:tcPr>
          <w:p w:rsidR="00A0176F" w:rsidRDefault="00A0176F" w:rsidP="00A0176F">
            <w:pPr>
              <w:spacing w:line="360" w:lineRule="auto"/>
              <w:jc w:val="center"/>
              <w:rPr>
                <w:sz w:val="28"/>
                <w:szCs w:val="28"/>
                <w:lang w:val="uk-UA"/>
              </w:rPr>
            </w:pPr>
            <w:r>
              <w:rPr>
                <w:sz w:val="28"/>
                <w:szCs w:val="28"/>
                <w:lang w:val="uk-UA"/>
              </w:rPr>
              <w:t xml:space="preserve">  29 (72,5%)</w:t>
            </w:r>
          </w:p>
        </w:tc>
        <w:tc>
          <w:tcPr>
            <w:tcW w:w="797" w:type="pct"/>
            <w:vAlign w:val="center"/>
          </w:tcPr>
          <w:p w:rsidR="00A0176F" w:rsidRDefault="00A0176F" w:rsidP="00A0176F">
            <w:pPr>
              <w:spacing w:line="360" w:lineRule="auto"/>
              <w:jc w:val="center"/>
              <w:rPr>
                <w:sz w:val="28"/>
                <w:szCs w:val="28"/>
                <w:lang w:val="uk-UA"/>
              </w:rPr>
            </w:pPr>
            <w:r>
              <w:rPr>
                <w:sz w:val="28"/>
                <w:szCs w:val="28"/>
                <w:lang w:val="uk-UA"/>
              </w:rPr>
              <w:t>1 (2,5%)</w:t>
            </w:r>
          </w:p>
        </w:tc>
      </w:tr>
      <w:tr w:rsidR="00A0176F" w:rsidTr="00077FA6">
        <w:tc>
          <w:tcPr>
            <w:tcW w:w="1778" w:type="pct"/>
            <w:vAlign w:val="center"/>
          </w:tcPr>
          <w:p w:rsidR="00A0176F" w:rsidRDefault="00A0176F" w:rsidP="00A0176F">
            <w:pPr>
              <w:numPr>
                <w:ilvl w:val="0"/>
                <w:numId w:val="13"/>
              </w:numPr>
              <w:spacing w:line="360" w:lineRule="auto"/>
              <w:rPr>
                <w:sz w:val="28"/>
                <w:szCs w:val="28"/>
                <w:lang w:val="uk-UA"/>
              </w:rPr>
            </w:pPr>
            <w:r>
              <w:rPr>
                <w:sz w:val="28"/>
                <w:szCs w:val="28"/>
                <w:lang w:val="uk-UA"/>
              </w:rPr>
              <w:t>Об’</w:t>
            </w:r>
            <w:r>
              <w:rPr>
                <w:sz w:val="28"/>
                <w:szCs w:val="28"/>
                <w:lang w:val="en-US"/>
              </w:rPr>
              <w:t>єктивні данні:</w:t>
            </w:r>
          </w:p>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живіт здутий</w:t>
            </w:r>
          </w:p>
        </w:tc>
        <w:tc>
          <w:tcPr>
            <w:tcW w:w="791" w:type="pct"/>
            <w:vAlign w:val="center"/>
          </w:tcPr>
          <w:p w:rsidR="00A0176F" w:rsidRDefault="00A0176F" w:rsidP="00A0176F">
            <w:pPr>
              <w:spacing w:line="360" w:lineRule="auto"/>
              <w:jc w:val="center"/>
              <w:rPr>
                <w:b/>
                <w:sz w:val="28"/>
                <w:szCs w:val="28"/>
                <w:lang w:val="uk-UA"/>
              </w:rPr>
            </w:pPr>
            <w:r>
              <w:rPr>
                <w:sz w:val="28"/>
                <w:szCs w:val="28"/>
                <w:lang w:val="uk-UA"/>
              </w:rPr>
              <w:t xml:space="preserve">                                     22 (33,8%)</w:t>
            </w:r>
          </w:p>
        </w:tc>
        <w:tc>
          <w:tcPr>
            <w:tcW w:w="816" w:type="pct"/>
          </w:tcPr>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c>
          <w:tcPr>
            <w:tcW w:w="818" w:type="pct"/>
            <w:vAlign w:val="center"/>
          </w:tcPr>
          <w:p w:rsidR="00A0176F" w:rsidRDefault="00A0176F" w:rsidP="00A0176F">
            <w:pPr>
              <w:spacing w:line="360" w:lineRule="auto"/>
              <w:jc w:val="center"/>
              <w:rPr>
                <w:sz w:val="28"/>
                <w:szCs w:val="28"/>
                <w:lang w:val="uk-UA"/>
              </w:rPr>
            </w:pPr>
          </w:p>
          <w:p w:rsidR="00A0176F" w:rsidRDefault="00A0176F" w:rsidP="00A0176F">
            <w:pPr>
              <w:spacing w:line="360" w:lineRule="auto"/>
              <w:jc w:val="center"/>
              <w:rPr>
                <w:sz w:val="28"/>
                <w:szCs w:val="28"/>
                <w:lang w:val="uk-UA"/>
              </w:rPr>
            </w:pPr>
            <w:r>
              <w:rPr>
                <w:sz w:val="28"/>
                <w:szCs w:val="28"/>
                <w:lang w:val="uk-UA"/>
              </w:rPr>
              <w:t>17 (42,5%)</w:t>
            </w:r>
          </w:p>
        </w:tc>
        <w:tc>
          <w:tcPr>
            <w:tcW w:w="797" w:type="pct"/>
            <w:vAlign w:val="center"/>
          </w:tcPr>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болісність при пальпації в правому підребер’ї</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62 (95,4%)</w:t>
            </w:r>
          </w:p>
        </w:tc>
        <w:tc>
          <w:tcPr>
            <w:tcW w:w="816" w:type="pct"/>
            <w:vAlign w:val="center"/>
          </w:tcPr>
          <w:p w:rsidR="00A0176F" w:rsidRDefault="00A0176F" w:rsidP="00A0176F">
            <w:pPr>
              <w:spacing w:line="360" w:lineRule="auto"/>
              <w:jc w:val="center"/>
              <w:rPr>
                <w:sz w:val="28"/>
                <w:szCs w:val="28"/>
                <w:lang w:val="uk-UA"/>
              </w:rPr>
            </w:pPr>
          </w:p>
          <w:p w:rsidR="00A0176F" w:rsidRDefault="00F026A2" w:rsidP="00A0176F">
            <w:pPr>
              <w:spacing w:line="360" w:lineRule="auto"/>
              <w:jc w:val="center"/>
              <w:rPr>
                <w:sz w:val="28"/>
                <w:szCs w:val="28"/>
                <w:lang w:val="uk-UA"/>
              </w:rPr>
            </w:pPr>
            <w:r>
              <w:rPr>
                <w:sz w:val="28"/>
                <w:szCs w:val="28"/>
                <w:lang w:val="uk-UA"/>
              </w:rPr>
              <w:t>–</w:t>
            </w:r>
          </w:p>
          <w:p w:rsidR="00A0176F" w:rsidRDefault="00A0176F" w:rsidP="00A0176F">
            <w:pPr>
              <w:spacing w:line="360" w:lineRule="auto"/>
              <w:jc w:val="center"/>
              <w:rPr>
                <w:sz w:val="28"/>
                <w:szCs w:val="28"/>
                <w:lang w:val="uk-UA"/>
              </w:rPr>
            </w:pPr>
          </w:p>
        </w:tc>
        <w:tc>
          <w:tcPr>
            <w:tcW w:w="818" w:type="pct"/>
            <w:vAlign w:val="center"/>
          </w:tcPr>
          <w:p w:rsidR="00A0176F" w:rsidRDefault="00A0176F" w:rsidP="00A0176F">
            <w:pPr>
              <w:spacing w:line="360" w:lineRule="auto"/>
              <w:jc w:val="center"/>
              <w:rPr>
                <w:sz w:val="28"/>
                <w:szCs w:val="28"/>
              </w:rPr>
            </w:pPr>
            <w:r>
              <w:rPr>
                <w:sz w:val="28"/>
                <w:szCs w:val="28"/>
                <w:lang w:val="uk-UA"/>
              </w:rPr>
              <w:t>35 (87,5%)</w:t>
            </w:r>
          </w:p>
        </w:tc>
        <w:tc>
          <w:tcPr>
            <w:tcW w:w="797" w:type="pct"/>
            <w:vAlign w:val="center"/>
          </w:tcPr>
          <w:p w:rsidR="00A0176F" w:rsidRDefault="00F026A2" w:rsidP="00A0176F">
            <w:pPr>
              <w:spacing w:line="360" w:lineRule="auto"/>
              <w:jc w:val="center"/>
              <w:rPr>
                <w:sz w:val="28"/>
                <w:szCs w:val="28"/>
              </w:rPr>
            </w:pPr>
            <w:r>
              <w:rPr>
                <w:sz w:val="28"/>
                <w:szCs w:val="28"/>
              </w:rPr>
              <w:t>–</w:t>
            </w:r>
          </w:p>
        </w:tc>
      </w:tr>
      <w:tr w:rsidR="00A0176F" w:rsidTr="00077FA6">
        <w:tc>
          <w:tcPr>
            <w:tcW w:w="1778" w:type="pct"/>
            <w:vAlign w:val="center"/>
          </w:tcPr>
          <w:p w:rsidR="00A0176F" w:rsidRDefault="00F026A2" w:rsidP="00A0176F">
            <w:pPr>
              <w:spacing w:line="360" w:lineRule="auto"/>
              <w:rPr>
                <w:sz w:val="28"/>
                <w:szCs w:val="28"/>
                <w:lang w:val="uk-UA"/>
              </w:rPr>
            </w:pPr>
            <w:r>
              <w:rPr>
                <w:sz w:val="28"/>
                <w:szCs w:val="28"/>
                <w:lang w:val="uk-UA"/>
              </w:rPr>
              <w:t>–</w:t>
            </w:r>
            <w:r w:rsidR="00A0176F">
              <w:rPr>
                <w:sz w:val="28"/>
                <w:szCs w:val="28"/>
                <w:lang w:val="uk-UA"/>
              </w:rPr>
              <w:t xml:space="preserve"> збільшення печінки</w:t>
            </w:r>
          </w:p>
        </w:tc>
        <w:tc>
          <w:tcPr>
            <w:tcW w:w="791" w:type="pct"/>
            <w:vAlign w:val="center"/>
          </w:tcPr>
          <w:p w:rsidR="00A0176F" w:rsidRDefault="00A0176F" w:rsidP="00A0176F">
            <w:pPr>
              <w:spacing w:line="360" w:lineRule="auto"/>
              <w:jc w:val="center"/>
              <w:rPr>
                <w:sz w:val="28"/>
                <w:szCs w:val="28"/>
                <w:lang w:val="uk-UA"/>
              </w:rPr>
            </w:pPr>
            <w:r>
              <w:rPr>
                <w:sz w:val="28"/>
                <w:szCs w:val="28"/>
                <w:lang w:val="uk-UA"/>
              </w:rPr>
              <w:t>55 (84,6%)</w:t>
            </w:r>
          </w:p>
        </w:tc>
        <w:tc>
          <w:tcPr>
            <w:tcW w:w="816" w:type="pct"/>
          </w:tcPr>
          <w:p w:rsidR="00A0176F" w:rsidRDefault="00A0176F" w:rsidP="00A0176F">
            <w:pPr>
              <w:spacing w:line="360" w:lineRule="auto"/>
              <w:jc w:val="center"/>
              <w:rPr>
                <w:sz w:val="28"/>
                <w:szCs w:val="28"/>
              </w:rPr>
            </w:pPr>
            <w:r>
              <w:rPr>
                <w:sz w:val="28"/>
                <w:szCs w:val="28"/>
              </w:rPr>
              <w:t>1 (1,5%)</w:t>
            </w:r>
          </w:p>
        </w:tc>
        <w:tc>
          <w:tcPr>
            <w:tcW w:w="818" w:type="pct"/>
            <w:vAlign w:val="center"/>
          </w:tcPr>
          <w:p w:rsidR="00A0176F" w:rsidRDefault="00A0176F" w:rsidP="00A0176F">
            <w:pPr>
              <w:spacing w:line="360" w:lineRule="auto"/>
              <w:jc w:val="center"/>
              <w:rPr>
                <w:sz w:val="28"/>
                <w:szCs w:val="28"/>
              </w:rPr>
            </w:pPr>
            <w:r>
              <w:rPr>
                <w:sz w:val="28"/>
                <w:szCs w:val="28"/>
              </w:rPr>
              <w:t>39 (97.5%)</w:t>
            </w:r>
          </w:p>
        </w:tc>
        <w:tc>
          <w:tcPr>
            <w:tcW w:w="797" w:type="pct"/>
            <w:vAlign w:val="center"/>
          </w:tcPr>
          <w:p w:rsidR="00A0176F" w:rsidRDefault="00A0176F" w:rsidP="00A0176F">
            <w:pPr>
              <w:spacing w:line="360" w:lineRule="auto"/>
              <w:jc w:val="center"/>
              <w:rPr>
                <w:sz w:val="28"/>
                <w:szCs w:val="28"/>
              </w:rPr>
            </w:pPr>
            <w:r>
              <w:rPr>
                <w:sz w:val="28"/>
                <w:szCs w:val="28"/>
              </w:rPr>
              <w:t>2 (5%)</w:t>
            </w:r>
          </w:p>
        </w:tc>
      </w:tr>
    </w:tbl>
    <w:p w:rsidR="00A0176F" w:rsidRDefault="00A0176F" w:rsidP="00A0176F">
      <w:pPr>
        <w:spacing w:line="360" w:lineRule="auto"/>
        <w:ind w:firstLine="709"/>
        <w:jc w:val="both"/>
        <w:rPr>
          <w:sz w:val="28"/>
          <w:szCs w:val="28"/>
          <w:lang w:val="uk-UA"/>
        </w:rPr>
      </w:pPr>
    </w:p>
    <w:p w:rsidR="00A0176F" w:rsidRDefault="00A0176F" w:rsidP="00A0176F">
      <w:pPr>
        <w:spacing w:line="360" w:lineRule="auto"/>
        <w:ind w:firstLine="709"/>
        <w:jc w:val="both"/>
        <w:rPr>
          <w:sz w:val="28"/>
          <w:szCs w:val="28"/>
          <w:lang w:val="uk-UA"/>
        </w:rPr>
      </w:pPr>
      <w:r>
        <w:rPr>
          <w:sz w:val="28"/>
          <w:szCs w:val="28"/>
          <w:lang w:val="uk-UA"/>
        </w:rPr>
        <w:t>Як видно з табл. 3.5.1, практично у всіх хворих відбулася нормалізація самопочуття: постійний біль не турбував жодного пацієнта, періодичний ниючий біль ту</w:t>
      </w:r>
      <w:r w:rsidR="00077FA6">
        <w:rPr>
          <w:sz w:val="28"/>
          <w:szCs w:val="28"/>
          <w:lang w:val="uk-UA"/>
        </w:rPr>
        <w:t>р</w:t>
      </w:r>
      <w:r>
        <w:rPr>
          <w:sz w:val="28"/>
          <w:szCs w:val="28"/>
          <w:lang w:val="uk-UA"/>
        </w:rPr>
        <w:t>бував 2 (3</w:t>
      </w:r>
      <w:r w:rsidR="00077FA6">
        <w:rPr>
          <w:sz w:val="28"/>
          <w:szCs w:val="28"/>
          <w:lang w:val="uk-UA"/>
        </w:rPr>
        <w:t xml:space="preserve"> </w:t>
      </w:r>
      <w:r>
        <w:rPr>
          <w:sz w:val="28"/>
          <w:szCs w:val="28"/>
          <w:lang w:val="uk-UA"/>
        </w:rPr>
        <w:t xml:space="preserve">%) хворих  </w:t>
      </w:r>
      <w:r w:rsidR="00077FA6">
        <w:rPr>
          <w:sz w:val="28"/>
          <w:szCs w:val="28"/>
          <w:lang w:val="uk-UA"/>
        </w:rPr>
        <w:t>1</w:t>
      </w:r>
      <w:r>
        <w:rPr>
          <w:sz w:val="28"/>
          <w:szCs w:val="28"/>
          <w:lang w:val="uk-UA"/>
        </w:rPr>
        <w:t xml:space="preserve"> групи і 1 (2,5</w:t>
      </w:r>
      <w:r w:rsidR="00077FA6">
        <w:rPr>
          <w:sz w:val="28"/>
          <w:szCs w:val="28"/>
          <w:lang w:val="uk-UA"/>
        </w:rPr>
        <w:t xml:space="preserve"> </w:t>
      </w:r>
      <w:r>
        <w:rPr>
          <w:sz w:val="28"/>
          <w:szCs w:val="28"/>
          <w:lang w:val="uk-UA"/>
        </w:rPr>
        <w:t xml:space="preserve">%) пацієнта </w:t>
      </w:r>
      <w:r w:rsidR="00077FA6">
        <w:rPr>
          <w:sz w:val="28"/>
          <w:szCs w:val="28"/>
          <w:lang w:val="uk-UA"/>
        </w:rPr>
        <w:t>2</w:t>
      </w:r>
      <w:r>
        <w:rPr>
          <w:sz w:val="28"/>
          <w:szCs w:val="28"/>
          <w:lang w:val="uk-UA"/>
        </w:rPr>
        <w:t xml:space="preserve"> групи. Усі випадки появи болю були пов’язані з порушенням дієти. У всіх хворих обох клінічних груп значно зменшились прояви </w:t>
      </w:r>
      <w:r w:rsidR="00077FA6">
        <w:rPr>
          <w:sz w:val="28"/>
          <w:szCs w:val="28"/>
          <w:lang w:val="uk-UA"/>
        </w:rPr>
        <w:t>диспепсичного синдрому: повніст</w:t>
      </w:r>
      <w:r>
        <w:rPr>
          <w:sz w:val="28"/>
          <w:szCs w:val="28"/>
          <w:lang w:val="uk-UA"/>
        </w:rPr>
        <w:t>ю зникла нудота, відрижка повітрям, метеоризм, нормалізувався апетит. У 3 (4,6</w:t>
      </w:r>
      <w:r w:rsidR="00077FA6">
        <w:rPr>
          <w:sz w:val="28"/>
          <w:szCs w:val="28"/>
          <w:lang w:val="uk-UA"/>
        </w:rPr>
        <w:t xml:space="preserve"> </w:t>
      </w:r>
      <w:r>
        <w:rPr>
          <w:sz w:val="28"/>
          <w:szCs w:val="28"/>
          <w:lang w:val="uk-UA"/>
        </w:rPr>
        <w:t xml:space="preserve">%) хворих </w:t>
      </w:r>
      <w:r w:rsidR="00077FA6">
        <w:rPr>
          <w:sz w:val="28"/>
          <w:szCs w:val="28"/>
          <w:lang w:val="uk-UA"/>
        </w:rPr>
        <w:t>1</w:t>
      </w:r>
      <w:r>
        <w:rPr>
          <w:sz w:val="28"/>
          <w:szCs w:val="28"/>
          <w:lang w:val="uk-UA"/>
        </w:rPr>
        <w:t xml:space="preserve"> групи і у 2 (2,5</w:t>
      </w:r>
      <w:r w:rsidR="00077FA6">
        <w:rPr>
          <w:sz w:val="28"/>
          <w:szCs w:val="28"/>
          <w:lang w:val="uk-UA"/>
        </w:rPr>
        <w:t xml:space="preserve"> </w:t>
      </w:r>
      <w:r>
        <w:rPr>
          <w:sz w:val="28"/>
          <w:szCs w:val="28"/>
          <w:lang w:val="uk-UA"/>
        </w:rPr>
        <w:t xml:space="preserve">%) пацієнтів </w:t>
      </w:r>
      <w:r w:rsidR="00077FA6">
        <w:rPr>
          <w:sz w:val="28"/>
          <w:szCs w:val="28"/>
          <w:lang w:val="uk-UA"/>
        </w:rPr>
        <w:t>2</w:t>
      </w:r>
      <w:r>
        <w:rPr>
          <w:sz w:val="28"/>
          <w:szCs w:val="28"/>
          <w:lang w:val="uk-UA"/>
        </w:rPr>
        <w:t xml:space="preserve"> відмічався періодичний дискомфорт та важкість в правому підребер’ї, які також були пов’язані з порушенням дієти та фізичним навантаженням. При об’єктивному огляді</w:t>
      </w:r>
      <w:r w:rsidR="00077FA6">
        <w:rPr>
          <w:sz w:val="28"/>
          <w:szCs w:val="28"/>
          <w:lang w:val="uk-UA"/>
        </w:rPr>
        <w:t xml:space="preserve"> здуття живота та болісності в</w:t>
      </w:r>
      <w:r>
        <w:rPr>
          <w:sz w:val="28"/>
          <w:szCs w:val="28"/>
          <w:lang w:val="uk-UA"/>
        </w:rPr>
        <w:t xml:space="preserve"> правому підребер’ї відмічено не було в жодного пацієнта в обох групах. Однак, деяке збільшення печінки зберігалося у 1 (1,5</w:t>
      </w:r>
      <w:r w:rsidR="00077FA6">
        <w:rPr>
          <w:sz w:val="28"/>
          <w:szCs w:val="28"/>
          <w:lang w:val="uk-UA"/>
        </w:rPr>
        <w:t xml:space="preserve"> %) хворого в 1, та у 2 (5</w:t>
      </w:r>
      <w:r w:rsidR="00C73F95">
        <w:rPr>
          <w:sz w:val="28"/>
          <w:szCs w:val="28"/>
          <w:lang w:val="uk-UA"/>
        </w:rPr>
        <w:t xml:space="preserve"> </w:t>
      </w:r>
      <w:r w:rsidR="00077FA6">
        <w:rPr>
          <w:sz w:val="28"/>
          <w:szCs w:val="28"/>
          <w:lang w:val="uk-UA"/>
        </w:rPr>
        <w:t>%) – в 2</w:t>
      </w:r>
      <w:r>
        <w:rPr>
          <w:sz w:val="28"/>
          <w:szCs w:val="28"/>
          <w:lang w:val="uk-UA"/>
        </w:rPr>
        <w:t xml:space="preserve"> групі. У всіх трьох хворих на початку лікування було зафіксовано  збільшення печінки до </w:t>
      </w:r>
      <w:smartTag w:uri="urn:schemas-microsoft-com:office:smarttags" w:element="metricconverter">
        <w:smartTagPr>
          <w:attr w:name="ProductID" w:val="3 см"/>
        </w:smartTagPr>
        <w:r>
          <w:rPr>
            <w:sz w:val="28"/>
            <w:szCs w:val="28"/>
            <w:lang w:val="uk-UA"/>
          </w:rPr>
          <w:t>3 см</w:t>
        </w:r>
      </w:smartTag>
      <w:r w:rsidR="00077FA6">
        <w:rPr>
          <w:sz w:val="28"/>
          <w:szCs w:val="28"/>
          <w:lang w:val="uk-UA"/>
        </w:rPr>
        <w:t>, з наявніст</w:t>
      </w:r>
      <w:r>
        <w:rPr>
          <w:sz w:val="28"/>
          <w:szCs w:val="28"/>
          <w:lang w:val="uk-UA"/>
        </w:rPr>
        <w:t xml:space="preserve">ю дифузного стеатозу 3 ступеню. </w:t>
      </w:r>
    </w:p>
    <w:p w:rsidR="00A0176F" w:rsidRDefault="00A0176F" w:rsidP="00A0176F">
      <w:pPr>
        <w:spacing w:line="360" w:lineRule="auto"/>
        <w:ind w:firstLine="709"/>
        <w:jc w:val="both"/>
        <w:rPr>
          <w:sz w:val="28"/>
          <w:szCs w:val="28"/>
          <w:lang w:val="uk-UA"/>
        </w:rPr>
      </w:pPr>
      <w:r>
        <w:rPr>
          <w:sz w:val="28"/>
          <w:szCs w:val="28"/>
          <w:lang w:val="uk-UA"/>
        </w:rPr>
        <w:t>У процесі лікування під впливом комплексної терапії відзначена нормалізація рівня L</w:t>
      </w:r>
      <w:r w:rsidR="00F026A2">
        <w:rPr>
          <w:sz w:val="28"/>
          <w:szCs w:val="28"/>
          <w:lang w:val="uk-UA"/>
        </w:rPr>
        <w:t>–</w:t>
      </w:r>
      <w:r>
        <w:rPr>
          <w:sz w:val="28"/>
          <w:szCs w:val="28"/>
          <w:lang w:val="uk-UA"/>
        </w:rPr>
        <w:t>карнітину у хворих обох груп. Данні про вміст L</w:t>
      </w:r>
      <w:r w:rsidR="00F026A2">
        <w:rPr>
          <w:sz w:val="28"/>
          <w:szCs w:val="28"/>
          <w:lang w:val="uk-UA"/>
        </w:rPr>
        <w:t>–</w:t>
      </w:r>
      <w:r>
        <w:rPr>
          <w:sz w:val="28"/>
          <w:szCs w:val="28"/>
          <w:lang w:val="uk-UA"/>
        </w:rPr>
        <w:t xml:space="preserve">карнітину в сироватці крові у хворих </w:t>
      </w:r>
      <w:r w:rsidR="00077FA6">
        <w:rPr>
          <w:sz w:val="28"/>
          <w:szCs w:val="28"/>
          <w:lang w:val="uk-UA"/>
        </w:rPr>
        <w:t>1</w:t>
      </w:r>
      <w:r>
        <w:rPr>
          <w:sz w:val="28"/>
          <w:szCs w:val="28"/>
          <w:lang w:val="uk-UA"/>
        </w:rPr>
        <w:t xml:space="preserve"> та </w:t>
      </w:r>
      <w:r w:rsidR="00077FA6">
        <w:rPr>
          <w:sz w:val="28"/>
          <w:szCs w:val="28"/>
          <w:lang w:val="uk-UA"/>
        </w:rPr>
        <w:t>2</w:t>
      </w:r>
      <w:r>
        <w:rPr>
          <w:sz w:val="28"/>
          <w:szCs w:val="28"/>
          <w:lang w:val="uk-UA"/>
        </w:rPr>
        <w:t xml:space="preserve"> груп в динаміці лікування представлена на рис. 3.5.1. </w:t>
      </w:r>
    </w:p>
    <w:p w:rsidR="00A0176F" w:rsidRDefault="00ED7296" w:rsidP="00A0176F">
      <w:pPr>
        <w:spacing w:line="360" w:lineRule="auto"/>
        <w:ind w:firstLine="709"/>
        <w:jc w:val="both"/>
        <w:rPr>
          <w:sz w:val="28"/>
          <w:szCs w:val="28"/>
          <w:lang w:val="uk-UA"/>
        </w:rPr>
      </w:pPr>
      <w:r>
        <w:rPr>
          <w:noProof/>
        </w:rPr>
        <w:lastRenderedPageBreak/>
        <w:pict>
          <v:shape id="Рисунок 6" o:spid="_x0000_i1031" type="#_x0000_t75" style="width:354.5pt;height:220pt;visibility:visible">
            <v:imagedata r:id="rId15" o:title=""/>
          </v:shape>
        </w:pict>
      </w:r>
    </w:p>
    <w:p w:rsidR="00A0176F" w:rsidRDefault="00A0176F" w:rsidP="00A0176F">
      <w:pPr>
        <w:spacing w:line="360" w:lineRule="auto"/>
        <w:ind w:firstLine="709"/>
        <w:jc w:val="both"/>
        <w:rPr>
          <w:sz w:val="28"/>
          <w:szCs w:val="28"/>
          <w:lang w:val="uk-UA"/>
        </w:rPr>
      </w:pPr>
      <w:r>
        <w:rPr>
          <w:sz w:val="28"/>
          <w:szCs w:val="28"/>
          <w:lang w:val="uk-UA"/>
        </w:rPr>
        <w:t xml:space="preserve">Рис. 3.5.1. Рівень </w:t>
      </w:r>
      <w:r>
        <w:rPr>
          <w:sz w:val="28"/>
          <w:szCs w:val="28"/>
          <w:lang w:val="en-US"/>
        </w:rPr>
        <w:t>L</w:t>
      </w:r>
      <w:r w:rsidR="00F026A2">
        <w:rPr>
          <w:sz w:val="28"/>
          <w:szCs w:val="28"/>
          <w:lang w:val="uk-UA"/>
        </w:rPr>
        <w:t>–</w:t>
      </w:r>
      <w:r>
        <w:rPr>
          <w:sz w:val="28"/>
          <w:szCs w:val="28"/>
          <w:lang w:val="uk-UA"/>
        </w:rPr>
        <w:t>карнітину в сироватці крові хворих двох груп до та після лікування (мкмоль/л)</w:t>
      </w:r>
    </w:p>
    <w:p w:rsidR="00A0176F" w:rsidRDefault="00A0176F" w:rsidP="00077FA6">
      <w:pPr>
        <w:spacing w:line="360" w:lineRule="auto"/>
        <w:ind w:firstLine="709"/>
        <w:jc w:val="both"/>
        <w:rPr>
          <w:sz w:val="28"/>
          <w:szCs w:val="28"/>
          <w:lang w:val="uk-UA"/>
        </w:rPr>
      </w:pPr>
      <w:r>
        <w:rPr>
          <w:sz w:val="28"/>
          <w:szCs w:val="28"/>
          <w:lang w:val="uk-UA"/>
        </w:rPr>
        <w:t>В процесі лікува</w:t>
      </w:r>
      <w:r w:rsidR="00077FA6">
        <w:rPr>
          <w:sz w:val="28"/>
          <w:szCs w:val="28"/>
          <w:lang w:val="uk-UA"/>
        </w:rPr>
        <w:t>н</w:t>
      </w:r>
      <w:r>
        <w:rPr>
          <w:sz w:val="28"/>
          <w:szCs w:val="28"/>
          <w:lang w:val="uk-UA"/>
        </w:rPr>
        <w:t xml:space="preserve">ня підвищення рівня </w:t>
      </w:r>
      <w:r>
        <w:rPr>
          <w:sz w:val="28"/>
          <w:szCs w:val="28"/>
          <w:lang w:val="en-US"/>
        </w:rPr>
        <w:t>L</w:t>
      </w:r>
      <w:r w:rsidR="00F026A2">
        <w:rPr>
          <w:sz w:val="28"/>
          <w:szCs w:val="28"/>
          <w:lang w:val="uk-UA"/>
        </w:rPr>
        <w:t>–</w:t>
      </w:r>
      <w:r>
        <w:rPr>
          <w:sz w:val="28"/>
          <w:szCs w:val="28"/>
          <w:lang w:val="uk-UA"/>
        </w:rPr>
        <w:t xml:space="preserve">карнітину сироватки крові в </w:t>
      </w:r>
      <w:r w:rsidR="00F026A2">
        <w:rPr>
          <w:sz w:val="28"/>
          <w:szCs w:val="28"/>
          <w:lang w:val="uk-UA"/>
        </w:rPr>
        <w:t>1</w:t>
      </w:r>
      <w:r>
        <w:rPr>
          <w:sz w:val="28"/>
          <w:szCs w:val="28"/>
          <w:lang w:val="uk-UA"/>
        </w:rPr>
        <w:t xml:space="preserve"> групі хворих було достовірним (</w:t>
      </w:r>
      <w:r>
        <w:rPr>
          <w:sz w:val="28"/>
          <w:szCs w:val="28"/>
        </w:rPr>
        <w:t>p</w:t>
      </w:r>
      <w:r w:rsidR="00077FA6">
        <w:rPr>
          <w:sz w:val="28"/>
          <w:szCs w:val="28"/>
          <w:lang w:val="uk-UA"/>
        </w:rPr>
        <w:t xml:space="preserve"> </w:t>
      </w:r>
      <w:r>
        <w:rPr>
          <w:sz w:val="28"/>
          <w:szCs w:val="28"/>
          <w:lang w:val="uk-UA"/>
        </w:rPr>
        <w:t>&lt;</w:t>
      </w:r>
      <w:r w:rsidR="00077FA6">
        <w:rPr>
          <w:sz w:val="28"/>
          <w:szCs w:val="28"/>
          <w:lang w:val="uk-UA"/>
        </w:rPr>
        <w:t xml:space="preserve"> </w:t>
      </w:r>
      <w:r>
        <w:rPr>
          <w:sz w:val="28"/>
          <w:szCs w:val="28"/>
          <w:lang w:val="uk-UA"/>
        </w:rPr>
        <w:t>0,001) порівняно з рез</w:t>
      </w:r>
      <w:r w:rsidR="00077FA6">
        <w:rPr>
          <w:sz w:val="28"/>
          <w:szCs w:val="28"/>
          <w:lang w:val="uk-UA"/>
        </w:rPr>
        <w:t>у</w:t>
      </w:r>
      <w:r>
        <w:rPr>
          <w:sz w:val="28"/>
          <w:szCs w:val="28"/>
          <w:lang w:val="uk-UA"/>
        </w:rPr>
        <w:t>льтатами до лікування і даними к</w:t>
      </w:r>
      <w:r w:rsidR="00077FA6">
        <w:rPr>
          <w:sz w:val="28"/>
          <w:szCs w:val="28"/>
          <w:lang w:val="uk-UA"/>
        </w:rPr>
        <w:t>онтрольної групи (табл. 3.5.2.).</w:t>
      </w:r>
    </w:p>
    <w:p w:rsidR="00A0176F" w:rsidRDefault="00A0176F" w:rsidP="00A0176F">
      <w:pPr>
        <w:spacing w:line="360" w:lineRule="auto"/>
        <w:ind w:firstLine="709"/>
        <w:jc w:val="right"/>
        <w:rPr>
          <w:sz w:val="28"/>
          <w:szCs w:val="28"/>
          <w:lang w:val="uk-UA"/>
        </w:rPr>
      </w:pPr>
      <w:r>
        <w:rPr>
          <w:sz w:val="28"/>
          <w:szCs w:val="28"/>
          <w:lang w:val="uk-UA"/>
        </w:rPr>
        <w:t>Таблиця 3.5.2</w:t>
      </w:r>
    </w:p>
    <w:p w:rsidR="00A0176F" w:rsidRDefault="00A0176F" w:rsidP="00C73F95">
      <w:pPr>
        <w:spacing w:line="360" w:lineRule="auto"/>
        <w:ind w:firstLine="709"/>
        <w:jc w:val="center"/>
        <w:rPr>
          <w:sz w:val="28"/>
          <w:szCs w:val="28"/>
          <w:lang w:val="uk-UA"/>
        </w:rPr>
      </w:pPr>
      <w:r>
        <w:rPr>
          <w:sz w:val="28"/>
          <w:szCs w:val="28"/>
          <w:lang w:val="uk-UA"/>
        </w:rPr>
        <w:t xml:space="preserve">Вміст </w:t>
      </w:r>
      <w:r>
        <w:rPr>
          <w:sz w:val="28"/>
          <w:szCs w:val="28"/>
          <w:lang w:val="en-US"/>
        </w:rPr>
        <w:t>L</w:t>
      </w:r>
      <w:r w:rsidR="00F026A2">
        <w:rPr>
          <w:sz w:val="28"/>
          <w:szCs w:val="28"/>
          <w:lang w:val="uk-UA"/>
        </w:rPr>
        <w:t>–</w:t>
      </w:r>
      <w:r>
        <w:rPr>
          <w:sz w:val="28"/>
          <w:szCs w:val="28"/>
          <w:lang w:val="uk-UA"/>
        </w:rPr>
        <w:t xml:space="preserve">карнітину в сироватці крові у хворих </w:t>
      </w:r>
      <w:r w:rsidR="00C73F95">
        <w:rPr>
          <w:sz w:val="28"/>
          <w:szCs w:val="28"/>
          <w:lang w:val="uk-UA"/>
        </w:rPr>
        <w:t xml:space="preserve">1 та 2 груп </w:t>
      </w:r>
      <w:r>
        <w:rPr>
          <w:sz w:val="28"/>
          <w:szCs w:val="28"/>
          <w:lang w:val="uk-UA"/>
        </w:rPr>
        <w:t>до та після лікування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A0176F" w:rsidTr="00A0176F">
        <w:tc>
          <w:tcPr>
            <w:tcW w:w="3383" w:type="dxa"/>
            <w:vMerge w:val="restart"/>
            <w:vAlign w:val="center"/>
          </w:tcPr>
          <w:p w:rsidR="00A0176F" w:rsidRDefault="00A0176F" w:rsidP="00A0176F">
            <w:pPr>
              <w:spacing w:line="360" w:lineRule="auto"/>
              <w:jc w:val="center"/>
              <w:rPr>
                <w:sz w:val="28"/>
                <w:szCs w:val="28"/>
                <w:lang w:val="uk-UA"/>
              </w:rPr>
            </w:pPr>
            <w:r>
              <w:rPr>
                <w:sz w:val="28"/>
                <w:szCs w:val="28"/>
                <w:lang w:val="uk-UA"/>
              </w:rPr>
              <w:t>Групи</w:t>
            </w:r>
          </w:p>
        </w:tc>
        <w:tc>
          <w:tcPr>
            <w:tcW w:w="6188" w:type="dxa"/>
            <w:gridSpan w:val="2"/>
            <w:vAlign w:val="center"/>
          </w:tcPr>
          <w:p w:rsidR="00A0176F" w:rsidRDefault="00A0176F" w:rsidP="00A0176F">
            <w:pPr>
              <w:spacing w:line="360" w:lineRule="auto"/>
              <w:jc w:val="center"/>
              <w:rPr>
                <w:sz w:val="28"/>
                <w:szCs w:val="28"/>
                <w:lang w:val="uk-UA"/>
              </w:rPr>
            </w:pPr>
            <w:r>
              <w:rPr>
                <w:sz w:val="28"/>
                <w:szCs w:val="28"/>
                <w:lang w:val="en-US"/>
              </w:rPr>
              <w:t>L</w:t>
            </w:r>
            <w:r w:rsidR="00F026A2">
              <w:rPr>
                <w:sz w:val="28"/>
                <w:szCs w:val="28"/>
                <w:lang w:val="uk-UA"/>
              </w:rPr>
              <w:t>–</w:t>
            </w:r>
            <w:r>
              <w:rPr>
                <w:sz w:val="28"/>
                <w:szCs w:val="28"/>
                <w:lang w:val="uk-UA"/>
              </w:rPr>
              <w:t>карнітин – мкмоль/л</w:t>
            </w:r>
          </w:p>
          <w:p w:rsidR="00A0176F" w:rsidRDefault="00A0176F" w:rsidP="00A0176F">
            <w:pPr>
              <w:spacing w:line="360" w:lineRule="auto"/>
              <w:jc w:val="center"/>
              <w:rPr>
                <w:sz w:val="28"/>
                <w:szCs w:val="28"/>
              </w:rPr>
            </w:pPr>
            <w:r>
              <w:rPr>
                <w:sz w:val="28"/>
                <w:szCs w:val="28"/>
                <w:lang w:val="uk-UA"/>
              </w:rPr>
              <w:t>(</w:t>
            </w:r>
            <w:r>
              <w:rPr>
                <w:sz w:val="28"/>
                <w:szCs w:val="28"/>
              </w:rPr>
              <w:t>Ме (25%;75%)</w:t>
            </w:r>
            <w:r>
              <w:rPr>
                <w:sz w:val="28"/>
                <w:szCs w:val="28"/>
                <w:lang w:val="uk-UA"/>
              </w:rPr>
              <w:t>)</w:t>
            </w:r>
          </w:p>
        </w:tc>
      </w:tr>
      <w:tr w:rsidR="00A0176F" w:rsidTr="00A0176F">
        <w:tc>
          <w:tcPr>
            <w:tcW w:w="0" w:type="auto"/>
            <w:vMerge/>
            <w:vAlign w:val="center"/>
          </w:tcPr>
          <w:p w:rsidR="00A0176F" w:rsidRDefault="00A0176F" w:rsidP="00A0176F">
            <w:pPr>
              <w:rPr>
                <w:sz w:val="28"/>
                <w:szCs w:val="28"/>
                <w:lang w:val="uk-UA"/>
              </w:rPr>
            </w:pPr>
          </w:p>
        </w:tc>
        <w:tc>
          <w:tcPr>
            <w:tcW w:w="3429" w:type="dxa"/>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2759" w:type="dxa"/>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C73F95" w:rsidTr="00A0176F">
        <w:tc>
          <w:tcPr>
            <w:tcW w:w="3383" w:type="dxa"/>
            <w:vAlign w:val="center"/>
          </w:tcPr>
          <w:p w:rsidR="00C73F95" w:rsidRDefault="00C73F95" w:rsidP="00A0176F">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429" w:type="dxa"/>
            <w:vAlign w:val="center"/>
          </w:tcPr>
          <w:p w:rsidR="00C73F95" w:rsidRDefault="00C73F95" w:rsidP="007E691D">
            <w:pPr>
              <w:spacing w:line="360" w:lineRule="auto"/>
              <w:jc w:val="center"/>
              <w:rPr>
                <w:sz w:val="28"/>
                <w:szCs w:val="28"/>
                <w:lang w:val="en-US"/>
              </w:rPr>
            </w:pPr>
            <w:r>
              <w:rPr>
                <w:sz w:val="28"/>
                <w:szCs w:val="28"/>
                <w:lang w:val="en-US"/>
              </w:rPr>
              <w:t>12,8</w:t>
            </w:r>
            <w:r>
              <w:rPr>
                <w:sz w:val="28"/>
                <w:szCs w:val="28"/>
                <w:lang w:val="uk-UA"/>
              </w:rPr>
              <w:t xml:space="preserve"> </w:t>
            </w:r>
            <w:r>
              <w:rPr>
                <w:sz w:val="28"/>
                <w:szCs w:val="28"/>
                <w:lang w:val="en-US"/>
              </w:rPr>
              <w:t>(12,0;</w:t>
            </w:r>
            <w:r>
              <w:rPr>
                <w:sz w:val="28"/>
                <w:szCs w:val="28"/>
                <w:lang w:val="uk-UA"/>
              </w:rPr>
              <w:t xml:space="preserve"> </w:t>
            </w:r>
            <w:r>
              <w:rPr>
                <w:sz w:val="28"/>
                <w:szCs w:val="28"/>
                <w:lang w:val="en-US"/>
              </w:rPr>
              <w:t>14,1)</w:t>
            </w:r>
          </w:p>
        </w:tc>
        <w:tc>
          <w:tcPr>
            <w:tcW w:w="2759" w:type="dxa"/>
          </w:tcPr>
          <w:p w:rsidR="00C73F95" w:rsidRDefault="00C73F95" w:rsidP="007E691D">
            <w:pPr>
              <w:spacing w:line="360" w:lineRule="auto"/>
              <w:jc w:val="center"/>
              <w:rPr>
                <w:sz w:val="28"/>
                <w:szCs w:val="28"/>
                <w:lang w:val="en-US"/>
              </w:rPr>
            </w:pPr>
            <w:r>
              <w:rPr>
                <w:sz w:val="28"/>
                <w:szCs w:val="28"/>
                <w:lang w:val="en-US"/>
              </w:rPr>
              <w:t>30,6(28,4;</w:t>
            </w:r>
            <w:r>
              <w:rPr>
                <w:sz w:val="28"/>
                <w:szCs w:val="28"/>
                <w:lang w:val="uk-UA"/>
              </w:rPr>
              <w:t xml:space="preserve"> </w:t>
            </w:r>
            <w:r>
              <w:rPr>
                <w:sz w:val="28"/>
                <w:szCs w:val="28"/>
                <w:lang w:val="en-US"/>
              </w:rPr>
              <w:t>34,5) *#</w:t>
            </w:r>
          </w:p>
        </w:tc>
      </w:tr>
      <w:tr w:rsidR="00C73F95" w:rsidTr="00A0176F">
        <w:tc>
          <w:tcPr>
            <w:tcW w:w="3383" w:type="dxa"/>
            <w:vAlign w:val="center"/>
          </w:tcPr>
          <w:p w:rsidR="00C73F95" w:rsidRDefault="00C73F95" w:rsidP="00A0176F">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C73F95" w:rsidRDefault="00C73F95" w:rsidP="007E691D">
            <w:pPr>
              <w:spacing w:line="360" w:lineRule="auto"/>
              <w:jc w:val="center"/>
              <w:rPr>
                <w:sz w:val="28"/>
                <w:szCs w:val="28"/>
                <w:lang w:val="uk-UA"/>
              </w:rPr>
            </w:pPr>
            <w:r>
              <w:rPr>
                <w:sz w:val="28"/>
                <w:szCs w:val="28"/>
                <w:lang w:val="en-US"/>
              </w:rPr>
              <w:t>14,5</w:t>
            </w:r>
            <w:r>
              <w:rPr>
                <w:sz w:val="28"/>
                <w:szCs w:val="28"/>
                <w:lang w:val="uk-UA"/>
              </w:rPr>
              <w:t xml:space="preserve"> </w:t>
            </w:r>
            <w:r>
              <w:rPr>
                <w:sz w:val="28"/>
                <w:szCs w:val="28"/>
                <w:lang w:val="en-US"/>
              </w:rPr>
              <w:t>(13,1;</w:t>
            </w:r>
            <w:r>
              <w:rPr>
                <w:sz w:val="28"/>
                <w:szCs w:val="28"/>
                <w:lang w:val="uk-UA"/>
              </w:rPr>
              <w:t xml:space="preserve"> </w:t>
            </w:r>
            <w:r>
              <w:rPr>
                <w:sz w:val="28"/>
                <w:szCs w:val="28"/>
                <w:lang w:val="en-US"/>
              </w:rPr>
              <w:t>15,7)</w:t>
            </w:r>
          </w:p>
        </w:tc>
        <w:tc>
          <w:tcPr>
            <w:tcW w:w="2759" w:type="dxa"/>
          </w:tcPr>
          <w:p w:rsidR="00C73F95" w:rsidRDefault="00C73F95" w:rsidP="007E691D">
            <w:pPr>
              <w:spacing w:line="360" w:lineRule="auto"/>
              <w:jc w:val="center"/>
              <w:rPr>
                <w:sz w:val="28"/>
                <w:szCs w:val="28"/>
                <w:lang w:val="en-US"/>
              </w:rPr>
            </w:pPr>
            <w:r>
              <w:rPr>
                <w:sz w:val="28"/>
                <w:szCs w:val="28"/>
                <w:lang w:val="en-US"/>
              </w:rPr>
              <w:t>31,1(28,8;</w:t>
            </w:r>
            <w:r>
              <w:rPr>
                <w:sz w:val="28"/>
                <w:szCs w:val="28"/>
                <w:lang w:val="uk-UA"/>
              </w:rPr>
              <w:t xml:space="preserve"> </w:t>
            </w:r>
            <w:r>
              <w:rPr>
                <w:sz w:val="28"/>
                <w:szCs w:val="28"/>
                <w:lang w:val="en-US"/>
              </w:rPr>
              <w:t>34,1) *#</w:t>
            </w:r>
          </w:p>
        </w:tc>
      </w:tr>
      <w:tr w:rsidR="00C73F95" w:rsidTr="00A0176F">
        <w:tc>
          <w:tcPr>
            <w:tcW w:w="3383" w:type="dxa"/>
            <w:vAlign w:val="center"/>
          </w:tcPr>
          <w:p w:rsidR="00C73F95" w:rsidRDefault="00C73F95" w:rsidP="00A0176F">
            <w:pPr>
              <w:spacing w:line="360" w:lineRule="auto"/>
              <w:jc w:val="center"/>
              <w:rPr>
                <w:sz w:val="28"/>
                <w:szCs w:val="28"/>
                <w:lang w:val="uk-UA"/>
              </w:rPr>
            </w:pPr>
            <w:r>
              <w:rPr>
                <w:sz w:val="28"/>
                <w:szCs w:val="28"/>
                <w:lang w:val="uk-UA"/>
              </w:rPr>
              <w:t>Контрольна група</w:t>
            </w:r>
          </w:p>
        </w:tc>
        <w:tc>
          <w:tcPr>
            <w:tcW w:w="6188" w:type="dxa"/>
            <w:gridSpan w:val="2"/>
            <w:vAlign w:val="center"/>
          </w:tcPr>
          <w:p w:rsidR="00C73F95" w:rsidRDefault="00C73F95" w:rsidP="00A0176F">
            <w:pPr>
              <w:spacing w:line="360" w:lineRule="auto"/>
              <w:jc w:val="center"/>
              <w:rPr>
                <w:sz w:val="28"/>
                <w:szCs w:val="28"/>
              </w:rPr>
            </w:pPr>
            <w:r>
              <w:rPr>
                <w:sz w:val="28"/>
                <w:szCs w:val="28"/>
              </w:rPr>
              <w:t>31,1</w:t>
            </w:r>
            <w:r>
              <w:rPr>
                <w:sz w:val="28"/>
                <w:szCs w:val="28"/>
                <w:lang w:val="uk-UA"/>
              </w:rPr>
              <w:t xml:space="preserve"> </w:t>
            </w:r>
            <w:r>
              <w:rPr>
                <w:sz w:val="28"/>
                <w:szCs w:val="28"/>
              </w:rPr>
              <w:t>(2</w:t>
            </w:r>
            <w:r>
              <w:rPr>
                <w:sz w:val="28"/>
                <w:szCs w:val="28"/>
                <w:lang w:val="en-US"/>
              </w:rPr>
              <w:t>9,8;</w:t>
            </w:r>
            <w:r>
              <w:rPr>
                <w:sz w:val="28"/>
                <w:szCs w:val="28"/>
                <w:lang w:val="uk-UA"/>
              </w:rPr>
              <w:t xml:space="preserve"> </w:t>
            </w:r>
            <w:r>
              <w:rPr>
                <w:sz w:val="28"/>
                <w:szCs w:val="28"/>
                <w:lang w:val="en-US"/>
              </w:rPr>
              <w:t>34,2)</w:t>
            </w:r>
          </w:p>
        </w:tc>
      </w:tr>
    </w:tbl>
    <w:p w:rsidR="00A0176F" w:rsidRDefault="00A0176F" w:rsidP="00A0176F">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 р</w:t>
      </w:r>
      <w:r w:rsidR="00C73F95">
        <w:rPr>
          <w:sz w:val="28"/>
          <w:szCs w:val="28"/>
          <w:lang w:val="uk-UA"/>
        </w:rPr>
        <w:t xml:space="preserve"> </w:t>
      </w:r>
      <w:r>
        <w:rPr>
          <w:sz w:val="28"/>
          <w:szCs w:val="28"/>
          <w:lang w:val="uk-UA"/>
        </w:rPr>
        <w:t>&gt;</w:t>
      </w:r>
      <w:r w:rsidR="00C73F95">
        <w:rPr>
          <w:sz w:val="28"/>
          <w:szCs w:val="28"/>
          <w:lang w:val="uk-UA"/>
        </w:rPr>
        <w:t xml:space="preserve"> </w:t>
      </w:r>
      <w:r>
        <w:rPr>
          <w:sz w:val="28"/>
          <w:szCs w:val="28"/>
          <w:lang w:val="uk-UA"/>
        </w:rPr>
        <w:t>0,05 щодо групи контролю;</w:t>
      </w:r>
    </w:p>
    <w:p w:rsidR="00C73F95" w:rsidRDefault="00A0176F" w:rsidP="00A0176F">
      <w:pPr>
        <w:spacing w:line="360" w:lineRule="auto"/>
        <w:ind w:left="707" w:firstLine="709"/>
        <w:jc w:val="both"/>
        <w:rPr>
          <w:sz w:val="28"/>
          <w:szCs w:val="28"/>
          <w:lang w:val="uk-UA"/>
        </w:rPr>
      </w:pPr>
      <w:r>
        <w:rPr>
          <w:sz w:val="28"/>
          <w:szCs w:val="28"/>
          <w:lang w:val="uk-UA"/>
        </w:rPr>
        <w:t xml:space="preserve"># – </w:t>
      </w:r>
      <w:r>
        <w:rPr>
          <w:sz w:val="28"/>
          <w:szCs w:val="28"/>
        </w:rPr>
        <w:t>p</w:t>
      </w:r>
      <w:r w:rsidR="00C73F95">
        <w:rPr>
          <w:sz w:val="28"/>
          <w:szCs w:val="28"/>
          <w:lang w:val="uk-UA"/>
        </w:rPr>
        <w:t xml:space="preserve"> </w:t>
      </w:r>
      <w:r>
        <w:rPr>
          <w:sz w:val="28"/>
          <w:szCs w:val="28"/>
          <w:lang w:val="uk-UA"/>
        </w:rPr>
        <w:t>&lt;</w:t>
      </w:r>
      <w:r w:rsidR="00C73F95">
        <w:rPr>
          <w:sz w:val="28"/>
          <w:szCs w:val="28"/>
          <w:lang w:val="uk-UA"/>
        </w:rPr>
        <w:t xml:space="preserve"> </w:t>
      </w:r>
      <w:r>
        <w:rPr>
          <w:sz w:val="28"/>
          <w:szCs w:val="28"/>
          <w:lang w:val="uk-UA"/>
        </w:rPr>
        <w:t>0,001 щодо показників до лікування.</w:t>
      </w:r>
    </w:p>
    <w:p w:rsidR="00A0176F" w:rsidRDefault="00A0176F" w:rsidP="00A0176F">
      <w:pPr>
        <w:spacing w:line="360" w:lineRule="auto"/>
        <w:ind w:firstLine="709"/>
        <w:jc w:val="both"/>
        <w:rPr>
          <w:sz w:val="28"/>
          <w:szCs w:val="28"/>
          <w:lang w:val="uk-UA"/>
        </w:rPr>
      </w:pPr>
      <w:r>
        <w:rPr>
          <w:sz w:val="28"/>
          <w:szCs w:val="28"/>
          <w:lang w:val="uk-UA"/>
        </w:rPr>
        <w:t xml:space="preserve">Концентрація </w:t>
      </w:r>
      <w:r>
        <w:rPr>
          <w:sz w:val="28"/>
          <w:szCs w:val="28"/>
          <w:lang w:val="en-US"/>
        </w:rPr>
        <w:t>L</w:t>
      </w:r>
      <w:r w:rsidR="00F026A2">
        <w:rPr>
          <w:sz w:val="28"/>
          <w:szCs w:val="28"/>
          <w:lang w:val="uk-UA"/>
        </w:rPr>
        <w:t>–</w:t>
      </w:r>
      <w:r>
        <w:rPr>
          <w:sz w:val="28"/>
          <w:szCs w:val="28"/>
          <w:lang w:val="uk-UA"/>
        </w:rPr>
        <w:t xml:space="preserve">карнітину у хворих </w:t>
      </w:r>
      <w:r w:rsidR="00077FA6">
        <w:rPr>
          <w:sz w:val="28"/>
          <w:szCs w:val="28"/>
          <w:lang w:val="uk-UA"/>
        </w:rPr>
        <w:t>1</w:t>
      </w:r>
      <w:r>
        <w:rPr>
          <w:sz w:val="28"/>
          <w:szCs w:val="28"/>
          <w:lang w:val="uk-UA"/>
        </w:rPr>
        <w:t xml:space="preserve"> групи підвищилася до </w:t>
      </w:r>
      <w:r w:rsidR="00C73F95">
        <w:rPr>
          <w:sz w:val="28"/>
          <w:szCs w:val="28"/>
        </w:rPr>
        <w:t>30,6</w:t>
      </w:r>
      <w:r w:rsidR="00C73F95">
        <w:rPr>
          <w:sz w:val="28"/>
          <w:szCs w:val="28"/>
          <w:lang w:val="uk-UA"/>
        </w:rPr>
        <w:t xml:space="preserve"> </w:t>
      </w:r>
      <w:r w:rsidR="00C73F95">
        <w:rPr>
          <w:sz w:val="28"/>
          <w:szCs w:val="28"/>
        </w:rPr>
        <w:t>(28,4;</w:t>
      </w:r>
      <w:r w:rsidR="00C73F95">
        <w:rPr>
          <w:sz w:val="28"/>
          <w:szCs w:val="28"/>
          <w:lang w:val="uk-UA"/>
        </w:rPr>
        <w:t xml:space="preserve"> </w:t>
      </w:r>
      <w:r w:rsidR="00C73F95">
        <w:rPr>
          <w:sz w:val="28"/>
          <w:szCs w:val="28"/>
        </w:rPr>
        <w:t>34,5)</w:t>
      </w:r>
      <w:r w:rsidR="00C73F95">
        <w:rPr>
          <w:sz w:val="28"/>
          <w:szCs w:val="28"/>
          <w:lang w:val="uk-UA"/>
        </w:rPr>
        <w:t xml:space="preserve"> </w:t>
      </w:r>
      <w:r>
        <w:rPr>
          <w:sz w:val="28"/>
          <w:szCs w:val="28"/>
          <w:lang w:val="uk-UA"/>
        </w:rPr>
        <w:t>мкмоль/л (</w:t>
      </w:r>
      <w:r>
        <w:rPr>
          <w:sz w:val="28"/>
          <w:szCs w:val="28"/>
        </w:rPr>
        <w:t>p</w:t>
      </w:r>
      <w:r w:rsidR="00C73F95">
        <w:rPr>
          <w:sz w:val="28"/>
          <w:szCs w:val="28"/>
          <w:lang w:val="uk-UA"/>
        </w:rPr>
        <w:t xml:space="preserve"> </w:t>
      </w:r>
      <w:r>
        <w:rPr>
          <w:sz w:val="28"/>
          <w:szCs w:val="28"/>
          <w:lang w:val="uk-UA"/>
        </w:rPr>
        <w:t>&lt;</w:t>
      </w:r>
      <w:r w:rsidR="00C73F95">
        <w:rPr>
          <w:sz w:val="28"/>
          <w:szCs w:val="28"/>
          <w:lang w:val="uk-UA"/>
        </w:rPr>
        <w:t xml:space="preserve"> </w:t>
      </w:r>
      <w:r>
        <w:rPr>
          <w:sz w:val="28"/>
          <w:szCs w:val="28"/>
          <w:lang w:val="uk-UA"/>
        </w:rPr>
        <w:t xml:space="preserve">0,001), у пацієнтів </w:t>
      </w:r>
      <w:r w:rsidR="00077FA6">
        <w:rPr>
          <w:sz w:val="28"/>
          <w:szCs w:val="28"/>
          <w:lang w:val="uk-UA"/>
        </w:rPr>
        <w:t>2</w:t>
      </w:r>
      <w:r>
        <w:rPr>
          <w:sz w:val="28"/>
          <w:szCs w:val="28"/>
          <w:lang w:val="uk-UA"/>
        </w:rPr>
        <w:t xml:space="preserve"> групи до </w:t>
      </w:r>
      <w:r w:rsidR="00C73F95">
        <w:rPr>
          <w:sz w:val="28"/>
          <w:szCs w:val="28"/>
        </w:rPr>
        <w:t>31,1</w:t>
      </w:r>
      <w:r w:rsidR="00C73F95">
        <w:rPr>
          <w:sz w:val="28"/>
          <w:szCs w:val="28"/>
          <w:lang w:val="uk-UA"/>
        </w:rPr>
        <w:t xml:space="preserve"> </w:t>
      </w:r>
      <w:r w:rsidR="00C73F95">
        <w:rPr>
          <w:sz w:val="28"/>
          <w:szCs w:val="28"/>
        </w:rPr>
        <w:t>(28,8;</w:t>
      </w:r>
      <w:r w:rsidR="00C73F95">
        <w:rPr>
          <w:sz w:val="28"/>
          <w:szCs w:val="28"/>
          <w:lang w:val="uk-UA"/>
        </w:rPr>
        <w:t xml:space="preserve"> </w:t>
      </w:r>
      <w:r w:rsidR="00C73F95">
        <w:rPr>
          <w:sz w:val="28"/>
          <w:szCs w:val="28"/>
        </w:rPr>
        <w:t>34,1)</w:t>
      </w:r>
      <w:r w:rsidR="00C73F95">
        <w:rPr>
          <w:sz w:val="28"/>
          <w:szCs w:val="28"/>
          <w:lang w:val="uk-UA"/>
        </w:rPr>
        <w:t xml:space="preserve"> </w:t>
      </w:r>
      <w:r>
        <w:rPr>
          <w:sz w:val="28"/>
          <w:szCs w:val="28"/>
          <w:lang w:val="uk-UA"/>
        </w:rPr>
        <w:t>мкмоль/л (</w:t>
      </w:r>
      <w:r>
        <w:rPr>
          <w:sz w:val="28"/>
          <w:szCs w:val="28"/>
        </w:rPr>
        <w:t>p</w:t>
      </w:r>
      <w:r w:rsidR="00C73F95">
        <w:rPr>
          <w:sz w:val="28"/>
          <w:szCs w:val="28"/>
          <w:lang w:val="uk-UA"/>
        </w:rPr>
        <w:t xml:space="preserve"> </w:t>
      </w:r>
      <w:r>
        <w:rPr>
          <w:sz w:val="28"/>
          <w:szCs w:val="28"/>
          <w:lang w:val="uk-UA"/>
        </w:rPr>
        <w:t>&lt;</w:t>
      </w:r>
      <w:r w:rsidR="00C73F95">
        <w:rPr>
          <w:sz w:val="28"/>
          <w:szCs w:val="28"/>
          <w:lang w:val="uk-UA"/>
        </w:rPr>
        <w:t xml:space="preserve"> </w:t>
      </w:r>
      <w:r>
        <w:rPr>
          <w:sz w:val="28"/>
          <w:szCs w:val="28"/>
          <w:lang w:val="uk-UA"/>
        </w:rPr>
        <w:t>0,001).</w:t>
      </w:r>
    </w:p>
    <w:p w:rsidR="00A0176F" w:rsidRDefault="00A0176F" w:rsidP="00A0176F">
      <w:pPr>
        <w:spacing w:line="360" w:lineRule="auto"/>
        <w:ind w:firstLine="709"/>
        <w:jc w:val="both"/>
        <w:rPr>
          <w:sz w:val="28"/>
          <w:szCs w:val="28"/>
          <w:lang w:val="uk-UA"/>
        </w:rPr>
      </w:pPr>
      <w:r>
        <w:rPr>
          <w:sz w:val="28"/>
          <w:szCs w:val="28"/>
          <w:lang w:val="uk-UA"/>
        </w:rPr>
        <w:lastRenderedPageBreak/>
        <w:t xml:space="preserve">При дослідженні рівня ГЦ сироватки крові в динаміці лікування було відмічено його вірогідне зниження, в порівнянні з показниками до лікування (рис. 3.5.2.). </w:t>
      </w:r>
    </w:p>
    <w:p w:rsidR="00A0176F" w:rsidRDefault="00ED7296" w:rsidP="00A0176F">
      <w:pPr>
        <w:spacing w:line="360" w:lineRule="auto"/>
        <w:ind w:firstLine="709"/>
        <w:jc w:val="both"/>
        <w:rPr>
          <w:sz w:val="28"/>
          <w:szCs w:val="28"/>
          <w:lang w:val="uk-UA"/>
        </w:rPr>
      </w:pPr>
      <w:r>
        <w:rPr>
          <w:noProof/>
        </w:rPr>
        <w:pict>
          <v:shape id="Рисунок 5" o:spid="_x0000_i1032" type="#_x0000_t75" style="width:354.5pt;height:220pt;visibility:visible">
            <v:imagedata r:id="rId16" o:title=""/>
          </v:shape>
        </w:pict>
      </w:r>
    </w:p>
    <w:p w:rsidR="00A0176F" w:rsidRDefault="00A0176F" w:rsidP="00A0176F">
      <w:pPr>
        <w:spacing w:line="360" w:lineRule="auto"/>
        <w:ind w:firstLine="709"/>
        <w:jc w:val="both"/>
        <w:rPr>
          <w:sz w:val="28"/>
          <w:szCs w:val="28"/>
          <w:lang w:val="uk-UA"/>
        </w:rPr>
      </w:pPr>
    </w:p>
    <w:p w:rsidR="00A0176F" w:rsidRDefault="00A0176F" w:rsidP="00A0176F">
      <w:pPr>
        <w:spacing w:line="360" w:lineRule="auto"/>
        <w:ind w:firstLine="709"/>
        <w:jc w:val="both"/>
        <w:rPr>
          <w:sz w:val="28"/>
          <w:szCs w:val="28"/>
          <w:lang w:val="uk-UA"/>
        </w:rPr>
      </w:pPr>
      <w:r>
        <w:rPr>
          <w:sz w:val="28"/>
          <w:szCs w:val="28"/>
          <w:lang w:val="uk-UA"/>
        </w:rPr>
        <w:t>Рис. 3.5.2. Рівень ГЦ в сироватці крові хворих двох груп до та після лікування (мкмоль/л)</w:t>
      </w:r>
    </w:p>
    <w:p w:rsidR="00A0176F" w:rsidRDefault="00A0176F" w:rsidP="00A0176F">
      <w:pPr>
        <w:spacing w:line="360" w:lineRule="auto"/>
        <w:ind w:firstLine="709"/>
        <w:jc w:val="both"/>
        <w:rPr>
          <w:sz w:val="28"/>
          <w:szCs w:val="28"/>
          <w:lang w:val="uk-UA"/>
        </w:rPr>
      </w:pPr>
      <w:r>
        <w:rPr>
          <w:sz w:val="28"/>
          <w:szCs w:val="28"/>
          <w:lang w:val="uk-UA"/>
        </w:rPr>
        <w:t xml:space="preserve">Концентрація ГЦ в сироватці крові у хворих </w:t>
      </w:r>
      <w:r w:rsidR="00077FA6">
        <w:rPr>
          <w:sz w:val="28"/>
          <w:szCs w:val="28"/>
          <w:lang w:val="uk-UA"/>
        </w:rPr>
        <w:t>1</w:t>
      </w:r>
      <w:r>
        <w:rPr>
          <w:sz w:val="28"/>
          <w:szCs w:val="28"/>
          <w:lang w:val="uk-UA"/>
        </w:rPr>
        <w:t xml:space="preserve"> групи склала </w:t>
      </w:r>
      <w:r w:rsidR="00F026A2">
        <w:rPr>
          <w:sz w:val="28"/>
          <w:szCs w:val="28"/>
          <w:lang w:val="uk-UA"/>
        </w:rPr>
        <w:t xml:space="preserve">11,6 (10,9; 12,9) </w:t>
      </w:r>
      <w:r>
        <w:rPr>
          <w:sz w:val="28"/>
          <w:szCs w:val="28"/>
          <w:lang w:val="uk-UA"/>
        </w:rPr>
        <w:t>мкмоль/л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в </w:t>
      </w:r>
      <w:r w:rsidR="00F026A2">
        <w:rPr>
          <w:sz w:val="28"/>
          <w:szCs w:val="28"/>
          <w:lang w:val="uk-UA"/>
        </w:rPr>
        <w:t>2</w:t>
      </w:r>
      <w:r>
        <w:rPr>
          <w:sz w:val="28"/>
          <w:szCs w:val="28"/>
          <w:lang w:val="uk-UA"/>
        </w:rPr>
        <w:t xml:space="preserve"> групі </w:t>
      </w:r>
      <w:r w:rsidR="00F026A2">
        <w:rPr>
          <w:sz w:val="28"/>
          <w:szCs w:val="28"/>
          <w:lang w:val="uk-UA"/>
        </w:rPr>
        <w:t>–</w:t>
      </w:r>
      <w:r>
        <w:rPr>
          <w:sz w:val="28"/>
          <w:szCs w:val="28"/>
          <w:lang w:val="uk-UA"/>
        </w:rPr>
        <w:t xml:space="preserve"> </w:t>
      </w:r>
      <w:r w:rsidR="00F026A2">
        <w:rPr>
          <w:sz w:val="28"/>
          <w:szCs w:val="28"/>
          <w:lang w:val="uk-UA"/>
        </w:rPr>
        <w:t xml:space="preserve">11,8 (11,0; 12,8) </w:t>
      </w:r>
      <w:r>
        <w:rPr>
          <w:sz w:val="28"/>
          <w:szCs w:val="28"/>
          <w:lang w:val="uk-UA"/>
        </w:rPr>
        <w:t>мкмоль\л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0,001). Дані про вміст ГЦ в сироватці крові у хворих обох груп представлені на табл. 3.5.3</w:t>
      </w:r>
    </w:p>
    <w:p w:rsidR="00A0176F" w:rsidRDefault="00A0176F" w:rsidP="00A0176F">
      <w:pPr>
        <w:spacing w:line="360" w:lineRule="auto"/>
        <w:ind w:firstLine="709"/>
        <w:jc w:val="right"/>
        <w:rPr>
          <w:sz w:val="28"/>
          <w:szCs w:val="28"/>
          <w:lang w:val="uk-UA"/>
        </w:rPr>
      </w:pPr>
      <w:r>
        <w:rPr>
          <w:sz w:val="28"/>
          <w:szCs w:val="28"/>
          <w:lang w:val="uk-UA"/>
        </w:rPr>
        <w:t>Таблиця 3.5.3</w:t>
      </w:r>
    </w:p>
    <w:p w:rsidR="00A0176F" w:rsidRDefault="00A0176F" w:rsidP="00F026A2">
      <w:pPr>
        <w:spacing w:line="360" w:lineRule="auto"/>
        <w:ind w:firstLine="709"/>
        <w:jc w:val="center"/>
        <w:rPr>
          <w:sz w:val="28"/>
          <w:szCs w:val="28"/>
          <w:lang w:val="uk-UA"/>
        </w:rPr>
      </w:pPr>
      <w:r>
        <w:rPr>
          <w:sz w:val="28"/>
          <w:szCs w:val="28"/>
          <w:lang w:val="uk-UA"/>
        </w:rPr>
        <w:t xml:space="preserve">Вміст ГЦ в сироватці крові у хворих </w:t>
      </w:r>
      <w:r w:rsidR="00F026A2">
        <w:rPr>
          <w:sz w:val="28"/>
          <w:szCs w:val="28"/>
          <w:lang w:val="uk-UA"/>
        </w:rPr>
        <w:t xml:space="preserve">1 та 2 груп </w:t>
      </w:r>
      <w:r>
        <w:rPr>
          <w:sz w:val="28"/>
          <w:szCs w:val="28"/>
          <w:lang w:val="uk-UA"/>
        </w:rPr>
        <w:t>до та після лікування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A0176F" w:rsidTr="00A0176F">
        <w:tc>
          <w:tcPr>
            <w:tcW w:w="3383" w:type="dxa"/>
            <w:vMerge w:val="restart"/>
            <w:vAlign w:val="center"/>
          </w:tcPr>
          <w:p w:rsidR="00A0176F" w:rsidRDefault="00A0176F" w:rsidP="00A0176F">
            <w:pPr>
              <w:spacing w:line="360" w:lineRule="auto"/>
              <w:jc w:val="center"/>
              <w:rPr>
                <w:sz w:val="28"/>
                <w:szCs w:val="28"/>
                <w:lang w:val="uk-UA"/>
              </w:rPr>
            </w:pPr>
            <w:r>
              <w:rPr>
                <w:sz w:val="28"/>
                <w:szCs w:val="28"/>
                <w:lang w:val="uk-UA"/>
              </w:rPr>
              <w:t>Групи</w:t>
            </w:r>
          </w:p>
        </w:tc>
        <w:tc>
          <w:tcPr>
            <w:tcW w:w="6188" w:type="dxa"/>
            <w:gridSpan w:val="2"/>
            <w:vAlign w:val="center"/>
          </w:tcPr>
          <w:p w:rsidR="00A0176F" w:rsidRDefault="00A0176F" w:rsidP="00A0176F">
            <w:pPr>
              <w:spacing w:line="360" w:lineRule="auto"/>
              <w:jc w:val="center"/>
              <w:rPr>
                <w:sz w:val="28"/>
                <w:szCs w:val="28"/>
                <w:lang w:val="uk-UA"/>
              </w:rPr>
            </w:pPr>
            <w:r>
              <w:rPr>
                <w:sz w:val="28"/>
                <w:szCs w:val="28"/>
                <w:lang w:val="uk-UA"/>
              </w:rPr>
              <w:t>ГЦ – мкмоль/л</w:t>
            </w:r>
          </w:p>
          <w:p w:rsidR="00A0176F" w:rsidRDefault="00A0176F" w:rsidP="00A0176F">
            <w:pPr>
              <w:spacing w:line="360" w:lineRule="auto"/>
              <w:jc w:val="center"/>
              <w:rPr>
                <w:sz w:val="28"/>
                <w:szCs w:val="28"/>
              </w:rPr>
            </w:pPr>
            <w:r>
              <w:rPr>
                <w:sz w:val="28"/>
                <w:szCs w:val="28"/>
                <w:lang w:val="uk-UA"/>
              </w:rPr>
              <w:t>(</w:t>
            </w:r>
            <w:r>
              <w:rPr>
                <w:sz w:val="28"/>
                <w:szCs w:val="28"/>
              </w:rPr>
              <w:t>Ме (25%;</w:t>
            </w:r>
            <w:r w:rsidR="00F026A2">
              <w:rPr>
                <w:sz w:val="28"/>
                <w:szCs w:val="28"/>
                <w:lang w:val="uk-UA"/>
              </w:rPr>
              <w:t xml:space="preserve"> </w:t>
            </w:r>
            <w:r>
              <w:rPr>
                <w:sz w:val="28"/>
                <w:szCs w:val="28"/>
              </w:rPr>
              <w:t>75%)</w:t>
            </w:r>
            <w:r>
              <w:rPr>
                <w:sz w:val="28"/>
                <w:szCs w:val="28"/>
                <w:lang w:val="uk-UA"/>
              </w:rPr>
              <w:t>)</w:t>
            </w:r>
          </w:p>
        </w:tc>
      </w:tr>
      <w:tr w:rsidR="00A0176F" w:rsidTr="00A0176F">
        <w:tc>
          <w:tcPr>
            <w:tcW w:w="0" w:type="auto"/>
            <w:vMerge/>
            <w:vAlign w:val="center"/>
          </w:tcPr>
          <w:p w:rsidR="00A0176F" w:rsidRDefault="00A0176F" w:rsidP="00A0176F">
            <w:pPr>
              <w:rPr>
                <w:sz w:val="28"/>
                <w:szCs w:val="28"/>
                <w:lang w:val="uk-UA"/>
              </w:rPr>
            </w:pPr>
          </w:p>
        </w:tc>
        <w:tc>
          <w:tcPr>
            <w:tcW w:w="3429" w:type="dxa"/>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2759" w:type="dxa"/>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429" w:type="dxa"/>
            <w:vAlign w:val="center"/>
          </w:tcPr>
          <w:p w:rsidR="00F026A2" w:rsidRDefault="00F026A2" w:rsidP="007E691D">
            <w:pPr>
              <w:spacing w:line="360" w:lineRule="auto"/>
              <w:jc w:val="center"/>
              <w:rPr>
                <w:sz w:val="28"/>
                <w:szCs w:val="28"/>
                <w:lang w:val="en-US"/>
              </w:rPr>
            </w:pPr>
            <w:r>
              <w:rPr>
                <w:sz w:val="28"/>
                <w:szCs w:val="28"/>
                <w:lang w:val="en-US"/>
              </w:rPr>
              <w:t>50,65</w:t>
            </w:r>
            <w:r>
              <w:rPr>
                <w:sz w:val="28"/>
                <w:szCs w:val="28"/>
                <w:lang w:val="uk-UA"/>
              </w:rPr>
              <w:t xml:space="preserve"> </w:t>
            </w:r>
            <w:r>
              <w:rPr>
                <w:sz w:val="28"/>
                <w:szCs w:val="28"/>
                <w:lang w:val="en-US"/>
              </w:rPr>
              <w:t>(43,3;</w:t>
            </w:r>
            <w:r>
              <w:rPr>
                <w:sz w:val="28"/>
                <w:szCs w:val="28"/>
                <w:lang w:val="uk-UA"/>
              </w:rPr>
              <w:t xml:space="preserve"> </w:t>
            </w:r>
            <w:r>
              <w:rPr>
                <w:sz w:val="28"/>
                <w:szCs w:val="28"/>
                <w:lang w:val="en-US"/>
              </w:rPr>
              <w:t>54,2)</w:t>
            </w:r>
          </w:p>
        </w:tc>
        <w:tc>
          <w:tcPr>
            <w:tcW w:w="2759" w:type="dxa"/>
          </w:tcPr>
          <w:p w:rsidR="00F026A2" w:rsidRDefault="00F026A2" w:rsidP="007E691D">
            <w:pPr>
              <w:spacing w:line="360" w:lineRule="auto"/>
              <w:jc w:val="center"/>
              <w:rPr>
                <w:sz w:val="28"/>
                <w:szCs w:val="28"/>
                <w:lang w:val="en-US"/>
              </w:rPr>
            </w:pPr>
            <w:r>
              <w:rPr>
                <w:sz w:val="28"/>
                <w:szCs w:val="28"/>
                <w:lang w:val="en-US"/>
              </w:rPr>
              <w:t>11,6</w:t>
            </w:r>
            <w:r>
              <w:rPr>
                <w:sz w:val="28"/>
                <w:szCs w:val="28"/>
                <w:lang w:val="uk-UA"/>
              </w:rPr>
              <w:t xml:space="preserve"> </w:t>
            </w:r>
            <w:r>
              <w:rPr>
                <w:sz w:val="28"/>
                <w:szCs w:val="28"/>
                <w:lang w:val="en-US"/>
              </w:rPr>
              <w:t>(10,9;</w:t>
            </w:r>
            <w:r>
              <w:rPr>
                <w:sz w:val="28"/>
                <w:szCs w:val="28"/>
                <w:lang w:val="uk-UA"/>
              </w:rPr>
              <w:t xml:space="preserve"> </w:t>
            </w:r>
            <w:r>
              <w:rPr>
                <w:sz w:val="28"/>
                <w:szCs w:val="28"/>
                <w:lang w:val="en-US"/>
              </w:rPr>
              <w:t>12,9)*#</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F026A2" w:rsidRDefault="00F026A2" w:rsidP="007E691D">
            <w:pPr>
              <w:spacing w:line="360" w:lineRule="auto"/>
              <w:jc w:val="center"/>
              <w:rPr>
                <w:sz w:val="28"/>
                <w:szCs w:val="28"/>
                <w:lang w:val="uk-UA"/>
              </w:rPr>
            </w:pPr>
            <w:r>
              <w:rPr>
                <w:sz w:val="28"/>
                <w:szCs w:val="28"/>
                <w:lang w:val="en-US"/>
              </w:rPr>
              <w:t>31,25</w:t>
            </w:r>
            <w:r>
              <w:rPr>
                <w:sz w:val="28"/>
                <w:szCs w:val="28"/>
                <w:lang w:val="uk-UA"/>
              </w:rPr>
              <w:t xml:space="preserve"> </w:t>
            </w:r>
            <w:r>
              <w:rPr>
                <w:sz w:val="28"/>
                <w:szCs w:val="28"/>
                <w:lang w:val="en-US"/>
              </w:rPr>
              <w:t>(29,7;</w:t>
            </w:r>
            <w:r>
              <w:rPr>
                <w:sz w:val="28"/>
                <w:szCs w:val="28"/>
                <w:lang w:val="uk-UA"/>
              </w:rPr>
              <w:t xml:space="preserve"> </w:t>
            </w:r>
            <w:r>
              <w:rPr>
                <w:sz w:val="28"/>
                <w:szCs w:val="28"/>
                <w:lang w:val="en-US"/>
              </w:rPr>
              <w:t>35,1)</w:t>
            </w:r>
          </w:p>
        </w:tc>
        <w:tc>
          <w:tcPr>
            <w:tcW w:w="2759" w:type="dxa"/>
          </w:tcPr>
          <w:p w:rsidR="00F026A2" w:rsidRDefault="00F026A2" w:rsidP="007E691D">
            <w:pPr>
              <w:spacing w:line="360" w:lineRule="auto"/>
              <w:jc w:val="center"/>
              <w:rPr>
                <w:sz w:val="28"/>
                <w:szCs w:val="28"/>
                <w:lang w:val="en-US"/>
              </w:rPr>
            </w:pPr>
            <w:r>
              <w:rPr>
                <w:sz w:val="28"/>
                <w:szCs w:val="28"/>
                <w:lang w:val="en-US"/>
              </w:rPr>
              <w:t>11,8</w:t>
            </w:r>
            <w:r>
              <w:rPr>
                <w:sz w:val="28"/>
                <w:szCs w:val="28"/>
                <w:lang w:val="uk-UA"/>
              </w:rPr>
              <w:t xml:space="preserve"> </w:t>
            </w:r>
            <w:r>
              <w:rPr>
                <w:sz w:val="28"/>
                <w:szCs w:val="28"/>
                <w:lang w:val="en-US"/>
              </w:rPr>
              <w:t>(11,0;</w:t>
            </w:r>
            <w:r>
              <w:rPr>
                <w:sz w:val="28"/>
                <w:szCs w:val="28"/>
                <w:lang w:val="uk-UA"/>
              </w:rPr>
              <w:t xml:space="preserve"> </w:t>
            </w:r>
            <w:r>
              <w:rPr>
                <w:sz w:val="28"/>
                <w:szCs w:val="28"/>
                <w:lang w:val="en-US"/>
              </w:rPr>
              <w:t>12,8)*#</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Контрольна група</w:t>
            </w:r>
          </w:p>
        </w:tc>
        <w:tc>
          <w:tcPr>
            <w:tcW w:w="6188" w:type="dxa"/>
            <w:gridSpan w:val="2"/>
            <w:vAlign w:val="center"/>
          </w:tcPr>
          <w:p w:rsidR="00F026A2" w:rsidRDefault="00F026A2" w:rsidP="00A0176F">
            <w:pPr>
              <w:spacing w:line="360" w:lineRule="auto"/>
              <w:jc w:val="center"/>
              <w:rPr>
                <w:sz w:val="28"/>
                <w:szCs w:val="28"/>
              </w:rPr>
            </w:pPr>
            <w:r>
              <w:rPr>
                <w:sz w:val="28"/>
                <w:szCs w:val="28"/>
                <w:lang w:val="en-US"/>
              </w:rPr>
              <w:t>11,2</w:t>
            </w:r>
            <w:r>
              <w:rPr>
                <w:sz w:val="28"/>
                <w:szCs w:val="28"/>
                <w:lang w:val="uk-UA"/>
              </w:rPr>
              <w:t xml:space="preserve"> </w:t>
            </w:r>
            <w:r>
              <w:rPr>
                <w:sz w:val="28"/>
                <w:szCs w:val="28"/>
                <w:lang w:val="en-US"/>
              </w:rPr>
              <w:t>(10,7;</w:t>
            </w:r>
            <w:r>
              <w:rPr>
                <w:sz w:val="28"/>
                <w:szCs w:val="28"/>
                <w:lang w:val="uk-UA"/>
              </w:rPr>
              <w:t xml:space="preserve"> </w:t>
            </w:r>
            <w:r>
              <w:rPr>
                <w:sz w:val="28"/>
                <w:szCs w:val="28"/>
                <w:lang w:val="en-US"/>
              </w:rPr>
              <w:t>12,2)</w:t>
            </w:r>
          </w:p>
        </w:tc>
      </w:tr>
    </w:tbl>
    <w:p w:rsidR="00F026A2" w:rsidRDefault="00A0176F" w:rsidP="00A0176F">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0,05 щодо групи контролю;</w:t>
      </w:r>
    </w:p>
    <w:p w:rsidR="00A0176F" w:rsidRDefault="00A0176F" w:rsidP="00A0176F">
      <w:pPr>
        <w:spacing w:line="360" w:lineRule="auto"/>
        <w:ind w:left="707" w:firstLine="709"/>
        <w:jc w:val="both"/>
        <w:rPr>
          <w:sz w:val="28"/>
          <w:szCs w:val="28"/>
          <w:lang w:val="uk-UA"/>
        </w:rPr>
      </w:pPr>
      <w:r>
        <w:rPr>
          <w:sz w:val="28"/>
          <w:szCs w:val="28"/>
          <w:lang w:val="uk-UA"/>
        </w:rPr>
        <w:t xml:space="preserve"># –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0,001 щодо показників до лікування.</w:t>
      </w:r>
    </w:p>
    <w:p w:rsidR="00A0176F" w:rsidRDefault="00A0176F" w:rsidP="00A0176F">
      <w:pPr>
        <w:spacing w:line="360" w:lineRule="auto"/>
        <w:ind w:firstLine="720"/>
        <w:jc w:val="both"/>
        <w:rPr>
          <w:sz w:val="28"/>
          <w:szCs w:val="28"/>
          <w:lang w:val="uk-UA"/>
        </w:rPr>
      </w:pPr>
      <w:r>
        <w:rPr>
          <w:sz w:val="28"/>
          <w:szCs w:val="28"/>
          <w:lang w:val="uk-UA"/>
        </w:rPr>
        <w:lastRenderedPageBreak/>
        <w:t xml:space="preserve">Нормалізація рівнів </w:t>
      </w:r>
      <w:r>
        <w:rPr>
          <w:sz w:val="28"/>
          <w:szCs w:val="28"/>
          <w:lang w:val="en-US"/>
        </w:rPr>
        <w:t>L</w:t>
      </w:r>
      <w:r w:rsidR="00F026A2">
        <w:rPr>
          <w:sz w:val="28"/>
          <w:szCs w:val="28"/>
          <w:lang w:val="uk-UA"/>
        </w:rPr>
        <w:t>–</w:t>
      </w:r>
      <w:r>
        <w:rPr>
          <w:sz w:val="28"/>
          <w:szCs w:val="28"/>
          <w:lang w:val="uk-UA"/>
        </w:rPr>
        <w:t xml:space="preserve">карнітину та ГЦ сприяла </w:t>
      </w:r>
      <w:r w:rsidR="00F026A2">
        <w:rPr>
          <w:sz w:val="28"/>
          <w:szCs w:val="28"/>
          <w:lang w:val="uk-UA"/>
        </w:rPr>
        <w:t>усуненню</w:t>
      </w:r>
      <w:r>
        <w:rPr>
          <w:sz w:val="28"/>
          <w:szCs w:val="28"/>
          <w:lang w:val="uk-UA"/>
        </w:rPr>
        <w:t xml:space="preserve"> карнітинової недостатності та гомоцистеінзалежного ушкодження клітин, нормалізації біохімічних показників запалення та ліпотоксичного стресу. Про це свідчать дані щодо рівнів прозапальних цитокінів та оксиду азоту і МДА у хворих після лікування.</w:t>
      </w:r>
    </w:p>
    <w:p w:rsidR="00A0176F" w:rsidRDefault="00A0176F" w:rsidP="00A0176F">
      <w:pPr>
        <w:spacing w:line="360" w:lineRule="auto"/>
        <w:ind w:firstLine="709"/>
        <w:jc w:val="both"/>
        <w:rPr>
          <w:sz w:val="28"/>
          <w:szCs w:val="28"/>
          <w:lang w:val="uk-UA"/>
        </w:rPr>
      </w:pPr>
      <w:r>
        <w:rPr>
          <w:sz w:val="28"/>
          <w:szCs w:val="28"/>
          <w:lang w:val="uk-UA"/>
        </w:rPr>
        <w:t>Після лікування у всіх хворих нормалізувались показники ФНП</w:t>
      </w:r>
      <w:r w:rsidR="00F026A2">
        <w:rPr>
          <w:sz w:val="28"/>
          <w:szCs w:val="28"/>
          <w:lang w:val="uk-UA"/>
        </w:rPr>
        <w:t>–</w:t>
      </w:r>
      <w:r>
        <w:rPr>
          <w:sz w:val="28"/>
          <w:szCs w:val="28"/>
          <w:lang w:val="uk-UA"/>
        </w:rPr>
        <w:t>α в сироватці крові. Динаміка вмісту ФНП</w:t>
      </w:r>
      <w:r w:rsidR="00F026A2">
        <w:rPr>
          <w:sz w:val="28"/>
          <w:szCs w:val="28"/>
          <w:lang w:val="uk-UA"/>
        </w:rPr>
        <w:t>–</w:t>
      </w:r>
      <w:r>
        <w:rPr>
          <w:sz w:val="28"/>
          <w:szCs w:val="28"/>
          <w:lang w:val="uk-UA"/>
        </w:rPr>
        <w:t>α в сироватці крові у хворих обох груп представлені на рис. 3.5.3 та в табл. 3.5.4.</w:t>
      </w:r>
    </w:p>
    <w:p w:rsidR="00A0176F" w:rsidRDefault="00ED7296" w:rsidP="00A0176F">
      <w:pPr>
        <w:spacing w:line="360" w:lineRule="auto"/>
        <w:ind w:firstLine="709"/>
        <w:jc w:val="both"/>
        <w:rPr>
          <w:sz w:val="28"/>
          <w:szCs w:val="28"/>
          <w:lang w:val="uk-UA"/>
        </w:rPr>
      </w:pPr>
      <w:r>
        <w:rPr>
          <w:noProof/>
        </w:rPr>
        <w:pict>
          <v:shape id="Рисунок 4" o:spid="_x0000_i1033" type="#_x0000_t75" style="width:354.5pt;height:204.5pt;visibility:visible">
            <v:imagedata r:id="rId17" o:title=""/>
          </v:shape>
        </w:pict>
      </w:r>
    </w:p>
    <w:p w:rsidR="00A0176F" w:rsidRDefault="00A0176F" w:rsidP="00A0176F">
      <w:pPr>
        <w:spacing w:line="360" w:lineRule="auto"/>
        <w:ind w:firstLine="709"/>
        <w:jc w:val="both"/>
        <w:rPr>
          <w:sz w:val="28"/>
          <w:szCs w:val="28"/>
          <w:lang w:val="uk-UA"/>
        </w:rPr>
      </w:pPr>
      <w:r>
        <w:rPr>
          <w:sz w:val="28"/>
          <w:szCs w:val="28"/>
          <w:lang w:val="uk-UA"/>
        </w:rPr>
        <w:t>Рис. 3.5.3. Рівень ФНП</w:t>
      </w:r>
      <w:r w:rsidR="00F026A2">
        <w:rPr>
          <w:sz w:val="28"/>
          <w:szCs w:val="28"/>
          <w:lang w:val="uk-UA"/>
        </w:rPr>
        <w:t>–</w:t>
      </w:r>
      <w:r>
        <w:rPr>
          <w:sz w:val="28"/>
          <w:szCs w:val="28"/>
          <w:lang w:val="uk-UA"/>
        </w:rPr>
        <w:t>α в сироватці крові хворих двох груп до та після лікування (пг/мл)</w:t>
      </w:r>
    </w:p>
    <w:p w:rsidR="00A0176F" w:rsidRDefault="00A0176F" w:rsidP="00A0176F">
      <w:pPr>
        <w:spacing w:line="360" w:lineRule="auto"/>
        <w:ind w:firstLine="709"/>
        <w:jc w:val="right"/>
        <w:rPr>
          <w:sz w:val="28"/>
          <w:szCs w:val="28"/>
          <w:lang w:val="uk-UA"/>
        </w:rPr>
      </w:pPr>
      <w:r>
        <w:rPr>
          <w:sz w:val="28"/>
          <w:szCs w:val="28"/>
          <w:lang w:val="uk-UA"/>
        </w:rPr>
        <w:t>Таблиця 3.5.4</w:t>
      </w:r>
    </w:p>
    <w:p w:rsidR="00A0176F" w:rsidRDefault="00A0176F" w:rsidP="00F026A2">
      <w:pPr>
        <w:spacing w:line="360" w:lineRule="auto"/>
        <w:ind w:firstLine="709"/>
        <w:jc w:val="center"/>
        <w:rPr>
          <w:sz w:val="28"/>
          <w:szCs w:val="28"/>
          <w:lang w:val="uk-UA"/>
        </w:rPr>
      </w:pPr>
      <w:r>
        <w:rPr>
          <w:sz w:val="28"/>
          <w:szCs w:val="28"/>
          <w:lang w:val="uk-UA"/>
        </w:rPr>
        <w:t>Вміст ФНП</w:t>
      </w:r>
      <w:r w:rsidR="00F026A2">
        <w:rPr>
          <w:sz w:val="28"/>
          <w:szCs w:val="28"/>
          <w:lang w:val="uk-UA"/>
        </w:rPr>
        <w:t>–</w:t>
      </w:r>
      <w:r>
        <w:rPr>
          <w:sz w:val="28"/>
          <w:szCs w:val="28"/>
          <w:lang w:val="uk-UA"/>
        </w:rPr>
        <w:t xml:space="preserve">α в сироватці крові у хворих </w:t>
      </w:r>
      <w:r w:rsidR="00F026A2">
        <w:rPr>
          <w:sz w:val="28"/>
          <w:szCs w:val="28"/>
          <w:lang w:val="uk-UA"/>
        </w:rPr>
        <w:t xml:space="preserve">1 та 2 груп </w:t>
      </w:r>
      <w:r>
        <w:rPr>
          <w:sz w:val="28"/>
          <w:szCs w:val="28"/>
          <w:lang w:val="uk-UA"/>
        </w:rPr>
        <w:t>до та після лікування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A0176F" w:rsidRPr="0042125C" w:rsidTr="00A0176F">
        <w:tc>
          <w:tcPr>
            <w:tcW w:w="3383" w:type="dxa"/>
            <w:vMerge w:val="restart"/>
            <w:vAlign w:val="center"/>
          </w:tcPr>
          <w:p w:rsidR="00A0176F" w:rsidRDefault="00A0176F" w:rsidP="00A0176F">
            <w:pPr>
              <w:spacing w:line="360" w:lineRule="auto"/>
              <w:jc w:val="center"/>
              <w:rPr>
                <w:sz w:val="28"/>
                <w:szCs w:val="28"/>
                <w:lang w:val="uk-UA"/>
              </w:rPr>
            </w:pPr>
            <w:r>
              <w:rPr>
                <w:sz w:val="28"/>
                <w:szCs w:val="28"/>
                <w:lang w:val="uk-UA"/>
              </w:rPr>
              <w:t>Групи</w:t>
            </w:r>
          </w:p>
        </w:tc>
        <w:tc>
          <w:tcPr>
            <w:tcW w:w="6188" w:type="dxa"/>
            <w:gridSpan w:val="2"/>
            <w:vAlign w:val="center"/>
          </w:tcPr>
          <w:p w:rsidR="00A0176F" w:rsidRDefault="00A0176F" w:rsidP="00A0176F">
            <w:pPr>
              <w:spacing w:line="360" w:lineRule="auto"/>
              <w:jc w:val="center"/>
              <w:rPr>
                <w:sz w:val="28"/>
                <w:szCs w:val="28"/>
                <w:lang w:val="uk-UA"/>
              </w:rPr>
            </w:pPr>
            <w:r>
              <w:rPr>
                <w:sz w:val="28"/>
                <w:szCs w:val="28"/>
                <w:lang w:val="uk-UA"/>
              </w:rPr>
              <w:t>ФНП</w:t>
            </w:r>
            <w:r w:rsidR="00F026A2">
              <w:rPr>
                <w:sz w:val="28"/>
                <w:szCs w:val="28"/>
                <w:lang w:val="uk-UA"/>
              </w:rPr>
              <w:t>–</w:t>
            </w:r>
            <w:r>
              <w:rPr>
                <w:sz w:val="28"/>
                <w:szCs w:val="28"/>
                <w:lang w:val="uk-UA"/>
              </w:rPr>
              <w:t>α – пг/мл</w:t>
            </w:r>
          </w:p>
          <w:p w:rsidR="00A0176F" w:rsidRDefault="00A0176F" w:rsidP="00A0176F">
            <w:pPr>
              <w:spacing w:line="360" w:lineRule="auto"/>
              <w:jc w:val="center"/>
              <w:rPr>
                <w:sz w:val="28"/>
                <w:szCs w:val="28"/>
                <w:lang w:val="uk-UA"/>
              </w:rPr>
            </w:pPr>
            <w:r>
              <w:rPr>
                <w:sz w:val="28"/>
                <w:szCs w:val="28"/>
                <w:lang w:val="uk-UA"/>
              </w:rPr>
              <w:t>(Ме (25%;</w:t>
            </w:r>
            <w:r w:rsidR="00F026A2">
              <w:rPr>
                <w:sz w:val="28"/>
                <w:szCs w:val="28"/>
                <w:lang w:val="uk-UA"/>
              </w:rPr>
              <w:t xml:space="preserve"> </w:t>
            </w:r>
            <w:r>
              <w:rPr>
                <w:sz w:val="28"/>
                <w:szCs w:val="28"/>
                <w:lang w:val="uk-UA"/>
              </w:rPr>
              <w:t>75%))</w:t>
            </w:r>
          </w:p>
        </w:tc>
      </w:tr>
      <w:tr w:rsidR="00A0176F" w:rsidTr="00A0176F">
        <w:tc>
          <w:tcPr>
            <w:tcW w:w="0" w:type="auto"/>
            <w:vMerge/>
            <w:vAlign w:val="center"/>
          </w:tcPr>
          <w:p w:rsidR="00A0176F" w:rsidRDefault="00A0176F" w:rsidP="00A0176F">
            <w:pPr>
              <w:rPr>
                <w:sz w:val="28"/>
                <w:szCs w:val="28"/>
                <w:lang w:val="uk-UA"/>
              </w:rPr>
            </w:pPr>
          </w:p>
        </w:tc>
        <w:tc>
          <w:tcPr>
            <w:tcW w:w="3429" w:type="dxa"/>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2759" w:type="dxa"/>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429" w:type="dxa"/>
            <w:vAlign w:val="center"/>
          </w:tcPr>
          <w:p w:rsidR="00F026A2" w:rsidRDefault="00F026A2" w:rsidP="007E691D">
            <w:pPr>
              <w:spacing w:line="360" w:lineRule="auto"/>
              <w:jc w:val="center"/>
              <w:rPr>
                <w:sz w:val="28"/>
                <w:szCs w:val="28"/>
                <w:lang w:val="en-US"/>
              </w:rPr>
            </w:pPr>
            <w:r>
              <w:rPr>
                <w:sz w:val="28"/>
                <w:szCs w:val="28"/>
                <w:lang w:val="en-US"/>
              </w:rPr>
              <w:t>8,66 (7,91;</w:t>
            </w:r>
            <w:r>
              <w:rPr>
                <w:sz w:val="28"/>
                <w:szCs w:val="28"/>
                <w:lang w:val="uk-UA"/>
              </w:rPr>
              <w:t xml:space="preserve"> </w:t>
            </w:r>
            <w:r>
              <w:rPr>
                <w:sz w:val="28"/>
                <w:szCs w:val="28"/>
                <w:lang w:val="en-US"/>
              </w:rPr>
              <w:t>9,03)</w:t>
            </w:r>
          </w:p>
        </w:tc>
        <w:tc>
          <w:tcPr>
            <w:tcW w:w="2759" w:type="dxa"/>
          </w:tcPr>
          <w:p w:rsidR="00F026A2" w:rsidRDefault="00F026A2" w:rsidP="007E691D">
            <w:pPr>
              <w:spacing w:line="360" w:lineRule="auto"/>
              <w:jc w:val="center"/>
              <w:rPr>
                <w:sz w:val="28"/>
                <w:szCs w:val="28"/>
                <w:lang w:val="en-US"/>
              </w:rPr>
            </w:pPr>
            <w:r>
              <w:rPr>
                <w:sz w:val="28"/>
                <w:szCs w:val="28"/>
                <w:lang w:val="en-US"/>
              </w:rPr>
              <w:t>1,93</w:t>
            </w:r>
            <w:r>
              <w:rPr>
                <w:sz w:val="28"/>
                <w:szCs w:val="28"/>
                <w:lang w:val="uk-UA"/>
              </w:rPr>
              <w:t xml:space="preserve"> </w:t>
            </w:r>
            <w:r>
              <w:rPr>
                <w:sz w:val="28"/>
                <w:szCs w:val="28"/>
                <w:lang w:val="en-US"/>
              </w:rPr>
              <w:t>(1,77;</w:t>
            </w:r>
            <w:r>
              <w:rPr>
                <w:sz w:val="28"/>
                <w:szCs w:val="28"/>
                <w:lang w:val="uk-UA"/>
              </w:rPr>
              <w:t xml:space="preserve"> </w:t>
            </w:r>
            <w:r>
              <w:rPr>
                <w:sz w:val="28"/>
                <w:szCs w:val="28"/>
                <w:lang w:val="en-US"/>
              </w:rPr>
              <w:t>2,09)*#</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F026A2" w:rsidRDefault="00F026A2" w:rsidP="007E691D">
            <w:pPr>
              <w:spacing w:line="360" w:lineRule="auto"/>
              <w:jc w:val="center"/>
              <w:rPr>
                <w:sz w:val="28"/>
                <w:szCs w:val="28"/>
                <w:lang w:val="uk-UA"/>
              </w:rPr>
            </w:pPr>
            <w:r>
              <w:rPr>
                <w:sz w:val="28"/>
                <w:szCs w:val="28"/>
              </w:rPr>
              <w:t>8,50 (7,97</w:t>
            </w:r>
            <w:r>
              <w:rPr>
                <w:sz w:val="28"/>
                <w:szCs w:val="28"/>
                <w:lang w:val="en-US"/>
              </w:rPr>
              <w:t>; 9,00)</w:t>
            </w:r>
          </w:p>
        </w:tc>
        <w:tc>
          <w:tcPr>
            <w:tcW w:w="2759" w:type="dxa"/>
          </w:tcPr>
          <w:p w:rsidR="00F026A2" w:rsidRDefault="00F026A2" w:rsidP="007E691D">
            <w:pPr>
              <w:spacing w:line="360" w:lineRule="auto"/>
              <w:jc w:val="center"/>
              <w:rPr>
                <w:sz w:val="28"/>
                <w:szCs w:val="28"/>
                <w:lang w:val="en-US"/>
              </w:rPr>
            </w:pPr>
            <w:r>
              <w:rPr>
                <w:sz w:val="28"/>
                <w:szCs w:val="28"/>
                <w:lang w:val="en-US"/>
              </w:rPr>
              <w:t>1,87</w:t>
            </w:r>
            <w:r>
              <w:rPr>
                <w:sz w:val="28"/>
                <w:szCs w:val="28"/>
                <w:lang w:val="uk-UA"/>
              </w:rPr>
              <w:t xml:space="preserve"> </w:t>
            </w:r>
            <w:r>
              <w:rPr>
                <w:sz w:val="28"/>
                <w:szCs w:val="28"/>
                <w:lang w:val="en-US"/>
              </w:rPr>
              <w:t>(1,69;</w:t>
            </w:r>
            <w:r>
              <w:rPr>
                <w:sz w:val="28"/>
                <w:szCs w:val="28"/>
                <w:lang w:val="uk-UA"/>
              </w:rPr>
              <w:t xml:space="preserve"> </w:t>
            </w:r>
            <w:r>
              <w:rPr>
                <w:sz w:val="28"/>
                <w:szCs w:val="28"/>
                <w:lang w:val="en-US"/>
              </w:rPr>
              <w:t>1,99)*#</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Контрольна група</w:t>
            </w:r>
          </w:p>
        </w:tc>
        <w:tc>
          <w:tcPr>
            <w:tcW w:w="6188" w:type="dxa"/>
            <w:gridSpan w:val="2"/>
            <w:vAlign w:val="center"/>
          </w:tcPr>
          <w:p w:rsidR="00F026A2" w:rsidRDefault="00F026A2" w:rsidP="00A0176F">
            <w:pPr>
              <w:spacing w:line="360" w:lineRule="auto"/>
              <w:jc w:val="center"/>
              <w:rPr>
                <w:sz w:val="28"/>
                <w:szCs w:val="28"/>
                <w:lang w:val="en-US"/>
              </w:rPr>
            </w:pPr>
            <w:r>
              <w:rPr>
                <w:sz w:val="28"/>
                <w:szCs w:val="28"/>
                <w:lang w:val="en-US"/>
              </w:rPr>
              <w:t>1,94</w:t>
            </w:r>
            <w:r>
              <w:rPr>
                <w:sz w:val="28"/>
                <w:szCs w:val="28"/>
                <w:lang w:val="uk-UA"/>
              </w:rPr>
              <w:t xml:space="preserve"> </w:t>
            </w:r>
            <w:r>
              <w:rPr>
                <w:sz w:val="28"/>
                <w:szCs w:val="28"/>
                <w:lang w:val="en-US"/>
              </w:rPr>
              <w:t>(1,73;</w:t>
            </w:r>
            <w:r>
              <w:rPr>
                <w:sz w:val="28"/>
                <w:szCs w:val="28"/>
                <w:lang w:val="uk-UA"/>
              </w:rPr>
              <w:t xml:space="preserve"> </w:t>
            </w:r>
            <w:r>
              <w:rPr>
                <w:sz w:val="28"/>
                <w:szCs w:val="28"/>
                <w:lang w:val="en-US"/>
              </w:rPr>
              <w:t>2,02)</w:t>
            </w:r>
          </w:p>
        </w:tc>
      </w:tr>
    </w:tbl>
    <w:p w:rsidR="00A0176F" w:rsidRDefault="00A0176F" w:rsidP="00A0176F">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0,05 щодо групи контролю;</w:t>
      </w:r>
    </w:p>
    <w:p w:rsidR="00F026A2" w:rsidRDefault="00A0176F" w:rsidP="00A0176F">
      <w:pPr>
        <w:spacing w:line="360" w:lineRule="auto"/>
        <w:ind w:left="707" w:firstLine="709"/>
        <w:jc w:val="both"/>
        <w:rPr>
          <w:sz w:val="28"/>
          <w:szCs w:val="28"/>
          <w:lang w:val="uk-UA"/>
        </w:rPr>
      </w:pPr>
      <w:r>
        <w:rPr>
          <w:sz w:val="28"/>
          <w:szCs w:val="28"/>
          <w:lang w:val="uk-UA"/>
        </w:rPr>
        <w:t xml:space="preserve"># –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0,001 щодо показників до лікування.</w:t>
      </w:r>
    </w:p>
    <w:p w:rsidR="00A0176F" w:rsidRDefault="00A0176F" w:rsidP="00A0176F">
      <w:pPr>
        <w:spacing w:line="360" w:lineRule="auto"/>
        <w:ind w:firstLine="720"/>
        <w:jc w:val="both"/>
        <w:rPr>
          <w:sz w:val="28"/>
          <w:szCs w:val="28"/>
          <w:lang w:val="uk-UA"/>
        </w:rPr>
      </w:pPr>
      <w:r>
        <w:rPr>
          <w:sz w:val="28"/>
          <w:szCs w:val="28"/>
          <w:lang w:val="uk-UA"/>
        </w:rPr>
        <w:lastRenderedPageBreak/>
        <w:t xml:space="preserve">У хворих в </w:t>
      </w:r>
      <w:r w:rsidR="00F026A2">
        <w:rPr>
          <w:sz w:val="28"/>
          <w:szCs w:val="28"/>
          <w:lang w:val="uk-UA"/>
        </w:rPr>
        <w:t xml:space="preserve">1 </w:t>
      </w:r>
      <w:r>
        <w:rPr>
          <w:sz w:val="28"/>
          <w:szCs w:val="28"/>
          <w:lang w:val="uk-UA"/>
        </w:rPr>
        <w:t>групі концентрація ФНП</w:t>
      </w:r>
      <w:r w:rsidR="00F026A2">
        <w:rPr>
          <w:sz w:val="28"/>
          <w:szCs w:val="28"/>
          <w:lang w:val="uk-UA"/>
        </w:rPr>
        <w:t>–</w:t>
      </w:r>
      <w:r>
        <w:rPr>
          <w:sz w:val="28"/>
          <w:szCs w:val="28"/>
          <w:lang w:val="uk-UA"/>
        </w:rPr>
        <w:t>α після лікування склала</w:t>
      </w:r>
      <w:r w:rsidR="00F026A2">
        <w:rPr>
          <w:sz w:val="28"/>
          <w:szCs w:val="28"/>
          <w:lang w:val="uk-UA"/>
        </w:rPr>
        <w:t xml:space="preserve"> 1,93 (1,77; 2,09) </w:t>
      </w:r>
      <w:r>
        <w:rPr>
          <w:sz w:val="28"/>
          <w:szCs w:val="28"/>
          <w:lang w:val="uk-UA"/>
        </w:rPr>
        <w:t xml:space="preserve"> пг\мл і була вірогідно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нижчою, ніж до лікування, так само, як і в </w:t>
      </w:r>
      <w:r w:rsidR="00F026A2">
        <w:rPr>
          <w:sz w:val="28"/>
          <w:szCs w:val="28"/>
          <w:lang w:val="uk-UA"/>
        </w:rPr>
        <w:t>2</w:t>
      </w:r>
      <w:r>
        <w:rPr>
          <w:sz w:val="28"/>
          <w:szCs w:val="28"/>
          <w:lang w:val="uk-UA"/>
        </w:rPr>
        <w:t xml:space="preserve"> групі: </w:t>
      </w:r>
      <w:r w:rsidR="00F026A2">
        <w:rPr>
          <w:sz w:val="28"/>
          <w:szCs w:val="28"/>
          <w:lang w:val="uk-UA"/>
        </w:rPr>
        <w:t xml:space="preserve">1,87 (1,69; 1,99) </w:t>
      </w:r>
      <w:r>
        <w:rPr>
          <w:sz w:val="28"/>
          <w:szCs w:val="28"/>
          <w:lang w:val="uk-UA"/>
        </w:rPr>
        <w:t>пг/мл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що було </w:t>
      </w:r>
      <w:r w:rsidR="00F026A2">
        <w:rPr>
          <w:sz w:val="28"/>
          <w:szCs w:val="28"/>
          <w:lang w:val="uk-UA"/>
        </w:rPr>
        <w:t>зіставне</w:t>
      </w:r>
      <w:r>
        <w:rPr>
          <w:sz w:val="28"/>
          <w:szCs w:val="28"/>
          <w:lang w:val="uk-UA"/>
        </w:rPr>
        <w:t xml:space="preserve"> з показниками контрольної групи (1,94</w:t>
      </w:r>
      <w:r w:rsidR="00F026A2">
        <w:rPr>
          <w:sz w:val="28"/>
          <w:szCs w:val="28"/>
          <w:lang w:val="uk-UA"/>
        </w:rPr>
        <w:t xml:space="preserve"> </w:t>
      </w:r>
      <w:r>
        <w:rPr>
          <w:sz w:val="28"/>
          <w:szCs w:val="28"/>
          <w:lang w:val="uk-UA"/>
        </w:rPr>
        <w:t>(1,73;</w:t>
      </w:r>
      <w:r w:rsidR="00F026A2">
        <w:rPr>
          <w:sz w:val="28"/>
          <w:szCs w:val="28"/>
          <w:lang w:val="uk-UA"/>
        </w:rPr>
        <w:t xml:space="preserve"> </w:t>
      </w:r>
      <w:r>
        <w:rPr>
          <w:sz w:val="28"/>
          <w:szCs w:val="28"/>
          <w:lang w:val="uk-UA"/>
        </w:rPr>
        <w:t>2,02) пг\мл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0,05)).</w:t>
      </w:r>
    </w:p>
    <w:p w:rsidR="00A0176F" w:rsidRDefault="00A0176F" w:rsidP="00A0176F">
      <w:pPr>
        <w:spacing w:line="360" w:lineRule="auto"/>
        <w:ind w:firstLine="720"/>
        <w:jc w:val="both"/>
        <w:rPr>
          <w:sz w:val="28"/>
          <w:szCs w:val="28"/>
          <w:lang w:val="uk-UA"/>
        </w:rPr>
      </w:pPr>
      <w:r>
        <w:rPr>
          <w:sz w:val="28"/>
          <w:szCs w:val="28"/>
          <w:lang w:val="uk-UA"/>
        </w:rPr>
        <w:t>У процесі лікування відзначене відновлення порушеного вмісту ІЛ</w:t>
      </w:r>
      <w:r w:rsidR="00F026A2">
        <w:rPr>
          <w:sz w:val="28"/>
          <w:szCs w:val="28"/>
          <w:lang w:val="uk-UA"/>
        </w:rPr>
        <w:t>–</w:t>
      </w:r>
      <w:r>
        <w:rPr>
          <w:sz w:val="28"/>
          <w:szCs w:val="28"/>
          <w:lang w:val="uk-UA"/>
        </w:rPr>
        <w:t>6 у хворих обох груп. Дані про вплив комплексної терапії на рівень ІЛ</w:t>
      </w:r>
      <w:r w:rsidR="00F026A2">
        <w:rPr>
          <w:sz w:val="28"/>
          <w:szCs w:val="28"/>
          <w:lang w:val="uk-UA"/>
        </w:rPr>
        <w:t>–</w:t>
      </w:r>
      <w:r>
        <w:rPr>
          <w:sz w:val="28"/>
          <w:szCs w:val="28"/>
          <w:lang w:val="uk-UA"/>
        </w:rPr>
        <w:t xml:space="preserve">6 представлені на рис. 3.5.4. </w:t>
      </w:r>
    </w:p>
    <w:p w:rsidR="00A0176F" w:rsidRDefault="00ED7296" w:rsidP="00A0176F">
      <w:pPr>
        <w:spacing w:line="360" w:lineRule="auto"/>
        <w:ind w:firstLine="720"/>
        <w:jc w:val="both"/>
        <w:rPr>
          <w:sz w:val="28"/>
          <w:szCs w:val="28"/>
          <w:lang w:val="uk-UA"/>
        </w:rPr>
      </w:pPr>
      <w:r>
        <w:rPr>
          <w:noProof/>
        </w:rPr>
        <w:pict>
          <v:shape id="Рисунок 3" o:spid="_x0000_i1034" type="#_x0000_t75" style="width:354.5pt;height:204.5pt;visibility:visible">
            <v:imagedata r:id="rId18" o:title=""/>
          </v:shape>
        </w:pict>
      </w:r>
    </w:p>
    <w:p w:rsidR="00A0176F" w:rsidRDefault="00A0176F" w:rsidP="00A0176F">
      <w:pPr>
        <w:spacing w:line="360" w:lineRule="auto"/>
        <w:ind w:firstLine="709"/>
        <w:jc w:val="both"/>
        <w:rPr>
          <w:sz w:val="28"/>
          <w:szCs w:val="28"/>
          <w:lang w:val="uk-UA"/>
        </w:rPr>
      </w:pPr>
      <w:r>
        <w:rPr>
          <w:sz w:val="28"/>
          <w:szCs w:val="28"/>
          <w:lang w:val="uk-UA"/>
        </w:rPr>
        <w:t>Рис. 3.5.4. Рівень ІЛ</w:t>
      </w:r>
      <w:r w:rsidR="00F026A2">
        <w:rPr>
          <w:sz w:val="28"/>
          <w:szCs w:val="28"/>
          <w:lang w:val="uk-UA"/>
        </w:rPr>
        <w:t>–</w:t>
      </w:r>
      <w:r>
        <w:rPr>
          <w:sz w:val="28"/>
          <w:szCs w:val="28"/>
          <w:lang w:val="uk-UA"/>
        </w:rPr>
        <w:t>6 в сироватці крові хворих двох груп до та після лікування (пг/мл)</w:t>
      </w:r>
    </w:p>
    <w:p w:rsidR="00A0176F" w:rsidRDefault="00A0176F" w:rsidP="00A0176F">
      <w:pPr>
        <w:spacing w:line="360" w:lineRule="auto"/>
        <w:ind w:firstLine="709"/>
        <w:jc w:val="both"/>
        <w:rPr>
          <w:sz w:val="28"/>
          <w:szCs w:val="28"/>
          <w:lang w:val="uk-UA"/>
        </w:rPr>
      </w:pPr>
      <w:r>
        <w:rPr>
          <w:sz w:val="28"/>
          <w:szCs w:val="28"/>
          <w:lang w:val="uk-UA"/>
        </w:rPr>
        <w:t>При аналізі вмісту ІЛ</w:t>
      </w:r>
      <w:r w:rsidR="00F026A2">
        <w:rPr>
          <w:sz w:val="28"/>
          <w:szCs w:val="28"/>
          <w:lang w:val="uk-UA"/>
        </w:rPr>
        <w:t>–</w:t>
      </w:r>
      <w:r>
        <w:rPr>
          <w:sz w:val="28"/>
          <w:szCs w:val="28"/>
          <w:lang w:val="uk-UA"/>
        </w:rPr>
        <w:t xml:space="preserve">6 в сироватці крові у хворих </w:t>
      </w:r>
      <w:r w:rsidR="00077FA6">
        <w:rPr>
          <w:sz w:val="28"/>
          <w:szCs w:val="28"/>
          <w:lang w:val="uk-UA"/>
        </w:rPr>
        <w:t>1</w:t>
      </w:r>
      <w:r>
        <w:rPr>
          <w:sz w:val="28"/>
          <w:szCs w:val="28"/>
          <w:lang w:val="uk-UA"/>
        </w:rPr>
        <w:t xml:space="preserve"> та </w:t>
      </w:r>
      <w:r w:rsidR="00077FA6">
        <w:rPr>
          <w:sz w:val="28"/>
          <w:szCs w:val="28"/>
          <w:lang w:val="uk-UA"/>
        </w:rPr>
        <w:t>2</w:t>
      </w:r>
      <w:r>
        <w:rPr>
          <w:sz w:val="28"/>
          <w:szCs w:val="28"/>
          <w:lang w:val="uk-UA"/>
        </w:rPr>
        <w:t xml:space="preserve"> груп було відмічено вірогідне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w:t>
      </w:r>
      <w:r w:rsidR="00F026A2">
        <w:rPr>
          <w:sz w:val="28"/>
          <w:szCs w:val="28"/>
          <w:lang w:val="uk-UA"/>
        </w:rPr>
        <w:t>зниження</w:t>
      </w:r>
      <w:r>
        <w:rPr>
          <w:sz w:val="28"/>
          <w:szCs w:val="28"/>
          <w:lang w:val="uk-UA"/>
        </w:rPr>
        <w:t xml:space="preserve"> цього показника –</w:t>
      </w:r>
      <w:r w:rsidR="00F026A2">
        <w:rPr>
          <w:sz w:val="28"/>
          <w:szCs w:val="28"/>
          <w:lang w:val="uk-UA"/>
        </w:rPr>
        <w:t xml:space="preserve"> 1,99 (1,89; 2,13) </w:t>
      </w:r>
      <w:r>
        <w:rPr>
          <w:sz w:val="28"/>
          <w:szCs w:val="28"/>
          <w:lang w:val="uk-UA"/>
        </w:rPr>
        <w:t xml:space="preserve">пг/мл та </w:t>
      </w:r>
      <w:r w:rsidR="00F026A2" w:rsidRPr="00F026A2">
        <w:rPr>
          <w:sz w:val="28"/>
          <w:szCs w:val="28"/>
          <w:lang w:val="uk-UA"/>
        </w:rPr>
        <w:t xml:space="preserve"> </w:t>
      </w:r>
      <w:r w:rsidR="00F026A2">
        <w:rPr>
          <w:sz w:val="28"/>
          <w:szCs w:val="28"/>
          <w:lang w:val="uk-UA"/>
        </w:rPr>
        <w:t xml:space="preserve">1,95 (1,82; 2,14) </w:t>
      </w:r>
      <w:r>
        <w:rPr>
          <w:sz w:val="28"/>
          <w:szCs w:val="28"/>
          <w:lang w:val="uk-UA"/>
        </w:rPr>
        <w:t xml:space="preserve"> пг/мл відповідно, що не відрізнялось від рівнів ІЛ</w:t>
      </w:r>
      <w:r w:rsidR="00F026A2">
        <w:rPr>
          <w:sz w:val="28"/>
          <w:szCs w:val="28"/>
          <w:lang w:val="uk-UA"/>
        </w:rPr>
        <w:t>–</w:t>
      </w:r>
      <w:r>
        <w:rPr>
          <w:sz w:val="28"/>
          <w:szCs w:val="28"/>
          <w:lang w:val="uk-UA"/>
        </w:rPr>
        <w:t>6 в групі практично здорових осіб (1,72</w:t>
      </w:r>
      <w:r w:rsidR="00F026A2">
        <w:rPr>
          <w:sz w:val="28"/>
          <w:szCs w:val="28"/>
          <w:lang w:val="uk-UA"/>
        </w:rPr>
        <w:t xml:space="preserve"> </w:t>
      </w:r>
      <w:r>
        <w:rPr>
          <w:sz w:val="28"/>
          <w:szCs w:val="28"/>
          <w:lang w:val="uk-UA"/>
        </w:rPr>
        <w:t>(1,36;</w:t>
      </w:r>
      <w:r w:rsidR="00F026A2">
        <w:rPr>
          <w:sz w:val="28"/>
          <w:szCs w:val="28"/>
          <w:lang w:val="uk-UA"/>
        </w:rPr>
        <w:t xml:space="preserve"> </w:t>
      </w:r>
      <w:r>
        <w:rPr>
          <w:sz w:val="28"/>
          <w:szCs w:val="28"/>
          <w:lang w:val="uk-UA"/>
        </w:rPr>
        <w:t>2,19) пг/мл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0,05)) (табл. 3.5.5.).</w:t>
      </w: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F026A2" w:rsidRDefault="00F026A2" w:rsidP="00A0176F">
      <w:pPr>
        <w:spacing w:line="360" w:lineRule="auto"/>
        <w:ind w:firstLine="709"/>
        <w:jc w:val="right"/>
        <w:rPr>
          <w:sz w:val="28"/>
          <w:szCs w:val="28"/>
          <w:lang w:val="uk-UA"/>
        </w:rPr>
      </w:pPr>
    </w:p>
    <w:p w:rsidR="00A0176F" w:rsidRDefault="00A0176F" w:rsidP="00A0176F">
      <w:pPr>
        <w:spacing w:line="360" w:lineRule="auto"/>
        <w:ind w:firstLine="709"/>
        <w:jc w:val="right"/>
        <w:rPr>
          <w:sz w:val="28"/>
          <w:szCs w:val="28"/>
          <w:lang w:val="uk-UA"/>
        </w:rPr>
      </w:pPr>
      <w:r>
        <w:rPr>
          <w:sz w:val="28"/>
          <w:szCs w:val="28"/>
          <w:lang w:val="uk-UA"/>
        </w:rPr>
        <w:lastRenderedPageBreak/>
        <w:t>Таблиця 3.5.5</w:t>
      </w:r>
    </w:p>
    <w:p w:rsidR="00A0176F" w:rsidRDefault="00A0176F" w:rsidP="00F026A2">
      <w:pPr>
        <w:spacing w:line="360" w:lineRule="auto"/>
        <w:ind w:firstLine="709"/>
        <w:jc w:val="center"/>
        <w:rPr>
          <w:sz w:val="28"/>
          <w:szCs w:val="28"/>
          <w:lang w:val="uk-UA"/>
        </w:rPr>
      </w:pPr>
      <w:r>
        <w:rPr>
          <w:sz w:val="28"/>
          <w:szCs w:val="28"/>
          <w:lang w:val="uk-UA"/>
        </w:rPr>
        <w:t>Вміст ІЛ</w:t>
      </w:r>
      <w:r w:rsidR="00F026A2">
        <w:rPr>
          <w:sz w:val="28"/>
          <w:szCs w:val="28"/>
          <w:lang w:val="uk-UA"/>
        </w:rPr>
        <w:t>–</w:t>
      </w:r>
      <w:r>
        <w:rPr>
          <w:sz w:val="28"/>
          <w:szCs w:val="28"/>
          <w:lang w:val="uk-UA"/>
        </w:rPr>
        <w:t xml:space="preserve">6 в сироватці крові у хворих </w:t>
      </w:r>
      <w:r w:rsidR="00F026A2">
        <w:rPr>
          <w:sz w:val="28"/>
          <w:szCs w:val="28"/>
          <w:lang w:val="uk-UA"/>
        </w:rPr>
        <w:t xml:space="preserve">1 та 2 груп </w:t>
      </w:r>
      <w:r>
        <w:rPr>
          <w:sz w:val="28"/>
          <w:szCs w:val="28"/>
          <w:lang w:val="uk-UA"/>
        </w:rPr>
        <w:t>до та після лікування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A0176F" w:rsidTr="00A0176F">
        <w:tc>
          <w:tcPr>
            <w:tcW w:w="3383" w:type="dxa"/>
            <w:vMerge w:val="restart"/>
            <w:vAlign w:val="center"/>
          </w:tcPr>
          <w:p w:rsidR="00A0176F" w:rsidRDefault="00A0176F" w:rsidP="00A0176F">
            <w:pPr>
              <w:spacing w:line="360" w:lineRule="auto"/>
              <w:jc w:val="center"/>
              <w:rPr>
                <w:sz w:val="28"/>
                <w:szCs w:val="28"/>
                <w:lang w:val="uk-UA"/>
              </w:rPr>
            </w:pPr>
            <w:r>
              <w:rPr>
                <w:sz w:val="28"/>
                <w:szCs w:val="28"/>
                <w:lang w:val="uk-UA"/>
              </w:rPr>
              <w:t>Групи</w:t>
            </w:r>
          </w:p>
        </w:tc>
        <w:tc>
          <w:tcPr>
            <w:tcW w:w="6188" w:type="dxa"/>
            <w:gridSpan w:val="2"/>
            <w:vAlign w:val="center"/>
          </w:tcPr>
          <w:p w:rsidR="00A0176F" w:rsidRDefault="00A0176F" w:rsidP="00A0176F">
            <w:pPr>
              <w:spacing w:line="360" w:lineRule="auto"/>
              <w:jc w:val="center"/>
              <w:rPr>
                <w:sz w:val="28"/>
                <w:szCs w:val="28"/>
                <w:lang w:val="uk-UA"/>
              </w:rPr>
            </w:pPr>
            <w:r>
              <w:rPr>
                <w:sz w:val="28"/>
                <w:szCs w:val="28"/>
                <w:lang w:val="uk-UA"/>
              </w:rPr>
              <w:t>ІЛ</w:t>
            </w:r>
            <w:r w:rsidR="00F026A2">
              <w:rPr>
                <w:sz w:val="28"/>
                <w:szCs w:val="28"/>
                <w:lang w:val="uk-UA"/>
              </w:rPr>
              <w:t>–</w:t>
            </w:r>
            <w:r>
              <w:rPr>
                <w:sz w:val="28"/>
                <w:szCs w:val="28"/>
                <w:lang w:val="uk-UA"/>
              </w:rPr>
              <w:t>6 – пг/мл</w:t>
            </w:r>
          </w:p>
          <w:p w:rsidR="00A0176F" w:rsidRDefault="00A0176F" w:rsidP="00A0176F">
            <w:pPr>
              <w:spacing w:line="360" w:lineRule="auto"/>
              <w:jc w:val="center"/>
              <w:rPr>
                <w:sz w:val="28"/>
                <w:szCs w:val="28"/>
                <w:lang w:val="uk-UA"/>
              </w:rPr>
            </w:pPr>
            <w:r>
              <w:rPr>
                <w:sz w:val="28"/>
                <w:szCs w:val="28"/>
                <w:lang w:val="uk-UA"/>
              </w:rPr>
              <w:t>(Ме (25%;</w:t>
            </w:r>
            <w:r w:rsidR="00F026A2">
              <w:rPr>
                <w:sz w:val="28"/>
                <w:szCs w:val="28"/>
                <w:lang w:val="uk-UA"/>
              </w:rPr>
              <w:t xml:space="preserve"> </w:t>
            </w:r>
            <w:r>
              <w:rPr>
                <w:sz w:val="28"/>
                <w:szCs w:val="28"/>
                <w:lang w:val="uk-UA"/>
              </w:rPr>
              <w:t>75%))</w:t>
            </w:r>
          </w:p>
        </w:tc>
      </w:tr>
      <w:tr w:rsidR="00A0176F" w:rsidTr="00A0176F">
        <w:tc>
          <w:tcPr>
            <w:tcW w:w="0" w:type="auto"/>
            <w:vMerge/>
            <w:vAlign w:val="center"/>
          </w:tcPr>
          <w:p w:rsidR="00A0176F" w:rsidRDefault="00A0176F" w:rsidP="00A0176F">
            <w:pPr>
              <w:rPr>
                <w:sz w:val="28"/>
                <w:szCs w:val="28"/>
                <w:lang w:val="uk-UA"/>
              </w:rPr>
            </w:pPr>
          </w:p>
        </w:tc>
        <w:tc>
          <w:tcPr>
            <w:tcW w:w="3429" w:type="dxa"/>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2759" w:type="dxa"/>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429" w:type="dxa"/>
            <w:vAlign w:val="center"/>
          </w:tcPr>
          <w:p w:rsidR="00F026A2" w:rsidRDefault="00F026A2" w:rsidP="007E691D">
            <w:pPr>
              <w:spacing w:line="360" w:lineRule="auto"/>
              <w:jc w:val="center"/>
              <w:rPr>
                <w:sz w:val="28"/>
                <w:szCs w:val="28"/>
                <w:lang w:val="en-US"/>
              </w:rPr>
            </w:pPr>
            <w:r>
              <w:rPr>
                <w:sz w:val="28"/>
                <w:szCs w:val="28"/>
                <w:lang w:val="en-US"/>
              </w:rPr>
              <w:t>22,92</w:t>
            </w:r>
            <w:r>
              <w:rPr>
                <w:sz w:val="28"/>
                <w:szCs w:val="28"/>
                <w:lang w:val="uk-UA"/>
              </w:rPr>
              <w:t xml:space="preserve"> </w:t>
            </w:r>
            <w:r>
              <w:rPr>
                <w:sz w:val="28"/>
                <w:szCs w:val="28"/>
                <w:lang w:val="en-US"/>
              </w:rPr>
              <w:t>(20,54;</w:t>
            </w:r>
            <w:r>
              <w:rPr>
                <w:sz w:val="28"/>
                <w:szCs w:val="28"/>
                <w:lang w:val="uk-UA"/>
              </w:rPr>
              <w:t xml:space="preserve"> </w:t>
            </w:r>
            <w:r>
              <w:rPr>
                <w:sz w:val="28"/>
                <w:szCs w:val="28"/>
                <w:lang w:val="en-US"/>
              </w:rPr>
              <w:t>25,20)</w:t>
            </w:r>
          </w:p>
        </w:tc>
        <w:tc>
          <w:tcPr>
            <w:tcW w:w="2759" w:type="dxa"/>
          </w:tcPr>
          <w:p w:rsidR="00F026A2" w:rsidRDefault="00F026A2" w:rsidP="007E691D">
            <w:pPr>
              <w:spacing w:line="360" w:lineRule="auto"/>
              <w:jc w:val="center"/>
              <w:rPr>
                <w:sz w:val="28"/>
                <w:szCs w:val="28"/>
                <w:lang w:val="en-US"/>
              </w:rPr>
            </w:pPr>
            <w:r>
              <w:rPr>
                <w:sz w:val="28"/>
                <w:szCs w:val="28"/>
                <w:lang w:val="en-US"/>
              </w:rPr>
              <w:t>1,99</w:t>
            </w:r>
            <w:r>
              <w:rPr>
                <w:sz w:val="28"/>
                <w:szCs w:val="28"/>
                <w:lang w:val="uk-UA"/>
              </w:rPr>
              <w:t xml:space="preserve"> </w:t>
            </w:r>
            <w:r>
              <w:rPr>
                <w:sz w:val="28"/>
                <w:szCs w:val="28"/>
                <w:lang w:val="en-US"/>
              </w:rPr>
              <w:t>(1,89;</w:t>
            </w:r>
            <w:r>
              <w:rPr>
                <w:sz w:val="28"/>
                <w:szCs w:val="28"/>
                <w:lang w:val="uk-UA"/>
              </w:rPr>
              <w:t xml:space="preserve"> </w:t>
            </w:r>
            <w:r>
              <w:rPr>
                <w:sz w:val="28"/>
                <w:szCs w:val="28"/>
                <w:lang w:val="en-US"/>
              </w:rPr>
              <w:t>2,13)*#</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F026A2" w:rsidRDefault="00F026A2" w:rsidP="007E691D">
            <w:pPr>
              <w:spacing w:line="360" w:lineRule="auto"/>
              <w:jc w:val="center"/>
              <w:rPr>
                <w:sz w:val="28"/>
                <w:szCs w:val="28"/>
                <w:lang w:val="uk-UA"/>
              </w:rPr>
            </w:pPr>
            <w:r>
              <w:rPr>
                <w:sz w:val="28"/>
                <w:szCs w:val="28"/>
              </w:rPr>
              <w:t>19</w:t>
            </w:r>
            <w:r>
              <w:rPr>
                <w:sz w:val="28"/>
                <w:szCs w:val="28"/>
                <w:lang w:val="en-US"/>
              </w:rPr>
              <w:t>,66</w:t>
            </w:r>
            <w:r>
              <w:rPr>
                <w:sz w:val="28"/>
                <w:szCs w:val="28"/>
                <w:lang w:val="uk-UA"/>
              </w:rPr>
              <w:t xml:space="preserve"> </w:t>
            </w:r>
            <w:r>
              <w:rPr>
                <w:sz w:val="28"/>
                <w:szCs w:val="28"/>
                <w:lang w:val="en-US"/>
              </w:rPr>
              <w:t>(18,74;</w:t>
            </w:r>
            <w:r>
              <w:rPr>
                <w:sz w:val="28"/>
                <w:szCs w:val="28"/>
                <w:lang w:val="uk-UA"/>
              </w:rPr>
              <w:t xml:space="preserve"> </w:t>
            </w:r>
            <w:r>
              <w:rPr>
                <w:sz w:val="28"/>
                <w:szCs w:val="28"/>
                <w:lang w:val="en-US"/>
              </w:rPr>
              <w:t>21,10)</w:t>
            </w:r>
          </w:p>
        </w:tc>
        <w:tc>
          <w:tcPr>
            <w:tcW w:w="2759" w:type="dxa"/>
          </w:tcPr>
          <w:p w:rsidR="00F026A2" w:rsidRDefault="00F026A2" w:rsidP="007E691D">
            <w:pPr>
              <w:spacing w:line="360" w:lineRule="auto"/>
              <w:jc w:val="center"/>
              <w:rPr>
                <w:sz w:val="28"/>
                <w:szCs w:val="28"/>
                <w:lang w:val="en-US"/>
              </w:rPr>
            </w:pPr>
            <w:r>
              <w:rPr>
                <w:sz w:val="28"/>
                <w:szCs w:val="28"/>
                <w:lang w:val="en-US"/>
              </w:rPr>
              <w:t>1,95</w:t>
            </w:r>
            <w:r>
              <w:rPr>
                <w:sz w:val="28"/>
                <w:szCs w:val="28"/>
                <w:lang w:val="uk-UA"/>
              </w:rPr>
              <w:t xml:space="preserve"> </w:t>
            </w:r>
            <w:r>
              <w:rPr>
                <w:sz w:val="28"/>
                <w:szCs w:val="28"/>
                <w:lang w:val="en-US"/>
              </w:rPr>
              <w:t>(1,82;</w:t>
            </w:r>
            <w:r>
              <w:rPr>
                <w:sz w:val="28"/>
                <w:szCs w:val="28"/>
                <w:lang w:val="uk-UA"/>
              </w:rPr>
              <w:t xml:space="preserve"> </w:t>
            </w:r>
            <w:r>
              <w:rPr>
                <w:sz w:val="28"/>
                <w:szCs w:val="28"/>
                <w:lang w:val="en-US"/>
              </w:rPr>
              <w:t>2,14)*#</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Контрольна група</w:t>
            </w:r>
          </w:p>
        </w:tc>
        <w:tc>
          <w:tcPr>
            <w:tcW w:w="6188" w:type="dxa"/>
            <w:gridSpan w:val="2"/>
            <w:vAlign w:val="center"/>
          </w:tcPr>
          <w:p w:rsidR="00F026A2" w:rsidRDefault="00F026A2" w:rsidP="00A0176F">
            <w:pPr>
              <w:spacing w:line="360" w:lineRule="auto"/>
              <w:jc w:val="center"/>
              <w:rPr>
                <w:sz w:val="28"/>
                <w:szCs w:val="28"/>
                <w:lang w:val="en-US"/>
              </w:rPr>
            </w:pPr>
            <w:r>
              <w:rPr>
                <w:sz w:val="28"/>
                <w:szCs w:val="28"/>
                <w:lang w:val="en-US"/>
              </w:rPr>
              <w:t>1,72</w:t>
            </w:r>
            <w:r>
              <w:rPr>
                <w:sz w:val="28"/>
                <w:szCs w:val="28"/>
                <w:lang w:val="uk-UA"/>
              </w:rPr>
              <w:t xml:space="preserve"> </w:t>
            </w:r>
            <w:r>
              <w:rPr>
                <w:sz w:val="28"/>
                <w:szCs w:val="28"/>
                <w:lang w:val="en-US"/>
              </w:rPr>
              <w:t>(1,36;</w:t>
            </w:r>
            <w:r>
              <w:rPr>
                <w:sz w:val="28"/>
                <w:szCs w:val="28"/>
                <w:lang w:val="uk-UA"/>
              </w:rPr>
              <w:t xml:space="preserve"> </w:t>
            </w:r>
            <w:r>
              <w:rPr>
                <w:sz w:val="28"/>
                <w:szCs w:val="28"/>
                <w:lang w:val="en-US"/>
              </w:rPr>
              <w:t>2,19)</w:t>
            </w:r>
          </w:p>
        </w:tc>
      </w:tr>
    </w:tbl>
    <w:p w:rsidR="00F026A2" w:rsidRDefault="00A0176F" w:rsidP="00F026A2">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0,05 щодо групи контролю;</w:t>
      </w:r>
      <w:r w:rsidR="00F026A2" w:rsidRPr="00F026A2">
        <w:rPr>
          <w:sz w:val="28"/>
          <w:szCs w:val="28"/>
          <w:lang w:val="uk-UA"/>
        </w:rPr>
        <w:t xml:space="preserve"> </w:t>
      </w:r>
    </w:p>
    <w:p w:rsidR="00F026A2" w:rsidRDefault="00F026A2" w:rsidP="00F026A2">
      <w:pPr>
        <w:spacing w:line="360" w:lineRule="auto"/>
        <w:ind w:left="707" w:firstLine="709"/>
        <w:jc w:val="both"/>
        <w:rPr>
          <w:sz w:val="28"/>
          <w:szCs w:val="28"/>
          <w:lang w:val="uk-UA"/>
        </w:rPr>
      </w:pPr>
      <w:r>
        <w:rPr>
          <w:sz w:val="28"/>
          <w:szCs w:val="28"/>
          <w:lang w:val="uk-UA"/>
        </w:rPr>
        <w:t xml:space="preserve"># – </w:t>
      </w:r>
      <w:r>
        <w:rPr>
          <w:sz w:val="28"/>
          <w:szCs w:val="28"/>
        </w:rPr>
        <w:t>p</w:t>
      </w:r>
      <w:r>
        <w:rPr>
          <w:sz w:val="28"/>
          <w:szCs w:val="28"/>
          <w:lang w:val="uk-UA"/>
        </w:rPr>
        <w:t xml:space="preserve"> &lt; 0,001 щодо показників до лікування.</w:t>
      </w:r>
    </w:p>
    <w:p w:rsidR="00A0176F" w:rsidRDefault="00A0176F" w:rsidP="00A0176F">
      <w:pPr>
        <w:spacing w:line="360" w:lineRule="auto"/>
        <w:ind w:firstLine="709"/>
        <w:jc w:val="both"/>
        <w:rPr>
          <w:sz w:val="28"/>
          <w:szCs w:val="28"/>
          <w:lang w:val="uk-UA"/>
        </w:rPr>
      </w:pPr>
      <w:r>
        <w:rPr>
          <w:sz w:val="28"/>
          <w:szCs w:val="28"/>
          <w:lang w:val="uk-UA"/>
        </w:rPr>
        <w:t>Під впливом лікування у всіх хворих нормалізувались рівні NO плазми крові. Результати динаміки вмісту ІЛ</w:t>
      </w:r>
      <w:r w:rsidR="00F026A2">
        <w:rPr>
          <w:sz w:val="28"/>
          <w:szCs w:val="28"/>
          <w:lang w:val="uk-UA"/>
        </w:rPr>
        <w:t>–</w:t>
      </w:r>
      <w:r>
        <w:rPr>
          <w:sz w:val="28"/>
          <w:szCs w:val="28"/>
          <w:lang w:val="uk-UA"/>
        </w:rPr>
        <w:t>6 у хворих обох груп викладені на рис. 3.5.5.</w:t>
      </w:r>
    </w:p>
    <w:p w:rsidR="00A0176F" w:rsidRDefault="00ED7296" w:rsidP="00A0176F">
      <w:pPr>
        <w:spacing w:line="360" w:lineRule="auto"/>
        <w:ind w:firstLine="709"/>
        <w:jc w:val="both"/>
        <w:rPr>
          <w:sz w:val="28"/>
          <w:szCs w:val="28"/>
          <w:lang w:val="uk-UA"/>
        </w:rPr>
      </w:pPr>
      <w:r>
        <w:rPr>
          <w:noProof/>
        </w:rPr>
        <w:pict>
          <v:shape id="Рисунок 2" o:spid="_x0000_i1035" type="#_x0000_t75" style="width:354.5pt;height:220pt;visibility:visible">
            <v:imagedata r:id="rId19" o:title=""/>
          </v:shape>
        </w:pict>
      </w:r>
    </w:p>
    <w:p w:rsidR="00A0176F" w:rsidRDefault="00A0176F" w:rsidP="00A0176F">
      <w:pPr>
        <w:spacing w:line="360" w:lineRule="auto"/>
        <w:ind w:firstLine="709"/>
        <w:jc w:val="both"/>
        <w:rPr>
          <w:sz w:val="28"/>
          <w:szCs w:val="28"/>
          <w:lang w:val="uk-UA"/>
        </w:rPr>
      </w:pPr>
      <w:r>
        <w:rPr>
          <w:sz w:val="28"/>
          <w:szCs w:val="28"/>
          <w:lang w:val="uk-UA"/>
        </w:rPr>
        <w:t>Рис. 3.5.5. Рівень NO в плазмі крові хворих двох груп до та після лікування (мкмоль/л)</w:t>
      </w:r>
    </w:p>
    <w:p w:rsidR="00A0176F" w:rsidRDefault="00A0176F" w:rsidP="00A0176F">
      <w:pPr>
        <w:spacing w:line="360" w:lineRule="auto"/>
        <w:ind w:firstLine="709"/>
        <w:jc w:val="both"/>
        <w:rPr>
          <w:sz w:val="28"/>
          <w:szCs w:val="28"/>
          <w:lang w:val="uk-UA"/>
        </w:rPr>
      </w:pPr>
      <w:r>
        <w:rPr>
          <w:sz w:val="28"/>
          <w:szCs w:val="28"/>
          <w:lang w:val="uk-UA"/>
        </w:rPr>
        <w:t xml:space="preserve">Як видно із викладених даних, у хворих </w:t>
      </w:r>
      <w:r w:rsidR="00077FA6">
        <w:rPr>
          <w:sz w:val="28"/>
          <w:szCs w:val="28"/>
          <w:lang w:val="uk-UA"/>
        </w:rPr>
        <w:t>1</w:t>
      </w:r>
      <w:r>
        <w:rPr>
          <w:sz w:val="28"/>
          <w:szCs w:val="28"/>
          <w:lang w:val="uk-UA"/>
        </w:rPr>
        <w:t xml:space="preserve"> та </w:t>
      </w:r>
      <w:r w:rsidR="00077FA6">
        <w:rPr>
          <w:sz w:val="28"/>
          <w:szCs w:val="28"/>
          <w:lang w:val="uk-UA"/>
        </w:rPr>
        <w:t>2</w:t>
      </w:r>
      <w:r>
        <w:rPr>
          <w:sz w:val="28"/>
          <w:szCs w:val="28"/>
          <w:lang w:val="uk-UA"/>
        </w:rPr>
        <w:t xml:space="preserve"> групи повністю нормалізувались рівні NO. Концентрація NO після лікування фіксувалась на рівні  </w:t>
      </w:r>
      <w:r w:rsidR="00F026A2">
        <w:rPr>
          <w:sz w:val="28"/>
          <w:szCs w:val="28"/>
          <w:lang w:val="uk-UA"/>
        </w:rPr>
        <w:t>48,6 (46,1; 51,1)</w:t>
      </w:r>
      <w:r>
        <w:rPr>
          <w:sz w:val="28"/>
          <w:szCs w:val="28"/>
          <w:lang w:val="uk-UA"/>
        </w:rPr>
        <w:t xml:space="preserve"> мкмоль/л у пацієнтів </w:t>
      </w:r>
      <w:r w:rsidR="00077FA6">
        <w:rPr>
          <w:sz w:val="28"/>
          <w:szCs w:val="28"/>
          <w:lang w:val="uk-UA"/>
        </w:rPr>
        <w:t>1</w:t>
      </w:r>
      <w:r>
        <w:rPr>
          <w:sz w:val="28"/>
          <w:szCs w:val="28"/>
          <w:lang w:val="uk-UA"/>
        </w:rPr>
        <w:t xml:space="preserve"> групи (p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та </w:t>
      </w:r>
      <w:r w:rsidR="00F026A2">
        <w:rPr>
          <w:sz w:val="28"/>
          <w:szCs w:val="28"/>
          <w:lang w:val="uk-UA"/>
        </w:rPr>
        <w:t>49,1 (45,0; 52,3)</w:t>
      </w:r>
      <w:r>
        <w:rPr>
          <w:sz w:val="28"/>
          <w:szCs w:val="28"/>
          <w:lang w:val="uk-UA"/>
        </w:rPr>
        <w:t xml:space="preserve"> мкмоль/л (p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у хворих </w:t>
      </w:r>
      <w:r w:rsidR="00077FA6">
        <w:rPr>
          <w:sz w:val="28"/>
          <w:szCs w:val="28"/>
          <w:lang w:val="uk-UA"/>
        </w:rPr>
        <w:t>2</w:t>
      </w:r>
      <w:r>
        <w:rPr>
          <w:sz w:val="28"/>
          <w:szCs w:val="28"/>
          <w:lang w:val="uk-UA"/>
        </w:rPr>
        <w:t xml:space="preserve"> досліджуваної групи. Ці результати достовірно не </w:t>
      </w:r>
      <w:r>
        <w:rPr>
          <w:sz w:val="28"/>
          <w:szCs w:val="28"/>
          <w:lang w:val="uk-UA"/>
        </w:rPr>
        <w:lastRenderedPageBreak/>
        <w:t>перевищували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 xml:space="preserve">0,05) показників контрольної групи – </w:t>
      </w:r>
      <w:r>
        <w:rPr>
          <w:sz w:val="28"/>
          <w:szCs w:val="28"/>
        </w:rPr>
        <w:t>46,7</w:t>
      </w:r>
      <w:r w:rsidR="00F026A2">
        <w:rPr>
          <w:sz w:val="28"/>
          <w:szCs w:val="28"/>
          <w:lang w:val="uk-UA"/>
        </w:rPr>
        <w:t xml:space="preserve"> </w:t>
      </w:r>
      <w:r>
        <w:rPr>
          <w:sz w:val="28"/>
          <w:szCs w:val="28"/>
        </w:rPr>
        <w:t>(40,5;</w:t>
      </w:r>
      <w:r w:rsidR="00F026A2">
        <w:rPr>
          <w:sz w:val="28"/>
          <w:szCs w:val="28"/>
          <w:lang w:val="uk-UA"/>
        </w:rPr>
        <w:t xml:space="preserve"> </w:t>
      </w:r>
      <w:r>
        <w:rPr>
          <w:sz w:val="28"/>
          <w:szCs w:val="28"/>
        </w:rPr>
        <w:t>53,9)</w:t>
      </w:r>
      <w:r>
        <w:rPr>
          <w:sz w:val="28"/>
          <w:szCs w:val="28"/>
          <w:lang w:val="uk-UA"/>
        </w:rPr>
        <w:t xml:space="preserve"> мкмоль/л (табл. 3.5.6.).</w:t>
      </w:r>
    </w:p>
    <w:p w:rsidR="00A0176F" w:rsidRDefault="00A0176F" w:rsidP="00A0176F">
      <w:pPr>
        <w:spacing w:line="360" w:lineRule="auto"/>
        <w:ind w:firstLine="709"/>
        <w:jc w:val="right"/>
        <w:rPr>
          <w:sz w:val="28"/>
          <w:szCs w:val="28"/>
          <w:lang w:val="uk-UA"/>
        </w:rPr>
      </w:pPr>
      <w:r>
        <w:rPr>
          <w:sz w:val="28"/>
          <w:szCs w:val="28"/>
          <w:lang w:val="uk-UA"/>
        </w:rPr>
        <w:t>Таблиця 3.5.6</w:t>
      </w:r>
    </w:p>
    <w:p w:rsidR="00A0176F" w:rsidRDefault="00A0176F" w:rsidP="00F026A2">
      <w:pPr>
        <w:spacing w:line="360" w:lineRule="auto"/>
        <w:ind w:firstLine="709"/>
        <w:jc w:val="center"/>
        <w:rPr>
          <w:sz w:val="28"/>
          <w:szCs w:val="28"/>
          <w:lang w:val="uk-UA"/>
        </w:rPr>
      </w:pPr>
      <w:r>
        <w:rPr>
          <w:sz w:val="28"/>
          <w:szCs w:val="28"/>
          <w:lang w:val="uk-UA"/>
        </w:rPr>
        <w:t xml:space="preserve">Вміст NO в плазмі крові у хворих </w:t>
      </w:r>
      <w:r w:rsidR="00F026A2">
        <w:rPr>
          <w:sz w:val="28"/>
          <w:szCs w:val="28"/>
          <w:lang w:val="uk-UA"/>
        </w:rPr>
        <w:t xml:space="preserve">1 та 2 груп </w:t>
      </w:r>
      <w:r>
        <w:rPr>
          <w:sz w:val="28"/>
          <w:szCs w:val="28"/>
          <w:lang w:val="uk-UA"/>
        </w:rPr>
        <w:t>до та після лікування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A0176F" w:rsidTr="00A0176F">
        <w:tc>
          <w:tcPr>
            <w:tcW w:w="3383" w:type="dxa"/>
            <w:vMerge w:val="restart"/>
            <w:vAlign w:val="center"/>
          </w:tcPr>
          <w:p w:rsidR="00A0176F" w:rsidRDefault="00A0176F" w:rsidP="00A0176F">
            <w:pPr>
              <w:spacing w:line="360" w:lineRule="auto"/>
              <w:jc w:val="center"/>
              <w:rPr>
                <w:sz w:val="28"/>
                <w:szCs w:val="28"/>
                <w:lang w:val="uk-UA"/>
              </w:rPr>
            </w:pPr>
            <w:r>
              <w:rPr>
                <w:sz w:val="28"/>
                <w:szCs w:val="28"/>
                <w:lang w:val="uk-UA"/>
              </w:rPr>
              <w:t>Групи</w:t>
            </w:r>
          </w:p>
        </w:tc>
        <w:tc>
          <w:tcPr>
            <w:tcW w:w="6188" w:type="dxa"/>
            <w:gridSpan w:val="2"/>
            <w:vAlign w:val="center"/>
          </w:tcPr>
          <w:p w:rsidR="00A0176F" w:rsidRDefault="00A0176F" w:rsidP="00A0176F">
            <w:pPr>
              <w:spacing w:line="360" w:lineRule="auto"/>
              <w:jc w:val="center"/>
              <w:rPr>
                <w:sz w:val="28"/>
                <w:szCs w:val="28"/>
                <w:lang w:val="uk-UA"/>
              </w:rPr>
            </w:pPr>
            <w:r>
              <w:rPr>
                <w:sz w:val="28"/>
                <w:szCs w:val="28"/>
                <w:lang w:val="uk-UA"/>
              </w:rPr>
              <w:t>NO – мкмоль/л</w:t>
            </w:r>
          </w:p>
          <w:p w:rsidR="00A0176F" w:rsidRDefault="00A0176F" w:rsidP="00A0176F">
            <w:pPr>
              <w:spacing w:line="360" w:lineRule="auto"/>
              <w:jc w:val="center"/>
              <w:rPr>
                <w:sz w:val="28"/>
                <w:szCs w:val="28"/>
                <w:lang w:val="uk-UA"/>
              </w:rPr>
            </w:pPr>
            <w:r>
              <w:rPr>
                <w:sz w:val="28"/>
                <w:szCs w:val="28"/>
                <w:lang w:val="uk-UA"/>
              </w:rPr>
              <w:t>(Ме (25%;</w:t>
            </w:r>
            <w:r w:rsidR="00F026A2">
              <w:rPr>
                <w:sz w:val="28"/>
                <w:szCs w:val="28"/>
                <w:lang w:val="uk-UA"/>
              </w:rPr>
              <w:t xml:space="preserve"> </w:t>
            </w:r>
            <w:r>
              <w:rPr>
                <w:sz w:val="28"/>
                <w:szCs w:val="28"/>
                <w:lang w:val="uk-UA"/>
              </w:rPr>
              <w:t>75%))</w:t>
            </w:r>
          </w:p>
        </w:tc>
      </w:tr>
      <w:tr w:rsidR="00A0176F" w:rsidTr="00A0176F">
        <w:tc>
          <w:tcPr>
            <w:tcW w:w="0" w:type="auto"/>
            <w:vMerge/>
            <w:vAlign w:val="center"/>
          </w:tcPr>
          <w:p w:rsidR="00A0176F" w:rsidRDefault="00A0176F" w:rsidP="00A0176F">
            <w:pPr>
              <w:rPr>
                <w:sz w:val="28"/>
                <w:szCs w:val="28"/>
                <w:lang w:val="uk-UA"/>
              </w:rPr>
            </w:pPr>
          </w:p>
        </w:tc>
        <w:tc>
          <w:tcPr>
            <w:tcW w:w="3429" w:type="dxa"/>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2759" w:type="dxa"/>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429" w:type="dxa"/>
            <w:vAlign w:val="center"/>
          </w:tcPr>
          <w:p w:rsidR="00F026A2" w:rsidRDefault="00F026A2" w:rsidP="007E691D">
            <w:pPr>
              <w:spacing w:line="360" w:lineRule="auto"/>
              <w:jc w:val="center"/>
              <w:rPr>
                <w:sz w:val="28"/>
                <w:szCs w:val="28"/>
                <w:lang w:val="en-US"/>
              </w:rPr>
            </w:pPr>
            <w:r>
              <w:rPr>
                <w:sz w:val="28"/>
                <w:szCs w:val="28"/>
                <w:lang w:val="en-US"/>
              </w:rPr>
              <w:t>166,9</w:t>
            </w:r>
            <w:r>
              <w:rPr>
                <w:sz w:val="28"/>
                <w:szCs w:val="28"/>
                <w:lang w:val="uk-UA"/>
              </w:rPr>
              <w:t xml:space="preserve"> </w:t>
            </w:r>
            <w:r>
              <w:rPr>
                <w:sz w:val="28"/>
                <w:szCs w:val="28"/>
                <w:lang w:val="en-US"/>
              </w:rPr>
              <w:t>(154,5;</w:t>
            </w:r>
            <w:r>
              <w:rPr>
                <w:sz w:val="28"/>
                <w:szCs w:val="28"/>
                <w:lang w:val="uk-UA"/>
              </w:rPr>
              <w:t xml:space="preserve"> </w:t>
            </w:r>
            <w:r>
              <w:rPr>
                <w:sz w:val="28"/>
                <w:szCs w:val="28"/>
                <w:lang w:val="en-US"/>
              </w:rPr>
              <w:t>184,9)</w:t>
            </w:r>
          </w:p>
        </w:tc>
        <w:tc>
          <w:tcPr>
            <w:tcW w:w="2759" w:type="dxa"/>
          </w:tcPr>
          <w:p w:rsidR="00F026A2" w:rsidRDefault="00F026A2" w:rsidP="007E691D">
            <w:pPr>
              <w:spacing w:line="360" w:lineRule="auto"/>
              <w:jc w:val="center"/>
              <w:rPr>
                <w:sz w:val="28"/>
                <w:szCs w:val="28"/>
                <w:lang w:val="en-US"/>
              </w:rPr>
            </w:pPr>
            <w:r>
              <w:rPr>
                <w:sz w:val="28"/>
                <w:szCs w:val="28"/>
                <w:lang w:val="en-US"/>
              </w:rPr>
              <w:t>48,6</w:t>
            </w:r>
            <w:r>
              <w:rPr>
                <w:sz w:val="28"/>
                <w:szCs w:val="28"/>
                <w:lang w:val="uk-UA"/>
              </w:rPr>
              <w:t xml:space="preserve"> </w:t>
            </w:r>
            <w:r>
              <w:rPr>
                <w:sz w:val="28"/>
                <w:szCs w:val="28"/>
                <w:lang w:val="en-US"/>
              </w:rPr>
              <w:t>(46,1;</w:t>
            </w:r>
            <w:r>
              <w:rPr>
                <w:sz w:val="28"/>
                <w:szCs w:val="28"/>
                <w:lang w:val="uk-UA"/>
              </w:rPr>
              <w:t xml:space="preserve"> </w:t>
            </w:r>
            <w:r>
              <w:rPr>
                <w:sz w:val="28"/>
                <w:szCs w:val="28"/>
                <w:lang w:val="en-US"/>
              </w:rPr>
              <w:t>51,1)*#</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F026A2" w:rsidRDefault="00F026A2" w:rsidP="007E691D">
            <w:pPr>
              <w:spacing w:line="360" w:lineRule="auto"/>
              <w:jc w:val="center"/>
              <w:rPr>
                <w:sz w:val="28"/>
                <w:szCs w:val="28"/>
                <w:lang w:val="uk-UA"/>
              </w:rPr>
            </w:pPr>
            <w:r>
              <w:rPr>
                <w:sz w:val="28"/>
                <w:szCs w:val="28"/>
                <w:lang w:val="en-US"/>
              </w:rPr>
              <w:t>140,4</w:t>
            </w:r>
            <w:r>
              <w:rPr>
                <w:sz w:val="28"/>
                <w:szCs w:val="28"/>
                <w:lang w:val="uk-UA"/>
              </w:rPr>
              <w:t xml:space="preserve"> </w:t>
            </w:r>
            <w:r>
              <w:rPr>
                <w:sz w:val="28"/>
                <w:szCs w:val="28"/>
                <w:lang w:val="en-US"/>
              </w:rPr>
              <w:t>(129,6;</w:t>
            </w:r>
            <w:r>
              <w:rPr>
                <w:sz w:val="28"/>
                <w:szCs w:val="28"/>
                <w:lang w:val="uk-UA"/>
              </w:rPr>
              <w:t xml:space="preserve"> </w:t>
            </w:r>
            <w:r>
              <w:rPr>
                <w:sz w:val="28"/>
                <w:szCs w:val="28"/>
                <w:lang w:val="en-US"/>
              </w:rPr>
              <w:t>148,8)</w:t>
            </w:r>
          </w:p>
        </w:tc>
        <w:tc>
          <w:tcPr>
            <w:tcW w:w="2759" w:type="dxa"/>
          </w:tcPr>
          <w:p w:rsidR="00F026A2" w:rsidRDefault="00F026A2" w:rsidP="007E691D">
            <w:pPr>
              <w:spacing w:line="360" w:lineRule="auto"/>
              <w:jc w:val="center"/>
              <w:rPr>
                <w:sz w:val="28"/>
                <w:szCs w:val="28"/>
                <w:lang w:val="en-US"/>
              </w:rPr>
            </w:pPr>
            <w:r>
              <w:rPr>
                <w:sz w:val="28"/>
                <w:szCs w:val="28"/>
                <w:lang w:val="en-US"/>
              </w:rPr>
              <w:t>49,1</w:t>
            </w:r>
            <w:r>
              <w:rPr>
                <w:sz w:val="28"/>
                <w:szCs w:val="28"/>
                <w:lang w:val="uk-UA"/>
              </w:rPr>
              <w:t xml:space="preserve"> </w:t>
            </w:r>
            <w:r>
              <w:rPr>
                <w:sz w:val="28"/>
                <w:szCs w:val="28"/>
                <w:lang w:val="en-US"/>
              </w:rPr>
              <w:t>(45,0;</w:t>
            </w:r>
            <w:r>
              <w:rPr>
                <w:sz w:val="28"/>
                <w:szCs w:val="28"/>
                <w:lang w:val="uk-UA"/>
              </w:rPr>
              <w:t xml:space="preserve"> </w:t>
            </w:r>
            <w:r>
              <w:rPr>
                <w:sz w:val="28"/>
                <w:szCs w:val="28"/>
                <w:lang w:val="en-US"/>
              </w:rPr>
              <w:t>52,3)*#</w:t>
            </w:r>
          </w:p>
        </w:tc>
      </w:tr>
      <w:tr w:rsidR="00F026A2" w:rsidTr="00A0176F">
        <w:tc>
          <w:tcPr>
            <w:tcW w:w="3383" w:type="dxa"/>
            <w:vAlign w:val="center"/>
          </w:tcPr>
          <w:p w:rsidR="00F026A2" w:rsidRDefault="00F026A2" w:rsidP="00A0176F">
            <w:pPr>
              <w:spacing w:line="360" w:lineRule="auto"/>
              <w:jc w:val="center"/>
              <w:rPr>
                <w:sz w:val="28"/>
                <w:szCs w:val="28"/>
                <w:lang w:val="uk-UA"/>
              </w:rPr>
            </w:pPr>
            <w:r>
              <w:rPr>
                <w:sz w:val="28"/>
                <w:szCs w:val="28"/>
                <w:lang w:val="uk-UA"/>
              </w:rPr>
              <w:t>Контрольна група</w:t>
            </w:r>
          </w:p>
        </w:tc>
        <w:tc>
          <w:tcPr>
            <w:tcW w:w="6188" w:type="dxa"/>
            <w:gridSpan w:val="2"/>
            <w:vAlign w:val="center"/>
          </w:tcPr>
          <w:p w:rsidR="00F026A2" w:rsidRDefault="00F026A2" w:rsidP="00A0176F">
            <w:pPr>
              <w:spacing w:line="360" w:lineRule="auto"/>
              <w:jc w:val="center"/>
              <w:rPr>
                <w:sz w:val="28"/>
                <w:szCs w:val="28"/>
                <w:lang w:val="en-US"/>
              </w:rPr>
            </w:pPr>
            <w:r>
              <w:rPr>
                <w:sz w:val="28"/>
                <w:szCs w:val="28"/>
                <w:lang w:val="en-US"/>
              </w:rPr>
              <w:t>46,7</w:t>
            </w:r>
            <w:r>
              <w:rPr>
                <w:sz w:val="28"/>
                <w:szCs w:val="28"/>
                <w:lang w:val="uk-UA"/>
              </w:rPr>
              <w:t xml:space="preserve"> </w:t>
            </w:r>
            <w:r>
              <w:rPr>
                <w:sz w:val="28"/>
                <w:szCs w:val="28"/>
                <w:lang w:val="en-US"/>
              </w:rPr>
              <w:t>(40,5;</w:t>
            </w:r>
            <w:r>
              <w:rPr>
                <w:sz w:val="28"/>
                <w:szCs w:val="28"/>
                <w:lang w:val="uk-UA"/>
              </w:rPr>
              <w:t xml:space="preserve"> </w:t>
            </w:r>
            <w:r>
              <w:rPr>
                <w:sz w:val="28"/>
                <w:szCs w:val="28"/>
                <w:lang w:val="en-US"/>
              </w:rPr>
              <w:t>53,9)</w:t>
            </w:r>
          </w:p>
        </w:tc>
      </w:tr>
    </w:tbl>
    <w:p w:rsidR="00A0176F" w:rsidRDefault="00A0176F" w:rsidP="00A0176F">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 р</w:t>
      </w:r>
      <w:r w:rsidR="00F026A2">
        <w:rPr>
          <w:sz w:val="28"/>
          <w:szCs w:val="28"/>
          <w:lang w:val="uk-UA"/>
        </w:rPr>
        <w:t xml:space="preserve"> </w:t>
      </w:r>
      <w:r>
        <w:rPr>
          <w:sz w:val="28"/>
          <w:szCs w:val="28"/>
          <w:lang w:val="uk-UA"/>
        </w:rPr>
        <w:t>&gt;</w:t>
      </w:r>
      <w:r w:rsidR="00F026A2">
        <w:rPr>
          <w:sz w:val="28"/>
          <w:szCs w:val="28"/>
          <w:lang w:val="uk-UA"/>
        </w:rPr>
        <w:t xml:space="preserve"> </w:t>
      </w:r>
      <w:r>
        <w:rPr>
          <w:sz w:val="28"/>
          <w:szCs w:val="28"/>
          <w:lang w:val="uk-UA"/>
        </w:rPr>
        <w:t>0,05 щодо групи контролю;</w:t>
      </w:r>
    </w:p>
    <w:p w:rsidR="00F026A2" w:rsidRDefault="00A0176F" w:rsidP="00A0176F">
      <w:pPr>
        <w:spacing w:line="360" w:lineRule="auto"/>
        <w:ind w:left="707" w:firstLine="709"/>
        <w:jc w:val="both"/>
        <w:rPr>
          <w:sz w:val="28"/>
          <w:szCs w:val="28"/>
          <w:lang w:val="uk-UA"/>
        </w:rPr>
      </w:pPr>
      <w:r>
        <w:rPr>
          <w:sz w:val="28"/>
          <w:szCs w:val="28"/>
          <w:lang w:val="uk-UA"/>
        </w:rPr>
        <w:t xml:space="preserve"># –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0,001 щодо показників до лікування.</w:t>
      </w:r>
    </w:p>
    <w:p w:rsidR="00A0176F" w:rsidRDefault="00A0176F" w:rsidP="00A0176F">
      <w:pPr>
        <w:spacing w:line="360" w:lineRule="auto"/>
        <w:ind w:firstLine="709"/>
        <w:jc w:val="both"/>
        <w:rPr>
          <w:sz w:val="28"/>
          <w:szCs w:val="28"/>
          <w:lang w:val="uk-UA"/>
        </w:rPr>
      </w:pPr>
      <w:r>
        <w:rPr>
          <w:sz w:val="28"/>
          <w:szCs w:val="28"/>
          <w:lang w:val="uk-UA"/>
        </w:rPr>
        <w:t>Аналізуючи показники вмісту кінцевого продукту ліпопероксидації – МДА у плазмі крові хворих до та після лікування нами виявлено достовірне зниження цого показника. Динаміка вмісту МДА в плазмі крові у хворих обох груп представлені на рис. 3.5.6.</w:t>
      </w:r>
    </w:p>
    <w:p w:rsidR="00A0176F" w:rsidRDefault="00ED7296" w:rsidP="00A0176F">
      <w:pPr>
        <w:spacing w:line="360" w:lineRule="auto"/>
        <w:ind w:firstLine="709"/>
        <w:jc w:val="both"/>
        <w:rPr>
          <w:sz w:val="28"/>
          <w:szCs w:val="28"/>
          <w:lang w:val="uk-UA"/>
        </w:rPr>
      </w:pPr>
      <w:r>
        <w:rPr>
          <w:noProof/>
        </w:rPr>
        <w:pict>
          <v:shape id="_x0000_i1036" type="#_x0000_t75" style="width:354.5pt;height:204.5pt;visibility:visible">
            <v:imagedata r:id="rId20" o:title=""/>
          </v:shape>
        </w:pict>
      </w:r>
    </w:p>
    <w:p w:rsidR="00A0176F" w:rsidRDefault="00A0176F" w:rsidP="00A0176F">
      <w:pPr>
        <w:spacing w:line="360" w:lineRule="auto"/>
        <w:ind w:firstLine="709"/>
        <w:jc w:val="both"/>
        <w:rPr>
          <w:sz w:val="28"/>
          <w:szCs w:val="28"/>
          <w:lang w:val="uk-UA"/>
        </w:rPr>
      </w:pPr>
      <w:r>
        <w:rPr>
          <w:sz w:val="28"/>
          <w:szCs w:val="28"/>
          <w:lang w:val="uk-UA"/>
        </w:rPr>
        <w:t>Рис. 3.5.6. Рівень МДА в плазмі крові хворих двох груп до та після лікування (мкмоль/л)</w:t>
      </w:r>
    </w:p>
    <w:p w:rsidR="00A0176F" w:rsidRDefault="00A0176F" w:rsidP="00A0176F">
      <w:pPr>
        <w:spacing w:line="360" w:lineRule="auto"/>
        <w:ind w:firstLine="709"/>
        <w:jc w:val="both"/>
        <w:rPr>
          <w:sz w:val="28"/>
          <w:szCs w:val="28"/>
          <w:lang w:val="uk-UA"/>
        </w:rPr>
      </w:pPr>
      <w:r>
        <w:rPr>
          <w:sz w:val="28"/>
          <w:szCs w:val="28"/>
          <w:lang w:val="uk-UA"/>
        </w:rPr>
        <w:t>Після проведеної терапії рівень МДА плазми крові достовірно (</w:t>
      </w:r>
      <w:r>
        <w:rPr>
          <w:sz w:val="28"/>
          <w:szCs w:val="28"/>
        </w:rPr>
        <w:t>p</w:t>
      </w:r>
      <w:r w:rsidR="00F026A2">
        <w:rPr>
          <w:sz w:val="28"/>
          <w:szCs w:val="28"/>
          <w:lang w:val="uk-UA"/>
        </w:rPr>
        <w:t xml:space="preserve"> </w:t>
      </w:r>
      <w:r>
        <w:rPr>
          <w:sz w:val="28"/>
          <w:szCs w:val="28"/>
          <w:lang w:val="uk-UA"/>
        </w:rPr>
        <w:t>&lt;</w:t>
      </w:r>
      <w:r w:rsidR="00F026A2">
        <w:rPr>
          <w:sz w:val="28"/>
          <w:szCs w:val="28"/>
          <w:lang w:val="uk-UA"/>
        </w:rPr>
        <w:t xml:space="preserve"> </w:t>
      </w:r>
      <w:r>
        <w:rPr>
          <w:sz w:val="28"/>
          <w:szCs w:val="28"/>
          <w:lang w:val="uk-UA"/>
        </w:rPr>
        <w:t xml:space="preserve">0,001) знизився в </w:t>
      </w:r>
      <w:r w:rsidR="00F026A2">
        <w:rPr>
          <w:sz w:val="28"/>
          <w:szCs w:val="28"/>
          <w:lang w:val="uk-UA"/>
        </w:rPr>
        <w:t>1</w:t>
      </w:r>
      <w:r>
        <w:rPr>
          <w:sz w:val="28"/>
          <w:szCs w:val="28"/>
          <w:lang w:val="uk-UA"/>
        </w:rPr>
        <w:t xml:space="preserve">  </w:t>
      </w:r>
      <w:r w:rsidR="00F026A2">
        <w:rPr>
          <w:sz w:val="28"/>
          <w:szCs w:val="28"/>
          <w:lang w:val="uk-UA"/>
        </w:rPr>
        <w:t xml:space="preserve">(3,00 (2,84; 3,12) </w:t>
      </w:r>
      <w:r>
        <w:rPr>
          <w:sz w:val="28"/>
          <w:szCs w:val="28"/>
          <w:lang w:val="uk-UA"/>
        </w:rPr>
        <w:t>мкмоль/л) та</w:t>
      </w:r>
      <w:r w:rsidR="00F026A2">
        <w:rPr>
          <w:sz w:val="28"/>
          <w:szCs w:val="28"/>
          <w:lang w:val="uk-UA"/>
        </w:rPr>
        <w:t xml:space="preserve"> в</w:t>
      </w:r>
      <w:r>
        <w:rPr>
          <w:sz w:val="28"/>
          <w:szCs w:val="28"/>
          <w:lang w:val="uk-UA"/>
        </w:rPr>
        <w:t xml:space="preserve"> </w:t>
      </w:r>
      <w:r w:rsidR="00F026A2">
        <w:rPr>
          <w:sz w:val="28"/>
          <w:szCs w:val="28"/>
          <w:lang w:val="uk-UA"/>
        </w:rPr>
        <w:t>2</w:t>
      </w:r>
      <w:r>
        <w:rPr>
          <w:sz w:val="28"/>
          <w:szCs w:val="28"/>
          <w:lang w:val="uk-UA"/>
        </w:rPr>
        <w:t xml:space="preserve"> </w:t>
      </w:r>
      <w:r w:rsidR="00F026A2">
        <w:rPr>
          <w:sz w:val="28"/>
          <w:szCs w:val="28"/>
          <w:lang w:val="uk-UA"/>
        </w:rPr>
        <w:t xml:space="preserve">(2,96 (2,85; 3,11) </w:t>
      </w:r>
      <w:r>
        <w:rPr>
          <w:sz w:val="28"/>
          <w:szCs w:val="28"/>
          <w:lang w:val="uk-UA"/>
        </w:rPr>
        <w:t xml:space="preserve">мкмоль/л) групах. </w:t>
      </w:r>
      <w:r>
        <w:rPr>
          <w:sz w:val="28"/>
          <w:szCs w:val="28"/>
          <w:lang w:val="uk-UA"/>
        </w:rPr>
        <w:lastRenderedPageBreak/>
        <w:t xml:space="preserve">Отримані результати вірогідно не відрізнялись від показників контрольної групи – </w:t>
      </w:r>
      <w:r>
        <w:rPr>
          <w:sz w:val="28"/>
          <w:szCs w:val="28"/>
        </w:rPr>
        <w:t>2,91</w:t>
      </w:r>
      <w:r w:rsidR="00E67FD9">
        <w:rPr>
          <w:sz w:val="28"/>
          <w:szCs w:val="28"/>
          <w:lang w:val="uk-UA"/>
        </w:rPr>
        <w:t xml:space="preserve"> </w:t>
      </w:r>
      <w:r>
        <w:rPr>
          <w:sz w:val="28"/>
          <w:szCs w:val="28"/>
        </w:rPr>
        <w:t>(2,68;</w:t>
      </w:r>
      <w:r w:rsidR="00E67FD9">
        <w:rPr>
          <w:sz w:val="28"/>
          <w:szCs w:val="28"/>
          <w:lang w:val="uk-UA"/>
        </w:rPr>
        <w:t xml:space="preserve"> </w:t>
      </w:r>
      <w:r>
        <w:rPr>
          <w:sz w:val="28"/>
          <w:szCs w:val="28"/>
        </w:rPr>
        <w:t>3,00)</w:t>
      </w:r>
      <w:r>
        <w:rPr>
          <w:sz w:val="28"/>
          <w:szCs w:val="28"/>
          <w:lang w:val="uk-UA"/>
        </w:rPr>
        <w:t xml:space="preserve"> мкмоль/л (р</w:t>
      </w:r>
      <w:r w:rsidR="00E67FD9">
        <w:rPr>
          <w:sz w:val="28"/>
          <w:szCs w:val="28"/>
          <w:lang w:val="uk-UA"/>
        </w:rPr>
        <w:t xml:space="preserve"> </w:t>
      </w:r>
      <w:r>
        <w:rPr>
          <w:sz w:val="28"/>
          <w:szCs w:val="28"/>
          <w:lang w:val="uk-UA"/>
        </w:rPr>
        <w:t>&gt;</w:t>
      </w:r>
      <w:r w:rsidR="00E67FD9">
        <w:rPr>
          <w:sz w:val="28"/>
          <w:szCs w:val="28"/>
          <w:lang w:val="uk-UA"/>
        </w:rPr>
        <w:t xml:space="preserve"> </w:t>
      </w:r>
      <w:r>
        <w:rPr>
          <w:sz w:val="28"/>
          <w:szCs w:val="28"/>
          <w:lang w:val="uk-UA"/>
        </w:rPr>
        <w:t>0,05) (табл. 3.5.7.).</w:t>
      </w:r>
    </w:p>
    <w:p w:rsidR="00A0176F" w:rsidRDefault="00A0176F" w:rsidP="00A0176F">
      <w:pPr>
        <w:spacing w:line="360" w:lineRule="auto"/>
        <w:ind w:firstLine="709"/>
        <w:jc w:val="right"/>
        <w:rPr>
          <w:sz w:val="28"/>
          <w:szCs w:val="28"/>
          <w:lang w:val="uk-UA"/>
        </w:rPr>
      </w:pPr>
      <w:r>
        <w:rPr>
          <w:sz w:val="28"/>
          <w:szCs w:val="28"/>
          <w:lang w:val="uk-UA"/>
        </w:rPr>
        <w:t>Таблиця 3.5.7</w:t>
      </w:r>
    </w:p>
    <w:p w:rsidR="00A0176F" w:rsidRDefault="00A0176F" w:rsidP="00E67FD9">
      <w:pPr>
        <w:spacing w:line="360" w:lineRule="auto"/>
        <w:ind w:firstLine="709"/>
        <w:jc w:val="center"/>
        <w:rPr>
          <w:sz w:val="28"/>
          <w:szCs w:val="28"/>
          <w:lang w:val="uk-UA"/>
        </w:rPr>
      </w:pPr>
      <w:r>
        <w:rPr>
          <w:sz w:val="28"/>
          <w:szCs w:val="28"/>
          <w:lang w:val="uk-UA"/>
        </w:rPr>
        <w:t xml:space="preserve">Вміст МДА в плазмі крові у хворих </w:t>
      </w:r>
      <w:r w:rsidR="00E67FD9">
        <w:rPr>
          <w:sz w:val="28"/>
          <w:szCs w:val="28"/>
          <w:lang w:val="uk-UA"/>
        </w:rPr>
        <w:t xml:space="preserve">1 та 2 груп </w:t>
      </w:r>
      <w:r>
        <w:rPr>
          <w:sz w:val="28"/>
          <w:szCs w:val="28"/>
          <w:lang w:val="uk-UA"/>
        </w:rPr>
        <w:t>до та після лікування та осіб контрольної групи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83"/>
        <w:gridCol w:w="3429"/>
        <w:gridCol w:w="2759"/>
      </w:tblGrid>
      <w:tr w:rsidR="00A0176F" w:rsidTr="00A0176F">
        <w:tc>
          <w:tcPr>
            <w:tcW w:w="3383" w:type="dxa"/>
            <w:vMerge w:val="restart"/>
            <w:vAlign w:val="center"/>
          </w:tcPr>
          <w:p w:rsidR="00A0176F" w:rsidRDefault="00A0176F" w:rsidP="00A0176F">
            <w:pPr>
              <w:spacing w:line="360" w:lineRule="auto"/>
              <w:jc w:val="center"/>
              <w:rPr>
                <w:sz w:val="28"/>
                <w:szCs w:val="28"/>
                <w:lang w:val="uk-UA"/>
              </w:rPr>
            </w:pPr>
            <w:r>
              <w:rPr>
                <w:sz w:val="28"/>
                <w:szCs w:val="28"/>
                <w:lang w:val="uk-UA"/>
              </w:rPr>
              <w:t>Групи</w:t>
            </w:r>
          </w:p>
        </w:tc>
        <w:tc>
          <w:tcPr>
            <w:tcW w:w="6188" w:type="dxa"/>
            <w:gridSpan w:val="2"/>
            <w:vAlign w:val="center"/>
          </w:tcPr>
          <w:p w:rsidR="00A0176F" w:rsidRDefault="00A0176F" w:rsidP="00A0176F">
            <w:pPr>
              <w:spacing w:line="360" w:lineRule="auto"/>
              <w:jc w:val="center"/>
              <w:rPr>
                <w:sz w:val="28"/>
                <w:szCs w:val="28"/>
                <w:lang w:val="uk-UA"/>
              </w:rPr>
            </w:pPr>
            <w:r>
              <w:rPr>
                <w:sz w:val="28"/>
                <w:szCs w:val="28"/>
                <w:lang w:val="uk-UA"/>
              </w:rPr>
              <w:t>МДА – мкмоль/л</w:t>
            </w:r>
          </w:p>
          <w:p w:rsidR="00A0176F" w:rsidRDefault="00A0176F" w:rsidP="00A0176F">
            <w:pPr>
              <w:spacing w:line="360" w:lineRule="auto"/>
              <w:jc w:val="center"/>
              <w:rPr>
                <w:sz w:val="28"/>
                <w:szCs w:val="28"/>
                <w:lang w:val="uk-UA"/>
              </w:rPr>
            </w:pPr>
            <w:r>
              <w:rPr>
                <w:sz w:val="28"/>
                <w:szCs w:val="28"/>
                <w:lang w:val="uk-UA"/>
              </w:rPr>
              <w:t>(Ме (25%;</w:t>
            </w:r>
            <w:r w:rsidR="00E67FD9">
              <w:rPr>
                <w:sz w:val="28"/>
                <w:szCs w:val="28"/>
                <w:lang w:val="uk-UA"/>
              </w:rPr>
              <w:t xml:space="preserve"> </w:t>
            </w:r>
            <w:r>
              <w:rPr>
                <w:sz w:val="28"/>
                <w:szCs w:val="28"/>
                <w:lang w:val="uk-UA"/>
              </w:rPr>
              <w:t>75%))</w:t>
            </w:r>
          </w:p>
        </w:tc>
      </w:tr>
      <w:tr w:rsidR="00A0176F" w:rsidTr="00A0176F">
        <w:tc>
          <w:tcPr>
            <w:tcW w:w="0" w:type="auto"/>
            <w:vMerge/>
            <w:vAlign w:val="center"/>
          </w:tcPr>
          <w:p w:rsidR="00A0176F" w:rsidRDefault="00A0176F" w:rsidP="00A0176F">
            <w:pPr>
              <w:rPr>
                <w:sz w:val="28"/>
                <w:szCs w:val="28"/>
                <w:lang w:val="uk-UA"/>
              </w:rPr>
            </w:pPr>
          </w:p>
        </w:tc>
        <w:tc>
          <w:tcPr>
            <w:tcW w:w="3429" w:type="dxa"/>
            <w:vAlign w:val="center"/>
          </w:tcPr>
          <w:p w:rsidR="00A0176F" w:rsidRDefault="00A0176F" w:rsidP="00A0176F">
            <w:pPr>
              <w:spacing w:line="360" w:lineRule="auto"/>
              <w:jc w:val="center"/>
              <w:rPr>
                <w:sz w:val="28"/>
                <w:szCs w:val="28"/>
                <w:lang w:val="uk-UA"/>
              </w:rPr>
            </w:pPr>
            <w:r>
              <w:rPr>
                <w:sz w:val="28"/>
                <w:szCs w:val="28"/>
                <w:lang w:val="uk-UA"/>
              </w:rPr>
              <w:t>До лікування</w:t>
            </w:r>
          </w:p>
        </w:tc>
        <w:tc>
          <w:tcPr>
            <w:tcW w:w="2759" w:type="dxa"/>
          </w:tcPr>
          <w:p w:rsidR="00A0176F" w:rsidRDefault="00A0176F" w:rsidP="00A0176F">
            <w:pPr>
              <w:spacing w:line="360" w:lineRule="auto"/>
              <w:jc w:val="center"/>
              <w:rPr>
                <w:sz w:val="28"/>
                <w:szCs w:val="28"/>
                <w:lang w:val="uk-UA"/>
              </w:rPr>
            </w:pPr>
            <w:r>
              <w:rPr>
                <w:sz w:val="28"/>
                <w:szCs w:val="28"/>
                <w:lang w:val="uk-UA"/>
              </w:rPr>
              <w:t>Після лікування</w:t>
            </w:r>
          </w:p>
        </w:tc>
      </w:tr>
      <w:tr w:rsidR="00E67FD9" w:rsidTr="00A0176F">
        <w:tc>
          <w:tcPr>
            <w:tcW w:w="3383" w:type="dxa"/>
            <w:vAlign w:val="center"/>
          </w:tcPr>
          <w:p w:rsidR="00E67FD9" w:rsidRDefault="00E67FD9" w:rsidP="00A0176F">
            <w:pPr>
              <w:spacing w:line="360" w:lineRule="auto"/>
              <w:jc w:val="center"/>
              <w:rPr>
                <w:sz w:val="28"/>
                <w:szCs w:val="28"/>
                <w:lang w:val="uk-UA"/>
              </w:rPr>
            </w:pPr>
            <w:r>
              <w:rPr>
                <w:sz w:val="28"/>
                <w:szCs w:val="28"/>
                <w:lang w:val="uk-UA"/>
              </w:rPr>
              <w:t xml:space="preserve">1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65</w:t>
            </w:r>
          </w:p>
        </w:tc>
        <w:tc>
          <w:tcPr>
            <w:tcW w:w="3429" w:type="dxa"/>
            <w:vAlign w:val="center"/>
          </w:tcPr>
          <w:p w:rsidR="00E67FD9" w:rsidRDefault="00E67FD9" w:rsidP="007E691D">
            <w:pPr>
              <w:spacing w:line="360" w:lineRule="auto"/>
              <w:jc w:val="center"/>
              <w:rPr>
                <w:sz w:val="28"/>
                <w:szCs w:val="28"/>
                <w:lang w:val="en-US"/>
              </w:rPr>
            </w:pPr>
            <w:r>
              <w:rPr>
                <w:sz w:val="28"/>
                <w:szCs w:val="28"/>
                <w:lang w:val="en-US"/>
              </w:rPr>
              <w:t>12,99</w:t>
            </w:r>
            <w:r>
              <w:rPr>
                <w:sz w:val="28"/>
                <w:szCs w:val="28"/>
                <w:lang w:val="uk-UA"/>
              </w:rPr>
              <w:t xml:space="preserve"> </w:t>
            </w:r>
            <w:r>
              <w:rPr>
                <w:sz w:val="28"/>
                <w:szCs w:val="28"/>
                <w:lang w:val="en-US"/>
              </w:rPr>
              <w:t>(11,97;</w:t>
            </w:r>
            <w:r>
              <w:rPr>
                <w:sz w:val="28"/>
                <w:szCs w:val="28"/>
                <w:lang w:val="uk-UA"/>
              </w:rPr>
              <w:t xml:space="preserve"> </w:t>
            </w:r>
            <w:r>
              <w:rPr>
                <w:sz w:val="28"/>
                <w:szCs w:val="28"/>
                <w:lang w:val="en-US"/>
              </w:rPr>
              <w:t>14,12)</w:t>
            </w:r>
          </w:p>
        </w:tc>
        <w:tc>
          <w:tcPr>
            <w:tcW w:w="2759" w:type="dxa"/>
          </w:tcPr>
          <w:p w:rsidR="00E67FD9" w:rsidRDefault="00E67FD9" w:rsidP="007E691D">
            <w:pPr>
              <w:spacing w:line="360" w:lineRule="auto"/>
              <w:jc w:val="center"/>
              <w:rPr>
                <w:sz w:val="28"/>
                <w:szCs w:val="28"/>
                <w:lang w:val="en-US"/>
              </w:rPr>
            </w:pPr>
            <w:r>
              <w:rPr>
                <w:sz w:val="28"/>
                <w:szCs w:val="28"/>
                <w:lang w:val="en-US"/>
              </w:rPr>
              <w:t>3,00</w:t>
            </w:r>
            <w:r>
              <w:rPr>
                <w:sz w:val="28"/>
                <w:szCs w:val="28"/>
                <w:lang w:val="uk-UA"/>
              </w:rPr>
              <w:t xml:space="preserve"> </w:t>
            </w:r>
            <w:r>
              <w:rPr>
                <w:sz w:val="28"/>
                <w:szCs w:val="28"/>
                <w:lang w:val="en-US"/>
              </w:rPr>
              <w:t>(2,84;</w:t>
            </w:r>
            <w:r>
              <w:rPr>
                <w:sz w:val="28"/>
                <w:szCs w:val="28"/>
                <w:lang w:val="uk-UA"/>
              </w:rPr>
              <w:t xml:space="preserve"> </w:t>
            </w:r>
            <w:r>
              <w:rPr>
                <w:sz w:val="28"/>
                <w:szCs w:val="28"/>
                <w:lang w:val="en-US"/>
              </w:rPr>
              <w:t>3,12)*#</w:t>
            </w:r>
          </w:p>
        </w:tc>
      </w:tr>
      <w:tr w:rsidR="00E67FD9" w:rsidTr="00A0176F">
        <w:tc>
          <w:tcPr>
            <w:tcW w:w="3383" w:type="dxa"/>
            <w:vAlign w:val="center"/>
          </w:tcPr>
          <w:p w:rsidR="00E67FD9" w:rsidRDefault="00E67FD9" w:rsidP="00A0176F">
            <w:pPr>
              <w:spacing w:line="360" w:lineRule="auto"/>
              <w:jc w:val="center"/>
              <w:rPr>
                <w:sz w:val="28"/>
                <w:szCs w:val="28"/>
                <w:lang w:val="uk-UA"/>
              </w:rPr>
            </w:pPr>
            <w:r>
              <w:rPr>
                <w:sz w:val="28"/>
                <w:szCs w:val="28"/>
                <w:lang w:val="uk-UA"/>
              </w:rPr>
              <w:t xml:space="preserve">2 група, </w:t>
            </w:r>
            <w:r>
              <w:rPr>
                <w:sz w:val="28"/>
                <w:szCs w:val="28"/>
              </w:rPr>
              <w:t>n</w:t>
            </w:r>
            <w:r>
              <w:rPr>
                <w:sz w:val="28"/>
                <w:szCs w:val="28"/>
                <w:lang w:val="uk-UA"/>
              </w:rPr>
              <w:t xml:space="preserve"> </w:t>
            </w:r>
            <w:r>
              <w:rPr>
                <w:sz w:val="28"/>
                <w:szCs w:val="28"/>
              </w:rPr>
              <w:t>=</w:t>
            </w:r>
            <w:r>
              <w:rPr>
                <w:sz w:val="28"/>
                <w:szCs w:val="28"/>
                <w:lang w:val="uk-UA"/>
              </w:rPr>
              <w:t xml:space="preserve"> </w:t>
            </w:r>
            <w:r>
              <w:rPr>
                <w:sz w:val="28"/>
                <w:szCs w:val="28"/>
              </w:rPr>
              <w:t>40</w:t>
            </w:r>
          </w:p>
        </w:tc>
        <w:tc>
          <w:tcPr>
            <w:tcW w:w="3429" w:type="dxa"/>
            <w:vAlign w:val="center"/>
          </w:tcPr>
          <w:p w:rsidR="00E67FD9" w:rsidRDefault="00E67FD9" w:rsidP="007E691D">
            <w:pPr>
              <w:spacing w:line="360" w:lineRule="auto"/>
              <w:jc w:val="center"/>
              <w:rPr>
                <w:sz w:val="28"/>
                <w:szCs w:val="28"/>
                <w:lang w:val="uk-UA"/>
              </w:rPr>
            </w:pPr>
            <w:r>
              <w:rPr>
                <w:sz w:val="28"/>
                <w:szCs w:val="28"/>
                <w:lang w:val="en-US"/>
              </w:rPr>
              <w:t>9,13</w:t>
            </w:r>
            <w:r>
              <w:rPr>
                <w:sz w:val="28"/>
                <w:szCs w:val="28"/>
                <w:lang w:val="uk-UA"/>
              </w:rPr>
              <w:t xml:space="preserve"> </w:t>
            </w:r>
            <w:r>
              <w:rPr>
                <w:sz w:val="28"/>
                <w:szCs w:val="28"/>
                <w:lang w:val="en-US"/>
              </w:rPr>
              <w:t>(7,99;</w:t>
            </w:r>
            <w:r>
              <w:rPr>
                <w:sz w:val="28"/>
                <w:szCs w:val="28"/>
                <w:lang w:val="uk-UA"/>
              </w:rPr>
              <w:t xml:space="preserve"> </w:t>
            </w:r>
            <w:r>
              <w:rPr>
                <w:sz w:val="28"/>
                <w:szCs w:val="28"/>
                <w:lang w:val="en-US"/>
              </w:rPr>
              <w:t>10,36)</w:t>
            </w:r>
          </w:p>
        </w:tc>
        <w:tc>
          <w:tcPr>
            <w:tcW w:w="2759" w:type="dxa"/>
          </w:tcPr>
          <w:p w:rsidR="00E67FD9" w:rsidRDefault="00E67FD9" w:rsidP="007E691D">
            <w:pPr>
              <w:spacing w:line="360" w:lineRule="auto"/>
              <w:jc w:val="center"/>
              <w:rPr>
                <w:sz w:val="28"/>
                <w:szCs w:val="28"/>
                <w:lang w:val="en-US"/>
              </w:rPr>
            </w:pPr>
            <w:r>
              <w:rPr>
                <w:sz w:val="28"/>
                <w:szCs w:val="28"/>
                <w:lang w:val="en-US"/>
              </w:rPr>
              <w:t>2,96</w:t>
            </w:r>
            <w:r>
              <w:rPr>
                <w:sz w:val="28"/>
                <w:szCs w:val="28"/>
                <w:lang w:val="uk-UA"/>
              </w:rPr>
              <w:t xml:space="preserve"> </w:t>
            </w:r>
            <w:r>
              <w:rPr>
                <w:sz w:val="28"/>
                <w:szCs w:val="28"/>
                <w:lang w:val="en-US"/>
              </w:rPr>
              <w:t>(2,85;</w:t>
            </w:r>
            <w:r>
              <w:rPr>
                <w:sz w:val="28"/>
                <w:szCs w:val="28"/>
                <w:lang w:val="uk-UA"/>
              </w:rPr>
              <w:t xml:space="preserve"> </w:t>
            </w:r>
            <w:r>
              <w:rPr>
                <w:sz w:val="28"/>
                <w:szCs w:val="28"/>
                <w:lang w:val="en-US"/>
              </w:rPr>
              <w:t>3,11)*#</w:t>
            </w:r>
          </w:p>
        </w:tc>
      </w:tr>
      <w:tr w:rsidR="00E67FD9" w:rsidTr="00A0176F">
        <w:tc>
          <w:tcPr>
            <w:tcW w:w="3383" w:type="dxa"/>
            <w:vAlign w:val="center"/>
          </w:tcPr>
          <w:p w:rsidR="00E67FD9" w:rsidRDefault="00E67FD9" w:rsidP="00A0176F">
            <w:pPr>
              <w:spacing w:line="360" w:lineRule="auto"/>
              <w:jc w:val="center"/>
              <w:rPr>
                <w:sz w:val="28"/>
                <w:szCs w:val="28"/>
                <w:lang w:val="uk-UA"/>
              </w:rPr>
            </w:pPr>
            <w:r>
              <w:rPr>
                <w:sz w:val="28"/>
                <w:szCs w:val="28"/>
                <w:lang w:val="uk-UA"/>
              </w:rPr>
              <w:t>Контрольна група</w:t>
            </w:r>
          </w:p>
        </w:tc>
        <w:tc>
          <w:tcPr>
            <w:tcW w:w="6188" w:type="dxa"/>
            <w:gridSpan w:val="2"/>
            <w:vAlign w:val="center"/>
          </w:tcPr>
          <w:p w:rsidR="00E67FD9" w:rsidRDefault="00E67FD9" w:rsidP="00A0176F">
            <w:pPr>
              <w:spacing w:line="360" w:lineRule="auto"/>
              <w:jc w:val="center"/>
              <w:rPr>
                <w:sz w:val="28"/>
                <w:szCs w:val="28"/>
                <w:lang w:val="en-US"/>
              </w:rPr>
            </w:pPr>
            <w:r>
              <w:rPr>
                <w:sz w:val="28"/>
                <w:szCs w:val="28"/>
                <w:lang w:val="en-US"/>
              </w:rPr>
              <w:t>2,91</w:t>
            </w:r>
            <w:r>
              <w:rPr>
                <w:sz w:val="28"/>
                <w:szCs w:val="28"/>
                <w:lang w:val="uk-UA"/>
              </w:rPr>
              <w:t xml:space="preserve"> </w:t>
            </w:r>
            <w:r>
              <w:rPr>
                <w:sz w:val="28"/>
                <w:szCs w:val="28"/>
                <w:lang w:val="en-US"/>
              </w:rPr>
              <w:t>(2,68;</w:t>
            </w:r>
            <w:r>
              <w:rPr>
                <w:sz w:val="28"/>
                <w:szCs w:val="28"/>
                <w:lang w:val="uk-UA"/>
              </w:rPr>
              <w:t xml:space="preserve"> </w:t>
            </w:r>
            <w:r>
              <w:rPr>
                <w:sz w:val="28"/>
                <w:szCs w:val="28"/>
                <w:lang w:val="en-US"/>
              </w:rPr>
              <w:t>3,00)</w:t>
            </w:r>
          </w:p>
        </w:tc>
      </w:tr>
    </w:tbl>
    <w:p w:rsidR="00A0176F" w:rsidRDefault="00A0176F" w:rsidP="00A0176F">
      <w:pPr>
        <w:spacing w:line="360" w:lineRule="auto"/>
        <w:ind w:left="707" w:firstLine="709"/>
        <w:jc w:val="both"/>
        <w:rPr>
          <w:sz w:val="28"/>
          <w:szCs w:val="28"/>
          <w:lang w:val="uk-UA"/>
        </w:rPr>
      </w:pPr>
      <w:r>
        <w:rPr>
          <w:b/>
          <w:sz w:val="28"/>
          <w:szCs w:val="28"/>
          <w:lang w:val="uk-UA"/>
        </w:rPr>
        <w:t xml:space="preserve">Примітка: </w:t>
      </w:r>
      <w:r>
        <w:rPr>
          <w:sz w:val="28"/>
          <w:szCs w:val="28"/>
          <w:lang w:val="uk-UA"/>
        </w:rPr>
        <w:t>* – р</w:t>
      </w:r>
      <w:r w:rsidR="00E67FD9">
        <w:rPr>
          <w:sz w:val="28"/>
          <w:szCs w:val="28"/>
          <w:lang w:val="uk-UA"/>
        </w:rPr>
        <w:t xml:space="preserve"> </w:t>
      </w:r>
      <w:r>
        <w:rPr>
          <w:sz w:val="28"/>
          <w:szCs w:val="28"/>
          <w:lang w:val="uk-UA"/>
        </w:rPr>
        <w:t>&gt;</w:t>
      </w:r>
      <w:r w:rsidR="00E67FD9">
        <w:rPr>
          <w:sz w:val="28"/>
          <w:szCs w:val="28"/>
          <w:lang w:val="uk-UA"/>
        </w:rPr>
        <w:t xml:space="preserve"> </w:t>
      </w:r>
      <w:r>
        <w:rPr>
          <w:sz w:val="28"/>
          <w:szCs w:val="28"/>
          <w:lang w:val="uk-UA"/>
        </w:rPr>
        <w:t>0,05 щодо групи контролю;</w:t>
      </w:r>
    </w:p>
    <w:p w:rsidR="00E67FD9" w:rsidRDefault="00A0176F" w:rsidP="00A0176F">
      <w:pPr>
        <w:spacing w:line="360" w:lineRule="auto"/>
        <w:ind w:left="707" w:firstLine="709"/>
        <w:jc w:val="both"/>
        <w:rPr>
          <w:sz w:val="28"/>
          <w:szCs w:val="28"/>
          <w:lang w:val="uk-UA"/>
        </w:rPr>
      </w:pPr>
      <w:r>
        <w:rPr>
          <w:sz w:val="28"/>
          <w:szCs w:val="28"/>
          <w:lang w:val="uk-UA"/>
        </w:rPr>
        <w:t xml:space="preserve"># – </w:t>
      </w:r>
      <w:r>
        <w:rPr>
          <w:sz w:val="28"/>
          <w:szCs w:val="28"/>
        </w:rPr>
        <w:t>p</w:t>
      </w:r>
      <w:r w:rsidR="00E67FD9">
        <w:rPr>
          <w:sz w:val="28"/>
          <w:szCs w:val="28"/>
          <w:lang w:val="uk-UA"/>
        </w:rPr>
        <w:t xml:space="preserve"> </w:t>
      </w:r>
      <w:r>
        <w:rPr>
          <w:sz w:val="28"/>
          <w:szCs w:val="28"/>
          <w:lang w:val="uk-UA"/>
        </w:rPr>
        <w:t>&lt;</w:t>
      </w:r>
      <w:r w:rsidR="00E67FD9">
        <w:rPr>
          <w:sz w:val="28"/>
          <w:szCs w:val="28"/>
          <w:lang w:val="uk-UA"/>
        </w:rPr>
        <w:t xml:space="preserve"> </w:t>
      </w:r>
      <w:r>
        <w:rPr>
          <w:sz w:val="28"/>
          <w:szCs w:val="28"/>
          <w:lang w:val="uk-UA"/>
        </w:rPr>
        <w:t>0,001 щодо показників до лікування.</w:t>
      </w:r>
    </w:p>
    <w:p w:rsidR="00A0176F" w:rsidRDefault="00A0176F" w:rsidP="00A0176F">
      <w:pPr>
        <w:spacing w:line="360" w:lineRule="auto"/>
        <w:ind w:firstLine="709"/>
        <w:jc w:val="both"/>
        <w:rPr>
          <w:sz w:val="28"/>
          <w:szCs w:val="28"/>
          <w:lang w:val="uk-UA"/>
        </w:rPr>
      </w:pPr>
      <w:r>
        <w:rPr>
          <w:sz w:val="28"/>
          <w:szCs w:val="28"/>
          <w:lang w:val="uk-UA"/>
        </w:rPr>
        <w:t>Одже, комплексна терапія з включенням препаратів L</w:t>
      </w:r>
      <w:r w:rsidR="00F026A2">
        <w:rPr>
          <w:sz w:val="28"/>
          <w:szCs w:val="28"/>
          <w:lang w:val="uk-UA"/>
        </w:rPr>
        <w:t>–</w:t>
      </w:r>
      <w:r>
        <w:rPr>
          <w:sz w:val="28"/>
          <w:szCs w:val="28"/>
          <w:lang w:val="uk-UA"/>
        </w:rPr>
        <w:t xml:space="preserve">карнітину, </w:t>
      </w:r>
      <w:r>
        <w:rPr>
          <w:sz w:val="28"/>
          <w:szCs w:val="28"/>
          <w:shd w:val="clear" w:color="auto" w:fill="FFFFFF"/>
          <w:lang w:val="uk-UA"/>
        </w:rPr>
        <w:t>депротеїнізованого</w:t>
      </w:r>
      <w:r>
        <w:rPr>
          <w:rFonts w:ascii="Tahoma" w:hAnsi="Tahoma" w:cs="Tahoma"/>
          <w:color w:val="000000"/>
          <w:sz w:val="13"/>
          <w:szCs w:val="13"/>
          <w:shd w:val="clear" w:color="auto" w:fill="FFFFFF"/>
          <w:lang w:val="uk-UA"/>
        </w:rPr>
        <w:t xml:space="preserve"> </w:t>
      </w:r>
      <w:r>
        <w:rPr>
          <w:sz w:val="28"/>
          <w:szCs w:val="28"/>
          <w:shd w:val="clear" w:color="auto" w:fill="FFFFFF"/>
          <w:lang w:val="uk-UA"/>
        </w:rPr>
        <w:t>гемодеривату крові телят</w:t>
      </w:r>
      <w:r>
        <w:rPr>
          <w:sz w:val="28"/>
          <w:szCs w:val="28"/>
          <w:lang w:val="uk-UA"/>
        </w:rPr>
        <w:t xml:space="preserve"> та фолієвої кислоти сприяла </w:t>
      </w:r>
      <w:r w:rsidR="00E67FD9">
        <w:rPr>
          <w:sz w:val="28"/>
          <w:szCs w:val="28"/>
          <w:lang w:val="uk-UA"/>
        </w:rPr>
        <w:t>усуненню</w:t>
      </w:r>
      <w:r>
        <w:rPr>
          <w:sz w:val="28"/>
          <w:szCs w:val="28"/>
          <w:lang w:val="uk-UA"/>
        </w:rPr>
        <w:t xml:space="preserve"> карнітинової недостатності, ГГЦ, зменшенню процесів ПОЛ та зниженню рівня прозапальних цитокінів. Використання в складі терапії препарату </w:t>
      </w:r>
      <w:r>
        <w:rPr>
          <w:sz w:val="28"/>
          <w:szCs w:val="28"/>
          <w:lang w:val="en-US"/>
        </w:rPr>
        <w:t>L</w:t>
      </w:r>
      <w:r w:rsidR="00F026A2">
        <w:rPr>
          <w:sz w:val="28"/>
          <w:szCs w:val="28"/>
          <w:lang w:val="uk-UA"/>
        </w:rPr>
        <w:t>–</w:t>
      </w:r>
      <w:r>
        <w:rPr>
          <w:sz w:val="28"/>
          <w:szCs w:val="28"/>
          <w:lang w:val="uk-UA"/>
        </w:rPr>
        <w:t xml:space="preserve">карнітину сприяє нормалізації </w:t>
      </w:r>
      <w:r w:rsidR="00E67FD9">
        <w:rPr>
          <w:sz w:val="28"/>
          <w:szCs w:val="28"/>
          <w:lang w:val="uk-UA"/>
        </w:rPr>
        <w:t>транспорту</w:t>
      </w:r>
      <w:r>
        <w:rPr>
          <w:sz w:val="28"/>
          <w:szCs w:val="28"/>
          <w:lang w:val="uk-UA"/>
        </w:rPr>
        <w:t xml:space="preserve"> ВЖК крізь мітохондріальну мембрану та їхньому окисненню у дихальному ланцюгу з вивільненням енергії, що позитивно впливає на метаболічні процеси в клітинах. Зниження концентрації ВЖК у печінці та м’язах підсилює чутливість рецепторів до інсуліну, сприяє зменшенню гіперглікемії та поліпшенню діяльності м’язів, що особливо важливо за умов ІР [42, 169]. Зменшення концентрації ГЦ зумовлено дією вітамінів В6, В12 та компонентів антитоксичної фракції екстракту печінки [1, 2, 3, 13].</w:t>
      </w:r>
    </w:p>
    <w:p w:rsidR="00A0176F" w:rsidRDefault="00A0176F" w:rsidP="00A0176F">
      <w:pPr>
        <w:spacing w:line="360" w:lineRule="auto"/>
        <w:ind w:firstLine="709"/>
        <w:jc w:val="both"/>
        <w:rPr>
          <w:sz w:val="28"/>
          <w:szCs w:val="28"/>
          <w:lang w:val="uk-UA"/>
        </w:rPr>
      </w:pPr>
      <w:r>
        <w:rPr>
          <w:sz w:val="28"/>
          <w:szCs w:val="28"/>
          <w:lang w:val="uk-UA"/>
        </w:rPr>
        <w:t xml:space="preserve">Поліпшенню енергетичного обміну у хворих НАСГ і у поєднанні з ЦД 2 типу також сприяло призначення препарату </w:t>
      </w:r>
      <w:r>
        <w:rPr>
          <w:sz w:val="28"/>
          <w:szCs w:val="28"/>
          <w:shd w:val="clear" w:color="auto" w:fill="FFFFFF"/>
          <w:lang w:val="uk-UA"/>
        </w:rPr>
        <w:t>депротеїнізованого</w:t>
      </w:r>
      <w:r>
        <w:rPr>
          <w:rFonts w:ascii="Tahoma" w:hAnsi="Tahoma" w:cs="Tahoma"/>
          <w:color w:val="000000"/>
          <w:sz w:val="13"/>
          <w:szCs w:val="13"/>
          <w:shd w:val="clear" w:color="auto" w:fill="FFFFFF"/>
          <w:lang w:val="uk-UA"/>
        </w:rPr>
        <w:t xml:space="preserve"> </w:t>
      </w:r>
      <w:r>
        <w:rPr>
          <w:sz w:val="28"/>
          <w:szCs w:val="28"/>
          <w:shd w:val="clear" w:color="auto" w:fill="FFFFFF"/>
          <w:lang w:val="uk-UA"/>
        </w:rPr>
        <w:t>гемодеривату крові телят,</w:t>
      </w:r>
      <w:r>
        <w:rPr>
          <w:sz w:val="28"/>
          <w:szCs w:val="28"/>
          <w:lang w:val="uk-UA"/>
        </w:rPr>
        <w:t xml:space="preserve"> який бере участь в утворенні макроергічних сполук (АТФ, АДФ, цАМФ), синтезі білка, виявляє протизапальну дію та є нейтротрансмітером інгібіторного типу [58].</w:t>
      </w:r>
    </w:p>
    <w:p w:rsidR="00A0176F" w:rsidRDefault="00A0176F" w:rsidP="00A0176F">
      <w:pPr>
        <w:spacing w:line="360" w:lineRule="auto"/>
        <w:ind w:firstLine="709"/>
        <w:jc w:val="both"/>
        <w:rPr>
          <w:sz w:val="28"/>
          <w:szCs w:val="28"/>
          <w:lang w:val="uk-UA"/>
        </w:rPr>
      </w:pPr>
      <w:r>
        <w:rPr>
          <w:sz w:val="28"/>
          <w:szCs w:val="28"/>
          <w:lang w:val="uk-UA"/>
        </w:rPr>
        <w:t>Даний розділ викладений в публікаціях:</w:t>
      </w:r>
    </w:p>
    <w:p w:rsidR="00A0176F" w:rsidRDefault="00A0176F" w:rsidP="00A0176F">
      <w:pPr>
        <w:spacing w:line="360" w:lineRule="auto"/>
        <w:ind w:left="360"/>
        <w:jc w:val="both"/>
        <w:rPr>
          <w:sz w:val="28"/>
        </w:rPr>
      </w:pPr>
      <w:r>
        <w:rPr>
          <w:sz w:val="28"/>
        </w:rPr>
        <w:lastRenderedPageBreak/>
        <w:t xml:space="preserve">1.Звягинцева Т.Д. </w:t>
      </w:r>
      <w:r>
        <w:rPr>
          <w:sz w:val="28"/>
          <w:lang w:val="uk-UA"/>
        </w:rPr>
        <w:t>Глущенко С.В.</w:t>
      </w:r>
      <w:r>
        <w:rPr>
          <w:sz w:val="28"/>
          <w:szCs w:val="28"/>
          <w:lang w:val="uk-UA"/>
        </w:rPr>
        <w:t xml:space="preserve"> </w:t>
      </w:r>
      <w:r>
        <w:rPr>
          <w:sz w:val="28"/>
          <w:szCs w:val="28"/>
        </w:rPr>
        <w:t>Неалкогольный стеатогепатит и методы патогенетической коррекции</w:t>
      </w:r>
      <w:r>
        <w:rPr>
          <w:sz w:val="28"/>
          <w:szCs w:val="28"/>
          <w:lang w:val="uk-UA"/>
        </w:rPr>
        <w:t xml:space="preserve"> // </w:t>
      </w:r>
      <w:r>
        <w:rPr>
          <w:sz w:val="28"/>
          <w:szCs w:val="28"/>
        </w:rPr>
        <w:t>Журн. «</w:t>
      </w:r>
      <w:r>
        <w:rPr>
          <w:sz w:val="28"/>
          <w:szCs w:val="28"/>
          <w:lang w:val="uk-UA"/>
        </w:rPr>
        <w:t>Міжнародний медичний журнал</w:t>
      </w:r>
      <w:r>
        <w:rPr>
          <w:sz w:val="28"/>
          <w:szCs w:val="28"/>
        </w:rPr>
        <w:t>»</w:t>
      </w:r>
      <w:r>
        <w:rPr>
          <w:sz w:val="28"/>
          <w:szCs w:val="28"/>
          <w:lang w:val="uk-UA"/>
        </w:rPr>
        <w:t xml:space="preserve">. – 2014. </w:t>
      </w:r>
      <w:r w:rsidR="00F026A2">
        <w:rPr>
          <w:sz w:val="28"/>
          <w:szCs w:val="28"/>
          <w:lang w:val="uk-UA"/>
        </w:rPr>
        <w:t>–</w:t>
      </w:r>
      <w:r>
        <w:rPr>
          <w:sz w:val="28"/>
          <w:szCs w:val="28"/>
          <w:lang w:val="uk-UA"/>
        </w:rPr>
        <w:t xml:space="preserve"> №2 (78). – Т. 20. – С. 29</w:t>
      </w:r>
      <w:r w:rsidR="00F026A2">
        <w:rPr>
          <w:sz w:val="28"/>
          <w:szCs w:val="28"/>
          <w:lang w:val="uk-UA"/>
        </w:rPr>
        <w:t>–</w:t>
      </w:r>
      <w:r>
        <w:rPr>
          <w:sz w:val="28"/>
          <w:szCs w:val="28"/>
          <w:lang w:val="uk-UA"/>
        </w:rPr>
        <w:t>32.</w:t>
      </w:r>
    </w:p>
    <w:p w:rsidR="00A0176F" w:rsidRPr="00423488" w:rsidRDefault="00A0176F" w:rsidP="00A0176F">
      <w:pPr>
        <w:spacing w:line="360" w:lineRule="auto"/>
        <w:ind w:left="360"/>
        <w:jc w:val="both"/>
        <w:rPr>
          <w:sz w:val="28"/>
          <w:szCs w:val="28"/>
        </w:rPr>
      </w:pPr>
      <w:r>
        <w:rPr>
          <w:sz w:val="28"/>
        </w:rPr>
        <w:t xml:space="preserve">2.Звягинцева Т.Д. </w:t>
      </w:r>
      <w:r>
        <w:rPr>
          <w:sz w:val="28"/>
          <w:lang w:val="uk-UA"/>
        </w:rPr>
        <w:t>Глущенко С.В.</w:t>
      </w:r>
      <w:r>
        <w:rPr>
          <w:sz w:val="28"/>
          <w:szCs w:val="28"/>
          <w:lang w:val="uk-UA"/>
        </w:rPr>
        <w:t xml:space="preserve"> </w:t>
      </w:r>
      <w:r>
        <w:rPr>
          <w:sz w:val="28"/>
          <w:szCs w:val="28"/>
        </w:rPr>
        <w:t>Патогенетические механизмы развития неалкогольного стеатогепатита и принципы современной терапии</w:t>
      </w:r>
      <w:r>
        <w:rPr>
          <w:sz w:val="28"/>
          <w:szCs w:val="28"/>
          <w:lang w:val="uk-UA"/>
        </w:rPr>
        <w:t xml:space="preserve"> // Журн. «Мистецтво лікування». – 2014. </w:t>
      </w:r>
      <w:r w:rsidR="00F026A2">
        <w:rPr>
          <w:sz w:val="28"/>
          <w:szCs w:val="28"/>
          <w:lang w:val="uk-UA"/>
        </w:rPr>
        <w:t>–</w:t>
      </w:r>
      <w:r>
        <w:rPr>
          <w:sz w:val="28"/>
          <w:szCs w:val="28"/>
          <w:lang w:val="uk-UA"/>
        </w:rPr>
        <w:t xml:space="preserve"> №1 (107). – С. 26</w:t>
      </w:r>
      <w:r w:rsidR="00F026A2">
        <w:rPr>
          <w:sz w:val="28"/>
          <w:szCs w:val="28"/>
          <w:lang w:val="uk-UA"/>
        </w:rPr>
        <w:t>–</w:t>
      </w:r>
      <w:r>
        <w:rPr>
          <w:sz w:val="28"/>
          <w:szCs w:val="28"/>
          <w:lang w:val="uk-UA"/>
        </w:rPr>
        <w:t>28.</w:t>
      </w:r>
    </w:p>
    <w:p w:rsidR="00A0176F" w:rsidRPr="00423488" w:rsidRDefault="00A0176F" w:rsidP="00A0176F">
      <w:pPr>
        <w:spacing w:line="360" w:lineRule="auto"/>
        <w:ind w:left="360"/>
        <w:jc w:val="both"/>
        <w:rPr>
          <w:sz w:val="28"/>
          <w:szCs w:val="28"/>
          <w:lang w:val="uk-UA"/>
        </w:rPr>
      </w:pPr>
      <w:r>
        <w:rPr>
          <w:sz w:val="28"/>
          <w:szCs w:val="28"/>
        </w:rPr>
        <w:t>3.</w:t>
      </w:r>
      <w:r>
        <w:rPr>
          <w:sz w:val="28"/>
          <w:szCs w:val="28"/>
          <w:lang w:val="uk-UA"/>
        </w:rPr>
        <w:t xml:space="preserve"> Патент «Спосіб лікування неалкогольного стеатогепатита» (деклараційний патент на корисну модель №</w:t>
      </w:r>
      <w:r>
        <w:rPr>
          <w:sz w:val="28"/>
          <w:szCs w:val="28"/>
        </w:rPr>
        <w:t>95037</w:t>
      </w:r>
      <w:r>
        <w:rPr>
          <w:sz w:val="28"/>
          <w:szCs w:val="28"/>
          <w:lang w:val="uk-UA"/>
        </w:rPr>
        <w:t xml:space="preserve"> UA, Україна, МПК </w:t>
      </w:r>
      <w:r>
        <w:rPr>
          <w:sz w:val="28"/>
          <w:szCs w:val="28"/>
          <w:lang w:val="en-US"/>
        </w:rPr>
        <w:t>A</w:t>
      </w:r>
      <w:r>
        <w:rPr>
          <w:sz w:val="28"/>
          <w:szCs w:val="28"/>
        </w:rPr>
        <w:t>61</w:t>
      </w:r>
      <w:r>
        <w:rPr>
          <w:sz w:val="28"/>
          <w:szCs w:val="28"/>
          <w:lang w:val="en-US"/>
        </w:rPr>
        <w:t>K</w:t>
      </w:r>
      <w:r>
        <w:rPr>
          <w:sz w:val="28"/>
          <w:szCs w:val="28"/>
          <w:lang w:val="uk-UA"/>
        </w:rPr>
        <w:t xml:space="preserve"> 3</w:t>
      </w:r>
      <w:r>
        <w:rPr>
          <w:sz w:val="28"/>
          <w:szCs w:val="28"/>
        </w:rPr>
        <w:t>5</w:t>
      </w:r>
      <w:r>
        <w:rPr>
          <w:sz w:val="28"/>
          <w:szCs w:val="28"/>
          <w:lang w:val="uk-UA"/>
        </w:rPr>
        <w:t>/</w:t>
      </w:r>
      <w:r>
        <w:rPr>
          <w:sz w:val="28"/>
          <w:szCs w:val="28"/>
        </w:rPr>
        <w:t>1</w:t>
      </w:r>
      <w:r>
        <w:rPr>
          <w:sz w:val="28"/>
          <w:szCs w:val="28"/>
          <w:lang w:val="uk-UA"/>
        </w:rPr>
        <w:t>4 (2006.01) – №2014 067</w:t>
      </w:r>
      <w:r>
        <w:rPr>
          <w:sz w:val="28"/>
          <w:szCs w:val="28"/>
        </w:rPr>
        <w:t>08</w:t>
      </w:r>
      <w:r>
        <w:rPr>
          <w:sz w:val="28"/>
          <w:szCs w:val="28"/>
          <w:lang w:val="uk-UA"/>
        </w:rPr>
        <w:t>, заявл. 16.06.2014; опубл. 10.1</w:t>
      </w:r>
      <w:r w:rsidRPr="00423488">
        <w:rPr>
          <w:sz w:val="28"/>
          <w:szCs w:val="28"/>
          <w:lang w:val="uk-UA"/>
        </w:rPr>
        <w:t>2</w:t>
      </w:r>
      <w:r>
        <w:rPr>
          <w:sz w:val="28"/>
          <w:szCs w:val="28"/>
          <w:lang w:val="uk-UA"/>
        </w:rPr>
        <w:t>.2014, Бюл.№2</w:t>
      </w:r>
      <w:r w:rsidRPr="00423488">
        <w:rPr>
          <w:sz w:val="28"/>
          <w:szCs w:val="28"/>
          <w:lang w:val="uk-UA"/>
        </w:rPr>
        <w:t>3</w:t>
      </w:r>
      <w:r>
        <w:rPr>
          <w:sz w:val="28"/>
          <w:szCs w:val="28"/>
          <w:lang w:val="uk-UA"/>
        </w:rPr>
        <w:t>).</w:t>
      </w:r>
    </w:p>
    <w:p w:rsidR="00E67FD9" w:rsidRDefault="00E67FD9" w:rsidP="00A0176F">
      <w:pPr>
        <w:spacing w:line="360" w:lineRule="auto"/>
        <w:ind w:firstLine="709"/>
        <w:jc w:val="both"/>
        <w:rPr>
          <w:sz w:val="28"/>
          <w:szCs w:val="28"/>
          <w:lang w:val="uk-UA"/>
        </w:rPr>
      </w:pPr>
    </w:p>
    <w:p w:rsidR="00A0176F" w:rsidRDefault="00A0176F" w:rsidP="00A0176F">
      <w:pPr>
        <w:spacing w:line="360" w:lineRule="auto"/>
        <w:ind w:firstLine="709"/>
        <w:jc w:val="both"/>
        <w:rPr>
          <w:sz w:val="28"/>
          <w:szCs w:val="28"/>
          <w:lang w:val="uk-UA"/>
        </w:rPr>
      </w:pPr>
      <w:r>
        <w:rPr>
          <w:sz w:val="28"/>
          <w:szCs w:val="28"/>
          <w:lang w:val="uk-UA"/>
        </w:rPr>
        <w:t xml:space="preserve">Для ілюстрації позитивного впливу комплексної терапії на показники </w:t>
      </w:r>
      <w:r>
        <w:rPr>
          <w:sz w:val="28"/>
          <w:szCs w:val="28"/>
          <w:lang w:val="en-US"/>
        </w:rPr>
        <w:t>L</w:t>
      </w:r>
      <w:r w:rsidR="00F026A2">
        <w:rPr>
          <w:sz w:val="28"/>
          <w:szCs w:val="28"/>
          <w:lang w:val="uk-UA"/>
        </w:rPr>
        <w:t>–</w:t>
      </w:r>
      <w:r>
        <w:rPr>
          <w:sz w:val="28"/>
          <w:szCs w:val="28"/>
          <w:lang w:val="uk-UA"/>
        </w:rPr>
        <w:t>карнітину, ГЦ, ФНП</w:t>
      </w:r>
      <w:r w:rsidR="00F026A2">
        <w:rPr>
          <w:sz w:val="28"/>
          <w:szCs w:val="28"/>
          <w:lang w:val="uk-UA"/>
        </w:rPr>
        <w:t>–</w:t>
      </w:r>
      <w:r>
        <w:rPr>
          <w:sz w:val="28"/>
          <w:szCs w:val="28"/>
          <w:lang w:val="uk-UA"/>
        </w:rPr>
        <w:t>α, ІЛ</w:t>
      </w:r>
      <w:r w:rsidR="00F026A2">
        <w:rPr>
          <w:sz w:val="28"/>
          <w:szCs w:val="28"/>
          <w:lang w:val="uk-UA"/>
        </w:rPr>
        <w:t>–</w:t>
      </w:r>
      <w:r>
        <w:rPr>
          <w:sz w:val="28"/>
          <w:szCs w:val="28"/>
          <w:lang w:val="uk-UA"/>
        </w:rPr>
        <w:t>6, NO та МДА в динаміці лікування наводимо наступний клінічний приклад:</w:t>
      </w:r>
    </w:p>
    <w:p w:rsidR="00A0176F" w:rsidRDefault="00A0176F" w:rsidP="00A0176F">
      <w:pPr>
        <w:spacing w:line="360" w:lineRule="auto"/>
        <w:ind w:firstLine="709"/>
        <w:jc w:val="both"/>
        <w:rPr>
          <w:sz w:val="28"/>
          <w:szCs w:val="28"/>
          <w:lang w:val="uk-UA"/>
        </w:rPr>
      </w:pPr>
      <w:r>
        <w:rPr>
          <w:sz w:val="28"/>
          <w:szCs w:val="28"/>
          <w:lang w:val="uk-UA"/>
        </w:rPr>
        <w:t>Хворий В., 46 років, знаходився на лікуванні в гастроентерологічному відділенні. При надходженні висував скарги на постійні ниючі болі в</w:t>
      </w:r>
      <w:r w:rsidRPr="009A7143">
        <w:rPr>
          <w:sz w:val="28"/>
          <w:szCs w:val="28"/>
          <w:lang w:val="uk-UA"/>
        </w:rPr>
        <w:t xml:space="preserve"> </w:t>
      </w:r>
      <w:r>
        <w:rPr>
          <w:sz w:val="28"/>
          <w:szCs w:val="28"/>
          <w:lang w:val="uk-UA"/>
        </w:rPr>
        <w:t>правому підребер’ї,  важкість та дискомфорт в правому підребер’ї, порушення апетиту, нудоту, відрижку повітрям, загальну слабкість, зниження працездатності.</w:t>
      </w:r>
    </w:p>
    <w:p w:rsidR="00A0176F" w:rsidRDefault="00A0176F" w:rsidP="00A0176F">
      <w:pPr>
        <w:spacing w:line="360" w:lineRule="auto"/>
        <w:ind w:firstLine="709"/>
        <w:jc w:val="both"/>
        <w:rPr>
          <w:sz w:val="28"/>
          <w:szCs w:val="28"/>
          <w:lang w:val="uk-UA"/>
        </w:rPr>
      </w:pPr>
      <w:r>
        <w:rPr>
          <w:sz w:val="28"/>
          <w:szCs w:val="28"/>
          <w:lang w:val="uk-UA"/>
        </w:rPr>
        <w:t>Анамнез хвороби: вважає себе хворим на потязі 5 років, коли з’</w:t>
      </w:r>
      <w:r w:rsidRPr="009A7143">
        <w:rPr>
          <w:sz w:val="28"/>
          <w:szCs w:val="28"/>
          <w:lang w:val="uk-UA"/>
        </w:rPr>
        <w:t>явилис</w:t>
      </w:r>
      <w:r>
        <w:rPr>
          <w:sz w:val="28"/>
          <w:szCs w:val="28"/>
          <w:lang w:val="uk-UA"/>
        </w:rPr>
        <w:t>ь</w:t>
      </w:r>
      <w:r>
        <w:rPr>
          <w:sz w:val="28"/>
          <w:szCs w:val="28"/>
        </w:rPr>
        <w:t xml:space="preserve"> </w:t>
      </w:r>
      <w:r w:rsidRPr="009A7143">
        <w:rPr>
          <w:sz w:val="28"/>
          <w:szCs w:val="28"/>
          <w:lang w:val="uk-UA"/>
        </w:rPr>
        <w:t>перераховані</w:t>
      </w:r>
      <w:r>
        <w:rPr>
          <w:sz w:val="28"/>
          <w:szCs w:val="28"/>
        </w:rPr>
        <w:t xml:space="preserve"> </w:t>
      </w:r>
      <w:r w:rsidRPr="009A7143">
        <w:rPr>
          <w:sz w:val="28"/>
          <w:szCs w:val="28"/>
          <w:lang w:val="uk-UA"/>
        </w:rPr>
        <w:t>вище</w:t>
      </w:r>
      <w:r>
        <w:rPr>
          <w:sz w:val="28"/>
          <w:szCs w:val="28"/>
        </w:rPr>
        <w:t xml:space="preserve"> </w:t>
      </w:r>
      <w:r w:rsidRPr="009A7143">
        <w:rPr>
          <w:sz w:val="28"/>
          <w:szCs w:val="28"/>
          <w:lang w:val="uk-UA"/>
        </w:rPr>
        <w:t>скарги</w:t>
      </w:r>
      <w:r>
        <w:rPr>
          <w:sz w:val="28"/>
          <w:szCs w:val="28"/>
          <w:lang w:val="uk-UA"/>
        </w:rPr>
        <w:t>. Неодноразово, 1</w:t>
      </w:r>
      <w:r w:rsidR="00F026A2">
        <w:rPr>
          <w:sz w:val="28"/>
          <w:szCs w:val="28"/>
          <w:lang w:val="uk-UA"/>
        </w:rPr>
        <w:t>–</w:t>
      </w:r>
      <w:r>
        <w:rPr>
          <w:sz w:val="28"/>
          <w:szCs w:val="28"/>
          <w:lang w:val="uk-UA"/>
        </w:rPr>
        <w:t>2 рази на рік лікувався в амбулаторних умовах, гастроентерологічних і терапевтичних відділеннях. Надійшов в гастроентерологічне відділення для проходження планового обстеження та лікування, у зв’</w:t>
      </w:r>
      <w:r>
        <w:rPr>
          <w:sz w:val="28"/>
          <w:szCs w:val="28"/>
        </w:rPr>
        <w:t xml:space="preserve">язку з </w:t>
      </w:r>
      <w:r w:rsidRPr="00E67FD9">
        <w:rPr>
          <w:sz w:val="28"/>
          <w:szCs w:val="28"/>
          <w:lang w:val="uk-UA"/>
        </w:rPr>
        <w:t>загостренням</w:t>
      </w:r>
      <w:r>
        <w:rPr>
          <w:sz w:val="28"/>
          <w:szCs w:val="28"/>
        </w:rPr>
        <w:t xml:space="preserve"> </w:t>
      </w:r>
      <w:r w:rsidRPr="00E67FD9">
        <w:rPr>
          <w:sz w:val="28"/>
          <w:szCs w:val="28"/>
          <w:lang w:val="uk-UA"/>
        </w:rPr>
        <w:t>хвороби</w:t>
      </w:r>
      <w:r>
        <w:rPr>
          <w:sz w:val="28"/>
          <w:szCs w:val="28"/>
          <w:lang w:val="uk-UA"/>
        </w:rPr>
        <w:t xml:space="preserve">. </w:t>
      </w:r>
    </w:p>
    <w:p w:rsidR="00A0176F" w:rsidRDefault="00A0176F" w:rsidP="00A0176F">
      <w:pPr>
        <w:spacing w:line="360" w:lineRule="auto"/>
        <w:ind w:firstLine="709"/>
        <w:jc w:val="both"/>
        <w:rPr>
          <w:sz w:val="28"/>
          <w:szCs w:val="28"/>
          <w:lang w:val="uk-UA"/>
        </w:rPr>
      </w:pPr>
      <w:r>
        <w:rPr>
          <w:sz w:val="28"/>
          <w:szCs w:val="28"/>
          <w:lang w:val="uk-UA"/>
        </w:rPr>
        <w:t>Анамнез життя: Ріс та розвивався нормально, соціально</w:t>
      </w:r>
      <w:r w:rsidR="00F026A2">
        <w:rPr>
          <w:sz w:val="28"/>
          <w:szCs w:val="28"/>
          <w:lang w:val="uk-UA"/>
        </w:rPr>
        <w:t>–</w:t>
      </w:r>
      <w:r>
        <w:rPr>
          <w:sz w:val="28"/>
          <w:szCs w:val="28"/>
          <w:lang w:val="uk-UA"/>
        </w:rPr>
        <w:t xml:space="preserve">побутові умови добрі. Спадковість не обтяжена. Харчування збалансоване. </w:t>
      </w:r>
      <w:r>
        <w:rPr>
          <w:color w:val="000000"/>
          <w:sz w:val="28"/>
          <w:szCs w:val="28"/>
          <w:shd w:val="clear" w:color="auto" w:fill="FFFFFF"/>
          <w:lang w:val="uk-UA"/>
        </w:rPr>
        <w:t>Операцій і травм не було. Алергію на харчові і лікарські речовини заперечує. На туберкульоз, хворобу Боткіна, венеричні, психічні захворювання не хворів. Із</w:t>
      </w:r>
      <w:r>
        <w:rPr>
          <w:color w:val="000000"/>
          <w:sz w:val="28"/>
          <w:szCs w:val="28"/>
          <w:shd w:val="clear" w:color="auto" w:fill="FFFFFF"/>
        </w:rPr>
        <w:t xml:space="preserve"> </w:t>
      </w:r>
      <w:r w:rsidRPr="00E67FD9">
        <w:rPr>
          <w:color w:val="000000"/>
          <w:sz w:val="28"/>
          <w:szCs w:val="28"/>
          <w:shd w:val="clear" w:color="auto" w:fill="FFFFFF"/>
          <w:lang w:val="uk-UA"/>
        </w:rPr>
        <w:t>перенесених</w:t>
      </w:r>
      <w:r>
        <w:rPr>
          <w:color w:val="000000"/>
          <w:sz w:val="28"/>
          <w:szCs w:val="28"/>
          <w:shd w:val="clear" w:color="auto" w:fill="FFFFFF"/>
        </w:rPr>
        <w:t xml:space="preserve"> </w:t>
      </w:r>
      <w:r w:rsidRPr="00E67FD9">
        <w:rPr>
          <w:color w:val="000000"/>
          <w:sz w:val="28"/>
          <w:szCs w:val="28"/>
          <w:shd w:val="clear" w:color="auto" w:fill="FFFFFF"/>
          <w:lang w:val="uk-UA"/>
        </w:rPr>
        <w:t>хронічних</w:t>
      </w:r>
      <w:r>
        <w:rPr>
          <w:color w:val="000000"/>
          <w:sz w:val="28"/>
          <w:szCs w:val="28"/>
          <w:shd w:val="clear" w:color="auto" w:fill="FFFFFF"/>
        </w:rPr>
        <w:t xml:space="preserve"> </w:t>
      </w:r>
      <w:r w:rsidRPr="00E67FD9">
        <w:rPr>
          <w:color w:val="000000"/>
          <w:sz w:val="28"/>
          <w:szCs w:val="28"/>
          <w:shd w:val="clear" w:color="auto" w:fill="FFFFFF"/>
          <w:lang w:val="uk-UA"/>
        </w:rPr>
        <w:t>захворювань</w:t>
      </w:r>
      <w:r>
        <w:rPr>
          <w:color w:val="000000"/>
          <w:sz w:val="28"/>
          <w:szCs w:val="28"/>
          <w:shd w:val="clear" w:color="auto" w:fill="FFFFFF"/>
        </w:rPr>
        <w:t xml:space="preserve">: </w:t>
      </w:r>
      <w:r w:rsidRPr="00E67FD9">
        <w:rPr>
          <w:color w:val="000000"/>
          <w:sz w:val="28"/>
          <w:szCs w:val="28"/>
          <w:shd w:val="clear" w:color="auto" w:fill="FFFFFF"/>
          <w:lang w:val="uk-UA"/>
        </w:rPr>
        <w:t>виразкова</w:t>
      </w:r>
      <w:r>
        <w:rPr>
          <w:color w:val="000000"/>
          <w:sz w:val="28"/>
          <w:szCs w:val="28"/>
          <w:shd w:val="clear" w:color="auto" w:fill="FFFFFF"/>
        </w:rPr>
        <w:t xml:space="preserve"> хвороба</w:t>
      </w:r>
      <w:r>
        <w:rPr>
          <w:sz w:val="28"/>
          <w:szCs w:val="28"/>
          <w:lang w:val="uk-UA"/>
        </w:rPr>
        <w:t xml:space="preserve"> шлунку. Не палить, алкоголем не зловживає. </w:t>
      </w:r>
    </w:p>
    <w:p w:rsidR="00A0176F" w:rsidRDefault="00A0176F" w:rsidP="00A0176F">
      <w:pPr>
        <w:spacing w:line="360" w:lineRule="auto"/>
        <w:ind w:firstLine="709"/>
        <w:jc w:val="both"/>
        <w:rPr>
          <w:sz w:val="28"/>
          <w:szCs w:val="28"/>
          <w:lang w:val="uk-UA"/>
        </w:rPr>
      </w:pPr>
      <w:r>
        <w:rPr>
          <w:sz w:val="28"/>
          <w:szCs w:val="28"/>
          <w:lang w:val="uk-UA"/>
        </w:rPr>
        <w:t xml:space="preserve">Об’єктивно: загальний стан відносно задовільний, нормостенік, положення активне, свідомість ясна. Зріст </w:t>
      </w:r>
      <w:smartTag w:uri="urn:schemas-microsoft-com:office:smarttags" w:element="metricconverter">
        <w:smartTagPr>
          <w:attr w:name="ProductID" w:val="181 см"/>
        </w:smartTagPr>
        <w:r>
          <w:rPr>
            <w:sz w:val="28"/>
            <w:szCs w:val="28"/>
            <w:lang w:val="uk-UA"/>
          </w:rPr>
          <w:t>181 см</w:t>
        </w:r>
      </w:smartTag>
      <w:r>
        <w:rPr>
          <w:sz w:val="28"/>
          <w:szCs w:val="28"/>
          <w:lang w:val="uk-UA"/>
        </w:rPr>
        <w:t xml:space="preserve">, вага </w:t>
      </w:r>
      <w:smartTag w:uri="urn:schemas-microsoft-com:office:smarttags" w:element="metricconverter">
        <w:smartTagPr>
          <w:attr w:name="ProductID" w:val="79 кг"/>
        </w:smartTagPr>
        <w:r>
          <w:rPr>
            <w:sz w:val="28"/>
            <w:szCs w:val="28"/>
            <w:lang w:val="uk-UA"/>
          </w:rPr>
          <w:t>79 кг</w:t>
        </w:r>
      </w:smartTag>
      <w:r>
        <w:rPr>
          <w:sz w:val="28"/>
          <w:szCs w:val="28"/>
          <w:lang w:val="uk-UA"/>
        </w:rPr>
        <w:t xml:space="preserve">. ІМТ = 24,1. Кожні покрови чисті, звичайного кольору та вологості. Набряків немає. У легенях: перкуторно – </w:t>
      </w:r>
      <w:r>
        <w:rPr>
          <w:sz w:val="28"/>
          <w:szCs w:val="28"/>
          <w:lang w:val="uk-UA"/>
        </w:rPr>
        <w:lastRenderedPageBreak/>
        <w:t xml:space="preserve">легеневий звук; аускультативно – везикулярне дихання. Частота дихальних рухів – 17 за 1 хвилину. Серце: межі відносної серцевої тупості не розширені. Тони серця звучні, діяльність ритмічна. ЧСС – 74 уд. За 1 хвилину. AT =120/70 мм рт. ст. Язик вкритий білим нальотом. Живіт незмінених розмірів, бере участь у акті дихання. При пальпації м’який, безболісний. Печінка ущільнена, її край закруглений, виступає за край реберної дуги на </w:t>
      </w:r>
      <w:smartTag w:uri="urn:schemas-microsoft-com:office:smarttags" w:element="metricconverter">
        <w:smartTagPr>
          <w:attr w:name="ProductID" w:val="2,5 см"/>
        </w:smartTagPr>
        <w:r>
          <w:rPr>
            <w:sz w:val="28"/>
            <w:szCs w:val="28"/>
            <w:lang w:val="uk-UA"/>
          </w:rPr>
          <w:t>2,5 см</w:t>
        </w:r>
      </w:smartTag>
      <w:r>
        <w:rPr>
          <w:sz w:val="28"/>
          <w:szCs w:val="28"/>
          <w:lang w:val="uk-UA"/>
        </w:rPr>
        <w:t>, помірно болюча при пальпації. Селезінка не пальпірується. Симптом Пастернацького негативний з обох сторін. Стул, діурез – не порушені.</w:t>
      </w:r>
    </w:p>
    <w:p w:rsidR="00A0176F" w:rsidRDefault="00A0176F" w:rsidP="00A0176F">
      <w:pPr>
        <w:spacing w:line="360" w:lineRule="auto"/>
        <w:ind w:firstLine="709"/>
        <w:jc w:val="both"/>
        <w:rPr>
          <w:sz w:val="28"/>
          <w:szCs w:val="28"/>
          <w:lang w:val="uk-UA"/>
        </w:rPr>
      </w:pPr>
      <w:r>
        <w:rPr>
          <w:sz w:val="28"/>
          <w:szCs w:val="28"/>
          <w:lang w:val="uk-UA"/>
        </w:rPr>
        <w:t>Дані додаткових обстежень: клінічний аналіз крові: гемоглобін – 142 г/л, еритроцити – 4,5х10</w:t>
      </w:r>
      <w:r>
        <w:rPr>
          <w:sz w:val="28"/>
          <w:szCs w:val="28"/>
          <w:vertAlign w:val="superscript"/>
          <w:lang w:val="uk-UA"/>
        </w:rPr>
        <w:t>12</w:t>
      </w:r>
      <w:r>
        <w:rPr>
          <w:sz w:val="28"/>
          <w:szCs w:val="28"/>
          <w:lang w:val="uk-UA"/>
        </w:rPr>
        <w:t>/л, кольоровий показник – 0,9, лейкоцити – 8,0х10</w:t>
      </w:r>
      <w:r>
        <w:rPr>
          <w:sz w:val="28"/>
          <w:szCs w:val="28"/>
          <w:vertAlign w:val="superscript"/>
          <w:lang w:val="uk-UA"/>
        </w:rPr>
        <w:t>9</w:t>
      </w:r>
      <w:r>
        <w:rPr>
          <w:sz w:val="28"/>
          <w:szCs w:val="28"/>
          <w:lang w:val="uk-UA"/>
        </w:rPr>
        <w:t>/л, лейкоцитарна формула не порушена, ШОЕ</w:t>
      </w:r>
      <w:r w:rsidR="00F026A2">
        <w:rPr>
          <w:sz w:val="28"/>
          <w:szCs w:val="28"/>
          <w:lang w:val="uk-UA"/>
        </w:rPr>
        <w:t>–</w:t>
      </w:r>
      <w:r>
        <w:rPr>
          <w:sz w:val="28"/>
          <w:szCs w:val="28"/>
          <w:lang w:val="uk-UA"/>
        </w:rPr>
        <w:t xml:space="preserve">9 мм/год. </w:t>
      </w:r>
    </w:p>
    <w:p w:rsidR="00A0176F" w:rsidRDefault="00A0176F" w:rsidP="00A0176F">
      <w:pPr>
        <w:spacing w:line="360" w:lineRule="auto"/>
        <w:ind w:firstLine="709"/>
        <w:jc w:val="both"/>
        <w:rPr>
          <w:sz w:val="28"/>
          <w:szCs w:val="28"/>
          <w:lang w:val="uk-UA"/>
        </w:rPr>
      </w:pPr>
      <w:r>
        <w:rPr>
          <w:sz w:val="28"/>
          <w:szCs w:val="28"/>
          <w:lang w:val="uk-UA"/>
        </w:rPr>
        <w:t xml:space="preserve">Біохімічні показники: загальний білірубін – 12 мкмоль/л, кон’югований – 4 мкмоль/л, некон’югований – 8 мкмоль/л, тимолова проба – 1 од., АЛТ – 102 од., ACT </w:t>
      </w:r>
      <w:r w:rsidR="00F026A2">
        <w:rPr>
          <w:sz w:val="28"/>
          <w:szCs w:val="28"/>
          <w:lang w:val="uk-UA"/>
        </w:rPr>
        <w:t>–</w:t>
      </w:r>
      <w:r>
        <w:rPr>
          <w:sz w:val="28"/>
          <w:szCs w:val="28"/>
          <w:lang w:val="uk-UA"/>
        </w:rPr>
        <w:t>90 од., ЛФ – 200 Од/л,  загальний білок – 72 г/л, альбуміни – 61,3 %, α</w:t>
      </w:r>
      <w:r w:rsidR="00F026A2">
        <w:rPr>
          <w:sz w:val="28"/>
          <w:szCs w:val="28"/>
          <w:lang w:val="uk-UA"/>
        </w:rPr>
        <w:t>–</w:t>
      </w:r>
      <w:r>
        <w:rPr>
          <w:sz w:val="28"/>
          <w:szCs w:val="28"/>
          <w:lang w:val="uk-UA"/>
        </w:rPr>
        <w:t>глобуліни –13,2 %, β</w:t>
      </w:r>
      <w:r w:rsidR="00F026A2">
        <w:rPr>
          <w:sz w:val="28"/>
          <w:szCs w:val="28"/>
          <w:lang w:val="uk-UA"/>
        </w:rPr>
        <w:t>–</w:t>
      </w:r>
      <w:r>
        <w:rPr>
          <w:sz w:val="28"/>
          <w:szCs w:val="28"/>
          <w:lang w:val="uk-UA"/>
        </w:rPr>
        <w:t>глобуліни – 11,0 %, γ</w:t>
      </w:r>
      <w:r w:rsidR="00F026A2">
        <w:rPr>
          <w:sz w:val="28"/>
          <w:szCs w:val="28"/>
          <w:lang w:val="uk-UA"/>
        </w:rPr>
        <w:t>–</w:t>
      </w:r>
      <w:r>
        <w:rPr>
          <w:sz w:val="28"/>
          <w:szCs w:val="28"/>
          <w:lang w:val="uk-UA"/>
        </w:rPr>
        <w:t xml:space="preserve">глобуліни – 14,5 %; ПТІ 89 %, фібриноген 1,8 г/л, толерантність плазми до гепарину – 13 хв., </w:t>
      </w:r>
      <w:r>
        <w:rPr>
          <w:sz w:val="28"/>
          <w:szCs w:val="28"/>
        </w:rPr>
        <w:t>L</w:t>
      </w:r>
      <w:r w:rsidR="00F026A2">
        <w:rPr>
          <w:sz w:val="28"/>
          <w:szCs w:val="28"/>
          <w:lang w:val="uk-UA"/>
        </w:rPr>
        <w:t>–</w:t>
      </w:r>
      <w:r>
        <w:rPr>
          <w:sz w:val="28"/>
          <w:szCs w:val="28"/>
          <w:lang w:val="uk-UA"/>
        </w:rPr>
        <w:t>карнітин – 15,42 мкмоль/л, ГЦ – 29,326 мкмоль/л, IЛ</w:t>
      </w:r>
      <w:r w:rsidR="00F026A2">
        <w:rPr>
          <w:sz w:val="28"/>
          <w:szCs w:val="28"/>
          <w:lang w:val="uk-UA"/>
        </w:rPr>
        <w:t>–</w:t>
      </w:r>
      <w:r>
        <w:rPr>
          <w:sz w:val="28"/>
          <w:szCs w:val="28"/>
          <w:lang w:val="uk-UA"/>
        </w:rPr>
        <w:t>6 – 18,403 пг/мл, ФНП</w:t>
      </w:r>
      <w:r w:rsidR="00F026A2">
        <w:rPr>
          <w:sz w:val="28"/>
          <w:szCs w:val="28"/>
          <w:lang w:val="uk-UA"/>
        </w:rPr>
        <w:t>–</w:t>
      </w:r>
      <w:r>
        <w:rPr>
          <w:sz w:val="28"/>
          <w:szCs w:val="28"/>
        </w:rPr>
        <w:t>α</w:t>
      </w:r>
      <w:r>
        <w:rPr>
          <w:sz w:val="28"/>
          <w:szCs w:val="28"/>
          <w:lang w:val="uk-UA"/>
        </w:rPr>
        <w:t xml:space="preserve"> – 8,352 пг/мл, МДА – 11,7 мкмоль/л, оксид азоту – 169,31 мкмоль/л.</w:t>
      </w:r>
    </w:p>
    <w:p w:rsidR="00A0176F" w:rsidRDefault="00A0176F" w:rsidP="00A0176F">
      <w:pPr>
        <w:spacing w:line="360" w:lineRule="auto"/>
        <w:ind w:firstLine="709"/>
        <w:jc w:val="both"/>
        <w:rPr>
          <w:sz w:val="28"/>
          <w:szCs w:val="28"/>
          <w:lang w:val="uk-UA"/>
        </w:rPr>
      </w:pPr>
      <w:r>
        <w:rPr>
          <w:sz w:val="28"/>
          <w:szCs w:val="28"/>
          <w:lang w:val="uk-UA"/>
        </w:rPr>
        <w:t xml:space="preserve">УЗД: печінка збільшена: права доля – </w:t>
      </w:r>
      <w:smartTag w:uri="urn:schemas-microsoft-com:office:smarttags" w:element="metricconverter">
        <w:smartTagPr>
          <w:attr w:name="ProductID" w:val="16,2 см"/>
        </w:smartTagPr>
        <w:r>
          <w:rPr>
            <w:sz w:val="28"/>
            <w:szCs w:val="28"/>
            <w:lang w:val="uk-UA"/>
          </w:rPr>
          <w:t>16,2 см</w:t>
        </w:r>
      </w:smartTag>
      <w:r>
        <w:rPr>
          <w:sz w:val="28"/>
          <w:szCs w:val="28"/>
          <w:lang w:val="uk-UA"/>
        </w:rPr>
        <w:t xml:space="preserve">., ліва доля – </w:t>
      </w:r>
      <w:smartTag w:uri="urn:schemas-microsoft-com:office:smarttags" w:element="metricconverter">
        <w:smartTagPr>
          <w:attr w:name="ProductID" w:val="10,6 см"/>
        </w:smartTagPr>
        <w:r>
          <w:rPr>
            <w:sz w:val="28"/>
            <w:szCs w:val="28"/>
            <w:lang w:val="uk-UA"/>
          </w:rPr>
          <w:t>10,6 см</w:t>
        </w:r>
      </w:smartTag>
      <w:r>
        <w:rPr>
          <w:sz w:val="28"/>
          <w:szCs w:val="28"/>
          <w:lang w:val="uk-UA"/>
        </w:rPr>
        <w:t>., структура однорідна, ехогенність дифузно підвищена, паренхіма ущільнена, наявний помірний ефект дорсального поглинання ехо</w:t>
      </w:r>
      <w:r w:rsidR="00F026A2">
        <w:rPr>
          <w:sz w:val="28"/>
          <w:szCs w:val="28"/>
          <w:lang w:val="uk-UA"/>
        </w:rPr>
        <w:t>–</w:t>
      </w:r>
      <w:r>
        <w:rPr>
          <w:sz w:val="28"/>
          <w:szCs w:val="28"/>
          <w:lang w:val="uk-UA"/>
        </w:rPr>
        <w:t xml:space="preserve">сигналу, судинний малюнок збіднений, за рахунок дрібних судин; портальна вена – </w:t>
      </w:r>
      <w:smartTag w:uri="urn:schemas-microsoft-com:office:smarttags" w:element="metricconverter">
        <w:smartTagPr>
          <w:attr w:name="ProductID" w:val="11 мм"/>
        </w:smartTagPr>
        <w:r>
          <w:rPr>
            <w:sz w:val="28"/>
            <w:szCs w:val="28"/>
            <w:lang w:val="uk-UA"/>
          </w:rPr>
          <w:t>11 мм</w:t>
        </w:r>
      </w:smartTag>
      <w:r>
        <w:rPr>
          <w:sz w:val="28"/>
          <w:szCs w:val="28"/>
          <w:lang w:val="uk-UA"/>
        </w:rPr>
        <w:t xml:space="preserve">., загальна жовчна протока – </w:t>
      </w:r>
      <w:smartTag w:uri="urn:schemas-microsoft-com:office:smarttags" w:element="metricconverter">
        <w:smartTagPr>
          <w:attr w:name="ProductID" w:val="7 мм"/>
        </w:smartTagPr>
        <w:r>
          <w:rPr>
            <w:sz w:val="28"/>
            <w:szCs w:val="28"/>
            <w:lang w:val="uk-UA"/>
          </w:rPr>
          <w:t>7 мм</w:t>
        </w:r>
      </w:smartTag>
      <w:r>
        <w:rPr>
          <w:sz w:val="28"/>
          <w:szCs w:val="28"/>
          <w:lang w:val="uk-UA"/>
        </w:rPr>
        <w:t>. Селезінка не збільшена.</w:t>
      </w:r>
    </w:p>
    <w:p w:rsidR="00A0176F" w:rsidRDefault="00A0176F" w:rsidP="00A0176F">
      <w:pPr>
        <w:spacing w:line="360" w:lineRule="auto"/>
        <w:ind w:firstLine="709"/>
        <w:jc w:val="both"/>
        <w:rPr>
          <w:sz w:val="28"/>
          <w:szCs w:val="28"/>
          <w:lang w:val="uk-UA"/>
        </w:rPr>
      </w:pPr>
      <w:r w:rsidRPr="009A7143">
        <w:rPr>
          <w:sz w:val="28"/>
          <w:szCs w:val="28"/>
          <w:lang w:val="uk-UA"/>
        </w:rPr>
        <w:t xml:space="preserve"> </w:t>
      </w:r>
      <w:r>
        <w:rPr>
          <w:sz w:val="28"/>
          <w:szCs w:val="28"/>
          <w:lang w:val="uk-UA"/>
        </w:rPr>
        <w:t>Клінічний діагноз: Неалкогольний стеатогепатит.</w:t>
      </w:r>
    </w:p>
    <w:p w:rsidR="00A0176F" w:rsidRDefault="00A0176F" w:rsidP="00A0176F">
      <w:pPr>
        <w:spacing w:line="360" w:lineRule="auto"/>
        <w:ind w:right="175" w:firstLine="709"/>
        <w:jc w:val="both"/>
        <w:rPr>
          <w:sz w:val="28"/>
          <w:szCs w:val="28"/>
          <w:shd w:val="clear" w:color="auto" w:fill="FFFFFF"/>
          <w:lang w:val="uk-UA"/>
        </w:rPr>
      </w:pPr>
      <w:r>
        <w:rPr>
          <w:sz w:val="28"/>
          <w:szCs w:val="28"/>
          <w:lang w:val="uk-UA"/>
        </w:rPr>
        <w:t>Хворому В. Було призначено лікування: дієта 5, препарат L</w:t>
      </w:r>
      <w:r w:rsidR="00F026A2">
        <w:rPr>
          <w:sz w:val="28"/>
          <w:szCs w:val="28"/>
          <w:lang w:val="uk-UA"/>
        </w:rPr>
        <w:t>–</w:t>
      </w:r>
      <w:r>
        <w:rPr>
          <w:sz w:val="28"/>
          <w:szCs w:val="28"/>
          <w:lang w:val="uk-UA"/>
        </w:rPr>
        <w:t xml:space="preserve">карнітину </w:t>
      </w:r>
      <w:r>
        <w:rPr>
          <w:sz w:val="28"/>
          <w:szCs w:val="28"/>
          <w:shd w:val="clear" w:color="auto" w:fill="FFFFFF"/>
          <w:lang w:val="uk-UA"/>
        </w:rPr>
        <w:t>у дозі 2 капсули 3 рази на добу 4 тижні, депротеінізований гемодериват телячої крові розчин для інфузій 10% 250 мл в ізотонічному розчині на протязі 10 діб, з наступним переходом на прийом препарату внутрішньо у дозі 1 таблетка з рази на добу 4 тижні та фолієву кислоту у дозі 1 таблетка 2 рази на добу 4 тижні.</w:t>
      </w:r>
    </w:p>
    <w:p w:rsidR="00A0176F" w:rsidRDefault="00A0176F" w:rsidP="00A0176F">
      <w:pPr>
        <w:spacing w:line="360" w:lineRule="auto"/>
        <w:ind w:firstLine="709"/>
        <w:jc w:val="both"/>
        <w:rPr>
          <w:sz w:val="28"/>
          <w:szCs w:val="28"/>
          <w:lang w:val="uk-UA"/>
        </w:rPr>
      </w:pPr>
      <w:r>
        <w:rPr>
          <w:sz w:val="28"/>
          <w:szCs w:val="28"/>
          <w:lang w:val="uk-UA"/>
        </w:rPr>
        <w:lastRenderedPageBreak/>
        <w:t xml:space="preserve">Стан хворого В. Поступово покращився і виявлена патологічна симптоматика зникла. Тривалість збереження загальної слабкості і нездужання становила 5 діб, зниження апетиту і тяжкість у правому підребер’ї – 6 діб,  болючість печінкового краю при пальпації – 8 діб, обкладеність язика нальотом – 10 діб, зниження працездатності – 9 діб гепатомегалія – 20 діб. </w:t>
      </w:r>
    </w:p>
    <w:p w:rsidR="00A0176F" w:rsidRDefault="00A0176F" w:rsidP="00A0176F">
      <w:pPr>
        <w:spacing w:line="360" w:lineRule="auto"/>
        <w:ind w:firstLine="709"/>
        <w:jc w:val="both"/>
        <w:rPr>
          <w:sz w:val="28"/>
          <w:szCs w:val="28"/>
          <w:lang w:val="uk-UA"/>
        </w:rPr>
      </w:pPr>
      <w:r>
        <w:rPr>
          <w:sz w:val="28"/>
          <w:szCs w:val="28"/>
          <w:lang w:val="uk-UA"/>
        </w:rPr>
        <w:t xml:space="preserve">Поруч з ліквідацією клінічних симптомів захворювання, поступово покращились також і біохімічні показники, що характеризують функціональний стан печінки. На момент завершення курсу лікування були установлені наступні показники біохімічного обстеження: АЛТ – 29 од., ACT – 26 од., </w:t>
      </w:r>
      <w:r>
        <w:rPr>
          <w:sz w:val="28"/>
          <w:szCs w:val="28"/>
        </w:rPr>
        <w:t>L</w:t>
      </w:r>
      <w:r w:rsidR="00F026A2">
        <w:rPr>
          <w:sz w:val="28"/>
          <w:szCs w:val="28"/>
          <w:lang w:val="uk-UA"/>
        </w:rPr>
        <w:t>–</w:t>
      </w:r>
      <w:r>
        <w:rPr>
          <w:sz w:val="28"/>
          <w:szCs w:val="28"/>
          <w:lang w:val="uk-UA"/>
        </w:rPr>
        <w:t>карнітин – 25,15 мкмоль/л, ГЦ – 12,831 мкмоль/л, IЛ</w:t>
      </w:r>
      <w:r w:rsidR="00F026A2">
        <w:rPr>
          <w:sz w:val="28"/>
          <w:szCs w:val="28"/>
          <w:lang w:val="uk-UA"/>
        </w:rPr>
        <w:t>–</w:t>
      </w:r>
      <w:r>
        <w:rPr>
          <w:sz w:val="28"/>
          <w:szCs w:val="28"/>
          <w:lang w:val="uk-UA"/>
        </w:rPr>
        <w:t>6 – 1,879 пг/мл, ФНП</w:t>
      </w:r>
      <w:r w:rsidR="00F026A2">
        <w:rPr>
          <w:sz w:val="28"/>
          <w:szCs w:val="28"/>
          <w:lang w:val="uk-UA"/>
        </w:rPr>
        <w:t>–</w:t>
      </w:r>
      <w:r>
        <w:rPr>
          <w:sz w:val="28"/>
          <w:szCs w:val="28"/>
        </w:rPr>
        <w:t>α</w:t>
      </w:r>
      <w:r>
        <w:rPr>
          <w:sz w:val="28"/>
          <w:szCs w:val="28"/>
          <w:lang w:val="uk-UA"/>
        </w:rPr>
        <w:t xml:space="preserve"> – 1,994 пг/мл, МДА – 3,14 мкмоль/л, оксид азоту –53,54 мкмоль/л.</w:t>
      </w:r>
    </w:p>
    <w:p w:rsidR="00A0176F" w:rsidRDefault="00A0176F" w:rsidP="00A0176F">
      <w:pPr>
        <w:spacing w:line="360" w:lineRule="auto"/>
        <w:ind w:firstLine="709"/>
        <w:jc w:val="both"/>
        <w:rPr>
          <w:sz w:val="28"/>
          <w:szCs w:val="28"/>
          <w:lang w:val="uk-UA"/>
        </w:rPr>
      </w:pPr>
      <w:r>
        <w:rPr>
          <w:sz w:val="28"/>
          <w:szCs w:val="28"/>
          <w:lang w:val="uk-UA"/>
        </w:rPr>
        <w:t>Одже, комплексна терапія з включенням препаратів L</w:t>
      </w:r>
      <w:r w:rsidR="00F026A2">
        <w:rPr>
          <w:sz w:val="28"/>
          <w:szCs w:val="28"/>
          <w:lang w:val="uk-UA"/>
        </w:rPr>
        <w:t>–</w:t>
      </w:r>
      <w:r>
        <w:rPr>
          <w:sz w:val="28"/>
          <w:szCs w:val="28"/>
          <w:lang w:val="uk-UA"/>
        </w:rPr>
        <w:t xml:space="preserve">карнітину, </w:t>
      </w:r>
      <w:r>
        <w:rPr>
          <w:sz w:val="28"/>
          <w:szCs w:val="28"/>
          <w:shd w:val="clear" w:color="auto" w:fill="FFFFFF"/>
          <w:lang w:val="uk-UA"/>
        </w:rPr>
        <w:t>депротеїнізованого</w:t>
      </w:r>
      <w:r>
        <w:rPr>
          <w:rFonts w:ascii="Tahoma" w:hAnsi="Tahoma" w:cs="Tahoma"/>
          <w:color w:val="000000"/>
          <w:sz w:val="13"/>
          <w:szCs w:val="13"/>
          <w:shd w:val="clear" w:color="auto" w:fill="FFFFFF"/>
          <w:lang w:val="uk-UA"/>
        </w:rPr>
        <w:t xml:space="preserve"> </w:t>
      </w:r>
      <w:r>
        <w:rPr>
          <w:sz w:val="28"/>
          <w:szCs w:val="28"/>
          <w:shd w:val="clear" w:color="auto" w:fill="FFFFFF"/>
          <w:lang w:val="uk-UA"/>
        </w:rPr>
        <w:t>гемодеривату крові телят</w:t>
      </w:r>
      <w:r>
        <w:rPr>
          <w:sz w:val="28"/>
          <w:szCs w:val="28"/>
          <w:lang w:val="uk-UA"/>
        </w:rPr>
        <w:t xml:space="preserve"> та фолієвої кислоти сприяла усуненню клінічної симптоматики, нормалізації рівня карнітину, ГЦ сироватки крові, зменшенню процесів ПОЛ та зниженню рівня прозапальних цитокінів.</w:t>
      </w: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jc w:val="both"/>
        <w:rPr>
          <w:sz w:val="28"/>
          <w:szCs w:val="28"/>
          <w:lang w:val="uk-UA"/>
        </w:rPr>
      </w:pPr>
    </w:p>
    <w:p w:rsidR="0047048A" w:rsidRDefault="0047048A" w:rsidP="0047048A">
      <w:pPr>
        <w:spacing w:line="360" w:lineRule="auto"/>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ind w:left="360"/>
        <w:jc w:val="both"/>
        <w:rPr>
          <w:sz w:val="28"/>
          <w:szCs w:val="28"/>
          <w:lang w:val="uk-UA"/>
        </w:rPr>
      </w:pPr>
    </w:p>
    <w:p w:rsidR="00077303" w:rsidRDefault="00077303" w:rsidP="001E1317">
      <w:pPr>
        <w:spacing w:line="360" w:lineRule="auto"/>
        <w:jc w:val="both"/>
        <w:rPr>
          <w:sz w:val="28"/>
          <w:szCs w:val="28"/>
          <w:lang w:val="uk-UA"/>
        </w:rPr>
      </w:pPr>
    </w:p>
    <w:p w:rsidR="007E691D" w:rsidRPr="00731CD1" w:rsidRDefault="007E691D" w:rsidP="007E691D">
      <w:pPr>
        <w:spacing w:line="360" w:lineRule="auto"/>
        <w:jc w:val="center"/>
        <w:rPr>
          <w:b/>
          <w:sz w:val="28"/>
          <w:szCs w:val="28"/>
          <w:lang w:val="uk-UA"/>
        </w:rPr>
      </w:pPr>
      <w:r w:rsidRPr="00731CD1">
        <w:rPr>
          <w:b/>
          <w:sz w:val="28"/>
          <w:szCs w:val="28"/>
          <w:lang w:val="uk-UA"/>
        </w:rPr>
        <w:lastRenderedPageBreak/>
        <w:t>РОЗДІЛ 5</w:t>
      </w:r>
    </w:p>
    <w:p w:rsidR="007E691D" w:rsidRPr="00731CD1" w:rsidRDefault="007E691D" w:rsidP="007E691D">
      <w:pPr>
        <w:spacing w:line="360" w:lineRule="auto"/>
        <w:jc w:val="center"/>
        <w:rPr>
          <w:b/>
          <w:sz w:val="28"/>
          <w:szCs w:val="28"/>
          <w:lang w:val="uk-UA"/>
        </w:rPr>
      </w:pPr>
      <w:r w:rsidRPr="00731CD1">
        <w:rPr>
          <w:b/>
          <w:sz w:val="28"/>
          <w:szCs w:val="28"/>
          <w:lang w:val="uk-UA"/>
        </w:rPr>
        <w:t>АНАЛІЗ ТА УЗАГАЛЬНЕННЯ РЕЗУЛЬТАТІВ ДОСЛІДЖЕННЯ</w:t>
      </w:r>
    </w:p>
    <w:p w:rsidR="007E691D" w:rsidRDefault="007E691D" w:rsidP="007E691D">
      <w:pPr>
        <w:spacing w:line="360" w:lineRule="auto"/>
        <w:ind w:firstLine="709"/>
        <w:jc w:val="both"/>
        <w:rPr>
          <w:sz w:val="28"/>
          <w:szCs w:val="28"/>
          <w:lang w:val="uk-UA"/>
        </w:rPr>
      </w:pPr>
      <w:r>
        <w:rPr>
          <w:sz w:val="28"/>
          <w:szCs w:val="28"/>
          <w:lang w:val="uk-UA"/>
        </w:rPr>
        <w:t>Проблема діагностики та лікування НАСГ на тлі ЦД 2 типу є актуальним питанням сучасної гастроентерології. Дослідження останніх років свідчать про збільшення числа хворих НАСГ [5, 28, 209], а так само його ускладнень і можливою трансформацією в цироз печінки [20, 257].</w:t>
      </w:r>
    </w:p>
    <w:p w:rsidR="007E691D" w:rsidRDefault="007E691D" w:rsidP="007E691D">
      <w:pPr>
        <w:spacing w:line="360" w:lineRule="auto"/>
        <w:ind w:firstLine="709"/>
        <w:jc w:val="both"/>
        <w:rPr>
          <w:sz w:val="28"/>
          <w:szCs w:val="28"/>
          <w:lang w:val="uk-UA"/>
        </w:rPr>
      </w:pPr>
      <w:r>
        <w:rPr>
          <w:sz w:val="28"/>
          <w:szCs w:val="28"/>
          <w:lang w:val="uk-UA"/>
        </w:rPr>
        <w:t>НАСГ в даний час вважається однією з найчастіших причин підвищення печінкових тестів без наявності клінічних симптомів [199]. Згідно з епідеміологічними даними зростання НАСГ відбувається на тлі збільшення частоти метаболічного синдрому, ЦД 2 типу, ожиріння [217]. Незалежними чинниками розвитку НАСГ виступають збільшення окружності талії, індексу маси тіла, зниження рівнів ЛПВЩ, зростання вмісту ТГ сироватки крові, глюкози натщесерце, ЦД 2 типу, артеріальна гіпертензія та чоловіча стать [51, 219].</w:t>
      </w:r>
    </w:p>
    <w:p w:rsidR="007E691D" w:rsidRDefault="007E691D" w:rsidP="007E691D">
      <w:pPr>
        <w:spacing w:line="360" w:lineRule="auto"/>
        <w:ind w:firstLine="709"/>
        <w:jc w:val="both"/>
        <w:rPr>
          <w:sz w:val="28"/>
          <w:szCs w:val="28"/>
          <w:lang w:val="uk-UA"/>
        </w:rPr>
      </w:pPr>
      <w:r>
        <w:rPr>
          <w:sz w:val="28"/>
          <w:szCs w:val="28"/>
          <w:lang w:val="uk-UA"/>
        </w:rPr>
        <w:t>В останні роки активно досліджується роль L–карнітину у розвитку та прогресуванні НАЖХП, а також у формуванні фіброзу печінки. Фундаментальні дослідження останніх років показали, що L–карнітин є одним з найбільш ефективних речовин, що нормалізують енергетичні процеси при мітохондріальнії дисфункції гепатоцитів [84, 173, 267], які являють основу розвитку НАЖХП. Доведеним є зв’язок між ступенем карнітиновой недостатності і виразністю гепатоцеллюлярного пошкодження та паренхіматозного запалення при НАЖХП [170].</w:t>
      </w:r>
    </w:p>
    <w:p w:rsidR="007E691D" w:rsidRDefault="007E691D" w:rsidP="007E691D">
      <w:pPr>
        <w:spacing w:line="360" w:lineRule="auto"/>
        <w:ind w:firstLine="709"/>
        <w:jc w:val="both"/>
        <w:rPr>
          <w:sz w:val="28"/>
          <w:szCs w:val="28"/>
          <w:lang w:val="uk-UA"/>
        </w:rPr>
      </w:pPr>
      <w:r>
        <w:rPr>
          <w:sz w:val="28"/>
          <w:szCs w:val="28"/>
          <w:lang w:val="uk-UA"/>
        </w:rPr>
        <w:t>Останні дослідження описують підвищений рівень ГЦ плазми у пацієнтів з НАЖХП порівняно зі здоровими людьми, або пацієнтами з хронічними захворюваннями печінки іншої етіології [121]. Встановлено, що негативний вплив ГГЦ здійснюється через порушення процесів метилування ДНК, протеїнів, індукцію оксидативного стресу, порушення синтезу біологічно–активних молекул і вазодилятаторов, хімічну модифікацію (гомоцистеїнування) білків [161, 180, 210].</w:t>
      </w:r>
    </w:p>
    <w:p w:rsidR="007E691D" w:rsidRDefault="007E691D" w:rsidP="007E691D">
      <w:pPr>
        <w:spacing w:line="360" w:lineRule="auto"/>
        <w:ind w:firstLine="709"/>
        <w:jc w:val="both"/>
        <w:rPr>
          <w:sz w:val="28"/>
          <w:szCs w:val="28"/>
          <w:lang w:val="uk-UA"/>
        </w:rPr>
      </w:pPr>
      <w:r>
        <w:rPr>
          <w:sz w:val="28"/>
          <w:szCs w:val="28"/>
          <w:lang w:val="uk-UA"/>
        </w:rPr>
        <w:t>ГЦ має прооксидантні властивості та індукує оксидативний стрес шляхом утворення активних форм кисню, що призводить до порушення структури і функції мембран, білків, нуклеїнових кислот, активує запалення і загибель клітин [105, 208].</w:t>
      </w:r>
    </w:p>
    <w:p w:rsidR="007E691D" w:rsidRDefault="007E691D" w:rsidP="007E691D">
      <w:pPr>
        <w:spacing w:line="360" w:lineRule="auto"/>
        <w:ind w:firstLine="709"/>
        <w:jc w:val="both"/>
        <w:rPr>
          <w:sz w:val="28"/>
          <w:szCs w:val="28"/>
          <w:lang w:val="uk-UA"/>
        </w:rPr>
      </w:pPr>
      <w:r>
        <w:rPr>
          <w:sz w:val="28"/>
          <w:szCs w:val="28"/>
          <w:lang w:val="uk-UA"/>
        </w:rPr>
        <w:lastRenderedPageBreak/>
        <w:t>Доведений вплив ГГЦ на посилення процесів ПОЛ і розвиток ліпотоксичного стресу [142]. У хворих з ГГЦ виявлено сильну кореляцію між вмістом ГЦ та продукту ліпопероксидації – МДА, що приймає участь в генерації активних форм кисню [214].</w:t>
      </w:r>
    </w:p>
    <w:p w:rsidR="007E691D" w:rsidRDefault="007E691D" w:rsidP="007E691D">
      <w:pPr>
        <w:spacing w:line="360" w:lineRule="auto"/>
        <w:ind w:firstLine="709"/>
        <w:jc w:val="both"/>
        <w:rPr>
          <w:sz w:val="28"/>
          <w:szCs w:val="28"/>
          <w:lang w:val="uk-UA"/>
        </w:rPr>
      </w:pPr>
      <w:r>
        <w:rPr>
          <w:sz w:val="28"/>
          <w:szCs w:val="28"/>
          <w:lang w:val="uk-UA"/>
        </w:rPr>
        <w:t>Токсична дія ГГЦ реалізується також шляхом розвитку системного запалення. Встановлено, що ГЦ стимулює вироблення прозапальних цитокінів, зокрема ФНП–α та ІЛ–6 [181]. Тому ГЦ сироватки крові може розглядатися я к предиктор запальних змін в печінці  та неінвазивний маркер прогресування НАСГ в поєднанні з ЦД 2 типу.</w:t>
      </w:r>
    </w:p>
    <w:p w:rsidR="007E691D" w:rsidRDefault="007E691D" w:rsidP="007E691D">
      <w:pPr>
        <w:spacing w:line="360" w:lineRule="auto"/>
        <w:ind w:firstLine="709"/>
        <w:jc w:val="both"/>
        <w:rPr>
          <w:sz w:val="28"/>
          <w:szCs w:val="28"/>
          <w:lang w:val="uk-UA"/>
        </w:rPr>
      </w:pPr>
      <w:r>
        <w:rPr>
          <w:sz w:val="28"/>
          <w:szCs w:val="28"/>
          <w:lang w:val="uk-UA"/>
        </w:rPr>
        <w:t>Одже, дослідження вмісту L–карнітину, ГЦ, ФНП–α, ІЛ–6, оксиду азота та МДА, встановлення їх взаємозв’язку допоможе розкрити деякі патогенетичні механізми розвитку та прогресування НАСГ на тлі ЦД 2 типу, що є вельми актуальним.</w:t>
      </w:r>
    </w:p>
    <w:p w:rsidR="007E691D" w:rsidRDefault="007E691D" w:rsidP="007E691D">
      <w:pPr>
        <w:spacing w:line="360" w:lineRule="auto"/>
        <w:ind w:firstLine="709"/>
        <w:jc w:val="both"/>
        <w:rPr>
          <w:sz w:val="28"/>
          <w:szCs w:val="28"/>
          <w:lang w:val="uk-UA"/>
        </w:rPr>
      </w:pPr>
      <w:r>
        <w:rPr>
          <w:sz w:val="28"/>
          <w:szCs w:val="28"/>
          <w:lang w:val="uk-UA"/>
        </w:rPr>
        <w:t xml:space="preserve">Численні методи лікування НАСГ в поєднанні з ЦД 2 типу не зовсім задовольняють клініцистів, оскільки вони не вирішують проблему прогресування хвороби і, якщо можливо, запобігти трансформації в цироз печінки, а спрямовані головним чином на усунення або послаблення факторів, що ведуть до розвитку НАСГ. Схуднення, корекція гіперліпідемії і гіперглікемії, відміна потенційно гепатотоксичних препаратів – головні принципи терапії. Ці заходи мають лікувальну ефективність у відносно невеликої частини хворих [10, 23, 60]. </w:t>
      </w:r>
    </w:p>
    <w:p w:rsidR="007E691D" w:rsidRDefault="007E691D" w:rsidP="007E691D">
      <w:pPr>
        <w:spacing w:line="360" w:lineRule="auto"/>
        <w:ind w:firstLine="709"/>
        <w:jc w:val="both"/>
        <w:rPr>
          <w:sz w:val="28"/>
          <w:szCs w:val="28"/>
          <w:lang w:val="uk-UA"/>
        </w:rPr>
      </w:pPr>
      <w:r>
        <w:rPr>
          <w:sz w:val="28"/>
          <w:szCs w:val="28"/>
          <w:lang w:val="uk-UA"/>
        </w:rPr>
        <w:t xml:space="preserve">У зв’язку з наявністю карнітинової недостатності, мітохондріальної дисфункції, підвищеною ектопією жирних кислот в печінку, в терапію НАСГ у поєднанні з ЦД 2 типу доцільно, згідно з думкою деяких авторів, включати препарати, які містять L–карнітин [2, 168, 169, 170, 171, 207]. Враховуючи механізми виникнення і патогенетичні аспекти розвитку ГГЦ при НАСГ у хворих ЦД 2 типу, медикаментозна корекція передбачає призначення фармакологічних препаратів з гіпогомоцистеїнемічної дією: вітамінів В12, В6, фолієвої кислоти [4, 47, 117, 144]. Для усунення пошкодженні гепатоцитів, що відбувається на тлі вивільнення радикалів кисню, фіброгенних медіаторів, активації запальних клітин і тканинної гіпоксії, яка супроводжується депозиціею білків екстрацелюлярного </w:t>
      </w:r>
      <w:r>
        <w:rPr>
          <w:sz w:val="28"/>
          <w:szCs w:val="28"/>
          <w:lang w:val="uk-UA"/>
        </w:rPr>
        <w:lastRenderedPageBreak/>
        <w:t>матриксу, обґрунтованим є застосування в комплексній терапії НАСГ у поєднанні з ЦД 2 типу антигіпоксантів [58, 59, 61].</w:t>
      </w:r>
    </w:p>
    <w:p w:rsidR="007E691D" w:rsidRDefault="007E691D" w:rsidP="007E691D">
      <w:pPr>
        <w:spacing w:line="360" w:lineRule="auto"/>
        <w:ind w:firstLine="709"/>
        <w:jc w:val="both"/>
        <w:rPr>
          <w:sz w:val="28"/>
          <w:szCs w:val="28"/>
        </w:rPr>
      </w:pPr>
      <w:r>
        <w:rPr>
          <w:sz w:val="28"/>
          <w:szCs w:val="28"/>
          <w:lang w:val="uk-UA"/>
        </w:rPr>
        <w:t>З огляду на складність та нерозв’</w:t>
      </w:r>
      <w:r w:rsidRPr="007E691D">
        <w:rPr>
          <w:sz w:val="28"/>
          <w:szCs w:val="28"/>
          <w:lang w:val="uk-UA"/>
        </w:rPr>
        <w:t>язаність</w:t>
      </w:r>
      <w:r>
        <w:rPr>
          <w:sz w:val="28"/>
          <w:szCs w:val="28"/>
        </w:rPr>
        <w:t xml:space="preserve"> </w:t>
      </w:r>
      <w:r w:rsidRPr="007E691D">
        <w:rPr>
          <w:sz w:val="28"/>
          <w:szCs w:val="28"/>
          <w:lang w:val="uk-UA"/>
        </w:rPr>
        <w:t>представлених</w:t>
      </w:r>
      <w:r>
        <w:rPr>
          <w:sz w:val="28"/>
          <w:szCs w:val="28"/>
        </w:rPr>
        <w:t xml:space="preserve"> </w:t>
      </w:r>
      <w:r w:rsidRPr="007E691D">
        <w:rPr>
          <w:sz w:val="28"/>
          <w:szCs w:val="28"/>
          <w:lang w:val="uk-UA"/>
        </w:rPr>
        <w:t>аспектів</w:t>
      </w:r>
      <w:r>
        <w:rPr>
          <w:sz w:val="28"/>
          <w:szCs w:val="28"/>
        </w:rPr>
        <w:t xml:space="preserve"> патогенезу, метою </w:t>
      </w:r>
      <w:r w:rsidRPr="007E691D">
        <w:rPr>
          <w:sz w:val="28"/>
          <w:szCs w:val="28"/>
          <w:lang w:val="uk-UA"/>
        </w:rPr>
        <w:t>роботи</w:t>
      </w:r>
      <w:r>
        <w:rPr>
          <w:sz w:val="28"/>
          <w:szCs w:val="28"/>
        </w:rPr>
        <w:t xml:space="preserve"> стало </w:t>
      </w:r>
      <w:r w:rsidRPr="007E691D">
        <w:rPr>
          <w:sz w:val="28"/>
          <w:szCs w:val="28"/>
          <w:lang w:val="uk-UA"/>
        </w:rPr>
        <w:t>удосконалення</w:t>
      </w:r>
      <w:r>
        <w:rPr>
          <w:sz w:val="28"/>
          <w:szCs w:val="28"/>
        </w:rPr>
        <w:t xml:space="preserve"> діагностики НАСГ та </w:t>
      </w:r>
      <w:r w:rsidRPr="007E691D">
        <w:rPr>
          <w:sz w:val="28"/>
          <w:szCs w:val="28"/>
          <w:lang w:val="uk-UA"/>
        </w:rPr>
        <w:t>розробка</w:t>
      </w:r>
      <w:r>
        <w:rPr>
          <w:sz w:val="28"/>
          <w:szCs w:val="28"/>
        </w:rPr>
        <w:t xml:space="preserve"> оптимально </w:t>
      </w:r>
      <w:r w:rsidRPr="007E691D">
        <w:rPr>
          <w:sz w:val="28"/>
          <w:szCs w:val="28"/>
          <w:lang w:val="uk-UA"/>
        </w:rPr>
        <w:t>ефективних</w:t>
      </w:r>
      <w:r>
        <w:rPr>
          <w:sz w:val="28"/>
          <w:szCs w:val="28"/>
        </w:rPr>
        <w:t xml:space="preserve"> </w:t>
      </w:r>
      <w:r w:rsidRPr="007E691D">
        <w:rPr>
          <w:sz w:val="28"/>
          <w:szCs w:val="28"/>
          <w:lang w:val="uk-UA"/>
        </w:rPr>
        <w:t>методів</w:t>
      </w:r>
      <w:r>
        <w:rPr>
          <w:sz w:val="28"/>
          <w:szCs w:val="28"/>
        </w:rPr>
        <w:t xml:space="preserve"> </w:t>
      </w:r>
      <w:r w:rsidRPr="007E691D">
        <w:rPr>
          <w:sz w:val="28"/>
          <w:szCs w:val="28"/>
          <w:lang w:val="uk-UA"/>
        </w:rPr>
        <w:t>корекції</w:t>
      </w:r>
      <w:r>
        <w:rPr>
          <w:sz w:val="28"/>
          <w:szCs w:val="28"/>
        </w:rPr>
        <w:t xml:space="preserve"> </w:t>
      </w:r>
      <w:r w:rsidRPr="007E691D">
        <w:rPr>
          <w:sz w:val="28"/>
          <w:szCs w:val="28"/>
          <w:lang w:val="uk-UA"/>
        </w:rPr>
        <w:t>виявлених</w:t>
      </w:r>
      <w:r>
        <w:rPr>
          <w:sz w:val="28"/>
          <w:szCs w:val="28"/>
        </w:rPr>
        <w:t xml:space="preserve"> </w:t>
      </w:r>
      <w:r w:rsidRPr="007E691D">
        <w:rPr>
          <w:sz w:val="28"/>
          <w:szCs w:val="28"/>
          <w:lang w:val="uk-UA"/>
        </w:rPr>
        <w:t>порушень</w:t>
      </w:r>
      <w:r>
        <w:rPr>
          <w:sz w:val="28"/>
          <w:szCs w:val="28"/>
        </w:rPr>
        <w:t>.</w:t>
      </w:r>
    </w:p>
    <w:p w:rsidR="007E691D" w:rsidRDefault="007E691D" w:rsidP="007E691D">
      <w:pPr>
        <w:spacing w:line="360" w:lineRule="auto"/>
        <w:ind w:firstLine="709"/>
        <w:jc w:val="both"/>
        <w:rPr>
          <w:sz w:val="28"/>
          <w:szCs w:val="28"/>
          <w:lang w:val="uk-UA"/>
        </w:rPr>
      </w:pPr>
      <w:r>
        <w:rPr>
          <w:sz w:val="28"/>
          <w:szCs w:val="28"/>
          <w:lang w:val="uk-UA"/>
        </w:rPr>
        <w:t xml:space="preserve">Під спостереженням знаходилось 105 хворих: 65 хворих на НАСГ в поєднанні з ЦД 2 типа (1 група) та 40 хворих НАСГ (2 група) у віці від 23 до 67 років. Середній вік обстежених хворих  склав 47,88 ± 11,48 роки. В </w:t>
      </w:r>
      <w:r w:rsidR="00DB3353">
        <w:rPr>
          <w:sz w:val="28"/>
          <w:szCs w:val="28"/>
          <w:lang w:val="uk-UA"/>
        </w:rPr>
        <w:t>1</w:t>
      </w:r>
      <w:r>
        <w:rPr>
          <w:sz w:val="28"/>
          <w:szCs w:val="28"/>
          <w:lang w:val="uk-UA"/>
        </w:rPr>
        <w:t xml:space="preserve"> групі чоловіків було 29 (44,6 %), жінок – 36 (55,4 %). В </w:t>
      </w:r>
      <w:r w:rsidR="00DB3353">
        <w:rPr>
          <w:sz w:val="28"/>
          <w:szCs w:val="28"/>
          <w:lang w:val="uk-UA"/>
        </w:rPr>
        <w:t>2</w:t>
      </w:r>
      <w:r>
        <w:rPr>
          <w:sz w:val="28"/>
          <w:szCs w:val="28"/>
          <w:lang w:val="uk-UA"/>
        </w:rPr>
        <w:t xml:space="preserve"> групі чоловіків було 18 (45 %), жінок – 22 (55 %). Контрольну групу склали 20 практично здорових осіб. Діагноз було встановлено на підставі анамнестичних даних, клінічних проявів, застосовували біохімічні методи дослідження, які дали можливість оцінити функціональний стан печінки та ультразвукову діагностику.</w:t>
      </w:r>
    </w:p>
    <w:p w:rsidR="007E691D" w:rsidRDefault="007E691D" w:rsidP="007E691D">
      <w:pPr>
        <w:spacing w:line="360" w:lineRule="auto"/>
        <w:ind w:firstLine="709"/>
        <w:jc w:val="both"/>
        <w:rPr>
          <w:sz w:val="28"/>
          <w:szCs w:val="28"/>
          <w:lang w:val="uk-UA"/>
        </w:rPr>
      </w:pPr>
      <w:r>
        <w:rPr>
          <w:sz w:val="28"/>
          <w:szCs w:val="28"/>
          <w:lang w:val="uk-UA"/>
        </w:rPr>
        <w:t xml:space="preserve">Для визначення наявності карнітинової недостатності визначали рівень L–карнітину сироватки крові методом імуноферментного аналізу за допомогою набору Human L–Carnitin ELISA </w:t>
      </w:r>
      <w:r>
        <w:rPr>
          <w:sz w:val="28"/>
          <w:szCs w:val="28"/>
          <w:lang w:val="en-US"/>
        </w:rPr>
        <w:t>Kit</w:t>
      </w:r>
      <w:r>
        <w:rPr>
          <w:sz w:val="28"/>
          <w:szCs w:val="28"/>
          <w:lang w:val="uk-UA"/>
        </w:rPr>
        <w:t xml:space="preserve"> виробництва фірми </w:t>
      </w:r>
      <w:r>
        <w:rPr>
          <w:sz w:val="28"/>
          <w:szCs w:val="28"/>
          <w:lang w:val="en-US"/>
        </w:rPr>
        <w:t>Biotech</w:t>
      </w:r>
      <w:r>
        <w:rPr>
          <w:sz w:val="28"/>
          <w:szCs w:val="28"/>
          <w:lang w:val="uk-UA"/>
        </w:rPr>
        <w:t xml:space="preserve"> (США)</w:t>
      </w:r>
      <w:r w:rsidR="00B07220" w:rsidRPr="00B07220">
        <w:rPr>
          <w:sz w:val="28"/>
          <w:lang w:val="uk-UA"/>
        </w:rPr>
        <w:t xml:space="preserve"> (аналізатор імуноферментних реакцій АІФР-01 УНІПЛАН, 2001 р.)</w:t>
      </w:r>
      <w:r>
        <w:rPr>
          <w:sz w:val="28"/>
          <w:szCs w:val="28"/>
          <w:lang w:val="uk-UA"/>
        </w:rPr>
        <w:t xml:space="preserve">. </w:t>
      </w:r>
    </w:p>
    <w:p w:rsidR="007E691D" w:rsidRDefault="007E691D" w:rsidP="007E691D">
      <w:pPr>
        <w:spacing w:line="360" w:lineRule="auto"/>
        <w:ind w:firstLine="709"/>
        <w:jc w:val="both"/>
        <w:rPr>
          <w:sz w:val="28"/>
          <w:szCs w:val="28"/>
          <w:lang w:val="uk-UA"/>
        </w:rPr>
      </w:pPr>
      <w:r>
        <w:rPr>
          <w:sz w:val="28"/>
          <w:szCs w:val="28"/>
          <w:lang w:val="uk-UA"/>
        </w:rPr>
        <w:t xml:space="preserve">Рівень ГЦ сироватки крові визначали шляхом імуноферментного аналізу за допомогою набору </w:t>
      </w:r>
      <w:r>
        <w:rPr>
          <w:sz w:val="28"/>
          <w:szCs w:val="28"/>
          <w:shd w:val="clear" w:color="auto" w:fill="FFFFFF"/>
        </w:rPr>
        <w:t>Axis</w:t>
      </w:r>
      <w:r>
        <w:rPr>
          <w:sz w:val="28"/>
          <w:szCs w:val="28"/>
          <w:shd w:val="clear" w:color="auto" w:fill="FFFFFF"/>
          <w:lang w:val="uk-UA"/>
        </w:rPr>
        <w:t xml:space="preserve"> Homocysteine EIA</w:t>
      </w:r>
      <w:r>
        <w:rPr>
          <w:sz w:val="28"/>
          <w:szCs w:val="28"/>
          <w:lang w:val="uk-UA"/>
        </w:rPr>
        <w:t xml:space="preserve"> виробництва фірми </w:t>
      </w:r>
      <w:r>
        <w:rPr>
          <w:sz w:val="28"/>
          <w:szCs w:val="28"/>
          <w:shd w:val="clear" w:color="auto" w:fill="FFFFFF"/>
        </w:rPr>
        <w:t>Axis</w:t>
      </w:r>
      <w:r>
        <w:rPr>
          <w:sz w:val="28"/>
          <w:szCs w:val="28"/>
          <w:shd w:val="clear" w:color="auto" w:fill="FFFFFF"/>
          <w:lang w:val="uk-UA"/>
        </w:rPr>
        <w:t>–</w:t>
      </w:r>
      <w:r>
        <w:rPr>
          <w:sz w:val="28"/>
          <w:szCs w:val="28"/>
          <w:shd w:val="clear" w:color="auto" w:fill="FFFFFF"/>
        </w:rPr>
        <w:t>Shield</w:t>
      </w:r>
      <w:r>
        <w:rPr>
          <w:sz w:val="28"/>
          <w:szCs w:val="28"/>
          <w:lang w:val="uk-UA"/>
        </w:rPr>
        <w:t>, (Великобританія)</w:t>
      </w:r>
      <w:r w:rsidR="00B07220" w:rsidRPr="00B07220">
        <w:rPr>
          <w:lang w:val="uk-UA"/>
        </w:rPr>
        <w:t xml:space="preserve"> </w:t>
      </w:r>
      <w:r w:rsidR="00B07220" w:rsidRPr="00B07220">
        <w:rPr>
          <w:sz w:val="28"/>
          <w:lang w:val="uk-UA"/>
        </w:rPr>
        <w:t>(аналізатор імуноферментних реакцій АІФР-01 УНІПЛАН, 2001 р.)</w:t>
      </w:r>
      <w:r w:rsidRPr="00B07220">
        <w:rPr>
          <w:sz w:val="32"/>
          <w:szCs w:val="28"/>
          <w:lang w:val="uk-UA"/>
        </w:rPr>
        <w:t xml:space="preserve">. </w:t>
      </w:r>
    </w:p>
    <w:p w:rsidR="007E691D" w:rsidRDefault="007E691D" w:rsidP="007E691D">
      <w:pPr>
        <w:spacing w:line="360" w:lineRule="auto"/>
        <w:ind w:firstLine="709"/>
        <w:jc w:val="both"/>
        <w:rPr>
          <w:sz w:val="28"/>
          <w:szCs w:val="28"/>
          <w:lang w:val="uk-UA"/>
        </w:rPr>
      </w:pPr>
      <w:r>
        <w:rPr>
          <w:sz w:val="28"/>
          <w:szCs w:val="28"/>
          <w:lang w:val="uk-UA"/>
        </w:rPr>
        <w:t xml:space="preserve">Для вивчення рівней прозапальних цитокінів в сироватці крові визначали вміст ФНП–α та ІЛ–6 шляхом імуноферментного аналізу за допомогою набору реагентів ІФА – БЕСТ виробництва фірми </w:t>
      </w:r>
      <w:r>
        <w:rPr>
          <w:sz w:val="28"/>
          <w:szCs w:val="28"/>
          <w:shd w:val="clear" w:color="auto" w:fill="FFFFFF"/>
          <w:lang w:val="uk-UA"/>
        </w:rPr>
        <w:t>Вектор БЕСТ</w:t>
      </w:r>
      <w:r>
        <w:rPr>
          <w:sz w:val="28"/>
          <w:szCs w:val="28"/>
          <w:lang w:val="uk-UA"/>
        </w:rPr>
        <w:t>, (Росія)</w:t>
      </w:r>
      <w:r w:rsidR="00B07220" w:rsidRPr="00B07220">
        <w:rPr>
          <w:lang w:val="uk-UA"/>
        </w:rPr>
        <w:t xml:space="preserve"> </w:t>
      </w:r>
      <w:r w:rsidR="00B07220" w:rsidRPr="00B07220">
        <w:rPr>
          <w:sz w:val="28"/>
          <w:lang w:val="uk-UA"/>
        </w:rPr>
        <w:t>(аналізатор імуноферментних реакцій АІФР-01 УНІПЛАН, 2001 р.)</w:t>
      </w:r>
      <w:r w:rsidRPr="00B07220">
        <w:rPr>
          <w:sz w:val="32"/>
          <w:szCs w:val="28"/>
          <w:lang w:val="uk-UA"/>
        </w:rPr>
        <w:t>.</w:t>
      </w:r>
    </w:p>
    <w:p w:rsidR="007E691D" w:rsidRPr="00B07220" w:rsidRDefault="007E691D" w:rsidP="007E691D">
      <w:pPr>
        <w:spacing w:line="360" w:lineRule="auto"/>
        <w:ind w:firstLine="709"/>
        <w:jc w:val="both"/>
        <w:rPr>
          <w:sz w:val="32"/>
          <w:szCs w:val="28"/>
          <w:lang w:val="uk-UA"/>
        </w:rPr>
      </w:pPr>
      <w:r>
        <w:rPr>
          <w:sz w:val="28"/>
          <w:szCs w:val="28"/>
        </w:rPr>
        <w:t xml:space="preserve">Для </w:t>
      </w:r>
      <w:r w:rsidRPr="00731CD1">
        <w:rPr>
          <w:sz w:val="28"/>
          <w:szCs w:val="28"/>
          <w:lang w:val="uk-UA"/>
        </w:rPr>
        <w:t>дослідж</w:t>
      </w:r>
      <w:r w:rsidRPr="007E691D">
        <w:rPr>
          <w:sz w:val="28"/>
          <w:szCs w:val="28"/>
          <w:lang w:val="uk-UA"/>
        </w:rPr>
        <w:t>ення</w:t>
      </w:r>
      <w:r>
        <w:rPr>
          <w:sz w:val="28"/>
          <w:szCs w:val="28"/>
        </w:rPr>
        <w:t xml:space="preserve"> </w:t>
      </w:r>
      <w:r w:rsidRPr="007E691D">
        <w:rPr>
          <w:sz w:val="28"/>
          <w:szCs w:val="28"/>
          <w:lang w:val="uk-UA"/>
        </w:rPr>
        <w:t>інтенсивності</w:t>
      </w:r>
      <w:r>
        <w:rPr>
          <w:sz w:val="28"/>
          <w:szCs w:val="28"/>
        </w:rPr>
        <w:t xml:space="preserve"> </w:t>
      </w:r>
      <w:r w:rsidRPr="007E691D">
        <w:rPr>
          <w:sz w:val="28"/>
          <w:szCs w:val="28"/>
          <w:lang w:val="uk-UA"/>
        </w:rPr>
        <w:t>процесів</w:t>
      </w:r>
      <w:r>
        <w:rPr>
          <w:sz w:val="28"/>
          <w:szCs w:val="28"/>
        </w:rPr>
        <w:t xml:space="preserve"> ПОЛ, </w:t>
      </w:r>
      <w:r>
        <w:rPr>
          <w:sz w:val="28"/>
          <w:szCs w:val="28"/>
          <w:lang w:val="uk-UA"/>
        </w:rPr>
        <w:t>спектрофотометричним методом визначали вміст оксиду азоту та МДА в плазмі крові</w:t>
      </w:r>
      <w:r w:rsidR="00B07220">
        <w:rPr>
          <w:sz w:val="28"/>
          <w:szCs w:val="28"/>
          <w:lang w:val="uk-UA"/>
        </w:rPr>
        <w:t xml:space="preserve"> </w:t>
      </w:r>
      <w:r w:rsidR="00B07220" w:rsidRPr="00B07220">
        <w:rPr>
          <w:sz w:val="28"/>
          <w:lang w:val="uk-UA"/>
        </w:rPr>
        <w:t xml:space="preserve">(спектрофотометр </w:t>
      </w:r>
      <w:r w:rsidR="00B07220" w:rsidRPr="00B07220">
        <w:rPr>
          <w:sz w:val="28"/>
          <w:lang w:val="en-US"/>
        </w:rPr>
        <w:t>Solar</w:t>
      </w:r>
      <w:r w:rsidR="00B07220" w:rsidRPr="00B07220">
        <w:rPr>
          <w:sz w:val="28"/>
        </w:rPr>
        <w:t xml:space="preserve"> </w:t>
      </w:r>
      <w:r w:rsidR="00B07220" w:rsidRPr="00B07220">
        <w:rPr>
          <w:sz w:val="28"/>
          <w:lang w:val="en-US"/>
        </w:rPr>
        <w:t>PV</w:t>
      </w:r>
      <w:r w:rsidR="00B07220" w:rsidRPr="00B07220">
        <w:rPr>
          <w:sz w:val="28"/>
        </w:rPr>
        <w:t xml:space="preserve"> </w:t>
      </w:r>
      <w:r w:rsidR="00B07220" w:rsidRPr="00B07220">
        <w:rPr>
          <w:sz w:val="28"/>
          <w:lang w:val="uk-UA"/>
        </w:rPr>
        <w:t>1251С, 2007 р.)</w:t>
      </w:r>
      <w:r w:rsidRPr="00B07220">
        <w:rPr>
          <w:sz w:val="32"/>
          <w:szCs w:val="28"/>
          <w:lang w:val="uk-UA"/>
        </w:rPr>
        <w:t>.</w:t>
      </w:r>
    </w:p>
    <w:p w:rsidR="007E691D" w:rsidRDefault="007E691D" w:rsidP="007E691D">
      <w:pPr>
        <w:spacing w:line="360" w:lineRule="auto"/>
        <w:ind w:firstLine="709"/>
        <w:jc w:val="both"/>
        <w:rPr>
          <w:sz w:val="28"/>
          <w:szCs w:val="28"/>
          <w:lang w:val="uk-UA"/>
        </w:rPr>
      </w:pPr>
      <w:r>
        <w:rPr>
          <w:sz w:val="28"/>
          <w:szCs w:val="28"/>
          <w:lang w:val="uk-UA"/>
        </w:rPr>
        <w:lastRenderedPageBreak/>
        <w:t>Більшість (76,2</w:t>
      </w:r>
      <w:r w:rsidR="00B07220">
        <w:rPr>
          <w:sz w:val="28"/>
          <w:szCs w:val="28"/>
          <w:lang w:val="uk-UA"/>
        </w:rPr>
        <w:t xml:space="preserve"> </w:t>
      </w:r>
      <w:r>
        <w:rPr>
          <w:sz w:val="28"/>
          <w:szCs w:val="28"/>
          <w:lang w:val="uk-UA"/>
        </w:rPr>
        <w:t>%) хворих була старшою за 40 років. Серед обстежених переважали жінки (55,2</w:t>
      </w:r>
      <w:r w:rsidR="00B07220">
        <w:rPr>
          <w:sz w:val="28"/>
          <w:szCs w:val="28"/>
          <w:lang w:val="uk-UA"/>
        </w:rPr>
        <w:t xml:space="preserve"> </w:t>
      </w:r>
      <w:r>
        <w:rPr>
          <w:sz w:val="28"/>
          <w:szCs w:val="28"/>
          <w:lang w:val="uk-UA"/>
        </w:rPr>
        <w:t>%). Найчисленнішою виявилась група хворих – 58 пацієнтів (55,2</w:t>
      </w:r>
      <w:r w:rsidR="00B07220">
        <w:rPr>
          <w:sz w:val="28"/>
          <w:szCs w:val="28"/>
          <w:lang w:val="uk-UA"/>
        </w:rPr>
        <w:t xml:space="preserve"> </w:t>
      </w:r>
      <w:r>
        <w:rPr>
          <w:sz w:val="28"/>
          <w:szCs w:val="28"/>
          <w:lang w:val="uk-UA"/>
        </w:rPr>
        <w:t>%) з тривалість захворювання до 5 років.</w:t>
      </w:r>
    </w:p>
    <w:p w:rsidR="007E691D" w:rsidRDefault="007E691D" w:rsidP="007E691D">
      <w:pPr>
        <w:spacing w:line="360" w:lineRule="auto"/>
        <w:ind w:firstLine="709"/>
        <w:jc w:val="both"/>
        <w:rPr>
          <w:sz w:val="28"/>
          <w:szCs w:val="28"/>
          <w:lang w:val="uk-UA"/>
        </w:rPr>
      </w:pPr>
      <w:r>
        <w:rPr>
          <w:sz w:val="28"/>
          <w:szCs w:val="28"/>
          <w:lang w:val="uk-UA"/>
        </w:rPr>
        <w:t>У 83,8</w:t>
      </w:r>
      <w:r w:rsidR="00B07220">
        <w:rPr>
          <w:sz w:val="28"/>
          <w:szCs w:val="28"/>
          <w:lang w:val="uk-UA"/>
        </w:rPr>
        <w:t xml:space="preserve"> </w:t>
      </w:r>
      <w:r>
        <w:rPr>
          <w:sz w:val="28"/>
          <w:szCs w:val="28"/>
          <w:lang w:val="uk-UA"/>
        </w:rPr>
        <w:t>% хворих був виявлений больовий синдром різної інтенсивності та локалізації. Важкість та дискомфорт в правому підребер’ї відмічалось у 89 (84,8</w:t>
      </w:r>
      <w:r w:rsidR="00B07220">
        <w:rPr>
          <w:sz w:val="28"/>
          <w:szCs w:val="28"/>
          <w:lang w:val="uk-UA"/>
        </w:rPr>
        <w:t xml:space="preserve"> </w:t>
      </w:r>
      <w:r>
        <w:rPr>
          <w:sz w:val="28"/>
          <w:szCs w:val="28"/>
          <w:lang w:val="uk-UA"/>
        </w:rPr>
        <w:t>%) хворих, зниження апетиту – у 68 (64,8</w:t>
      </w:r>
      <w:r w:rsidR="00B07220">
        <w:rPr>
          <w:sz w:val="28"/>
          <w:szCs w:val="28"/>
          <w:lang w:val="uk-UA"/>
        </w:rPr>
        <w:t xml:space="preserve"> </w:t>
      </w:r>
      <w:r>
        <w:rPr>
          <w:sz w:val="28"/>
          <w:szCs w:val="28"/>
          <w:lang w:val="uk-UA"/>
        </w:rPr>
        <w:t>%), нудота – у 65 (61,9</w:t>
      </w:r>
      <w:r w:rsidR="00B07220">
        <w:rPr>
          <w:sz w:val="28"/>
          <w:szCs w:val="28"/>
          <w:lang w:val="uk-UA"/>
        </w:rPr>
        <w:t xml:space="preserve"> </w:t>
      </w:r>
      <w:r>
        <w:rPr>
          <w:sz w:val="28"/>
          <w:szCs w:val="28"/>
          <w:lang w:val="uk-UA"/>
        </w:rPr>
        <w:t>%), відрижку повітрям та метеоризм – 56 (53,3</w:t>
      </w:r>
      <w:r w:rsidR="00B07220">
        <w:rPr>
          <w:sz w:val="28"/>
          <w:szCs w:val="28"/>
          <w:lang w:val="uk-UA"/>
        </w:rPr>
        <w:t xml:space="preserve"> </w:t>
      </w:r>
      <w:r>
        <w:rPr>
          <w:sz w:val="28"/>
          <w:szCs w:val="28"/>
          <w:lang w:val="uk-UA"/>
        </w:rPr>
        <w:t>%) і 28 (26,7</w:t>
      </w:r>
      <w:r w:rsidR="00B07220">
        <w:rPr>
          <w:sz w:val="28"/>
          <w:szCs w:val="28"/>
          <w:lang w:val="uk-UA"/>
        </w:rPr>
        <w:t xml:space="preserve"> </w:t>
      </w:r>
      <w:r>
        <w:rPr>
          <w:sz w:val="28"/>
          <w:szCs w:val="28"/>
          <w:lang w:val="uk-UA"/>
        </w:rPr>
        <w:t xml:space="preserve">%) пацієнтів відповідно.  Прояви астеновегетативного </w:t>
      </w:r>
      <w:r w:rsidR="00B07220">
        <w:rPr>
          <w:sz w:val="28"/>
          <w:szCs w:val="28"/>
          <w:lang w:val="uk-UA"/>
        </w:rPr>
        <w:t>синдрому</w:t>
      </w:r>
      <w:r>
        <w:rPr>
          <w:sz w:val="28"/>
          <w:szCs w:val="28"/>
          <w:lang w:val="uk-UA"/>
        </w:rPr>
        <w:t xml:space="preserve"> мали місце майже у всіх хворих: зниження працездатності спостерігалось у 85 (80,9</w:t>
      </w:r>
      <w:r w:rsidR="00B07220">
        <w:rPr>
          <w:sz w:val="28"/>
          <w:szCs w:val="28"/>
          <w:lang w:val="uk-UA"/>
        </w:rPr>
        <w:t xml:space="preserve"> </w:t>
      </w:r>
      <w:r>
        <w:rPr>
          <w:sz w:val="28"/>
          <w:szCs w:val="28"/>
          <w:lang w:val="uk-UA"/>
        </w:rPr>
        <w:t>%) пацієнтів, швидка стомлюваність – у 83 (79,0</w:t>
      </w:r>
      <w:r w:rsidR="00B07220">
        <w:rPr>
          <w:sz w:val="28"/>
          <w:szCs w:val="28"/>
          <w:lang w:val="uk-UA"/>
        </w:rPr>
        <w:t xml:space="preserve"> </w:t>
      </w:r>
      <w:r>
        <w:rPr>
          <w:sz w:val="28"/>
          <w:szCs w:val="28"/>
          <w:lang w:val="uk-UA"/>
        </w:rPr>
        <w:t>%), загальна слабкість – у 78 (74,3</w:t>
      </w:r>
      <w:r w:rsidR="00B07220">
        <w:rPr>
          <w:sz w:val="28"/>
          <w:szCs w:val="28"/>
          <w:lang w:val="uk-UA"/>
        </w:rPr>
        <w:t xml:space="preserve"> </w:t>
      </w:r>
      <w:r>
        <w:rPr>
          <w:sz w:val="28"/>
          <w:szCs w:val="28"/>
          <w:lang w:val="uk-UA"/>
        </w:rPr>
        <w:t>%), порушення сну – у 70 (66,7</w:t>
      </w:r>
      <w:r w:rsidR="00B07220">
        <w:rPr>
          <w:sz w:val="28"/>
          <w:szCs w:val="28"/>
          <w:lang w:val="uk-UA"/>
        </w:rPr>
        <w:t xml:space="preserve"> </w:t>
      </w:r>
      <w:r>
        <w:rPr>
          <w:sz w:val="28"/>
          <w:szCs w:val="28"/>
          <w:lang w:val="uk-UA"/>
        </w:rPr>
        <w:t>%) та дратівливість – у 64 (60,9</w:t>
      </w:r>
      <w:r w:rsidR="00B07220">
        <w:rPr>
          <w:sz w:val="28"/>
          <w:szCs w:val="28"/>
          <w:lang w:val="uk-UA"/>
        </w:rPr>
        <w:t xml:space="preserve"> </w:t>
      </w:r>
      <w:r>
        <w:rPr>
          <w:sz w:val="28"/>
          <w:szCs w:val="28"/>
          <w:lang w:val="uk-UA"/>
        </w:rPr>
        <w:t>%) хворих.</w:t>
      </w:r>
    </w:p>
    <w:p w:rsidR="007E691D" w:rsidRDefault="007E691D" w:rsidP="007E691D">
      <w:pPr>
        <w:spacing w:line="360" w:lineRule="auto"/>
        <w:ind w:firstLine="709"/>
        <w:jc w:val="both"/>
        <w:rPr>
          <w:sz w:val="28"/>
          <w:szCs w:val="28"/>
          <w:lang w:val="uk-UA"/>
        </w:rPr>
      </w:pPr>
      <w:r>
        <w:rPr>
          <w:sz w:val="28"/>
          <w:szCs w:val="28"/>
          <w:lang w:val="uk-UA"/>
        </w:rPr>
        <w:t>При оцінці стану печінки за даними УЗД у більшості – 51 (48,6</w:t>
      </w:r>
      <w:r w:rsidR="00B07220">
        <w:rPr>
          <w:sz w:val="28"/>
          <w:szCs w:val="28"/>
          <w:lang w:val="uk-UA"/>
        </w:rPr>
        <w:t xml:space="preserve"> </w:t>
      </w:r>
      <w:r>
        <w:rPr>
          <w:sz w:val="28"/>
          <w:szCs w:val="28"/>
          <w:lang w:val="uk-UA"/>
        </w:rPr>
        <w:t>%) хворих виявлений тяжкий ступінь стеатозу печінки (3 ст.), помірний стеатоз (2 ст.)  – у 34 (32,4</w:t>
      </w:r>
      <w:r w:rsidR="00B07220">
        <w:rPr>
          <w:sz w:val="28"/>
          <w:szCs w:val="28"/>
          <w:lang w:val="uk-UA"/>
        </w:rPr>
        <w:t xml:space="preserve"> </w:t>
      </w:r>
      <w:r>
        <w:rPr>
          <w:sz w:val="28"/>
          <w:szCs w:val="28"/>
          <w:lang w:val="uk-UA"/>
        </w:rPr>
        <w:t>%) пацієнтів, 20 (19,0</w:t>
      </w:r>
      <w:r w:rsidR="00B07220">
        <w:rPr>
          <w:sz w:val="28"/>
          <w:szCs w:val="28"/>
          <w:lang w:val="uk-UA"/>
        </w:rPr>
        <w:t xml:space="preserve"> </w:t>
      </w:r>
      <w:r>
        <w:rPr>
          <w:sz w:val="28"/>
          <w:szCs w:val="28"/>
          <w:lang w:val="uk-UA"/>
        </w:rPr>
        <w:t xml:space="preserve">%) хворих мали м’який стеатоз (1 ст.) печінки. Збільшення печінки від 1 до </w:t>
      </w:r>
      <w:smartTag w:uri="urn:schemas-microsoft-com:office:smarttags" w:element="metricconverter">
        <w:smartTagPr>
          <w:attr w:name="ProductID" w:val="2 см"/>
        </w:smartTagPr>
        <w:r>
          <w:rPr>
            <w:sz w:val="28"/>
            <w:szCs w:val="28"/>
            <w:lang w:val="uk-UA"/>
          </w:rPr>
          <w:t>2 см</w:t>
        </w:r>
      </w:smartTag>
      <w:r>
        <w:rPr>
          <w:sz w:val="28"/>
          <w:szCs w:val="28"/>
          <w:lang w:val="uk-UA"/>
        </w:rPr>
        <w:t xml:space="preserve"> мало місце у 47 (44,8</w:t>
      </w:r>
      <w:r w:rsidR="00B07220">
        <w:rPr>
          <w:sz w:val="28"/>
          <w:szCs w:val="28"/>
          <w:lang w:val="uk-UA"/>
        </w:rPr>
        <w:t xml:space="preserve"> </w:t>
      </w:r>
      <w:r>
        <w:rPr>
          <w:sz w:val="28"/>
          <w:szCs w:val="28"/>
          <w:lang w:val="uk-UA"/>
        </w:rPr>
        <w:t xml:space="preserve">%) хворих, збільшення печінки до </w:t>
      </w:r>
      <w:smartTag w:uri="urn:schemas-microsoft-com:office:smarttags" w:element="metricconverter">
        <w:smartTagPr>
          <w:attr w:name="ProductID" w:val="1 см"/>
        </w:smartTagPr>
        <w:r>
          <w:rPr>
            <w:sz w:val="28"/>
            <w:szCs w:val="28"/>
            <w:lang w:val="uk-UA"/>
          </w:rPr>
          <w:t>1 см</w:t>
        </w:r>
      </w:smartTag>
      <w:r>
        <w:rPr>
          <w:sz w:val="28"/>
          <w:szCs w:val="28"/>
          <w:lang w:val="uk-UA"/>
        </w:rPr>
        <w:t xml:space="preserve"> було наявне у 27 (25,7</w:t>
      </w:r>
      <w:r w:rsidR="00B07220">
        <w:rPr>
          <w:sz w:val="28"/>
          <w:szCs w:val="28"/>
          <w:lang w:val="uk-UA"/>
        </w:rPr>
        <w:t xml:space="preserve"> </w:t>
      </w:r>
      <w:r>
        <w:rPr>
          <w:sz w:val="28"/>
          <w:szCs w:val="28"/>
          <w:lang w:val="uk-UA"/>
        </w:rPr>
        <w:t>%) хворих, у 20 (19,0</w:t>
      </w:r>
      <w:r w:rsidR="00B07220">
        <w:rPr>
          <w:sz w:val="28"/>
          <w:szCs w:val="28"/>
          <w:lang w:val="uk-UA"/>
        </w:rPr>
        <w:t xml:space="preserve"> </w:t>
      </w:r>
      <w:r>
        <w:rPr>
          <w:sz w:val="28"/>
          <w:szCs w:val="28"/>
          <w:lang w:val="uk-UA"/>
        </w:rPr>
        <w:t xml:space="preserve">%) хворих печінка була збільшена від 2 до </w:t>
      </w:r>
      <w:smartTag w:uri="urn:schemas-microsoft-com:office:smarttags" w:element="metricconverter">
        <w:smartTagPr>
          <w:attr w:name="ProductID" w:val="3 см"/>
        </w:smartTagPr>
        <w:r>
          <w:rPr>
            <w:sz w:val="28"/>
            <w:szCs w:val="28"/>
            <w:lang w:val="uk-UA"/>
          </w:rPr>
          <w:t>3 см</w:t>
        </w:r>
      </w:smartTag>
      <w:r>
        <w:rPr>
          <w:sz w:val="28"/>
          <w:szCs w:val="28"/>
          <w:lang w:val="uk-UA"/>
        </w:rPr>
        <w:t xml:space="preserve"> та ураження печінки без збільшення її розмірів виявлено у 11 (10,5</w:t>
      </w:r>
      <w:r w:rsidR="00B07220">
        <w:rPr>
          <w:sz w:val="28"/>
          <w:szCs w:val="28"/>
          <w:lang w:val="uk-UA"/>
        </w:rPr>
        <w:t xml:space="preserve"> </w:t>
      </w:r>
      <w:r>
        <w:rPr>
          <w:sz w:val="28"/>
          <w:szCs w:val="28"/>
          <w:lang w:val="uk-UA"/>
        </w:rPr>
        <w:t>%) пацієнтів. У переважного числа 96 (91,4</w:t>
      </w:r>
      <w:r w:rsidR="00B07220">
        <w:rPr>
          <w:sz w:val="28"/>
          <w:szCs w:val="28"/>
          <w:lang w:val="uk-UA"/>
        </w:rPr>
        <w:t xml:space="preserve"> </w:t>
      </w:r>
      <w:r>
        <w:rPr>
          <w:sz w:val="28"/>
          <w:szCs w:val="28"/>
          <w:lang w:val="uk-UA"/>
        </w:rPr>
        <w:t>%) хворих був виявлений дифузний стеатоз печінки, вогнищевий стеатоз – у 9 (8,6</w:t>
      </w:r>
      <w:r w:rsidR="00B07220">
        <w:rPr>
          <w:sz w:val="28"/>
          <w:szCs w:val="28"/>
          <w:lang w:val="uk-UA"/>
        </w:rPr>
        <w:t xml:space="preserve"> </w:t>
      </w:r>
      <w:r>
        <w:rPr>
          <w:sz w:val="28"/>
          <w:szCs w:val="28"/>
          <w:lang w:val="uk-UA"/>
        </w:rPr>
        <w:t>%) пацієнтів.</w:t>
      </w:r>
    </w:p>
    <w:p w:rsidR="007E691D" w:rsidRDefault="007E691D" w:rsidP="007E691D">
      <w:pPr>
        <w:spacing w:line="360" w:lineRule="auto"/>
        <w:ind w:firstLine="709"/>
        <w:jc w:val="both"/>
        <w:rPr>
          <w:sz w:val="28"/>
          <w:szCs w:val="28"/>
          <w:lang w:val="uk-UA"/>
        </w:rPr>
      </w:pPr>
      <w:r>
        <w:rPr>
          <w:sz w:val="28"/>
          <w:szCs w:val="28"/>
          <w:lang w:val="uk-UA"/>
        </w:rPr>
        <w:t>Проведення біохімічних аналізів крові показали, що середні значення показників, що відображують функціональний стан печінки – рівень загального білка та його фракцій у сироватці крові, рівень загального білірубіну та його фракцій, лужної фосфатази, тимолової проби, показники коагулограми, у хворих обох груп не перевищували показників норми.</w:t>
      </w:r>
    </w:p>
    <w:p w:rsidR="007E691D" w:rsidRDefault="007E691D" w:rsidP="007E691D">
      <w:pPr>
        <w:spacing w:line="360" w:lineRule="auto"/>
        <w:ind w:firstLine="709"/>
        <w:jc w:val="both"/>
        <w:rPr>
          <w:sz w:val="28"/>
          <w:szCs w:val="28"/>
          <w:lang w:val="uk-UA"/>
        </w:rPr>
      </w:pPr>
      <w:r>
        <w:rPr>
          <w:sz w:val="28"/>
          <w:szCs w:val="28"/>
          <w:lang w:val="uk-UA"/>
        </w:rPr>
        <w:t>При аналізі біохімічних проб печінки у пацієнтів обох груп мав місце синдром цитолізу – показники АЛТ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0,001) та АСТ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0,001) були достеменно підвищені у зрівнянні з контрольною групою. </w:t>
      </w:r>
    </w:p>
    <w:p w:rsidR="007E691D" w:rsidRDefault="007E691D" w:rsidP="007E691D">
      <w:pPr>
        <w:spacing w:line="360" w:lineRule="auto"/>
        <w:ind w:firstLine="709"/>
        <w:jc w:val="both"/>
        <w:rPr>
          <w:sz w:val="28"/>
          <w:szCs w:val="28"/>
          <w:lang w:val="uk-UA"/>
        </w:rPr>
      </w:pPr>
      <w:r>
        <w:rPr>
          <w:sz w:val="28"/>
          <w:szCs w:val="28"/>
          <w:lang w:val="uk-UA"/>
        </w:rPr>
        <w:t xml:space="preserve">Дисліпідемія мала місце у хворих двох груп. ЗХ, </w:t>
      </w:r>
      <w:r>
        <w:rPr>
          <w:sz w:val="28"/>
          <w:szCs w:val="28"/>
        </w:rPr>
        <w:t>β</w:t>
      </w:r>
      <w:r>
        <w:rPr>
          <w:sz w:val="28"/>
          <w:szCs w:val="28"/>
          <w:lang w:val="uk-UA"/>
        </w:rPr>
        <w:t>–ЛП, ТГ, ЛПНЩ, ЛПДНЩ та коефіцієнту атерогенності були достовірно підвищені в обох групах щодо групи контролю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0,001). Однак в групі НАСГ з ЦД 2 типу рівні </w:t>
      </w:r>
      <w:r>
        <w:rPr>
          <w:sz w:val="28"/>
          <w:szCs w:val="28"/>
        </w:rPr>
        <w:t>β</w:t>
      </w:r>
      <w:r>
        <w:rPr>
          <w:sz w:val="28"/>
          <w:szCs w:val="28"/>
          <w:lang w:val="uk-UA"/>
        </w:rPr>
        <w:t xml:space="preserve">–ЛП, ЛПНЩ та </w:t>
      </w:r>
      <w:r>
        <w:rPr>
          <w:sz w:val="28"/>
          <w:szCs w:val="28"/>
          <w:lang w:val="uk-UA"/>
        </w:rPr>
        <w:lastRenderedPageBreak/>
        <w:t>ЛПДНЩ були більш високими, ніж в групі з ізольованим перебігом НАСГ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0,05). ЛПВЩ були достовірно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0,001) знижені в двох групах спостережень, що зумовлено високим рівнем ТГ в сироватці крові, однак достовірних відмінностей рівнів ЛПВЩ в </w:t>
      </w:r>
      <w:r w:rsidR="00DB3353">
        <w:rPr>
          <w:sz w:val="28"/>
          <w:szCs w:val="28"/>
          <w:lang w:val="uk-UA"/>
        </w:rPr>
        <w:t>1</w:t>
      </w:r>
      <w:r>
        <w:rPr>
          <w:sz w:val="28"/>
          <w:szCs w:val="28"/>
          <w:lang w:val="uk-UA"/>
        </w:rPr>
        <w:t xml:space="preserve"> і </w:t>
      </w:r>
      <w:r w:rsidR="00DB3353">
        <w:rPr>
          <w:sz w:val="28"/>
          <w:szCs w:val="28"/>
          <w:lang w:val="uk-UA"/>
        </w:rPr>
        <w:t>2</w:t>
      </w:r>
      <w:r>
        <w:rPr>
          <w:sz w:val="28"/>
          <w:szCs w:val="28"/>
          <w:lang w:val="uk-UA"/>
        </w:rPr>
        <w:t xml:space="preserve"> групах виявити не вдалося. Отримані дані узгоджуються з літературними даними [9].</w:t>
      </w:r>
    </w:p>
    <w:p w:rsidR="007E691D" w:rsidRDefault="007E691D" w:rsidP="007E691D">
      <w:pPr>
        <w:spacing w:line="360" w:lineRule="auto"/>
        <w:ind w:firstLine="709"/>
        <w:jc w:val="both"/>
        <w:rPr>
          <w:sz w:val="28"/>
          <w:szCs w:val="28"/>
          <w:lang w:val="uk-UA"/>
        </w:rPr>
      </w:pPr>
      <w:r>
        <w:rPr>
          <w:sz w:val="28"/>
          <w:szCs w:val="28"/>
          <w:lang w:val="uk-UA"/>
        </w:rPr>
        <w:t>Отримані результати дозволяють стверджувати, що цитокінова система залучена в патогенез НАСГ</w:t>
      </w:r>
      <w:r w:rsidR="00B07220">
        <w:rPr>
          <w:sz w:val="28"/>
          <w:szCs w:val="28"/>
          <w:lang w:val="uk-UA"/>
        </w:rPr>
        <w:t xml:space="preserve"> на тлі ЦД 2 типу</w:t>
      </w:r>
      <w:r>
        <w:rPr>
          <w:sz w:val="28"/>
          <w:szCs w:val="28"/>
          <w:lang w:val="uk-UA"/>
        </w:rPr>
        <w:t>. Її дисфункція супроводжується підвищеною продукцією прозапальних цитокінів, про що свідчить вірогідне підвищення рівня ФНП–α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0,001)  та ІЛ–6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0,001) у хворих обох груп. Наші дані підтверджуються даними літератури про роль прозапальних цитокінів в розвитку та прогресуванні НАСГ [</w:t>
      </w:r>
      <w:r>
        <w:rPr>
          <w:color w:val="000000"/>
          <w:sz w:val="28"/>
          <w:szCs w:val="28"/>
          <w:lang w:val="uk-UA"/>
        </w:rPr>
        <w:t>40, 74, 106</w:t>
      </w:r>
      <w:r>
        <w:rPr>
          <w:sz w:val="28"/>
          <w:szCs w:val="28"/>
          <w:lang w:val="uk-UA"/>
        </w:rPr>
        <w:t xml:space="preserve">]. </w:t>
      </w:r>
    </w:p>
    <w:p w:rsidR="007E691D" w:rsidRDefault="007E691D" w:rsidP="00B07220">
      <w:pPr>
        <w:spacing w:line="360" w:lineRule="auto"/>
        <w:ind w:firstLine="709"/>
        <w:jc w:val="both"/>
        <w:rPr>
          <w:sz w:val="28"/>
          <w:szCs w:val="28"/>
          <w:lang w:val="uk-UA"/>
        </w:rPr>
      </w:pPr>
      <w:r>
        <w:rPr>
          <w:sz w:val="28"/>
          <w:szCs w:val="28"/>
          <w:lang w:val="uk-UA"/>
        </w:rPr>
        <w:t>З’</w:t>
      </w:r>
      <w:r w:rsidRPr="00B07220">
        <w:rPr>
          <w:sz w:val="28"/>
          <w:szCs w:val="28"/>
          <w:lang w:val="uk-UA"/>
        </w:rPr>
        <w:t>ясувалось</w:t>
      </w:r>
      <w:r>
        <w:rPr>
          <w:sz w:val="28"/>
          <w:szCs w:val="28"/>
          <w:lang w:val="uk-UA"/>
        </w:rPr>
        <w:t>, що рівень прозапальних цитокінів у хворих НАСГ та в поєднанні з ЦД 2 типу не залежить від статі та віку (р</w:t>
      </w:r>
      <w:r w:rsidR="00B07220">
        <w:rPr>
          <w:sz w:val="28"/>
          <w:szCs w:val="28"/>
          <w:lang w:val="uk-UA"/>
        </w:rPr>
        <w:t xml:space="preserve"> </w:t>
      </w:r>
      <w:r>
        <w:rPr>
          <w:sz w:val="28"/>
          <w:szCs w:val="28"/>
          <w:lang w:val="uk-UA"/>
        </w:rPr>
        <w:t>&gt;</w:t>
      </w:r>
      <w:r w:rsidR="00B07220">
        <w:rPr>
          <w:sz w:val="28"/>
          <w:szCs w:val="28"/>
          <w:lang w:val="uk-UA"/>
        </w:rPr>
        <w:t xml:space="preserve"> </w:t>
      </w:r>
      <w:r>
        <w:rPr>
          <w:sz w:val="28"/>
          <w:szCs w:val="28"/>
          <w:lang w:val="uk-UA"/>
        </w:rPr>
        <w:t xml:space="preserve">0,05). </w:t>
      </w:r>
      <w:r w:rsidR="00B07220">
        <w:rPr>
          <w:sz w:val="28"/>
          <w:szCs w:val="28"/>
          <w:lang w:val="uk-UA"/>
        </w:rPr>
        <w:t xml:space="preserve">У пацієнтів з супутнім ЦД 2 типу рівень прозапальних цитокінів був достовірно вище при тривалості хвороби більше 5 років (р &lt; 0,001), що свідчить про значне прогресування захворювання на тлі метаболічних порушень.  </w:t>
      </w:r>
      <w:r>
        <w:rPr>
          <w:sz w:val="28"/>
          <w:szCs w:val="28"/>
          <w:lang w:val="uk-UA"/>
        </w:rPr>
        <w:t xml:space="preserve">Рівень ФНП–α та ІЛ–6 вірогідно зростав у хворих </w:t>
      </w:r>
      <w:r w:rsidR="00B07220">
        <w:rPr>
          <w:sz w:val="28"/>
          <w:szCs w:val="28"/>
          <w:lang w:val="uk-UA"/>
        </w:rPr>
        <w:t xml:space="preserve">на </w:t>
      </w:r>
      <w:r>
        <w:rPr>
          <w:sz w:val="28"/>
          <w:szCs w:val="28"/>
          <w:lang w:val="uk-UA"/>
        </w:rPr>
        <w:t>НАСГ з тривалістю захворювання більше 10 років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0,05), що пов’язано з прогресуванням хвороби і виснаженням компенсаторних механізмів внаслідок стійких запальних змін в печінці. Нами виявлені позитивні кореляційні взаємозв’язки (</w:t>
      </w:r>
      <w:r>
        <w:rPr>
          <w:sz w:val="28"/>
          <w:szCs w:val="28"/>
          <w:lang w:val="en-US"/>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0,01), між рівнем прозапальних цитокінів та показниками цитолітичних ферментів, які підтверджують наявність запалення та клітинного ушкодження в печінці, що узгоджується з літературними даними [50, 66, 151, 152, 159, 252].  </w:t>
      </w:r>
    </w:p>
    <w:p w:rsidR="00B07220" w:rsidRDefault="007E691D" w:rsidP="00B07220">
      <w:pPr>
        <w:spacing w:line="360" w:lineRule="auto"/>
        <w:ind w:firstLine="709"/>
        <w:jc w:val="both"/>
        <w:rPr>
          <w:sz w:val="28"/>
          <w:szCs w:val="28"/>
          <w:lang w:val="uk-UA"/>
        </w:rPr>
      </w:pPr>
      <w:r>
        <w:rPr>
          <w:sz w:val="28"/>
          <w:szCs w:val="28"/>
          <w:lang w:val="uk-UA"/>
        </w:rPr>
        <w:t>Дослідження засвідчили, що у хворих обох груп мало місце вірогідне підвищення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0,001) вмісту метаболітів </w:t>
      </w:r>
      <w:r>
        <w:rPr>
          <w:sz w:val="28"/>
          <w:szCs w:val="28"/>
          <w:lang w:val="en-US"/>
        </w:rPr>
        <w:t>NO</w:t>
      </w:r>
      <w:r>
        <w:rPr>
          <w:sz w:val="28"/>
          <w:szCs w:val="28"/>
          <w:lang w:val="uk-UA"/>
        </w:rPr>
        <w:t xml:space="preserve"> та МДА в плазмі крові, в порівнянні з контрольною групою. Окрім того, рівень </w:t>
      </w:r>
      <w:r>
        <w:rPr>
          <w:sz w:val="28"/>
          <w:szCs w:val="28"/>
          <w:lang w:val="en-US"/>
        </w:rPr>
        <w:t>NO</w:t>
      </w:r>
      <w:r>
        <w:rPr>
          <w:sz w:val="28"/>
          <w:szCs w:val="28"/>
          <w:lang w:val="uk-UA"/>
        </w:rPr>
        <w:t xml:space="preserve"> та МДА у хворих </w:t>
      </w:r>
      <w:r w:rsidR="00B07220">
        <w:rPr>
          <w:sz w:val="28"/>
          <w:szCs w:val="28"/>
          <w:lang w:val="uk-UA"/>
        </w:rPr>
        <w:t>1</w:t>
      </w:r>
      <w:r>
        <w:rPr>
          <w:sz w:val="28"/>
          <w:szCs w:val="28"/>
          <w:lang w:val="uk-UA"/>
        </w:rPr>
        <w:t xml:space="preserve"> групи був достовірно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0,001), вищім, ніж у пацієнтів </w:t>
      </w:r>
      <w:r w:rsidR="00B07220">
        <w:rPr>
          <w:sz w:val="28"/>
          <w:szCs w:val="28"/>
          <w:lang w:val="uk-UA"/>
        </w:rPr>
        <w:t>2</w:t>
      </w:r>
      <w:r>
        <w:rPr>
          <w:sz w:val="28"/>
          <w:szCs w:val="28"/>
          <w:lang w:val="uk-UA"/>
        </w:rPr>
        <w:t xml:space="preserve"> групи, що пов’язано з розвитком ендотеліальної дисфункції, активацією NOS–3, що в свою чергу веде до синтезу високих рівнів NO на тлі ЦД 2 типу [36, 49, 103, 164]. Рівні </w:t>
      </w:r>
      <w:r>
        <w:rPr>
          <w:sz w:val="28"/>
          <w:szCs w:val="28"/>
          <w:lang w:val="en-US"/>
        </w:rPr>
        <w:t>NO</w:t>
      </w:r>
      <w:r>
        <w:rPr>
          <w:sz w:val="28"/>
          <w:szCs w:val="28"/>
          <w:lang w:val="uk-UA"/>
        </w:rPr>
        <w:t xml:space="preserve"> та МДА не залежали від статі та віку хворих, але змінювалися залежно від тривалості захворювання. </w:t>
      </w:r>
      <w:r w:rsidR="00B07220">
        <w:rPr>
          <w:sz w:val="28"/>
          <w:szCs w:val="28"/>
          <w:lang w:val="uk-UA"/>
        </w:rPr>
        <w:t xml:space="preserve">. У </w:t>
      </w:r>
      <w:r w:rsidR="00B07220">
        <w:rPr>
          <w:sz w:val="28"/>
          <w:szCs w:val="28"/>
          <w:lang w:val="uk-UA"/>
        </w:rPr>
        <w:lastRenderedPageBreak/>
        <w:t xml:space="preserve">пацієнтів з супутнім ЦД 2 типу рівень </w:t>
      </w:r>
      <w:r w:rsidR="00B07220">
        <w:rPr>
          <w:sz w:val="28"/>
          <w:szCs w:val="28"/>
          <w:lang w:val="en-US"/>
        </w:rPr>
        <w:t>NO</w:t>
      </w:r>
      <w:r w:rsidR="00B07220">
        <w:rPr>
          <w:sz w:val="28"/>
          <w:szCs w:val="28"/>
          <w:lang w:val="uk-UA"/>
        </w:rPr>
        <w:t xml:space="preserve"> та МДА був достовірно вище при тривалості хвороби більше 5 років (р &lt; 0,001), що свідчить про зростання оксидативного стресу на фоні метаболічних порушень. </w:t>
      </w:r>
      <w:r>
        <w:rPr>
          <w:sz w:val="28"/>
          <w:szCs w:val="28"/>
          <w:lang w:val="uk-UA"/>
        </w:rPr>
        <w:t xml:space="preserve">Концентрація </w:t>
      </w:r>
      <w:r>
        <w:rPr>
          <w:sz w:val="28"/>
          <w:szCs w:val="28"/>
          <w:lang w:val="en-US"/>
        </w:rPr>
        <w:t>NO</w:t>
      </w:r>
      <w:r>
        <w:rPr>
          <w:sz w:val="28"/>
          <w:szCs w:val="28"/>
          <w:lang w:val="uk-UA"/>
        </w:rPr>
        <w:t xml:space="preserve"> та МДА вірогідно зростала у хворих НАСГ з тривалістю захворювання більше 10 років (р</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0,05), що пов’язано з прогресуванням хвороби</w:t>
      </w:r>
      <w:r w:rsidR="00B07220">
        <w:rPr>
          <w:sz w:val="28"/>
          <w:szCs w:val="28"/>
          <w:lang w:val="uk-UA"/>
        </w:rPr>
        <w:t xml:space="preserve">. </w:t>
      </w:r>
    </w:p>
    <w:p w:rsidR="007E691D" w:rsidRDefault="007E691D" w:rsidP="00B07220">
      <w:pPr>
        <w:spacing w:line="360" w:lineRule="auto"/>
        <w:ind w:firstLine="709"/>
        <w:jc w:val="both"/>
        <w:rPr>
          <w:sz w:val="28"/>
          <w:szCs w:val="28"/>
          <w:lang w:val="uk-UA"/>
        </w:rPr>
      </w:pPr>
      <w:r>
        <w:rPr>
          <w:sz w:val="28"/>
          <w:szCs w:val="28"/>
          <w:lang w:val="uk-UA"/>
        </w:rPr>
        <w:t xml:space="preserve">Розглядаючи кореляційні взаємозв’язки можна зробити висновок про значну роль </w:t>
      </w:r>
      <w:r>
        <w:rPr>
          <w:sz w:val="28"/>
          <w:szCs w:val="28"/>
          <w:lang w:val="en-US"/>
        </w:rPr>
        <w:t>NO</w:t>
      </w:r>
      <w:r>
        <w:rPr>
          <w:sz w:val="28"/>
          <w:szCs w:val="28"/>
          <w:lang w:val="uk-UA"/>
        </w:rPr>
        <w:t xml:space="preserve"> в активації окислювальних процесів, пов’язаних з утворенням продуктів ПОЛ, накопиченням вторинних продуктів ліпопероксидації, що є однією з основних причин розвитку та прогресування захворювання [110, 127]. </w:t>
      </w:r>
    </w:p>
    <w:p w:rsidR="007E691D" w:rsidRDefault="007E691D" w:rsidP="007E691D">
      <w:pPr>
        <w:spacing w:line="360" w:lineRule="auto"/>
        <w:ind w:firstLine="709"/>
        <w:jc w:val="both"/>
        <w:rPr>
          <w:sz w:val="28"/>
          <w:szCs w:val="28"/>
          <w:lang w:val="uk-UA"/>
        </w:rPr>
      </w:pPr>
      <w:r>
        <w:rPr>
          <w:sz w:val="28"/>
          <w:szCs w:val="28"/>
          <w:lang w:val="uk-UA"/>
        </w:rPr>
        <w:t xml:space="preserve">Додатковим підтвердженням причетності оксидативного стресу до формування НАСГ </w:t>
      </w:r>
      <w:r w:rsidR="00B07220">
        <w:rPr>
          <w:sz w:val="28"/>
          <w:szCs w:val="28"/>
          <w:lang w:val="uk-UA"/>
        </w:rPr>
        <w:t xml:space="preserve">на тлі ЦД 2 типу </w:t>
      </w:r>
      <w:r>
        <w:rPr>
          <w:sz w:val="28"/>
          <w:szCs w:val="28"/>
          <w:lang w:val="uk-UA"/>
        </w:rPr>
        <w:t>є виявлені нами тісні позитивні кореляційні зв’язки (</w:t>
      </w:r>
      <w:r>
        <w:rPr>
          <w:sz w:val="28"/>
          <w:szCs w:val="28"/>
          <w:lang w:val="en-US"/>
        </w:rPr>
        <w:t>p</w:t>
      </w:r>
      <w:r>
        <w:rPr>
          <w:sz w:val="28"/>
          <w:szCs w:val="28"/>
          <w:lang w:val="uk-UA"/>
        </w:rPr>
        <w:t xml:space="preserve">&lt;0,01) з показниками ліпідограми у хворих обох груп. Виявлена сильна кореляційна залежність між вмістом </w:t>
      </w:r>
      <w:r>
        <w:rPr>
          <w:sz w:val="28"/>
          <w:szCs w:val="28"/>
          <w:lang w:val="en-US"/>
        </w:rPr>
        <w:t>NO</w:t>
      </w:r>
      <w:r>
        <w:rPr>
          <w:sz w:val="28"/>
          <w:szCs w:val="28"/>
          <w:lang w:val="uk-UA"/>
        </w:rPr>
        <w:t xml:space="preserve"> та АЛТ (</w:t>
      </w:r>
      <w:r>
        <w:rPr>
          <w:sz w:val="28"/>
          <w:szCs w:val="28"/>
          <w:lang w:val="en-US"/>
        </w:rPr>
        <w:t>r</w:t>
      </w:r>
      <w:r>
        <w:rPr>
          <w:sz w:val="28"/>
          <w:szCs w:val="28"/>
          <w:lang w:val="uk-UA"/>
        </w:rPr>
        <w:t xml:space="preserve"> =</w:t>
      </w:r>
      <w:r w:rsidR="00B07220">
        <w:rPr>
          <w:sz w:val="28"/>
          <w:szCs w:val="28"/>
          <w:lang w:val="uk-UA"/>
        </w:rPr>
        <w:t xml:space="preserve"> </w:t>
      </w:r>
      <w:r>
        <w:rPr>
          <w:sz w:val="28"/>
          <w:szCs w:val="28"/>
          <w:lang w:val="uk-UA"/>
        </w:rPr>
        <w:t>0,75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0,01)) і </w:t>
      </w:r>
      <w:r>
        <w:rPr>
          <w:sz w:val="28"/>
          <w:szCs w:val="28"/>
          <w:lang w:val="en-US"/>
        </w:rPr>
        <w:t>NO</w:t>
      </w:r>
      <w:r>
        <w:rPr>
          <w:sz w:val="28"/>
          <w:szCs w:val="28"/>
          <w:lang w:val="uk-UA"/>
        </w:rPr>
        <w:t xml:space="preserve"> та АСТ (</w:t>
      </w:r>
      <w:r>
        <w:rPr>
          <w:sz w:val="28"/>
          <w:szCs w:val="28"/>
          <w:lang w:val="en-US"/>
        </w:rPr>
        <w:t>r</w:t>
      </w:r>
      <w:r>
        <w:rPr>
          <w:sz w:val="28"/>
          <w:szCs w:val="28"/>
          <w:lang w:val="uk-UA"/>
        </w:rPr>
        <w:t xml:space="preserve"> =</w:t>
      </w:r>
      <w:r w:rsidR="00B07220">
        <w:rPr>
          <w:sz w:val="28"/>
          <w:szCs w:val="28"/>
          <w:lang w:val="uk-UA"/>
        </w:rPr>
        <w:t xml:space="preserve"> </w:t>
      </w:r>
      <w:r>
        <w:rPr>
          <w:sz w:val="28"/>
          <w:szCs w:val="28"/>
          <w:lang w:val="uk-UA"/>
        </w:rPr>
        <w:t>0,74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0,01))  у хворих </w:t>
      </w:r>
      <w:r w:rsidR="00B07220">
        <w:rPr>
          <w:sz w:val="28"/>
          <w:szCs w:val="28"/>
          <w:lang w:val="uk-UA"/>
        </w:rPr>
        <w:t>2</w:t>
      </w:r>
      <w:r>
        <w:rPr>
          <w:sz w:val="28"/>
          <w:szCs w:val="28"/>
          <w:lang w:val="uk-UA"/>
        </w:rPr>
        <w:t xml:space="preserve"> групи. У хворих </w:t>
      </w:r>
      <w:r w:rsidR="00B07220">
        <w:rPr>
          <w:sz w:val="28"/>
          <w:szCs w:val="28"/>
          <w:lang w:val="uk-UA"/>
        </w:rPr>
        <w:t>1</w:t>
      </w:r>
      <w:r>
        <w:rPr>
          <w:sz w:val="28"/>
          <w:szCs w:val="28"/>
          <w:lang w:val="uk-UA"/>
        </w:rPr>
        <w:t xml:space="preserve"> групи кореляційний зв’язок вірогідно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0,05) посилювався і складав між </w:t>
      </w:r>
      <w:r>
        <w:rPr>
          <w:sz w:val="28"/>
          <w:szCs w:val="28"/>
          <w:lang w:val="en-US"/>
        </w:rPr>
        <w:t>NO</w:t>
      </w:r>
      <w:r>
        <w:rPr>
          <w:sz w:val="28"/>
          <w:szCs w:val="28"/>
          <w:lang w:val="uk-UA"/>
        </w:rPr>
        <w:t xml:space="preserve"> та АЛТ  – </w:t>
      </w:r>
      <w:r>
        <w:rPr>
          <w:sz w:val="28"/>
          <w:szCs w:val="28"/>
          <w:lang w:val="en-US"/>
        </w:rPr>
        <w:t>r</w:t>
      </w:r>
      <w:r>
        <w:rPr>
          <w:sz w:val="28"/>
          <w:szCs w:val="28"/>
          <w:lang w:val="uk-UA"/>
        </w:rPr>
        <w:t xml:space="preserve"> =</w:t>
      </w:r>
      <w:r w:rsidR="00B07220">
        <w:rPr>
          <w:sz w:val="28"/>
          <w:szCs w:val="28"/>
          <w:lang w:val="uk-UA"/>
        </w:rPr>
        <w:t xml:space="preserve"> </w:t>
      </w:r>
      <w:r>
        <w:rPr>
          <w:sz w:val="28"/>
          <w:szCs w:val="28"/>
          <w:lang w:val="uk-UA"/>
        </w:rPr>
        <w:t>0,81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0,01) і </w:t>
      </w:r>
      <w:r>
        <w:rPr>
          <w:sz w:val="28"/>
          <w:szCs w:val="28"/>
          <w:lang w:val="en-US"/>
        </w:rPr>
        <w:t>NO</w:t>
      </w:r>
      <w:r>
        <w:rPr>
          <w:sz w:val="28"/>
          <w:szCs w:val="28"/>
          <w:lang w:val="uk-UA"/>
        </w:rPr>
        <w:t xml:space="preserve"> та АСТ  –  </w:t>
      </w:r>
      <w:r>
        <w:rPr>
          <w:sz w:val="28"/>
          <w:szCs w:val="28"/>
          <w:lang w:val="en-US"/>
        </w:rPr>
        <w:t>r</w:t>
      </w:r>
      <w:r>
        <w:rPr>
          <w:sz w:val="28"/>
          <w:szCs w:val="28"/>
          <w:lang w:val="uk-UA"/>
        </w:rPr>
        <w:t xml:space="preserve"> =</w:t>
      </w:r>
      <w:r w:rsidR="00B07220">
        <w:rPr>
          <w:sz w:val="28"/>
          <w:szCs w:val="28"/>
          <w:lang w:val="uk-UA"/>
        </w:rPr>
        <w:t xml:space="preserve"> </w:t>
      </w:r>
      <w:r>
        <w:rPr>
          <w:sz w:val="28"/>
          <w:szCs w:val="28"/>
          <w:lang w:val="uk-UA"/>
        </w:rPr>
        <w:t>0,78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0,01). Пряма кореляційна залежність спостерігалась між МДА та АЛТ у хворих обох груп: r </w:t>
      </w:r>
      <w:r>
        <w:rPr>
          <w:sz w:val="28"/>
          <w:szCs w:val="28"/>
        </w:rPr>
        <w:t>=</w:t>
      </w:r>
      <w:r w:rsidR="00B07220">
        <w:rPr>
          <w:sz w:val="28"/>
          <w:szCs w:val="28"/>
          <w:lang w:val="uk-UA"/>
        </w:rPr>
        <w:t xml:space="preserve"> 0,73</w:t>
      </w:r>
      <w:r>
        <w:rPr>
          <w:sz w:val="28"/>
          <w:szCs w:val="28"/>
          <w:lang w:val="uk-UA"/>
        </w:rPr>
        <w:t xml:space="preserve"> (</w:t>
      </w:r>
      <w:r>
        <w:rPr>
          <w:sz w:val="28"/>
          <w:szCs w:val="28"/>
        </w:rPr>
        <w:t>p</w:t>
      </w:r>
      <w:r w:rsidR="00B07220">
        <w:rPr>
          <w:sz w:val="28"/>
          <w:szCs w:val="28"/>
          <w:lang w:val="uk-UA"/>
        </w:rPr>
        <w:t xml:space="preserve"> &lt; 0,01) в 1</w:t>
      </w:r>
      <w:r>
        <w:rPr>
          <w:sz w:val="28"/>
          <w:szCs w:val="28"/>
          <w:lang w:val="uk-UA"/>
        </w:rPr>
        <w:t xml:space="preserve"> та  </w:t>
      </w:r>
      <w:r>
        <w:rPr>
          <w:sz w:val="28"/>
          <w:szCs w:val="28"/>
          <w:lang w:val="en-US"/>
        </w:rPr>
        <w:t>r</w:t>
      </w:r>
      <w:r w:rsidRPr="00423488">
        <w:rPr>
          <w:sz w:val="28"/>
          <w:szCs w:val="28"/>
        </w:rPr>
        <w:t xml:space="preserve"> </w:t>
      </w:r>
      <w:r>
        <w:rPr>
          <w:sz w:val="28"/>
          <w:szCs w:val="28"/>
        </w:rPr>
        <w:t>=</w:t>
      </w:r>
      <w:r w:rsidR="00B07220">
        <w:rPr>
          <w:sz w:val="28"/>
          <w:szCs w:val="28"/>
          <w:lang w:val="uk-UA"/>
        </w:rPr>
        <w:t xml:space="preserve"> 0,68</w:t>
      </w:r>
      <w:r>
        <w:rPr>
          <w:sz w:val="28"/>
          <w:szCs w:val="28"/>
          <w:lang w:val="uk-UA"/>
        </w:rPr>
        <w:t xml:space="preserve"> (</w:t>
      </w:r>
      <w:r>
        <w:rPr>
          <w:sz w:val="28"/>
          <w:szCs w:val="28"/>
        </w:rPr>
        <w:t>p</w:t>
      </w:r>
      <w:r w:rsidR="00B07220">
        <w:rPr>
          <w:sz w:val="28"/>
          <w:szCs w:val="28"/>
          <w:lang w:val="uk-UA"/>
        </w:rPr>
        <w:t xml:space="preserve"> &lt; 0,01) в 2</w:t>
      </w:r>
      <w:r>
        <w:rPr>
          <w:sz w:val="28"/>
          <w:szCs w:val="28"/>
          <w:lang w:val="uk-UA"/>
        </w:rPr>
        <w:t xml:space="preserve"> групі відповідно. Так само рівень МДА мав прямий впли</w:t>
      </w:r>
      <w:r w:rsidR="00B07220">
        <w:rPr>
          <w:sz w:val="28"/>
          <w:szCs w:val="28"/>
          <w:lang w:val="uk-UA"/>
        </w:rPr>
        <w:t>в на показник АСТ: в 1</w:t>
      </w:r>
      <w:r>
        <w:rPr>
          <w:sz w:val="28"/>
          <w:szCs w:val="28"/>
          <w:lang w:val="uk-UA"/>
        </w:rPr>
        <w:t xml:space="preserve"> групі коефіцієнт кореляції склав </w:t>
      </w:r>
      <w:r>
        <w:rPr>
          <w:sz w:val="28"/>
          <w:szCs w:val="28"/>
          <w:lang w:val="en-US"/>
        </w:rPr>
        <w:t>r</w:t>
      </w:r>
      <w:r w:rsidRPr="00423488">
        <w:rPr>
          <w:sz w:val="28"/>
          <w:szCs w:val="28"/>
        </w:rPr>
        <w:t xml:space="preserve"> </w:t>
      </w:r>
      <w:r>
        <w:rPr>
          <w:sz w:val="28"/>
          <w:szCs w:val="28"/>
        </w:rPr>
        <w:t>=</w:t>
      </w:r>
      <w:r w:rsidR="00B07220">
        <w:rPr>
          <w:sz w:val="28"/>
          <w:szCs w:val="28"/>
          <w:lang w:val="uk-UA"/>
        </w:rPr>
        <w:t xml:space="preserve"> </w:t>
      </w:r>
      <w:r>
        <w:rPr>
          <w:sz w:val="28"/>
          <w:szCs w:val="28"/>
          <w:lang w:val="uk-UA"/>
        </w:rPr>
        <w:t>0,7</w:t>
      </w:r>
      <w:r w:rsidR="00B07220">
        <w:rPr>
          <w:sz w:val="28"/>
          <w:szCs w:val="28"/>
          <w:lang w:val="uk-UA"/>
        </w:rPr>
        <w:t>6</w:t>
      </w:r>
      <w:r>
        <w:rPr>
          <w:sz w:val="28"/>
          <w:szCs w:val="28"/>
          <w:lang w:val="uk-UA"/>
        </w:rPr>
        <w:t xml:space="preserve">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 xml:space="preserve">0,01), в </w:t>
      </w:r>
      <w:r w:rsidR="00B07220">
        <w:rPr>
          <w:sz w:val="28"/>
          <w:szCs w:val="28"/>
          <w:lang w:val="uk-UA"/>
        </w:rPr>
        <w:t>2</w:t>
      </w:r>
      <w:r>
        <w:rPr>
          <w:sz w:val="28"/>
          <w:szCs w:val="28"/>
          <w:lang w:val="uk-UA"/>
        </w:rPr>
        <w:t xml:space="preserve"> – </w:t>
      </w:r>
      <w:r>
        <w:rPr>
          <w:sz w:val="28"/>
          <w:szCs w:val="28"/>
          <w:lang w:val="en-US"/>
        </w:rPr>
        <w:t>r</w:t>
      </w:r>
      <w:r w:rsidRPr="00423488">
        <w:rPr>
          <w:sz w:val="28"/>
          <w:szCs w:val="28"/>
        </w:rPr>
        <w:t xml:space="preserve"> </w:t>
      </w:r>
      <w:r>
        <w:rPr>
          <w:sz w:val="28"/>
          <w:szCs w:val="28"/>
        </w:rPr>
        <w:t>=</w:t>
      </w:r>
      <w:r w:rsidR="00B07220">
        <w:rPr>
          <w:sz w:val="28"/>
          <w:szCs w:val="28"/>
          <w:lang w:val="uk-UA"/>
        </w:rPr>
        <w:t xml:space="preserve"> </w:t>
      </w:r>
      <w:r>
        <w:rPr>
          <w:sz w:val="28"/>
          <w:szCs w:val="28"/>
          <w:lang w:val="uk-UA"/>
        </w:rPr>
        <w:t>0,7</w:t>
      </w:r>
      <w:r w:rsidR="00B07220">
        <w:rPr>
          <w:sz w:val="28"/>
          <w:szCs w:val="28"/>
          <w:lang w:val="uk-UA"/>
        </w:rPr>
        <w:t>8</w:t>
      </w:r>
      <w:r>
        <w:rPr>
          <w:sz w:val="28"/>
          <w:szCs w:val="28"/>
          <w:lang w:val="uk-UA"/>
        </w:rPr>
        <w:t xml:space="preserve"> (</w:t>
      </w:r>
      <w:r>
        <w:rPr>
          <w:sz w:val="28"/>
          <w:szCs w:val="28"/>
        </w:rPr>
        <w:t>p</w:t>
      </w:r>
      <w:r w:rsidR="00B07220">
        <w:rPr>
          <w:sz w:val="28"/>
          <w:szCs w:val="28"/>
          <w:lang w:val="uk-UA"/>
        </w:rPr>
        <w:t xml:space="preserve"> </w:t>
      </w:r>
      <w:r>
        <w:rPr>
          <w:sz w:val="28"/>
          <w:szCs w:val="28"/>
          <w:lang w:val="uk-UA"/>
        </w:rPr>
        <w:t>&lt;</w:t>
      </w:r>
      <w:r w:rsidR="00B07220">
        <w:rPr>
          <w:sz w:val="28"/>
          <w:szCs w:val="28"/>
          <w:lang w:val="uk-UA"/>
        </w:rPr>
        <w:t xml:space="preserve"> </w:t>
      </w:r>
      <w:r>
        <w:rPr>
          <w:sz w:val="28"/>
          <w:szCs w:val="28"/>
          <w:lang w:val="uk-UA"/>
        </w:rPr>
        <w:t>0,01).</w:t>
      </w:r>
    </w:p>
    <w:p w:rsidR="007E691D" w:rsidRDefault="007E691D" w:rsidP="007E691D">
      <w:pPr>
        <w:spacing w:line="360" w:lineRule="auto"/>
        <w:ind w:firstLine="709"/>
        <w:jc w:val="both"/>
        <w:rPr>
          <w:sz w:val="28"/>
          <w:szCs w:val="28"/>
          <w:lang w:val="uk-UA"/>
        </w:rPr>
      </w:pPr>
      <w:r>
        <w:rPr>
          <w:sz w:val="28"/>
          <w:szCs w:val="28"/>
          <w:lang w:val="uk-UA"/>
        </w:rPr>
        <w:t xml:space="preserve">Згідно отриманим даним виразність запального процесу в печінці знаходиться в прямій залежності від вмісту </w:t>
      </w:r>
      <w:r>
        <w:rPr>
          <w:sz w:val="28"/>
          <w:szCs w:val="28"/>
          <w:lang w:val="en-US"/>
        </w:rPr>
        <w:t>NO</w:t>
      </w:r>
      <w:r>
        <w:rPr>
          <w:sz w:val="28"/>
          <w:szCs w:val="28"/>
          <w:lang w:val="uk-UA"/>
        </w:rPr>
        <w:t xml:space="preserve"> та МДА плазми крові хворих </w:t>
      </w:r>
      <w:r w:rsidR="00B07220">
        <w:rPr>
          <w:sz w:val="28"/>
          <w:szCs w:val="28"/>
          <w:lang w:val="uk-UA"/>
        </w:rPr>
        <w:t xml:space="preserve">на </w:t>
      </w:r>
      <w:r>
        <w:rPr>
          <w:sz w:val="28"/>
          <w:szCs w:val="28"/>
          <w:lang w:val="uk-UA"/>
        </w:rPr>
        <w:t>НАСГ</w:t>
      </w:r>
      <w:r w:rsidR="00B07220">
        <w:rPr>
          <w:sz w:val="28"/>
          <w:szCs w:val="28"/>
          <w:lang w:val="uk-UA"/>
        </w:rPr>
        <w:t xml:space="preserve"> в поєднанні з ЦД 2 типу</w:t>
      </w:r>
      <w:r>
        <w:rPr>
          <w:sz w:val="28"/>
          <w:szCs w:val="28"/>
          <w:lang w:val="uk-UA"/>
        </w:rPr>
        <w:t>, що пов’язано з активацією вільнорадикального пошкодження гепатоцитів та індукцією прозапальних цитокінів [20, 46, 80].</w:t>
      </w:r>
    </w:p>
    <w:p w:rsidR="007E691D" w:rsidRDefault="007E691D" w:rsidP="007E691D">
      <w:pPr>
        <w:spacing w:line="360" w:lineRule="auto"/>
        <w:ind w:firstLine="709"/>
        <w:jc w:val="both"/>
        <w:rPr>
          <w:sz w:val="28"/>
          <w:szCs w:val="28"/>
          <w:lang w:val="uk-UA"/>
        </w:rPr>
      </w:pPr>
      <w:r>
        <w:rPr>
          <w:sz w:val="28"/>
          <w:szCs w:val="28"/>
          <w:lang w:val="uk-UA"/>
        </w:rPr>
        <w:t>Досліджен</w:t>
      </w:r>
      <w:r w:rsidR="00B07220">
        <w:rPr>
          <w:sz w:val="28"/>
          <w:szCs w:val="28"/>
          <w:lang w:val="uk-UA"/>
        </w:rPr>
        <w:t xml:space="preserve">ня засвідчили, що у всіх хворих </w:t>
      </w:r>
      <w:r>
        <w:rPr>
          <w:sz w:val="28"/>
          <w:szCs w:val="28"/>
          <w:lang w:val="uk-UA"/>
        </w:rPr>
        <w:t xml:space="preserve">мала місце карнітинова недостатність. При порівнянні статистичних показників хворих двох груп встановлено, що у пацієнтів  з  НАСГ рівні </w:t>
      </w:r>
      <w:r>
        <w:rPr>
          <w:sz w:val="28"/>
          <w:szCs w:val="28"/>
          <w:lang w:val="en-US"/>
        </w:rPr>
        <w:t>L</w:t>
      </w:r>
      <w:r>
        <w:rPr>
          <w:sz w:val="28"/>
          <w:szCs w:val="28"/>
          <w:lang w:val="uk-UA"/>
        </w:rPr>
        <w:t>–карнітину були вірогідно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0,001) знижені (14,5 (13,1;</w:t>
      </w:r>
      <w:r w:rsidR="00DB3353">
        <w:rPr>
          <w:sz w:val="28"/>
          <w:szCs w:val="28"/>
          <w:lang w:val="uk-UA"/>
        </w:rPr>
        <w:t xml:space="preserve"> </w:t>
      </w:r>
      <w:r>
        <w:rPr>
          <w:sz w:val="28"/>
          <w:szCs w:val="28"/>
          <w:lang w:val="uk-UA"/>
        </w:rPr>
        <w:t xml:space="preserve">15,7) мкмоль/л) у порівнянні з контрольною групою. В групі з супутнім ЦД 2 типу вміст </w:t>
      </w:r>
      <w:r>
        <w:rPr>
          <w:sz w:val="28"/>
          <w:szCs w:val="28"/>
          <w:lang w:val="en-US"/>
        </w:rPr>
        <w:t>L</w:t>
      </w:r>
      <w:r>
        <w:rPr>
          <w:sz w:val="28"/>
          <w:szCs w:val="28"/>
          <w:lang w:val="uk-UA"/>
        </w:rPr>
        <w:t>–карнітину був знижений ще більше і складав  12,8 (12,0;</w:t>
      </w:r>
      <w:r w:rsidR="00DB3353">
        <w:rPr>
          <w:sz w:val="28"/>
          <w:szCs w:val="28"/>
          <w:lang w:val="uk-UA"/>
        </w:rPr>
        <w:t xml:space="preserve"> </w:t>
      </w:r>
      <w:r>
        <w:rPr>
          <w:sz w:val="28"/>
          <w:szCs w:val="28"/>
          <w:lang w:val="uk-UA"/>
        </w:rPr>
        <w:t>14,1) мкмоль/л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0,001). При аналізі отриманих даних гендерних та вікових відмінностей виявлено не було (р</w:t>
      </w:r>
      <w:r w:rsidR="00DB3353">
        <w:rPr>
          <w:sz w:val="28"/>
          <w:szCs w:val="28"/>
          <w:lang w:val="uk-UA"/>
        </w:rPr>
        <w:t xml:space="preserve"> </w:t>
      </w:r>
      <w:r>
        <w:rPr>
          <w:sz w:val="28"/>
          <w:szCs w:val="28"/>
          <w:lang w:val="uk-UA"/>
        </w:rPr>
        <w:t>&gt;</w:t>
      </w:r>
      <w:r w:rsidR="00DB3353">
        <w:rPr>
          <w:sz w:val="28"/>
          <w:szCs w:val="28"/>
          <w:lang w:val="uk-UA"/>
        </w:rPr>
        <w:t xml:space="preserve"> </w:t>
      </w:r>
      <w:r>
        <w:rPr>
          <w:sz w:val="28"/>
          <w:szCs w:val="28"/>
          <w:lang w:val="uk-UA"/>
        </w:rPr>
        <w:t xml:space="preserve">0,05). Аналізуючи рівень </w:t>
      </w:r>
      <w:r>
        <w:rPr>
          <w:sz w:val="28"/>
          <w:szCs w:val="28"/>
          <w:lang w:val="en-US"/>
        </w:rPr>
        <w:t>L</w:t>
      </w:r>
      <w:r>
        <w:rPr>
          <w:sz w:val="28"/>
          <w:szCs w:val="28"/>
          <w:lang w:val="uk-UA"/>
        </w:rPr>
        <w:t xml:space="preserve">–карнітину у хворих в </w:t>
      </w:r>
      <w:r>
        <w:rPr>
          <w:sz w:val="28"/>
          <w:szCs w:val="28"/>
          <w:lang w:val="uk-UA"/>
        </w:rPr>
        <w:lastRenderedPageBreak/>
        <w:t>залежності від тривалості захворювання виявилось достовірне (</w:t>
      </w:r>
      <w:r>
        <w:rPr>
          <w:sz w:val="28"/>
          <w:szCs w:val="28"/>
        </w:rPr>
        <w:t>p</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0,05) зростання карнітинової недостатності в обох групах зі збільшенням тривалості захворювання понад 10 років.</w:t>
      </w:r>
    </w:p>
    <w:p w:rsidR="007E691D" w:rsidRDefault="007E691D" w:rsidP="007E691D">
      <w:pPr>
        <w:spacing w:line="360" w:lineRule="auto"/>
        <w:ind w:firstLine="709"/>
        <w:jc w:val="both"/>
        <w:rPr>
          <w:sz w:val="28"/>
          <w:szCs w:val="28"/>
          <w:lang w:val="uk-UA"/>
        </w:rPr>
      </w:pPr>
      <w:r>
        <w:rPr>
          <w:sz w:val="28"/>
          <w:szCs w:val="28"/>
          <w:lang w:val="uk-UA"/>
        </w:rPr>
        <w:t xml:space="preserve">Нами виявлені негативні кореляційні зв’язки між рівнем </w:t>
      </w:r>
      <w:r>
        <w:rPr>
          <w:sz w:val="28"/>
          <w:szCs w:val="28"/>
          <w:lang w:val="en-US"/>
        </w:rPr>
        <w:t>L</w:t>
      </w:r>
      <w:r>
        <w:rPr>
          <w:sz w:val="28"/>
          <w:szCs w:val="28"/>
          <w:lang w:val="uk-UA"/>
        </w:rPr>
        <w:t>–карнітину сироватки крові та показниками ліпідного спектру крові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Статистично достовірний зворотній кореляційний зв’язок спостерігався між </w:t>
      </w:r>
      <w:r>
        <w:rPr>
          <w:sz w:val="28"/>
          <w:szCs w:val="28"/>
          <w:lang w:val="en-US"/>
        </w:rPr>
        <w:t>L</w:t>
      </w:r>
      <w:r>
        <w:rPr>
          <w:sz w:val="28"/>
          <w:szCs w:val="28"/>
          <w:lang w:val="uk-UA"/>
        </w:rPr>
        <w:t xml:space="preserve">–карнітином та </w:t>
      </w:r>
      <w:r>
        <w:rPr>
          <w:sz w:val="28"/>
          <w:szCs w:val="28"/>
          <w:lang w:val="en-US"/>
        </w:rPr>
        <w:t>NO</w:t>
      </w:r>
      <w:r>
        <w:rPr>
          <w:sz w:val="28"/>
          <w:szCs w:val="28"/>
          <w:lang w:val="uk-UA"/>
        </w:rPr>
        <w:t xml:space="preserve"> в </w:t>
      </w:r>
      <w:r w:rsidR="00DB3353">
        <w:rPr>
          <w:sz w:val="28"/>
          <w:szCs w:val="28"/>
          <w:lang w:val="uk-UA"/>
        </w:rPr>
        <w:t xml:space="preserve">1 </w:t>
      </w:r>
      <w:r>
        <w:rPr>
          <w:sz w:val="28"/>
          <w:szCs w:val="28"/>
          <w:lang w:val="uk-UA"/>
        </w:rPr>
        <w:t xml:space="preserve">–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0,78</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та </w:t>
      </w:r>
      <w:r w:rsidR="00DB3353">
        <w:rPr>
          <w:sz w:val="28"/>
          <w:szCs w:val="28"/>
          <w:lang w:val="uk-UA"/>
        </w:rPr>
        <w:t>2</w:t>
      </w:r>
      <w:r>
        <w:rPr>
          <w:sz w:val="28"/>
          <w:szCs w:val="28"/>
          <w:lang w:val="uk-UA"/>
        </w:rPr>
        <w:t xml:space="preserve">  – </w:t>
      </w:r>
      <w:r>
        <w:rPr>
          <w:sz w:val="28"/>
          <w:szCs w:val="28"/>
          <w:lang w:val="en-US"/>
        </w:rPr>
        <w:t>r</w:t>
      </w:r>
      <w:r w:rsidR="00DB3353">
        <w:rPr>
          <w:sz w:val="28"/>
          <w:szCs w:val="28"/>
          <w:lang w:val="uk-UA"/>
        </w:rPr>
        <w:t xml:space="preserve"> = – 0,76</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групах. Також обернена кореляційна залежність мала місце між </w:t>
      </w:r>
      <w:r>
        <w:rPr>
          <w:sz w:val="28"/>
          <w:szCs w:val="28"/>
          <w:lang w:val="en-US"/>
        </w:rPr>
        <w:t>L</w:t>
      </w:r>
      <w:r>
        <w:rPr>
          <w:sz w:val="28"/>
          <w:szCs w:val="28"/>
          <w:lang w:val="uk-UA"/>
        </w:rPr>
        <w:t xml:space="preserve">–карнітином та МДА в </w:t>
      </w:r>
      <w:r w:rsidR="00DB3353">
        <w:rPr>
          <w:sz w:val="28"/>
          <w:szCs w:val="28"/>
          <w:lang w:val="uk-UA"/>
        </w:rPr>
        <w:t>1</w:t>
      </w:r>
      <w:r>
        <w:rPr>
          <w:sz w:val="28"/>
          <w:szCs w:val="28"/>
          <w:lang w:val="uk-UA"/>
        </w:rPr>
        <w:t xml:space="preserve"> та </w:t>
      </w:r>
      <w:r w:rsidR="00DB3353">
        <w:rPr>
          <w:sz w:val="28"/>
          <w:szCs w:val="28"/>
          <w:lang w:val="uk-UA"/>
        </w:rPr>
        <w:t>2</w:t>
      </w:r>
      <w:r>
        <w:rPr>
          <w:sz w:val="28"/>
          <w:szCs w:val="28"/>
          <w:lang w:val="uk-UA"/>
        </w:rPr>
        <w:t xml:space="preserve"> групах: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0,74</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та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0,7</w:t>
      </w:r>
      <w:r w:rsidR="00DB3353">
        <w:rPr>
          <w:sz w:val="28"/>
          <w:szCs w:val="28"/>
          <w:lang w:val="uk-UA"/>
        </w:rPr>
        <w:t>3</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0,01) відповідно. Наявні кореляційні зв</w:t>
      </w:r>
      <w:r>
        <w:rPr>
          <w:sz w:val="28"/>
          <w:szCs w:val="28"/>
        </w:rPr>
        <w:t>’</w:t>
      </w:r>
      <w:r>
        <w:rPr>
          <w:sz w:val="28"/>
          <w:szCs w:val="28"/>
          <w:lang w:val="uk-UA"/>
        </w:rPr>
        <w:t xml:space="preserve">язки говорять про причетність </w:t>
      </w:r>
      <w:r>
        <w:rPr>
          <w:sz w:val="28"/>
          <w:szCs w:val="28"/>
          <w:lang w:val="en-US"/>
        </w:rPr>
        <w:t>L</w:t>
      </w:r>
      <w:r>
        <w:rPr>
          <w:sz w:val="28"/>
          <w:szCs w:val="28"/>
          <w:lang w:val="uk-UA"/>
        </w:rPr>
        <w:t>–карнітина до розвитку ліпотоксичного стреса, а як наслідок активації ПОЛ.</w:t>
      </w:r>
    </w:p>
    <w:p w:rsidR="007E691D" w:rsidRDefault="007E691D" w:rsidP="007E691D">
      <w:pPr>
        <w:spacing w:line="360" w:lineRule="auto"/>
        <w:ind w:firstLine="709"/>
        <w:jc w:val="both"/>
        <w:rPr>
          <w:sz w:val="28"/>
          <w:szCs w:val="28"/>
          <w:lang w:val="uk-UA"/>
        </w:rPr>
      </w:pPr>
      <w:r>
        <w:rPr>
          <w:sz w:val="28"/>
          <w:szCs w:val="28"/>
          <w:lang w:val="uk-UA"/>
        </w:rPr>
        <w:t xml:space="preserve">Аналізуючи взаємозв’язки між </w:t>
      </w:r>
      <w:r>
        <w:rPr>
          <w:sz w:val="28"/>
          <w:szCs w:val="28"/>
          <w:lang w:val="en-US"/>
        </w:rPr>
        <w:t>L</w:t>
      </w:r>
      <w:r>
        <w:rPr>
          <w:sz w:val="28"/>
          <w:szCs w:val="28"/>
          <w:lang w:val="uk-UA"/>
        </w:rPr>
        <w:t xml:space="preserve">–карнітином та прозапальними цитокінами виявися сильний зворотній зв’язок між даними показниками. При оцінці отриманих результатів була виявлена обернена кореляційна залежність між </w:t>
      </w:r>
      <w:r>
        <w:rPr>
          <w:sz w:val="28"/>
          <w:szCs w:val="28"/>
          <w:lang w:val="en-US"/>
        </w:rPr>
        <w:t>L</w:t>
      </w:r>
      <w:r>
        <w:rPr>
          <w:sz w:val="28"/>
          <w:szCs w:val="28"/>
          <w:lang w:val="uk-UA"/>
        </w:rPr>
        <w:t xml:space="preserve">–карнітином та ФНП–α, як в </w:t>
      </w:r>
      <w:r w:rsidR="00DB3353">
        <w:rPr>
          <w:sz w:val="28"/>
          <w:szCs w:val="28"/>
          <w:lang w:val="uk-UA"/>
        </w:rPr>
        <w:t>1</w:t>
      </w:r>
      <w:r>
        <w:rPr>
          <w:sz w:val="28"/>
          <w:szCs w:val="28"/>
          <w:lang w:val="uk-UA"/>
        </w:rPr>
        <w:t xml:space="preserve">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0,76</w:t>
      </w:r>
      <w:r>
        <w:rPr>
          <w:sz w:val="28"/>
          <w:szCs w:val="28"/>
          <w:lang w:val="uk-UA"/>
        </w:rPr>
        <w:t>;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так і в </w:t>
      </w:r>
      <w:r w:rsidR="00DB3353">
        <w:rPr>
          <w:sz w:val="28"/>
          <w:szCs w:val="28"/>
          <w:lang w:val="uk-UA"/>
        </w:rPr>
        <w:t>2</w:t>
      </w:r>
      <w:r>
        <w:rPr>
          <w:sz w:val="28"/>
          <w:szCs w:val="28"/>
          <w:lang w:val="uk-UA"/>
        </w:rPr>
        <w:t xml:space="preserve"> групах (</w:t>
      </w:r>
      <w:r>
        <w:rPr>
          <w:sz w:val="28"/>
          <w:szCs w:val="28"/>
          <w:lang w:val="en-US"/>
        </w:rPr>
        <w:t>r</w:t>
      </w:r>
      <w:r w:rsidR="00DB3353">
        <w:rPr>
          <w:sz w:val="28"/>
          <w:szCs w:val="28"/>
          <w:lang w:val="uk-UA"/>
        </w:rPr>
        <w:t xml:space="preserve"> = – 0,78</w:t>
      </w:r>
      <w:r>
        <w:rPr>
          <w:sz w:val="28"/>
          <w:szCs w:val="28"/>
          <w:lang w:val="uk-UA"/>
        </w:rPr>
        <w:t>;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Рівень ІЛ–6 також мав зворотну кореляцію з </w:t>
      </w:r>
      <w:r>
        <w:rPr>
          <w:sz w:val="28"/>
          <w:szCs w:val="28"/>
          <w:lang w:val="en-US"/>
        </w:rPr>
        <w:t>L</w:t>
      </w:r>
      <w:r>
        <w:rPr>
          <w:sz w:val="28"/>
          <w:szCs w:val="28"/>
          <w:lang w:val="uk-UA"/>
        </w:rPr>
        <w:t xml:space="preserve">–карнітином. В </w:t>
      </w:r>
      <w:r w:rsidR="00DB3353">
        <w:rPr>
          <w:sz w:val="28"/>
          <w:szCs w:val="28"/>
          <w:lang w:val="uk-UA"/>
        </w:rPr>
        <w:t>1</w:t>
      </w:r>
      <w:r>
        <w:rPr>
          <w:sz w:val="28"/>
          <w:szCs w:val="28"/>
          <w:lang w:val="uk-UA"/>
        </w:rPr>
        <w:t xml:space="preserve"> групі коефіцієнт кореляції склав </w:t>
      </w:r>
      <w:r>
        <w:rPr>
          <w:sz w:val="28"/>
          <w:szCs w:val="28"/>
          <w:lang w:val="en-US"/>
        </w:rPr>
        <w:t>r</w:t>
      </w:r>
      <w:r w:rsidR="00DB3353">
        <w:rPr>
          <w:sz w:val="28"/>
          <w:szCs w:val="28"/>
          <w:lang w:val="uk-UA"/>
        </w:rPr>
        <w:t xml:space="preserve"> = – 0,81</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в </w:t>
      </w:r>
      <w:r w:rsidR="00DB3353">
        <w:rPr>
          <w:sz w:val="28"/>
          <w:szCs w:val="28"/>
          <w:lang w:val="uk-UA"/>
        </w:rPr>
        <w:t>2</w:t>
      </w:r>
      <w:r>
        <w:rPr>
          <w:sz w:val="28"/>
          <w:szCs w:val="28"/>
          <w:lang w:val="uk-UA"/>
        </w:rPr>
        <w:t xml:space="preserve"> – </w:t>
      </w:r>
      <w:r>
        <w:rPr>
          <w:sz w:val="28"/>
          <w:szCs w:val="28"/>
          <w:lang w:val="en-US"/>
        </w:rPr>
        <w:t>r</w:t>
      </w:r>
      <w:r w:rsidR="00DB3353">
        <w:rPr>
          <w:sz w:val="28"/>
          <w:szCs w:val="28"/>
          <w:lang w:val="uk-UA"/>
        </w:rPr>
        <w:t xml:space="preserve"> = – 0,76</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w:t>
      </w:r>
    </w:p>
    <w:p w:rsidR="007E691D" w:rsidRDefault="007E691D" w:rsidP="007E691D">
      <w:pPr>
        <w:spacing w:line="360" w:lineRule="auto"/>
        <w:ind w:firstLine="709"/>
        <w:jc w:val="both"/>
        <w:rPr>
          <w:sz w:val="28"/>
          <w:szCs w:val="28"/>
          <w:lang w:val="uk-UA"/>
        </w:rPr>
      </w:pPr>
      <w:r>
        <w:rPr>
          <w:sz w:val="28"/>
          <w:szCs w:val="28"/>
          <w:lang w:val="uk-UA"/>
        </w:rPr>
        <w:t xml:space="preserve">Також з’ясувалось, що рівень </w:t>
      </w:r>
      <w:r>
        <w:rPr>
          <w:sz w:val="28"/>
          <w:szCs w:val="28"/>
          <w:lang w:val="en-US"/>
        </w:rPr>
        <w:t>L</w:t>
      </w:r>
      <w:r>
        <w:rPr>
          <w:sz w:val="28"/>
          <w:szCs w:val="28"/>
          <w:lang w:val="uk-UA"/>
        </w:rPr>
        <w:t xml:space="preserve">–карнітину має сильну обернену кореляційну </w:t>
      </w:r>
      <w:r w:rsidR="00DB3353">
        <w:rPr>
          <w:sz w:val="28"/>
          <w:szCs w:val="28"/>
          <w:lang w:val="uk-UA"/>
        </w:rPr>
        <w:t>залежність</w:t>
      </w:r>
      <w:r>
        <w:rPr>
          <w:sz w:val="28"/>
          <w:szCs w:val="28"/>
          <w:lang w:val="uk-UA"/>
        </w:rPr>
        <w:t xml:space="preserve"> від маркерів клітинного пошкодження, зокрема АЛТ та АСТ. В </w:t>
      </w:r>
      <w:r w:rsidR="00DB3353">
        <w:rPr>
          <w:sz w:val="28"/>
          <w:szCs w:val="28"/>
          <w:lang w:val="uk-UA"/>
        </w:rPr>
        <w:t>1</w:t>
      </w:r>
      <w:r>
        <w:rPr>
          <w:sz w:val="28"/>
          <w:szCs w:val="28"/>
          <w:lang w:val="uk-UA"/>
        </w:rPr>
        <w:t xml:space="preserve"> групі хворих коефіцієнт кореляції між АЛТ та </w:t>
      </w:r>
      <w:r>
        <w:rPr>
          <w:sz w:val="28"/>
          <w:szCs w:val="28"/>
          <w:lang w:val="en-US"/>
        </w:rPr>
        <w:t>L</w:t>
      </w:r>
      <w:r>
        <w:rPr>
          <w:sz w:val="28"/>
          <w:szCs w:val="28"/>
          <w:lang w:val="uk-UA"/>
        </w:rPr>
        <w:t xml:space="preserve">–карнітином склав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0,7</w:t>
      </w:r>
      <w:r w:rsidR="00DB3353">
        <w:rPr>
          <w:sz w:val="28"/>
          <w:szCs w:val="28"/>
          <w:lang w:val="uk-UA"/>
        </w:rPr>
        <w:t>1</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в </w:t>
      </w:r>
      <w:r w:rsidR="00DB3353">
        <w:rPr>
          <w:sz w:val="28"/>
          <w:szCs w:val="28"/>
          <w:lang w:val="uk-UA"/>
        </w:rPr>
        <w:t>2</w:t>
      </w:r>
      <w:r>
        <w:rPr>
          <w:sz w:val="28"/>
          <w:szCs w:val="28"/>
          <w:lang w:val="uk-UA"/>
        </w:rPr>
        <w:t xml:space="preserve"> групі –  </w:t>
      </w:r>
      <w:r>
        <w:rPr>
          <w:sz w:val="28"/>
          <w:szCs w:val="28"/>
          <w:lang w:val="en-US"/>
        </w:rPr>
        <w:t>r</w:t>
      </w:r>
      <w:r w:rsidR="00DB3353">
        <w:rPr>
          <w:sz w:val="28"/>
          <w:szCs w:val="28"/>
          <w:lang w:val="uk-UA"/>
        </w:rPr>
        <w:t xml:space="preserve"> = – 0,76</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Показник АСТ в обох групах хворих мав зворотну кореляцію з </w:t>
      </w:r>
      <w:r>
        <w:rPr>
          <w:sz w:val="28"/>
          <w:szCs w:val="28"/>
          <w:lang w:val="en-US"/>
        </w:rPr>
        <w:t>L</w:t>
      </w:r>
      <w:r>
        <w:rPr>
          <w:sz w:val="28"/>
          <w:szCs w:val="28"/>
          <w:lang w:val="uk-UA"/>
        </w:rPr>
        <w:t xml:space="preserve">–карнітином: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0,7</w:t>
      </w:r>
      <w:r w:rsidR="00DB3353">
        <w:rPr>
          <w:sz w:val="28"/>
          <w:szCs w:val="28"/>
          <w:lang w:val="uk-UA"/>
        </w:rPr>
        <w:t>6</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в </w:t>
      </w:r>
      <w:r w:rsidR="00DB3353">
        <w:rPr>
          <w:sz w:val="28"/>
          <w:szCs w:val="28"/>
          <w:lang w:val="uk-UA"/>
        </w:rPr>
        <w:t>1</w:t>
      </w:r>
      <w:r>
        <w:rPr>
          <w:sz w:val="28"/>
          <w:szCs w:val="28"/>
          <w:lang w:val="uk-UA"/>
        </w:rPr>
        <w:t xml:space="preserve"> групі та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0,7</w:t>
      </w:r>
      <w:r w:rsidR="00DB3353">
        <w:rPr>
          <w:sz w:val="28"/>
          <w:szCs w:val="28"/>
          <w:lang w:val="uk-UA"/>
        </w:rPr>
        <w:t>9</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в </w:t>
      </w:r>
      <w:r w:rsidR="00DB3353">
        <w:rPr>
          <w:sz w:val="28"/>
          <w:szCs w:val="28"/>
          <w:lang w:val="uk-UA"/>
        </w:rPr>
        <w:t>2</w:t>
      </w:r>
      <w:r>
        <w:rPr>
          <w:sz w:val="28"/>
          <w:szCs w:val="28"/>
          <w:lang w:val="uk-UA"/>
        </w:rPr>
        <w:t xml:space="preserve"> групі хворих. Виявлені зміни свідчать що клітинне пошкодження гепатоцитів посилює карнітиновий дисбаланс.</w:t>
      </w:r>
    </w:p>
    <w:p w:rsidR="007E691D" w:rsidRDefault="007E691D" w:rsidP="007E691D">
      <w:pPr>
        <w:tabs>
          <w:tab w:val="left" w:pos="1440"/>
        </w:tabs>
        <w:spacing w:line="360" w:lineRule="auto"/>
        <w:ind w:firstLine="709"/>
        <w:jc w:val="both"/>
        <w:rPr>
          <w:sz w:val="28"/>
          <w:szCs w:val="28"/>
          <w:lang w:val="uk-UA"/>
        </w:rPr>
      </w:pPr>
      <w:r>
        <w:rPr>
          <w:sz w:val="28"/>
          <w:szCs w:val="28"/>
          <w:lang w:val="uk-UA"/>
        </w:rPr>
        <w:t>Вивчаючи рівень ГЦ сироватки крові нами було з’</w:t>
      </w:r>
      <w:r w:rsidRPr="00DB3353">
        <w:rPr>
          <w:sz w:val="28"/>
          <w:szCs w:val="28"/>
          <w:lang w:val="uk-UA"/>
        </w:rPr>
        <w:t>ясовано</w:t>
      </w:r>
      <w:r>
        <w:rPr>
          <w:sz w:val="28"/>
          <w:szCs w:val="28"/>
          <w:lang w:val="uk-UA"/>
        </w:rPr>
        <w:t xml:space="preserve">, що середній рівень ГЦ сироватки крові у хворих </w:t>
      </w:r>
      <w:r w:rsidR="00DB3353">
        <w:rPr>
          <w:sz w:val="28"/>
          <w:szCs w:val="28"/>
          <w:lang w:val="uk-UA"/>
        </w:rPr>
        <w:t>2</w:t>
      </w:r>
      <w:r>
        <w:rPr>
          <w:sz w:val="28"/>
          <w:szCs w:val="28"/>
          <w:lang w:val="uk-UA"/>
        </w:rPr>
        <w:t xml:space="preserve"> групи в 2,7 рази перевищував показники практично здорових осіб (р</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0,001). Тоді як в </w:t>
      </w:r>
      <w:r w:rsidR="00DB3353">
        <w:rPr>
          <w:sz w:val="28"/>
          <w:szCs w:val="28"/>
          <w:lang w:val="uk-UA"/>
        </w:rPr>
        <w:t>1</w:t>
      </w:r>
      <w:r>
        <w:rPr>
          <w:sz w:val="28"/>
          <w:szCs w:val="28"/>
          <w:lang w:val="uk-UA"/>
        </w:rPr>
        <w:t xml:space="preserve"> групі пацієнтів цей показник був в 4,5 рази вище показників контрольної групи (р</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0,001). Проводячи ранжирування рівнів ГЦ виявилось, що </w:t>
      </w:r>
      <w:r>
        <w:rPr>
          <w:sz w:val="28"/>
          <w:szCs w:val="28"/>
          <w:lang w:val="en-US"/>
        </w:rPr>
        <w:t>I</w:t>
      </w:r>
      <w:r>
        <w:rPr>
          <w:sz w:val="28"/>
          <w:szCs w:val="28"/>
          <w:lang w:val="uk-UA"/>
        </w:rPr>
        <w:t xml:space="preserve"> ступінь ГГЦ у хворих </w:t>
      </w:r>
      <w:r w:rsidR="00DB3353">
        <w:rPr>
          <w:sz w:val="28"/>
          <w:szCs w:val="28"/>
          <w:lang w:val="uk-UA"/>
        </w:rPr>
        <w:t>2</w:t>
      </w:r>
      <w:r>
        <w:rPr>
          <w:sz w:val="28"/>
          <w:szCs w:val="28"/>
          <w:lang w:val="uk-UA"/>
        </w:rPr>
        <w:t xml:space="preserve"> групи зустрічалась у 42,2</w:t>
      </w:r>
      <w:r w:rsidR="00DB3353">
        <w:rPr>
          <w:sz w:val="28"/>
          <w:szCs w:val="28"/>
          <w:lang w:val="uk-UA"/>
        </w:rPr>
        <w:t xml:space="preserve"> </w:t>
      </w:r>
      <w:r>
        <w:rPr>
          <w:sz w:val="28"/>
          <w:szCs w:val="28"/>
          <w:lang w:val="uk-UA"/>
        </w:rPr>
        <w:t xml:space="preserve">% пацієнтів, тоді як у </w:t>
      </w:r>
      <w:r w:rsidR="00DB3353">
        <w:rPr>
          <w:sz w:val="28"/>
          <w:szCs w:val="28"/>
          <w:lang w:val="uk-UA"/>
        </w:rPr>
        <w:t>1</w:t>
      </w:r>
      <w:r>
        <w:rPr>
          <w:sz w:val="28"/>
          <w:szCs w:val="28"/>
          <w:lang w:val="uk-UA"/>
        </w:rPr>
        <w:t xml:space="preserve"> групі пацієнтів цей показник достеменно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0,001) нижчий  – 17,5</w:t>
      </w:r>
      <w:r w:rsidR="00DB3353">
        <w:rPr>
          <w:sz w:val="28"/>
          <w:szCs w:val="28"/>
          <w:lang w:val="uk-UA"/>
        </w:rPr>
        <w:t xml:space="preserve"> </w:t>
      </w:r>
      <w:r>
        <w:rPr>
          <w:sz w:val="28"/>
          <w:szCs w:val="28"/>
          <w:lang w:val="uk-UA"/>
        </w:rPr>
        <w:t xml:space="preserve">% хворих. </w:t>
      </w:r>
      <w:r>
        <w:rPr>
          <w:sz w:val="28"/>
          <w:szCs w:val="28"/>
          <w:lang w:val="uk-UA"/>
        </w:rPr>
        <w:lastRenderedPageBreak/>
        <w:t>II ступень ГГЦ достовірно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0,001) частіше зустрічалась в </w:t>
      </w:r>
      <w:r w:rsidR="00DB3353">
        <w:rPr>
          <w:sz w:val="28"/>
          <w:szCs w:val="28"/>
          <w:lang w:val="uk-UA"/>
        </w:rPr>
        <w:t>1</w:t>
      </w:r>
      <w:r>
        <w:rPr>
          <w:sz w:val="28"/>
          <w:szCs w:val="28"/>
          <w:lang w:val="uk-UA"/>
        </w:rPr>
        <w:t xml:space="preserve"> групі  – 82,5</w:t>
      </w:r>
      <w:r w:rsidR="00DB3353">
        <w:rPr>
          <w:sz w:val="28"/>
          <w:szCs w:val="28"/>
          <w:lang w:val="uk-UA"/>
        </w:rPr>
        <w:t xml:space="preserve"> </w:t>
      </w:r>
      <w:r>
        <w:rPr>
          <w:sz w:val="28"/>
          <w:szCs w:val="28"/>
          <w:lang w:val="uk-UA"/>
        </w:rPr>
        <w:t xml:space="preserve">% пацієнта, ніж в </w:t>
      </w:r>
      <w:r w:rsidR="00DB3353">
        <w:rPr>
          <w:sz w:val="28"/>
          <w:szCs w:val="28"/>
          <w:lang w:val="uk-UA"/>
        </w:rPr>
        <w:t>2</w:t>
      </w:r>
      <w:r>
        <w:rPr>
          <w:sz w:val="28"/>
          <w:szCs w:val="28"/>
          <w:lang w:val="uk-UA"/>
        </w:rPr>
        <w:t xml:space="preserve"> – 57,8</w:t>
      </w:r>
      <w:r w:rsidR="00DB3353">
        <w:rPr>
          <w:sz w:val="28"/>
          <w:szCs w:val="28"/>
          <w:lang w:val="uk-UA"/>
        </w:rPr>
        <w:t xml:space="preserve"> </w:t>
      </w:r>
      <w:r>
        <w:rPr>
          <w:sz w:val="28"/>
          <w:szCs w:val="28"/>
          <w:lang w:val="uk-UA"/>
        </w:rPr>
        <w:t>%. III ступень ГГЦ не було виявлено ні в одного хворого. Встановлено, що вміст ГЦ сироватки крові у хворих обох груп залежав від статі – рівень ГЦ був вірогідно вищім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0,05) у чоловіків, ніж у жінок. Концентрація ГЦ вірогідно підвищувалась по мірі збільшення віку. В </w:t>
      </w:r>
      <w:r w:rsidR="00DB3353">
        <w:rPr>
          <w:sz w:val="28"/>
          <w:szCs w:val="28"/>
          <w:lang w:val="uk-UA"/>
        </w:rPr>
        <w:t>2</w:t>
      </w:r>
      <w:r>
        <w:rPr>
          <w:sz w:val="28"/>
          <w:szCs w:val="28"/>
          <w:lang w:val="uk-UA"/>
        </w:rPr>
        <w:t xml:space="preserve"> групі хворих у віці до 40 років рівень ГЦ був достеменно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0,05) нижчім, ніж у віковій групі старших за 40 років. В </w:t>
      </w:r>
      <w:r w:rsidR="00DB3353">
        <w:rPr>
          <w:sz w:val="28"/>
          <w:szCs w:val="28"/>
          <w:lang w:val="uk-UA"/>
        </w:rPr>
        <w:t>1</w:t>
      </w:r>
      <w:r>
        <w:rPr>
          <w:sz w:val="28"/>
          <w:szCs w:val="28"/>
          <w:lang w:val="uk-UA"/>
        </w:rPr>
        <w:t xml:space="preserve"> групі ці відмінності були ще більш виразними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0,001).</w:t>
      </w:r>
    </w:p>
    <w:p w:rsidR="007E691D" w:rsidRDefault="007E691D" w:rsidP="00DB3353">
      <w:pPr>
        <w:spacing w:line="360" w:lineRule="auto"/>
        <w:ind w:firstLine="709"/>
        <w:jc w:val="both"/>
        <w:rPr>
          <w:sz w:val="28"/>
          <w:szCs w:val="28"/>
          <w:lang w:val="uk-UA"/>
        </w:rPr>
      </w:pPr>
      <w:r>
        <w:rPr>
          <w:sz w:val="28"/>
          <w:szCs w:val="28"/>
          <w:lang w:val="uk-UA"/>
        </w:rPr>
        <w:t xml:space="preserve">Доведено зростання ГГЦ паралельно збільшенню тривалості захворювання. </w:t>
      </w:r>
      <w:r w:rsidR="00DB3353">
        <w:rPr>
          <w:sz w:val="28"/>
          <w:szCs w:val="28"/>
          <w:lang w:val="uk-UA"/>
        </w:rPr>
        <w:t>У пацієнтів з супутнім ЦД 2 типу рівень ГЦ був достовірно вище при тривалості хвороби більше 5 років (</w:t>
      </w:r>
      <w:r w:rsidR="00DB3353">
        <w:rPr>
          <w:sz w:val="28"/>
          <w:szCs w:val="28"/>
        </w:rPr>
        <w:t>p</w:t>
      </w:r>
      <w:r w:rsidR="00DB3353">
        <w:rPr>
          <w:sz w:val="28"/>
          <w:szCs w:val="28"/>
          <w:lang w:val="uk-UA"/>
        </w:rPr>
        <w:t xml:space="preserve"> &lt; 0,001), що свідчить про зростання ГГЦ на фоні метаболічних порушень.  </w:t>
      </w:r>
      <w:r>
        <w:rPr>
          <w:sz w:val="28"/>
          <w:szCs w:val="28"/>
          <w:lang w:val="uk-UA"/>
        </w:rPr>
        <w:t>Концентрація ГЦ вірогідно підвищувалась у хворих НАСГ з тривалістю захворювання більше 10 років (</w:t>
      </w:r>
      <w:r>
        <w:rPr>
          <w:sz w:val="28"/>
          <w:szCs w:val="28"/>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0,05), що пов’язано з прогресуванням хвороби. </w:t>
      </w:r>
    </w:p>
    <w:p w:rsidR="007E691D" w:rsidRDefault="007E691D" w:rsidP="007E691D">
      <w:pPr>
        <w:tabs>
          <w:tab w:val="left" w:pos="1440"/>
        </w:tabs>
        <w:spacing w:line="360" w:lineRule="auto"/>
        <w:ind w:firstLine="709"/>
        <w:jc w:val="both"/>
        <w:rPr>
          <w:sz w:val="28"/>
          <w:szCs w:val="28"/>
          <w:lang w:val="uk-UA"/>
        </w:rPr>
      </w:pPr>
      <w:r>
        <w:rPr>
          <w:sz w:val="28"/>
          <w:szCs w:val="28"/>
          <w:lang w:val="uk-UA"/>
        </w:rPr>
        <w:t>Вміст прозапальних цитокінів та маркерів клітинного пошкодження  печінки вірогідно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0,001) зростав зі ступенем ГГЦ. Підтвердженням причетності ГГЦ до розвитку системного запалення є  виявлена нами кореляційна залежність між ГЦ та ФНП–α, як в </w:t>
      </w:r>
      <w:r w:rsidR="00DB3353">
        <w:rPr>
          <w:sz w:val="28"/>
          <w:szCs w:val="28"/>
          <w:lang w:val="uk-UA"/>
        </w:rPr>
        <w:t>1</w:t>
      </w:r>
      <w:r>
        <w:rPr>
          <w:sz w:val="28"/>
          <w:szCs w:val="28"/>
          <w:lang w:val="uk-UA"/>
        </w:rPr>
        <w:t xml:space="preserve"> (</w:t>
      </w:r>
      <w:r>
        <w:rPr>
          <w:sz w:val="28"/>
          <w:szCs w:val="28"/>
          <w:lang w:val="en-US"/>
        </w:rPr>
        <w:t>r</w:t>
      </w:r>
      <w:r>
        <w:rPr>
          <w:sz w:val="28"/>
          <w:szCs w:val="28"/>
          <w:lang w:val="uk-UA"/>
        </w:rPr>
        <w:t xml:space="preserve"> =</w:t>
      </w:r>
      <w:r w:rsidR="00DB3353">
        <w:rPr>
          <w:sz w:val="28"/>
          <w:szCs w:val="28"/>
          <w:lang w:val="uk-UA"/>
        </w:rPr>
        <w:t xml:space="preserve"> 0,</w:t>
      </w:r>
      <w:r>
        <w:rPr>
          <w:sz w:val="28"/>
          <w:szCs w:val="28"/>
          <w:lang w:val="uk-UA"/>
        </w:rPr>
        <w:t>6</w:t>
      </w:r>
      <w:r w:rsidR="00DB3353">
        <w:rPr>
          <w:sz w:val="28"/>
          <w:szCs w:val="28"/>
          <w:lang w:val="uk-UA"/>
        </w:rPr>
        <w:t>8</w:t>
      </w:r>
      <w:r>
        <w:rPr>
          <w:sz w:val="28"/>
          <w:szCs w:val="28"/>
          <w:lang w:val="uk-UA"/>
        </w:rPr>
        <w:t>;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так і в </w:t>
      </w:r>
      <w:r w:rsidR="00DB3353">
        <w:rPr>
          <w:sz w:val="28"/>
          <w:szCs w:val="28"/>
          <w:lang w:val="uk-UA"/>
        </w:rPr>
        <w:t>2</w:t>
      </w:r>
      <w:r>
        <w:rPr>
          <w:sz w:val="28"/>
          <w:szCs w:val="28"/>
          <w:lang w:val="uk-UA"/>
        </w:rPr>
        <w:t xml:space="preserve"> групах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0,</w:t>
      </w:r>
      <w:r w:rsidR="00DB3353">
        <w:rPr>
          <w:sz w:val="28"/>
          <w:szCs w:val="28"/>
          <w:lang w:val="uk-UA"/>
        </w:rPr>
        <w:t>7</w:t>
      </w:r>
      <w:r>
        <w:rPr>
          <w:sz w:val="28"/>
          <w:szCs w:val="28"/>
          <w:lang w:val="uk-UA"/>
        </w:rPr>
        <w:t>6;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Рівень ІЛ–6 також мав сильний кореляційний зв’язок з ГЦ. В </w:t>
      </w:r>
      <w:r w:rsidR="00DB3353">
        <w:rPr>
          <w:sz w:val="28"/>
          <w:szCs w:val="28"/>
          <w:lang w:val="uk-UA"/>
        </w:rPr>
        <w:t>1</w:t>
      </w:r>
      <w:r>
        <w:rPr>
          <w:sz w:val="28"/>
          <w:szCs w:val="28"/>
          <w:lang w:val="uk-UA"/>
        </w:rPr>
        <w:t xml:space="preserve"> групі коефіцієнт кореляції склав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0,7</w:t>
      </w:r>
      <w:r w:rsidR="00DB3353">
        <w:rPr>
          <w:sz w:val="28"/>
          <w:szCs w:val="28"/>
          <w:lang w:val="uk-UA"/>
        </w:rPr>
        <w:t>3</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в </w:t>
      </w:r>
      <w:r w:rsidR="00DB3353">
        <w:rPr>
          <w:sz w:val="28"/>
          <w:szCs w:val="28"/>
          <w:lang w:val="uk-UA"/>
        </w:rPr>
        <w:t>2</w:t>
      </w:r>
      <w:r>
        <w:rPr>
          <w:sz w:val="28"/>
          <w:szCs w:val="28"/>
          <w:lang w:val="uk-UA"/>
        </w:rPr>
        <w:t xml:space="preserve"> – </w:t>
      </w:r>
      <w:r>
        <w:rPr>
          <w:sz w:val="28"/>
          <w:szCs w:val="28"/>
          <w:lang w:val="en-US"/>
        </w:rPr>
        <w:t>r</w:t>
      </w:r>
      <w:r w:rsidR="00DB3353">
        <w:rPr>
          <w:sz w:val="28"/>
          <w:szCs w:val="28"/>
          <w:lang w:val="uk-UA"/>
        </w:rPr>
        <w:t xml:space="preserve"> = 0,75</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0,01). Окрім того, вміст прозапальних цитокінів та маркерів клітинного пошкодження  печінки вірогідно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0,001) зростав зі ступенем ГГЦ.</w:t>
      </w:r>
    </w:p>
    <w:p w:rsidR="007E691D" w:rsidRDefault="007E691D" w:rsidP="007E691D">
      <w:pPr>
        <w:spacing w:line="360" w:lineRule="auto"/>
        <w:ind w:firstLine="709"/>
        <w:jc w:val="both"/>
        <w:rPr>
          <w:sz w:val="28"/>
          <w:szCs w:val="28"/>
          <w:lang w:val="uk-UA"/>
        </w:rPr>
      </w:pPr>
      <w:r>
        <w:rPr>
          <w:sz w:val="28"/>
          <w:szCs w:val="28"/>
          <w:lang w:val="uk-UA"/>
        </w:rPr>
        <w:t xml:space="preserve">З’ясувалось, що вміст </w:t>
      </w:r>
      <w:r>
        <w:rPr>
          <w:sz w:val="28"/>
          <w:szCs w:val="28"/>
          <w:lang w:val="en-US"/>
        </w:rPr>
        <w:t>NO</w:t>
      </w:r>
      <w:r>
        <w:rPr>
          <w:sz w:val="28"/>
          <w:szCs w:val="28"/>
          <w:lang w:val="uk-UA"/>
        </w:rPr>
        <w:t xml:space="preserve"> та МДА виявляв тенденцію до зростання у пацієнтів обох груп залежно від ступеню ГГЦ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0,001). Нами виявлені прямі кореляційні залежності між ГЦ та </w:t>
      </w:r>
      <w:r>
        <w:rPr>
          <w:sz w:val="28"/>
          <w:szCs w:val="28"/>
          <w:lang w:val="en-US"/>
        </w:rPr>
        <w:t>NO</w:t>
      </w:r>
      <w:r>
        <w:rPr>
          <w:sz w:val="28"/>
          <w:szCs w:val="28"/>
          <w:lang w:val="uk-UA"/>
        </w:rPr>
        <w:t xml:space="preserve"> і МДА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Статистично достовірний кореляційний зв’язок спостерігався між ГЦ та </w:t>
      </w:r>
      <w:r>
        <w:rPr>
          <w:sz w:val="28"/>
          <w:szCs w:val="28"/>
          <w:lang w:val="en-US"/>
        </w:rPr>
        <w:t>NO</w:t>
      </w:r>
      <w:r>
        <w:rPr>
          <w:sz w:val="28"/>
          <w:szCs w:val="28"/>
          <w:lang w:val="uk-UA"/>
        </w:rPr>
        <w:t xml:space="preserve"> в </w:t>
      </w:r>
      <w:r w:rsidR="00DB3353">
        <w:rPr>
          <w:sz w:val="28"/>
          <w:szCs w:val="28"/>
          <w:lang w:val="uk-UA"/>
        </w:rPr>
        <w:t>1</w:t>
      </w:r>
      <w:r>
        <w:rPr>
          <w:sz w:val="28"/>
          <w:szCs w:val="28"/>
          <w:lang w:val="uk-UA"/>
        </w:rPr>
        <w:t xml:space="preserve"> – </w:t>
      </w:r>
      <w:r>
        <w:rPr>
          <w:sz w:val="28"/>
          <w:szCs w:val="28"/>
          <w:lang w:val="en-US"/>
        </w:rPr>
        <w:t>r</w:t>
      </w:r>
      <w:r>
        <w:rPr>
          <w:sz w:val="28"/>
          <w:szCs w:val="28"/>
          <w:lang w:val="uk-UA"/>
        </w:rPr>
        <w:t xml:space="preserve"> </w:t>
      </w:r>
      <w:r>
        <w:rPr>
          <w:sz w:val="28"/>
          <w:szCs w:val="28"/>
        </w:rPr>
        <w:t>=</w:t>
      </w:r>
      <w:r w:rsidR="00DB3353">
        <w:rPr>
          <w:sz w:val="28"/>
          <w:szCs w:val="28"/>
          <w:lang w:val="uk-UA"/>
        </w:rPr>
        <w:t xml:space="preserve"> </w:t>
      </w:r>
      <w:r>
        <w:rPr>
          <w:sz w:val="28"/>
          <w:szCs w:val="28"/>
          <w:lang w:val="uk-UA"/>
        </w:rPr>
        <w:t>0,7</w:t>
      </w:r>
      <w:r w:rsidR="00DB3353">
        <w:rPr>
          <w:sz w:val="28"/>
          <w:szCs w:val="28"/>
          <w:lang w:val="uk-UA"/>
        </w:rPr>
        <w:t>0</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та </w:t>
      </w:r>
      <w:r w:rsidR="00DB3353">
        <w:rPr>
          <w:sz w:val="28"/>
          <w:szCs w:val="28"/>
          <w:lang w:val="uk-UA"/>
        </w:rPr>
        <w:t>2</w:t>
      </w:r>
      <w:r>
        <w:rPr>
          <w:sz w:val="28"/>
          <w:szCs w:val="28"/>
          <w:lang w:val="uk-UA"/>
        </w:rPr>
        <w:t xml:space="preserve">  – </w:t>
      </w:r>
      <w:r>
        <w:rPr>
          <w:sz w:val="28"/>
          <w:szCs w:val="28"/>
          <w:lang w:val="en-US"/>
        </w:rPr>
        <w:t>r</w:t>
      </w:r>
      <w:r>
        <w:rPr>
          <w:sz w:val="28"/>
          <w:szCs w:val="28"/>
          <w:lang w:val="uk-UA"/>
        </w:rPr>
        <w:t xml:space="preserve"> </w:t>
      </w:r>
      <w:r>
        <w:rPr>
          <w:sz w:val="28"/>
          <w:szCs w:val="28"/>
        </w:rPr>
        <w:t>=</w:t>
      </w:r>
      <w:r w:rsidR="00DB3353">
        <w:rPr>
          <w:sz w:val="28"/>
          <w:szCs w:val="28"/>
          <w:lang w:val="uk-UA"/>
        </w:rPr>
        <w:t xml:space="preserve"> </w:t>
      </w:r>
      <w:r>
        <w:rPr>
          <w:sz w:val="28"/>
          <w:szCs w:val="28"/>
          <w:lang w:val="uk-UA"/>
        </w:rPr>
        <w:t>0,7</w:t>
      </w:r>
      <w:r w:rsidR="00DB3353">
        <w:rPr>
          <w:sz w:val="28"/>
          <w:szCs w:val="28"/>
          <w:lang w:val="uk-UA"/>
        </w:rPr>
        <w:t>4</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групах. Також пряма кореляційна залежність мала місце між ГЦ та МДА в </w:t>
      </w:r>
      <w:r w:rsidR="00DB3353">
        <w:rPr>
          <w:sz w:val="28"/>
          <w:szCs w:val="28"/>
          <w:lang w:val="uk-UA"/>
        </w:rPr>
        <w:t>1</w:t>
      </w:r>
      <w:r>
        <w:rPr>
          <w:sz w:val="28"/>
          <w:szCs w:val="28"/>
          <w:lang w:val="uk-UA"/>
        </w:rPr>
        <w:t xml:space="preserve"> та </w:t>
      </w:r>
      <w:r w:rsidR="00DB3353">
        <w:rPr>
          <w:sz w:val="28"/>
          <w:szCs w:val="28"/>
          <w:lang w:val="uk-UA"/>
        </w:rPr>
        <w:t>2</w:t>
      </w:r>
      <w:r>
        <w:rPr>
          <w:sz w:val="28"/>
          <w:szCs w:val="28"/>
          <w:lang w:val="uk-UA"/>
        </w:rPr>
        <w:t xml:space="preserve"> групах: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0,76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та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0,76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0,01) відповідно.</w:t>
      </w:r>
    </w:p>
    <w:p w:rsidR="007E691D" w:rsidRDefault="007E691D" w:rsidP="007E691D">
      <w:pPr>
        <w:spacing w:line="360" w:lineRule="auto"/>
        <w:ind w:firstLine="709"/>
        <w:jc w:val="both"/>
        <w:rPr>
          <w:sz w:val="28"/>
          <w:szCs w:val="28"/>
          <w:lang w:val="uk-UA"/>
        </w:rPr>
      </w:pPr>
      <w:r>
        <w:rPr>
          <w:sz w:val="28"/>
          <w:szCs w:val="28"/>
          <w:lang w:val="uk-UA"/>
        </w:rPr>
        <w:t>Отримані результати свідчать про прогресування імунних порушень на тлі ГГЦ, які призводять до оксидативного стресу та посилення запального процесу в печінці.</w:t>
      </w:r>
    </w:p>
    <w:p w:rsidR="007E691D" w:rsidRDefault="007E691D" w:rsidP="007E691D">
      <w:pPr>
        <w:tabs>
          <w:tab w:val="left" w:pos="1440"/>
        </w:tabs>
        <w:spacing w:line="360" w:lineRule="auto"/>
        <w:ind w:firstLine="709"/>
        <w:jc w:val="both"/>
        <w:rPr>
          <w:sz w:val="28"/>
          <w:szCs w:val="28"/>
          <w:lang w:val="uk-UA"/>
        </w:rPr>
      </w:pPr>
      <w:r>
        <w:rPr>
          <w:sz w:val="28"/>
          <w:szCs w:val="28"/>
          <w:lang w:val="uk-UA"/>
        </w:rPr>
        <w:lastRenderedPageBreak/>
        <w:t xml:space="preserve">Встановлений сильний обернений кореляційний зв’язок між рівнем ГЦ та </w:t>
      </w:r>
      <w:r>
        <w:rPr>
          <w:sz w:val="28"/>
          <w:szCs w:val="28"/>
          <w:lang w:val="en-US"/>
        </w:rPr>
        <w:t>L</w:t>
      </w:r>
      <w:r>
        <w:rPr>
          <w:sz w:val="28"/>
          <w:szCs w:val="28"/>
          <w:lang w:val="uk-UA"/>
        </w:rPr>
        <w:t xml:space="preserve">–карнітину сироватки крові у хворих обох груп. В </w:t>
      </w:r>
      <w:r w:rsidR="00DB3353">
        <w:rPr>
          <w:sz w:val="28"/>
          <w:szCs w:val="28"/>
          <w:lang w:val="uk-UA"/>
        </w:rPr>
        <w:t>1</w:t>
      </w:r>
      <w:r>
        <w:rPr>
          <w:sz w:val="28"/>
          <w:szCs w:val="28"/>
          <w:lang w:val="uk-UA"/>
        </w:rPr>
        <w:t xml:space="preserve"> групі хворих коефіцієнт кореляції між ГЦ та </w:t>
      </w:r>
      <w:r>
        <w:rPr>
          <w:sz w:val="28"/>
          <w:szCs w:val="28"/>
          <w:lang w:val="en-US"/>
        </w:rPr>
        <w:t>L</w:t>
      </w:r>
      <w:r>
        <w:rPr>
          <w:sz w:val="28"/>
          <w:szCs w:val="28"/>
          <w:lang w:val="uk-UA"/>
        </w:rPr>
        <w:t xml:space="preserve">–карнітином склав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0,7</w:t>
      </w:r>
      <w:r w:rsidR="00DB3353">
        <w:rPr>
          <w:sz w:val="28"/>
          <w:szCs w:val="28"/>
          <w:lang w:val="uk-UA"/>
        </w:rPr>
        <w:t>3</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 xml:space="preserve">0,01), в </w:t>
      </w:r>
      <w:r w:rsidR="00DB3353">
        <w:rPr>
          <w:sz w:val="28"/>
          <w:szCs w:val="28"/>
          <w:lang w:val="uk-UA"/>
        </w:rPr>
        <w:t>2</w:t>
      </w:r>
      <w:r>
        <w:rPr>
          <w:sz w:val="28"/>
          <w:szCs w:val="28"/>
          <w:lang w:val="uk-UA"/>
        </w:rPr>
        <w:t xml:space="preserve"> групі –  </w:t>
      </w:r>
      <w:r>
        <w:rPr>
          <w:sz w:val="28"/>
          <w:szCs w:val="28"/>
          <w:lang w:val="en-US"/>
        </w:rPr>
        <w:t>r</w:t>
      </w:r>
      <w:r>
        <w:rPr>
          <w:sz w:val="28"/>
          <w:szCs w:val="28"/>
          <w:lang w:val="uk-UA"/>
        </w:rPr>
        <w:t xml:space="preserve"> =</w:t>
      </w:r>
      <w:r w:rsidR="00DB3353">
        <w:rPr>
          <w:sz w:val="28"/>
          <w:szCs w:val="28"/>
          <w:lang w:val="uk-UA"/>
        </w:rPr>
        <w:t xml:space="preserve"> </w:t>
      </w:r>
      <w:r>
        <w:rPr>
          <w:sz w:val="28"/>
          <w:szCs w:val="28"/>
          <w:lang w:val="uk-UA"/>
        </w:rPr>
        <w:t>–</w:t>
      </w:r>
      <w:r w:rsidR="00DB3353">
        <w:rPr>
          <w:sz w:val="28"/>
          <w:szCs w:val="28"/>
          <w:lang w:val="uk-UA"/>
        </w:rPr>
        <w:t xml:space="preserve"> </w:t>
      </w:r>
      <w:r>
        <w:rPr>
          <w:sz w:val="28"/>
          <w:szCs w:val="28"/>
          <w:lang w:val="uk-UA"/>
        </w:rPr>
        <w:t>0,7</w:t>
      </w:r>
      <w:r w:rsidR="00DB3353">
        <w:rPr>
          <w:sz w:val="28"/>
          <w:szCs w:val="28"/>
          <w:lang w:val="uk-UA"/>
        </w:rPr>
        <w:t>4</w:t>
      </w:r>
      <w:r>
        <w:rPr>
          <w:sz w:val="28"/>
          <w:szCs w:val="28"/>
          <w:lang w:val="uk-UA"/>
        </w:rPr>
        <w:t xml:space="preserve"> (</w:t>
      </w:r>
      <w:r>
        <w:rPr>
          <w:sz w:val="28"/>
          <w:szCs w:val="28"/>
          <w:lang w:val="en-US"/>
        </w:rPr>
        <w:t>p</w:t>
      </w:r>
      <w:r w:rsidR="00DB3353">
        <w:rPr>
          <w:sz w:val="28"/>
          <w:szCs w:val="28"/>
          <w:lang w:val="uk-UA"/>
        </w:rPr>
        <w:t xml:space="preserve"> </w:t>
      </w:r>
      <w:r>
        <w:rPr>
          <w:sz w:val="28"/>
          <w:szCs w:val="28"/>
          <w:lang w:val="uk-UA"/>
        </w:rPr>
        <w:t>&lt;</w:t>
      </w:r>
      <w:r w:rsidR="00DB3353">
        <w:rPr>
          <w:sz w:val="28"/>
          <w:szCs w:val="28"/>
          <w:lang w:val="uk-UA"/>
        </w:rPr>
        <w:t xml:space="preserve"> </w:t>
      </w:r>
      <w:r>
        <w:rPr>
          <w:sz w:val="28"/>
          <w:szCs w:val="28"/>
          <w:lang w:val="uk-UA"/>
        </w:rPr>
        <w:t>0,01). Дослідження засвідчили причетність ГЦ до розвитку карнітинової недостатності шляхом реалізації ліпотоксичного ефекту, що веде до порушення структури і функції мембран та порушення транспорту довголанцюжкових жирних кислот через внутрішню мембрану мітохондрій.</w:t>
      </w:r>
    </w:p>
    <w:p w:rsidR="007E691D" w:rsidRDefault="007E691D" w:rsidP="007E691D">
      <w:pPr>
        <w:tabs>
          <w:tab w:val="left" w:pos="1440"/>
        </w:tabs>
        <w:spacing w:line="360" w:lineRule="auto"/>
        <w:ind w:firstLine="709"/>
        <w:jc w:val="both"/>
        <w:rPr>
          <w:sz w:val="28"/>
          <w:szCs w:val="28"/>
          <w:lang w:val="uk-UA"/>
        </w:rPr>
      </w:pPr>
      <w:r>
        <w:rPr>
          <w:sz w:val="28"/>
          <w:szCs w:val="28"/>
          <w:lang w:val="uk-UA"/>
        </w:rPr>
        <w:t xml:space="preserve">Одже, аналізуючи результати досліджень, можна стверджувати про існування тісного взаємозв’язку між патогенетичними ланками </w:t>
      </w:r>
      <w:r>
        <w:rPr>
          <w:sz w:val="28"/>
          <w:szCs w:val="28"/>
          <w:lang w:val="en-US"/>
        </w:rPr>
        <w:t>L</w:t>
      </w:r>
      <w:r>
        <w:rPr>
          <w:sz w:val="28"/>
          <w:szCs w:val="28"/>
          <w:lang w:val="uk-UA"/>
        </w:rPr>
        <w:t>–карнітин – ГГЦ – прозапальні цитокіни – ліпотоксичний стрес.</w:t>
      </w:r>
    </w:p>
    <w:p w:rsidR="007E691D" w:rsidRDefault="007E691D" w:rsidP="007E691D">
      <w:pPr>
        <w:tabs>
          <w:tab w:val="left" w:pos="1440"/>
        </w:tabs>
        <w:spacing w:line="360" w:lineRule="auto"/>
        <w:ind w:firstLine="709"/>
        <w:jc w:val="both"/>
        <w:rPr>
          <w:sz w:val="28"/>
          <w:szCs w:val="28"/>
          <w:lang w:val="uk-UA"/>
        </w:rPr>
      </w:pPr>
      <w:r>
        <w:rPr>
          <w:sz w:val="28"/>
          <w:szCs w:val="28"/>
          <w:lang w:val="uk-UA"/>
        </w:rPr>
        <w:t xml:space="preserve">З урахуванням порушень, зокрема, карнітинової недостатності, ГГЦ, гіперпродукції прозапальних цитокінів, оксиду азоту та МДА при НАСГ </w:t>
      </w:r>
      <w:r w:rsidR="00DB3353">
        <w:rPr>
          <w:sz w:val="28"/>
          <w:szCs w:val="28"/>
          <w:lang w:val="uk-UA"/>
        </w:rPr>
        <w:t xml:space="preserve">впоєднанні з ЦД 2 типу </w:t>
      </w:r>
      <w:r>
        <w:rPr>
          <w:sz w:val="28"/>
          <w:szCs w:val="28"/>
          <w:lang w:val="uk-UA"/>
        </w:rPr>
        <w:t xml:space="preserve">була розроблена схема лікування даної патології з використанням комбінації лікарських засобів, яка усуває дефіцит </w:t>
      </w:r>
      <w:r>
        <w:rPr>
          <w:sz w:val="28"/>
          <w:szCs w:val="28"/>
          <w:lang w:val="en-US"/>
        </w:rPr>
        <w:t>L</w:t>
      </w:r>
      <w:r>
        <w:rPr>
          <w:sz w:val="28"/>
          <w:szCs w:val="28"/>
          <w:lang w:val="uk-UA"/>
        </w:rPr>
        <w:t>–карнітину, знижує рівень ГЦ, володіє імуномодулюючею та антиоксидантною активністю, має протизапальний ефект, усуває клінічні прояви захворювання.</w:t>
      </w:r>
    </w:p>
    <w:p w:rsidR="007E691D" w:rsidRDefault="007E691D" w:rsidP="007E691D">
      <w:pPr>
        <w:spacing w:line="360" w:lineRule="auto"/>
        <w:ind w:firstLine="709"/>
        <w:jc w:val="both"/>
        <w:rPr>
          <w:sz w:val="28"/>
          <w:szCs w:val="28"/>
          <w:lang w:val="uk-UA"/>
        </w:rPr>
      </w:pPr>
      <w:r>
        <w:rPr>
          <w:sz w:val="28"/>
          <w:szCs w:val="28"/>
          <w:lang w:val="uk-UA"/>
        </w:rPr>
        <w:t xml:space="preserve">Всі хворі отримували рекомендації по належній дієті та модифікації способу життя. Була призначена комплексна терапія яка включала: препарат </w:t>
      </w:r>
      <w:r>
        <w:rPr>
          <w:sz w:val="28"/>
          <w:szCs w:val="28"/>
          <w:lang w:val="en-US"/>
        </w:rPr>
        <w:t>L</w:t>
      </w:r>
      <w:r>
        <w:rPr>
          <w:sz w:val="28"/>
          <w:szCs w:val="28"/>
        </w:rPr>
        <w:t>–карнітину</w:t>
      </w:r>
      <w:r>
        <w:rPr>
          <w:sz w:val="28"/>
          <w:szCs w:val="28"/>
          <w:lang w:val="uk-UA"/>
        </w:rPr>
        <w:t xml:space="preserve"> в дозі 2 капсули 3 рази на добу (457,2 мг карнітину), </w:t>
      </w:r>
      <w:r>
        <w:rPr>
          <w:sz w:val="28"/>
          <w:szCs w:val="28"/>
          <w:shd w:val="clear" w:color="auto" w:fill="FFFFFF"/>
          <w:lang w:val="uk-UA"/>
        </w:rPr>
        <w:t>депротеїнізований гемодериват крові телят</w:t>
      </w:r>
      <w:r>
        <w:rPr>
          <w:sz w:val="28"/>
          <w:szCs w:val="28"/>
          <w:lang w:val="uk-UA"/>
        </w:rPr>
        <w:t xml:space="preserve"> розчин для інфузій 10% (1000мг) 250 мл у фізіологічному розчині протягом 10 днів, з подальшим переходом на прийом препарату всередину по 1 таблетці 3 рази на добу (600мг), фолієва кислота в дозі 1 таблетка 2 рази на добу (10 мг). Курс лікування 1 місяць.</w:t>
      </w:r>
    </w:p>
    <w:p w:rsidR="007E691D" w:rsidRDefault="007E691D" w:rsidP="007E691D">
      <w:pPr>
        <w:spacing w:line="360" w:lineRule="auto"/>
        <w:ind w:firstLine="709"/>
        <w:jc w:val="both"/>
        <w:rPr>
          <w:sz w:val="28"/>
          <w:szCs w:val="28"/>
          <w:lang w:val="uk-UA"/>
        </w:rPr>
      </w:pPr>
      <w:r>
        <w:rPr>
          <w:sz w:val="28"/>
          <w:szCs w:val="28"/>
          <w:lang w:val="uk-UA"/>
        </w:rPr>
        <w:t>В динаміці лікування у хворих обох груп відмічалось зменшення клінічних проявів захворювання та нормалізація самопочуття пацієнтів. У пацієнтів на фоні терапії поліпшення загального стану відмічалось на 4–5 день від початку лікування.</w:t>
      </w:r>
    </w:p>
    <w:p w:rsidR="007E691D" w:rsidRDefault="007E691D" w:rsidP="007E691D">
      <w:pPr>
        <w:spacing w:line="360" w:lineRule="auto"/>
        <w:ind w:firstLine="709"/>
        <w:jc w:val="both"/>
        <w:rPr>
          <w:sz w:val="28"/>
          <w:szCs w:val="28"/>
          <w:lang w:val="uk-UA"/>
        </w:rPr>
      </w:pPr>
      <w:r>
        <w:rPr>
          <w:sz w:val="28"/>
          <w:szCs w:val="28"/>
          <w:lang w:val="uk-UA"/>
        </w:rPr>
        <w:t>К кінцю курсу лікування (на 30 день), практично у всіх хворих відбулася нормалізація самопочуття: больовий синдром був купіруваний у 9</w:t>
      </w:r>
      <w:r w:rsidR="00DB3353">
        <w:rPr>
          <w:sz w:val="28"/>
          <w:szCs w:val="28"/>
          <w:lang w:val="uk-UA"/>
        </w:rPr>
        <w:t>3</w:t>
      </w:r>
      <w:r>
        <w:rPr>
          <w:sz w:val="28"/>
          <w:szCs w:val="28"/>
          <w:lang w:val="uk-UA"/>
        </w:rPr>
        <w:t>,1</w:t>
      </w:r>
      <w:r w:rsidR="00DB3353">
        <w:rPr>
          <w:sz w:val="28"/>
          <w:szCs w:val="28"/>
          <w:lang w:val="uk-UA"/>
        </w:rPr>
        <w:t xml:space="preserve"> </w:t>
      </w:r>
      <w:r>
        <w:rPr>
          <w:sz w:val="28"/>
          <w:szCs w:val="28"/>
          <w:lang w:val="uk-UA"/>
        </w:rPr>
        <w:t>% хворих, диспепсичний синдром повністю зник у 95,2</w:t>
      </w:r>
      <w:r w:rsidR="00DB3353">
        <w:rPr>
          <w:sz w:val="28"/>
          <w:szCs w:val="28"/>
          <w:lang w:val="uk-UA"/>
        </w:rPr>
        <w:t xml:space="preserve"> </w:t>
      </w:r>
      <w:r>
        <w:rPr>
          <w:sz w:val="28"/>
          <w:szCs w:val="28"/>
          <w:lang w:val="uk-UA"/>
        </w:rPr>
        <w:t xml:space="preserve">% пацієнтів, астеноневротичний </w:t>
      </w:r>
      <w:r>
        <w:rPr>
          <w:sz w:val="28"/>
          <w:szCs w:val="28"/>
          <w:lang w:val="uk-UA"/>
        </w:rPr>
        <w:lastRenderedPageBreak/>
        <w:t>синдром зник у 9</w:t>
      </w:r>
      <w:r w:rsidR="00DB3353">
        <w:rPr>
          <w:sz w:val="28"/>
          <w:szCs w:val="28"/>
          <w:lang w:val="uk-UA"/>
        </w:rPr>
        <w:t>6</w:t>
      </w:r>
      <w:r>
        <w:rPr>
          <w:sz w:val="28"/>
          <w:szCs w:val="28"/>
          <w:lang w:val="uk-UA"/>
        </w:rPr>
        <w:t>,1</w:t>
      </w:r>
      <w:r w:rsidR="00DB3353">
        <w:rPr>
          <w:sz w:val="28"/>
          <w:szCs w:val="28"/>
          <w:lang w:val="uk-UA"/>
        </w:rPr>
        <w:t xml:space="preserve"> </w:t>
      </w:r>
      <w:r>
        <w:rPr>
          <w:sz w:val="28"/>
          <w:szCs w:val="28"/>
          <w:lang w:val="uk-UA"/>
        </w:rPr>
        <w:t xml:space="preserve">%, при об’єктивному дослідженні у </w:t>
      </w:r>
      <w:r w:rsidR="00DB3353">
        <w:rPr>
          <w:sz w:val="28"/>
          <w:szCs w:val="28"/>
          <w:lang w:val="uk-UA"/>
        </w:rPr>
        <w:t xml:space="preserve">94,2 </w:t>
      </w:r>
      <w:r>
        <w:rPr>
          <w:sz w:val="28"/>
          <w:szCs w:val="28"/>
          <w:lang w:val="uk-UA"/>
        </w:rPr>
        <w:t xml:space="preserve">% хворих живіт став безболісний при пальпації, у </w:t>
      </w:r>
      <w:r w:rsidR="00DB3353">
        <w:rPr>
          <w:sz w:val="28"/>
          <w:szCs w:val="28"/>
          <w:lang w:val="uk-UA"/>
        </w:rPr>
        <w:t>8</w:t>
      </w:r>
      <w:r>
        <w:rPr>
          <w:sz w:val="28"/>
          <w:szCs w:val="28"/>
          <w:lang w:val="uk-UA"/>
        </w:rPr>
        <w:t>9,</w:t>
      </w:r>
      <w:r w:rsidR="00DB3353">
        <w:rPr>
          <w:sz w:val="28"/>
          <w:szCs w:val="28"/>
          <w:lang w:val="uk-UA"/>
        </w:rPr>
        <w:t xml:space="preserve">5  </w:t>
      </w:r>
      <w:r>
        <w:rPr>
          <w:sz w:val="28"/>
          <w:szCs w:val="28"/>
          <w:lang w:val="uk-UA"/>
        </w:rPr>
        <w:t xml:space="preserve">% – спостерігалось зменшення розмірів печінки. </w:t>
      </w:r>
    </w:p>
    <w:p w:rsidR="007E691D" w:rsidRDefault="007E691D" w:rsidP="007E691D">
      <w:pPr>
        <w:spacing w:line="360" w:lineRule="auto"/>
        <w:ind w:firstLine="709"/>
        <w:jc w:val="both"/>
        <w:rPr>
          <w:sz w:val="28"/>
          <w:szCs w:val="28"/>
          <w:lang w:val="uk-UA"/>
        </w:rPr>
      </w:pPr>
      <w:r>
        <w:rPr>
          <w:sz w:val="28"/>
          <w:szCs w:val="28"/>
          <w:lang w:val="uk-UA"/>
        </w:rPr>
        <w:t xml:space="preserve">У процесі лікування під впливом комплексної терапії відзначена нормалізація рівня L–карнітину у хворих обох груп. Концентрація </w:t>
      </w:r>
      <w:r>
        <w:rPr>
          <w:sz w:val="28"/>
          <w:szCs w:val="28"/>
          <w:lang w:val="en-US"/>
        </w:rPr>
        <w:t>L</w:t>
      </w:r>
      <w:r>
        <w:rPr>
          <w:sz w:val="28"/>
          <w:szCs w:val="28"/>
          <w:lang w:val="uk-UA"/>
        </w:rPr>
        <w:t xml:space="preserve">–карнітину у хворих </w:t>
      </w:r>
      <w:r w:rsidR="00A45FF1">
        <w:rPr>
          <w:sz w:val="28"/>
          <w:szCs w:val="28"/>
          <w:lang w:val="uk-UA"/>
        </w:rPr>
        <w:t xml:space="preserve">1 </w:t>
      </w:r>
      <w:r>
        <w:rPr>
          <w:sz w:val="28"/>
          <w:szCs w:val="28"/>
          <w:lang w:val="uk-UA"/>
        </w:rPr>
        <w:t xml:space="preserve">групи підвищилася до </w:t>
      </w:r>
      <w:r w:rsidR="00A45FF1">
        <w:rPr>
          <w:sz w:val="28"/>
          <w:szCs w:val="28"/>
          <w:lang w:val="uk-UA"/>
        </w:rPr>
        <w:t>30,6 (28,4; 34,5)</w:t>
      </w:r>
      <w:r>
        <w:rPr>
          <w:sz w:val="28"/>
          <w:szCs w:val="28"/>
          <w:lang w:val="uk-UA"/>
        </w:rPr>
        <w:t xml:space="preserve"> мкмоль/л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у пацієнтів </w:t>
      </w:r>
      <w:r w:rsidR="00DB3353">
        <w:rPr>
          <w:sz w:val="28"/>
          <w:szCs w:val="28"/>
          <w:lang w:val="uk-UA"/>
        </w:rPr>
        <w:t>2</w:t>
      </w:r>
      <w:r>
        <w:rPr>
          <w:sz w:val="28"/>
          <w:szCs w:val="28"/>
          <w:lang w:val="uk-UA"/>
        </w:rPr>
        <w:t xml:space="preserve"> групи до </w:t>
      </w:r>
      <w:r w:rsidR="00A45FF1">
        <w:rPr>
          <w:sz w:val="28"/>
          <w:szCs w:val="28"/>
          <w:lang w:val="uk-UA"/>
        </w:rPr>
        <w:t>31,1 (28,8; 34,1)</w:t>
      </w:r>
      <w:r>
        <w:rPr>
          <w:sz w:val="28"/>
          <w:szCs w:val="28"/>
          <w:lang w:val="uk-UA"/>
        </w:rPr>
        <w:t xml:space="preserve"> мкмоль/л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0,001), що вірогідно не відрізнялось від показників контрольної групи.</w:t>
      </w:r>
    </w:p>
    <w:p w:rsidR="007E691D" w:rsidRDefault="007E691D" w:rsidP="007E691D">
      <w:pPr>
        <w:spacing w:line="360" w:lineRule="auto"/>
        <w:ind w:firstLine="709"/>
        <w:jc w:val="both"/>
        <w:rPr>
          <w:sz w:val="28"/>
          <w:szCs w:val="28"/>
          <w:lang w:val="uk-UA"/>
        </w:rPr>
      </w:pPr>
      <w:r>
        <w:rPr>
          <w:sz w:val="28"/>
          <w:szCs w:val="28"/>
          <w:lang w:val="uk-UA"/>
        </w:rPr>
        <w:t>При дослідженні рівня ГЦ сироватки крові в динаміці лікування було відмічено його вірогідне зниження, в порівнянні з показниками до лікування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Концентрація ГЦ в сироватці крові у хворих </w:t>
      </w:r>
      <w:r w:rsidR="00DB3353">
        <w:rPr>
          <w:sz w:val="28"/>
          <w:szCs w:val="28"/>
          <w:lang w:val="uk-UA"/>
        </w:rPr>
        <w:t>1</w:t>
      </w:r>
      <w:r>
        <w:rPr>
          <w:sz w:val="28"/>
          <w:szCs w:val="28"/>
          <w:lang w:val="uk-UA"/>
        </w:rPr>
        <w:t xml:space="preserve"> групи склала </w:t>
      </w:r>
      <w:r w:rsidR="00A45FF1">
        <w:rPr>
          <w:sz w:val="28"/>
          <w:szCs w:val="28"/>
          <w:lang w:val="uk-UA"/>
        </w:rPr>
        <w:t>11,6 (10,9; 12,9)</w:t>
      </w:r>
      <w:r>
        <w:rPr>
          <w:sz w:val="28"/>
          <w:szCs w:val="28"/>
          <w:lang w:val="uk-UA"/>
        </w:rPr>
        <w:t xml:space="preserve"> мкмоль/л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в </w:t>
      </w:r>
      <w:r w:rsidR="00DB3353">
        <w:rPr>
          <w:sz w:val="28"/>
          <w:szCs w:val="28"/>
          <w:lang w:val="uk-UA"/>
        </w:rPr>
        <w:t>2</w:t>
      </w:r>
      <w:r>
        <w:rPr>
          <w:sz w:val="28"/>
          <w:szCs w:val="28"/>
          <w:lang w:val="uk-UA"/>
        </w:rPr>
        <w:t xml:space="preserve"> групі –</w:t>
      </w:r>
      <w:r w:rsidR="00A45FF1">
        <w:rPr>
          <w:sz w:val="28"/>
          <w:szCs w:val="28"/>
          <w:lang w:val="uk-UA"/>
        </w:rPr>
        <w:t xml:space="preserve"> 11,8 (11,0; 12,8) </w:t>
      </w:r>
      <w:r>
        <w:rPr>
          <w:sz w:val="28"/>
          <w:szCs w:val="28"/>
          <w:lang w:val="uk-UA"/>
        </w:rPr>
        <w:t>мкмоль\л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0,001).</w:t>
      </w:r>
    </w:p>
    <w:p w:rsidR="007E691D" w:rsidRDefault="007E691D" w:rsidP="007E691D">
      <w:pPr>
        <w:spacing w:line="360" w:lineRule="auto"/>
        <w:ind w:firstLine="720"/>
        <w:jc w:val="both"/>
        <w:rPr>
          <w:sz w:val="28"/>
          <w:szCs w:val="28"/>
          <w:lang w:val="uk-UA"/>
        </w:rPr>
      </w:pPr>
      <w:r>
        <w:rPr>
          <w:sz w:val="28"/>
          <w:szCs w:val="28"/>
          <w:lang w:val="uk-UA"/>
        </w:rPr>
        <w:t xml:space="preserve">У процесі лікування відзначене відновлення порушеного вмісту прозапальних цитокінів у пацієнтів обох груп. У хворих </w:t>
      </w:r>
      <w:r w:rsidR="00DB3353">
        <w:rPr>
          <w:sz w:val="28"/>
          <w:szCs w:val="28"/>
          <w:lang w:val="uk-UA"/>
        </w:rPr>
        <w:t>1</w:t>
      </w:r>
      <w:r>
        <w:rPr>
          <w:sz w:val="28"/>
          <w:szCs w:val="28"/>
          <w:lang w:val="uk-UA"/>
        </w:rPr>
        <w:t xml:space="preserve"> групи концентрація ФНП–α після лікування склала </w:t>
      </w:r>
      <w:r w:rsidR="00A45FF1">
        <w:rPr>
          <w:sz w:val="28"/>
          <w:szCs w:val="28"/>
          <w:lang w:val="uk-UA"/>
        </w:rPr>
        <w:t xml:space="preserve">1,93 (1,77; 2,09) </w:t>
      </w:r>
      <w:r>
        <w:rPr>
          <w:sz w:val="28"/>
          <w:szCs w:val="28"/>
          <w:lang w:val="uk-UA"/>
        </w:rPr>
        <w:t xml:space="preserve"> пг\мл і була вірогідно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нижчою, ніж до лікування, так само, як і в </w:t>
      </w:r>
      <w:r w:rsidR="00DB3353">
        <w:rPr>
          <w:sz w:val="28"/>
          <w:szCs w:val="28"/>
          <w:lang w:val="uk-UA"/>
        </w:rPr>
        <w:t>2</w:t>
      </w:r>
      <w:r>
        <w:rPr>
          <w:sz w:val="28"/>
          <w:szCs w:val="28"/>
          <w:lang w:val="uk-UA"/>
        </w:rPr>
        <w:t xml:space="preserve"> групі: </w:t>
      </w:r>
      <w:r w:rsidR="00A45FF1">
        <w:rPr>
          <w:sz w:val="28"/>
          <w:szCs w:val="28"/>
          <w:lang w:val="uk-UA"/>
        </w:rPr>
        <w:t>1,87 (1,69; 1,99)</w:t>
      </w:r>
      <w:r>
        <w:rPr>
          <w:sz w:val="28"/>
          <w:szCs w:val="28"/>
          <w:lang w:val="uk-UA"/>
        </w:rPr>
        <w:t xml:space="preserve"> пг/мл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0,001), що було зіставна з показниками контрольної групи (1,94</w:t>
      </w:r>
      <w:r w:rsidR="00A45FF1">
        <w:rPr>
          <w:sz w:val="28"/>
          <w:szCs w:val="28"/>
          <w:lang w:val="uk-UA"/>
        </w:rPr>
        <w:t xml:space="preserve"> </w:t>
      </w:r>
      <w:r>
        <w:rPr>
          <w:sz w:val="28"/>
          <w:szCs w:val="28"/>
          <w:lang w:val="uk-UA"/>
        </w:rPr>
        <w:t>(1,73;</w:t>
      </w:r>
      <w:r w:rsidR="00A45FF1">
        <w:rPr>
          <w:sz w:val="28"/>
          <w:szCs w:val="28"/>
          <w:lang w:val="uk-UA"/>
        </w:rPr>
        <w:t xml:space="preserve"> </w:t>
      </w:r>
      <w:r>
        <w:rPr>
          <w:sz w:val="28"/>
          <w:szCs w:val="28"/>
          <w:lang w:val="uk-UA"/>
        </w:rPr>
        <w:t>2,02) пг\мл (р</w:t>
      </w:r>
      <w:r w:rsidR="00A45FF1">
        <w:rPr>
          <w:sz w:val="28"/>
          <w:szCs w:val="28"/>
          <w:lang w:val="uk-UA"/>
        </w:rPr>
        <w:t xml:space="preserve"> </w:t>
      </w:r>
      <w:r>
        <w:rPr>
          <w:sz w:val="28"/>
          <w:szCs w:val="28"/>
          <w:lang w:val="uk-UA"/>
        </w:rPr>
        <w:t>&gt;</w:t>
      </w:r>
      <w:r w:rsidR="00A45FF1">
        <w:rPr>
          <w:sz w:val="28"/>
          <w:szCs w:val="28"/>
          <w:lang w:val="uk-UA"/>
        </w:rPr>
        <w:t xml:space="preserve"> </w:t>
      </w:r>
      <w:r>
        <w:rPr>
          <w:sz w:val="28"/>
          <w:szCs w:val="28"/>
          <w:lang w:val="uk-UA"/>
        </w:rPr>
        <w:t xml:space="preserve">0,05)). При аналізі вмісту ІЛ–6 в сироватці крові у хворих </w:t>
      </w:r>
      <w:r w:rsidR="00DB3353">
        <w:rPr>
          <w:sz w:val="28"/>
          <w:szCs w:val="28"/>
          <w:lang w:val="uk-UA"/>
        </w:rPr>
        <w:t>1</w:t>
      </w:r>
      <w:r>
        <w:rPr>
          <w:sz w:val="28"/>
          <w:szCs w:val="28"/>
          <w:lang w:val="uk-UA"/>
        </w:rPr>
        <w:t xml:space="preserve"> та </w:t>
      </w:r>
      <w:r w:rsidR="00DB3353">
        <w:rPr>
          <w:sz w:val="28"/>
          <w:szCs w:val="28"/>
          <w:lang w:val="uk-UA"/>
        </w:rPr>
        <w:t>2</w:t>
      </w:r>
      <w:r>
        <w:rPr>
          <w:sz w:val="28"/>
          <w:szCs w:val="28"/>
          <w:lang w:val="uk-UA"/>
        </w:rPr>
        <w:t xml:space="preserve"> груп було відмічено вірогідне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0,001) зниження цього показника –</w:t>
      </w:r>
      <w:r w:rsidR="00A45FF1">
        <w:rPr>
          <w:sz w:val="28"/>
          <w:szCs w:val="28"/>
          <w:lang w:val="uk-UA"/>
        </w:rPr>
        <w:t xml:space="preserve"> 1,99 (1,89; 2,13)</w:t>
      </w:r>
      <w:r>
        <w:rPr>
          <w:sz w:val="28"/>
          <w:szCs w:val="28"/>
          <w:lang w:val="uk-UA"/>
        </w:rPr>
        <w:t xml:space="preserve">пг/мл та </w:t>
      </w:r>
      <w:r w:rsidR="00A45FF1">
        <w:rPr>
          <w:sz w:val="28"/>
          <w:szCs w:val="28"/>
          <w:lang w:val="uk-UA"/>
        </w:rPr>
        <w:t xml:space="preserve">1,95 (1,82; 2,14) </w:t>
      </w:r>
      <w:r>
        <w:rPr>
          <w:sz w:val="28"/>
          <w:szCs w:val="28"/>
          <w:lang w:val="uk-UA"/>
        </w:rPr>
        <w:t>пг/мл відповідно, що не відрізнялось від рівнів ІЛ–6 в групі практично здорових осіб (1,72</w:t>
      </w:r>
      <w:r w:rsidR="00A45FF1">
        <w:rPr>
          <w:sz w:val="28"/>
          <w:szCs w:val="28"/>
          <w:lang w:val="uk-UA"/>
        </w:rPr>
        <w:t xml:space="preserve"> </w:t>
      </w:r>
      <w:r>
        <w:rPr>
          <w:sz w:val="28"/>
          <w:szCs w:val="28"/>
          <w:lang w:val="uk-UA"/>
        </w:rPr>
        <w:t>(1,36;</w:t>
      </w:r>
      <w:r w:rsidR="00A45FF1">
        <w:rPr>
          <w:sz w:val="28"/>
          <w:szCs w:val="28"/>
          <w:lang w:val="uk-UA"/>
        </w:rPr>
        <w:t xml:space="preserve"> </w:t>
      </w:r>
      <w:r>
        <w:rPr>
          <w:sz w:val="28"/>
          <w:szCs w:val="28"/>
          <w:lang w:val="uk-UA"/>
        </w:rPr>
        <w:t>2,19) пг/мл (р</w:t>
      </w:r>
      <w:r w:rsidR="00A45FF1">
        <w:rPr>
          <w:sz w:val="28"/>
          <w:szCs w:val="28"/>
          <w:lang w:val="uk-UA"/>
        </w:rPr>
        <w:t xml:space="preserve"> </w:t>
      </w:r>
      <w:r>
        <w:rPr>
          <w:sz w:val="28"/>
          <w:szCs w:val="28"/>
          <w:lang w:val="uk-UA"/>
        </w:rPr>
        <w:t>&gt;</w:t>
      </w:r>
      <w:r w:rsidR="00A45FF1">
        <w:rPr>
          <w:sz w:val="28"/>
          <w:szCs w:val="28"/>
          <w:lang w:val="uk-UA"/>
        </w:rPr>
        <w:t xml:space="preserve"> </w:t>
      </w:r>
      <w:r>
        <w:rPr>
          <w:sz w:val="28"/>
          <w:szCs w:val="28"/>
          <w:lang w:val="uk-UA"/>
        </w:rPr>
        <w:t>0,05)). Покращення показників прозапальних цитокінів в процесі лікування свідчить про протизапальну дію запропонованої комбінації лікарських засобів.</w:t>
      </w:r>
    </w:p>
    <w:p w:rsidR="007E691D" w:rsidRDefault="007E691D" w:rsidP="007E691D">
      <w:pPr>
        <w:spacing w:line="360" w:lineRule="auto"/>
        <w:ind w:firstLine="720"/>
        <w:jc w:val="both"/>
        <w:rPr>
          <w:sz w:val="28"/>
          <w:szCs w:val="28"/>
          <w:lang w:val="uk-UA"/>
        </w:rPr>
      </w:pPr>
      <w:r>
        <w:rPr>
          <w:sz w:val="28"/>
          <w:szCs w:val="28"/>
          <w:lang w:val="uk-UA"/>
        </w:rPr>
        <w:t xml:space="preserve">Істотне поліпшення окремих показників ПОЛ після проведеного лікування свідчить про антиоксидантний ефект даної схеми лікування. У хворих концентрація NO після лікування фіксувалась на рівні </w:t>
      </w:r>
      <w:r w:rsidR="00A45FF1">
        <w:rPr>
          <w:sz w:val="28"/>
          <w:szCs w:val="28"/>
          <w:lang w:val="uk-UA"/>
        </w:rPr>
        <w:t xml:space="preserve">48,6 (46,1; 51,1) </w:t>
      </w:r>
      <w:r>
        <w:rPr>
          <w:sz w:val="28"/>
          <w:szCs w:val="28"/>
          <w:lang w:val="uk-UA"/>
        </w:rPr>
        <w:t xml:space="preserve">мкмоль/л у пацієнтів </w:t>
      </w:r>
      <w:r w:rsidR="00DB3353">
        <w:rPr>
          <w:sz w:val="28"/>
          <w:szCs w:val="28"/>
          <w:lang w:val="uk-UA"/>
        </w:rPr>
        <w:t>1</w:t>
      </w:r>
      <w:r>
        <w:rPr>
          <w:sz w:val="28"/>
          <w:szCs w:val="28"/>
          <w:lang w:val="uk-UA"/>
        </w:rPr>
        <w:t xml:space="preserve"> групи (p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та </w:t>
      </w:r>
      <w:r w:rsidR="00A45FF1">
        <w:rPr>
          <w:sz w:val="28"/>
          <w:szCs w:val="28"/>
          <w:lang w:val="uk-UA"/>
        </w:rPr>
        <w:t xml:space="preserve">49,1 (45,0; 52,3) </w:t>
      </w:r>
      <w:r>
        <w:rPr>
          <w:sz w:val="28"/>
          <w:szCs w:val="28"/>
          <w:lang w:val="uk-UA"/>
        </w:rPr>
        <w:t>мкмоль/л (p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у хворих </w:t>
      </w:r>
      <w:r w:rsidR="00DB3353">
        <w:rPr>
          <w:sz w:val="28"/>
          <w:szCs w:val="28"/>
          <w:lang w:val="uk-UA"/>
        </w:rPr>
        <w:t>2</w:t>
      </w:r>
      <w:r>
        <w:rPr>
          <w:sz w:val="28"/>
          <w:szCs w:val="28"/>
          <w:lang w:val="uk-UA"/>
        </w:rPr>
        <w:t xml:space="preserve"> досліджуваної групи. Ці результати достовірно не перевищували (р</w:t>
      </w:r>
      <w:r w:rsidR="00A45FF1">
        <w:rPr>
          <w:sz w:val="28"/>
          <w:szCs w:val="28"/>
          <w:lang w:val="uk-UA"/>
        </w:rPr>
        <w:t xml:space="preserve"> </w:t>
      </w:r>
      <w:r>
        <w:rPr>
          <w:sz w:val="28"/>
          <w:szCs w:val="28"/>
          <w:lang w:val="uk-UA"/>
        </w:rPr>
        <w:t>&gt;</w:t>
      </w:r>
      <w:r w:rsidR="00A45FF1">
        <w:rPr>
          <w:sz w:val="28"/>
          <w:szCs w:val="28"/>
          <w:lang w:val="uk-UA"/>
        </w:rPr>
        <w:t xml:space="preserve"> </w:t>
      </w:r>
      <w:r>
        <w:rPr>
          <w:sz w:val="28"/>
          <w:szCs w:val="28"/>
          <w:lang w:val="uk-UA"/>
        </w:rPr>
        <w:t xml:space="preserve">0,05) показників контрольної групи – </w:t>
      </w:r>
      <w:r>
        <w:rPr>
          <w:sz w:val="28"/>
          <w:szCs w:val="28"/>
        </w:rPr>
        <w:t>46,7</w:t>
      </w:r>
      <w:r w:rsidR="00A45FF1">
        <w:rPr>
          <w:sz w:val="28"/>
          <w:szCs w:val="28"/>
          <w:lang w:val="uk-UA"/>
        </w:rPr>
        <w:t xml:space="preserve"> </w:t>
      </w:r>
      <w:r>
        <w:rPr>
          <w:sz w:val="28"/>
          <w:szCs w:val="28"/>
        </w:rPr>
        <w:t>(40,5;</w:t>
      </w:r>
      <w:r w:rsidR="00A45FF1">
        <w:rPr>
          <w:sz w:val="28"/>
          <w:szCs w:val="28"/>
          <w:lang w:val="uk-UA"/>
        </w:rPr>
        <w:t xml:space="preserve"> </w:t>
      </w:r>
      <w:r>
        <w:rPr>
          <w:sz w:val="28"/>
          <w:szCs w:val="28"/>
        </w:rPr>
        <w:t>53,9)</w:t>
      </w:r>
      <w:r>
        <w:rPr>
          <w:sz w:val="28"/>
          <w:szCs w:val="28"/>
          <w:lang w:val="uk-UA"/>
        </w:rPr>
        <w:t xml:space="preserve"> мкмоль/л</w:t>
      </w:r>
    </w:p>
    <w:p w:rsidR="007E691D" w:rsidRDefault="007E691D" w:rsidP="007E691D">
      <w:pPr>
        <w:spacing w:line="360" w:lineRule="auto"/>
        <w:ind w:firstLine="709"/>
        <w:jc w:val="both"/>
        <w:rPr>
          <w:sz w:val="28"/>
          <w:szCs w:val="28"/>
          <w:lang w:val="uk-UA"/>
        </w:rPr>
      </w:pPr>
      <w:r>
        <w:rPr>
          <w:sz w:val="28"/>
          <w:szCs w:val="28"/>
          <w:lang w:val="uk-UA"/>
        </w:rPr>
        <w:t xml:space="preserve">Аналізуючи показники вмісту кінцевого продукту ліпопероксидації – МДА у плазмі крові хворих до та після лікування нами виявлено достовірне зниження цього </w:t>
      </w:r>
      <w:r>
        <w:rPr>
          <w:sz w:val="28"/>
          <w:szCs w:val="28"/>
          <w:lang w:val="uk-UA"/>
        </w:rPr>
        <w:lastRenderedPageBreak/>
        <w:t>показника. Після проведеної терапії рівень МДА плазми крові достовірно (</w:t>
      </w:r>
      <w:r>
        <w:rPr>
          <w:sz w:val="28"/>
          <w:szCs w:val="28"/>
        </w:rPr>
        <w:t>p</w:t>
      </w:r>
      <w:r w:rsidR="00A45FF1">
        <w:rPr>
          <w:sz w:val="28"/>
          <w:szCs w:val="28"/>
          <w:lang w:val="uk-UA"/>
        </w:rPr>
        <w:t xml:space="preserve"> </w:t>
      </w:r>
      <w:r>
        <w:rPr>
          <w:sz w:val="28"/>
          <w:szCs w:val="28"/>
          <w:lang w:val="uk-UA"/>
        </w:rPr>
        <w:t>&lt;</w:t>
      </w:r>
      <w:r w:rsidR="00A45FF1">
        <w:rPr>
          <w:sz w:val="28"/>
          <w:szCs w:val="28"/>
          <w:lang w:val="uk-UA"/>
        </w:rPr>
        <w:t xml:space="preserve"> </w:t>
      </w:r>
      <w:r>
        <w:rPr>
          <w:sz w:val="28"/>
          <w:szCs w:val="28"/>
          <w:lang w:val="uk-UA"/>
        </w:rPr>
        <w:t xml:space="preserve">0,001) знизився в </w:t>
      </w:r>
      <w:r w:rsidR="00DB3353">
        <w:rPr>
          <w:sz w:val="28"/>
          <w:szCs w:val="28"/>
          <w:lang w:val="uk-UA"/>
        </w:rPr>
        <w:t>1</w:t>
      </w:r>
      <w:r>
        <w:rPr>
          <w:sz w:val="28"/>
          <w:szCs w:val="28"/>
          <w:lang w:val="uk-UA"/>
        </w:rPr>
        <w:t xml:space="preserve"> </w:t>
      </w:r>
      <w:r w:rsidR="00A45FF1">
        <w:rPr>
          <w:sz w:val="28"/>
          <w:szCs w:val="28"/>
          <w:lang w:val="uk-UA"/>
        </w:rPr>
        <w:t>(3,00 (2,84; 3,12)</w:t>
      </w:r>
      <w:r>
        <w:rPr>
          <w:sz w:val="28"/>
          <w:szCs w:val="28"/>
          <w:lang w:val="uk-UA"/>
        </w:rPr>
        <w:t xml:space="preserve"> мкмоль/л) та </w:t>
      </w:r>
      <w:r w:rsidR="00DB3353">
        <w:rPr>
          <w:sz w:val="28"/>
          <w:szCs w:val="28"/>
          <w:lang w:val="uk-UA"/>
        </w:rPr>
        <w:t>2</w:t>
      </w:r>
      <w:r>
        <w:rPr>
          <w:sz w:val="28"/>
          <w:szCs w:val="28"/>
          <w:lang w:val="uk-UA"/>
        </w:rPr>
        <w:t xml:space="preserve"> </w:t>
      </w:r>
      <w:r w:rsidR="00A45FF1">
        <w:rPr>
          <w:sz w:val="28"/>
          <w:szCs w:val="28"/>
          <w:lang w:val="uk-UA"/>
        </w:rPr>
        <w:t xml:space="preserve">(2,96 (2,85; 3,11) </w:t>
      </w:r>
      <w:r>
        <w:rPr>
          <w:sz w:val="28"/>
          <w:szCs w:val="28"/>
          <w:lang w:val="uk-UA"/>
        </w:rPr>
        <w:t xml:space="preserve">мкмоль/л) групах. Отримані результати вірогідно не відрізнялись від показників контрольної групи – </w:t>
      </w:r>
      <w:r>
        <w:rPr>
          <w:sz w:val="28"/>
          <w:szCs w:val="28"/>
        </w:rPr>
        <w:t>2,91</w:t>
      </w:r>
      <w:r w:rsidR="00A45FF1">
        <w:rPr>
          <w:sz w:val="28"/>
          <w:szCs w:val="28"/>
          <w:lang w:val="uk-UA"/>
        </w:rPr>
        <w:t xml:space="preserve"> </w:t>
      </w:r>
      <w:r>
        <w:rPr>
          <w:sz w:val="28"/>
          <w:szCs w:val="28"/>
        </w:rPr>
        <w:t>(2,68;</w:t>
      </w:r>
      <w:r w:rsidR="00A45FF1">
        <w:rPr>
          <w:sz w:val="28"/>
          <w:szCs w:val="28"/>
          <w:lang w:val="uk-UA"/>
        </w:rPr>
        <w:t xml:space="preserve"> </w:t>
      </w:r>
      <w:r>
        <w:rPr>
          <w:sz w:val="28"/>
          <w:szCs w:val="28"/>
        </w:rPr>
        <w:t>3,00)</w:t>
      </w:r>
      <w:r>
        <w:rPr>
          <w:sz w:val="28"/>
          <w:szCs w:val="28"/>
          <w:lang w:val="uk-UA"/>
        </w:rPr>
        <w:t xml:space="preserve"> мкмоль/л.</w:t>
      </w:r>
    </w:p>
    <w:p w:rsidR="007E691D" w:rsidRDefault="007E691D" w:rsidP="007E691D">
      <w:pPr>
        <w:spacing w:line="360" w:lineRule="auto"/>
        <w:ind w:firstLine="709"/>
        <w:jc w:val="both"/>
        <w:rPr>
          <w:sz w:val="28"/>
          <w:szCs w:val="28"/>
          <w:lang w:val="uk-UA"/>
        </w:rPr>
      </w:pPr>
      <w:r>
        <w:rPr>
          <w:sz w:val="28"/>
          <w:szCs w:val="28"/>
          <w:lang w:val="uk-UA"/>
        </w:rPr>
        <w:t xml:space="preserve">Таким чином, запропонована терапія з включенням препарату L–карнітину,  </w:t>
      </w:r>
      <w:r>
        <w:rPr>
          <w:sz w:val="28"/>
          <w:szCs w:val="28"/>
          <w:shd w:val="clear" w:color="auto" w:fill="FFFFFF"/>
          <w:lang w:val="uk-UA"/>
        </w:rPr>
        <w:t>депротеїнізованого</w:t>
      </w:r>
      <w:r>
        <w:rPr>
          <w:rFonts w:ascii="Tahoma" w:hAnsi="Tahoma" w:cs="Tahoma"/>
          <w:color w:val="000000"/>
          <w:sz w:val="13"/>
          <w:szCs w:val="13"/>
          <w:shd w:val="clear" w:color="auto" w:fill="FFFFFF"/>
          <w:lang w:val="uk-UA"/>
        </w:rPr>
        <w:t xml:space="preserve"> </w:t>
      </w:r>
      <w:r>
        <w:rPr>
          <w:sz w:val="28"/>
          <w:szCs w:val="28"/>
          <w:shd w:val="clear" w:color="auto" w:fill="FFFFFF"/>
          <w:lang w:val="uk-UA"/>
        </w:rPr>
        <w:t>гемодеривату крові телят</w:t>
      </w:r>
      <w:r>
        <w:rPr>
          <w:sz w:val="28"/>
          <w:szCs w:val="28"/>
          <w:lang w:val="uk-UA"/>
        </w:rPr>
        <w:t xml:space="preserve"> та фолієвої кислоти, надає позитивний вплив на клінічний перебіг захворювання, усуває карнітинову недостатність, сприяє нормалізації рівнів ГЦ, має імунокоригуючий та антиоксидантний ефект та є патогенетично обґрунтованою у хворих НАСГ в поєднані з ЦД 2 типу. </w:t>
      </w:r>
    </w:p>
    <w:p w:rsidR="00077303" w:rsidRDefault="00077303" w:rsidP="001E1317">
      <w:pPr>
        <w:spacing w:line="360" w:lineRule="auto"/>
        <w:jc w:val="both"/>
        <w:rPr>
          <w:sz w:val="28"/>
          <w:szCs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Default="00DC20D7" w:rsidP="00DC20D7">
      <w:pPr>
        <w:spacing w:line="360" w:lineRule="auto"/>
        <w:ind w:firstLine="709"/>
        <w:jc w:val="center"/>
        <w:rPr>
          <w:b/>
          <w:sz w:val="28"/>
          <w:lang w:val="uk-UA"/>
        </w:rPr>
      </w:pPr>
    </w:p>
    <w:p w:rsidR="00DC20D7" w:rsidRPr="003A594D" w:rsidRDefault="00DC20D7" w:rsidP="00DC20D7">
      <w:pPr>
        <w:spacing w:line="360" w:lineRule="auto"/>
        <w:ind w:firstLine="709"/>
        <w:jc w:val="center"/>
        <w:rPr>
          <w:b/>
          <w:sz w:val="28"/>
          <w:lang w:val="uk-UA"/>
        </w:rPr>
      </w:pPr>
      <w:r w:rsidRPr="003A594D">
        <w:rPr>
          <w:b/>
          <w:sz w:val="28"/>
          <w:lang w:val="uk-UA"/>
        </w:rPr>
        <w:lastRenderedPageBreak/>
        <w:t>ВИСНОВКИ</w:t>
      </w:r>
    </w:p>
    <w:p w:rsidR="00DC20D7" w:rsidRPr="003A594D" w:rsidRDefault="00DC20D7" w:rsidP="00DC20D7">
      <w:pPr>
        <w:spacing w:line="360" w:lineRule="auto"/>
        <w:ind w:firstLine="709"/>
        <w:jc w:val="both"/>
        <w:rPr>
          <w:sz w:val="28"/>
          <w:lang w:val="uk-UA"/>
        </w:rPr>
      </w:pPr>
      <w:r w:rsidRPr="003A594D">
        <w:rPr>
          <w:sz w:val="28"/>
          <w:lang w:val="uk-UA"/>
        </w:rPr>
        <w:t xml:space="preserve">1. У дисертаційній роботі на підставі поглибленого вивчення метаболічних порушень у хворих на НАСГ у поєднанні з ЦД 2 типу наведено нове розв’язання наукового завдання сучасної терапії, яке полягає в підвищенні ефективності діагностики та лікування НАСГ у поєднанні з ЦД 2 типу. </w:t>
      </w:r>
    </w:p>
    <w:p w:rsidR="00DC20D7" w:rsidRPr="003A594D" w:rsidRDefault="00DC20D7" w:rsidP="00DC20D7">
      <w:pPr>
        <w:spacing w:line="360" w:lineRule="auto"/>
        <w:ind w:firstLine="709"/>
        <w:jc w:val="both"/>
        <w:rPr>
          <w:sz w:val="28"/>
          <w:lang w:val="uk-UA"/>
        </w:rPr>
      </w:pPr>
      <w:r w:rsidRPr="003A594D">
        <w:rPr>
          <w:sz w:val="28"/>
          <w:lang w:val="uk-UA"/>
        </w:rPr>
        <w:t>2. У хворих на НАСГ у поєднанні з ЦД 2 типу відбувається порушення мітохондріального транспорту ВЖК та розвиток мітохондріальної дисфункції, яка залежить від тривалості захворювання (p &lt; 0,05), що виявляється вірогідним (p &lt; 0,001) зниженням рівнів L-карнітину сироватки крові.</w:t>
      </w:r>
    </w:p>
    <w:p w:rsidR="00DC20D7" w:rsidRPr="003A594D" w:rsidRDefault="00DC20D7" w:rsidP="00DC20D7">
      <w:pPr>
        <w:spacing w:line="360" w:lineRule="auto"/>
        <w:ind w:firstLine="709"/>
        <w:jc w:val="both"/>
        <w:rPr>
          <w:sz w:val="28"/>
          <w:lang w:val="uk-UA"/>
        </w:rPr>
      </w:pPr>
      <w:r w:rsidRPr="003A594D">
        <w:rPr>
          <w:sz w:val="28"/>
          <w:lang w:val="uk-UA"/>
        </w:rPr>
        <w:t>3. У разі НАСГ у поєднанні з ЦД 2 типу виявлено достовірне (p &lt; 0,001) підвищення рівнів ГЦ сироватки крові, виразніше у хворих чоловіків старших за 40 років (p &lt; 0,05). Визначено вплив гіпергомоцистеїнемії на індукцію оксидативного стресу, що підтверджується наявними кореляційними зв’язками між ГЦ та окремими показниками ПОЛ. Доведено участь ГЦ у розвитку запальної реакції в клітинах печінки, шляхом впливу на маркери клітинного ушкодження (АЛТ і АСТ) та прозапальні цитокіни.</w:t>
      </w:r>
    </w:p>
    <w:p w:rsidR="00DC20D7" w:rsidRPr="003A594D" w:rsidRDefault="00DC20D7" w:rsidP="00DC20D7">
      <w:pPr>
        <w:spacing w:line="360" w:lineRule="auto"/>
        <w:ind w:firstLine="709"/>
        <w:jc w:val="both"/>
        <w:rPr>
          <w:sz w:val="28"/>
          <w:lang w:val="uk-UA"/>
        </w:rPr>
      </w:pPr>
      <w:r w:rsidRPr="003A594D">
        <w:rPr>
          <w:sz w:val="28"/>
          <w:lang w:val="uk-UA"/>
        </w:rPr>
        <w:t xml:space="preserve">4. У хворих на НАСГ в поєднанні з ЦД 2 типу визначено дисбаланс прозапальних цитокінів, що характеризується вірогідним підвищенням (p &lt; 0,001) вмісту ФНП-α та ІЛ-6 у сироватці крові, що не залежав від статі та віку, але вірогідно (p &lt; 0,05) зростав у хворих із тривалістю захворювання понад 10 років, що пов’язане з прогресуванням хвороби і виснаженням компенсаторних механізмів унаслідок стійких запальних змін в печінці. </w:t>
      </w:r>
    </w:p>
    <w:p w:rsidR="00DC20D7" w:rsidRPr="003A594D" w:rsidRDefault="00DC20D7" w:rsidP="00DC20D7">
      <w:pPr>
        <w:spacing w:line="360" w:lineRule="auto"/>
        <w:ind w:firstLine="709"/>
        <w:jc w:val="both"/>
        <w:rPr>
          <w:sz w:val="28"/>
          <w:lang w:val="uk-UA"/>
        </w:rPr>
      </w:pPr>
      <w:r w:rsidRPr="003A594D">
        <w:rPr>
          <w:sz w:val="28"/>
          <w:lang w:val="uk-UA"/>
        </w:rPr>
        <w:t xml:space="preserve">5. У пацієнтів виявлено достовірне підвищення (p &lt; 0,001) рівня NO та МДА в плазмі крові. Установлено прямий зв’язок між NO та показниками ліпідного спектра, що підтверджує роль окиснювального стресу в активації процесів ліпопероксидації та є однією з основних причин розвитку та прогресування захворювання. </w:t>
      </w:r>
    </w:p>
    <w:p w:rsidR="00DC20D7" w:rsidRPr="003A594D" w:rsidRDefault="00DC20D7" w:rsidP="00DC20D7">
      <w:pPr>
        <w:spacing w:line="360" w:lineRule="auto"/>
        <w:ind w:firstLine="720"/>
        <w:jc w:val="both"/>
        <w:rPr>
          <w:b/>
          <w:sz w:val="32"/>
          <w:szCs w:val="28"/>
          <w:lang w:val="uk-UA"/>
        </w:rPr>
      </w:pPr>
      <w:r w:rsidRPr="003A594D">
        <w:rPr>
          <w:sz w:val="28"/>
          <w:lang w:val="uk-UA"/>
        </w:rPr>
        <w:t xml:space="preserve">6. Під час використання комплексної терапії з включенням препаратів L-карнітину, </w:t>
      </w:r>
      <w:r w:rsidRPr="003A594D">
        <w:rPr>
          <w:sz w:val="28"/>
          <w:shd w:val="clear" w:color="auto" w:fill="FFFFFF"/>
          <w:lang w:val="uk-UA"/>
        </w:rPr>
        <w:t>депротеїнізованого</w:t>
      </w:r>
      <w:r w:rsidRPr="003A594D">
        <w:rPr>
          <w:rFonts w:ascii="Tahoma" w:hAnsi="Tahoma" w:cs="Tahoma"/>
          <w:color w:val="000000"/>
          <w:sz w:val="28"/>
          <w:shd w:val="clear" w:color="auto" w:fill="FFFFFF"/>
          <w:lang w:val="uk-UA"/>
        </w:rPr>
        <w:t xml:space="preserve"> </w:t>
      </w:r>
      <w:r w:rsidRPr="003A594D">
        <w:rPr>
          <w:sz w:val="28"/>
          <w:shd w:val="clear" w:color="auto" w:fill="FFFFFF"/>
          <w:lang w:val="uk-UA"/>
        </w:rPr>
        <w:t>гемодеривату крові телят</w:t>
      </w:r>
      <w:r w:rsidRPr="003A594D">
        <w:rPr>
          <w:sz w:val="28"/>
          <w:lang w:val="uk-UA"/>
        </w:rPr>
        <w:t xml:space="preserve"> та фолієвої кислоти відбувається позитивний вплив на клінічний перебіг захворювання, що сприяє </w:t>
      </w:r>
      <w:r w:rsidRPr="003A594D">
        <w:rPr>
          <w:sz w:val="28"/>
          <w:lang w:val="uk-UA"/>
        </w:rPr>
        <w:lastRenderedPageBreak/>
        <w:t>усуненню карнітинової недостатності (p &lt; 0,001), гіпергомоцистеїнемії (p &lt; 0,001), зменшенню процесів перекісного окиснення ліпідів (p &lt; 0,001) та зниженню рівня прозапальних цитокінів (p &lt; 0,001).</w:t>
      </w:r>
    </w:p>
    <w:p w:rsidR="00DC20D7" w:rsidRPr="003A594D" w:rsidRDefault="00DC20D7" w:rsidP="00DC20D7">
      <w:pPr>
        <w:spacing w:line="360" w:lineRule="auto"/>
        <w:ind w:firstLine="720"/>
        <w:jc w:val="both"/>
        <w:rPr>
          <w:b/>
          <w:sz w:val="32"/>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szCs w:val="28"/>
          <w:lang w:val="uk-UA"/>
        </w:rPr>
      </w:pPr>
    </w:p>
    <w:p w:rsidR="00DC20D7" w:rsidRPr="003A594D" w:rsidRDefault="00DC20D7" w:rsidP="00DC20D7">
      <w:pPr>
        <w:spacing w:line="360" w:lineRule="auto"/>
        <w:ind w:firstLine="720"/>
        <w:jc w:val="center"/>
        <w:rPr>
          <w:b/>
          <w:sz w:val="28"/>
          <w:lang w:val="uk-UA"/>
        </w:rPr>
      </w:pPr>
      <w:r w:rsidRPr="003A594D">
        <w:rPr>
          <w:b/>
          <w:sz w:val="28"/>
          <w:lang w:val="uk-UA"/>
        </w:rPr>
        <w:lastRenderedPageBreak/>
        <w:t>ПРАКТИЧНІ РЕКОМЕНДАЦІЇ</w:t>
      </w:r>
    </w:p>
    <w:p w:rsidR="00DC20D7" w:rsidRPr="003A594D" w:rsidRDefault="00DC20D7" w:rsidP="00DC20D7">
      <w:pPr>
        <w:spacing w:line="360" w:lineRule="auto"/>
        <w:ind w:firstLine="720"/>
        <w:jc w:val="both"/>
        <w:rPr>
          <w:sz w:val="28"/>
          <w:lang w:val="uk-UA"/>
        </w:rPr>
      </w:pPr>
      <w:r w:rsidRPr="003A594D">
        <w:rPr>
          <w:sz w:val="28"/>
          <w:lang w:val="uk-UA"/>
        </w:rPr>
        <w:t>1. Під час обстеження хворих на НАСГ у поєднанні з ЦД 2 типу, разом із клініко-біохімічними й інструментальними методами дослідження для оцінки наявності карнітинової недостатності як чинника прогресування захворювання, рекомендується визначати рівень L-карнітину сироватки крові.</w:t>
      </w:r>
    </w:p>
    <w:p w:rsidR="00DC20D7" w:rsidRPr="003A594D" w:rsidRDefault="00DC20D7" w:rsidP="00DC20D7">
      <w:pPr>
        <w:spacing w:line="360" w:lineRule="auto"/>
        <w:ind w:firstLine="720"/>
        <w:jc w:val="both"/>
        <w:rPr>
          <w:sz w:val="28"/>
          <w:lang w:val="uk-UA"/>
        </w:rPr>
      </w:pPr>
      <w:r w:rsidRPr="003A594D">
        <w:rPr>
          <w:sz w:val="28"/>
          <w:lang w:val="uk-UA"/>
        </w:rPr>
        <w:t xml:space="preserve">2. Для діагностики НАСГ у поєднанні із ЦД 2 типу рекомендовано враховувати стан прозапальних цитокінів, зокрема ФНП-α та ІЛ-6, й окремих показників системи ПОЛ – NO та МДА, які при даному захворюванні вірогідно підвищуються, що свідчить про інтенсифікацію процесів ПОЛ та зростання запальних змін у печінці. З метою виявлення порушень обміну ГЦ у стандартний план обстеження хворих на НАСГ у поєднанні із ЦД 2 типу рекомендовано включати визначення вмісту ГЦ у сироватці крові. Наявність ГГЦ (&gt; 15 мкмоль/л) слід розцінювати як прогностично несприятливий чинник прогресування захворювання. </w:t>
      </w:r>
    </w:p>
    <w:p w:rsidR="00DC20D7" w:rsidRPr="003A594D" w:rsidRDefault="00DC20D7" w:rsidP="00DC20D7">
      <w:pPr>
        <w:spacing w:line="360" w:lineRule="auto"/>
        <w:ind w:firstLine="709"/>
        <w:jc w:val="both"/>
        <w:rPr>
          <w:sz w:val="28"/>
          <w:lang w:val="uk-UA"/>
        </w:rPr>
      </w:pPr>
      <w:r w:rsidRPr="003A594D">
        <w:rPr>
          <w:sz w:val="28"/>
          <w:lang w:val="uk-UA"/>
        </w:rPr>
        <w:t>3. Хворим на НАСГ у поєднанні з ЦД 2 типу для усунення мітохондріальної дисфункції і зменшення прогресування захворювання рекомендовано призначення комбінації препаратів L-карнітину в дозі 2 капсули 3 рази на добу (457,2 мг карнітину), депротеінізованого гемодеривату крові телят у вигляді розчину для інфузій 10 % (1000 мг) – 250 мл у фізіологічному розчині протягом 10 днів, із подальшим переходом на прийом препарату всередину по 1 таблетці 3 рази на добу (600 мг), фолієвої кислоти в дозі 1 таблетка 2 рази на добу (10 мг). Курс лікування 1 місяць.</w:t>
      </w:r>
    </w:p>
    <w:p w:rsidR="00DC20D7" w:rsidRPr="003A594D" w:rsidRDefault="00DC20D7" w:rsidP="00DC20D7">
      <w:pPr>
        <w:spacing w:line="360" w:lineRule="auto"/>
        <w:ind w:firstLine="720"/>
        <w:jc w:val="both"/>
        <w:rPr>
          <w:sz w:val="32"/>
          <w:szCs w:val="28"/>
          <w:lang w:val="uk-UA"/>
        </w:rPr>
      </w:pPr>
    </w:p>
    <w:p w:rsidR="00DC20D7" w:rsidRPr="003A594D" w:rsidRDefault="00DC20D7" w:rsidP="00DC20D7">
      <w:pPr>
        <w:spacing w:line="360" w:lineRule="auto"/>
        <w:ind w:firstLine="720"/>
        <w:jc w:val="both"/>
        <w:rPr>
          <w:sz w:val="28"/>
          <w:szCs w:val="28"/>
          <w:lang w:val="uk-UA"/>
        </w:rPr>
      </w:pPr>
    </w:p>
    <w:p w:rsidR="00DC20D7" w:rsidRPr="003A594D" w:rsidRDefault="00DC20D7" w:rsidP="00DC20D7">
      <w:pPr>
        <w:spacing w:line="360" w:lineRule="auto"/>
        <w:ind w:firstLine="720"/>
        <w:jc w:val="both"/>
        <w:rPr>
          <w:sz w:val="28"/>
          <w:szCs w:val="28"/>
          <w:lang w:val="uk-UA"/>
        </w:rPr>
      </w:pPr>
    </w:p>
    <w:p w:rsidR="00DC20D7" w:rsidRPr="003A594D" w:rsidRDefault="00DC20D7" w:rsidP="00DC20D7">
      <w:pPr>
        <w:spacing w:line="360" w:lineRule="auto"/>
        <w:ind w:firstLine="720"/>
        <w:jc w:val="both"/>
        <w:rPr>
          <w:sz w:val="28"/>
          <w:szCs w:val="28"/>
          <w:lang w:val="uk-UA"/>
        </w:rPr>
      </w:pPr>
    </w:p>
    <w:p w:rsidR="00DC20D7" w:rsidRPr="003A594D" w:rsidRDefault="00DC20D7" w:rsidP="00DC20D7">
      <w:pPr>
        <w:spacing w:line="360" w:lineRule="auto"/>
        <w:ind w:firstLine="720"/>
        <w:jc w:val="both"/>
        <w:rPr>
          <w:sz w:val="28"/>
          <w:szCs w:val="28"/>
          <w:lang w:val="uk-UA"/>
        </w:rPr>
      </w:pPr>
    </w:p>
    <w:p w:rsidR="00DC20D7" w:rsidRPr="003A594D" w:rsidRDefault="00DC20D7" w:rsidP="00DC20D7">
      <w:pPr>
        <w:spacing w:line="360" w:lineRule="auto"/>
        <w:ind w:firstLine="720"/>
        <w:jc w:val="both"/>
        <w:rPr>
          <w:sz w:val="28"/>
          <w:szCs w:val="28"/>
          <w:lang w:val="uk-UA"/>
        </w:rPr>
      </w:pPr>
    </w:p>
    <w:p w:rsidR="00DC20D7" w:rsidRPr="003A594D" w:rsidRDefault="00DC20D7" w:rsidP="00DC20D7">
      <w:pPr>
        <w:spacing w:line="360" w:lineRule="auto"/>
        <w:ind w:firstLine="720"/>
        <w:jc w:val="both"/>
        <w:rPr>
          <w:sz w:val="28"/>
          <w:szCs w:val="28"/>
          <w:lang w:val="uk-UA"/>
        </w:rPr>
      </w:pPr>
    </w:p>
    <w:p w:rsidR="00DC20D7" w:rsidRPr="003A594D" w:rsidRDefault="00DC20D7" w:rsidP="00DC20D7">
      <w:pPr>
        <w:spacing w:line="360" w:lineRule="auto"/>
        <w:jc w:val="both"/>
        <w:rPr>
          <w:sz w:val="28"/>
          <w:szCs w:val="28"/>
          <w:lang w:val="uk-UA"/>
        </w:rPr>
      </w:pPr>
    </w:p>
    <w:p w:rsidR="00DC20D7" w:rsidRPr="003A594D" w:rsidRDefault="00DC20D7" w:rsidP="00DC20D7">
      <w:pPr>
        <w:tabs>
          <w:tab w:val="left" w:pos="1440"/>
        </w:tabs>
        <w:spacing w:line="360" w:lineRule="auto"/>
        <w:ind w:firstLine="709"/>
        <w:jc w:val="center"/>
        <w:rPr>
          <w:b/>
          <w:sz w:val="28"/>
          <w:szCs w:val="28"/>
          <w:lang w:val="uk-UA"/>
        </w:rPr>
      </w:pPr>
      <w:r w:rsidRPr="003A594D">
        <w:rPr>
          <w:b/>
          <w:sz w:val="28"/>
          <w:szCs w:val="28"/>
          <w:lang w:val="uk-UA"/>
        </w:rPr>
        <w:lastRenderedPageBreak/>
        <w:t>СПИСОК ВИКОРИСТАНОЇ ЛІТЕРАТУРИ:</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Андрушко І.І. Рівні гомоцістеіну, цистеіну та аргініну у практично здорових осіб: вікові та статеві особливості / І.І.Андрушко // Український кардіологічний журнал. – 2008. – № 5. – С. 89–95.</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Анохина Г.А. Митохондриальные нарушения, их роль в патогенезе жировой болезни печени и особенности лечения / Г.А. Анохина, Н.В. Харченко //  Здоровье Украины. – 2012. – № 1 (23). – С. 58–59.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Анохина Г.А., Харченко В.В. Патогенетические аспекты профилактики и лечения фиброза печени у больных неалкогольным стеатогепатитом / Г.А. Анохина, В.В. Харченко // Сучасна гастроентерологія. – 2013. – № 4 (72). – С. 82–86.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Артемчук М.А. Синдром гіпергомоцистеїнемії – принципи лікування та підходи до класифікації гіпогомоцистеїнемічних лікарських препаратів, засновані на аналізі механізму їх дії // Biomedical and Biosocial Anthropology. – 2007. – Т. 9. – С. 47–51.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Бабак О.Я. Достижения и перспективы гастроэнтерологии / О.Я.Бабак // Сучасна гастроентерологія. – 2009. – № 6 (50). – С. 6–25.</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Бабак О.Я. Клиническое значение и диагностическая тактика при повышении уровня трансаминаз в сыворотке крови при отсутствии клинических проявлений / О.Я. Бабак // Мистецтво лікування. – 2006. – № 8. – С.7– 13.</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Бабак О.Я. Причины и метаболические последствия неалкогольной жировой болезни печени / О.Я. Бабак // Сучасна гастроентерол.— 2010.— № 4 (54).— С. 8—16.</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Бивалькевич Н.В. Взаимосвязь экспрессии гемоксигеназы–1 и активности апоптотических процессов в печени крыс при неалкогольном стеатогепатите. / Н.В. Бивалькевич, Ю.К. Караман // Pacific Medical Journal. – 2013. – № 3. – С. 25 – 28.</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Богомолов П.О. Неалкогольная жировая болезнь печени: стеатоз и неалкогольный стеатогепатит</w:t>
      </w:r>
      <w:r w:rsidRPr="003A594D">
        <w:rPr>
          <w:rStyle w:val="apple-converted-space"/>
          <w:sz w:val="28"/>
          <w:szCs w:val="28"/>
          <w:lang w:val="uk-UA"/>
        </w:rPr>
        <w:t xml:space="preserve"> / П.О. Богомолов // </w:t>
      </w:r>
      <w:r w:rsidRPr="003A594D">
        <w:rPr>
          <w:sz w:val="28"/>
          <w:szCs w:val="28"/>
          <w:lang w:val="uk-UA"/>
        </w:rPr>
        <w:t>Клинические перспективы гастроэнтерологии,</w:t>
      </w:r>
      <w:r w:rsidRPr="003A594D">
        <w:rPr>
          <w:rStyle w:val="apple-converted-space"/>
          <w:sz w:val="28"/>
          <w:szCs w:val="28"/>
          <w:lang w:val="uk-UA"/>
        </w:rPr>
        <w:t> </w:t>
      </w:r>
      <w:r w:rsidRPr="003A594D">
        <w:rPr>
          <w:sz w:val="28"/>
          <w:szCs w:val="28"/>
          <w:lang w:val="uk-UA"/>
        </w:rPr>
        <w:t xml:space="preserve">гепатологии. – 2004. – № 3. – С. 20–27.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lastRenderedPageBreak/>
        <w:t>Буеверов А.О. Многоликий стеатогепатит / А.О. Буеверов // Клин. перспективы гастроэнт., гепатологии. – 2012. – № 3. – С. 3–9.</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Буеверова Е.Л. Атерогенная дислипидемия и печень / Е.Л. Буеверова, О.М. Драпкина, В.Т. Ивашкин // Российские медицинские вести. – 2008. – Том 8. – № 1. – С. 17–23.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Вдовиченко В.І. Поширеність неалкогольної жирової хвороби печінки серед померлих, які страждали на цукровий діабет 2 типу / В.І. Вдовиченко, Х.Б. Аксентійчук // Сучасна гастроентерологія. – 2013. – № 1 (69). – С. 41–46.</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Гастроэнтерология. Гепатология / под ред. Николаса А. Бунаж. Ники Р. Колледжа и др.; пер. с англ. под ред. В.Т.Ивашкина. – М.: ООО «Рид Элсивер», 2009. – С.152–154.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Гомоцистеин – предиктор патологических изменений в организме человека / И.И. Мирошниченко, С.Н. Птицына, Н.Н. Кузнецова, Ю.М. Калмыков // Рос. Мед. Журнал. – 2009. – № 4. – С. 224–226. </w:t>
      </w:r>
    </w:p>
    <w:p w:rsidR="00DC20D7" w:rsidRPr="003A594D" w:rsidRDefault="00DC20D7" w:rsidP="00DC20D7">
      <w:pPr>
        <w:pStyle w:val="aa"/>
        <w:numPr>
          <w:ilvl w:val="0"/>
          <w:numId w:val="10"/>
        </w:numPr>
        <w:spacing w:line="360" w:lineRule="auto"/>
        <w:jc w:val="both"/>
        <w:rPr>
          <w:spacing w:val="-1"/>
          <w:sz w:val="28"/>
          <w:szCs w:val="28"/>
          <w:lang w:val="uk-UA"/>
        </w:rPr>
      </w:pPr>
      <w:r w:rsidRPr="003A594D">
        <w:rPr>
          <w:sz w:val="28"/>
          <w:szCs w:val="28"/>
          <w:lang w:val="uk-UA"/>
        </w:rPr>
        <w:t>Гречанина Е. Я. Сравнительная характеристика частот алелей С677Т, MTHFR, A66C MTRR генов системы фолатного цикла и ВПР ЦНС / Е. Я. Гре</w:t>
      </w:r>
      <w:r w:rsidRPr="003A594D">
        <w:rPr>
          <w:sz w:val="28"/>
          <w:szCs w:val="28"/>
          <w:lang w:val="uk-UA"/>
        </w:rPr>
        <w:softHyphen/>
        <w:t xml:space="preserve">чанина, В. А. Гусар, Ю. Б.   Гречанина // Maтepiaли міжнародної конференції «Плід як частина родини», 16–18 червня 2009 р., Харків–Одеса. Ультразвукова </w:t>
      </w:r>
      <w:r w:rsidRPr="003A594D">
        <w:rPr>
          <w:spacing w:val="-1"/>
          <w:sz w:val="28"/>
          <w:szCs w:val="28"/>
          <w:lang w:val="uk-UA"/>
        </w:rPr>
        <w:t xml:space="preserve">перинатальна діагностика. – 2009. – № 27–28. – С.4–12.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Губергриц Н.Б. L–карнитин: от биохимических свойств к клиническому применению / Н.Б. Губергриц, О.А. Голубова, Г.М. Лукашевич // Сучасна гастроентерол.— 2012.— № 2 (64).— С. 114—121.</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Губергриц Н.Б. Синдром повреждения клеток (цитолиза) в практике гастроэнтеролога: диагностика и терапевтическая тактика / Н.Б. Губергриц, Г.М. Лукашевич, Ю.А. Загоренко // Новости медицины и фармации. – 2008. – №  251. – С. 9–15.</w:t>
      </w:r>
    </w:p>
    <w:p w:rsidR="00DC20D7" w:rsidRPr="003A594D" w:rsidRDefault="00DC20D7" w:rsidP="00DC20D7">
      <w:pPr>
        <w:numPr>
          <w:ilvl w:val="0"/>
          <w:numId w:val="10"/>
        </w:numPr>
        <w:spacing w:line="360" w:lineRule="auto"/>
        <w:jc w:val="both"/>
        <w:rPr>
          <w:sz w:val="28"/>
          <w:szCs w:val="28"/>
          <w:u w:val="single"/>
          <w:lang w:val="uk-UA"/>
        </w:rPr>
      </w:pPr>
      <w:r w:rsidRPr="003A594D">
        <w:rPr>
          <w:sz w:val="28"/>
          <w:szCs w:val="28"/>
          <w:lang w:val="uk-UA"/>
        </w:rPr>
        <w:t>Гіпергомоцистеїнемія: стан проблеми / В.Б. Жукова, Ю.В. Протас, К.Ю. Гніденко, І.І. Зелена  // Сучасна гастроентерологія.— 2006.— № 1 (27).— С. 87—92.</w:t>
      </w:r>
    </w:p>
    <w:p w:rsidR="00DC20D7" w:rsidRPr="003A594D" w:rsidRDefault="00DC20D7" w:rsidP="00DC20D7">
      <w:pPr>
        <w:pStyle w:val="21"/>
        <w:numPr>
          <w:ilvl w:val="0"/>
          <w:numId w:val="10"/>
        </w:numPr>
        <w:spacing w:line="360" w:lineRule="auto"/>
        <w:jc w:val="both"/>
        <w:rPr>
          <w:sz w:val="28"/>
          <w:szCs w:val="28"/>
          <w:shd w:val="clear" w:color="auto" w:fill="FFFFFF"/>
          <w:lang w:val="uk-UA"/>
        </w:rPr>
      </w:pPr>
      <w:r w:rsidRPr="003A594D">
        <w:rPr>
          <w:sz w:val="28"/>
          <w:szCs w:val="28"/>
          <w:shd w:val="clear" w:color="auto" w:fill="FFFFFF"/>
          <w:lang w:val="uk-UA"/>
        </w:rPr>
        <w:lastRenderedPageBreak/>
        <w:t xml:space="preserve">Драпкина О.М. Неалкогольная жировая болезнь печени – современный взгляд на проблему / О.М. Драпкина, B.И. Смирин, В.Т. Ивашкин // Лечащий врач. – 2010. – Том 5, № 5. – С. 57–61.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Драпкина О.М. Патогенез, лечение и эпидемиология НАЖБП – что нового? Эпидемиология НАЖБП в России / О.М. Драпкина, В.И. Смирин, В.Т. Ивашкин // Российский медицинский журнал – 2011. – № 28. – С. 1717–1721.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Драпкина О.М. Роль интерниста в лечении неалкогольной жировой болезни печени /</w:t>
      </w:r>
      <w:r w:rsidRPr="003A594D">
        <w:rPr>
          <w:rStyle w:val="refauthors"/>
          <w:sz w:val="28"/>
          <w:szCs w:val="28"/>
          <w:shd w:val="clear" w:color="auto" w:fill="FFFFFF"/>
          <w:lang w:val="uk-UA"/>
        </w:rPr>
        <w:t xml:space="preserve"> О.М. Драпкина, М.В. Костюкевич</w:t>
      </w:r>
      <w:r w:rsidRPr="003A594D">
        <w:rPr>
          <w:sz w:val="28"/>
          <w:szCs w:val="28"/>
          <w:lang w:val="uk-UA"/>
        </w:rPr>
        <w:t xml:space="preserve"> // Рос. мед. вести – 2012. – Т.XVII. – № 2. – С. 32–39.</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Заболевания печени и желчевыделительной системы / Вольфганг Герок, Хуберт Е. Блюм ; пер. с нем.; под общ. ред. Акад. РАМН В.Т.Ивашкина, проф. А.А. Шептулина. – М.: МЕДпресс–информ, 2009. – 200 с. : ил.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Зайченко О.Е. Терапевтические мишени при неалкогольной жировой болезни печени / О.Е. Зайченко // Сучасна гастроентерол.— 2014.— № 1 (75).— С. 130—138.</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Звенигородская Л.А. Клинико–функциональные и морфологические изменения в печени у больных с метаболическим синдромом / Л.А. Звенигородская // Consilium Medicum. – 2007. – № 2. – С. 3–10.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Звенигородская Л.А. Оксид азота как маркер воспаления при стеатогепатите у больных с метаболическим синдромом / Л.А. Звенигородская, Т.А. Нилова // РМЖ. – 2008. – № 2. – С. 47–50. </w:t>
      </w:r>
    </w:p>
    <w:p w:rsidR="00DC20D7" w:rsidRPr="003A594D" w:rsidRDefault="00DC20D7" w:rsidP="00DC20D7">
      <w:pPr>
        <w:pStyle w:val="aa"/>
        <w:numPr>
          <w:ilvl w:val="0"/>
          <w:numId w:val="10"/>
        </w:numPr>
        <w:spacing w:line="360" w:lineRule="auto"/>
        <w:jc w:val="both"/>
        <w:rPr>
          <w:rStyle w:val="apple-converted-space"/>
          <w:lang w:val="uk-UA"/>
        </w:rPr>
      </w:pPr>
      <w:r w:rsidRPr="003A594D">
        <w:rPr>
          <w:sz w:val="28"/>
          <w:szCs w:val="28"/>
          <w:lang w:val="uk-UA"/>
        </w:rPr>
        <w:t>Звягинцева Т.Д. Метаболический синдром и органы пищеварения / Звягинцева Т.Д., Чернобай А.И. //  Здоров’я України. – 2009. – № 6/1. – С. 38–39.</w:t>
      </w:r>
      <w:r w:rsidRPr="003A594D">
        <w:rPr>
          <w:rStyle w:val="apple-converted-space"/>
          <w:sz w:val="28"/>
          <w:szCs w:val="28"/>
          <w:lang w:val="uk-UA"/>
        </w:rPr>
        <w:t> </w:t>
      </w:r>
    </w:p>
    <w:p w:rsidR="00DC20D7" w:rsidRPr="003A594D" w:rsidRDefault="00DC20D7" w:rsidP="00DC20D7">
      <w:pPr>
        <w:pStyle w:val="aa"/>
        <w:numPr>
          <w:ilvl w:val="0"/>
          <w:numId w:val="10"/>
        </w:numPr>
        <w:spacing w:line="360" w:lineRule="auto"/>
        <w:jc w:val="both"/>
        <w:rPr>
          <w:rStyle w:val="apple-converted-space"/>
          <w:sz w:val="28"/>
          <w:szCs w:val="28"/>
          <w:lang w:val="uk-UA"/>
        </w:rPr>
      </w:pPr>
      <w:r w:rsidRPr="003A594D">
        <w:rPr>
          <w:sz w:val="28"/>
          <w:szCs w:val="28"/>
          <w:lang w:val="uk-UA"/>
        </w:rPr>
        <w:t>Звягинцева Т.Д. Применение препарата Антраль в лечении неалкогольного стеатогепатита: настоящее и будущее / Звягинцева Т.Д., Чернобай А.И.  // Здоров’я України. – 2009. – №. 1–2. – С. 68–69.</w:t>
      </w:r>
      <w:r w:rsidRPr="003A594D">
        <w:rPr>
          <w:rStyle w:val="apple-converted-space"/>
          <w:sz w:val="28"/>
          <w:szCs w:val="28"/>
          <w:lang w:val="uk-UA"/>
        </w:rPr>
        <w:t> </w:t>
      </w:r>
    </w:p>
    <w:p w:rsidR="00DC20D7" w:rsidRPr="003A594D" w:rsidRDefault="00DC20D7" w:rsidP="00DC20D7">
      <w:pPr>
        <w:pStyle w:val="aa"/>
        <w:numPr>
          <w:ilvl w:val="0"/>
          <w:numId w:val="10"/>
        </w:numPr>
        <w:spacing w:line="360" w:lineRule="auto"/>
        <w:jc w:val="both"/>
        <w:rPr>
          <w:lang w:val="uk-UA"/>
        </w:rPr>
      </w:pPr>
      <w:r w:rsidRPr="003A594D">
        <w:rPr>
          <w:sz w:val="28"/>
          <w:szCs w:val="28"/>
          <w:lang w:val="uk-UA"/>
        </w:rPr>
        <w:t xml:space="preserve">Звягинцева Т.Д. Современные подходы к лечению неалкогольного стеатогепатита / Т.Д. Звягинцева // Сучасна гастроентерологія. – 2009. – № 3. – С. 35–42.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lastRenderedPageBreak/>
        <w:t>Ивашкин В.Т., Драпкина О.М. Рекомендации по диагностике и лечения  неалкогольной жировой болезни печени (НАЖБП). Москва, 2012. – 25с.</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Ивашкин В.Т., Павлов Ч.С. Фиброз печени. – М.: ГЭОДАР–Медиа, 2011. – 168 с.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Комшилова К.А. Неалкогольная жировая болезнь печени при ожирении / К.А. Комшилова, Е.А. Трошина, С.А. Бутрова // Ожирение и метаболизм. – 2011. – № 3. – С. 3–11.</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Копелевич В.М. Витаминоподобные соединения L–карнитин и ацетил–L–карнитин: от биохимических исследований к медицинскому применению / В.М. Копелевич // Укр. біохім. журн.— 2005.— Т. 77, № 4.— С. 30—50.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Кособян Е.П. </w:t>
      </w:r>
      <w:r w:rsidRPr="00DC20D7">
        <w:rPr>
          <w:sz w:val="28"/>
          <w:szCs w:val="28"/>
        </w:rPr>
        <w:t>Современные</w:t>
      </w:r>
      <w:r w:rsidRPr="003A594D">
        <w:rPr>
          <w:sz w:val="28"/>
          <w:szCs w:val="28"/>
          <w:lang w:val="uk-UA"/>
        </w:rPr>
        <w:t xml:space="preserve"> концепции патогенеза неалкогольной жировой болезни печени / Е.П. Кособян, О.М Смирнова.  // Сахарный диабет – 2010.  –  № 1. – С. 55–64. </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t xml:space="preserve">Лазебник Л.Б. Роль NO в этиопатогенезе некоторых заболеваний органов пищеварения / Л.Б. Лазебник, В.Н. Дроздов, Е.Н.Барышников // Эксп. и клин. гастроэнт. – 2005. – № 2. – С. 4–11. </w:t>
      </w:r>
    </w:p>
    <w:p w:rsidR="00DC20D7" w:rsidRPr="003A594D" w:rsidRDefault="00DC20D7" w:rsidP="00DC20D7">
      <w:pPr>
        <w:numPr>
          <w:ilvl w:val="0"/>
          <w:numId w:val="10"/>
        </w:numPr>
        <w:spacing w:line="360" w:lineRule="auto"/>
        <w:jc w:val="both"/>
        <w:rPr>
          <w:lang w:val="uk-UA"/>
        </w:rPr>
      </w:pPr>
      <w:r w:rsidRPr="003A594D">
        <w:rPr>
          <w:sz w:val="28"/>
          <w:szCs w:val="28"/>
          <w:lang w:val="uk-UA"/>
        </w:rPr>
        <w:t>Маммаев С.Н. Показатели цитокиновой системы у больных неалкогольным стеатогепатитом / С.Н. Маммаев, З.А. Халимова, А.М. Каримова // Вестник национального медико–хирургического центра им НИ Пирогова. – 2007. – Т. 2. – № 2 – С. 77–80.</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t>Манухина Е.Б. Защитные и повреждающие эффекты периодической гипоксии: Роль оксида азота / Е.Б. Манухина, Х.Ф. Дауни, Р.Т. Маллет, И.Ю. Малышев // Вестник Росс.</w:t>
      </w:r>
      <w:r w:rsidRPr="003A594D">
        <w:rPr>
          <w:sz w:val="28"/>
          <w:szCs w:val="28"/>
          <w:lang w:val="uk-UA"/>
        </w:rPr>
        <w:t xml:space="preserve"> </w:t>
      </w:r>
      <w:r w:rsidRPr="003A594D">
        <w:rPr>
          <w:rStyle w:val="apple-style-span"/>
          <w:sz w:val="28"/>
          <w:szCs w:val="28"/>
          <w:lang w:val="uk-UA"/>
        </w:rPr>
        <w:t xml:space="preserve">АМН. – 2007. –  № 2. – С. 25–33. </w:t>
      </w:r>
    </w:p>
    <w:p w:rsidR="00DC20D7" w:rsidRPr="003A594D" w:rsidRDefault="00DC20D7" w:rsidP="00DC20D7">
      <w:pPr>
        <w:numPr>
          <w:ilvl w:val="0"/>
          <w:numId w:val="10"/>
        </w:numPr>
        <w:spacing w:line="360" w:lineRule="auto"/>
        <w:jc w:val="both"/>
        <w:rPr>
          <w:lang w:val="uk-UA"/>
        </w:rPr>
      </w:pPr>
      <w:r w:rsidRPr="003A594D">
        <w:rPr>
          <w:sz w:val="28"/>
          <w:szCs w:val="28"/>
          <w:lang w:val="uk-UA"/>
        </w:rPr>
        <w:t>Марущак М.І. Механізми формування метаболічних порушень при діабетичному стеатогепатиті / М.І. Марущак, М.М. Антонічев, Л.П. Мазур // Сучасна гастроентерологія. – 2013. – № 2 (70). – С. 30–34.</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Мехтиев С.Н. Неалкогольная жировая болезнь печени: клиника, диагностика, лечение / С.Н. Мехтиев, В.Б. Гриневич, Ю.А. Кравчук, А.В. Бращенкова // Лечащий врач. 2008. – № 2.  – С. 29–37.</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lastRenderedPageBreak/>
        <w:t xml:space="preserve">Нагорная Н.В. Оксидативный стресс: влияние на организм человека, методы оценки / Н.В. Нагорная, Н.А. Четверик // Новости медицины и фармации. – 2010. – №2 (23). – С. 58–60.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Нарушение баланса в цитокиновой системе у больных неалкогольным стеатогепатитом /  А.Ш. Хасаев, С.Н. Маммаев, Н.В. Багомедова </w:t>
      </w:r>
      <w:r w:rsidRPr="003A594D">
        <w:rPr>
          <w:rStyle w:val="refauthors"/>
          <w:sz w:val="28"/>
          <w:szCs w:val="28"/>
          <w:shd w:val="clear" w:color="auto" w:fill="FFFFFF"/>
          <w:lang w:val="uk-UA"/>
        </w:rPr>
        <w:t>[</w:t>
      </w:r>
      <w:r w:rsidRPr="003A594D">
        <w:rPr>
          <w:sz w:val="28"/>
          <w:szCs w:val="28"/>
          <w:lang w:val="uk-UA"/>
        </w:rPr>
        <w:t>и др.</w:t>
      </w:r>
      <w:r w:rsidRPr="003A594D">
        <w:rPr>
          <w:rStyle w:val="refauthors"/>
          <w:sz w:val="28"/>
          <w:szCs w:val="28"/>
          <w:shd w:val="clear" w:color="auto" w:fill="FFFFFF"/>
          <w:lang w:val="uk-UA"/>
        </w:rPr>
        <w:t xml:space="preserve">] </w:t>
      </w:r>
      <w:r w:rsidRPr="003A594D">
        <w:rPr>
          <w:sz w:val="28"/>
          <w:szCs w:val="28"/>
          <w:lang w:val="uk-UA"/>
        </w:rPr>
        <w:t>// Сборник материалов Республиканской научно–практической конференции, посвященный 90– летию проф. Максудова М.М., Махачкала. – 2006. – С. 390–396.</w:t>
      </w:r>
    </w:p>
    <w:p w:rsidR="00DC20D7" w:rsidRPr="003A594D" w:rsidRDefault="00DC20D7" w:rsidP="00DC20D7">
      <w:pPr>
        <w:pStyle w:val="Style2"/>
        <w:widowControl/>
        <w:numPr>
          <w:ilvl w:val="0"/>
          <w:numId w:val="10"/>
        </w:numPr>
        <w:tabs>
          <w:tab w:val="left" w:pos="528"/>
        </w:tabs>
        <w:spacing w:line="360" w:lineRule="auto"/>
        <w:ind w:right="10"/>
        <w:jc w:val="both"/>
        <w:rPr>
          <w:rStyle w:val="FontStyle11"/>
          <w:b w:val="0"/>
          <w:bCs/>
          <w:sz w:val="28"/>
          <w:szCs w:val="28"/>
          <w:lang w:val="uk-UA" w:eastAsia="uk-UA"/>
        </w:rPr>
      </w:pPr>
      <w:r w:rsidRPr="003A594D">
        <w:rPr>
          <w:rStyle w:val="FontStyle11"/>
          <w:b w:val="0"/>
          <w:bCs/>
          <w:sz w:val="28"/>
          <w:szCs w:val="28"/>
          <w:lang w:val="uk-UA" w:eastAsia="uk-UA"/>
        </w:rPr>
        <w:t xml:space="preserve">Нові аспекти фізіологічної дії продуктів транссульфування сірковмісних амінокислот/ Н.О. Пентюк, Н.В. Заічко, А.В. Мельник, </w:t>
      </w:r>
      <w:r w:rsidRPr="003A594D">
        <w:rPr>
          <w:rStyle w:val="FontStyle11"/>
          <w:b w:val="0"/>
          <w:bCs/>
          <w:spacing w:val="-20"/>
          <w:sz w:val="28"/>
          <w:szCs w:val="28"/>
          <w:lang w:val="uk-UA" w:eastAsia="uk-UA"/>
        </w:rPr>
        <w:t>І.І.</w:t>
      </w:r>
      <w:r w:rsidRPr="003A594D">
        <w:rPr>
          <w:rStyle w:val="FontStyle11"/>
          <w:b w:val="0"/>
          <w:bCs/>
          <w:sz w:val="28"/>
          <w:szCs w:val="28"/>
          <w:lang w:val="uk-UA" w:eastAsia="uk-UA"/>
        </w:rPr>
        <w:t xml:space="preserve"> Андрушко [та ін.]. // Матеріали Всеукраїнської науково–практичної конференції «Досягнення і перспективи експериментальної і клінічної біохімії», 8–9 жовтня 2009 р., Тер</w:t>
      </w:r>
      <w:r w:rsidRPr="003A594D">
        <w:rPr>
          <w:rStyle w:val="FontStyle11"/>
          <w:b w:val="0"/>
          <w:bCs/>
          <w:sz w:val="28"/>
          <w:szCs w:val="28"/>
          <w:lang w:val="uk-UA" w:eastAsia="uk-UA"/>
        </w:rPr>
        <w:softHyphen/>
        <w:t xml:space="preserve">нопіль. – Медична хімія. – 2009. – Т. II, № 4. – С. 164. </w:t>
      </w:r>
    </w:p>
    <w:p w:rsidR="00DC20D7" w:rsidRPr="003A594D" w:rsidRDefault="00DC20D7" w:rsidP="00DC20D7">
      <w:pPr>
        <w:numPr>
          <w:ilvl w:val="0"/>
          <w:numId w:val="10"/>
        </w:numPr>
        <w:spacing w:line="360" w:lineRule="auto"/>
        <w:jc w:val="both"/>
        <w:rPr>
          <w:rStyle w:val="FontStyle11"/>
          <w:b w:val="0"/>
          <w:sz w:val="28"/>
          <w:szCs w:val="28"/>
          <w:u w:val="single"/>
          <w:lang w:val="uk-UA"/>
        </w:rPr>
      </w:pPr>
      <w:r w:rsidRPr="003A594D">
        <w:rPr>
          <w:sz w:val="28"/>
          <w:szCs w:val="28"/>
          <w:lang w:val="uk-UA"/>
        </w:rPr>
        <w:t>Особенности лечения неалкогольного стеатогепатита больных сахарным диабетом / Н.В. Харченко, Г.А. Анохина, В.В. Харченко // Сучасна гастроентерологія. – 2011. – № 2 (58). – С. 60–64.</w:t>
      </w:r>
      <w:r w:rsidRPr="003A594D">
        <w:rPr>
          <w:sz w:val="28"/>
          <w:szCs w:val="28"/>
          <w:u w:val="single"/>
          <w:lang w:val="uk-UA"/>
        </w:rPr>
        <w:t xml:space="preserve"> </w:t>
      </w:r>
    </w:p>
    <w:p w:rsidR="00DC20D7" w:rsidRPr="003A594D" w:rsidRDefault="00DC20D7" w:rsidP="00DC20D7">
      <w:pPr>
        <w:numPr>
          <w:ilvl w:val="0"/>
          <w:numId w:val="10"/>
        </w:numPr>
        <w:spacing w:line="360" w:lineRule="auto"/>
        <w:jc w:val="both"/>
        <w:rPr>
          <w:rStyle w:val="refpages"/>
          <w:lang w:val="uk-UA"/>
        </w:rPr>
      </w:pPr>
      <w:r w:rsidRPr="003A594D">
        <w:rPr>
          <w:rStyle w:val="refpages"/>
          <w:sz w:val="28"/>
          <w:szCs w:val="28"/>
          <w:lang w:val="uk-UA"/>
        </w:rPr>
        <w:t>Пальгова Л.К. Генетические факторы патогенеза неалкогольной жировой болезни печени: фундаментальные и прикладные аспекты. Есть ли пути решения. / Л.К. Пальгова // Consilium medicum. – 2014. – № 01. – С. 12–23.</w:t>
      </w:r>
    </w:p>
    <w:p w:rsidR="00DC20D7" w:rsidRPr="003A594D" w:rsidRDefault="00DC20D7" w:rsidP="00DC20D7">
      <w:pPr>
        <w:pStyle w:val="21"/>
        <w:numPr>
          <w:ilvl w:val="0"/>
          <w:numId w:val="10"/>
        </w:numPr>
        <w:spacing w:line="360" w:lineRule="auto"/>
        <w:jc w:val="both"/>
        <w:rPr>
          <w:rStyle w:val="apple-converted-space"/>
          <w:shd w:val="clear" w:color="auto" w:fill="FFFFFF"/>
          <w:lang w:val="uk-UA"/>
        </w:rPr>
      </w:pPr>
      <w:r w:rsidRPr="003A594D">
        <w:rPr>
          <w:sz w:val="28"/>
          <w:szCs w:val="28"/>
          <w:shd w:val="clear" w:color="auto" w:fill="FFFFFF"/>
          <w:lang w:val="uk-UA"/>
        </w:rPr>
        <w:t>Парахонский А.П. Роль интерлейкина–6 в развитии инсулинорезистентности / А.П. Кособян // Фундаментальные исследования. – 2011. – № 1 – стр. 105–106</w:t>
      </w:r>
      <w:r w:rsidRPr="003A594D">
        <w:rPr>
          <w:rStyle w:val="apple-converted-space"/>
          <w:sz w:val="28"/>
          <w:szCs w:val="28"/>
          <w:shd w:val="clear" w:color="auto" w:fill="FFFFFF"/>
          <w:lang w:val="uk-UA"/>
        </w:rPr>
        <w:t>. </w:t>
      </w:r>
    </w:p>
    <w:p w:rsidR="00DC20D7" w:rsidRPr="003A594D" w:rsidRDefault="00DC20D7" w:rsidP="00DC20D7">
      <w:pPr>
        <w:pStyle w:val="21"/>
        <w:numPr>
          <w:ilvl w:val="0"/>
          <w:numId w:val="10"/>
        </w:numPr>
        <w:spacing w:line="360" w:lineRule="auto"/>
        <w:jc w:val="both"/>
        <w:rPr>
          <w:rStyle w:val="FontStyle15"/>
          <w:sz w:val="28"/>
          <w:szCs w:val="28"/>
          <w:lang w:val="uk-UA" w:eastAsia="uk-UA"/>
        </w:rPr>
      </w:pPr>
      <w:r w:rsidRPr="003A594D">
        <w:rPr>
          <w:rStyle w:val="FontStyle15"/>
          <w:sz w:val="28"/>
          <w:szCs w:val="28"/>
          <w:lang w:val="uk-UA" w:eastAsia="uk-UA"/>
        </w:rPr>
        <w:t>Пентюк Н.О. Вплив гіпергомоцистеїнемії та асоційованих з нею метаболі</w:t>
      </w:r>
      <w:r w:rsidRPr="003A594D">
        <w:rPr>
          <w:rStyle w:val="FontStyle15"/>
          <w:sz w:val="28"/>
          <w:szCs w:val="28"/>
          <w:lang w:val="uk-UA" w:eastAsia="uk-UA"/>
        </w:rPr>
        <w:softHyphen/>
        <w:t>чних порушень на прогресування фіброзу печінки у хворих на хронічні гепати</w:t>
      </w:r>
      <w:r w:rsidRPr="003A594D">
        <w:rPr>
          <w:rStyle w:val="FontStyle15"/>
          <w:sz w:val="28"/>
          <w:szCs w:val="28"/>
          <w:lang w:val="uk-UA" w:eastAsia="uk-UA"/>
        </w:rPr>
        <w:softHyphen/>
        <w:t xml:space="preserve">ти / Н.О. Пентюк, Н.В. Харченко // Сучасна гастроентерологія. – 2010. – № 5. – С. 26–32. </w:t>
      </w:r>
    </w:p>
    <w:p w:rsidR="00DC20D7" w:rsidRPr="003A594D" w:rsidRDefault="00DC20D7" w:rsidP="00DC20D7">
      <w:pPr>
        <w:pStyle w:val="Style2"/>
        <w:widowControl/>
        <w:numPr>
          <w:ilvl w:val="0"/>
          <w:numId w:val="10"/>
        </w:numPr>
        <w:tabs>
          <w:tab w:val="left" w:pos="533"/>
        </w:tabs>
        <w:spacing w:line="360" w:lineRule="auto"/>
        <w:ind w:right="24"/>
        <w:rPr>
          <w:rStyle w:val="FontStyle15"/>
          <w:sz w:val="28"/>
          <w:szCs w:val="28"/>
          <w:lang w:val="uk-UA" w:eastAsia="uk-UA"/>
        </w:rPr>
      </w:pPr>
      <w:r w:rsidRPr="003A594D">
        <w:rPr>
          <w:rStyle w:val="FontStyle15"/>
          <w:sz w:val="28"/>
          <w:szCs w:val="28"/>
          <w:lang w:val="uk-UA" w:eastAsia="uk-UA"/>
        </w:rPr>
        <w:t>Пентюк Н.О. Гіпергомоцистеїнемія у хворих на хронічні гепатити та циро</w:t>
      </w:r>
      <w:r w:rsidRPr="003A594D">
        <w:rPr>
          <w:rStyle w:val="FontStyle15"/>
          <w:sz w:val="28"/>
          <w:szCs w:val="28"/>
          <w:lang w:val="uk-UA" w:eastAsia="uk-UA"/>
        </w:rPr>
        <w:softHyphen/>
        <w:t xml:space="preserve">зи печінки. Зв’язок з забезпеченістю вітамінами В6, </w:t>
      </w:r>
      <w:r w:rsidRPr="003A594D">
        <w:rPr>
          <w:rStyle w:val="FontStyle13"/>
          <w:rFonts w:ascii="Times New Roman" w:hAnsi="Times New Roman"/>
          <w:sz w:val="28"/>
          <w:szCs w:val="28"/>
          <w:lang w:val="uk-UA" w:eastAsia="uk-UA"/>
        </w:rPr>
        <w:t xml:space="preserve">В9, </w:t>
      </w:r>
      <w:r w:rsidRPr="003A594D">
        <w:rPr>
          <w:rStyle w:val="FontStyle15"/>
          <w:sz w:val="28"/>
          <w:szCs w:val="28"/>
          <w:lang w:val="uk-UA" w:eastAsia="uk-UA"/>
        </w:rPr>
        <w:t>В</w:t>
      </w:r>
      <w:r w:rsidRPr="003A594D">
        <w:rPr>
          <w:rStyle w:val="FontStyle13"/>
          <w:rFonts w:ascii="Times New Roman" w:hAnsi="Times New Roman"/>
          <w:sz w:val="28"/>
          <w:szCs w:val="28"/>
          <w:lang w:val="uk-UA" w:eastAsia="uk-UA"/>
        </w:rPr>
        <w:t xml:space="preserve">12 </w:t>
      </w:r>
      <w:r w:rsidRPr="003A594D">
        <w:rPr>
          <w:rStyle w:val="FontStyle15"/>
          <w:sz w:val="28"/>
          <w:szCs w:val="28"/>
          <w:lang w:val="uk-UA" w:eastAsia="uk-UA"/>
        </w:rPr>
        <w:t>та важкістю захво</w:t>
      </w:r>
      <w:r w:rsidRPr="003A594D">
        <w:rPr>
          <w:rStyle w:val="FontStyle15"/>
          <w:sz w:val="28"/>
          <w:szCs w:val="28"/>
          <w:lang w:val="uk-UA" w:eastAsia="uk-UA"/>
        </w:rPr>
        <w:softHyphen/>
        <w:t>рювання / Н.О. Пентюк // Вісник проблем біології і медицини. – 2010. – № 3. –</w:t>
      </w:r>
      <w:r w:rsidRPr="003A594D">
        <w:rPr>
          <w:sz w:val="28"/>
          <w:szCs w:val="28"/>
          <w:bdr w:val="none" w:sz="0" w:space="0" w:color="auto" w:frame="1"/>
          <w:lang w:val="uk-UA"/>
        </w:rPr>
        <w:t xml:space="preserve"> </w:t>
      </w:r>
      <w:r w:rsidRPr="003A594D">
        <w:rPr>
          <w:rStyle w:val="FontStyle15"/>
          <w:sz w:val="28"/>
          <w:szCs w:val="28"/>
          <w:lang w:val="uk-UA" w:eastAsia="uk-UA"/>
        </w:rPr>
        <w:t xml:space="preserve">С.171–176. </w:t>
      </w:r>
    </w:p>
    <w:p w:rsidR="00DC20D7" w:rsidRPr="003A594D" w:rsidRDefault="00DC20D7" w:rsidP="00DC20D7">
      <w:pPr>
        <w:pStyle w:val="21"/>
        <w:numPr>
          <w:ilvl w:val="0"/>
          <w:numId w:val="10"/>
        </w:numPr>
        <w:spacing w:line="360" w:lineRule="auto"/>
        <w:jc w:val="both"/>
        <w:rPr>
          <w:bdr w:val="none" w:sz="0" w:space="0" w:color="auto" w:frame="1"/>
          <w:lang w:val="uk-UA"/>
        </w:rPr>
      </w:pPr>
      <w:r w:rsidRPr="003A594D">
        <w:rPr>
          <w:sz w:val="28"/>
          <w:szCs w:val="28"/>
          <w:bdr w:val="none" w:sz="0" w:space="0" w:color="auto" w:frame="1"/>
          <w:lang w:val="uk-UA"/>
        </w:rPr>
        <w:lastRenderedPageBreak/>
        <w:t xml:space="preserve">Пентюк О.О. Вітаміни В9, В12 та В6, поліморфізм ферментів їх обміну, зв’язок з метаболізмом гомоцистеїну, роль в патології. Ренесанс клінічної вітамінології // О.О. Пентюк, М.Б. Луцюк, І.І. Андрушко // Медична хімія. – 2007. – Т. 9, № 1. – С. 122–127.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Передерий В.Г., Ткач С.М. Практическая гастроэнтерология : руководство для врачей. – Винница: СПД Каштелянов А.И., 2011. – 776 с. : ил.</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Перекисное окисление липидов и антиоксидантная активность сыворотки крови у больных неалкогольным стеатогепатитом / С.Н. Мамаев, З.А.Халимова, П.О. Богомолов </w:t>
      </w:r>
      <w:r w:rsidRPr="003A594D">
        <w:rPr>
          <w:rStyle w:val="refauthors"/>
          <w:sz w:val="28"/>
          <w:szCs w:val="28"/>
          <w:shd w:val="clear" w:color="auto" w:fill="FFFFFF"/>
          <w:lang w:val="uk-UA"/>
        </w:rPr>
        <w:t>[</w:t>
      </w:r>
      <w:r w:rsidRPr="003A594D">
        <w:rPr>
          <w:sz w:val="28"/>
          <w:szCs w:val="28"/>
          <w:lang w:val="uk-UA"/>
        </w:rPr>
        <w:t>и др.</w:t>
      </w:r>
      <w:r w:rsidRPr="003A594D">
        <w:rPr>
          <w:rStyle w:val="refauthors"/>
          <w:sz w:val="28"/>
          <w:szCs w:val="28"/>
          <w:shd w:val="clear" w:color="auto" w:fill="FFFFFF"/>
          <w:lang w:val="uk-UA"/>
        </w:rPr>
        <w:t xml:space="preserve">] </w:t>
      </w:r>
      <w:r w:rsidRPr="003A594D">
        <w:rPr>
          <w:sz w:val="28"/>
          <w:szCs w:val="28"/>
          <w:lang w:val="uk-UA"/>
        </w:rPr>
        <w:t xml:space="preserve"> // Российский журнал гастроэнтерологии, гепатологии, колопроктологии, 2006 – Т. XVI – Прил. 27 «Материалы XI Российской конференции «Гепатология сегодня» – 2006. – №  I – С. 71.</w:t>
      </w:r>
    </w:p>
    <w:p w:rsidR="00DC20D7" w:rsidRPr="003A594D" w:rsidRDefault="00DC20D7" w:rsidP="00DC20D7">
      <w:pPr>
        <w:numPr>
          <w:ilvl w:val="0"/>
          <w:numId w:val="10"/>
        </w:numPr>
        <w:spacing w:line="360" w:lineRule="auto"/>
        <w:jc w:val="both"/>
        <w:rPr>
          <w:sz w:val="28"/>
          <w:szCs w:val="28"/>
          <w:lang w:val="uk-UA"/>
        </w:rPr>
      </w:pPr>
      <w:r w:rsidRPr="003A594D">
        <w:rPr>
          <w:sz w:val="28"/>
          <w:szCs w:val="28"/>
          <w:shd w:val="clear" w:color="auto" w:fill="FFFFFF"/>
          <w:lang w:val="uk-UA"/>
        </w:rPr>
        <w:t>Показатели цитокиновой системы у больных неалкогольным стеатогепатитом / А.И. Мажидов, С.Н. Маммаев, З.А. Халимова, А.М. Каримова // Вестник национального медико–хирургического центра им НИ Пирогова. – 2007. – Т. 2. – № 2. – С.77–80.</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Ранние признаки атеросклероза у больных с неалкогольной жировой болезнью печени / Г.Д. Фадеенко, Т.А. Соломенцева, И.Э. Довганюк, К.А. Сытник // Сучасна гастроентерологія. – 2014. – № 4 (78). – С. 32–38.</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Регуляторная роль оксида азота и монооксида углерода при окислительном стрессе в условиях экспериментальной дислипидемии. / Ю.К. Караман, Т.П. Новгородцева, Н.В. Бивалькевич </w:t>
      </w:r>
      <w:r w:rsidRPr="003A594D">
        <w:rPr>
          <w:rStyle w:val="refauthors"/>
          <w:sz w:val="28"/>
          <w:szCs w:val="28"/>
          <w:shd w:val="clear" w:color="auto" w:fill="FFFFFF"/>
          <w:lang w:val="uk-UA"/>
        </w:rPr>
        <w:t>[</w:t>
      </w:r>
      <w:r w:rsidRPr="003A594D">
        <w:rPr>
          <w:sz w:val="28"/>
          <w:szCs w:val="28"/>
          <w:lang w:val="uk-UA"/>
        </w:rPr>
        <w:t>и др.</w:t>
      </w:r>
      <w:r w:rsidRPr="003A594D">
        <w:rPr>
          <w:rStyle w:val="refauthors"/>
          <w:sz w:val="28"/>
          <w:szCs w:val="28"/>
          <w:shd w:val="clear" w:color="auto" w:fill="FFFFFF"/>
          <w:lang w:val="uk-UA"/>
        </w:rPr>
        <w:t xml:space="preserve">] </w:t>
      </w:r>
      <w:r w:rsidRPr="003A594D">
        <w:rPr>
          <w:sz w:val="28"/>
          <w:szCs w:val="28"/>
          <w:lang w:val="uk-UA"/>
        </w:rPr>
        <w:t xml:space="preserve"> // Рос. физиол. журнал. – 2010. – № 5. – С. 529–538.</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Рекомендации экспертов всероссийского научного общества кардиологов по диагностике и лечению метаболического синдрома. Второй пересмотр. – М. – 2009. – с. 32.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Селивестров П.В. Оптимизация терапии больных неалкогольной жировой болезнью печени / П.В. Селивестров, В.Г. Радченко // РЖГГК. – 2014. – № 4. – С. 39–44.</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lastRenderedPageBreak/>
        <w:t xml:space="preserve">Семендяева М. Е. Неалкогольная жировая болезнь печени как медицинская и социальная проблема / М. Е. Семендяева // Клиническая практика. –  2012. – № 2. – С. 71–80.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Скрыпник И.Н. Оценка терапевтических подходов к лечения неалкогольного стеатогепатит в Украине и его взаимосвязь с факторами риска: результаты открытого мультицентрового перспективного исследования DIREG_L_04443 // Сучасна гастроентерол. – 2013. – №. 2 (70). – С. 64–71.</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Скрыпник И.Н. Роль гипоксии в развитии заболеваний органов пищеварения и обоснование применения антигипоксантов в гастроэнтерологии / И.Н. Скрыпник, А.В. Вахненко // Сучасна гастроентерологія. – 2010. – № 4 (54). – С. 90–100.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Скрыпник И.Н. Роль и место Актовегина в комплексной терапии заболеваний органов пищеварения / И.Н. Скрыпник, А.В. Вахненко // Здоров’я України. – 2010. – № 13–14 (242–243). – С. 34–36.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Стельмах В.В. Энерготропная патогенетически ориентированная терапия сукцинатсодержащими препаратами при неалкогольной жировой болезни печени: перспективы клинического применения / В.В. Стельмах, В.К. Козлов, В.Л. Баранов, Э.Л. Латария [и др.]. // Мед. алфавит. Гастроэнтерология. – 2013. – № 1 (2). – С. 3–8.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Степанов Ю.М., Філіппова О.Ю. Стеатоз і стеатогепатит – тригери печінкового фіброгенезу? / Ю.М. Степанов, О.Ю. Філіппова // Гастроєнтерологія. – 2013. – № 2 (48). – С. 97–106.</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Сторожаков Г.И. Патогенетические аспекты фиброгенеза при хронических заболеваниях печени / Г.И. Сторожаков, А.Н. Ивкова // Клинические перспективы гастроэнтерологии, гепатологии. – 2009. – № 2. – С. 3–10.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Терещенко Ю.А.  Бессимптомное повышение активности сывороточных аминотрансфераз: этапы диагностического поиска / Ю.А. Терещенко, С.Ю. Терещенко // Российский журнал гастроэнтерологии, гепатологии, колопроктологии. – 2014 – № 1. – С. 29–38.</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lastRenderedPageBreak/>
        <w:t xml:space="preserve">Титов В.Н. Оксид азота в реакции эндотелий зависимой вазодилатации. Основы единения эндотелия и гладкомышечных клеток в паракринной регуляции метаболизма // Клин. лабор. диагностика. – 2007. – № 2. – С. 23–39. </w:t>
      </w:r>
    </w:p>
    <w:p w:rsidR="00DC20D7" w:rsidRPr="003A594D" w:rsidRDefault="00DC20D7" w:rsidP="00DC20D7">
      <w:pPr>
        <w:pStyle w:val="aa"/>
        <w:numPr>
          <w:ilvl w:val="0"/>
          <w:numId w:val="10"/>
        </w:numPr>
        <w:spacing w:line="360" w:lineRule="auto"/>
        <w:jc w:val="both"/>
        <w:rPr>
          <w:lang w:val="uk-UA"/>
        </w:rPr>
      </w:pPr>
      <w:r w:rsidRPr="003A594D">
        <w:rPr>
          <w:sz w:val="28"/>
          <w:szCs w:val="28"/>
          <w:lang w:val="uk-UA"/>
        </w:rPr>
        <w:t xml:space="preserve">Ткаченко Е.И. Неалкогольная жировая болезнь печени и метаболический синдром: единство патогенетических механизмов и подходов к лечению / Е.И. Ткаченко, Ю.П. Успенский, Л.Н. Белоусова [и др.].  // Экспериментальная и клиническая гастроэнтерология – 2008. – № 2. – С. 92–96.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Торопчин В.І. Стан ліпопероксидації у хворих на стеатоз печінки, поєднаний з синдромом хронічної втоми / В.І. Торопчин // Сучасна гастроентерол.— 2010.— № 6 (56).— С. 24—27.</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Фадеенко Г.Д. Патофизиологические и молекулярные механизмы развития стеатоза и стеатогепатита / Г.Д. Фадеенко, Н.А. Кравченко, С.В. Виноградова. // Сучасна гастроентерол. — 2005.— № 3.— С. 88–95.</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Фадеенко Г.Д. Стеатогепатит. Биохимические маркеры и проблемы диагностики. / Г.Д. Фадеенко, Н.А. Кравченко // Сучасна гастроентерологія. – 2006. – № 1 (27). – С. 8–14.</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Фадеенко Г.Д. Факторы транскрипции и молекулярные медиаторы стеатоза печени / Г.Д. Фадеенко, Н.А. Кравченко // Укр. терапевт. журн. —  2005. —  № 1.— С. 100—106.</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Філіппов Ю.О. Захворюваність основними хворобами органів травлення в Україні: аналітичний огляд офіційних даних Центру статистики МОЗ України / Ю.О. Філіппов, І.Ю. Скирда, Л.М. Петерчук // У зб.: Гастроентерологія. Міжвідомчий збірник. – Дніпропетровськ : Журфонд, 2007. – С. 3–15.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Філіппова О.Ю. Стан перекісного окиснення ліпідів та системи антиоксидантного захисту у хворих на неалкогольний стеатоз печінки з патологією біліарного тракту / О.Ю. Філіппова // Вісник морфології. – 2010. – № 16 (4). – С. 831–834.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Харченко Н.В. Использование функционального питания в лечении больных неалкогольным стеатогепатитом / Н.В. Харченко, Г.А. Анохина, А.М. </w:t>
      </w:r>
      <w:r w:rsidRPr="003A594D">
        <w:rPr>
          <w:sz w:val="28"/>
          <w:szCs w:val="28"/>
          <w:lang w:val="uk-UA"/>
        </w:rPr>
        <w:lastRenderedPageBreak/>
        <w:t xml:space="preserve">Пилецкий [та ін.] // Збірник наукових праць співробітників НМАПО імені П.Л. Шупика. – Вип. 17, книга 3. – К., 2008. – С. 390–397. </w:t>
      </w:r>
    </w:p>
    <w:p w:rsidR="00DC20D7" w:rsidRPr="003A594D" w:rsidRDefault="00DC20D7" w:rsidP="00DC20D7">
      <w:pPr>
        <w:numPr>
          <w:ilvl w:val="0"/>
          <w:numId w:val="10"/>
        </w:numPr>
        <w:spacing w:line="360" w:lineRule="auto"/>
        <w:jc w:val="both"/>
        <w:rPr>
          <w:sz w:val="28"/>
          <w:szCs w:val="28"/>
          <w:u w:val="single"/>
          <w:lang w:val="uk-UA"/>
        </w:rPr>
      </w:pPr>
      <w:r w:rsidRPr="003A594D">
        <w:rPr>
          <w:sz w:val="28"/>
          <w:szCs w:val="28"/>
          <w:lang w:val="uk-UA"/>
        </w:rPr>
        <w:t>Харченко Н.В. Коррекция нарушений функционального состояния печени, содержания липидов, гомоцистеина в крови, эндотелиальной функции и энергетического обмена у больных неалкогольным стеатогепатитом в сочетании с гипертонической болезнью  / Н.В. Харченко, Г.А. Анохина, В.В. Харченко // Сучасна гастроентерологія. – 2011. – № 1 (57). – С. 27–32.</w:t>
      </w:r>
      <w:r w:rsidRPr="003A594D">
        <w:rPr>
          <w:sz w:val="28"/>
          <w:szCs w:val="28"/>
          <w:u w:val="single"/>
          <w:lang w:val="uk-UA"/>
        </w:rPr>
        <w:t xml:space="preserve">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Хухліна О.С. Стан фіброзування печінки та його наслідки у хворих на неалкогольний стеатогепатит із коморбідним ожирінням та гіпертонічною хворобою у динаміці лікування препаратами Гепадиф, езетиміб та фозиноприл / О.С. Хухліна, О.Є. Мандрик, А.А. Антонів // Нов. мед. и фарм. – 2013. – № 451. – С. 24–26.</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Цитокиновая система при неалкогольном стеатогепатите. / С.Н. Маммаев, Н.В. Багомедова, П.О. Богомолов </w:t>
      </w:r>
      <w:r w:rsidRPr="003A594D">
        <w:rPr>
          <w:rStyle w:val="refauthors"/>
          <w:sz w:val="28"/>
          <w:szCs w:val="28"/>
          <w:shd w:val="clear" w:color="auto" w:fill="FFFFFF"/>
          <w:lang w:val="uk-UA"/>
        </w:rPr>
        <w:t>[</w:t>
      </w:r>
      <w:r w:rsidRPr="003A594D">
        <w:rPr>
          <w:sz w:val="28"/>
          <w:szCs w:val="28"/>
          <w:lang w:val="uk-UA"/>
        </w:rPr>
        <w:t>и др.</w:t>
      </w:r>
      <w:r w:rsidRPr="003A594D">
        <w:rPr>
          <w:rStyle w:val="refauthors"/>
          <w:sz w:val="28"/>
          <w:szCs w:val="28"/>
          <w:shd w:val="clear" w:color="auto" w:fill="FFFFFF"/>
          <w:lang w:val="uk-UA"/>
        </w:rPr>
        <w:t xml:space="preserve">] </w:t>
      </w:r>
      <w:r w:rsidRPr="003A594D">
        <w:rPr>
          <w:sz w:val="28"/>
          <w:szCs w:val="28"/>
          <w:lang w:val="uk-UA"/>
        </w:rPr>
        <w:t xml:space="preserve"> // РЖГГК. – 2007. – № 4. – С. 35–39.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Цитокины и состояние перекісного окисления липидов при неалкогольном стеатогепатите / С.Н. Мамаев, Н.В. Багомедова, Г.Г</w:t>
      </w:r>
      <w:r w:rsidRPr="003A594D">
        <w:rPr>
          <w:rStyle w:val="refauthors"/>
          <w:sz w:val="28"/>
          <w:szCs w:val="28"/>
          <w:shd w:val="clear" w:color="auto" w:fill="FFFFFF"/>
          <w:lang w:val="uk-UA"/>
        </w:rPr>
        <w:t xml:space="preserve">. </w:t>
      </w:r>
      <w:r w:rsidRPr="003A594D">
        <w:rPr>
          <w:sz w:val="28"/>
          <w:szCs w:val="28"/>
          <w:lang w:val="uk-UA"/>
        </w:rPr>
        <w:t xml:space="preserve">Абакарова </w:t>
      </w:r>
      <w:r w:rsidRPr="003A594D">
        <w:rPr>
          <w:rStyle w:val="refauthors"/>
          <w:sz w:val="28"/>
          <w:szCs w:val="28"/>
          <w:shd w:val="clear" w:color="auto" w:fill="FFFFFF"/>
          <w:lang w:val="uk-UA"/>
        </w:rPr>
        <w:t>[</w:t>
      </w:r>
      <w:r w:rsidRPr="003A594D">
        <w:rPr>
          <w:sz w:val="28"/>
          <w:szCs w:val="28"/>
          <w:lang w:val="uk-UA"/>
        </w:rPr>
        <w:t>и др.</w:t>
      </w:r>
      <w:r w:rsidRPr="003A594D">
        <w:rPr>
          <w:rStyle w:val="refauthors"/>
          <w:sz w:val="28"/>
          <w:szCs w:val="28"/>
          <w:shd w:val="clear" w:color="auto" w:fill="FFFFFF"/>
          <w:lang w:val="uk-UA"/>
        </w:rPr>
        <w:t xml:space="preserve">] </w:t>
      </w:r>
      <w:r w:rsidRPr="003A594D">
        <w:rPr>
          <w:sz w:val="28"/>
          <w:szCs w:val="28"/>
          <w:lang w:val="uk-UA"/>
        </w:rPr>
        <w:t xml:space="preserve"> // Сибирский журнал гастроэнтерологии и гепатологии. – 2005. – № 19. – С. 156.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Чернявский В.В. Воспаление при хронических заболеваниях печени и возможные подходы к лечению / В.В. Чернявский, А.К Сизенко, Л.С, Гвоздецкая //  Гастроэнтерология. – 2014. – №1 (51). – С. 111–116.  </w:t>
      </w:r>
    </w:p>
    <w:p w:rsidR="00DC20D7" w:rsidRPr="003A594D" w:rsidRDefault="00DC20D7" w:rsidP="00DC20D7">
      <w:pPr>
        <w:pStyle w:val="21"/>
        <w:numPr>
          <w:ilvl w:val="0"/>
          <w:numId w:val="10"/>
        </w:numPr>
        <w:spacing w:line="360" w:lineRule="auto"/>
        <w:jc w:val="both"/>
        <w:rPr>
          <w:rStyle w:val="apple-converted-space"/>
          <w:spacing w:val="-2"/>
          <w:lang w:val="uk-UA"/>
        </w:rPr>
      </w:pPr>
      <w:r w:rsidRPr="003A594D">
        <w:rPr>
          <w:rStyle w:val="googqs-tidbitgoogqs-tidbit-1googqs-tidbit-hilite"/>
          <w:spacing w:val="-2"/>
          <w:sz w:val="28"/>
          <w:szCs w:val="28"/>
          <w:lang w:val="uk-UA"/>
        </w:rPr>
        <w:t>Шварц В.Я. Воспаление как фактор патогенеза инсулинорезистентности и сахарного диабета 2–го типа / В.Я. Шварц //</w:t>
      </w:r>
      <w:r w:rsidRPr="003A594D">
        <w:rPr>
          <w:rStyle w:val="bib-domain1"/>
          <w:spacing w:val="-2"/>
          <w:sz w:val="28"/>
          <w:szCs w:val="28"/>
          <w:lang w:val="uk-UA"/>
        </w:rPr>
        <w:t xml:space="preserve"> </w:t>
      </w:r>
      <w:hyperlink r:id="rId21" w:history="1">
        <w:r w:rsidRPr="003A594D">
          <w:rPr>
            <w:rStyle w:val="googqs-tidbitgoogqs-tidbit-1googqs-tidbit-hilite"/>
            <w:spacing w:val="-2"/>
            <w:sz w:val="28"/>
            <w:szCs w:val="28"/>
            <w:lang w:val="uk-UA"/>
          </w:rPr>
          <w:t>Терапевтический архив</w:t>
        </w:r>
        <w:r w:rsidRPr="003A594D">
          <w:rPr>
            <w:rStyle w:val="apple-converted-space"/>
            <w:spacing w:val="-2"/>
            <w:sz w:val="28"/>
            <w:szCs w:val="28"/>
            <w:lang w:val="uk-UA"/>
          </w:rPr>
          <w:t> </w:t>
        </w:r>
      </w:hyperlink>
      <w:r w:rsidRPr="003A594D">
        <w:rPr>
          <w:rStyle w:val="googqs-tidbitgoogqs-tidbit-1googqs-tidbit-hilite"/>
          <w:spacing w:val="-2"/>
          <w:sz w:val="28"/>
          <w:szCs w:val="28"/>
          <w:lang w:val="uk-UA"/>
        </w:rPr>
        <w:t>.</w:t>
      </w:r>
      <w:r w:rsidRPr="003A594D">
        <w:rPr>
          <w:rStyle w:val="apple-converted-space"/>
          <w:spacing w:val="-2"/>
          <w:sz w:val="28"/>
          <w:szCs w:val="28"/>
          <w:lang w:val="uk-UA"/>
        </w:rPr>
        <w:t> </w:t>
      </w:r>
      <w:r w:rsidRPr="003A594D">
        <w:rPr>
          <w:rStyle w:val="bib-domain1"/>
          <w:spacing w:val="-2"/>
          <w:sz w:val="28"/>
          <w:szCs w:val="28"/>
          <w:lang w:val="uk-UA"/>
        </w:rPr>
        <w:t>— 2009 . —</w:t>
      </w:r>
      <w:r w:rsidRPr="003A594D">
        <w:rPr>
          <w:rStyle w:val="apple-converted-space"/>
          <w:spacing w:val="-2"/>
          <w:sz w:val="28"/>
          <w:szCs w:val="28"/>
          <w:lang w:val="uk-UA"/>
        </w:rPr>
        <w:t> </w:t>
      </w:r>
      <w:hyperlink r:id="rId22" w:history="1">
        <w:r w:rsidRPr="003A594D">
          <w:rPr>
            <w:rStyle w:val="a3"/>
            <w:color w:val="auto"/>
            <w:spacing w:val="-2"/>
            <w:sz w:val="28"/>
            <w:szCs w:val="28"/>
            <w:u w:val="none"/>
            <w:lang w:val="uk-UA"/>
          </w:rPr>
          <w:t>Том 81, N 10</w:t>
        </w:r>
        <w:r w:rsidRPr="003A594D">
          <w:rPr>
            <w:rStyle w:val="apple-converted-space"/>
            <w:spacing w:val="-2"/>
            <w:sz w:val="28"/>
            <w:szCs w:val="28"/>
            <w:lang w:val="uk-UA"/>
          </w:rPr>
          <w:t> </w:t>
        </w:r>
      </w:hyperlink>
      <w:r w:rsidRPr="003A594D">
        <w:rPr>
          <w:rStyle w:val="bib-domain1"/>
          <w:spacing w:val="-2"/>
          <w:sz w:val="28"/>
          <w:szCs w:val="28"/>
          <w:lang w:val="uk-UA"/>
        </w:rPr>
        <w:t>. — С. 74–80</w:t>
      </w:r>
      <w:r w:rsidRPr="003A594D">
        <w:rPr>
          <w:sz w:val="28"/>
          <w:szCs w:val="28"/>
          <w:lang w:val="uk-UA"/>
        </w:rPr>
        <w:t>.</w:t>
      </w:r>
      <w:r w:rsidRPr="003A594D">
        <w:rPr>
          <w:rStyle w:val="apple-converted-space"/>
          <w:spacing w:val="-2"/>
          <w:sz w:val="28"/>
          <w:szCs w:val="28"/>
          <w:lang w:val="uk-UA"/>
        </w:rPr>
        <w:t> </w:t>
      </w:r>
    </w:p>
    <w:p w:rsidR="00DC20D7" w:rsidRPr="003A594D" w:rsidRDefault="00DC20D7" w:rsidP="00DC20D7">
      <w:pPr>
        <w:pStyle w:val="21"/>
        <w:numPr>
          <w:ilvl w:val="0"/>
          <w:numId w:val="10"/>
        </w:numPr>
        <w:spacing w:line="360" w:lineRule="auto"/>
        <w:jc w:val="both"/>
        <w:rPr>
          <w:shd w:val="clear" w:color="auto" w:fill="FFFFFF"/>
          <w:lang w:val="uk-UA"/>
        </w:rPr>
      </w:pPr>
      <w:r w:rsidRPr="003A594D">
        <w:rPr>
          <w:sz w:val="28"/>
          <w:szCs w:val="28"/>
          <w:shd w:val="clear" w:color="auto" w:fill="FFFFFF"/>
          <w:lang w:val="uk-UA"/>
        </w:rPr>
        <w:t xml:space="preserve">Шварц В.Я. Регуляция метаболических процессов интерлейкином 6 / В.Я. Шварц // Цитокины и воспаление. – 2009. – Т. 8, № 3. – С. 3–10. </w:t>
      </w:r>
    </w:p>
    <w:p w:rsidR="00DC20D7" w:rsidRPr="003A594D" w:rsidRDefault="00DC20D7" w:rsidP="00DC20D7">
      <w:pPr>
        <w:numPr>
          <w:ilvl w:val="0"/>
          <w:numId w:val="10"/>
        </w:numPr>
        <w:spacing w:line="360" w:lineRule="auto"/>
        <w:jc w:val="both"/>
        <w:rPr>
          <w:sz w:val="28"/>
          <w:szCs w:val="28"/>
          <w:lang w:val="uk-UA"/>
        </w:rPr>
      </w:pPr>
      <w:r w:rsidRPr="003A594D">
        <w:rPr>
          <w:rStyle w:val="refauthors"/>
          <w:sz w:val="28"/>
          <w:szCs w:val="28"/>
          <w:shd w:val="clear" w:color="auto" w:fill="FFFFFF"/>
          <w:lang w:val="uk-UA"/>
        </w:rPr>
        <w:t>Шульпекова</w:t>
      </w:r>
      <w:r w:rsidRPr="003A594D">
        <w:rPr>
          <w:sz w:val="28"/>
          <w:szCs w:val="28"/>
          <w:lang w:val="uk-UA"/>
        </w:rPr>
        <w:t xml:space="preserve"> Ю.О. Патогенетическое значение липидов при неалкогольной жировой болезни печени /</w:t>
      </w:r>
      <w:r w:rsidRPr="003A594D">
        <w:rPr>
          <w:rStyle w:val="refauthors"/>
          <w:sz w:val="28"/>
          <w:szCs w:val="28"/>
          <w:shd w:val="clear" w:color="auto" w:fill="FFFFFF"/>
          <w:lang w:val="uk-UA"/>
        </w:rPr>
        <w:t xml:space="preserve"> Ю.О. Шульпекова</w:t>
      </w:r>
      <w:r w:rsidRPr="003A594D">
        <w:rPr>
          <w:sz w:val="28"/>
          <w:szCs w:val="28"/>
          <w:lang w:val="uk-UA"/>
        </w:rPr>
        <w:t xml:space="preserve"> // Российский журнал гастроэнтерологии, гепатологии, колопроктологии. – 2012 – № 1. – С. 45–56.</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lastRenderedPageBreak/>
        <w:t>L–карнитин: свойства, препараты, медицинское применение / Л.В. Яковлева, Е.М. Безчаснюк, А.В. Улесов [и др.] // Укр. журн. клін. та лаб. мед.— 2011.— Т. 6, № 2.— С. 17—24.</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A 4–Polymorphism Risk Score Predicts Steatohepatitis in Children With Nonalcoholic Fatty Liver Disease / V. Nobili, D. Benedetta, N. Panera [et al.]. </w:t>
      </w:r>
      <w:r w:rsidRPr="003A594D">
        <w:rPr>
          <w:rStyle w:val="af0"/>
          <w:bCs/>
          <w:sz w:val="28"/>
          <w:szCs w:val="28"/>
          <w:bdr w:val="none" w:sz="0" w:space="0" w:color="auto" w:frame="1"/>
          <w:shd w:val="clear" w:color="auto" w:fill="FFFFFF"/>
          <w:lang w:val="uk-UA"/>
        </w:rPr>
        <w:t>//</w:t>
      </w:r>
      <w:r w:rsidRPr="003A594D">
        <w:rPr>
          <w:sz w:val="28"/>
          <w:szCs w:val="28"/>
          <w:lang w:val="uk-UA"/>
        </w:rPr>
        <w:t xml:space="preserve"> Journal of Pediatric Gastroenterology &amp; Nutrition. – </w:t>
      </w:r>
      <w:hyperlink r:id="rId23" w:history="1">
        <w:r w:rsidRPr="003A594D">
          <w:rPr>
            <w:rStyle w:val="a3"/>
            <w:color w:val="auto"/>
            <w:sz w:val="28"/>
            <w:szCs w:val="28"/>
            <w:u w:val="none"/>
            <w:lang w:val="uk-UA"/>
          </w:rPr>
          <w:t>2014. – Vol. 58 (5). – P. 632–636</w:t>
        </w:r>
      </w:hyperlink>
      <w:r w:rsidRPr="003A594D">
        <w:rPr>
          <w:sz w:val="28"/>
          <w:szCs w:val="28"/>
          <w:lang w:val="uk-UA"/>
        </w:rPr>
        <w:t>.</w:t>
      </w:r>
    </w:p>
    <w:p w:rsidR="00DC20D7" w:rsidRPr="003A594D" w:rsidRDefault="00DE1C28" w:rsidP="00DC20D7">
      <w:pPr>
        <w:numPr>
          <w:ilvl w:val="0"/>
          <w:numId w:val="10"/>
        </w:numPr>
        <w:spacing w:line="360" w:lineRule="auto"/>
        <w:jc w:val="both"/>
        <w:rPr>
          <w:sz w:val="28"/>
          <w:szCs w:val="28"/>
          <w:lang w:val="uk-UA"/>
        </w:rPr>
      </w:pPr>
      <w:hyperlink r:id="rId24" w:history="1">
        <w:r w:rsidR="00DC20D7" w:rsidRPr="003A594D">
          <w:rPr>
            <w:rStyle w:val="a3"/>
            <w:color w:val="auto"/>
            <w:sz w:val="28"/>
            <w:szCs w:val="28"/>
            <w:u w:val="none"/>
            <w:lang w:val="uk-UA"/>
          </w:rPr>
          <w:t xml:space="preserve"> A meta–analysis of randomized trials for the treatment of nonalcoholic fatty liver disease. / G. Musso, R. Gambino, M. Cassader, G. Pagano. // Hepatology. – 2010. – № 52. – P.79.</w:t>
        </w:r>
      </w:hyperlink>
      <w:r w:rsidR="00DC20D7" w:rsidRPr="003A594D">
        <w:rPr>
          <w:sz w:val="28"/>
          <w:szCs w:val="28"/>
          <w:lang w:val="uk-UA"/>
        </w:rPr>
        <w:t xml:space="preserve"> </w:t>
      </w:r>
    </w:p>
    <w:p w:rsidR="00DC20D7" w:rsidRPr="003A594D" w:rsidRDefault="00DC20D7" w:rsidP="00DC20D7">
      <w:pPr>
        <w:numPr>
          <w:ilvl w:val="0"/>
          <w:numId w:val="10"/>
        </w:numPr>
        <w:spacing w:line="360" w:lineRule="auto"/>
        <w:jc w:val="both"/>
        <w:rPr>
          <w:sz w:val="28"/>
          <w:szCs w:val="28"/>
          <w:lang w:val="uk-UA"/>
        </w:rPr>
      </w:pPr>
      <w:r w:rsidRPr="003A594D">
        <w:rPr>
          <w:rStyle w:val="reftitle"/>
          <w:bCs/>
          <w:sz w:val="28"/>
          <w:szCs w:val="28"/>
          <w:shd w:val="clear" w:color="auto" w:fill="FFFFFF"/>
          <w:lang w:val="uk-UA"/>
        </w:rPr>
        <w:t>A position paper on NAFLD/NASH based on the EASL 2009 Special Conference.</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V. Ratziu, S. Bellentani, H. Cortez–Pinto</w:t>
      </w:r>
      <w:r w:rsidRPr="003A594D">
        <w:rPr>
          <w:rStyle w:val="apple-converted-space"/>
          <w:sz w:val="28"/>
          <w:szCs w:val="28"/>
          <w:shd w:val="clear" w:color="auto" w:fill="FFFFFF"/>
          <w:lang w:val="uk-UA"/>
        </w:rPr>
        <w:t> </w:t>
      </w:r>
      <w:r w:rsidRPr="003A594D">
        <w:rPr>
          <w:rStyle w:val="refauthors"/>
          <w:sz w:val="28"/>
          <w:szCs w:val="28"/>
          <w:shd w:val="clear" w:color="auto" w:fill="FFFFFF"/>
          <w:lang w:val="uk-UA"/>
        </w:rPr>
        <w:t>[et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J Hepatol</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refseriesdate"/>
          <w:sz w:val="28"/>
          <w:szCs w:val="28"/>
          <w:shd w:val="clear" w:color="auto" w:fill="FFFFFF"/>
          <w:lang w:val="uk-UA"/>
        </w:rPr>
        <w:t>2010. – Vol.</w:t>
      </w:r>
      <w:r w:rsidRPr="003A594D">
        <w:rPr>
          <w:rStyle w:val="apple-converted-space"/>
          <w:sz w:val="28"/>
          <w:szCs w:val="28"/>
          <w:shd w:val="clear" w:color="auto" w:fill="FFFFFF"/>
          <w:lang w:val="uk-UA"/>
        </w:rPr>
        <w:t> </w:t>
      </w:r>
      <w:r w:rsidRPr="003A594D">
        <w:rPr>
          <w:rStyle w:val="refseriesvolume"/>
          <w:sz w:val="28"/>
          <w:szCs w:val="28"/>
          <w:shd w:val="clear" w:color="auto" w:fill="FFFFFF"/>
          <w:lang w:val="uk-UA"/>
        </w:rPr>
        <w:t>53. – P.</w:t>
      </w:r>
      <w:r w:rsidRPr="003A594D">
        <w:rPr>
          <w:rStyle w:val="apple-converted-space"/>
          <w:sz w:val="28"/>
          <w:szCs w:val="28"/>
          <w:shd w:val="clear" w:color="auto" w:fill="FFFFFF"/>
          <w:lang w:val="uk-UA"/>
        </w:rPr>
        <w:t> </w:t>
      </w:r>
      <w:r w:rsidRPr="003A594D">
        <w:rPr>
          <w:rStyle w:val="refpages"/>
          <w:sz w:val="28"/>
          <w:szCs w:val="28"/>
          <w:shd w:val="clear" w:color="auto" w:fill="FFFFFF"/>
          <w:lang w:val="uk-UA"/>
        </w:rPr>
        <w:t>372–384</w:t>
      </w:r>
      <w:r w:rsidRPr="003A594D">
        <w:rPr>
          <w:sz w:val="28"/>
          <w:szCs w:val="28"/>
          <w:lang w:val="uk-UA"/>
        </w:rPr>
        <w:t>.</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A randomized controlled trial of metformin versus vitamin E or prospective diet  in nonalcoholic fatty liver disease / E. Bugianesi, E. Gentilcore, R.  Manini [et. al.].  // Am. J. Gastroenterol. – 2005. – № 100. – P. 1082–1090. </w:t>
      </w:r>
    </w:p>
    <w:p w:rsidR="00DC20D7" w:rsidRPr="003A594D" w:rsidRDefault="00DC20D7" w:rsidP="00DC20D7">
      <w:pPr>
        <w:pStyle w:val="1"/>
        <w:numPr>
          <w:ilvl w:val="0"/>
          <w:numId w:val="10"/>
        </w:numPr>
        <w:shd w:val="clear" w:color="auto" w:fill="FFFFFF"/>
        <w:spacing w:before="0" w:beforeAutospacing="0" w:after="150" w:afterAutospacing="0" w:line="360" w:lineRule="auto"/>
        <w:jc w:val="both"/>
        <w:textAlignment w:val="baseline"/>
        <w:rPr>
          <w:b w:val="0"/>
          <w:bCs w:val="0"/>
          <w:sz w:val="28"/>
          <w:szCs w:val="28"/>
          <w:lang w:val="uk-UA"/>
        </w:rPr>
      </w:pPr>
      <w:r w:rsidRPr="003A594D">
        <w:rPr>
          <w:b w:val="0"/>
          <w:bCs w:val="0"/>
          <w:sz w:val="28"/>
          <w:szCs w:val="28"/>
          <w:lang w:val="uk-UA"/>
        </w:rPr>
        <w:t xml:space="preserve">A systematic review of follow–up biopsies reveals disease progression in patients with non–alcoholic fatty liver / R. Pais, F. Charlotte, L. Fedchuk [et al.]. // J. Hepatol. – 2013. – Vol. 59 (3). – P. 550–556. </w:t>
      </w:r>
    </w:p>
    <w:p w:rsidR="00DC20D7" w:rsidRPr="003A594D" w:rsidRDefault="00DC20D7" w:rsidP="00DC20D7">
      <w:pPr>
        <w:pStyle w:val="1"/>
        <w:numPr>
          <w:ilvl w:val="0"/>
          <w:numId w:val="10"/>
        </w:numPr>
        <w:shd w:val="clear" w:color="auto" w:fill="FFFFFF"/>
        <w:spacing w:before="0" w:beforeAutospacing="0" w:after="150" w:afterAutospacing="0" w:line="360" w:lineRule="auto"/>
        <w:jc w:val="both"/>
        <w:textAlignment w:val="baseline"/>
        <w:rPr>
          <w:b w:val="0"/>
          <w:bCs w:val="0"/>
          <w:sz w:val="28"/>
          <w:szCs w:val="28"/>
          <w:lang w:val="uk-UA"/>
        </w:rPr>
      </w:pPr>
      <w:r w:rsidRPr="003A594D">
        <w:rPr>
          <w:b w:val="0"/>
          <w:spacing w:val="-2"/>
          <w:kern w:val="0"/>
          <w:sz w:val="28"/>
          <w:szCs w:val="28"/>
          <w:lang w:val="uk-UA"/>
        </w:rPr>
        <w:t>Adipokines and cytokine in patients with non–alcoholic fatty liver disease (</w:t>
      </w:r>
      <w:r w:rsidRPr="003A594D">
        <w:rPr>
          <w:rStyle w:val="searchresulthittext"/>
          <w:b w:val="0"/>
          <w:spacing w:val="-2"/>
          <w:kern w:val="0"/>
          <w:sz w:val="28"/>
          <w:szCs w:val="28"/>
          <w:lang w:val="uk-UA"/>
        </w:rPr>
        <w:t>NAFLD</w:t>
      </w:r>
      <w:r w:rsidRPr="003A594D">
        <w:rPr>
          <w:b w:val="0"/>
          <w:spacing w:val="-2"/>
          <w:kern w:val="0"/>
          <w:sz w:val="28"/>
          <w:szCs w:val="28"/>
          <w:lang w:val="uk-UA"/>
        </w:rPr>
        <w:t>): a case control study</w:t>
      </w:r>
      <w:r w:rsidRPr="003A594D">
        <w:rPr>
          <w:b w:val="0"/>
          <w:spacing w:val="-2"/>
          <w:sz w:val="28"/>
          <w:szCs w:val="28"/>
          <w:lang w:val="uk-UA"/>
        </w:rPr>
        <w:t xml:space="preserve"> / </w:t>
      </w:r>
      <w:r w:rsidRPr="003A594D">
        <w:rPr>
          <w:b w:val="0"/>
          <w:bCs w:val="0"/>
          <w:color w:val="000000"/>
          <w:kern w:val="0"/>
          <w:sz w:val="27"/>
          <w:szCs w:val="28"/>
          <w:shd w:val="clear" w:color="auto" w:fill="FFFFFF"/>
          <w:lang w:val="uk-UA"/>
        </w:rPr>
        <w:t>R. Kumar, K. Madan, S. Prakash [</w:t>
      </w:r>
      <w:hyperlink r:id="rId25" w:history="1">
        <w:r w:rsidRPr="003A594D">
          <w:rPr>
            <w:rStyle w:val="a3"/>
            <w:b w:val="0"/>
            <w:color w:val="auto"/>
            <w:sz w:val="28"/>
            <w:szCs w:val="28"/>
            <w:u w:val="none"/>
            <w:bdr w:val="none" w:sz="0" w:space="0" w:color="auto" w:frame="1"/>
            <w:lang w:val="uk-UA"/>
          </w:rPr>
          <w:t>et al.</w:t>
        </w:r>
      </w:hyperlink>
      <w:r w:rsidRPr="003A594D">
        <w:rPr>
          <w:b w:val="0"/>
          <w:sz w:val="28"/>
          <w:szCs w:val="28"/>
          <w:lang w:val="uk-UA"/>
        </w:rPr>
        <w:t xml:space="preserve">] </w:t>
      </w:r>
      <w:r w:rsidRPr="003A594D">
        <w:rPr>
          <w:b w:val="0"/>
          <w:spacing w:val="-2"/>
          <w:sz w:val="28"/>
          <w:szCs w:val="28"/>
          <w:lang w:val="uk-UA"/>
        </w:rPr>
        <w:t xml:space="preserve">// </w:t>
      </w:r>
      <w:r w:rsidRPr="003A594D">
        <w:rPr>
          <w:b w:val="0"/>
          <w:bCs w:val="0"/>
          <w:sz w:val="28"/>
          <w:szCs w:val="28"/>
          <w:lang w:val="uk-UA"/>
        </w:rPr>
        <w:t>J. Hepatol. – 2010. – Vol. 52 (1). – P. 147.</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Alterations in adipose tissue and hepatic lipid kinetics in obese men and women with nonalcoholic fatty liver disease / E. Fabbrini, B. S. Mohammed, F. Magkos</w:t>
      </w:r>
      <w:r w:rsidRPr="003A594D">
        <w:rPr>
          <w:rStyle w:val="apple-converted-space"/>
          <w:sz w:val="28"/>
          <w:szCs w:val="28"/>
          <w:lang w:val="uk-UA"/>
        </w:rPr>
        <w:t> [</w:t>
      </w:r>
      <w:r w:rsidRPr="003A594D">
        <w:rPr>
          <w:rStyle w:val="af1"/>
          <w:iCs/>
          <w:sz w:val="28"/>
          <w:szCs w:val="28"/>
          <w:lang w:val="uk-UA"/>
        </w:rPr>
        <w:t>et al.].</w:t>
      </w:r>
      <w:r w:rsidRPr="003A594D">
        <w:rPr>
          <w:rStyle w:val="apple-converted-space"/>
          <w:sz w:val="28"/>
          <w:szCs w:val="28"/>
          <w:lang w:val="uk-UA"/>
        </w:rPr>
        <w:t> </w:t>
      </w:r>
      <w:r w:rsidRPr="003A594D">
        <w:rPr>
          <w:sz w:val="28"/>
          <w:szCs w:val="28"/>
          <w:lang w:val="uk-UA"/>
        </w:rPr>
        <w:t xml:space="preserve">// Gastroenterology. – 2008. – Vol. 134. – P. 424–431. </w:t>
      </w:r>
    </w:p>
    <w:p w:rsidR="00DC20D7" w:rsidRPr="003A594D" w:rsidRDefault="00DE1C28" w:rsidP="00DC20D7">
      <w:pPr>
        <w:numPr>
          <w:ilvl w:val="0"/>
          <w:numId w:val="10"/>
        </w:numPr>
        <w:spacing w:line="360" w:lineRule="auto"/>
        <w:jc w:val="both"/>
        <w:rPr>
          <w:sz w:val="28"/>
          <w:szCs w:val="28"/>
          <w:lang w:val="uk-UA"/>
        </w:rPr>
      </w:pPr>
      <w:hyperlink r:id="rId26" w:history="1">
        <w:r w:rsidR="00DC20D7" w:rsidRPr="003A594D">
          <w:rPr>
            <w:rStyle w:val="a3"/>
            <w:color w:val="auto"/>
            <w:sz w:val="30"/>
            <w:szCs w:val="30"/>
            <w:u w:val="none"/>
            <w:lang w:val="uk-UA"/>
          </w:rPr>
          <w:t xml:space="preserve"> </w:t>
        </w:r>
        <w:r w:rsidR="00DC20D7" w:rsidRPr="003A594D">
          <w:rPr>
            <w:rStyle w:val="a3"/>
            <w:color w:val="auto"/>
            <w:sz w:val="28"/>
            <w:szCs w:val="28"/>
            <w:u w:val="none"/>
            <w:lang w:val="uk-UA"/>
          </w:rPr>
          <w:t xml:space="preserve">Antioxidant supplements for non–alcoholic fatty liver disease and/or steatohepatitis. / F. </w:t>
        </w:r>
        <w:hyperlink r:id="rId27" w:history="1">
          <w:r w:rsidR="00DC20D7" w:rsidRPr="003A594D">
            <w:rPr>
              <w:rStyle w:val="a3"/>
              <w:color w:val="auto"/>
              <w:sz w:val="28"/>
              <w:szCs w:val="28"/>
              <w:u w:val="none"/>
              <w:shd w:val="clear" w:color="auto" w:fill="FFFFFF"/>
              <w:lang w:val="uk-UA"/>
            </w:rPr>
            <w:t>Lirussi</w:t>
          </w:r>
        </w:hyperlink>
        <w:r w:rsidR="00DC20D7" w:rsidRPr="003A594D">
          <w:rPr>
            <w:rStyle w:val="a3"/>
            <w:color w:val="auto"/>
            <w:sz w:val="28"/>
            <w:szCs w:val="28"/>
            <w:u w:val="none"/>
            <w:shd w:val="clear" w:color="auto" w:fill="FFFFFF"/>
            <w:lang w:val="uk-UA"/>
          </w:rPr>
          <w:t>,</w:t>
        </w:r>
        <w:r w:rsidR="00DC20D7" w:rsidRPr="003A594D">
          <w:rPr>
            <w:rStyle w:val="apple-converted-space"/>
            <w:sz w:val="28"/>
            <w:szCs w:val="28"/>
            <w:shd w:val="clear" w:color="auto" w:fill="FFFFFF"/>
            <w:lang w:val="uk-UA"/>
          </w:rPr>
          <w:t xml:space="preserve"> L. </w:t>
        </w:r>
        <w:hyperlink r:id="rId28" w:history="1">
          <w:r w:rsidR="00DC20D7" w:rsidRPr="003A594D">
            <w:rPr>
              <w:rStyle w:val="a3"/>
              <w:color w:val="auto"/>
              <w:sz w:val="28"/>
              <w:szCs w:val="28"/>
              <w:u w:val="none"/>
              <w:shd w:val="clear" w:color="auto" w:fill="FFFFFF"/>
              <w:lang w:val="uk-UA"/>
            </w:rPr>
            <w:t>Azzalini</w:t>
          </w:r>
        </w:hyperlink>
        <w:r w:rsidR="00DC20D7" w:rsidRPr="003A594D">
          <w:rPr>
            <w:rStyle w:val="a3"/>
            <w:color w:val="auto"/>
            <w:sz w:val="28"/>
            <w:szCs w:val="28"/>
            <w:u w:val="none"/>
            <w:shd w:val="clear" w:color="auto" w:fill="FFFFFF"/>
            <w:lang w:val="uk-UA"/>
          </w:rPr>
          <w:t>, S.</w:t>
        </w:r>
        <w:r w:rsidR="00DC20D7" w:rsidRPr="003A594D">
          <w:rPr>
            <w:rStyle w:val="apple-converted-space"/>
            <w:sz w:val="28"/>
            <w:szCs w:val="28"/>
            <w:shd w:val="clear" w:color="auto" w:fill="FFFFFF"/>
            <w:lang w:val="uk-UA"/>
          </w:rPr>
          <w:t> </w:t>
        </w:r>
        <w:hyperlink r:id="rId29" w:history="1">
          <w:r w:rsidR="00DC20D7" w:rsidRPr="003A594D">
            <w:rPr>
              <w:rStyle w:val="a3"/>
              <w:color w:val="auto"/>
              <w:sz w:val="28"/>
              <w:szCs w:val="28"/>
              <w:u w:val="none"/>
              <w:shd w:val="clear" w:color="auto" w:fill="FFFFFF"/>
              <w:lang w:val="uk-UA"/>
            </w:rPr>
            <w:t>Orando</w:t>
          </w:r>
        </w:hyperlink>
        <w:r w:rsidR="00DC20D7" w:rsidRPr="003A594D">
          <w:rPr>
            <w:rStyle w:val="apple-converted-space"/>
            <w:sz w:val="28"/>
            <w:szCs w:val="28"/>
            <w:lang w:val="uk-UA"/>
          </w:rPr>
          <w:t xml:space="preserve"> </w:t>
        </w:r>
        <w:r w:rsidR="00DC20D7" w:rsidRPr="003A594D">
          <w:rPr>
            <w:rStyle w:val="a3"/>
            <w:color w:val="auto"/>
            <w:sz w:val="28"/>
            <w:szCs w:val="28"/>
            <w:u w:val="none"/>
            <w:lang w:val="uk-UA"/>
          </w:rPr>
          <w:t>[et al.] // Cochrane Database Syst Rev. – 2007. – 24 (1). – CD004996.</w:t>
        </w:r>
      </w:hyperlink>
    </w:p>
    <w:p w:rsidR="00DC20D7" w:rsidRPr="003A594D" w:rsidRDefault="00DC20D7" w:rsidP="00DC20D7">
      <w:pPr>
        <w:numPr>
          <w:ilvl w:val="0"/>
          <w:numId w:val="10"/>
        </w:numPr>
        <w:spacing w:line="360" w:lineRule="auto"/>
        <w:jc w:val="both"/>
        <w:rPr>
          <w:rStyle w:val="refpages"/>
          <w:lang w:val="uk-UA"/>
        </w:rPr>
      </w:pPr>
      <w:r w:rsidRPr="003A594D">
        <w:rPr>
          <w:rStyle w:val="refauthors"/>
          <w:sz w:val="28"/>
          <w:szCs w:val="28"/>
          <w:shd w:val="clear" w:color="auto" w:fill="FFFFFF"/>
          <w:lang w:val="uk-UA"/>
        </w:rPr>
        <w:lastRenderedPageBreak/>
        <w:t xml:space="preserve">Argo C.K. </w:t>
      </w:r>
      <w:r w:rsidRPr="003A594D">
        <w:rPr>
          <w:rStyle w:val="reftitle"/>
          <w:bCs/>
          <w:sz w:val="28"/>
          <w:szCs w:val="28"/>
          <w:shd w:val="clear" w:color="auto" w:fill="FFFFFF"/>
          <w:lang w:val="uk-UA"/>
        </w:rPr>
        <w:t>Epidemiology and natural history of non–alcoholic steatohepatitis.</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C.K. Argo, S.H. Caldwell</w:t>
      </w:r>
      <w:r w:rsidRPr="003A594D">
        <w:rPr>
          <w:rStyle w:val="apple-converted-space"/>
          <w:bCs/>
          <w:sz w:val="28"/>
          <w:szCs w:val="28"/>
          <w:shd w:val="clear" w:color="auto" w:fill="FFFFFF"/>
          <w:lang w:val="uk-UA"/>
        </w:rPr>
        <w:t xml:space="preserve"> // </w:t>
      </w:r>
      <w:r w:rsidRPr="003A594D">
        <w:rPr>
          <w:rStyle w:val="refseriestitle"/>
          <w:iCs/>
          <w:sz w:val="28"/>
          <w:szCs w:val="28"/>
          <w:shd w:val="clear" w:color="auto" w:fill="FFFFFF"/>
          <w:lang w:val="uk-UA"/>
        </w:rPr>
        <w:t>Clin Liver Dis</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refseriesdate"/>
          <w:sz w:val="28"/>
          <w:szCs w:val="28"/>
          <w:shd w:val="clear" w:color="auto" w:fill="FFFFFF"/>
          <w:lang w:val="uk-UA"/>
        </w:rPr>
        <w:t xml:space="preserve">2009. – Vol. </w:t>
      </w:r>
      <w:r w:rsidRPr="003A594D">
        <w:rPr>
          <w:rStyle w:val="refseriesvolume"/>
          <w:sz w:val="28"/>
          <w:szCs w:val="28"/>
          <w:shd w:val="clear" w:color="auto" w:fill="FFFFFF"/>
          <w:lang w:val="uk-UA"/>
        </w:rPr>
        <w:t>13</w:t>
      </w:r>
      <w:r w:rsidRPr="003A594D">
        <w:rPr>
          <w:rStyle w:val="apple-converted-space"/>
          <w:sz w:val="28"/>
          <w:szCs w:val="28"/>
          <w:shd w:val="clear" w:color="auto" w:fill="FFFFFF"/>
          <w:lang w:val="uk-UA"/>
        </w:rPr>
        <w:t>. – P.</w:t>
      </w:r>
      <w:r w:rsidRPr="003A594D">
        <w:rPr>
          <w:rStyle w:val="refpages"/>
          <w:sz w:val="28"/>
          <w:szCs w:val="28"/>
          <w:shd w:val="clear" w:color="auto" w:fill="FFFFFF"/>
          <w:lang w:val="uk-UA"/>
        </w:rPr>
        <w:t>511–531.</w:t>
      </w:r>
    </w:p>
    <w:p w:rsidR="00DC20D7" w:rsidRPr="003A594D" w:rsidRDefault="00DC20D7" w:rsidP="00DC20D7">
      <w:pPr>
        <w:pStyle w:val="21"/>
        <w:numPr>
          <w:ilvl w:val="0"/>
          <w:numId w:val="10"/>
        </w:numPr>
        <w:spacing w:line="360" w:lineRule="auto"/>
        <w:jc w:val="both"/>
        <w:rPr>
          <w:lang w:val="uk-UA"/>
        </w:rPr>
      </w:pPr>
      <w:r w:rsidRPr="003A594D">
        <w:rPr>
          <w:rStyle w:val="apple-style-span"/>
          <w:sz w:val="28"/>
          <w:szCs w:val="28"/>
          <w:lang w:val="uk-UA"/>
        </w:rPr>
        <w:t xml:space="preserve">Arrest of human mitochondrial RNA polymerase transcription by the biological aldehyde adduct of DNA, M1dG / S. D. Cline, M. F. Lodeiro, L. J. Marnett </w:t>
      </w:r>
      <w:r w:rsidRPr="003A594D">
        <w:rPr>
          <w:sz w:val="28"/>
          <w:szCs w:val="28"/>
          <w:shd w:val="clear" w:color="auto" w:fill="FFFFFF"/>
          <w:lang w:val="uk-UA"/>
        </w:rPr>
        <w:t xml:space="preserve">[et al.]. // </w:t>
      </w:r>
      <w:r w:rsidRPr="003A594D">
        <w:rPr>
          <w:rStyle w:val="apple-converted-space"/>
          <w:sz w:val="28"/>
          <w:szCs w:val="28"/>
          <w:lang w:val="uk-UA"/>
        </w:rPr>
        <w:t> </w:t>
      </w:r>
      <w:r w:rsidRPr="003A594D">
        <w:rPr>
          <w:rStyle w:val="apple-style-span"/>
          <w:sz w:val="28"/>
          <w:szCs w:val="28"/>
          <w:lang w:val="uk-UA"/>
        </w:rPr>
        <w:t xml:space="preserve">Nucleic Acids Research. – 2010. – </w:t>
      </w:r>
      <w:r w:rsidRPr="003A594D">
        <w:rPr>
          <w:spacing w:val="2"/>
          <w:sz w:val="28"/>
          <w:szCs w:val="28"/>
          <w:lang w:val="uk-UA"/>
        </w:rPr>
        <w:t>V</w:t>
      </w:r>
      <w:r w:rsidRPr="003A594D">
        <w:rPr>
          <w:rStyle w:val="apple-style-span"/>
          <w:sz w:val="28"/>
          <w:szCs w:val="28"/>
          <w:lang w:val="uk-UA"/>
        </w:rPr>
        <w:t xml:space="preserve">ol. 38. – № 21. – Р. 7546–7557.  </w:t>
      </w:r>
    </w:p>
    <w:p w:rsidR="00DC20D7" w:rsidRPr="003A594D" w:rsidRDefault="00DC20D7" w:rsidP="00DC20D7">
      <w:pPr>
        <w:numPr>
          <w:ilvl w:val="0"/>
          <w:numId w:val="10"/>
        </w:numPr>
        <w:spacing w:line="360" w:lineRule="auto"/>
        <w:jc w:val="both"/>
        <w:rPr>
          <w:rStyle w:val="apple-converted-space"/>
          <w:lang w:val="uk-UA"/>
        </w:rPr>
      </w:pPr>
      <w:r w:rsidRPr="003A594D">
        <w:rPr>
          <w:sz w:val="28"/>
          <w:szCs w:val="28"/>
          <w:lang w:val="uk-UA"/>
        </w:rPr>
        <w:t>Association of polymorphisms of glutamate–cystein ligase and microsomal triglyceride transfer protein genes in non–alcoholic fatty liver disease / O.C. Pinto, M. Souza, S.J. Tadeu [et al.]. //Journal of Gastroenterology and Hepatology. –  2010. – Vol. 25. – P. 357–361.</w:t>
      </w:r>
      <w:r w:rsidRPr="003A594D">
        <w:rPr>
          <w:rStyle w:val="apple-converted-space"/>
          <w:sz w:val="28"/>
          <w:szCs w:val="28"/>
          <w:lang w:val="uk-UA"/>
        </w:rPr>
        <w:t> </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Balsano   C.   Liver   fibrosis   and   therapeutic   strategies:   the   goal   for </w:t>
      </w:r>
      <w:r w:rsidRPr="003A594D">
        <w:rPr>
          <w:spacing w:val="4"/>
          <w:sz w:val="28"/>
          <w:szCs w:val="28"/>
          <w:lang w:val="uk-UA"/>
        </w:rPr>
        <w:t xml:space="preserve">improving metabolism / С. Balsano, A. Alisi, V. Nobili // Curr. Drug. Targets. – </w:t>
      </w:r>
      <w:r w:rsidRPr="003A594D">
        <w:rPr>
          <w:spacing w:val="9"/>
          <w:sz w:val="28"/>
          <w:szCs w:val="28"/>
          <w:lang w:val="uk-UA"/>
        </w:rPr>
        <w:t>2009. – № 10 (6). – P. 505–512.</w:t>
      </w:r>
    </w:p>
    <w:p w:rsidR="00DC20D7" w:rsidRPr="003A594D" w:rsidRDefault="00DC20D7" w:rsidP="00DC20D7">
      <w:pPr>
        <w:pStyle w:val="ad"/>
        <w:numPr>
          <w:ilvl w:val="0"/>
          <w:numId w:val="10"/>
        </w:numPr>
        <w:spacing w:line="360" w:lineRule="auto"/>
        <w:jc w:val="both"/>
        <w:rPr>
          <w:spacing w:val="-7"/>
          <w:sz w:val="28"/>
          <w:szCs w:val="28"/>
          <w:lang w:val="uk-UA"/>
        </w:rPr>
      </w:pPr>
      <w:r w:rsidRPr="003A594D">
        <w:rPr>
          <w:sz w:val="28"/>
          <w:szCs w:val="28"/>
          <w:lang w:val="uk-UA"/>
        </w:rPr>
        <w:t>Bataller R. Liver fibrosis / R. Bataller, D. A. Brenner // J. Clin. Invest. –</w:t>
      </w:r>
      <w:r w:rsidRPr="003A594D">
        <w:rPr>
          <w:sz w:val="28"/>
          <w:szCs w:val="28"/>
          <w:lang w:val="uk-UA"/>
        </w:rPr>
        <w:br/>
      </w:r>
      <w:r w:rsidRPr="003A594D">
        <w:rPr>
          <w:spacing w:val="8"/>
          <w:sz w:val="28"/>
          <w:szCs w:val="28"/>
          <w:lang w:val="uk-UA"/>
        </w:rPr>
        <w:t>2005.–№ 115 (2). – P. 209–218</w:t>
      </w:r>
      <w:r w:rsidRPr="003A594D">
        <w:rPr>
          <w:spacing w:val="-7"/>
          <w:sz w:val="28"/>
          <w:szCs w:val="28"/>
          <w:lang w:val="uk-UA"/>
        </w:rPr>
        <w:t>.</w:t>
      </w:r>
    </w:p>
    <w:p w:rsidR="00DC20D7" w:rsidRPr="003A594D" w:rsidRDefault="00DC20D7" w:rsidP="00DC20D7">
      <w:pPr>
        <w:pStyle w:val="aa"/>
        <w:numPr>
          <w:ilvl w:val="0"/>
          <w:numId w:val="10"/>
        </w:numPr>
        <w:spacing w:line="360" w:lineRule="auto"/>
        <w:jc w:val="both"/>
        <w:rPr>
          <w:sz w:val="28"/>
          <w:szCs w:val="28"/>
          <w:lang w:val="uk-UA"/>
        </w:rPr>
      </w:pPr>
      <w:r w:rsidRPr="003A594D">
        <w:rPr>
          <w:rStyle w:val="apple-converted-space"/>
          <w:sz w:val="28"/>
          <w:szCs w:val="28"/>
          <w:lang w:val="uk-UA"/>
        </w:rPr>
        <w:t>Blood platelet and monocyte activations and relation to stages of liver cirrhosis.  Panasiuk</w:t>
      </w:r>
      <w:r w:rsidRPr="003A594D">
        <w:rPr>
          <w:sz w:val="28"/>
          <w:szCs w:val="28"/>
          <w:lang w:val="uk-UA"/>
        </w:rPr>
        <w:t xml:space="preserve"> А., Zak J., Kasprzycka E. [et al.]. // World J. Gastroenterol. – 2005. – Vol. 11. – № 18. – P. 2754–2758.</w:t>
      </w:r>
    </w:p>
    <w:p w:rsidR="00DC20D7" w:rsidRPr="003A594D" w:rsidRDefault="00DC20D7" w:rsidP="00DC20D7">
      <w:pPr>
        <w:pStyle w:val="21"/>
        <w:numPr>
          <w:ilvl w:val="0"/>
          <w:numId w:val="10"/>
        </w:numPr>
        <w:spacing w:line="360" w:lineRule="auto"/>
        <w:jc w:val="both"/>
        <w:rPr>
          <w:spacing w:val="-7"/>
          <w:sz w:val="28"/>
          <w:szCs w:val="28"/>
          <w:lang w:val="uk-UA"/>
        </w:rPr>
      </w:pPr>
      <w:r w:rsidRPr="003A594D">
        <w:rPr>
          <w:sz w:val="28"/>
          <w:szCs w:val="28"/>
          <w:lang w:val="uk-UA"/>
        </w:rPr>
        <w:t xml:space="preserve">Brustolin   S.   Genetics   of homocysteine   metabolism   and   associated disorders / S. Brustolin, R. Giugliani, T. M. Felix // Braz. J. Med. Biol. Res. </w:t>
      </w:r>
      <w:r w:rsidRPr="003A594D">
        <w:rPr>
          <w:spacing w:val="-5"/>
          <w:sz w:val="28"/>
          <w:szCs w:val="28"/>
          <w:lang w:val="uk-UA"/>
        </w:rPr>
        <w:t xml:space="preserve">– </w:t>
      </w:r>
      <w:r w:rsidRPr="003A594D">
        <w:rPr>
          <w:sz w:val="28"/>
          <w:szCs w:val="28"/>
          <w:lang w:val="uk-UA"/>
        </w:rPr>
        <w:t xml:space="preserve">2010. </w:t>
      </w:r>
      <w:r w:rsidRPr="003A594D">
        <w:rPr>
          <w:spacing w:val="-5"/>
          <w:sz w:val="28"/>
          <w:szCs w:val="28"/>
          <w:lang w:val="uk-UA"/>
        </w:rPr>
        <w:t>–</w:t>
      </w:r>
      <w:r w:rsidRPr="003A594D">
        <w:rPr>
          <w:spacing w:val="17"/>
          <w:sz w:val="28"/>
          <w:szCs w:val="28"/>
          <w:lang w:val="uk-UA"/>
        </w:rPr>
        <w:t xml:space="preserve"> № 43.</w:t>
      </w:r>
      <w:r w:rsidRPr="003A594D">
        <w:rPr>
          <w:spacing w:val="-5"/>
          <w:sz w:val="28"/>
          <w:szCs w:val="28"/>
          <w:lang w:val="uk-UA"/>
        </w:rPr>
        <w:t xml:space="preserve"> –</w:t>
      </w:r>
      <w:r w:rsidRPr="003A594D">
        <w:rPr>
          <w:spacing w:val="17"/>
          <w:sz w:val="28"/>
          <w:szCs w:val="28"/>
          <w:lang w:val="uk-UA"/>
        </w:rPr>
        <w:t xml:space="preserve"> P. 1</w:t>
      </w:r>
      <w:r w:rsidRPr="003A594D">
        <w:rPr>
          <w:spacing w:val="-5"/>
          <w:sz w:val="28"/>
          <w:szCs w:val="28"/>
          <w:lang w:val="uk-UA"/>
        </w:rPr>
        <w:t>–</w:t>
      </w:r>
      <w:r w:rsidRPr="003A594D">
        <w:rPr>
          <w:spacing w:val="17"/>
          <w:sz w:val="28"/>
          <w:szCs w:val="28"/>
          <w:lang w:val="uk-UA"/>
        </w:rPr>
        <w:t>7</w:t>
      </w:r>
      <w:r w:rsidRPr="003A594D">
        <w:rPr>
          <w:spacing w:val="-7"/>
          <w:sz w:val="28"/>
          <w:szCs w:val="28"/>
          <w:lang w:val="uk-UA"/>
        </w:rPr>
        <w:t xml:space="preserve">. </w:t>
      </w:r>
    </w:p>
    <w:p w:rsidR="00DC20D7" w:rsidRPr="003A594D" w:rsidRDefault="00DC20D7" w:rsidP="00DC20D7">
      <w:pPr>
        <w:numPr>
          <w:ilvl w:val="0"/>
          <w:numId w:val="10"/>
        </w:numPr>
        <w:spacing w:line="360" w:lineRule="auto"/>
        <w:jc w:val="both"/>
        <w:rPr>
          <w:sz w:val="28"/>
          <w:szCs w:val="28"/>
          <w:lang w:val="uk-UA"/>
        </w:rPr>
      </w:pPr>
      <w:r w:rsidRPr="003A594D">
        <w:rPr>
          <w:rStyle w:val="autoren"/>
          <w:sz w:val="28"/>
          <w:szCs w:val="28"/>
          <w:shd w:val="clear" w:color="auto" w:fill="FFFFFF"/>
          <w:lang w:val="uk-UA"/>
        </w:rPr>
        <w:t>Caldwell S.</w:t>
      </w:r>
      <w:r w:rsidRPr="003A594D">
        <w:rPr>
          <w:rStyle w:val="apple-converted-space"/>
          <w:sz w:val="28"/>
          <w:szCs w:val="28"/>
          <w:shd w:val="clear" w:color="auto" w:fill="FFFFFF"/>
          <w:lang w:val="uk-UA"/>
        </w:rPr>
        <w:t> </w:t>
      </w:r>
      <w:r w:rsidRPr="003A594D">
        <w:rPr>
          <w:sz w:val="28"/>
          <w:szCs w:val="28"/>
          <w:lang w:val="uk-UA"/>
        </w:rPr>
        <w:t xml:space="preserve">The Natural History of Non–Alcoholic Fatty Liver Disease </w:t>
      </w:r>
      <w:r w:rsidRPr="003A594D">
        <w:rPr>
          <w:rStyle w:val="autoren"/>
          <w:sz w:val="28"/>
          <w:szCs w:val="28"/>
          <w:shd w:val="clear" w:color="auto" w:fill="FFFFFF"/>
          <w:lang w:val="uk-UA"/>
        </w:rPr>
        <w:t>/ S. Caldwell,</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C.</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Argo </w:t>
      </w:r>
      <w:r w:rsidRPr="003A594D">
        <w:rPr>
          <w:sz w:val="28"/>
          <w:szCs w:val="28"/>
          <w:lang w:val="uk-UA"/>
        </w:rPr>
        <w:t xml:space="preserve">// </w:t>
      </w:r>
      <w:r w:rsidRPr="003A594D">
        <w:rPr>
          <w:rStyle w:val="af1"/>
          <w:iCs/>
          <w:sz w:val="28"/>
          <w:szCs w:val="28"/>
          <w:bdr w:val="none" w:sz="0" w:space="0" w:color="auto" w:frame="1"/>
          <w:lang w:val="uk-UA"/>
        </w:rPr>
        <w:t xml:space="preserve">Dig Dis Sci. – </w:t>
      </w:r>
      <w:r w:rsidRPr="003A594D">
        <w:rPr>
          <w:sz w:val="28"/>
          <w:szCs w:val="28"/>
          <w:lang w:val="uk-UA"/>
        </w:rPr>
        <w:t>2010. – Vol.</w:t>
      </w:r>
      <w:r w:rsidRPr="003A594D">
        <w:rPr>
          <w:rStyle w:val="apple-converted-space"/>
          <w:sz w:val="28"/>
          <w:szCs w:val="28"/>
          <w:lang w:val="uk-UA"/>
        </w:rPr>
        <w:t> </w:t>
      </w:r>
      <w:r w:rsidRPr="003A594D">
        <w:rPr>
          <w:rStyle w:val="af0"/>
          <w:bCs/>
          <w:sz w:val="28"/>
          <w:szCs w:val="28"/>
          <w:bdr w:val="none" w:sz="0" w:space="0" w:color="auto" w:frame="1"/>
          <w:lang w:val="uk-UA"/>
        </w:rPr>
        <w:t xml:space="preserve">28 </w:t>
      </w:r>
      <w:r w:rsidRPr="003A594D">
        <w:rPr>
          <w:sz w:val="28"/>
          <w:szCs w:val="28"/>
          <w:lang w:val="uk-UA"/>
        </w:rPr>
        <w:t>(1). – Р. 162–168.</w:t>
      </w:r>
    </w:p>
    <w:p w:rsidR="00DC20D7" w:rsidRPr="003A594D" w:rsidRDefault="00DC20D7" w:rsidP="00DC20D7">
      <w:pPr>
        <w:pStyle w:val="aa"/>
        <w:numPr>
          <w:ilvl w:val="0"/>
          <w:numId w:val="10"/>
        </w:numPr>
        <w:spacing w:line="360" w:lineRule="auto"/>
        <w:jc w:val="both"/>
        <w:rPr>
          <w:sz w:val="28"/>
          <w:szCs w:val="28"/>
          <w:lang w:val="uk-UA"/>
        </w:rPr>
      </w:pPr>
      <w:r w:rsidRPr="003A594D">
        <w:rPr>
          <w:spacing w:val="3"/>
          <w:sz w:val="28"/>
          <w:szCs w:val="28"/>
          <w:lang w:val="uk-UA"/>
        </w:rPr>
        <w:t xml:space="preserve">Cardiovascular pathogenesis in hyperhomocysteinemia / T. Huang, G. </w:t>
      </w:r>
      <w:r w:rsidRPr="003A594D">
        <w:rPr>
          <w:sz w:val="28"/>
          <w:szCs w:val="28"/>
          <w:lang w:val="uk-UA"/>
        </w:rPr>
        <w:t xml:space="preserve">Yuan, Z. Zhang [et al.]. // Asia Рас. J. Clin. Nutr. – 2008. – № 17 (1). – P. 8–16.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Carmiel–Haggai M. А high–fat diet leads to the progression of non</w:t>
      </w:r>
      <w:r w:rsidRPr="003A594D">
        <w:rPr>
          <w:sz w:val="28"/>
          <w:szCs w:val="28"/>
          <w:lang w:val="uk-UA"/>
        </w:rPr>
        <w:softHyphen/>
        <w:t>–</w:t>
      </w:r>
      <w:r w:rsidRPr="003A594D">
        <w:rPr>
          <w:sz w:val="28"/>
          <w:szCs w:val="28"/>
          <w:lang w:val="uk-UA"/>
        </w:rPr>
        <w:br/>
        <w:t xml:space="preserve"> </w:t>
      </w:r>
      <w:r w:rsidRPr="003A594D">
        <w:rPr>
          <w:spacing w:val="1"/>
          <w:sz w:val="28"/>
          <w:szCs w:val="28"/>
          <w:lang w:val="uk-UA"/>
        </w:rPr>
        <w:t xml:space="preserve">alcoholic fatty liver disease in obese rats / M. Carmiel–Haggai, A. I. Cederbaum, N.    </w:t>
      </w:r>
      <w:r w:rsidRPr="003A594D">
        <w:rPr>
          <w:sz w:val="28"/>
          <w:szCs w:val="28"/>
          <w:lang w:val="uk-UA"/>
        </w:rPr>
        <w:t>Nieto // FASEB J. – 2005. – Vol. 19 (1). – P. 136–138.</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uthor"/>
          <w:rFonts w:ascii="Times New Roman" w:hAnsi="Times New Roman"/>
          <w:b w:val="0"/>
          <w:i w:val="0"/>
          <w:lang w:val="uk-UA"/>
        </w:rPr>
        <w:t>Carter–Kent C.</w:t>
      </w:r>
      <w:r w:rsidRPr="003A594D">
        <w:rPr>
          <w:rFonts w:ascii="Times New Roman" w:hAnsi="Times New Roman" w:cs="Times New Roman"/>
          <w:b w:val="0"/>
          <w:i w:val="0"/>
          <w:lang w:val="uk-UA"/>
        </w:rPr>
        <w:t xml:space="preserve"> Cytokines in the Pathogenesis of Fatty Liver and Disease Progression to Steatohepatitis: Implications for Treatment Cytokines in NAFLD / </w:t>
      </w:r>
      <w:r w:rsidRPr="003A594D">
        <w:rPr>
          <w:rStyle w:val="author"/>
          <w:rFonts w:ascii="Times New Roman" w:hAnsi="Times New Roman"/>
          <w:b w:val="0"/>
          <w:i w:val="0"/>
          <w:lang w:val="uk-UA"/>
        </w:rPr>
        <w:t xml:space="preserve">C. </w:t>
      </w:r>
      <w:r w:rsidRPr="003A594D">
        <w:rPr>
          <w:rStyle w:val="author"/>
          <w:rFonts w:ascii="Times New Roman" w:hAnsi="Times New Roman"/>
          <w:b w:val="0"/>
          <w:i w:val="0"/>
          <w:lang w:val="uk-UA"/>
        </w:rPr>
        <w:lastRenderedPageBreak/>
        <w:t>Carter–Kent,</w:t>
      </w:r>
      <w:r w:rsidRPr="003A594D">
        <w:rPr>
          <w:rStyle w:val="apple-converted-space"/>
          <w:rFonts w:ascii="Times New Roman" w:hAnsi="Times New Roman"/>
          <w:b w:val="0"/>
          <w:i w:val="0"/>
          <w:lang w:val="uk-UA"/>
        </w:rPr>
        <w:t> </w:t>
      </w:r>
      <w:r w:rsidRPr="003A594D">
        <w:rPr>
          <w:rStyle w:val="author"/>
          <w:rFonts w:ascii="Times New Roman" w:hAnsi="Times New Roman"/>
          <w:b w:val="0"/>
          <w:i w:val="0"/>
          <w:lang w:val="uk-UA"/>
        </w:rPr>
        <w:t>N.N. Zein,</w:t>
      </w:r>
      <w:r w:rsidRPr="003A594D">
        <w:rPr>
          <w:rStyle w:val="apple-converted-space"/>
          <w:rFonts w:ascii="Times New Roman" w:hAnsi="Times New Roman"/>
          <w:b w:val="0"/>
          <w:i w:val="0"/>
          <w:lang w:val="uk-UA"/>
        </w:rPr>
        <w:t> </w:t>
      </w:r>
      <w:r w:rsidRPr="003A594D">
        <w:rPr>
          <w:rStyle w:val="author"/>
          <w:rFonts w:ascii="Times New Roman" w:hAnsi="Times New Roman"/>
          <w:b w:val="0"/>
          <w:i w:val="0"/>
          <w:lang w:val="uk-UA"/>
        </w:rPr>
        <w:t xml:space="preserve">A.E. Feldstein // </w:t>
      </w:r>
      <w:r w:rsidRPr="003A594D">
        <w:rPr>
          <w:rStyle w:val="journalname"/>
          <w:rFonts w:ascii="Times New Roman" w:hAnsi="Times New Roman"/>
          <w:b w:val="0"/>
          <w:i w:val="0"/>
          <w:iCs w:val="0"/>
          <w:lang w:val="uk-UA"/>
        </w:rPr>
        <w:t>The American Journal of Gastroenterology</w:t>
      </w:r>
      <w:r w:rsidRPr="003A594D">
        <w:rPr>
          <w:rFonts w:ascii="Times New Roman" w:hAnsi="Times New Roman" w:cs="Times New Roman"/>
          <w:b w:val="0"/>
          <w:i w:val="0"/>
          <w:lang w:val="uk-UA"/>
        </w:rPr>
        <w:t>. – 2008. – Vol. 103. – Р. 1036–1042.</w:t>
      </w:r>
    </w:p>
    <w:p w:rsidR="00DC20D7" w:rsidRPr="003A594D" w:rsidRDefault="00DC20D7" w:rsidP="00DC20D7">
      <w:pPr>
        <w:pStyle w:val="21"/>
        <w:numPr>
          <w:ilvl w:val="0"/>
          <w:numId w:val="10"/>
        </w:numPr>
        <w:spacing w:line="360" w:lineRule="auto"/>
        <w:jc w:val="both"/>
        <w:rPr>
          <w:spacing w:val="3"/>
          <w:sz w:val="28"/>
          <w:szCs w:val="28"/>
          <w:lang w:val="uk-UA"/>
        </w:rPr>
      </w:pPr>
      <w:r w:rsidRPr="003A594D">
        <w:rPr>
          <w:sz w:val="28"/>
          <w:szCs w:val="28"/>
          <w:lang w:val="uk-UA"/>
        </w:rPr>
        <w:t xml:space="preserve">Changes in the expression of methionine adenosyltransferase genes and S–adenosylmethionrne homeostasis during hepatic stellate cell activation / K. Ramani, </w:t>
      </w:r>
      <w:r w:rsidRPr="003A594D">
        <w:rPr>
          <w:spacing w:val="3"/>
          <w:sz w:val="28"/>
          <w:szCs w:val="28"/>
          <w:lang w:val="uk-UA"/>
        </w:rPr>
        <w:t xml:space="preserve">H. Yang, J. Kuhlenkamp [et al.]. // Hepatology. – 2010. – Vol. 51 (3). – P. 986–995.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Chronological development of elevated aminotransferases in a nonalcoholic population.</w:t>
      </w:r>
      <w:r w:rsidRPr="003A594D">
        <w:rPr>
          <w:rStyle w:val="apple-converted-space"/>
          <w:bCs/>
          <w:sz w:val="28"/>
          <w:szCs w:val="28"/>
          <w:shd w:val="clear" w:color="auto" w:fill="FFFFFF"/>
          <w:lang w:val="uk-UA"/>
        </w:rPr>
        <w:t> </w:t>
      </w:r>
      <w:r w:rsidRPr="003A594D">
        <w:rPr>
          <w:rStyle w:val="refseriestitle"/>
          <w:iCs/>
          <w:sz w:val="28"/>
          <w:szCs w:val="28"/>
          <w:shd w:val="clear" w:color="auto" w:fill="FFFFFF"/>
          <w:lang w:val="uk-UA"/>
        </w:rPr>
        <w:t xml:space="preserve">/ </w:t>
      </w:r>
      <w:r w:rsidRPr="003A594D">
        <w:rPr>
          <w:rStyle w:val="refauthors"/>
          <w:sz w:val="28"/>
          <w:szCs w:val="28"/>
          <w:shd w:val="clear" w:color="auto" w:fill="FFFFFF"/>
          <w:lang w:val="uk-UA"/>
        </w:rPr>
        <w:t>A. Suzuki, P. Angulo, J. Lymp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Hepatology</w:t>
      </w:r>
      <w:r w:rsidRPr="003A594D">
        <w:rPr>
          <w:sz w:val="28"/>
          <w:szCs w:val="28"/>
          <w:shd w:val="clear" w:color="auto" w:fill="FFFFFF"/>
          <w:lang w:val="uk-UA"/>
        </w:rPr>
        <w:t>. –</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2005. – Vol. </w:t>
      </w:r>
      <w:r w:rsidRPr="003A594D">
        <w:rPr>
          <w:rStyle w:val="refseriesvolume"/>
          <w:sz w:val="28"/>
          <w:szCs w:val="28"/>
          <w:shd w:val="clear" w:color="auto" w:fill="FFFFFF"/>
          <w:lang w:val="uk-UA"/>
        </w:rPr>
        <w:t xml:space="preserve">41 (1). – P. </w:t>
      </w:r>
      <w:r w:rsidRPr="003A594D">
        <w:rPr>
          <w:rStyle w:val="refpages"/>
          <w:sz w:val="28"/>
          <w:szCs w:val="28"/>
          <w:shd w:val="clear" w:color="auto" w:fill="FFFFFF"/>
          <w:lang w:val="uk-UA"/>
        </w:rPr>
        <w:t>64–71.</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Clark J. M. The epidemiology of nonalcoholic fatty liver disease in adults [Text] / J. M. Clark // J. Clin. Gastroenterol. — 2006. — Vol. 40. — P. 39–43.</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t xml:space="preserve">Complement factor H binds malondialdehyde epitopes and protects from oxidative stress / D. Weismann, K. Hartvigsen, N. Lauer </w:t>
      </w:r>
      <w:r w:rsidRPr="003A594D">
        <w:rPr>
          <w:sz w:val="28"/>
          <w:szCs w:val="28"/>
          <w:shd w:val="clear" w:color="auto" w:fill="FFFFFF"/>
          <w:lang w:val="uk-UA"/>
        </w:rPr>
        <w:t xml:space="preserve">[et al.]. // </w:t>
      </w:r>
      <w:r w:rsidRPr="003A594D">
        <w:rPr>
          <w:rStyle w:val="apple-style-span"/>
          <w:sz w:val="28"/>
          <w:szCs w:val="28"/>
          <w:lang w:val="uk-UA"/>
        </w:rPr>
        <w:t xml:space="preserve">Nature. – 2011. – </w:t>
      </w:r>
      <w:r w:rsidRPr="003A594D">
        <w:rPr>
          <w:spacing w:val="2"/>
          <w:sz w:val="28"/>
          <w:szCs w:val="28"/>
          <w:lang w:val="uk-UA"/>
        </w:rPr>
        <w:t>V</w:t>
      </w:r>
      <w:r w:rsidRPr="003A594D">
        <w:rPr>
          <w:rStyle w:val="apple-style-span"/>
          <w:sz w:val="28"/>
          <w:szCs w:val="28"/>
          <w:lang w:val="uk-UA"/>
        </w:rPr>
        <w:t>ol. 478. – № 7367. – Р. 76–81.</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Correlates and heritability of nonalcoholic fatty liver disease in a minority cohort.</w:t>
      </w:r>
      <w:r w:rsidRPr="003A594D">
        <w:rPr>
          <w:rStyle w:val="apple-converted-space"/>
          <w:bCs/>
          <w:sz w:val="28"/>
          <w:szCs w:val="28"/>
          <w:shd w:val="clear" w:color="auto" w:fill="FFFFFF"/>
          <w:lang w:val="uk-UA"/>
        </w:rPr>
        <w:t> </w:t>
      </w:r>
      <w:r w:rsidRPr="003A594D">
        <w:rPr>
          <w:rStyle w:val="refseriestitle"/>
          <w:iCs/>
          <w:sz w:val="28"/>
          <w:szCs w:val="28"/>
          <w:shd w:val="clear" w:color="auto" w:fill="FFFFFF"/>
          <w:lang w:val="uk-UA"/>
        </w:rPr>
        <w:t xml:space="preserve">/ </w:t>
      </w:r>
      <w:r w:rsidRPr="003A594D">
        <w:rPr>
          <w:rStyle w:val="refauthors"/>
          <w:sz w:val="28"/>
          <w:szCs w:val="28"/>
          <w:shd w:val="clear" w:color="auto" w:fill="FFFFFF"/>
          <w:lang w:val="uk-UA"/>
        </w:rPr>
        <w:t>L.E. Wagenknecht, A.L. Scherzinger, E.R. Stamm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Obesity (Silver Spring)</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 2009. – Vol. </w:t>
      </w:r>
      <w:r w:rsidRPr="003A594D">
        <w:rPr>
          <w:rStyle w:val="refseriesvolume"/>
          <w:sz w:val="28"/>
          <w:szCs w:val="28"/>
          <w:shd w:val="clear" w:color="auto" w:fill="FFFFFF"/>
          <w:lang w:val="uk-UA"/>
        </w:rPr>
        <w:t xml:space="preserve">17. – P. </w:t>
      </w:r>
      <w:r w:rsidRPr="003A594D">
        <w:rPr>
          <w:rStyle w:val="refpages"/>
          <w:sz w:val="28"/>
          <w:szCs w:val="28"/>
          <w:shd w:val="clear" w:color="auto" w:fill="FFFFFF"/>
          <w:lang w:val="uk-UA"/>
        </w:rPr>
        <w:t>1240–1246</w:t>
      </w:r>
      <w:r w:rsidRPr="003A594D">
        <w:rPr>
          <w:rStyle w:val="refpages"/>
          <w:sz w:val="28"/>
          <w:szCs w:val="28"/>
          <w:lang w:val="uk-UA"/>
        </w:rPr>
        <w:t>.</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Cystathionine beta synthase deficiency promotes oxidative stress, fibrosis, and  steatosis  in  mice   liver  /  K.   Robert,   J.   Nehme,   E.   Bourdon   [et  al.].  // </w:t>
      </w:r>
      <w:r w:rsidRPr="003A594D">
        <w:rPr>
          <w:spacing w:val="4"/>
          <w:sz w:val="28"/>
          <w:szCs w:val="28"/>
          <w:lang w:val="uk-UA"/>
        </w:rPr>
        <w:t xml:space="preserve">Gastroenterology. – 2005. – № </w:t>
      </w:r>
      <w:r w:rsidRPr="003A594D">
        <w:rPr>
          <w:spacing w:val="14"/>
          <w:sz w:val="28"/>
          <w:szCs w:val="28"/>
          <w:lang w:val="uk-UA"/>
        </w:rPr>
        <w:t>128 (5). – P.</w:t>
      </w:r>
      <w:r w:rsidRPr="003A594D">
        <w:rPr>
          <w:spacing w:val="4"/>
          <w:sz w:val="28"/>
          <w:szCs w:val="28"/>
          <w:lang w:val="uk-UA"/>
        </w:rPr>
        <w:t xml:space="preserve"> 1405–1415</w:t>
      </w:r>
      <w:r w:rsidRPr="003A594D">
        <w:rPr>
          <w:sz w:val="28"/>
          <w:szCs w:val="28"/>
          <w:lang w:val="uk-UA"/>
        </w:rPr>
        <w:t xml:space="preserve">.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Cytokines and the pathogenesis of nonalcoholic steatohepatitis / А. Diehl, Z. Li, H. Lin, </w:t>
      </w:r>
      <w:r w:rsidRPr="003A594D">
        <w:rPr>
          <w:spacing w:val="-1"/>
          <w:sz w:val="28"/>
          <w:szCs w:val="28"/>
          <w:lang w:val="uk-UA"/>
        </w:rPr>
        <w:t xml:space="preserve">[et al.]. </w:t>
      </w:r>
      <w:r w:rsidRPr="003A594D">
        <w:rPr>
          <w:sz w:val="28"/>
          <w:szCs w:val="28"/>
          <w:lang w:val="uk-UA"/>
        </w:rPr>
        <w:t xml:space="preserve"> // Gut. – 2005. – № 54. – Р. 303–306.</w:t>
      </w:r>
    </w:p>
    <w:p w:rsidR="00DC20D7" w:rsidRPr="003A594D" w:rsidRDefault="00DC20D7" w:rsidP="00DC20D7">
      <w:pPr>
        <w:pStyle w:val="22"/>
        <w:numPr>
          <w:ilvl w:val="0"/>
          <w:numId w:val="10"/>
        </w:numPr>
        <w:spacing w:line="360" w:lineRule="auto"/>
        <w:jc w:val="both"/>
        <w:rPr>
          <w:sz w:val="28"/>
          <w:szCs w:val="28"/>
          <w:lang w:val="uk-UA"/>
        </w:rPr>
      </w:pPr>
      <w:r w:rsidRPr="003A594D">
        <w:rPr>
          <w:sz w:val="28"/>
          <w:szCs w:val="28"/>
          <w:lang w:val="uk-UA"/>
        </w:rPr>
        <w:t xml:space="preserve">Das S.K.  Liver Disease / S.K. Das, V. Balakrishna // Ind J Clin Bioche. – 2011. – Vol. 26 (2). – P. 202–209. </w:t>
      </w:r>
    </w:p>
    <w:p w:rsidR="00DC20D7" w:rsidRPr="003A594D" w:rsidRDefault="00DC20D7" w:rsidP="00DC20D7">
      <w:pPr>
        <w:pStyle w:val="21"/>
        <w:numPr>
          <w:ilvl w:val="0"/>
          <w:numId w:val="10"/>
        </w:numPr>
        <w:spacing w:line="360" w:lineRule="auto"/>
        <w:jc w:val="both"/>
        <w:rPr>
          <w:spacing w:val="2"/>
          <w:sz w:val="28"/>
          <w:szCs w:val="28"/>
          <w:lang w:val="uk-UA"/>
        </w:rPr>
      </w:pPr>
      <w:r w:rsidRPr="003A594D">
        <w:rPr>
          <w:sz w:val="28"/>
          <w:szCs w:val="28"/>
          <w:lang w:val="uk-UA"/>
        </w:rPr>
        <w:t xml:space="preserve">Dayal S. ADMA and hyperhomocysteinemia / S. Dayal, S. R. Lentz // </w:t>
      </w:r>
      <w:r w:rsidRPr="003A594D">
        <w:rPr>
          <w:spacing w:val="2"/>
          <w:sz w:val="28"/>
          <w:szCs w:val="28"/>
          <w:lang w:val="uk-UA"/>
        </w:rPr>
        <w:t xml:space="preserve">Vase Med. – 2005. – Vol. 10, Suppl 1. – P.27–33. </w:t>
      </w:r>
    </w:p>
    <w:p w:rsidR="00DC20D7" w:rsidRPr="003A594D" w:rsidRDefault="00DC20D7" w:rsidP="00DC20D7">
      <w:pPr>
        <w:numPr>
          <w:ilvl w:val="0"/>
          <w:numId w:val="10"/>
        </w:numPr>
        <w:spacing w:line="360" w:lineRule="auto"/>
        <w:jc w:val="both"/>
        <w:rPr>
          <w:sz w:val="28"/>
          <w:szCs w:val="28"/>
          <w:lang w:val="uk-UA"/>
        </w:rPr>
      </w:pPr>
      <w:r w:rsidRPr="003A594D">
        <w:rPr>
          <w:rStyle w:val="reftitle"/>
          <w:bCs/>
          <w:sz w:val="28"/>
          <w:szCs w:val="28"/>
          <w:shd w:val="clear" w:color="auto" w:fill="FFFFFF"/>
          <w:lang w:val="uk-UA"/>
        </w:rPr>
        <w:t>Decreased survival of subjects with elevated liver function tests during a 28–year follow–up.</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C. Soderberg, P. Stal, J. Askling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Hepatology</w:t>
      </w:r>
      <w:r w:rsidRPr="003A594D">
        <w:rPr>
          <w:sz w:val="28"/>
          <w:szCs w:val="28"/>
          <w:shd w:val="clear" w:color="auto" w:fill="FFFFFF"/>
          <w:lang w:val="uk-UA"/>
        </w:rPr>
        <w:t>. –</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2010. – Vol.</w:t>
      </w:r>
      <w:r w:rsidRPr="003A594D">
        <w:rPr>
          <w:rStyle w:val="refseriesvolume"/>
          <w:sz w:val="28"/>
          <w:szCs w:val="28"/>
          <w:shd w:val="clear" w:color="auto" w:fill="FFFFFF"/>
          <w:lang w:val="uk-UA"/>
        </w:rPr>
        <w:t xml:space="preserve"> 51</w:t>
      </w:r>
      <w:r w:rsidRPr="003A594D">
        <w:rPr>
          <w:rStyle w:val="apple-converted-space"/>
          <w:sz w:val="28"/>
          <w:szCs w:val="28"/>
          <w:shd w:val="clear" w:color="auto" w:fill="FFFFFF"/>
          <w:lang w:val="uk-UA"/>
        </w:rPr>
        <w:t>. – P. </w:t>
      </w:r>
      <w:r w:rsidRPr="003A594D">
        <w:rPr>
          <w:rStyle w:val="refpages"/>
          <w:sz w:val="28"/>
          <w:szCs w:val="28"/>
          <w:shd w:val="clear" w:color="auto" w:fill="FFFFFF"/>
          <w:lang w:val="uk-UA"/>
        </w:rPr>
        <w:t>595–602</w:t>
      </w:r>
      <w:r w:rsidRPr="003A594D">
        <w:rPr>
          <w:sz w:val="28"/>
          <w:szCs w:val="28"/>
          <w:lang w:val="uk-UA"/>
        </w:rPr>
        <w:t>.</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lastRenderedPageBreak/>
        <w:t>Del Rio D. A review of recent studies on malondialdehyde as toxic molecule and biological marker of oxidative stress / D. Del Rio, A. J. Stewart  N. Pellegrini //</w:t>
      </w:r>
      <w:r w:rsidRPr="003A594D">
        <w:rPr>
          <w:rStyle w:val="apple-converted-space"/>
          <w:sz w:val="28"/>
          <w:szCs w:val="28"/>
          <w:lang w:val="uk-UA"/>
        </w:rPr>
        <w:t> </w:t>
      </w:r>
      <w:r w:rsidRPr="003A594D">
        <w:rPr>
          <w:rStyle w:val="apple-style-span"/>
          <w:sz w:val="28"/>
          <w:szCs w:val="28"/>
          <w:lang w:val="uk-UA"/>
        </w:rPr>
        <w:t xml:space="preserve">Nutrition, Metabolism and Cardiovascular Diseases. – 2005. – </w:t>
      </w:r>
      <w:r w:rsidRPr="003A594D">
        <w:rPr>
          <w:spacing w:val="2"/>
          <w:sz w:val="28"/>
          <w:szCs w:val="28"/>
          <w:lang w:val="uk-UA"/>
        </w:rPr>
        <w:t>V</w:t>
      </w:r>
      <w:r w:rsidRPr="003A594D">
        <w:rPr>
          <w:rStyle w:val="apple-style-span"/>
          <w:sz w:val="28"/>
          <w:szCs w:val="28"/>
          <w:lang w:val="uk-UA"/>
        </w:rPr>
        <w:t xml:space="preserve">ol. 15 (4). – Р. 316–328. </w:t>
      </w:r>
    </w:p>
    <w:p w:rsidR="00DC20D7" w:rsidRPr="003A594D" w:rsidRDefault="00DC20D7" w:rsidP="00DC20D7">
      <w:pPr>
        <w:pStyle w:val="21"/>
        <w:numPr>
          <w:ilvl w:val="0"/>
          <w:numId w:val="10"/>
        </w:numPr>
        <w:spacing w:line="360" w:lineRule="auto"/>
        <w:jc w:val="both"/>
        <w:rPr>
          <w:shd w:val="clear" w:color="auto" w:fill="FFFFFF"/>
          <w:lang w:val="uk-UA"/>
        </w:rPr>
      </w:pPr>
      <w:r w:rsidRPr="003A594D">
        <w:rPr>
          <w:bCs/>
          <w:spacing w:val="-2"/>
          <w:sz w:val="28"/>
          <w:szCs w:val="28"/>
          <w:lang w:val="uk-UA"/>
        </w:rPr>
        <w:t xml:space="preserve">Diagnosis of fibrosis and cirrhosis using </w:t>
      </w:r>
      <w:r w:rsidRPr="003A594D">
        <w:rPr>
          <w:rStyle w:val="googqs-tidbitgoogqs-tidbit-0"/>
          <w:bCs/>
          <w:spacing w:val="-2"/>
          <w:sz w:val="28"/>
          <w:szCs w:val="28"/>
          <w:lang w:val="uk-UA"/>
        </w:rPr>
        <w:t xml:space="preserve">liver stiffness measurement in nonalcoholic fatty liver disease </w:t>
      </w:r>
      <w:r w:rsidRPr="003A594D">
        <w:rPr>
          <w:sz w:val="28"/>
          <w:szCs w:val="28"/>
          <w:lang w:val="uk-UA"/>
        </w:rPr>
        <w:t xml:space="preserve"> / V.W. Wong, J. Vergnion, G.L. Wong</w:t>
      </w:r>
      <w:r w:rsidRPr="003A594D">
        <w:rPr>
          <w:sz w:val="28"/>
          <w:szCs w:val="28"/>
          <w:shd w:val="clear" w:color="auto" w:fill="FFFFFF"/>
          <w:lang w:val="uk-UA"/>
        </w:rPr>
        <w:t xml:space="preserve"> [et al.]. //  </w:t>
      </w:r>
      <w:hyperlink r:id="rId30" w:tooltip="Gastroenterology." w:history="1">
        <w:r w:rsidRPr="003A594D">
          <w:rPr>
            <w:rStyle w:val="a3"/>
            <w:color w:val="auto"/>
            <w:sz w:val="28"/>
            <w:szCs w:val="28"/>
            <w:u w:val="none"/>
            <w:shd w:val="clear" w:color="auto" w:fill="FFFFFF"/>
            <w:lang w:val="uk-UA"/>
          </w:rPr>
          <w:t>Hepatology.</w:t>
        </w:r>
      </w:hyperlink>
      <w:r w:rsidRPr="003A594D">
        <w:rPr>
          <w:rStyle w:val="apple-converted-space"/>
          <w:sz w:val="28"/>
          <w:szCs w:val="28"/>
          <w:shd w:val="clear" w:color="auto" w:fill="FFFFFF"/>
          <w:lang w:val="uk-UA"/>
        </w:rPr>
        <w:t xml:space="preserve"> – </w:t>
      </w:r>
      <w:r w:rsidRPr="003A594D">
        <w:rPr>
          <w:sz w:val="28"/>
          <w:szCs w:val="28"/>
          <w:shd w:val="clear" w:color="auto" w:fill="FFFFFF"/>
          <w:lang w:val="uk-UA"/>
        </w:rPr>
        <w:t xml:space="preserve">2010. – Vol. 51 (2). – P. 454–462.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Diagnostic and predictive factors of significant liver fibrosis and minimal lesions in patients with persistent unexplained elevated transaminases: a prospective multicenter study.</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V. Ledinghen, V. Ratziu, X. Causse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J Hepatol</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 2006. – Vol. </w:t>
      </w:r>
      <w:r w:rsidRPr="003A594D">
        <w:rPr>
          <w:rStyle w:val="refseriesvolume"/>
          <w:sz w:val="28"/>
          <w:szCs w:val="28"/>
          <w:shd w:val="clear" w:color="auto" w:fill="FFFFFF"/>
          <w:lang w:val="uk-UA"/>
        </w:rPr>
        <w:t>45. – P.</w:t>
      </w:r>
      <w:r w:rsidRPr="003A594D">
        <w:rPr>
          <w:rStyle w:val="refpages"/>
          <w:sz w:val="28"/>
          <w:szCs w:val="28"/>
          <w:shd w:val="clear" w:color="auto" w:fill="FFFFFF"/>
          <w:lang w:val="uk-UA"/>
        </w:rPr>
        <w:t>592–599</w:t>
      </w:r>
      <w:r w:rsidRPr="003A594D">
        <w:rPr>
          <w:rStyle w:val="refpages"/>
          <w:sz w:val="28"/>
          <w:szCs w:val="28"/>
          <w:lang w:val="uk-UA"/>
        </w:rPr>
        <w:t>.</w:t>
      </w:r>
    </w:p>
    <w:p w:rsidR="00DC20D7" w:rsidRPr="003A594D" w:rsidRDefault="00DE1C28" w:rsidP="00DC20D7">
      <w:pPr>
        <w:pStyle w:val="aa"/>
        <w:numPr>
          <w:ilvl w:val="0"/>
          <w:numId w:val="10"/>
        </w:numPr>
        <w:spacing w:line="360" w:lineRule="auto"/>
        <w:jc w:val="both"/>
        <w:rPr>
          <w:rStyle w:val="a3"/>
          <w:color w:val="auto"/>
          <w:u w:val="none"/>
          <w:shd w:val="clear" w:color="auto" w:fill="FFFFFF"/>
          <w:lang w:val="uk-UA"/>
        </w:rPr>
      </w:pPr>
      <w:hyperlink r:id="rId31" w:history="1">
        <w:r w:rsidR="00DC20D7" w:rsidRPr="003A594D">
          <w:rPr>
            <w:rStyle w:val="a3"/>
            <w:bCs/>
            <w:color w:val="auto"/>
            <w:sz w:val="28"/>
            <w:szCs w:val="28"/>
            <w:u w:val="none"/>
            <w:bdr w:val="none" w:sz="0" w:space="0" w:color="auto" w:frame="1"/>
            <w:lang w:val="uk-UA"/>
          </w:rPr>
          <w:t>Diagnostic value of a group of biochemical markers of liver fibrosis in patients with non–alcoholic steatohepatitis</w:t>
        </w:r>
        <w:r w:rsidR="00DC20D7" w:rsidRPr="003A594D">
          <w:rPr>
            <w:rStyle w:val="apple-converted-space"/>
            <w:bCs/>
            <w:sz w:val="28"/>
            <w:szCs w:val="28"/>
            <w:bdr w:val="none" w:sz="0" w:space="0" w:color="auto" w:frame="1"/>
            <w:lang w:val="uk-UA"/>
          </w:rPr>
          <w:t xml:space="preserve"> / C.R. Lesmana, I. Hasan, U. Budihusodo </w:t>
        </w:r>
        <w:r w:rsidR="00DC20D7" w:rsidRPr="003A594D">
          <w:rPr>
            <w:rStyle w:val="refauthors"/>
            <w:sz w:val="28"/>
            <w:szCs w:val="28"/>
            <w:shd w:val="clear" w:color="auto" w:fill="FFFFFF"/>
            <w:lang w:val="uk-UA"/>
          </w:rPr>
          <w:t>[et al.]. //</w:t>
        </w:r>
        <w:r w:rsidR="00DC20D7" w:rsidRPr="003A594D">
          <w:rPr>
            <w:rStyle w:val="apple-converted-space"/>
            <w:sz w:val="28"/>
            <w:szCs w:val="28"/>
            <w:shd w:val="clear" w:color="auto" w:fill="FFFFFF"/>
            <w:lang w:val="uk-UA"/>
          </w:rPr>
          <w:t> </w:t>
        </w:r>
        <w:r w:rsidR="00DC20D7" w:rsidRPr="003A594D">
          <w:rPr>
            <w:rStyle w:val="a3"/>
            <w:bCs/>
            <w:color w:val="auto"/>
            <w:sz w:val="28"/>
            <w:szCs w:val="28"/>
            <w:u w:val="none"/>
            <w:bdr w:val="none" w:sz="0" w:space="0" w:color="auto" w:frame="1"/>
            <w:lang w:val="uk-UA"/>
          </w:rPr>
          <w:t xml:space="preserve"> </w:t>
        </w:r>
        <w:r w:rsidR="00DC20D7" w:rsidRPr="003A594D">
          <w:rPr>
            <w:rStyle w:val="a3"/>
            <w:color w:val="auto"/>
            <w:sz w:val="28"/>
            <w:szCs w:val="28"/>
            <w:u w:val="none"/>
            <w:shd w:val="clear" w:color="auto" w:fill="FFFFFF"/>
            <w:lang w:val="uk-UA"/>
          </w:rPr>
          <w:t xml:space="preserve">Dig. Dis. – 2009. – Vol. 10 (4). – P. 201–206. </w:t>
        </w:r>
      </w:hyperlink>
    </w:p>
    <w:p w:rsidR="00DC20D7" w:rsidRPr="003A594D" w:rsidRDefault="00DE1C28" w:rsidP="00DC20D7">
      <w:pPr>
        <w:numPr>
          <w:ilvl w:val="0"/>
          <w:numId w:val="10"/>
        </w:numPr>
        <w:spacing w:line="360" w:lineRule="auto"/>
        <w:jc w:val="both"/>
        <w:rPr>
          <w:lang w:val="uk-UA"/>
        </w:rPr>
      </w:pPr>
      <w:hyperlink r:id="rId32" w:history="1">
        <w:r w:rsidR="00DC20D7" w:rsidRPr="003A594D">
          <w:rPr>
            <w:rStyle w:val="a3"/>
            <w:bCs/>
            <w:sz w:val="28"/>
            <w:szCs w:val="28"/>
            <w:bdr w:val="none" w:sz="0" w:space="0" w:color="auto" w:frame="1"/>
            <w:lang w:val="uk-UA"/>
          </w:rPr>
          <w:t xml:space="preserve"> </w:t>
        </w:r>
      </w:hyperlink>
      <w:r w:rsidR="00DC20D7" w:rsidRPr="003A594D">
        <w:rPr>
          <w:rStyle w:val="reftitle"/>
          <w:bCs/>
          <w:sz w:val="28"/>
          <w:szCs w:val="28"/>
          <w:shd w:val="clear" w:color="auto" w:fill="FFFFFF"/>
          <w:lang w:val="uk-UA"/>
        </w:rPr>
        <w:t>Disease progression of non–alcoholic fatty liver disease: a prospective study with paired liver biopsies at 3 years.</w:t>
      </w:r>
      <w:r w:rsidR="00DC20D7" w:rsidRPr="003A594D">
        <w:rPr>
          <w:rStyle w:val="refauthors"/>
          <w:sz w:val="28"/>
          <w:szCs w:val="28"/>
          <w:shd w:val="clear" w:color="auto" w:fill="FFFFFF"/>
          <w:lang w:val="uk-UA"/>
        </w:rPr>
        <w:t xml:space="preserve"> / V.W.S. Wong, G.L.H. Wong, P.C.L. Choi [et al.] //</w:t>
      </w:r>
      <w:r w:rsidR="00DC20D7" w:rsidRPr="003A594D">
        <w:rPr>
          <w:rStyle w:val="apple-converted-space"/>
          <w:sz w:val="28"/>
          <w:szCs w:val="28"/>
          <w:shd w:val="clear" w:color="auto" w:fill="FFFFFF"/>
          <w:lang w:val="uk-UA"/>
        </w:rPr>
        <w:t> </w:t>
      </w:r>
      <w:r w:rsidR="00DC20D7" w:rsidRPr="003A594D">
        <w:rPr>
          <w:rStyle w:val="apple-converted-space"/>
          <w:bCs/>
          <w:sz w:val="28"/>
          <w:szCs w:val="28"/>
          <w:shd w:val="clear" w:color="auto" w:fill="FFFFFF"/>
          <w:lang w:val="uk-UA"/>
        </w:rPr>
        <w:t> </w:t>
      </w:r>
      <w:r w:rsidR="00DC20D7" w:rsidRPr="003A594D">
        <w:rPr>
          <w:rStyle w:val="refseriestitle"/>
          <w:iCs/>
          <w:sz w:val="28"/>
          <w:szCs w:val="28"/>
          <w:shd w:val="clear" w:color="auto" w:fill="FFFFFF"/>
          <w:lang w:val="uk-UA"/>
        </w:rPr>
        <w:t>Gut</w:t>
      </w:r>
      <w:r w:rsidR="00DC20D7" w:rsidRPr="003A594D">
        <w:rPr>
          <w:sz w:val="28"/>
          <w:szCs w:val="28"/>
          <w:shd w:val="clear" w:color="auto" w:fill="FFFFFF"/>
          <w:lang w:val="uk-UA"/>
        </w:rPr>
        <w:t>. –</w:t>
      </w:r>
      <w:r w:rsidR="00DC20D7" w:rsidRPr="003A594D">
        <w:rPr>
          <w:rStyle w:val="apple-converted-space"/>
          <w:sz w:val="28"/>
          <w:szCs w:val="28"/>
          <w:shd w:val="clear" w:color="auto" w:fill="FFFFFF"/>
          <w:lang w:val="uk-UA"/>
        </w:rPr>
        <w:t> </w:t>
      </w:r>
      <w:r w:rsidR="00DC20D7" w:rsidRPr="003A594D">
        <w:rPr>
          <w:rStyle w:val="refseriesdate"/>
          <w:sz w:val="28"/>
          <w:szCs w:val="28"/>
          <w:shd w:val="clear" w:color="auto" w:fill="FFFFFF"/>
          <w:lang w:val="uk-UA"/>
        </w:rPr>
        <w:t>2010</w:t>
      </w:r>
      <w:r w:rsidR="00DC20D7" w:rsidRPr="003A594D">
        <w:rPr>
          <w:rStyle w:val="apple-converted-space"/>
          <w:sz w:val="28"/>
          <w:szCs w:val="28"/>
          <w:shd w:val="clear" w:color="auto" w:fill="FFFFFF"/>
          <w:lang w:val="uk-UA"/>
        </w:rPr>
        <w:t xml:space="preserve">. – </w:t>
      </w:r>
      <w:r w:rsidR="00DC20D7" w:rsidRPr="003A594D">
        <w:rPr>
          <w:sz w:val="28"/>
          <w:szCs w:val="28"/>
          <w:lang w:val="uk-UA"/>
        </w:rPr>
        <w:t xml:space="preserve">№ </w:t>
      </w:r>
      <w:r w:rsidR="00DC20D7" w:rsidRPr="003A594D">
        <w:rPr>
          <w:rStyle w:val="refseriesvolume"/>
          <w:sz w:val="28"/>
          <w:szCs w:val="28"/>
          <w:shd w:val="clear" w:color="auto" w:fill="FFFFFF"/>
          <w:lang w:val="uk-UA"/>
        </w:rPr>
        <w:t>59</w:t>
      </w:r>
      <w:r w:rsidR="00DC20D7" w:rsidRPr="003A594D">
        <w:rPr>
          <w:rStyle w:val="apple-converted-space"/>
          <w:sz w:val="28"/>
          <w:szCs w:val="28"/>
          <w:shd w:val="clear" w:color="auto" w:fill="FFFFFF"/>
          <w:lang w:val="uk-UA"/>
        </w:rPr>
        <w:t>. – P. </w:t>
      </w:r>
      <w:r w:rsidR="00DC20D7" w:rsidRPr="003A594D">
        <w:rPr>
          <w:rStyle w:val="refpages"/>
          <w:sz w:val="28"/>
          <w:szCs w:val="28"/>
          <w:shd w:val="clear" w:color="auto" w:fill="FFFFFF"/>
          <w:lang w:val="uk-UA"/>
        </w:rPr>
        <w:t>969–974</w:t>
      </w:r>
      <w:r w:rsidR="00DC20D7" w:rsidRPr="003A594D">
        <w:rPr>
          <w:sz w:val="28"/>
          <w:szCs w:val="28"/>
          <w:lang w:val="uk-UA"/>
        </w:rPr>
        <w:t>.</w:t>
      </w:r>
    </w:p>
    <w:p w:rsidR="00DC20D7" w:rsidRPr="003A594D" w:rsidRDefault="00DC20D7" w:rsidP="00DC20D7">
      <w:pPr>
        <w:pStyle w:val="a5"/>
        <w:numPr>
          <w:ilvl w:val="0"/>
          <w:numId w:val="10"/>
        </w:numPr>
        <w:spacing w:before="0" w:beforeAutospacing="0" w:after="90" w:afterAutospacing="0" w:line="360" w:lineRule="auto"/>
        <w:jc w:val="both"/>
        <w:rPr>
          <w:sz w:val="28"/>
          <w:szCs w:val="28"/>
          <w:lang w:val="uk-UA"/>
        </w:rPr>
      </w:pPr>
      <w:r w:rsidRPr="003A594D">
        <w:rPr>
          <w:sz w:val="28"/>
          <w:szCs w:val="28"/>
          <w:lang w:val="uk-UA"/>
        </w:rPr>
        <w:t xml:space="preserve">Effect of L–carnitine on the size of LDL particles in the type 2 diabetic patients treated with simvastatin / M. Malaguarnera, M. Vacante, M. Motta </w:t>
      </w:r>
      <w:r w:rsidRPr="003A594D">
        <w:rPr>
          <w:rStyle w:val="af1"/>
          <w:iCs/>
          <w:sz w:val="28"/>
          <w:szCs w:val="28"/>
          <w:lang w:val="uk-UA"/>
        </w:rPr>
        <w:t>[et al.].</w:t>
      </w:r>
      <w:r w:rsidRPr="003A594D">
        <w:rPr>
          <w:rStyle w:val="apple-converted-space"/>
          <w:i/>
          <w:sz w:val="28"/>
          <w:szCs w:val="28"/>
          <w:lang w:val="uk-UA"/>
        </w:rPr>
        <w:t> </w:t>
      </w:r>
      <w:r w:rsidRPr="003A594D">
        <w:rPr>
          <w:rStyle w:val="apple-converted-space"/>
          <w:sz w:val="28"/>
          <w:szCs w:val="28"/>
          <w:lang w:val="uk-UA"/>
        </w:rPr>
        <w:t>//</w:t>
      </w:r>
      <w:r w:rsidRPr="003A594D">
        <w:rPr>
          <w:sz w:val="28"/>
          <w:szCs w:val="28"/>
          <w:lang w:val="uk-UA"/>
        </w:rPr>
        <w:t xml:space="preserve"> Metabolism. –  2009. – Vol. 58. – Р. 1618–1623. </w:t>
      </w:r>
    </w:p>
    <w:p w:rsidR="00DC20D7" w:rsidRPr="003A594D" w:rsidRDefault="00DC20D7" w:rsidP="00DC20D7">
      <w:pPr>
        <w:numPr>
          <w:ilvl w:val="0"/>
          <w:numId w:val="10"/>
        </w:numPr>
        <w:spacing w:line="360" w:lineRule="auto"/>
        <w:jc w:val="both"/>
        <w:rPr>
          <w:rStyle w:val="refpages"/>
          <w:lang w:val="uk-UA"/>
        </w:rPr>
      </w:pPr>
      <w:r w:rsidRPr="003A594D">
        <w:rPr>
          <w:sz w:val="28"/>
          <w:szCs w:val="28"/>
          <w:lang w:val="uk-UA"/>
        </w:rPr>
        <w:t>Effect of miRNA–10b in regulating cellular steatosis level by targeting PPAR–alpha expression, a novel mechanism for the pathogenesis of NAFLD / Z. Lin, L. Guo–cai, S. Jifang, Y. Yi–da // Journal of Gastroenterology and Hepatology. – 2010. – Vol. 25. – P. 156–163</w:t>
      </w:r>
      <w:r w:rsidRPr="003A594D">
        <w:rPr>
          <w:rStyle w:val="apple-converted-space"/>
          <w:sz w:val="28"/>
          <w:szCs w:val="28"/>
          <w:lang w:val="uk-UA"/>
        </w:rPr>
        <w:t>. </w:t>
      </w:r>
    </w:p>
    <w:p w:rsidR="00DC20D7" w:rsidRPr="003A594D" w:rsidRDefault="00DC20D7" w:rsidP="00DC20D7">
      <w:pPr>
        <w:pStyle w:val="21"/>
        <w:numPr>
          <w:ilvl w:val="0"/>
          <w:numId w:val="10"/>
        </w:numPr>
        <w:spacing w:line="360" w:lineRule="auto"/>
        <w:jc w:val="both"/>
        <w:rPr>
          <w:rStyle w:val="refpages"/>
          <w:spacing w:val="6"/>
          <w:sz w:val="28"/>
          <w:szCs w:val="28"/>
          <w:lang w:val="uk-UA"/>
        </w:rPr>
      </w:pPr>
      <w:r w:rsidRPr="003A594D">
        <w:rPr>
          <w:sz w:val="28"/>
          <w:szCs w:val="28"/>
          <w:lang w:val="uk-UA"/>
        </w:rPr>
        <w:t xml:space="preserve">Effect    of   Sclerovit    on    endothelial    dysfunction,    hemorheological parameters,   platelet   aggregation,   plasma   concentration   of  homocystcinc   and </w:t>
      </w:r>
      <w:r w:rsidRPr="003A594D">
        <w:rPr>
          <w:spacing w:val="3"/>
          <w:sz w:val="28"/>
          <w:szCs w:val="28"/>
          <w:lang w:val="uk-UA"/>
        </w:rPr>
        <w:t xml:space="preserve">progression of atherosclerosis in patients with vascular diseases / B. Horvath, L. </w:t>
      </w:r>
      <w:r w:rsidRPr="003A594D">
        <w:rPr>
          <w:sz w:val="28"/>
          <w:szCs w:val="28"/>
          <w:lang w:val="uk-UA"/>
        </w:rPr>
        <w:t xml:space="preserve">Szapary, L. Debreceni [et al.] // Clin. Hemorheol. Microcirc.  – 2009. – Vol. 42, № 1. </w:t>
      </w:r>
      <w:r w:rsidRPr="003A594D">
        <w:rPr>
          <w:spacing w:val="6"/>
          <w:sz w:val="28"/>
          <w:szCs w:val="28"/>
          <w:lang w:val="uk-UA"/>
        </w:rPr>
        <w:t xml:space="preserve">– P. 19–28. </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pple-style-span"/>
          <w:rFonts w:ascii="Times New Roman" w:hAnsi="Times New Roman"/>
          <w:b w:val="0"/>
          <w:i w:val="0"/>
          <w:lang w:val="uk-UA"/>
        </w:rPr>
        <w:lastRenderedPageBreak/>
        <w:t>Effects of etanercept in patients with the metabolic syndrome / L.E. Bernstein, J. Berry, S. Kim</w:t>
      </w:r>
      <w:r w:rsidRPr="003A594D">
        <w:rPr>
          <w:rFonts w:ascii="Times New Roman" w:hAnsi="Times New Roman" w:cs="Times New Roman"/>
          <w:b w:val="0"/>
          <w:i w:val="0"/>
          <w:lang w:val="uk-UA"/>
        </w:rPr>
        <w:t xml:space="preserve"> [et.al.].</w:t>
      </w:r>
      <w:r w:rsidRPr="003A594D">
        <w:rPr>
          <w:lang w:val="uk-UA"/>
        </w:rPr>
        <w:t xml:space="preserve"> </w:t>
      </w:r>
      <w:r w:rsidRPr="003A594D">
        <w:rPr>
          <w:rStyle w:val="apple-converted-space"/>
          <w:rFonts w:ascii="Times New Roman" w:hAnsi="Times New Roman"/>
          <w:b w:val="0"/>
          <w:i w:val="0"/>
          <w:lang w:val="uk-UA"/>
        </w:rPr>
        <w:t xml:space="preserve"> // </w:t>
      </w:r>
      <w:r w:rsidRPr="003A594D">
        <w:rPr>
          <w:rStyle w:val="ref-journal"/>
          <w:rFonts w:ascii="Times New Roman" w:hAnsi="Times New Roman"/>
          <w:b w:val="0"/>
          <w:i w:val="0"/>
          <w:lang w:val="uk-UA"/>
        </w:rPr>
        <w:t>Arch Intern Med.</w:t>
      </w:r>
      <w:r w:rsidRPr="003A594D">
        <w:rPr>
          <w:rStyle w:val="apple-converted-space"/>
          <w:rFonts w:ascii="Times New Roman" w:hAnsi="Times New Roman"/>
          <w:b w:val="0"/>
          <w:i w:val="0"/>
          <w:lang w:val="uk-UA"/>
        </w:rPr>
        <w:t xml:space="preserve"> – </w:t>
      </w:r>
      <w:r w:rsidRPr="003A594D">
        <w:rPr>
          <w:rStyle w:val="apple-style-span"/>
          <w:rFonts w:ascii="Times New Roman" w:hAnsi="Times New Roman"/>
          <w:b w:val="0"/>
          <w:i w:val="0"/>
          <w:lang w:val="uk-UA"/>
        </w:rPr>
        <w:t xml:space="preserve">2006. – </w:t>
      </w:r>
      <w:r w:rsidRPr="003A594D">
        <w:rPr>
          <w:rFonts w:ascii="Times New Roman" w:hAnsi="Times New Roman" w:cs="Times New Roman"/>
          <w:b w:val="0"/>
          <w:i w:val="0"/>
          <w:lang w:val="uk-UA"/>
        </w:rPr>
        <w:t>Vol.</w:t>
      </w:r>
      <w:r w:rsidRPr="003A594D">
        <w:rPr>
          <w:lang w:val="uk-UA"/>
        </w:rPr>
        <w:t xml:space="preserve"> </w:t>
      </w:r>
      <w:r w:rsidRPr="003A594D">
        <w:rPr>
          <w:rStyle w:val="ref-vol"/>
          <w:rFonts w:ascii="Times New Roman" w:hAnsi="Times New Roman"/>
          <w:b w:val="0"/>
          <w:bCs w:val="0"/>
          <w:i w:val="0"/>
          <w:lang w:val="uk-UA"/>
        </w:rPr>
        <w:t>166</w:t>
      </w:r>
      <w:r w:rsidRPr="003A594D">
        <w:rPr>
          <w:rStyle w:val="apple-style-span"/>
          <w:rFonts w:ascii="Times New Roman" w:hAnsi="Times New Roman"/>
          <w:b w:val="0"/>
          <w:i w:val="0"/>
          <w:lang w:val="uk-UA"/>
        </w:rPr>
        <w:t xml:space="preserve">. – Р. 902–908. </w:t>
      </w:r>
    </w:p>
    <w:p w:rsidR="00DC20D7" w:rsidRPr="003A594D" w:rsidRDefault="00DC20D7" w:rsidP="00DC20D7">
      <w:pPr>
        <w:pStyle w:val="21"/>
        <w:numPr>
          <w:ilvl w:val="0"/>
          <w:numId w:val="10"/>
        </w:numPr>
        <w:spacing w:line="360" w:lineRule="auto"/>
        <w:jc w:val="both"/>
        <w:rPr>
          <w:spacing w:val="8"/>
          <w:sz w:val="28"/>
          <w:szCs w:val="28"/>
          <w:lang w:val="uk-UA"/>
        </w:rPr>
      </w:pPr>
      <w:r w:rsidRPr="003A594D">
        <w:rPr>
          <w:sz w:val="28"/>
          <w:szCs w:val="28"/>
          <w:lang w:val="uk-UA"/>
        </w:rPr>
        <w:t>Effects of homocysteine on endothelial nitric oxide production / X. Zhang, H. Li, H. Jin [et al.] // Am J Physiol Renal Physiol. – 2010. – Vol. 279 (4). – P. F</w:t>
      </w:r>
      <w:r w:rsidRPr="003A594D">
        <w:rPr>
          <w:spacing w:val="8"/>
          <w:sz w:val="28"/>
          <w:szCs w:val="28"/>
          <w:lang w:val="uk-UA"/>
        </w:rPr>
        <w:t xml:space="preserve">671–F678. </w:t>
      </w:r>
    </w:p>
    <w:p w:rsidR="00DC20D7" w:rsidRPr="003A594D" w:rsidRDefault="00DC20D7" w:rsidP="00DC20D7">
      <w:pPr>
        <w:pStyle w:val="a5"/>
        <w:numPr>
          <w:ilvl w:val="0"/>
          <w:numId w:val="10"/>
        </w:numPr>
        <w:spacing w:before="0" w:beforeAutospacing="0" w:after="90" w:afterAutospacing="0" w:line="360" w:lineRule="auto"/>
        <w:jc w:val="both"/>
        <w:rPr>
          <w:sz w:val="28"/>
          <w:szCs w:val="28"/>
          <w:lang w:val="uk-UA"/>
        </w:rPr>
      </w:pPr>
      <w:r w:rsidRPr="003A594D">
        <w:rPr>
          <w:sz w:val="28"/>
          <w:szCs w:val="28"/>
          <w:lang w:val="uk-UA"/>
        </w:rPr>
        <w:t>Effects of simvastatin and carnitine vs. simvastatin on lipoproteina and apoproteina in type II diabetes mellitus / F. Galvano, G. Li Volti, M. Malaguarnera [</w:t>
      </w:r>
      <w:r w:rsidRPr="003A594D">
        <w:rPr>
          <w:rStyle w:val="af1"/>
          <w:iCs/>
          <w:sz w:val="28"/>
          <w:szCs w:val="28"/>
          <w:lang w:val="uk-UA"/>
        </w:rPr>
        <w:t xml:space="preserve">et al.]. </w:t>
      </w:r>
      <w:r w:rsidRPr="003A594D">
        <w:rPr>
          <w:rStyle w:val="apple-converted-space"/>
          <w:sz w:val="28"/>
          <w:szCs w:val="28"/>
          <w:lang w:val="uk-UA"/>
        </w:rPr>
        <w:t> </w:t>
      </w:r>
      <w:r w:rsidRPr="003A594D">
        <w:rPr>
          <w:sz w:val="28"/>
          <w:szCs w:val="28"/>
          <w:lang w:val="uk-UA"/>
        </w:rPr>
        <w:t>// Expert Opin Pharmacother. – 2009. – Vol. 10. – Р. 1–8.</w:t>
      </w:r>
    </w:p>
    <w:p w:rsidR="00DC20D7" w:rsidRPr="003A594D" w:rsidRDefault="00DC20D7" w:rsidP="00DC20D7">
      <w:pPr>
        <w:pStyle w:val="aa"/>
        <w:numPr>
          <w:ilvl w:val="0"/>
          <w:numId w:val="10"/>
        </w:numPr>
        <w:spacing w:line="360" w:lineRule="auto"/>
        <w:jc w:val="both"/>
        <w:rPr>
          <w:spacing w:val="-4"/>
          <w:sz w:val="28"/>
          <w:szCs w:val="28"/>
          <w:lang w:val="uk-UA"/>
        </w:rPr>
      </w:pPr>
      <w:r w:rsidRPr="003A594D">
        <w:rPr>
          <w:sz w:val="28"/>
          <w:szCs w:val="28"/>
          <w:lang w:val="uk-UA"/>
        </w:rPr>
        <w:t xml:space="preserve">Elevated plasma homocysteine concentrations as a predictor of steatohepatitis in patients with non–alcoholic fatty liver disease / М. </w:t>
      </w:r>
      <w:hyperlink r:id="rId33" w:history="1">
        <w:r w:rsidRPr="003A594D">
          <w:rPr>
            <w:sz w:val="28"/>
            <w:lang w:val="uk-UA"/>
          </w:rPr>
          <w:t>Gulsen</w:t>
        </w:r>
      </w:hyperlink>
      <w:r w:rsidRPr="003A594D">
        <w:rPr>
          <w:sz w:val="28"/>
          <w:lang w:val="uk-UA"/>
        </w:rPr>
        <w:t xml:space="preserve">, Z. </w:t>
      </w:r>
      <w:hyperlink r:id="rId34" w:history="1">
        <w:r w:rsidRPr="003A594D">
          <w:rPr>
            <w:sz w:val="28"/>
            <w:lang w:val="uk-UA"/>
          </w:rPr>
          <w:t>Yesilova</w:t>
        </w:r>
      </w:hyperlink>
      <w:r w:rsidRPr="003A594D">
        <w:rPr>
          <w:sz w:val="28"/>
          <w:lang w:val="uk-UA"/>
        </w:rPr>
        <w:t xml:space="preserve">, S. </w:t>
      </w:r>
      <w:hyperlink r:id="rId35" w:history="1">
        <w:r w:rsidRPr="003A594D">
          <w:rPr>
            <w:sz w:val="28"/>
            <w:lang w:val="uk-UA"/>
          </w:rPr>
          <w:t>Bagci</w:t>
        </w:r>
      </w:hyperlink>
      <w:r w:rsidRPr="003A594D">
        <w:rPr>
          <w:sz w:val="28"/>
          <w:lang w:val="uk-UA"/>
        </w:rPr>
        <w:t xml:space="preserve"> [et al.]. // </w:t>
      </w:r>
      <w:hyperlink r:id="rId36" w:tooltip="Journal of gastroenterology and hepatology." w:history="1">
        <w:r w:rsidRPr="003A594D">
          <w:rPr>
            <w:sz w:val="28"/>
            <w:lang w:val="uk-UA"/>
          </w:rPr>
          <w:t>J Gastroenterol. Hepatol.</w:t>
        </w:r>
      </w:hyperlink>
      <w:r w:rsidRPr="003A594D">
        <w:rPr>
          <w:sz w:val="28"/>
          <w:szCs w:val="28"/>
          <w:lang w:val="uk-UA"/>
        </w:rPr>
        <w:t xml:space="preserve"> –</w:t>
      </w:r>
      <w:r w:rsidRPr="003A594D">
        <w:rPr>
          <w:spacing w:val="-4"/>
          <w:sz w:val="28"/>
          <w:szCs w:val="28"/>
          <w:lang w:val="uk-UA"/>
        </w:rPr>
        <w:t xml:space="preserve"> 2005. – № 20 (9). – P. 1448–1455. </w:t>
      </w:r>
    </w:p>
    <w:p w:rsidR="00DC20D7" w:rsidRPr="003A594D" w:rsidRDefault="00DC20D7" w:rsidP="00DC20D7">
      <w:pPr>
        <w:pStyle w:val="21"/>
        <w:numPr>
          <w:ilvl w:val="0"/>
          <w:numId w:val="10"/>
        </w:numPr>
        <w:spacing w:line="360" w:lineRule="auto"/>
        <w:jc w:val="both"/>
        <w:rPr>
          <w:spacing w:val="1"/>
          <w:sz w:val="28"/>
          <w:szCs w:val="28"/>
          <w:lang w:val="uk-UA"/>
        </w:rPr>
      </w:pPr>
      <w:r w:rsidRPr="003A594D">
        <w:rPr>
          <w:sz w:val="28"/>
          <w:szCs w:val="28"/>
          <w:lang w:val="uk-UA"/>
        </w:rPr>
        <w:t>El–Zayadi A.R. Hepatic steatosis: a benign disease or a silent killer // A.</w:t>
      </w:r>
      <w:r w:rsidRPr="003A594D">
        <w:rPr>
          <w:spacing w:val="1"/>
          <w:sz w:val="28"/>
          <w:szCs w:val="28"/>
          <w:lang w:val="uk-UA"/>
        </w:rPr>
        <w:t xml:space="preserve">R. El–Zayadi // World J. Gastroenterol. – 2008. – № 14 (26). – P. 4120–1126. </w:t>
      </w:r>
    </w:p>
    <w:p w:rsidR="00DC20D7" w:rsidRPr="003A594D" w:rsidRDefault="00DC20D7" w:rsidP="00DC20D7">
      <w:pPr>
        <w:pStyle w:val="1"/>
        <w:numPr>
          <w:ilvl w:val="0"/>
          <w:numId w:val="10"/>
        </w:numPr>
        <w:spacing w:line="360" w:lineRule="auto"/>
        <w:jc w:val="both"/>
        <w:rPr>
          <w:b w:val="0"/>
          <w:bCs w:val="0"/>
          <w:spacing w:val="-2"/>
          <w:sz w:val="28"/>
          <w:szCs w:val="28"/>
          <w:lang w:val="uk-UA"/>
        </w:rPr>
      </w:pPr>
      <w:r w:rsidRPr="003A594D">
        <w:rPr>
          <w:b w:val="0"/>
          <w:sz w:val="28"/>
          <w:szCs w:val="28"/>
          <w:lang w:val="uk-UA"/>
        </w:rPr>
        <w:t xml:space="preserve">Emerging drugs for non–alcoholic fatty liver disease / </w:t>
      </w:r>
      <w:r w:rsidRPr="003A594D">
        <w:rPr>
          <w:rStyle w:val="af1"/>
          <w:b w:val="0"/>
          <w:bCs w:val="0"/>
          <w:spacing w:val="-2"/>
          <w:sz w:val="28"/>
          <w:szCs w:val="28"/>
          <w:lang w:val="uk-UA"/>
        </w:rPr>
        <w:t xml:space="preserve"> A. Federico, M. Niosi, C.D. Vechio Blanco </w:t>
      </w:r>
      <w:r w:rsidRPr="003A594D">
        <w:rPr>
          <w:b w:val="0"/>
          <w:sz w:val="28"/>
          <w:szCs w:val="28"/>
          <w:shd w:val="clear" w:color="auto" w:fill="FFFFFF"/>
          <w:lang w:val="uk-UA"/>
        </w:rPr>
        <w:t xml:space="preserve">[et al.]. </w:t>
      </w:r>
      <w:r w:rsidRPr="003A594D">
        <w:rPr>
          <w:rStyle w:val="af1"/>
          <w:b w:val="0"/>
          <w:bCs w:val="0"/>
          <w:spacing w:val="-2"/>
          <w:sz w:val="28"/>
          <w:szCs w:val="28"/>
          <w:lang w:val="uk-UA"/>
        </w:rPr>
        <w:t xml:space="preserve"> </w:t>
      </w:r>
      <w:r w:rsidRPr="003A594D">
        <w:rPr>
          <w:b w:val="0"/>
          <w:sz w:val="28"/>
          <w:szCs w:val="28"/>
          <w:lang w:val="uk-UA"/>
        </w:rPr>
        <w:t>// Expert. Opin. Emerg. Drugs. – 2008. – Vol. 13. – P. 145–158.</w:t>
      </w:r>
    </w:p>
    <w:p w:rsidR="00DC20D7" w:rsidRPr="003A594D" w:rsidRDefault="00DC20D7" w:rsidP="00DC20D7">
      <w:pPr>
        <w:numPr>
          <w:ilvl w:val="0"/>
          <w:numId w:val="10"/>
        </w:numPr>
        <w:spacing w:line="360" w:lineRule="auto"/>
        <w:jc w:val="both"/>
        <w:rPr>
          <w:sz w:val="28"/>
          <w:szCs w:val="28"/>
          <w:lang w:val="uk-UA"/>
        </w:rPr>
      </w:pPr>
      <w:r w:rsidRPr="003A594D">
        <w:rPr>
          <w:rStyle w:val="reftitle"/>
          <w:bCs/>
          <w:sz w:val="28"/>
          <w:szCs w:val="28"/>
          <w:shd w:val="clear" w:color="auto" w:fill="FFFFFF"/>
          <w:lang w:val="uk-UA"/>
        </w:rPr>
        <w:t>Endpoints and clinical trial design for non–alcoholic steatohepatitis.</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A.J. Sanyal, E.M. Brunt, D.E. Kleiner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Hepatology</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 2011. – Vol. </w:t>
      </w:r>
      <w:r w:rsidRPr="003A594D">
        <w:rPr>
          <w:rStyle w:val="refseriesvolume"/>
          <w:sz w:val="28"/>
          <w:szCs w:val="28"/>
          <w:shd w:val="clear" w:color="auto" w:fill="FFFFFF"/>
          <w:lang w:val="uk-UA"/>
        </w:rPr>
        <w:t xml:space="preserve">54. – P. </w:t>
      </w:r>
      <w:r w:rsidRPr="003A594D">
        <w:rPr>
          <w:rStyle w:val="refpages"/>
          <w:sz w:val="28"/>
          <w:szCs w:val="28"/>
          <w:shd w:val="clear" w:color="auto" w:fill="FFFFFF"/>
          <w:lang w:val="uk-UA"/>
        </w:rPr>
        <w:t>344–353</w:t>
      </w:r>
      <w:r w:rsidRPr="003A594D">
        <w:rPr>
          <w:sz w:val="28"/>
          <w:szCs w:val="28"/>
          <w:lang w:val="uk-UA"/>
        </w:rPr>
        <w:t>.</w:t>
      </w:r>
    </w:p>
    <w:p w:rsidR="00DC20D7" w:rsidRPr="003A594D" w:rsidRDefault="00DC20D7" w:rsidP="00DC20D7">
      <w:pPr>
        <w:pStyle w:val="aa"/>
        <w:numPr>
          <w:ilvl w:val="0"/>
          <w:numId w:val="10"/>
        </w:numPr>
        <w:spacing w:line="360" w:lineRule="auto"/>
        <w:jc w:val="both"/>
        <w:rPr>
          <w:sz w:val="28"/>
          <w:szCs w:val="28"/>
          <w:shd w:val="clear" w:color="auto" w:fill="FFFFFF"/>
          <w:lang w:val="uk-UA"/>
        </w:rPr>
      </w:pPr>
      <w:r w:rsidRPr="003A594D">
        <w:rPr>
          <w:sz w:val="28"/>
          <w:szCs w:val="28"/>
          <w:shd w:val="clear" w:color="auto" w:fill="FFFFFF"/>
          <w:lang w:val="uk-UA"/>
        </w:rPr>
        <w:t>Epidemiology of non–alcoholic fatty liver disease / S. Bellentani, F. Scaglioli, M. Marino, G.Bedogni</w:t>
      </w:r>
      <w:r w:rsidRPr="003A594D">
        <w:rPr>
          <w:sz w:val="28"/>
          <w:szCs w:val="28"/>
          <w:lang w:val="uk-UA"/>
        </w:rPr>
        <w:t xml:space="preserve"> </w:t>
      </w:r>
      <w:r w:rsidRPr="003A594D">
        <w:rPr>
          <w:sz w:val="28"/>
          <w:szCs w:val="28"/>
          <w:shd w:val="clear" w:color="auto" w:fill="FFFFFF"/>
          <w:lang w:val="uk-UA"/>
        </w:rPr>
        <w:t xml:space="preserve"> // Dig. Dis. – 2010. – Vol. 28. – P. 155–161. </w:t>
      </w:r>
    </w:p>
    <w:p w:rsidR="00DC20D7" w:rsidRPr="003A594D" w:rsidRDefault="00DC20D7" w:rsidP="00DC20D7">
      <w:pPr>
        <w:numPr>
          <w:ilvl w:val="0"/>
          <w:numId w:val="10"/>
        </w:numPr>
        <w:spacing w:line="360" w:lineRule="auto"/>
        <w:jc w:val="both"/>
        <w:rPr>
          <w:sz w:val="28"/>
          <w:szCs w:val="28"/>
          <w:lang w:val="uk-UA"/>
        </w:rPr>
      </w:pPr>
      <w:r w:rsidRPr="003A594D">
        <w:rPr>
          <w:bCs/>
          <w:sz w:val="28"/>
          <w:szCs w:val="28"/>
          <w:lang w:val="uk-UA"/>
        </w:rPr>
        <w:t xml:space="preserve">Ethnic differences in hepatic steatosis: an insulin resistance paradox? / R. Guerrero, G.L. Vega, S.M. Grundy, J.D. Browning // Hepatology. – 2009. – </w:t>
      </w:r>
      <w:r w:rsidRPr="003A594D">
        <w:rPr>
          <w:sz w:val="28"/>
          <w:szCs w:val="28"/>
          <w:lang w:val="uk-UA"/>
        </w:rPr>
        <w:t>Vol.</w:t>
      </w:r>
      <w:r w:rsidRPr="003A594D">
        <w:rPr>
          <w:bCs/>
          <w:sz w:val="28"/>
          <w:szCs w:val="28"/>
          <w:lang w:val="uk-UA"/>
        </w:rPr>
        <w:t xml:space="preserve"> 49.  – Р. 791–801.</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Evaluation of blood oxidative stress related parameters in alcoholic liver disease and non–alcoholic fatty liver disease / S.K. Das, V. Balakrishnan, S. Mukherjee, D.M.Vasudevan // Scand J Clin Lab Invest. – 2008. – Vol. 68 (4). – Р. 323–334. </w:t>
      </w:r>
    </w:p>
    <w:p w:rsidR="00DC20D7" w:rsidRPr="003A594D" w:rsidRDefault="00DC20D7" w:rsidP="00DC20D7">
      <w:pPr>
        <w:pStyle w:val="21"/>
        <w:numPr>
          <w:ilvl w:val="0"/>
          <w:numId w:val="10"/>
        </w:numPr>
        <w:spacing w:line="360" w:lineRule="auto"/>
        <w:jc w:val="both"/>
        <w:rPr>
          <w:spacing w:val="1"/>
          <w:sz w:val="28"/>
          <w:szCs w:val="28"/>
          <w:lang w:val="uk-UA"/>
        </w:rPr>
      </w:pPr>
      <w:r w:rsidRPr="003A594D">
        <w:rPr>
          <w:spacing w:val="2"/>
          <w:sz w:val="28"/>
          <w:szCs w:val="28"/>
          <w:lang w:val="uk-UA"/>
        </w:rPr>
        <w:lastRenderedPageBreak/>
        <w:t xml:space="preserve">Excess methionine suppresses the methylation cycle and inhibits neural </w:t>
      </w:r>
      <w:r w:rsidRPr="003A594D">
        <w:rPr>
          <w:sz w:val="28"/>
          <w:szCs w:val="28"/>
          <w:lang w:val="uk-UA"/>
        </w:rPr>
        <w:t xml:space="preserve">tube closure in mouse embryos / L.P. Dunlevy, K.A. Burren, L.S. Chitty [et al.]. // </w:t>
      </w:r>
      <w:r w:rsidRPr="003A594D">
        <w:rPr>
          <w:spacing w:val="1"/>
          <w:sz w:val="28"/>
          <w:szCs w:val="28"/>
          <w:lang w:val="uk-UA"/>
        </w:rPr>
        <w:t>FEBS Lett. – 2006. – Vol. 15, (11). – P.2803–2807.</w:t>
      </w:r>
    </w:p>
    <w:p w:rsidR="00DC20D7" w:rsidRPr="003A594D" w:rsidRDefault="00DC20D7" w:rsidP="00DC20D7">
      <w:pPr>
        <w:numPr>
          <w:ilvl w:val="0"/>
          <w:numId w:val="10"/>
        </w:numPr>
        <w:shd w:val="clear" w:color="auto" w:fill="FFFFFF"/>
        <w:spacing w:before="100" w:beforeAutospacing="1" w:after="100" w:afterAutospacing="1" w:line="360" w:lineRule="auto"/>
        <w:jc w:val="both"/>
        <w:rPr>
          <w:sz w:val="28"/>
          <w:szCs w:val="28"/>
          <w:lang w:val="uk-UA"/>
        </w:rPr>
      </w:pPr>
      <w:r w:rsidRPr="003A594D">
        <w:rPr>
          <w:sz w:val="28"/>
          <w:szCs w:val="28"/>
          <w:lang w:val="uk-UA"/>
        </w:rPr>
        <w:t>Fatty liver disease in severe obese patients: Diagnostic value of abdominal ultrasound / A.M. Almeida, H.P. Cotrim, D.B. Barbosa [et al.].  // World J Gastroenterol. – 2008. – Vol. 14 (9). – P. 1415–1418.</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 xml:space="preserve">Final results of a long–term, clinical follow–up in fatty liver patients. / </w:t>
      </w:r>
      <w:r w:rsidRPr="003A594D">
        <w:rPr>
          <w:rStyle w:val="refauthors"/>
          <w:sz w:val="28"/>
          <w:szCs w:val="28"/>
          <w:shd w:val="clear" w:color="auto" w:fill="FFFFFF"/>
          <w:lang w:val="uk-UA"/>
        </w:rPr>
        <w:t>S. Dam–Larsen, U. Becker, M.B. Franzmann</w:t>
      </w:r>
      <w:r w:rsidRPr="003A594D">
        <w:rPr>
          <w:rStyle w:val="apple-converted-space"/>
          <w:bCs/>
          <w:sz w:val="28"/>
          <w:szCs w:val="28"/>
          <w:shd w:val="clear" w:color="auto" w:fill="FFFFFF"/>
          <w:lang w:val="uk-UA"/>
        </w:rPr>
        <w:t> </w:t>
      </w:r>
      <w:r w:rsidRPr="003A594D">
        <w:rPr>
          <w:rStyle w:val="refauthors"/>
          <w:sz w:val="28"/>
          <w:szCs w:val="28"/>
          <w:shd w:val="clear" w:color="auto" w:fill="FFFFFF"/>
          <w:lang w:val="uk-UA"/>
        </w:rPr>
        <w:t>[et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Scand J Gastroenterol</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w:t>
      </w:r>
      <w:r w:rsidRPr="003A594D">
        <w:rPr>
          <w:rStyle w:val="refseriesdate"/>
          <w:sz w:val="28"/>
          <w:szCs w:val="28"/>
          <w:shd w:val="clear" w:color="auto" w:fill="FFFFFF"/>
          <w:lang w:val="uk-UA"/>
        </w:rPr>
        <w:t xml:space="preserve"> 2009. – Vol.</w:t>
      </w:r>
      <w:r w:rsidRPr="003A594D">
        <w:rPr>
          <w:rStyle w:val="apple-converted-space"/>
          <w:sz w:val="28"/>
          <w:szCs w:val="28"/>
          <w:shd w:val="clear" w:color="auto" w:fill="FFFFFF"/>
          <w:lang w:val="uk-UA"/>
        </w:rPr>
        <w:t> </w:t>
      </w:r>
      <w:r w:rsidRPr="003A594D">
        <w:rPr>
          <w:rStyle w:val="refseriesvolume"/>
          <w:sz w:val="28"/>
          <w:szCs w:val="28"/>
          <w:shd w:val="clear" w:color="auto" w:fill="FFFFFF"/>
          <w:lang w:val="uk-UA"/>
        </w:rPr>
        <w:t xml:space="preserve">44 (10). – P. </w:t>
      </w:r>
      <w:r w:rsidRPr="003A594D">
        <w:rPr>
          <w:rStyle w:val="refpages"/>
          <w:sz w:val="28"/>
          <w:szCs w:val="28"/>
          <w:shd w:val="clear" w:color="auto" w:fill="FFFFFF"/>
          <w:lang w:val="uk-UA"/>
        </w:rPr>
        <w:t>1236–1243.</w:t>
      </w:r>
    </w:p>
    <w:p w:rsidR="00DC20D7" w:rsidRPr="003A594D" w:rsidRDefault="00DC20D7" w:rsidP="00DC20D7">
      <w:pPr>
        <w:pStyle w:val="21"/>
        <w:numPr>
          <w:ilvl w:val="0"/>
          <w:numId w:val="10"/>
        </w:numPr>
        <w:spacing w:line="360" w:lineRule="auto"/>
        <w:jc w:val="both"/>
        <w:rPr>
          <w:spacing w:val="2"/>
          <w:lang w:val="uk-UA"/>
        </w:rPr>
      </w:pPr>
      <w:r w:rsidRPr="003A594D">
        <w:rPr>
          <w:sz w:val="28"/>
          <w:szCs w:val="28"/>
          <w:lang w:val="uk-UA"/>
        </w:rPr>
        <w:t xml:space="preserve">Folate deficiency–induced oxidative stress and apoptosis are mediated via homocysteine–dependent   overproduction   of   hydrogen   peroxide   and   enhanced </w:t>
      </w:r>
      <w:r w:rsidRPr="003A594D">
        <w:rPr>
          <w:spacing w:val="2"/>
          <w:sz w:val="28"/>
          <w:szCs w:val="28"/>
          <w:lang w:val="uk-UA"/>
        </w:rPr>
        <w:t xml:space="preserve">activation of NF–kappaB in human Hep G2 cells / С L. Chern, R. F. Huang, Y. H. Chen [et al.]. // Biomed Pharmacother. – 2007. – Vol. 55 (8). – P. 434–442.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Friedman S.L. Mechanisms of hepatic fibrogenesis / S.L. Friedman // Gastroenterology. – 2008. – Vol. 134. – P. 1655–1669. </w:t>
      </w:r>
    </w:p>
    <w:p w:rsidR="00DC20D7" w:rsidRPr="003A594D" w:rsidRDefault="00DC20D7" w:rsidP="00DC20D7">
      <w:pPr>
        <w:numPr>
          <w:ilvl w:val="0"/>
          <w:numId w:val="10"/>
        </w:numPr>
        <w:shd w:val="clear" w:color="auto" w:fill="FFFFFF"/>
        <w:spacing w:before="100" w:beforeAutospacing="1" w:after="100" w:afterAutospacing="1" w:line="360" w:lineRule="auto"/>
        <w:rPr>
          <w:sz w:val="28"/>
          <w:szCs w:val="28"/>
          <w:lang w:val="uk-UA"/>
        </w:rPr>
      </w:pPr>
      <w:r w:rsidRPr="003A594D">
        <w:rPr>
          <w:sz w:val="28"/>
          <w:szCs w:val="28"/>
          <w:lang w:val="uk-UA"/>
        </w:rPr>
        <w:t>Gaiani S. Nonalcoholic fatty liver disease (NAFLD) in nonobese patients with diabetes: Prevalence and relationships with hemodynamic alterations detected with Doppler sonography / S. Gaiani, A.Avogaro, G.C. Bombonato // Journal of Ultrasound. – 2009. – Vol. 12. – P. 1–5.</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Genetic variants regulating insulin receptor signalling are associated with the severity of liver damage in patients with non–alcoholic fatty liver disease / P. Dongiovanni, L.Valenti, R. Rametta [et al.]. //Gut. – 2010. – Vol. 59. – P. 267–273.</w:t>
      </w:r>
      <w:r w:rsidRPr="003A594D">
        <w:rPr>
          <w:rStyle w:val="apple-converted-space"/>
          <w:sz w:val="28"/>
          <w:szCs w:val="28"/>
          <w:lang w:val="uk-UA"/>
        </w:rPr>
        <w:t> </w:t>
      </w:r>
    </w:p>
    <w:p w:rsidR="00DC20D7" w:rsidRPr="003A594D" w:rsidRDefault="00DC20D7" w:rsidP="00DC20D7">
      <w:pPr>
        <w:numPr>
          <w:ilvl w:val="0"/>
          <w:numId w:val="10"/>
        </w:numPr>
        <w:spacing w:line="360" w:lineRule="auto"/>
        <w:jc w:val="both"/>
        <w:rPr>
          <w:rStyle w:val="refpages"/>
          <w:lang w:val="uk-UA"/>
        </w:rPr>
      </w:pPr>
      <w:r w:rsidRPr="003A594D">
        <w:rPr>
          <w:rStyle w:val="refpages"/>
          <w:sz w:val="28"/>
          <w:szCs w:val="28"/>
          <w:lang w:val="uk-UA"/>
        </w:rPr>
        <w:t xml:space="preserve">Genetic variation in PNPLA 3 confers susceptibility to nonalcoholic fatty liver disease / S. Romeo, J. Kozlitina, C. Xing  </w:t>
      </w:r>
      <w:r w:rsidRPr="003A594D">
        <w:rPr>
          <w:rStyle w:val="refauthors"/>
          <w:sz w:val="28"/>
          <w:szCs w:val="28"/>
          <w:shd w:val="clear" w:color="auto" w:fill="FFFFFF"/>
          <w:lang w:val="uk-UA"/>
        </w:rPr>
        <w:t xml:space="preserve">[et al.]. </w:t>
      </w:r>
      <w:r w:rsidRPr="003A594D">
        <w:rPr>
          <w:sz w:val="28"/>
          <w:szCs w:val="28"/>
          <w:lang w:val="uk-UA"/>
        </w:rPr>
        <w:t>//</w:t>
      </w:r>
      <w:r w:rsidRPr="003A594D">
        <w:rPr>
          <w:rStyle w:val="refpages"/>
          <w:sz w:val="28"/>
          <w:szCs w:val="28"/>
          <w:lang w:val="uk-UA"/>
        </w:rPr>
        <w:t xml:space="preserve"> Nat. Genet. – 2008. – Vol. 40 – P. 1461–1465.</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Glatz J.F. Membrane fatty acid transporters as regulators of lipid metabolism: implications for metabolic disease / J.F. Glatz, J.J. Luiken, A. Bonen // </w:t>
      </w:r>
      <w:r w:rsidRPr="003A594D">
        <w:rPr>
          <w:iCs/>
          <w:sz w:val="28"/>
          <w:szCs w:val="28"/>
          <w:lang w:val="uk-UA"/>
        </w:rPr>
        <w:t>Physiol. Rev.</w:t>
      </w:r>
      <w:r w:rsidRPr="003A594D">
        <w:rPr>
          <w:sz w:val="28"/>
          <w:szCs w:val="28"/>
          <w:lang w:val="uk-UA"/>
        </w:rPr>
        <w:t xml:space="preserve"> – 2010. – Vol.  </w:t>
      </w:r>
      <w:r w:rsidRPr="003A594D">
        <w:rPr>
          <w:bCs/>
          <w:sz w:val="28"/>
          <w:szCs w:val="28"/>
          <w:lang w:val="uk-UA"/>
        </w:rPr>
        <w:t>90</w:t>
      </w:r>
      <w:r w:rsidRPr="003A594D">
        <w:rPr>
          <w:sz w:val="28"/>
          <w:szCs w:val="28"/>
          <w:lang w:val="uk-UA"/>
        </w:rPr>
        <w:t xml:space="preserve">. – P. 367–417. </w:t>
      </w:r>
    </w:p>
    <w:p w:rsidR="00DC20D7" w:rsidRPr="003A594D" w:rsidRDefault="00DC20D7" w:rsidP="00DC20D7">
      <w:pPr>
        <w:numPr>
          <w:ilvl w:val="0"/>
          <w:numId w:val="10"/>
        </w:numPr>
        <w:spacing w:line="360" w:lineRule="auto"/>
        <w:jc w:val="both"/>
        <w:rPr>
          <w:rStyle w:val="refpages"/>
          <w:lang w:val="uk-UA"/>
        </w:rPr>
      </w:pPr>
      <w:r w:rsidRPr="003A594D">
        <w:rPr>
          <w:rStyle w:val="refpages"/>
          <w:sz w:val="28"/>
          <w:szCs w:val="28"/>
          <w:lang w:val="uk-UA"/>
        </w:rPr>
        <w:lastRenderedPageBreak/>
        <w:t>Graham R.A. Biochemical and molecular characterization of beagle dog CYP4A. – 2006. Chapel Hill – 165p.</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Grune T. </w:t>
      </w:r>
      <w:r w:rsidRPr="003A594D">
        <w:rPr>
          <w:rStyle w:val="af0"/>
          <w:bCs/>
          <w:sz w:val="28"/>
          <w:szCs w:val="28"/>
          <w:bdr w:val="none" w:sz="0" w:space="0" w:color="auto" w:frame="1"/>
          <w:lang w:val="uk-UA"/>
        </w:rPr>
        <w:t>Markers of oxidative stress in ICU clinical settings: present and future /</w:t>
      </w:r>
      <w:r w:rsidRPr="003A594D">
        <w:rPr>
          <w:sz w:val="28"/>
          <w:szCs w:val="28"/>
          <w:lang w:val="uk-UA"/>
        </w:rPr>
        <w:t xml:space="preserve"> T. Grune, М.М. Berger // </w:t>
      </w:r>
      <w:r w:rsidRPr="003A594D">
        <w:rPr>
          <w:rStyle w:val="af1"/>
          <w:iCs/>
          <w:sz w:val="28"/>
          <w:szCs w:val="28"/>
          <w:bdr w:val="none" w:sz="0" w:space="0" w:color="auto" w:frame="1"/>
          <w:lang w:val="uk-UA"/>
        </w:rPr>
        <w:t>Curr. Opin. Clin. Nutr. Metab. Care. –</w:t>
      </w:r>
      <w:r w:rsidRPr="003A594D">
        <w:rPr>
          <w:rStyle w:val="apple-converted-space"/>
          <w:sz w:val="28"/>
          <w:szCs w:val="28"/>
          <w:lang w:val="uk-UA"/>
        </w:rPr>
        <w:t xml:space="preserve"> </w:t>
      </w:r>
      <w:r w:rsidRPr="003A594D">
        <w:rPr>
          <w:sz w:val="28"/>
          <w:szCs w:val="28"/>
          <w:lang w:val="uk-UA"/>
        </w:rPr>
        <w:t>2007. –</w:t>
      </w:r>
      <w:r w:rsidRPr="003A594D">
        <w:rPr>
          <w:rStyle w:val="apple-converted-space"/>
          <w:sz w:val="28"/>
          <w:szCs w:val="28"/>
          <w:lang w:val="uk-UA"/>
        </w:rPr>
        <w:t> </w:t>
      </w:r>
      <w:r w:rsidRPr="003A594D">
        <w:rPr>
          <w:spacing w:val="2"/>
          <w:sz w:val="28"/>
          <w:szCs w:val="28"/>
          <w:lang w:val="uk-UA"/>
        </w:rPr>
        <w:t>Vol</w:t>
      </w:r>
      <w:r w:rsidRPr="003A594D">
        <w:rPr>
          <w:rStyle w:val="af0"/>
          <w:bCs/>
          <w:sz w:val="28"/>
          <w:szCs w:val="28"/>
          <w:bdr w:val="none" w:sz="0" w:space="0" w:color="auto" w:frame="1"/>
          <w:lang w:val="uk-UA"/>
        </w:rPr>
        <w:t xml:space="preserve"> 10. – Р. </w:t>
      </w:r>
      <w:r w:rsidRPr="003A594D">
        <w:rPr>
          <w:sz w:val="28"/>
          <w:szCs w:val="28"/>
          <w:lang w:val="uk-UA"/>
        </w:rPr>
        <w:t xml:space="preserve">712–717. </w:t>
      </w:r>
    </w:p>
    <w:p w:rsidR="00DC20D7" w:rsidRPr="003A594D" w:rsidRDefault="00DC20D7" w:rsidP="00DC20D7">
      <w:pPr>
        <w:pStyle w:val="aa"/>
        <w:numPr>
          <w:ilvl w:val="0"/>
          <w:numId w:val="10"/>
        </w:numPr>
        <w:spacing w:line="360" w:lineRule="auto"/>
        <w:jc w:val="both"/>
        <w:rPr>
          <w:spacing w:val="6"/>
          <w:sz w:val="28"/>
          <w:szCs w:val="28"/>
          <w:lang w:val="uk-UA"/>
        </w:rPr>
      </w:pPr>
      <w:r w:rsidRPr="003A594D">
        <w:rPr>
          <w:spacing w:val="1"/>
          <w:sz w:val="28"/>
          <w:szCs w:val="28"/>
          <w:lang w:val="uk-UA"/>
        </w:rPr>
        <w:t xml:space="preserve">Hemodynamic changes in splanchnic blood vessels in portal hypertension </w:t>
      </w:r>
      <w:r w:rsidRPr="003A594D">
        <w:rPr>
          <w:sz w:val="28"/>
          <w:szCs w:val="28"/>
          <w:lang w:val="uk-UA"/>
        </w:rPr>
        <w:t xml:space="preserve">/ I. Colle, A. M. Geerts, С. Van Steenkistc [et al.]. // Anat. Rec. – 2008. – № 291 (6). </w:t>
      </w:r>
      <w:r w:rsidRPr="003A594D">
        <w:rPr>
          <w:spacing w:val="6"/>
          <w:sz w:val="28"/>
          <w:szCs w:val="28"/>
          <w:lang w:val="uk-UA"/>
        </w:rPr>
        <w:t xml:space="preserve">– P. 699–713.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Hepatocyte Proliferation During Liver Regeneration Is Impaired in Mice with Methionine Diet–Induced Hyperhomocysteinemia / W.H. Liu, Y.S. Zhao, S.Y. Gao [et al.]. // Am. J. Pathol. – 2010. – Vol. 177. – № 5. – P. 2357–2365.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 xml:space="preserve">Heritability of nonalcoholic fatty liver disease. / J.B. </w:t>
      </w:r>
      <w:r w:rsidRPr="003A594D">
        <w:rPr>
          <w:rStyle w:val="refauthors"/>
          <w:sz w:val="28"/>
          <w:szCs w:val="28"/>
          <w:shd w:val="clear" w:color="auto" w:fill="FFFFFF"/>
          <w:lang w:val="uk-UA"/>
        </w:rPr>
        <w:t>Schwimmer, M.A. Celedon, J.E. Lavine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Gastroenterology</w:t>
      </w:r>
      <w:r w:rsidRPr="003A594D">
        <w:rPr>
          <w:sz w:val="28"/>
          <w:szCs w:val="28"/>
          <w:shd w:val="clear" w:color="auto" w:fill="FFFFFF"/>
          <w:lang w:val="uk-UA"/>
        </w:rPr>
        <w:t>. –</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2009. – Vol. </w:t>
      </w:r>
      <w:r w:rsidRPr="003A594D">
        <w:rPr>
          <w:rStyle w:val="refseriesvolume"/>
          <w:sz w:val="28"/>
          <w:szCs w:val="28"/>
          <w:shd w:val="clear" w:color="auto" w:fill="FFFFFF"/>
          <w:lang w:val="uk-UA"/>
        </w:rPr>
        <w:t>136 (5). –P.</w:t>
      </w:r>
      <w:r w:rsidRPr="003A594D">
        <w:rPr>
          <w:rStyle w:val="refpages"/>
          <w:sz w:val="28"/>
          <w:szCs w:val="28"/>
          <w:shd w:val="clear" w:color="auto" w:fill="FFFFFF"/>
          <w:lang w:val="uk-UA"/>
        </w:rPr>
        <w:t xml:space="preserve"> 1585–1592</w:t>
      </w:r>
      <w:r w:rsidRPr="003A594D">
        <w:rPr>
          <w:rStyle w:val="refpages"/>
          <w:sz w:val="28"/>
          <w:szCs w:val="28"/>
          <w:lang w:val="uk-UA"/>
        </w:rPr>
        <w:t>.</w:t>
      </w:r>
    </w:p>
    <w:p w:rsidR="00DC20D7" w:rsidRPr="003A594D" w:rsidRDefault="00DC20D7" w:rsidP="00DC20D7">
      <w:pPr>
        <w:pStyle w:val="1"/>
        <w:numPr>
          <w:ilvl w:val="0"/>
          <w:numId w:val="10"/>
        </w:numPr>
        <w:shd w:val="clear" w:color="auto" w:fill="FFFFFF"/>
        <w:spacing w:before="0" w:beforeAutospacing="0" w:afterAutospacing="0" w:line="360" w:lineRule="auto"/>
        <w:jc w:val="both"/>
        <w:textAlignment w:val="baseline"/>
        <w:rPr>
          <w:b w:val="0"/>
          <w:lang w:val="uk-UA"/>
        </w:rPr>
      </w:pPr>
      <w:r w:rsidRPr="003A594D">
        <w:rPr>
          <w:b w:val="0"/>
          <w:sz w:val="28"/>
          <w:szCs w:val="28"/>
          <w:lang w:val="uk-UA"/>
        </w:rPr>
        <w:t>High–fat diet stimulates hepatic cystathionine β–synthase and cystathionine γ–lyase expression. /</w:t>
      </w:r>
      <w:r w:rsidRPr="003A594D">
        <w:rPr>
          <w:b w:val="0"/>
          <w:sz w:val="28"/>
          <w:szCs w:val="28"/>
          <w:shd w:val="clear" w:color="auto" w:fill="FFFFFF"/>
          <w:lang w:val="uk-UA"/>
        </w:rPr>
        <w:t xml:space="preserve"> S.Y. Hwang,</w:t>
      </w:r>
      <w:r w:rsidRPr="003A594D">
        <w:rPr>
          <w:b w:val="0"/>
          <w:sz w:val="28"/>
          <w:szCs w:val="28"/>
          <w:bdr w:val="none" w:sz="0" w:space="0" w:color="auto" w:frame="1"/>
          <w:shd w:val="clear" w:color="auto" w:fill="FFFFFF"/>
          <w:vertAlign w:val="superscript"/>
          <w:lang w:val="uk-UA"/>
        </w:rPr>
        <w:t xml:space="preserve"> </w:t>
      </w:r>
      <w:r w:rsidRPr="003A594D">
        <w:rPr>
          <w:b w:val="0"/>
          <w:sz w:val="28"/>
          <w:szCs w:val="28"/>
          <w:shd w:val="clear" w:color="auto" w:fill="FFFFFF"/>
          <w:lang w:val="uk-UA"/>
        </w:rPr>
        <w:t>L.K. Sarna,</w:t>
      </w:r>
      <w:r w:rsidRPr="003A594D">
        <w:rPr>
          <w:b w:val="0"/>
          <w:sz w:val="28"/>
          <w:szCs w:val="28"/>
          <w:bdr w:val="none" w:sz="0" w:space="0" w:color="auto" w:frame="1"/>
          <w:shd w:val="clear" w:color="auto" w:fill="FFFFFF"/>
          <w:vertAlign w:val="superscript"/>
          <w:lang w:val="uk-UA"/>
        </w:rPr>
        <w:t xml:space="preserve"> </w:t>
      </w:r>
      <w:r w:rsidRPr="003A594D">
        <w:rPr>
          <w:b w:val="0"/>
          <w:sz w:val="28"/>
          <w:szCs w:val="28"/>
          <w:shd w:val="clear" w:color="auto" w:fill="FFFFFF"/>
          <w:lang w:val="uk-UA"/>
        </w:rPr>
        <w:t>Y.L. Siow,</w:t>
      </w:r>
      <w:r w:rsidRPr="003A594D">
        <w:rPr>
          <w:b w:val="0"/>
          <w:sz w:val="28"/>
          <w:szCs w:val="28"/>
          <w:bdr w:val="none" w:sz="0" w:space="0" w:color="auto" w:frame="1"/>
          <w:shd w:val="clear" w:color="auto" w:fill="FFFFFF"/>
          <w:vertAlign w:val="superscript"/>
          <w:lang w:val="uk-UA"/>
        </w:rPr>
        <w:t xml:space="preserve"> </w:t>
      </w:r>
      <w:r w:rsidRPr="003A594D">
        <w:rPr>
          <w:b w:val="0"/>
          <w:sz w:val="28"/>
          <w:szCs w:val="28"/>
          <w:shd w:val="clear" w:color="auto" w:fill="FFFFFF"/>
          <w:lang w:val="uk-UA"/>
        </w:rPr>
        <w:t>Karmin O</w:t>
      </w:r>
      <w:r w:rsidRPr="003A594D">
        <w:rPr>
          <w:b w:val="0"/>
          <w:sz w:val="28"/>
          <w:szCs w:val="28"/>
          <w:bdr w:val="none" w:sz="0" w:space="0" w:color="auto" w:frame="1"/>
          <w:shd w:val="clear" w:color="auto" w:fill="FFFFFF"/>
          <w:vertAlign w:val="superscript"/>
          <w:lang w:val="uk-UA"/>
        </w:rPr>
        <w:t xml:space="preserve"> </w:t>
      </w:r>
      <w:r w:rsidRPr="003A594D">
        <w:rPr>
          <w:rStyle w:val="italic"/>
          <w:b w:val="0"/>
          <w:iCs/>
          <w:sz w:val="28"/>
          <w:szCs w:val="28"/>
          <w:bdr w:val="none" w:sz="0" w:space="0" w:color="auto" w:frame="1"/>
          <w:shd w:val="clear" w:color="auto" w:fill="FFFFFF"/>
          <w:lang w:val="uk-UA"/>
        </w:rPr>
        <w:t>// Canadian Journal of Physiology and Pharmacology</w:t>
      </w:r>
      <w:r w:rsidRPr="003A594D">
        <w:rPr>
          <w:b w:val="0"/>
          <w:sz w:val="28"/>
          <w:szCs w:val="28"/>
          <w:shd w:val="clear" w:color="auto" w:fill="FFFFFF"/>
          <w:lang w:val="uk-UA"/>
        </w:rPr>
        <w:t>. – 2013. – Vol. 91 (11). – P. 913–919</w:t>
      </w:r>
      <w:r w:rsidRPr="003A594D">
        <w:rPr>
          <w:b w:val="0"/>
          <w:sz w:val="28"/>
          <w:szCs w:val="28"/>
          <w:lang w:val="uk-UA"/>
        </w:rPr>
        <w:t xml:space="preserve">. </w:t>
      </w:r>
    </w:p>
    <w:p w:rsidR="00DC20D7" w:rsidRPr="003A594D" w:rsidRDefault="00DC20D7" w:rsidP="00DC20D7">
      <w:pPr>
        <w:pStyle w:val="21"/>
        <w:numPr>
          <w:ilvl w:val="0"/>
          <w:numId w:val="10"/>
        </w:numPr>
        <w:spacing w:line="360" w:lineRule="auto"/>
        <w:jc w:val="both"/>
        <w:rPr>
          <w:sz w:val="28"/>
          <w:szCs w:val="28"/>
          <w:shd w:val="clear" w:color="auto" w:fill="FFFFFF"/>
          <w:lang w:val="uk-UA"/>
        </w:rPr>
      </w:pPr>
      <w:r w:rsidRPr="003A594D">
        <w:rPr>
          <w:sz w:val="28"/>
          <w:szCs w:val="28"/>
          <w:shd w:val="clear" w:color="auto" w:fill="FFFFFF"/>
          <w:lang w:val="uk-UA"/>
        </w:rPr>
        <w:t xml:space="preserve">Hojo M., Watanabe S. Pharmacological therapy of nonalcoholic steatohepatitis / Hepatol Res. – 2011. – Vol. 41 (3). – P. 209–216. </w:t>
      </w:r>
    </w:p>
    <w:p w:rsidR="00DC20D7" w:rsidRPr="003A594D" w:rsidRDefault="00DC20D7" w:rsidP="00DC20D7">
      <w:pPr>
        <w:pStyle w:val="21"/>
        <w:numPr>
          <w:ilvl w:val="0"/>
          <w:numId w:val="10"/>
        </w:numPr>
        <w:spacing w:line="360" w:lineRule="auto"/>
        <w:jc w:val="both"/>
        <w:rPr>
          <w:spacing w:val="3"/>
          <w:sz w:val="28"/>
          <w:szCs w:val="28"/>
          <w:lang w:val="uk-UA"/>
        </w:rPr>
      </w:pPr>
      <w:r w:rsidRPr="003A594D">
        <w:rPr>
          <w:sz w:val="28"/>
          <w:szCs w:val="28"/>
          <w:lang w:val="uk-UA"/>
        </w:rPr>
        <w:t xml:space="preserve">Homocysteine   and   MTHFR  mutations:   relation   to   thrombosis   and coronary artery disease / H. A. Varga, A. C. Sturm, С P. Misita [et al.] // Circulation. </w:t>
      </w:r>
      <w:r w:rsidRPr="003A594D">
        <w:rPr>
          <w:spacing w:val="3"/>
          <w:sz w:val="28"/>
          <w:szCs w:val="28"/>
          <w:lang w:val="uk-UA"/>
        </w:rPr>
        <w:t xml:space="preserve">– 2005. – Vol. 111. – P. 289–293. </w:t>
      </w:r>
    </w:p>
    <w:p w:rsidR="00DC20D7" w:rsidRPr="003A594D" w:rsidRDefault="00DC20D7" w:rsidP="00DC20D7">
      <w:pPr>
        <w:pStyle w:val="21"/>
        <w:numPr>
          <w:ilvl w:val="0"/>
          <w:numId w:val="10"/>
        </w:numPr>
        <w:spacing w:line="360" w:lineRule="auto"/>
        <w:jc w:val="both"/>
        <w:rPr>
          <w:spacing w:val="6"/>
          <w:sz w:val="28"/>
          <w:szCs w:val="28"/>
          <w:lang w:val="uk-UA"/>
        </w:rPr>
      </w:pPr>
      <w:r w:rsidRPr="003A594D">
        <w:rPr>
          <w:sz w:val="28"/>
          <w:szCs w:val="28"/>
          <w:lang w:val="uk-UA"/>
        </w:rPr>
        <w:t xml:space="preserve">Homocysteine enhances  cell  proliferation  in hepatic  myofibroblastic stellate cells / С.G. Zou, S.Y. Gao, Y.S. Zhao [et al.]. // J. Mol. Med. – 2009. – Vol. </w:t>
      </w:r>
      <w:r w:rsidRPr="003A594D">
        <w:rPr>
          <w:spacing w:val="6"/>
          <w:sz w:val="28"/>
          <w:szCs w:val="28"/>
          <w:lang w:val="uk-UA"/>
        </w:rPr>
        <w:t xml:space="preserve">87. – № 1. – P. 75–84. </w:t>
      </w:r>
    </w:p>
    <w:p w:rsidR="00DC20D7" w:rsidRPr="003A594D" w:rsidRDefault="00DC20D7" w:rsidP="00DC20D7">
      <w:pPr>
        <w:pStyle w:val="aa"/>
        <w:numPr>
          <w:ilvl w:val="0"/>
          <w:numId w:val="10"/>
        </w:numPr>
        <w:spacing w:line="360" w:lineRule="auto"/>
        <w:jc w:val="both"/>
        <w:rPr>
          <w:spacing w:val="2"/>
          <w:sz w:val="28"/>
          <w:szCs w:val="28"/>
          <w:lang w:val="uk-UA"/>
        </w:rPr>
      </w:pPr>
      <w:r w:rsidRPr="003A594D">
        <w:rPr>
          <w:spacing w:val="1"/>
          <w:sz w:val="28"/>
          <w:szCs w:val="28"/>
          <w:lang w:val="uk-UA"/>
        </w:rPr>
        <w:t xml:space="preserve">Homocysteine induces endothelial dysfunction via inhibition of arginine </w:t>
      </w:r>
      <w:r w:rsidRPr="003A594D">
        <w:rPr>
          <w:sz w:val="28"/>
          <w:szCs w:val="28"/>
          <w:lang w:val="uk-UA"/>
        </w:rPr>
        <w:t xml:space="preserve">transport / L. Jin, R. B. Caldwell, T. Li–Masters [et al.]. // J. Physiol. Pharmacol. – </w:t>
      </w:r>
      <w:r w:rsidRPr="003A594D">
        <w:rPr>
          <w:spacing w:val="2"/>
          <w:sz w:val="28"/>
          <w:szCs w:val="28"/>
          <w:lang w:val="uk-UA"/>
        </w:rPr>
        <w:t xml:space="preserve">2007. – Vol. 58 (2). – P.191–206. </w:t>
      </w:r>
    </w:p>
    <w:p w:rsidR="00DC20D7" w:rsidRPr="003A594D" w:rsidRDefault="00DC20D7" w:rsidP="00DC20D7">
      <w:pPr>
        <w:pStyle w:val="a5"/>
        <w:numPr>
          <w:ilvl w:val="0"/>
          <w:numId w:val="10"/>
        </w:numPr>
        <w:shd w:val="clear" w:color="auto" w:fill="FFFFFF"/>
        <w:spacing w:line="360" w:lineRule="auto"/>
        <w:jc w:val="both"/>
        <w:rPr>
          <w:sz w:val="28"/>
          <w:szCs w:val="28"/>
          <w:lang w:val="uk-UA"/>
        </w:rPr>
      </w:pPr>
      <w:r w:rsidRPr="003A594D">
        <w:rPr>
          <w:spacing w:val="2"/>
          <w:sz w:val="28"/>
          <w:szCs w:val="28"/>
          <w:lang w:val="uk-UA"/>
        </w:rPr>
        <w:t xml:space="preserve">Homocysteine thiolactone induces apoptotic DNA damage mediated by </w:t>
      </w:r>
      <w:r w:rsidRPr="003A594D">
        <w:rPr>
          <w:sz w:val="28"/>
          <w:szCs w:val="28"/>
          <w:lang w:val="uk-UA"/>
        </w:rPr>
        <w:t xml:space="preserve">increased intracellular hydrogen peroxide and caspase 3 activation in HL–60 cells / </w:t>
      </w:r>
      <w:r w:rsidRPr="003A594D">
        <w:rPr>
          <w:sz w:val="28"/>
          <w:szCs w:val="28"/>
          <w:lang w:val="uk-UA"/>
        </w:rPr>
        <w:lastRenderedPageBreak/>
        <w:t>R.</w:t>
      </w:r>
      <w:r w:rsidRPr="003A594D">
        <w:rPr>
          <w:spacing w:val="4"/>
          <w:sz w:val="28"/>
          <w:szCs w:val="28"/>
          <w:lang w:val="uk-UA"/>
        </w:rPr>
        <w:t xml:space="preserve">F. Huang, S. M. Huang, B. S. Lin [et al.] // Life Sci. – 2007. – Vol. 68 (25). – P. </w:t>
      </w:r>
      <w:r w:rsidRPr="003A594D">
        <w:rPr>
          <w:sz w:val="28"/>
          <w:szCs w:val="28"/>
          <w:lang w:val="uk-UA"/>
        </w:rPr>
        <w:t xml:space="preserve">2799–2811. </w:t>
      </w:r>
    </w:p>
    <w:p w:rsidR="00DC20D7" w:rsidRPr="003A594D" w:rsidRDefault="00DC20D7" w:rsidP="00DC20D7">
      <w:pPr>
        <w:pStyle w:val="21"/>
        <w:numPr>
          <w:ilvl w:val="0"/>
          <w:numId w:val="10"/>
        </w:numPr>
        <w:spacing w:line="360" w:lineRule="auto"/>
        <w:jc w:val="both"/>
        <w:rPr>
          <w:sz w:val="28"/>
          <w:szCs w:val="28"/>
          <w:lang w:val="uk-UA"/>
        </w:rPr>
      </w:pPr>
      <w:r w:rsidRPr="003A594D">
        <w:rPr>
          <w:spacing w:val="1"/>
          <w:sz w:val="28"/>
          <w:szCs w:val="28"/>
          <w:lang w:val="uk-UA"/>
        </w:rPr>
        <w:t xml:space="preserve">Hydrogen sulfide inhibits myocardial injury induced by homocysteine in </w:t>
      </w:r>
      <w:r w:rsidRPr="003A594D">
        <w:rPr>
          <w:sz w:val="28"/>
          <w:szCs w:val="28"/>
          <w:lang w:val="uk-UA"/>
        </w:rPr>
        <w:t xml:space="preserve">rats / L. Chang, B. Geng, F. Yu [et al.]. // Amino Acids. – 2008. – Vol. 34 (4). – P. 573–585. </w:t>
      </w:r>
    </w:p>
    <w:p w:rsidR="00DC20D7" w:rsidRPr="003A594D" w:rsidRDefault="00DC20D7" w:rsidP="00DC20D7">
      <w:pPr>
        <w:pStyle w:val="21"/>
        <w:numPr>
          <w:ilvl w:val="0"/>
          <w:numId w:val="10"/>
        </w:numPr>
        <w:spacing w:line="360" w:lineRule="auto"/>
        <w:jc w:val="both"/>
        <w:rPr>
          <w:spacing w:val="-7"/>
          <w:sz w:val="28"/>
          <w:szCs w:val="28"/>
          <w:lang w:val="uk-UA"/>
        </w:rPr>
      </w:pPr>
      <w:r w:rsidRPr="003A594D">
        <w:rPr>
          <w:sz w:val="28"/>
          <w:szCs w:val="28"/>
          <w:lang w:val="uk-UA"/>
        </w:rPr>
        <w:t>Hyperhomocysteinemia due to cystathioninc beta synthasc deficiency induces dysregulation of genes involved in hepatic lipid homeostasis in mice / I. Hamelet, K. Demuth, J. L. Paul [et al.]. // J Hepatol. – 2007. – Vol. 46 (1). – P. 151–</w:t>
      </w:r>
      <w:r w:rsidRPr="003A594D">
        <w:rPr>
          <w:spacing w:val="-7"/>
          <w:sz w:val="28"/>
          <w:szCs w:val="28"/>
          <w:lang w:val="uk-UA"/>
        </w:rPr>
        <w:t xml:space="preserve">159.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Impact of fatty liver disease on health care utilization and costs in a general population: a 5–year observation.</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S.E. Baumeister, H. Volzke, P. Marschall  [et al.]. //</w:t>
      </w:r>
      <w:r w:rsidRPr="003A594D">
        <w:rPr>
          <w:rStyle w:val="apple-converted-space"/>
          <w:bCs/>
          <w:sz w:val="28"/>
          <w:szCs w:val="28"/>
          <w:shd w:val="clear" w:color="auto" w:fill="FFFFFF"/>
          <w:lang w:val="uk-UA"/>
        </w:rPr>
        <w:t> </w:t>
      </w:r>
      <w:r w:rsidRPr="003A594D">
        <w:rPr>
          <w:rStyle w:val="refseriestitle"/>
          <w:iCs/>
          <w:sz w:val="28"/>
          <w:szCs w:val="28"/>
          <w:shd w:val="clear" w:color="auto" w:fill="FFFFFF"/>
          <w:lang w:val="uk-UA"/>
        </w:rPr>
        <w:t>Gastroenterology</w:t>
      </w:r>
      <w:r w:rsidRPr="003A594D">
        <w:rPr>
          <w:sz w:val="28"/>
          <w:szCs w:val="28"/>
          <w:shd w:val="clear" w:color="auto" w:fill="FFFFFF"/>
          <w:lang w:val="uk-UA"/>
        </w:rPr>
        <w:t xml:space="preserve">. – </w:t>
      </w:r>
      <w:r w:rsidRPr="003A594D">
        <w:rPr>
          <w:rStyle w:val="refseriesdate"/>
          <w:sz w:val="28"/>
          <w:szCs w:val="28"/>
          <w:shd w:val="clear" w:color="auto" w:fill="FFFFFF"/>
          <w:lang w:val="uk-UA"/>
        </w:rPr>
        <w:t xml:space="preserve">2008. – Vol. </w:t>
      </w:r>
      <w:r w:rsidRPr="003A594D">
        <w:rPr>
          <w:rStyle w:val="refseriesvolume"/>
          <w:sz w:val="28"/>
          <w:szCs w:val="28"/>
          <w:shd w:val="clear" w:color="auto" w:fill="FFFFFF"/>
          <w:lang w:val="uk-UA"/>
        </w:rPr>
        <w:t xml:space="preserve">134 (1). – P. </w:t>
      </w:r>
      <w:r w:rsidRPr="003A594D">
        <w:rPr>
          <w:rStyle w:val="refpages"/>
          <w:sz w:val="28"/>
          <w:szCs w:val="28"/>
          <w:shd w:val="clear" w:color="auto" w:fill="FFFFFF"/>
          <w:lang w:val="uk-UA"/>
        </w:rPr>
        <w:t>85–94.</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Importance of cytokines, oxidative stress and expression of BCL–2 in the pathogenesis of non–alcoholic steatohepatitis / N. Torer, S. Ozenirler, A. Yucel </w:t>
      </w:r>
      <w:r w:rsidRPr="003A594D">
        <w:rPr>
          <w:spacing w:val="-1"/>
          <w:sz w:val="28"/>
          <w:szCs w:val="28"/>
          <w:lang w:val="uk-UA"/>
        </w:rPr>
        <w:t xml:space="preserve">[et al.]. </w:t>
      </w:r>
      <w:r w:rsidRPr="003A594D">
        <w:rPr>
          <w:sz w:val="28"/>
          <w:szCs w:val="28"/>
          <w:lang w:val="uk-UA"/>
        </w:rPr>
        <w:t xml:space="preserve"> // Scandiavian Journal of Gastroenterology. – 2007. – № 42 (9). – Р. 1095–101. </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pple-style-span"/>
          <w:rFonts w:ascii="Times New Roman" w:hAnsi="Times New Roman"/>
          <w:b w:val="0"/>
          <w:i w:val="0"/>
          <w:lang w:val="uk-UA"/>
        </w:rPr>
        <w:t>Increased hepatic and circulating interleukin–6 levels in human nonalcoholic steatohepatitis.</w:t>
      </w:r>
      <w:r w:rsidRPr="003A594D">
        <w:rPr>
          <w:rStyle w:val="apple-converted-space"/>
          <w:rFonts w:ascii="Times New Roman" w:hAnsi="Times New Roman"/>
          <w:b w:val="0"/>
          <w:i w:val="0"/>
          <w:lang w:val="uk-UA"/>
        </w:rPr>
        <w:t xml:space="preserve"> / </w:t>
      </w:r>
      <w:r w:rsidRPr="003A594D">
        <w:rPr>
          <w:rStyle w:val="apple-style-span"/>
          <w:rFonts w:ascii="Times New Roman" w:hAnsi="Times New Roman"/>
          <w:b w:val="0"/>
          <w:i w:val="0"/>
          <w:lang w:val="uk-UA"/>
        </w:rPr>
        <w:t>A. Wieckowska, B.G. Papouchado, Z. Li,.</w:t>
      </w:r>
      <w:r w:rsidRPr="003A594D">
        <w:rPr>
          <w:rFonts w:ascii="Times New Roman" w:hAnsi="Times New Roman" w:cs="Times New Roman"/>
          <w:b w:val="0"/>
          <w:i w:val="0"/>
          <w:lang w:val="uk-UA"/>
        </w:rPr>
        <w:t xml:space="preserve"> [et.al.].</w:t>
      </w:r>
      <w:r w:rsidRPr="003A594D">
        <w:rPr>
          <w:rStyle w:val="apple-converted-space"/>
          <w:rFonts w:ascii="Times New Roman" w:hAnsi="Times New Roman"/>
          <w:b w:val="0"/>
          <w:i w:val="0"/>
          <w:lang w:val="uk-UA"/>
        </w:rPr>
        <w:t xml:space="preserve"> </w:t>
      </w:r>
      <w:r w:rsidRPr="003A594D">
        <w:rPr>
          <w:rStyle w:val="apple-style-span"/>
          <w:rFonts w:ascii="Times New Roman" w:hAnsi="Times New Roman"/>
          <w:b w:val="0"/>
          <w:i w:val="0"/>
          <w:lang w:val="uk-UA"/>
        </w:rPr>
        <w:t xml:space="preserve">// </w:t>
      </w:r>
      <w:r w:rsidRPr="003A594D">
        <w:rPr>
          <w:rStyle w:val="ref-journal"/>
          <w:rFonts w:ascii="Times New Roman" w:hAnsi="Times New Roman"/>
          <w:b w:val="0"/>
          <w:i w:val="0"/>
          <w:lang w:val="uk-UA"/>
        </w:rPr>
        <w:t xml:space="preserve">Am J Gastroenterol. – </w:t>
      </w:r>
      <w:r w:rsidRPr="003A594D">
        <w:rPr>
          <w:rStyle w:val="apple-converted-space"/>
          <w:rFonts w:ascii="Times New Roman" w:hAnsi="Times New Roman"/>
          <w:b w:val="0"/>
          <w:i w:val="0"/>
          <w:lang w:val="uk-UA"/>
        </w:rPr>
        <w:t> </w:t>
      </w:r>
      <w:r w:rsidRPr="003A594D">
        <w:rPr>
          <w:rStyle w:val="apple-style-span"/>
          <w:rFonts w:ascii="Times New Roman" w:hAnsi="Times New Roman"/>
          <w:b w:val="0"/>
          <w:i w:val="0"/>
          <w:lang w:val="uk-UA"/>
        </w:rPr>
        <w:t xml:space="preserve">2008. – </w:t>
      </w:r>
      <w:r w:rsidRPr="003A594D">
        <w:rPr>
          <w:rFonts w:ascii="Times New Roman" w:hAnsi="Times New Roman" w:cs="Times New Roman"/>
          <w:b w:val="0"/>
          <w:i w:val="0"/>
          <w:lang w:val="uk-UA"/>
        </w:rPr>
        <w:t>Vol.</w:t>
      </w:r>
      <w:r w:rsidRPr="003A594D">
        <w:rPr>
          <w:rStyle w:val="ref-vol"/>
          <w:rFonts w:ascii="Times New Roman" w:hAnsi="Times New Roman"/>
          <w:b w:val="0"/>
          <w:bCs w:val="0"/>
          <w:i w:val="0"/>
          <w:lang w:val="uk-UA"/>
        </w:rPr>
        <w:t xml:space="preserve"> 103. – Р. </w:t>
      </w:r>
      <w:r w:rsidRPr="003A594D">
        <w:rPr>
          <w:rStyle w:val="apple-style-span"/>
          <w:rFonts w:ascii="Times New Roman" w:hAnsi="Times New Roman"/>
          <w:b w:val="0"/>
          <w:i w:val="0"/>
          <w:lang w:val="uk-UA"/>
        </w:rPr>
        <w:t xml:space="preserve">1372–1379. </w:t>
      </w:r>
    </w:p>
    <w:p w:rsidR="00DC20D7" w:rsidRPr="003A594D" w:rsidRDefault="00DC20D7" w:rsidP="00DC20D7">
      <w:pPr>
        <w:pStyle w:val="21"/>
        <w:numPr>
          <w:ilvl w:val="0"/>
          <w:numId w:val="10"/>
        </w:numPr>
        <w:spacing w:line="360" w:lineRule="auto"/>
        <w:jc w:val="both"/>
        <w:rPr>
          <w:rStyle w:val="apple-style-span"/>
          <w:sz w:val="28"/>
          <w:szCs w:val="28"/>
          <w:lang w:val="uk-UA"/>
        </w:rPr>
      </w:pPr>
      <w:r w:rsidRPr="003A594D">
        <w:rPr>
          <w:rStyle w:val="apple-style-span"/>
          <w:sz w:val="28"/>
          <w:szCs w:val="28"/>
          <w:lang w:val="uk-UA"/>
        </w:rPr>
        <w:t xml:space="preserve">Increased immunogenicity to P815 cells modified with malondialdehyde and acetaldehyde / M. J. Duryee, L. W. Klassen, B. L. Jones </w:t>
      </w:r>
      <w:r w:rsidRPr="003A594D">
        <w:rPr>
          <w:sz w:val="28"/>
          <w:szCs w:val="28"/>
          <w:shd w:val="clear" w:color="auto" w:fill="FFFFFF"/>
          <w:lang w:val="uk-UA"/>
        </w:rPr>
        <w:t xml:space="preserve">[et al.]. </w:t>
      </w:r>
      <w:r w:rsidRPr="003A594D">
        <w:rPr>
          <w:rStyle w:val="apple-style-span"/>
          <w:sz w:val="28"/>
          <w:szCs w:val="28"/>
          <w:lang w:val="uk-UA"/>
        </w:rPr>
        <w:t xml:space="preserve"> // International Immunopharmacology. – 2008. – </w:t>
      </w:r>
      <w:r w:rsidRPr="003A594D">
        <w:rPr>
          <w:spacing w:val="2"/>
          <w:sz w:val="28"/>
          <w:szCs w:val="28"/>
          <w:lang w:val="uk-UA"/>
        </w:rPr>
        <w:t>V</w:t>
      </w:r>
      <w:r w:rsidRPr="003A594D">
        <w:rPr>
          <w:rStyle w:val="apple-style-span"/>
          <w:sz w:val="28"/>
          <w:szCs w:val="28"/>
          <w:lang w:val="uk-UA"/>
        </w:rPr>
        <w:t xml:space="preserve">ol. 8. – № 8. – Р. 1112–1118. </w:t>
      </w:r>
    </w:p>
    <w:p w:rsidR="00DC20D7" w:rsidRPr="003A594D" w:rsidRDefault="00DC20D7" w:rsidP="00DC20D7">
      <w:pPr>
        <w:pStyle w:val="aa"/>
        <w:numPr>
          <w:ilvl w:val="0"/>
          <w:numId w:val="10"/>
        </w:numPr>
        <w:spacing w:line="360" w:lineRule="auto"/>
        <w:jc w:val="both"/>
        <w:rPr>
          <w:lang w:val="uk-UA"/>
        </w:rPr>
      </w:pPr>
      <w:r w:rsidRPr="003A594D">
        <w:rPr>
          <w:sz w:val="28"/>
          <w:szCs w:val="28"/>
          <w:lang w:val="uk-UA"/>
        </w:rPr>
        <w:t xml:space="preserve">Increased prevalence of insulin resistance  and  nonalcoholic  fatty  liver  disease  in Asian–Indian  men / K.F. Petersen, S. Dufour, J. Feng [et al.].  //  Proc.  Natl.  Acad.  Sci.  USA. —  2006. — Vol. 103. — P. 18273—18277. </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pple-style-span"/>
          <w:rFonts w:ascii="Times New Roman" w:hAnsi="Times New Roman"/>
          <w:b w:val="0"/>
          <w:i w:val="0"/>
          <w:lang w:val="uk-UA"/>
        </w:rPr>
        <w:t>Influence of polygenetic polymorphisms on the susceptibility to non–alcoholic fatty liver disease of Chinese people.</w:t>
      </w:r>
      <w:r w:rsidRPr="003A594D">
        <w:rPr>
          <w:rStyle w:val="apple-converted-space"/>
          <w:rFonts w:ascii="Times New Roman" w:hAnsi="Times New Roman"/>
          <w:b w:val="0"/>
          <w:i w:val="0"/>
          <w:lang w:val="uk-UA"/>
        </w:rPr>
        <w:t xml:space="preserve"> / </w:t>
      </w:r>
      <w:r w:rsidRPr="003A594D">
        <w:rPr>
          <w:rStyle w:val="apple-converted-space"/>
          <w:rFonts w:ascii="Times New Roman" w:hAnsi="Times New Roman"/>
          <w:b w:val="0"/>
          <w:lang w:val="uk-UA"/>
        </w:rPr>
        <w:t xml:space="preserve"> </w:t>
      </w:r>
      <w:r w:rsidRPr="003A594D">
        <w:rPr>
          <w:rStyle w:val="apple-style-span"/>
          <w:rFonts w:ascii="Times New Roman" w:hAnsi="Times New Roman"/>
          <w:b w:val="0"/>
          <w:i w:val="0"/>
          <w:lang w:val="uk-UA"/>
        </w:rPr>
        <w:t xml:space="preserve">Y.J. Zhou, Y.Y. Li, Y.Q. Nie, </w:t>
      </w:r>
      <w:r w:rsidRPr="003A594D">
        <w:rPr>
          <w:rFonts w:ascii="Times New Roman" w:hAnsi="Times New Roman" w:cs="Times New Roman"/>
          <w:b w:val="0"/>
          <w:i w:val="0"/>
          <w:lang w:val="uk-UA"/>
        </w:rPr>
        <w:t>[et.al.].</w:t>
      </w:r>
      <w:r w:rsidRPr="003A594D">
        <w:rPr>
          <w:lang w:val="uk-UA"/>
        </w:rPr>
        <w:t xml:space="preserve"> </w:t>
      </w:r>
      <w:r w:rsidRPr="003A594D">
        <w:rPr>
          <w:rStyle w:val="apple-style-span"/>
          <w:rFonts w:ascii="Times New Roman" w:hAnsi="Times New Roman"/>
          <w:b w:val="0"/>
          <w:i w:val="0"/>
          <w:lang w:val="uk-UA"/>
        </w:rPr>
        <w:t xml:space="preserve"> </w:t>
      </w:r>
      <w:r w:rsidRPr="003A594D">
        <w:rPr>
          <w:rStyle w:val="apple-converted-space"/>
          <w:rFonts w:ascii="Times New Roman" w:hAnsi="Times New Roman"/>
          <w:b w:val="0"/>
          <w:i w:val="0"/>
          <w:lang w:val="uk-UA"/>
        </w:rPr>
        <w:t xml:space="preserve"> // </w:t>
      </w:r>
      <w:r w:rsidRPr="003A594D">
        <w:rPr>
          <w:rStyle w:val="ref-journal"/>
          <w:rFonts w:ascii="Times New Roman" w:hAnsi="Times New Roman"/>
          <w:b w:val="0"/>
          <w:i w:val="0"/>
          <w:lang w:val="uk-UA"/>
        </w:rPr>
        <w:t>J Gastroenterol Hepatol.</w:t>
      </w:r>
      <w:r w:rsidRPr="003A594D">
        <w:rPr>
          <w:rStyle w:val="apple-converted-space"/>
          <w:rFonts w:ascii="Times New Roman" w:hAnsi="Times New Roman"/>
          <w:b w:val="0"/>
          <w:i w:val="0"/>
          <w:lang w:val="uk-UA"/>
        </w:rPr>
        <w:t xml:space="preserve"> – </w:t>
      </w:r>
      <w:r w:rsidRPr="003A594D">
        <w:rPr>
          <w:rStyle w:val="apple-style-span"/>
          <w:rFonts w:ascii="Times New Roman" w:hAnsi="Times New Roman"/>
          <w:b w:val="0"/>
          <w:i w:val="0"/>
          <w:lang w:val="uk-UA"/>
        </w:rPr>
        <w:t xml:space="preserve">2010. – </w:t>
      </w:r>
      <w:r w:rsidRPr="003A594D">
        <w:rPr>
          <w:rFonts w:ascii="Times New Roman" w:hAnsi="Times New Roman" w:cs="Times New Roman"/>
          <w:b w:val="0"/>
          <w:i w:val="0"/>
          <w:lang w:val="uk-UA"/>
        </w:rPr>
        <w:t>Vol</w:t>
      </w:r>
      <w:r w:rsidRPr="003A594D">
        <w:rPr>
          <w:lang w:val="uk-UA"/>
        </w:rPr>
        <w:t xml:space="preserve">. </w:t>
      </w:r>
      <w:r w:rsidRPr="003A594D">
        <w:rPr>
          <w:rStyle w:val="ref-vol"/>
          <w:rFonts w:ascii="Times New Roman" w:hAnsi="Times New Roman"/>
          <w:b w:val="0"/>
          <w:bCs w:val="0"/>
          <w:i w:val="0"/>
          <w:lang w:val="uk-UA"/>
        </w:rPr>
        <w:t>25</w:t>
      </w:r>
      <w:r w:rsidRPr="003A594D">
        <w:rPr>
          <w:rStyle w:val="apple-style-span"/>
          <w:rFonts w:ascii="Times New Roman" w:hAnsi="Times New Roman"/>
          <w:b w:val="0"/>
          <w:i w:val="0"/>
          <w:lang w:val="uk-UA"/>
        </w:rPr>
        <w:t>. – Р. 772–777.</w:t>
      </w:r>
      <w:r w:rsidRPr="003A594D">
        <w:rPr>
          <w:rStyle w:val="apple-style-span"/>
          <w:rFonts w:ascii="Times New Roman" w:hAnsi="Times New Roman"/>
          <w:b w:val="0"/>
          <w:lang w:val="uk-UA"/>
        </w:rPr>
        <w:t xml:space="preserve"> </w:t>
      </w:r>
    </w:p>
    <w:p w:rsidR="00DC20D7" w:rsidRPr="003A594D" w:rsidRDefault="00DC20D7" w:rsidP="00DC20D7">
      <w:pPr>
        <w:pStyle w:val="21"/>
        <w:numPr>
          <w:ilvl w:val="0"/>
          <w:numId w:val="10"/>
        </w:numPr>
        <w:spacing w:line="360" w:lineRule="auto"/>
        <w:jc w:val="both"/>
        <w:rPr>
          <w:rStyle w:val="apple-style-span"/>
          <w:sz w:val="28"/>
          <w:szCs w:val="28"/>
          <w:lang w:val="uk-UA"/>
        </w:rPr>
      </w:pPr>
      <w:r w:rsidRPr="003A594D">
        <w:rPr>
          <w:sz w:val="28"/>
          <w:szCs w:val="28"/>
          <w:lang w:val="uk-UA"/>
        </w:rPr>
        <w:t xml:space="preserve">Inhibiting triglyceride synthesis  improves  hepatic  steatosis  but exacerbates liver damage and fibrosis in obese mice with nonalcoholic steatohepatitis / K.  </w:t>
      </w:r>
      <w:r w:rsidRPr="003A594D">
        <w:rPr>
          <w:sz w:val="28"/>
          <w:szCs w:val="28"/>
          <w:lang w:val="uk-UA"/>
        </w:rPr>
        <w:lastRenderedPageBreak/>
        <w:t xml:space="preserve">Yamaguchi, L. Yang, S. McCall [et al.].  // Hepatology.  – 2007.  – № 45. – P.  1366–1374. </w:t>
      </w:r>
    </w:p>
    <w:p w:rsidR="00DC20D7" w:rsidRPr="003A594D" w:rsidRDefault="00DC20D7" w:rsidP="00DC20D7">
      <w:pPr>
        <w:numPr>
          <w:ilvl w:val="0"/>
          <w:numId w:val="10"/>
        </w:numPr>
        <w:shd w:val="clear" w:color="auto" w:fill="FFFFFF"/>
        <w:spacing w:before="100" w:beforeAutospacing="1" w:after="100" w:afterAutospacing="1" w:line="360" w:lineRule="auto"/>
        <w:jc w:val="both"/>
        <w:rPr>
          <w:lang w:val="uk-UA"/>
        </w:rPr>
      </w:pPr>
      <w:r w:rsidRPr="003A594D">
        <w:rPr>
          <w:sz w:val="28"/>
          <w:szCs w:val="28"/>
          <w:lang w:val="uk-UA"/>
        </w:rPr>
        <w:t>Insulin resistance in non–diabetic patients with non–alcoholic fatty liver disease: sites and mechanisms / E. Bugianesi, A. Gastaldelli, E. Vanni [et al.].  // Diabetologia. – 2005. – Vol. 48. – P. 634–642.</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t xml:space="preserve">Interaction of aldehydes derived from lipid peroxidation and membrane proteins / S. Pizzimenti, E. Ciamporcero, M. Daga </w:t>
      </w:r>
      <w:r w:rsidRPr="003A594D">
        <w:rPr>
          <w:sz w:val="28"/>
          <w:szCs w:val="28"/>
          <w:shd w:val="clear" w:color="auto" w:fill="FFFFFF"/>
          <w:lang w:val="uk-UA"/>
        </w:rPr>
        <w:t xml:space="preserve">[et al.]. // </w:t>
      </w:r>
      <w:r w:rsidRPr="003A594D">
        <w:rPr>
          <w:rStyle w:val="apple-style-span"/>
          <w:sz w:val="28"/>
          <w:szCs w:val="28"/>
          <w:lang w:val="uk-UA"/>
        </w:rPr>
        <w:t xml:space="preserve">Frontiers in Physiology. – 2013. – </w:t>
      </w:r>
      <w:r w:rsidRPr="003A594D">
        <w:rPr>
          <w:spacing w:val="2"/>
          <w:sz w:val="28"/>
          <w:szCs w:val="28"/>
          <w:lang w:val="uk-UA"/>
        </w:rPr>
        <w:t>V</w:t>
      </w:r>
      <w:r w:rsidRPr="003A594D">
        <w:rPr>
          <w:rStyle w:val="apple-style-span"/>
          <w:sz w:val="28"/>
          <w:szCs w:val="28"/>
          <w:lang w:val="uk-UA"/>
        </w:rPr>
        <w:t xml:space="preserve">ol. 4. – article 242. </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pple-style-span"/>
          <w:rFonts w:ascii="Times New Roman" w:hAnsi="Times New Roman"/>
          <w:b w:val="0"/>
          <w:i w:val="0"/>
          <w:lang w:val="uk-UA"/>
        </w:rPr>
        <w:t>Interleukin–6 is a key mediator of the hepatoprotective and pro–proliferative effects of ischaemic preconditioning in mice. / N. Teoh, J. Field, G. Farrell. //</w:t>
      </w:r>
      <w:r w:rsidRPr="003A594D">
        <w:rPr>
          <w:rStyle w:val="apple-converted-space"/>
          <w:rFonts w:ascii="Times New Roman" w:hAnsi="Times New Roman"/>
          <w:b w:val="0"/>
          <w:i w:val="0"/>
          <w:lang w:val="uk-UA"/>
        </w:rPr>
        <w:t> </w:t>
      </w:r>
      <w:r w:rsidRPr="003A594D">
        <w:rPr>
          <w:rStyle w:val="ref-journal"/>
          <w:rFonts w:ascii="Times New Roman" w:hAnsi="Times New Roman"/>
          <w:b w:val="0"/>
          <w:i w:val="0"/>
          <w:lang w:val="uk-UA"/>
        </w:rPr>
        <w:t>J Hepatol.</w:t>
      </w:r>
      <w:r w:rsidRPr="003A594D">
        <w:rPr>
          <w:rStyle w:val="apple-converted-space"/>
          <w:rFonts w:ascii="Times New Roman" w:hAnsi="Times New Roman"/>
          <w:b w:val="0"/>
          <w:i w:val="0"/>
          <w:lang w:val="uk-UA"/>
        </w:rPr>
        <w:t xml:space="preserve"> – </w:t>
      </w:r>
      <w:r w:rsidRPr="003A594D">
        <w:rPr>
          <w:rStyle w:val="apple-style-span"/>
          <w:rFonts w:ascii="Times New Roman" w:hAnsi="Times New Roman"/>
          <w:b w:val="0"/>
          <w:i w:val="0"/>
          <w:lang w:val="uk-UA"/>
        </w:rPr>
        <w:t xml:space="preserve">2006. – </w:t>
      </w:r>
      <w:r w:rsidRPr="003A594D">
        <w:rPr>
          <w:rFonts w:ascii="Times New Roman" w:hAnsi="Times New Roman" w:cs="Times New Roman"/>
          <w:b w:val="0"/>
          <w:i w:val="0"/>
          <w:lang w:val="uk-UA"/>
        </w:rPr>
        <w:t>Vol.</w:t>
      </w:r>
      <w:r w:rsidRPr="003A594D">
        <w:rPr>
          <w:rStyle w:val="ref-vol"/>
          <w:rFonts w:ascii="Times New Roman" w:hAnsi="Times New Roman"/>
          <w:b w:val="0"/>
          <w:bCs w:val="0"/>
          <w:i w:val="0"/>
          <w:lang w:val="uk-UA"/>
        </w:rPr>
        <w:t xml:space="preserve"> 45</w:t>
      </w:r>
      <w:r w:rsidRPr="003A594D">
        <w:rPr>
          <w:rFonts w:ascii="Times New Roman" w:hAnsi="Times New Roman" w:cs="Times New Roman"/>
          <w:b w:val="0"/>
          <w:i w:val="0"/>
          <w:lang w:val="uk-UA"/>
        </w:rPr>
        <w:t xml:space="preserve"> – Р. </w:t>
      </w:r>
      <w:r w:rsidRPr="003A594D">
        <w:rPr>
          <w:rStyle w:val="apple-style-span"/>
          <w:rFonts w:ascii="Times New Roman" w:hAnsi="Times New Roman"/>
          <w:b w:val="0"/>
          <w:i w:val="0"/>
          <w:lang w:val="uk-UA"/>
        </w:rPr>
        <w:t xml:space="preserve">20–27. </w:t>
      </w:r>
    </w:p>
    <w:p w:rsidR="00DC20D7" w:rsidRPr="003A594D" w:rsidRDefault="00DC20D7" w:rsidP="00DC20D7">
      <w:pPr>
        <w:pStyle w:val="21"/>
        <w:numPr>
          <w:ilvl w:val="0"/>
          <w:numId w:val="10"/>
        </w:numPr>
        <w:spacing w:line="360" w:lineRule="auto"/>
        <w:jc w:val="both"/>
        <w:rPr>
          <w:rStyle w:val="apple-style-span"/>
          <w:sz w:val="28"/>
          <w:szCs w:val="28"/>
          <w:lang w:val="uk-UA"/>
        </w:rPr>
      </w:pPr>
      <w:r w:rsidRPr="003A594D">
        <w:rPr>
          <w:rStyle w:val="apple-style-span"/>
          <w:sz w:val="28"/>
          <w:szCs w:val="28"/>
          <w:lang w:val="uk-UA"/>
        </w:rPr>
        <w:t>Involvement of lipid peroxidation–derived aldehyde–protein adducts in autoimmunity mediated by trichloroethene / G. Wang, G.A.S. Ansari, M.F. Khan //</w:t>
      </w:r>
      <w:r w:rsidRPr="003A594D">
        <w:rPr>
          <w:rStyle w:val="apple-converted-space"/>
          <w:sz w:val="28"/>
          <w:szCs w:val="28"/>
          <w:lang w:val="uk-UA"/>
        </w:rPr>
        <w:t> </w:t>
      </w:r>
      <w:r w:rsidRPr="003A594D">
        <w:rPr>
          <w:rStyle w:val="apple-style-span"/>
          <w:sz w:val="28"/>
          <w:szCs w:val="28"/>
          <w:lang w:val="uk-UA"/>
        </w:rPr>
        <w:t xml:space="preserve">Journal of Toxicology and Environmental Health A: Current Issues. – 2007. – </w:t>
      </w:r>
      <w:r w:rsidRPr="003A594D">
        <w:rPr>
          <w:spacing w:val="2"/>
          <w:sz w:val="28"/>
          <w:szCs w:val="28"/>
          <w:lang w:val="uk-UA"/>
        </w:rPr>
        <w:t>V</w:t>
      </w:r>
      <w:r w:rsidRPr="003A594D">
        <w:rPr>
          <w:rStyle w:val="apple-style-span"/>
          <w:sz w:val="28"/>
          <w:szCs w:val="28"/>
          <w:lang w:val="uk-UA"/>
        </w:rPr>
        <w:t xml:space="preserve">ol. 70. – № 23. – Р. 1977–1985. </w:t>
      </w:r>
    </w:p>
    <w:p w:rsidR="00DC20D7" w:rsidRPr="003A594D" w:rsidRDefault="00DC20D7" w:rsidP="00DC20D7">
      <w:pPr>
        <w:pStyle w:val="21"/>
        <w:numPr>
          <w:ilvl w:val="0"/>
          <w:numId w:val="10"/>
        </w:numPr>
        <w:spacing w:line="360" w:lineRule="auto"/>
        <w:jc w:val="both"/>
        <w:rPr>
          <w:spacing w:val="-5"/>
          <w:lang w:val="uk-UA"/>
        </w:rPr>
      </w:pPr>
      <w:r w:rsidRPr="003A594D">
        <w:rPr>
          <w:sz w:val="28"/>
          <w:szCs w:val="28"/>
          <w:lang w:val="uk-UA"/>
        </w:rPr>
        <w:t xml:space="preserve">Jakubowski   H.   Pathophysiological   Consequences   of Homocysteine </w:t>
      </w:r>
      <w:r w:rsidRPr="003A594D">
        <w:rPr>
          <w:spacing w:val="2"/>
          <w:sz w:val="28"/>
          <w:szCs w:val="28"/>
          <w:lang w:val="uk-UA"/>
        </w:rPr>
        <w:t xml:space="preserve">/ </w:t>
      </w:r>
      <w:r w:rsidRPr="003A594D">
        <w:rPr>
          <w:sz w:val="28"/>
          <w:szCs w:val="28"/>
          <w:lang w:val="uk-UA"/>
        </w:rPr>
        <w:t xml:space="preserve">H. Jakubowski. </w:t>
      </w:r>
      <w:r w:rsidRPr="003A594D">
        <w:rPr>
          <w:spacing w:val="2"/>
          <w:sz w:val="28"/>
          <w:szCs w:val="28"/>
          <w:lang w:val="uk-UA"/>
        </w:rPr>
        <w:t>Excess // J. Nutr. – 2006. – Vol. 136. – P.1741–1749</w:t>
      </w:r>
      <w:r w:rsidRPr="003A594D">
        <w:rPr>
          <w:spacing w:val="-5"/>
          <w:sz w:val="28"/>
          <w:szCs w:val="28"/>
          <w:lang w:val="uk-UA"/>
        </w:rPr>
        <w:t xml:space="preserve">.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Kelleher T.B. Noninvasive assessment of liver fibrosis / T.B. Kelleher, N. Afdhal // Clin. Liver Dis. — 2005. — Vol. 9, № 4. — P. 667–683.</w:t>
      </w:r>
    </w:p>
    <w:p w:rsidR="00DC20D7" w:rsidRPr="003A594D" w:rsidRDefault="00DC20D7" w:rsidP="00DC20D7">
      <w:pPr>
        <w:pStyle w:val="21"/>
        <w:numPr>
          <w:ilvl w:val="0"/>
          <w:numId w:val="10"/>
        </w:numPr>
        <w:spacing w:line="360" w:lineRule="auto"/>
        <w:jc w:val="both"/>
        <w:rPr>
          <w:spacing w:val="4"/>
          <w:sz w:val="28"/>
          <w:szCs w:val="28"/>
          <w:lang w:val="uk-UA"/>
        </w:rPr>
      </w:pPr>
      <w:r w:rsidRPr="003A594D">
        <w:rPr>
          <w:spacing w:val="3"/>
          <w:sz w:val="28"/>
          <w:szCs w:val="28"/>
          <w:lang w:val="uk-UA"/>
        </w:rPr>
        <w:t xml:space="preserve">Kimura Y. Hydrogen sulfide increases glutathione production and </w:t>
      </w:r>
      <w:r w:rsidRPr="003A594D">
        <w:rPr>
          <w:sz w:val="28"/>
          <w:szCs w:val="28"/>
          <w:lang w:val="uk-UA"/>
        </w:rPr>
        <w:t xml:space="preserve">suppresses oxidative stress in mitochondria / Y. Kimura, Y. Goto, H. Kimura // </w:t>
      </w:r>
      <w:r w:rsidRPr="003A594D">
        <w:rPr>
          <w:spacing w:val="4"/>
          <w:sz w:val="28"/>
          <w:szCs w:val="28"/>
          <w:lang w:val="uk-UA"/>
        </w:rPr>
        <w:t xml:space="preserve">Antioxid Redox Signal. – 2010. – Vol. 12 (1). – P. 1–13. </w:t>
      </w:r>
    </w:p>
    <w:p w:rsidR="00DC20D7" w:rsidRPr="003A594D" w:rsidRDefault="00DC20D7" w:rsidP="00DC20D7">
      <w:pPr>
        <w:numPr>
          <w:ilvl w:val="0"/>
          <w:numId w:val="10"/>
        </w:numPr>
        <w:spacing w:line="360" w:lineRule="auto"/>
        <w:jc w:val="both"/>
        <w:rPr>
          <w:sz w:val="28"/>
          <w:szCs w:val="28"/>
          <w:lang w:val="uk-UA"/>
        </w:rPr>
      </w:pPr>
      <w:r w:rsidRPr="003A594D">
        <w:rPr>
          <w:rStyle w:val="refauthors"/>
          <w:sz w:val="28"/>
          <w:szCs w:val="28"/>
          <w:shd w:val="clear" w:color="auto" w:fill="FFFFFF"/>
          <w:lang w:val="uk-UA"/>
        </w:rPr>
        <w:t xml:space="preserve">Kleiner D. </w:t>
      </w:r>
      <w:r w:rsidRPr="003A594D">
        <w:rPr>
          <w:rStyle w:val="reftitle"/>
          <w:bCs/>
          <w:sz w:val="28"/>
          <w:szCs w:val="28"/>
          <w:shd w:val="clear" w:color="auto" w:fill="FFFFFF"/>
          <w:lang w:val="uk-UA"/>
        </w:rPr>
        <w:t>Non–alcoholic fatty liver disease: pathologic patterns and biopsy evaluation in clinical research.</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D. Kleiner, E. Brunt</w:t>
      </w:r>
      <w:r w:rsidRPr="003A594D">
        <w:rPr>
          <w:rStyle w:val="apple-converted-space"/>
          <w:sz w:val="28"/>
          <w:szCs w:val="28"/>
          <w:shd w:val="clear" w:color="auto" w:fill="FFFFFF"/>
          <w:lang w:val="uk-UA"/>
        </w:rPr>
        <w:t xml:space="preserve"> // </w:t>
      </w:r>
      <w:r w:rsidRPr="003A594D">
        <w:rPr>
          <w:rStyle w:val="refseriestitle"/>
          <w:iCs/>
          <w:sz w:val="28"/>
          <w:szCs w:val="28"/>
          <w:shd w:val="clear" w:color="auto" w:fill="FFFFFF"/>
          <w:lang w:val="uk-UA"/>
        </w:rPr>
        <w:t>Semin Liver Dis</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refseriesdate"/>
          <w:sz w:val="28"/>
          <w:szCs w:val="28"/>
          <w:shd w:val="clear" w:color="auto" w:fill="FFFFFF"/>
          <w:lang w:val="uk-UA"/>
        </w:rPr>
        <w:t>2012. – Vol.</w:t>
      </w:r>
      <w:r w:rsidRPr="003A594D">
        <w:rPr>
          <w:rStyle w:val="apple-converted-space"/>
          <w:sz w:val="28"/>
          <w:szCs w:val="28"/>
          <w:shd w:val="clear" w:color="auto" w:fill="FFFFFF"/>
          <w:lang w:val="uk-UA"/>
        </w:rPr>
        <w:t> </w:t>
      </w:r>
      <w:r w:rsidRPr="003A594D">
        <w:rPr>
          <w:rStyle w:val="refseriesvolume"/>
          <w:sz w:val="28"/>
          <w:szCs w:val="28"/>
          <w:shd w:val="clear" w:color="auto" w:fill="FFFFFF"/>
          <w:lang w:val="uk-UA"/>
        </w:rPr>
        <w:t xml:space="preserve">32. – </w:t>
      </w:r>
      <w:r w:rsidRPr="003A594D">
        <w:rPr>
          <w:rStyle w:val="apple-converted-space"/>
          <w:sz w:val="28"/>
          <w:szCs w:val="28"/>
          <w:shd w:val="clear" w:color="auto" w:fill="FFFFFF"/>
          <w:lang w:val="uk-UA"/>
        </w:rPr>
        <w:t>P. </w:t>
      </w:r>
      <w:r w:rsidRPr="003A594D">
        <w:rPr>
          <w:rStyle w:val="refpages"/>
          <w:sz w:val="28"/>
          <w:szCs w:val="28"/>
          <w:shd w:val="clear" w:color="auto" w:fill="FFFFFF"/>
          <w:lang w:val="uk-UA"/>
        </w:rPr>
        <w:t>003–013</w:t>
      </w:r>
      <w:r w:rsidRPr="003A594D">
        <w:rPr>
          <w:sz w:val="28"/>
          <w:szCs w:val="28"/>
          <w:lang w:val="uk-UA"/>
        </w:rPr>
        <w:t>.</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pple-style-span"/>
          <w:rFonts w:ascii="Times New Roman" w:hAnsi="Times New Roman"/>
          <w:b w:val="0"/>
          <w:i w:val="0"/>
          <w:lang w:val="uk-UA"/>
        </w:rPr>
        <w:lastRenderedPageBreak/>
        <w:t>Klover P.J.  Interleukin–6 depletion selectively improves hepatic insulin action in obesity. / P.J. Klover, A.H. Clementi, R.A. Mooney. //</w:t>
      </w:r>
      <w:r w:rsidRPr="003A594D">
        <w:rPr>
          <w:rStyle w:val="apple-converted-space"/>
          <w:rFonts w:ascii="Times New Roman" w:hAnsi="Times New Roman"/>
          <w:b w:val="0"/>
          <w:i w:val="0"/>
          <w:lang w:val="uk-UA"/>
        </w:rPr>
        <w:t> </w:t>
      </w:r>
      <w:r w:rsidRPr="003A594D">
        <w:rPr>
          <w:rStyle w:val="ref-journal"/>
          <w:rFonts w:ascii="Times New Roman" w:hAnsi="Times New Roman"/>
          <w:b w:val="0"/>
          <w:i w:val="0"/>
          <w:lang w:val="uk-UA"/>
        </w:rPr>
        <w:t>Endocrinology.</w:t>
      </w:r>
      <w:r w:rsidRPr="003A594D">
        <w:rPr>
          <w:rStyle w:val="apple-converted-space"/>
          <w:rFonts w:ascii="Times New Roman" w:hAnsi="Times New Roman"/>
          <w:b w:val="0"/>
          <w:i w:val="0"/>
          <w:lang w:val="uk-UA"/>
        </w:rPr>
        <w:t xml:space="preserve"> – </w:t>
      </w:r>
      <w:r w:rsidRPr="003A594D">
        <w:rPr>
          <w:rStyle w:val="apple-style-span"/>
          <w:rFonts w:ascii="Times New Roman" w:hAnsi="Times New Roman"/>
          <w:b w:val="0"/>
          <w:i w:val="0"/>
          <w:lang w:val="uk-UA"/>
        </w:rPr>
        <w:t xml:space="preserve">2005. – </w:t>
      </w:r>
      <w:r w:rsidRPr="003A594D">
        <w:rPr>
          <w:rFonts w:ascii="Times New Roman" w:hAnsi="Times New Roman" w:cs="Times New Roman"/>
          <w:b w:val="0"/>
          <w:i w:val="0"/>
          <w:lang w:val="uk-UA"/>
        </w:rPr>
        <w:t>Vol.</w:t>
      </w:r>
      <w:r w:rsidRPr="003A594D">
        <w:rPr>
          <w:lang w:val="uk-UA"/>
        </w:rPr>
        <w:t xml:space="preserve"> </w:t>
      </w:r>
      <w:r w:rsidRPr="003A594D">
        <w:rPr>
          <w:rStyle w:val="ref-vol"/>
          <w:rFonts w:ascii="Times New Roman" w:hAnsi="Times New Roman"/>
          <w:b w:val="0"/>
          <w:bCs w:val="0"/>
          <w:i w:val="0"/>
          <w:lang w:val="uk-UA"/>
        </w:rPr>
        <w:t>146</w:t>
      </w:r>
      <w:r w:rsidRPr="003A594D">
        <w:rPr>
          <w:rStyle w:val="apple-style-span"/>
          <w:rFonts w:ascii="Times New Roman" w:hAnsi="Times New Roman"/>
          <w:b w:val="0"/>
          <w:i w:val="0"/>
          <w:lang w:val="uk-UA"/>
        </w:rPr>
        <w:t xml:space="preserve">. – Р. 3417–3427. </w:t>
      </w:r>
    </w:p>
    <w:p w:rsidR="00DC20D7" w:rsidRPr="003A594D" w:rsidRDefault="00DC20D7" w:rsidP="00DC20D7">
      <w:pPr>
        <w:pStyle w:val="21"/>
        <w:numPr>
          <w:ilvl w:val="0"/>
          <w:numId w:val="10"/>
        </w:numPr>
        <w:spacing w:line="360" w:lineRule="auto"/>
        <w:jc w:val="both"/>
        <w:rPr>
          <w:rStyle w:val="apple-converted-space"/>
          <w:sz w:val="28"/>
          <w:szCs w:val="28"/>
          <w:shd w:val="clear" w:color="auto" w:fill="FFFFFF"/>
          <w:lang w:val="uk-UA"/>
        </w:rPr>
      </w:pPr>
      <w:r w:rsidRPr="003A594D">
        <w:rPr>
          <w:sz w:val="28"/>
          <w:szCs w:val="28"/>
          <w:shd w:val="clear" w:color="auto" w:fill="FFFFFF"/>
          <w:lang w:val="uk-UA"/>
        </w:rPr>
        <w:t>Lam B. Treatment strategies for patients with nonalcoholic fatty liver disease / B. Lam, Z.M. Younossi // Clinical Investigation. – 2011. – Vol. 1, №. 2. – P. 229–239.</w:t>
      </w:r>
      <w:r w:rsidRPr="003A594D">
        <w:rPr>
          <w:rStyle w:val="apple-converted-space"/>
          <w:sz w:val="28"/>
          <w:szCs w:val="28"/>
          <w:shd w:val="clear" w:color="auto" w:fill="FFFFFF"/>
          <w:lang w:val="uk-UA"/>
        </w:rPr>
        <w:t xml:space="preserve">  </w:t>
      </w:r>
    </w:p>
    <w:p w:rsidR="00DC20D7" w:rsidRPr="003A594D" w:rsidRDefault="00DC20D7" w:rsidP="00DC20D7">
      <w:pPr>
        <w:pStyle w:val="aa"/>
        <w:numPr>
          <w:ilvl w:val="0"/>
          <w:numId w:val="10"/>
        </w:numPr>
        <w:spacing w:line="360" w:lineRule="auto"/>
        <w:jc w:val="both"/>
        <w:rPr>
          <w:lang w:val="uk-UA"/>
        </w:rPr>
      </w:pPr>
      <w:r w:rsidRPr="003A594D">
        <w:rPr>
          <w:sz w:val="28"/>
          <w:szCs w:val="28"/>
          <w:shd w:val="clear" w:color="auto" w:fill="FFFFFF"/>
          <w:lang w:val="uk-UA"/>
        </w:rPr>
        <w:t xml:space="preserve">L–carnitine ameliorated fatty liver in high–calorie diet/STZ–induced type 2 diabetic mice by improving mitochondrial function / Y. Xia, Q. Li, W. Zhong </w:t>
      </w:r>
      <w:r w:rsidRPr="003A594D">
        <w:rPr>
          <w:spacing w:val="-11"/>
          <w:sz w:val="28"/>
          <w:szCs w:val="28"/>
          <w:lang w:val="uk-UA"/>
        </w:rPr>
        <w:t>[et al.]. //</w:t>
      </w:r>
      <w:r w:rsidRPr="003A594D">
        <w:rPr>
          <w:sz w:val="28"/>
          <w:szCs w:val="28"/>
          <w:shd w:val="clear" w:color="auto" w:fill="FFFFFF"/>
          <w:lang w:val="uk-UA"/>
        </w:rPr>
        <w:t xml:space="preserve"> </w:t>
      </w:r>
      <w:r w:rsidRPr="003A594D">
        <w:rPr>
          <w:iCs/>
          <w:sz w:val="28"/>
          <w:szCs w:val="28"/>
          <w:shd w:val="clear" w:color="auto" w:fill="FFFFFF"/>
          <w:lang w:val="uk-UA"/>
        </w:rPr>
        <w:t>Diabetol.</w:t>
      </w:r>
      <w:r w:rsidRPr="003A594D">
        <w:rPr>
          <w:rStyle w:val="apple-converted-space"/>
          <w:sz w:val="28"/>
          <w:szCs w:val="28"/>
          <w:shd w:val="clear" w:color="auto" w:fill="FFFFFF"/>
          <w:lang w:val="uk-UA"/>
        </w:rPr>
        <w:t> </w:t>
      </w:r>
      <w:r w:rsidRPr="003A594D">
        <w:rPr>
          <w:iCs/>
          <w:sz w:val="28"/>
          <w:szCs w:val="28"/>
          <w:shd w:val="clear" w:color="auto" w:fill="FFFFFF"/>
          <w:lang w:val="uk-UA"/>
        </w:rPr>
        <w:t>Metab. Syndr. –</w:t>
      </w:r>
      <w:r w:rsidRPr="003A594D">
        <w:rPr>
          <w:rStyle w:val="apple-converted-space"/>
          <w:sz w:val="28"/>
          <w:szCs w:val="28"/>
          <w:shd w:val="clear" w:color="auto" w:fill="FFFFFF"/>
          <w:lang w:val="uk-UA"/>
        </w:rPr>
        <w:t> </w:t>
      </w:r>
      <w:r w:rsidRPr="003A594D">
        <w:rPr>
          <w:sz w:val="28"/>
          <w:szCs w:val="28"/>
          <w:shd w:val="clear" w:color="auto" w:fill="FFFFFF"/>
          <w:lang w:val="uk-UA"/>
        </w:rPr>
        <w:t>2011. – № 3. – Р. 31.</w:t>
      </w:r>
    </w:p>
    <w:p w:rsidR="00DC20D7" w:rsidRPr="003A594D" w:rsidRDefault="00DC20D7" w:rsidP="00DC20D7">
      <w:pPr>
        <w:pStyle w:val="a5"/>
        <w:numPr>
          <w:ilvl w:val="0"/>
          <w:numId w:val="10"/>
        </w:numPr>
        <w:spacing w:before="0" w:beforeAutospacing="0" w:after="180" w:afterAutospacing="0" w:line="360" w:lineRule="auto"/>
        <w:jc w:val="both"/>
        <w:rPr>
          <w:sz w:val="28"/>
          <w:szCs w:val="28"/>
          <w:lang w:val="uk-UA"/>
        </w:rPr>
      </w:pPr>
      <w:r w:rsidRPr="003A594D">
        <w:rPr>
          <w:rStyle w:val="highlight"/>
          <w:sz w:val="28"/>
          <w:szCs w:val="28"/>
          <w:lang w:val="uk-UA"/>
        </w:rPr>
        <w:t>L–carnitine</w:t>
      </w:r>
      <w:r w:rsidRPr="003A594D">
        <w:rPr>
          <w:rStyle w:val="apple-converted-space"/>
          <w:sz w:val="28"/>
          <w:szCs w:val="28"/>
          <w:lang w:val="uk-UA"/>
        </w:rPr>
        <w:t> </w:t>
      </w:r>
      <w:r w:rsidRPr="003A594D">
        <w:rPr>
          <w:rStyle w:val="highlight"/>
          <w:sz w:val="28"/>
          <w:szCs w:val="28"/>
          <w:lang w:val="uk-UA"/>
        </w:rPr>
        <w:t>inhibits</w:t>
      </w:r>
      <w:r w:rsidRPr="003A594D">
        <w:rPr>
          <w:rStyle w:val="apple-converted-space"/>
          <w:sz w:val="28"/>
          <w:szCs w:val="28"/>
          <w:lang w:val="uk-UA"/>
        </w:rPr>
        <w:t> </w:t>
      </w:r>
      <w:r w:rsidRPr="003A594D">
        <w:rPr>
          <w:rStyle w:val="highlight"/>
          <w:sz w:val="28"/>
          <w:szCs w:val="28"/>
          <w:lang w:val="uk-UA"/>
        </w:rPr>
        <w:t>hepatocarcinogenesis</w:t>
      </w:r>
      <w:r w:rsidRPr="003A594D">
        <w:rPr>
          <w:rStyle w:val="apple-converted-space"/>
          <w:sz w:val="28"/>
          <w:szCs w:val="28"/>
          <w:lang w:val="uk-UA"/>
        </w:rPr>
        <w:t> </w:t>
      </w:r>
      <w:r w:rsidRPr="003A594D">
        <w:rPr>
          <w:rStyle w:val="highlight"/>
          <w:sz w:val="28"/>
          <w:szCs w:val="28"/>
          <w:lang w:val="uk-UA"/>
        </w:rPr>
        <w:t>via</w:t>
      </w:r>
      <w:r w:rsidRPr="003A594D">
        <w:rPr>
          <w:rStyle w:val="apple-converted-space"/>
          <w:sz w:val="28"/>
          <w:szCs w:val="28"/>
          <w:lang w:val="uk-UA"/>
        </w:rPr>
        <w:t> </w:t>
      </w:r>
      <w:r w:rsidRPr="003A594D">
        <w:rPr>
          <w:rStyle w:val="highlight"/>
          <w:sz w:val="28"/>
          <w:szCs w:val="28"/>
          <w:lang w:val="uk-UA"/>
        </w:rPr>
        <w:t>protection</w:t>
      </w:r>
      <w:r w:rsidRPr="003A594D">
        <w:rPr>
          <w:rStyle w:val="apple-converted-space"/>
          <w:sz w:val="28"/>
          <w:szCs w:val="28"/>
          <w:lang w:val="uk-UA"/>
        </w:rPr>
        <w:t> </w:t>
      </w:r>
      <w:r w:rsidRPr="003A594D">
        <w:rPr>
          <w:lang w:val="uk-UA"/>
        </w:rPr>
        <w:t>of</w:t>
      </w:r>
      <w:r w:rsidRPr="003A594D">
        <w:rPr>
          <w:rStyle w:val="apple-converted-space"/>
          <w:sz w:val="28"/>
          <w:szCs w:val="28"/>
          <w:lang w:val="uk-UA"/>
        </w:rPr>
        <w:t> </w:t>
      </w:r>
      <w:r w:rsidRPr="003A594D">
        <w:rPr>
          <w:rStyle w:val="highlight"/>
          <w:sz w:val="28"/>
          <w:szCs w:val="28"/>
          <w:lang w:val="uk-UA"/>
        </w:rPr>
        <w:t>mitochondria</w:t>
      </w:r>
      <w:r w:rsidRPr="003A594D">
        <w:rPr>
          <w:lang w:val="uk-UA"/>
        </w:rPr>
        <w:t xml:space="preserve">. </w:t>
      </w:r>
      <w:r w:rsidRPr="003A594D">
        <w:rPr>
          <w:sz w:val="28"/>
          <w:lang w:val="uk-UA"/>
        </w:rPr>
        <w:t xml:space="preserve">/ B. </w:t>
      </w:r>
      <w:hyperlink r:id="rId37" w:history="1">
        <w:r w:rsidRPr="003A594D">
          <w:rPr>
            <w:rStyle w:val="highlight"/>
            <w:sz w:val="28"/>
            <w:szCs w:val="28"/>
            <w:lang w:val="uk-UA"/>
          </w:rPr>
          <w:t>Chang</w:t>
        </w:r>
      </w:hyperlink>
      <w:r w:rsidRPr="003A594D">
        <w:rPr>
          <w:lang w:val="uk-UA"/>
        </w:rPr>
        <w:t>,</w:t>
      </w:r>
      <w:r w:rsidRPr="003A594D">
        <w:rPr>
          <w:rStyle w:val="apple-converted-space"/>
          <w:sz w:val="28"/>
          <w:szCs w:val="28"/>
          <w:lang w:val="uk-UA"/>
        </w:rPr>
        <w:t xml:space="preserve"> M. </w:t>
      </w:r>
      <w:hyperlink r:id="rId38" w:history="1">
        <w:r w:rsidRPr="003A594D">
          <w:rPr>
            <w:sz w:val="28"/>
            <w:lang w:val="uk-UA"/>
          </w:rPr>
          <w:t>Nishikawa</w:t>
        </w:r>
      </w:hyperlink>
      <w:r w:rsidRPr="003A594D">
        <w:rPr>
          <w:sz w:val="28"/>
          <w:lang w:val="uk-UA"/>
        </w:rPr>
        <w:t xml:space="preserve">, S. </w:t>
      </w:r>
      <w:hyperlink r:id="rId39" w:history="1">
        <w:r w:rsidRPr="003A594D">
          <w:rPr>
            <w:sz w:val="28"/>
            <w:lang w:val="uk-UA"/>
          </w:rPr>
          <w:t>Nishiguchi</w:t>
        </w:r>
      </w:hyperlink>
      <w:r w:rsidRPr="003A594D">
        <w:rPr>
          <w:sz w:val="28"/>
          <w:lang w:val="uk-UA"/>
        </w:rPr>
        <w:t xml:space="preserve">, M. </w:t>
      </w:r>
      <w:hyperlink r:id="rId40" w:history="1">
        <w:r w:rsidRPr="003A594D">
          <w:rPr>
            <w:sz w:val="28"/>
            <w:lang w:val="uk-UA"/>
          </w:rPr>
          <w:t>Inoue</w:t>
        </w:r>
      </w:hyperlink>
      <w:r w:rsidRPr="003A594D">
        <w:rPr>
          <w:sz w:val="28"/>
          <w:lang w:val="uk-UA"/>
        </w:rPr>
        <w:t xml:space="preserve"> // </w:t>
      </w:r>
      <w:hyperlink r:id="rId41" w:tooltip="International journal of cancer. Journal international du cancer." w:history="1">
        <w:r w:rsidRPr="003A594D">
          <w:rPr>
            <w:sz w:val="28"/>
            <w:lang w:val="uk-UA"/>
          </w:rPr>
          <w:t>Int J Cancer.</w:t>
        </w:r>
      </w:hyperlink>
      <w:r w:rsidRPr="003A594D">
        <w:rPr>
          <w:rStyle w:val="apple-converted-space"/>
          <w:sz w:val="28"/>
          <w:szCs w:val="28"/>
          <w:shd w:val="clear" w:color="auto" w:fill="FFFFFF"/>
          <w:lang w:val="uk-UA"/>
        </w:rPr>
        <w:t> </w:t>
      </w:r>
      <w:r w:rsidRPr="003A594D">
        <w:rPr>
          <w:sz w:val="28"/>
          <w:szCs w:val="28"/>
          <w:shd w:val="clear" w:color="auto" w:fill="FFFFFF"/>
          <w:lang w:val="uk-UA"/>
        </w:rPr>
        <w:t>– 2005. – Vol. 113 (5). – Р. 719–729.</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L–Carnitine Prevents Progression of Non–Alcoholic Steatohepatitis in a Mouse Model with Upregulation of Mitochondrial Pathway / H. Ishikawa, A. Takaki, R. Tsuzaki [et al.].  // PLоS ONE. – 2014. – Vol.</w:t>
      </w:r>
      <w:r w:rsidRPr="003A594D">
        <w:rPr>
          <w:rStyle w:val="apple-converted-space"/>
          <w:sz w:val="28"/>
          <w:szCs w:val="28"/>
          <w:lang w:val="uk-UA"/>
        </w:rPr>
        <w:t> </w:t>
      </w:r>
      <w:r w:rsidRPr="003A594D">
        <w:rPr>
          <w:rStyle w:val="af0"/>
          <w:bCs/>
          <w:sz w:val="28"/>
          <w:szCs w:val="28"/>
          <w:bdr w:val="none" w:sz="0" w:space="0" w:color="auto" w:frame="1"/>
          <w:lang w:val="uk-UA"/>
        </w:rPr>
        <w:t xml:space="preserve">9 </w:t>
      </w:r>
      <w:r w:rsidRPr="003A594D">
        <w:rPr>
          <w:sz w:val="28"/>
          <w:szCs w:val="28"/>
          <w:lang w:val="uk-UA"/>
        </w:rPr>
        <w:t>(7). – Р. 1–12.</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L–carnitine supplementation to diet: a new tool in treatment of nonalcoholic steatohepatitis–a randomized and controlled clinical trial / M. Malaguarnera, M.P. Gargante, C. Russo [et al.]. // Am. J. Gastroenterol. — 2010. — Vol. 105, N 6.— P. 1338—1345. </w:t>
      </w:r>
    </w:p>
    <w:p w:rsidR="00DC20D7" w:rsidRPr="003A594D" w:rsidRDefault="00DC20D7" w:rsidP="00DC20D7">
      <w:pPr>
        <w:pStyle w:val="a5"/>
        <w:numPr>
          <w:ilvl w:val="0"/>
          <w:numId w:val="10"/>
        </w:numPr>
        <w:spacing w:before="0" w:beforeAutospacing="0" w:after="180" w:afterAutospacing="0" w:line="360" w:lineRule="auto"/>
        <w:jc w:val="both"/>
        <w:rPr>
          <w:sz w:val="28"/>
          <w:szCs w:val="28"/>
          <w:lang w:val="uk-UA"/>
        </w:rPr>
      </w:pPr>
      <w:r w:rsidRPr="003A594D">
        <w:rPr>
          <w:sz w:val="28"/>
          <w:szCs w:val="28"/>
          <w:lang w:val="uk-UA"/>
        </w:rPr>
        <w:t xml:space="preserve">L–carnitine treatment reduces steatosis in patients with chronic hepatitis C treated with alpha–interferon and ribavirin / M. Romano, M. Vacante, E. Cristaldildi </w:t>
      </w:r>
      <w:r w:rsidRPr="003A594D">
        <w:rPr>
          <w:rStyle w:val="apple-converted-space"/>
          <w:sz w:val="28"/>
          <w:szCs w:val="28"/>
          <w:lang w:val="uk-UA"/>
        </w:rPr>
        <w:t>[</w:t>
      </w:r>
      <w:r w:rsidRPr="003A594D">
        <w:rPr>
          <w:rStyle w:val="af1"/>
          <w:iCs/>
          <w:sz w:val="28"/>
          <w:szCs w:val="28"/>
          <w:lang w:val="uk-UA"/>
        </w:rPr>
        <w:t>et al.]</w:t>
      </w:r>
      <w:r w:rsidRPr="003A594D">
        <w:rPr>
          <w:rStyle w:val="apple-converted-space"/>
          <w:sz w:val="28"/>
          <w:szCs w:val="28"/>
          <w:lang w:val="uk-UA"/>
        </w:rPr>
        <w:t>. //</w:t>
      </w:r>
      <w:r w:rsidRPr="003A594D">
        <w:rPr>
          <w:sz w:val="28"/>
          <w:szCs w:val="28"/>
          <w:lang w:val="uk-UA"/>
        </w:rPr>
        <w:t xml:space="preserve"> Dig. Dis. Sci. – 2008. – № 53. – P. 1114–1121.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Lewis J. R. Non–alcoholic Fatty Liver Disease: A Review and Update / J.R. Lewis, S.R. Mohanty // Digestive Diseases and Sciences. – 2010. – Vol. 55. – P. 560–578.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Local and systemic insulin resistance resulting from hepatic activation of IKK–beta and NF–kappa B / D. Cai, M. Yuan </w:t>
      </w:r>
      <w:r w:rsidRPr="003A594D">
        <w:rPr>
          <w:rStyle w:val="apple-style-span"/>
          <w:sz w:val="28"/>
          <w:szCs w:val="28"/>
          <w:lang w:val="uk-UA"/>
        </w:rPr>
        <w:t>D.F. Frantz.</w:t>
      </w:r>
      <w:r w:rsidRPr="003A594D">
        <w:rPr>
          <w:sz w:val="28"/>
          <w:szCs w:val="28"/>
          <w:lang w:val="uk-UA"/>
        </w:rPr>
        <w:t xml:space="preserve"> [et.al.]. // Nat. Med. – 2005. – № 11. – P. – 183–190.  </w:t>
      </w:r>
    </w:p>
    <w:p w:rsidR="00DC20D7" w:rsidRPr="003A594D" w:rsidRDefault="00DC20D7" w:rsidP="00DC20D7">
      <w:pPr>
        <w:pStyle w:val="21"/>
        <w:numPr>
          <w:ilvl w:val="0"/>
          <w:numId w:val="10"/>
        </w:numPr>
        <w:spacing w:line="360" w:lineRule="auto"/>
        <w:jc w:val="both"/>
        <w:rPr>
          <w:sz w:val="28"/>
          <w:szCs w:val="28"/>
          <w:shd w:val="clear" w:color="auto" w:fill="FFFFFF"/>
          <w:lang w:val="uk-UA"/>
        </w:rPr>
      </w:pPr>
      <w:r w:rsidRPr="003A594D">
        <w:rPr>
          <w:sz w:val="28"/>
          <w:szCs w:val="28"/>
          <w:shd w:val="clear" w:color="auto" w:fill="FFFFFF"/>
          <w:lang w:val="uk-UA"/>
        </w:rPr>
        <w:lastRenderedPageBreak/>
        <w:t xml:space="preserve">Long–Term Follow–up of Patients With NAFLD and Elevated Liver Enzymes / M. Ekstedt, L.E. Franzen, U. L. Mathiesen [et al.]. // Hepatology. — 2006. — Vol. 44. — P. 865—873. </w:t>
      </w:r>
    </w:p>
    <w:p w:rsidR="00DC20D7" w:rsidRPr="003A594D" w:rsidRDefault="00DC20D7" w:rsidP="00DC20D7">
      <w:pPr>
        <w:numPr>
          <w:ilvl w:val="0"/>
          <w:numId w:val="10"/>
        </w:numPr>
        <w:spacing w:line="360" w:lineRule="auto"/>
        <w:ind w:right="54"/>
        <w:jc w:val="both"/>
        <w:textAlignment w:val="baseline"/>
        <w:rPr>
          <w:sz w:val="28"/>
          <w:szCs w:val="28"/>
          <w:lang w:val="uk-UA"/>
        </w:rPr>
      </w:pPr>
      <w:r w:rsidRPr="003A594D">
        <w:rPr>
          <w:sz w:val="28"/>
          <w:szCs w:val="28"/>
          <w:lang w:val="uk-UA"/>
        </w:rPr>
        <w:t>Loos Inherited susceptibility to non–alcoholic fatty liver disease / R.J.F.  Loos, D.B. Savage // Diabetologia. – 2009. – Vol. 52. – P. 1000–1002.</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Lowicka E. Hydrogen sulfide (H2S) </w:t>
      </w:r>
      <w:r w:rsidRPr="003A594D">
        <w:rPr>
          <w:spacing w:val="-5"/>
          <w:sz w:val="28"/>
          <w:szCs w:val="28"/>
          <w:lang w:val="uk-UA"/>
        </w:rPr>
        <w:t xml:space="preserve">– </w:t>
      </w:r>
      <w:r w:rsidRPr="003A594D">
        <w:rPr>
          <w:sz w:val="28"/>
          <w:szCs w:val="28"/>
          <w:lang w:val="uk-UA"/>
        </w:rPr>
        <w:t>the third gas of interest for pharma</w:t>
      </w:r>
      <w:r w:rsidRPr="003A594D">
        <w:rPr>
          <w:sz w:val="28"/>
          <w:szCs w:val="28"/>
          <w:lang w:val="uk-UA"/>
        </w:rPr>
        <w:softHyphen/>
        <w:t xml:space="preserve">cologists / E. Lowicka, J. Bettowski // Pharmacol. Rep. </w:t>
      </w:r>
      <w:r w:rsidRPr="003A594D">
        <w:rPr>
          <w:spacing w:val="-5"/>
          <w:sz w:val="28"/>
          <w:szCs w:val="28"/>
          <w:lang w:val="uk-UA"/>
        </w:rPr>
        <w:t xml:space="preserve">– </w:t>
      </w:r>
      <w:r w:rsidRPr="003A594D">
        <w:rPr>
          <w:sz w:val="28"/>
          <w:szCs w:val="28"/>
          <w:lang w:val="uk-UA"/>
        </w:rPr>
        <w:t xml:space="preserve">2007. </w:t>
      </w:r>
      <w:r w:rsidRPr="003A594D">
        <w:rPr>
          <w:spacing w:val="-5"/>
          <w:sz w:val="28"/>
          <w:szCs w:val="28"/>
          <w:lang w:val="uk-UA"/>
        </w:rPr>
        <w:t xml:space="preserve">– </w:t>
      </w:r>
      <w:r w:rsidRPr="003A594D">
        <w:rPr>
          <w:sz w:val="28"/>
          <w:szCs w:val="28"/>
          <w:lang w:val="uk-UA"/>
        </w:rPr>
        <w:t>Vol. 59 (1). – P. 4</w:t>
      </w:r>
      <w:r w:rsidRPr="003A594D">
        <w:rPr>
          <w:spacing w:val="-5"/>
          <w:sz w:val="28"/>
          <w:szCs w:val="28"/>
          <w:lang w:val="uk-UA"/>
        </w:rPr>
        <w:t>–</w:t>
      </w:r>
      <w:r w:rsidRPr="003A594D">
        <w:rPr>
          <w:sz w:val="28"/>
          <w:szCs w:val="28"/>
          <w:lang w:val="uk-UA"/>
        </w:rPr>
        <w:t xml:space="preserve">24. </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t xml:space="preserve">Malondialdehyde modification of myelin oligodendrocyte glycoprotein leads to increased immunogenicity and encephalitogenicity / M. Wållberg, J. Bergquist, A. Achour </w:t>
      </w:r>
      <w:r w:rsidRPr="003A594D">
        <w:rPr>
          <w:sz w:val="28"/>
          <w:szCs w:val="28"/>
          <w:shd w:val="clear" w:color="auto" w:fill="FFFFFF"/>
          <w:lang w:val="uk-UA"/>
        </w:rPr>
        <w:t xml:space="preserve">[et al.]. // </w:t>
      </w:r>
      <w:r w:rsidRPr="003A594D">
        <w:rPr>
          <w:rStyle w:val="apple-style-span"/>
          <w:sz w:val="28"/>
          <w:szCs w:val="28"/>
          <w:lang w:val="uk-UA"/>
        </w:rPr>
        <w:t xml:space="preserve"> European Journal of Immunology. – 2007. – </w:t>
      </w:r>
      <w:r w:rsidRPr="003A594D">
        <w:rPr>
          <w:spacing w:val="2"/>
          <w:sz w:val="28"/>
          <w:szCs w:val="28"/>
          <w:lang w:val="uk-UA"/>
        </w:rPr>
        <w:t>V</w:t>
      </w:r>
      <w:r w:rsidRPr="003A594D">
        <w:rPr>
          <w:rStyle w:val="apple-style-span"/>
          <w:sz w:val="28"/>
          <w:szCs w:val="28"/>
          <w:lang w:val="uk-UA"/>
        </w:rPr>
        <w:t xml:space="preserve">ol. 37. – № 7. – Р. 1986–1995. </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Managing nonalcoholic fatty liver disease. Recommendations for family physicians / I. Grattagliano, P. Portincasa, O. Palmieriv, G. Palasciano  // Can. Fam. Physician. — 2007.— Vol. 53.— P. 857—863. </w:t>
      </w:r>
    </w:p>
    <w:p w:rsidR="00DC20D7" w:rsidRPr="003A594D" w:rsidRDefault="00DC20D7" w:rsidP="00DC20D7">
      <w:pPr>
        <w:pStyle w:val="aa"/>
        <w:numPr>
          <w:ilvl w:val="0"/>
          <w:numId w:val="10"/>
        </w:numPr>
        <w:spacing w:line="360" w:lineRule="auto"/>
        <w:jc w:val="both"/>
        <w:rPr>
          <w:spacing w:val="2"/>
          <w:sz w:val="28"/>
          <w:szCs w:val="28"/>
          <w:lang w:val="uk-UA"/>
        </w:rPr>
      </w:pPr>
      <w:r w:rsidRPr="003A594D">
        <w:rPr>
          <w:sz w:val="28"/>
          <w:szCs w:val="28"/>
          <w:lang w:val="uk-UA"/>
        </w:rPr>
        <w:t xml:space="preserve">Maron A.B. The Treatment of Hyperhomocysteinemia / A. B. Maron, J. </w:t>
      </w:r>
      <w:r w:rsidRPr="003A594D">
        <w:rPr>
          <w:spacing w:val="2"/>
          <w:sz w:val="28"/>
          <w:szCs w:val="28"/>
          <w:lang w:val="uk-UA"/>
        </w:rPr>
        <w:t xml:space="preserve">Loscalzo // Annu. Rev. Med. – 2009. – № 60. – P. 39–54. </w:t>
      </w:r>
    </w:p>
    <w:p w:rsidR="00DC20D7" w:rsidRPr="003A594D" w:rsidRDefault="00DC20D7" w:rsidP="00DC20D7">
      <w:pPr>
        <w:pStyle w:val="21"/>
        <w:numPr>
          <w:ilvl w:val="0"/>
          <w:numId w:val="10"/>
        </w:numPr>
        <w:spacing w:line="360" w:lineRule="auto"/>
        <w:jc w:val="both"/>
        <w:rPr>
          <w:spacing w:val="3"/>
          <w:sz w:val="28"/>
          <w:szCs w:val="28"/>
          <w:lang w:val="uk-UA"/>
        </w:rPr>
      </w:pPr>
      <w:r w:rsidRPr="003A594D">
        <w:rPr>
          <w:sz w:val="28"/>
          <w:szCs w:val="28"/>
          <w:lang w:val="uk-UA"/>
        </w:rPr>
        <w:t xml:space="preserve">McCully K. S. Chemical pathology of homocysteine. IV. Excitotoxicity, oxidative stress, endothelial dysfunction, and inflammation / K.S. McCully // Ann. </w:t>
      </w:r>
      <w:r w:rsidRPr="003A594D">
        <w:rPr>
          <w:spacing w:val="3"/>
          <w:sz w:val="28"/>
          <w:szCs w:val="28"/>
          <w:lang w:val="uk-UA"/>
        </w:rPr>
        <w:t xml:space="preserve">Clin. Lab. Sci. – 2009. – Vol. 39 (3). – P. 219–232.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McCully К. S. Homocystcine, vitamins, and vascular disease prevention / K. S. McCully // Am. J. Clio. Nutr. – 2007. – № 86. – P. 1563–1568.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Mel’nik A.V. Role of hydrogen sulfide and sulfur–containing amino acids in regulation of tone of smooth muscles of the vascular wall in rats / A.V. Mel’nik, N.I. Voloshchouk, N.O. Pentyuk, K.O. Zaichko // Neurophysiol. – 2010. – № 2. – P. 126–131.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Meta–analysis: natural history of non–alcoholic fatty liver disease (NAFLD) and diagnostic accuracy of noninvasive tests for liver disease severity/  Musso G, Gambino R, Cassader M, Pagano G. // Ann. Med. – 2011. – № 43. – P. 617–649. </w:t>
      </w:r>
    </w:p>
    <w:p w:rsidR="00DC20D7" w:rsidRPr="003A594D" w:rsidRDefault="00DC20D7" w:rsidP="00DC20D7">
      <w:pPr>
        <w:numPr>
          <w:ilvl w:val="0"/>
          <w:numId w:val="10"/>
        </w:numPr>
        <w:spacing w:line="360" w:lineRule="auto"/>
        <w:jc w:val="both"/>
        <w:rPr>
          <w:sz w:val="28"/>
          <w:szCs w:val="28"/>
          <w:lang w:val="uk-UA"/>
        </w:rPr>
      </w:pPr>
      <w:r w:rsidRPr="003A594D">
        <w:rPr>
          <w:rStyle w:val="af0"/>
          <w:bCs/>
          <w:sz w:val="28"/>
          <w:szCs w:val="28"/>
          <w:bdr w:val="none" w:sz="0" w:space="0" w:color="auto" w:frame="1"/>
          <w:lang w:val="uk-UA"/>
        </w:rPr>
        <w:lastRenderedPageBreak/>
        <w:t xml:space="preserve">Methylenetetrahydrofolate Reductase C677T mutation and nonalcoholic fatty liver disease. / </w:t>
      </w:r>
      <w:r w:rsidRPr="003A594D">
        <w:rPr>
          <w:sz w:val="28"/>
          <w:szCs w:val="28"/>
          <w:lang w:val="uk-UA"/>
        </w:rPr>
        <w:t xml:space="preserve">Е. Serin, М. Güçlü, F.B.Ataç [et al.]. </w:t>
      </w:r>
      <w:r w:rsidRPr="003A594D">
        <w:rPr>
          <w:rStyle w:val="af0"/>
          <w:bCs/>
          <w:sz w:val="28"/>
          <w:szCs w:val="28"/>
          <w:bdr w:val="none" w:sz="0" w:space="0" w:color="auto" w:frame="1"/>
          <w:shd w:val="clear" w:color="auto" w:fill="FFFFFF"/>
          <w:lang w:val="uk-UA"/>
        </w:rPr>
        <w:t xml:space="preserve">// </w:t>
      </w:r>
      <w:r w:rsidRPr="003A594D">
        <w:rPr>
          <w:rStyle w:val="af1"/>
          <w:iCs/>
          <w:sz w:val="28"/>
          <w:szCs w:val="28"/>
          <w:bdr w:val="none" w:sz="0" w:space="0" w:color="auto" w:frame="1"/>
          <w:lang w:val="uk-UA"/>
        </w:rPr>
        <w:t xml:space="preserve">Dig Dis Sci. – </w:t>
      </w:r>
      <w:r w:rsidRPr="003A594D">
        <w:rPr>
          <w:sz w:val="28"/>
          <w:szCs w:val="28"/>
          <w:lang w:val="uk-UA"/>
        </w:rPr>
        <w:t>2007. – Vol.</w:t>
      </w:r>
      <w:r w:rsidRPr="003A594D">
        <w:rPr>
          <w:rStyle w:val="apple-converted-space"/>
          <w:sz w:val="28"/>
          <w:szCs w:val="28"/>
          <w:lang w:val="uk-UA"/>
        </w:rPr>
        <w:t> </w:t>
      </w:r>
      <w:r w:rsidRPr="003A594D">
        <w:rPr>
          <w:rStyle w:val="af0"/>
          <w:bCs/>
          <w:sz w:val="28"/>
          <w:szCs w:val="28"/>
          <w:bdr w:val="none" w:sz="0" w:space="0" w:color="auto" w:frame="1"/>
          <w:lang w:val="uk-UA"/>
        </w:rPr>
        <w:t xml:space="preserve">52 </w:t>
      </w:r>
      <w:r w:rsidRPr="003A594D">
        <w:rPr>
          <w:sz w:val="28"/>
          <w:szCs w:val="28"/>
          <w:lang w:val="uk-UA"/>
        </w:rPr>
        <w:t>(5). – Р.1183–1186.</w:t>
      </w:r>
    </w:p>
    <w:p w:rsidR="00DC20D7" w:rsidRPr="003A594D" w:rsidRDefault="00DC20D7" w:rsidP="00DC20D7">
      <w:pPr>
        <w:pStyle w:val="aa"/>
        <w:numPr>
          <w:ilvl w:val="0"/>
          <w:numId w:val="10"/>
        </w:numPr>
        <w:spacing w:line="360" w:lineRule="auto"/>
        <w:jc w:val="both"/>
        <w:rPr>
          <w:spacing w:val="2"/>
          <w:sz w:val="28"/>
          <w:szCs w:val="28"/>
          <w:lang w:val="uk-UA"/>
        </w:rPr>
      </w:pPr>
      <w:r w:rsidRPr="003A594D">
        <w:rPr>
          <w:spacing w:val="3"/>
          <w:sz w:val="28"/>
          <w:szCs w:val="28"/>
          <w:lang w:val="uk-UA"/>
        </w:rPr>
        <w:t xml:space="preserve">Methylenetetrahydrofolatereductase C677T polymorphism and liver </w:t>
      </w:r>
      <w:r w:rsidRPr="003A594D">
        <w:rPr>
          <w:sz w:val="28"/>
          <w:szCs w:val="28"/>
          <w:lang w:val="uk-UA"/>
        </w:rPr>
        <w:t xml:space="preserve">fibrosis progression in patients with recurrent hepatitis С / P. Toniutto, C. Fabris, E. </w:t>
      </w:r>
      <w:r w:rsidRPr="003A594D">
        <w:rPr>
          <w:spacing w:val="2"/>
          <w:sz w:val="28"/>
          <w:szCs w:val="28"/>
          <w:lang w:val="uk-UA"/>
        </w:rPr>
        <w:t xml:space="preserve">Failed [et al.]. // Liver Int. – 2008. – Vol 28 (2). – P. 257–263. </w:t>
      </w:r>
    </w:p>
    <w:p w:rsidR="00DC20D7" w:rsidRPr="003A594D" w:rsidRDefault="00DC20D7" w:rsidP="00DC20D7">
      <w:pPr>
        <w:pStyle w:val="21"/>
        <w:numPr>
          <w:ilvl w:val="0"/>
          <w:numId w:val="10"/>
        </w:numPr>
        <w:spacing w:line="360" w:lineRule="auto"/>
        <w:jc w:val="both"/>
        <w:rPr>
          <w:spacing w:val="8"/>
          <w:sz w:val="28"/>
          <w:szCs w:val="28"/>
          <w:lang w:val="uk-UA"/>
        </w:rPr>
      </w:pPr>
      <w:r w:rsidRPr="003A594D">
        <w:rPr>
          <w:sz w:val="28"/>
          <w:szCs w:val="28"/>
          <w:lang w:val="uk-UA"/>
        </w:rPr>
        <w:t xml:space="preserve">Mitochondrial free cholesterol loading sensitizes to TNF– and Fas–mediated steatohepatitis. / M. Mari, F. Caballero, A. Colell [et al.]. // Cell. Metab. –   </w:t>
      </w:r>
      <w:r w:rsidRPr="003A594D">
        <w:rPr>
          <w:spacing w:val="8"/>
          <w:sz w:val="28"/>
          <w:szCs w:val="28"/>
          <w:lang w:val="uk-UA"/>
        </w:rPr>
        <w:t>2006. – Vol. 4. – P. 185–198.</w:t>
      </w:r>
    </w:p>
    <w:p w:rsidR="00DC20D7" w:rsidRPr="003A594D" w:rsidRDefault="00DC20D7" w:rsidP="00DC20D7">
      <w:pPr>
        <w:pStyle w:val="21"/>
        <w:numPr>
          <w:ilvl w:val="0"/>
          <w:numId w:val="10"/>
        </w:numPr>
        <w:spacing w:line="360" w:lineRule="auto"/>
        <w:jc w:val="both"/>
        <w:rPr>
          <w:rStyle w:val="apple-style-span"/>
          <w:lang w:val="uk-UA"/>
        </w:rPr>
      </w:pPr>
      <w:r w:rsidRPr="003A594D">
        <w:rPr>
          <w:rStyle w:val="apple-style-span"/>
          <w:sz w:val="28"/>
          <w:szCs w:val="28"/>
          <w:lang w:val="uk-UA"/>
        </w:rPr>
        <w:t xml:space="preserve">Molecular enzymology of lipoxygenases / I. Ivanov, D. Heydeck, K. Hofheinz </w:t>
      </w:r>
      <w:r w:rsidRPr="003A594D">
        <w:rPr>
          <w:sz w:val="28"/>
          <w:szCs w:val="28"/>
          <w:shd w:val="clear" w:color="auto" w:fill="FFFFFF"/>
          <w:lang w:val="uk-UA"/>
        </w:rPr>
        <w:t xml:space="preserve">[et al.]. // </w:t>
      </w:r>
      <w:r w:rsidRPr="003A594D">
        <w:rPr>
          <w:rStyle w:val="apple-style-span"/>
          <w:sz w:val="28"/>
          <w:szCs w:val="28"/>
          <w:lang w:val="uk-UA"/>
        </w:rPr>
        <w:t xml:space="preserve"> Archives of Biochemistry and Biophysics. – 2010. – </w:t>
      </w:r>
      <w:r w:rsidRPr="003A594D">
        <w:rPr>
          <w:spacing w:val="2"/>
          <w:sz w:val="28"/>
          <w:szCs w:val="28"/>
          <w:lang w:val="uk-UA"/>
        </w:rPr>
        <w:t>V</w:t>
      </w:r>
      <w:r w:rsidRPr="003A594D">
        <w:rPr>
          <w:rStyle w:val="apple-style-span"/>
          <w:sz w:val="28"/>
          <w:szCs w:val="28"/>
          <w:lang w:val="uk-UA"/>
        </w:rPr>
        <w:t xml:space="preserve">ol. 503. – № 2. – Р. 161–174. </w:t>
      </w:r>
    </w:p>
    <w:p w:rsidR="00DC20D7" w:rsidRPr="003A594D" w:rsidRDefault="00DC20D7" w:rsidP="00DC20D7">
      <w:pPr>
        <w:numPr>
          <w:ilvl w:val="0"/>
          <w:numId w:val="10"/>
        </w:numPr>
        <w:spacing w:line="360" w:lineRule="auto"/>
        <w:jc w:val="both"/>
        <w:rPr>
          <w:rStyle w:val="refpages"/>
          <w:lang w:val="uk-UA"/>
        </w:rPr>
      </w:pPr>
      <w:r w:rsidRPr="003A594D">
        <w:rPr>
          <w:rStyle w:val="refpages"/>
          <w:sz w:val="28"/>
          <w:szCs w:val="28"/>
          <w:lang w:val="uk-UA"/>
        </w:rPr>
        <w:t>Molecular interactions between NAFLD and xenobiotic metabolism / A. Naik, A. Belic, U.M. Zander, D. Rozman // Frontiers s genetics. – 2013. – Vol. 4 (2). – P. 75–88.</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Morino K. Molecular mechanisms of insulin resistance in humans and their potential links with mitochondrial dysfunction / K. Morino, K.F. Petersen, G.I. Shulman // Diabetes. — 2006. — Vol. 55 (suppl. 2). — P. S9—S15.</w:t>
      </w:r>
    </w:p>
    <w:p w:rsidR="00DC20D7" w:rsidRPr="003A594D" w:rsidRDefault="00DC20D7" w:rsidP="00DC20D7">
      <w:pPr>
        <w:pStyle w:val="21"/>
        <w:numPr>
          <w:ilvl w:val="0"/>
          <w:numId w:val="10"/>
        </w:numPr>
        <w:spacing w:line="360" w:lineRule="auto"/>
        <w:jc w:val="both"/>
        <w:rPr>
          <w:sz w:val="28"/>
          <w:szCs w:val="28"/>
          <w:lang w:val="uk-UA"/>
        </w:rPr>
      </w:pPr>
      <w:r w:rsidRPr="003A594D">
        <w:rPr>
          <w:spacing w:val="-2"/>
          <w:sz w:val="28"/>
          <w:szCs w:val="28"/>
          <w:lang w:val="uk-UA"/>
        </w:rPr>
        <w:t>Mouzaki</w:t>
      </w:r>
      <w:r w:rsidRPr="003A594D">
        <w:rPr>
          <w:sz w:val="28"/>
          <w:szCs w:val="28"/>
          <w:lang w:val="uk-UA"/>
        </w:rPr>
        <w:t xml:space="preserve"> M. Non–alcoholic steatohepatitis: the therapeutic challenge of a global epidemic / M. </w:t>
      </w:r>
      <w:r w:rsidRPr="003A594D">
        <w:rPr>
          <w:spacing w:val="-2"/>
          <w:sz w:val="28"/>
          <w:szCs w:val="28"/>
          <w:lang w:val="uk-UA"/>
        </w:rPr>
        <w:t>Mouzaki</w:t>
      </w:r>
      <w:r w:rsidRPr="003A594D">
        <w:rPr>
          <w:sz w:val="28"/>
          <w:szCs w:val="28"/>
          <w:lang w:val="uk-UA"/>
        </w:rPr>
        <w:t xml:space="preserve">, J. </w:t>
      </w:r>
      <w:r w:rsidRPr="003A594D">
        <w:rPr>
          <w:spacing w:val="-2"/>
          <w:sz w:val="28"/>
          <w:szCs w:val="28"/>
          <w:lang w:val="uk-UA"/>
        </w:rPr>
        <w:t>Allard</w:t>
      </w:r>
      <w:r w:rsidRPr="003A594D">
        <w:rPr>
          <w:sz w:val="28"/>
          <w:szCs w:val="28"/>
          <w:lang w:val="uk-UA"/>
        </w:rPr>
        <w:t xml:space="preserve"> // Annals of gastroenterology. – 2012. – № 3. – Vol. 25. – P. 207–217. </w:t>
      </w:r>
    </w:p>
    <w:p w:rsidR="00DC20D7" w:rsidRPr="003A594D" w:rsidRDefault="00DC20D7" w:rsidP="00DC20D7">
      <w:pPr>
        <w:numPr>
          <w:ilvl w:val="0"/>
          <w:numId w:val="10"/>
        </w:numPr>
        <w:spacing w:line="360" w:lineRule="auto"/>
        <w:jc w:val="both"/>
        <w:rPr>
          <w:rStyle w:val="refpages"/>
          <w:lang w:val="uk-UA"/>
        </w:rPr>
      </w:pPr>
      <w:r w:rsidRPr="003A594D">
        <w:rPr>
          <w:rStyle w:val="refpages"/>
          <w:sz w:val="28"/>
          <w:szCs w:val="28"/>
          <w:lang w:val="uk-UA"/>
        </w:rPr>
        <w:t>Napal L. An intronic peroxisome proliferator–activated receptor–binding sequence mediates fatty acid induction of the human carnitine palmitoyltransferase 1A. / L. Napal, P.F. Marrero, D.J. Haro // Mol Biol. – 2005. – Vol. 354 (4). – P. 751–759.</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Nateglinide improves nonalcoholic steatohepatitis with type 2 diabetes / Morita Y., Ueno T., Sasaki N. [et al.].  // J. Hepatol. — 2006. — Vol. 44, Suppl. 2. — Р. 699. </w:t>
      </w:r>
    </w:p>
    <w:p w:rsidR="00DC20D7" w:rsidRPr="003A594D" w:rsidRDefault="00DC20D7" w:rsidP="00DC20D7">
      <w:pPr>
        <w:pStyle w:val="21"/>
        <w:numPr>
          <w:ilvl w:val="0"/>
          <w:numId w:val="10"/>
        </w:numPr>
        <w:spacing w:line="360" w:lineRule="auto"/>
        <w:jc w:val="both"/>
        <w:rPr>
          <w:spacing w:val="1"/>
          <w:sz w:val="28"/>
          <w:szCs w:val="28"/>
          <w:lang w:val="uk-UA"/>
        </w:rPr>
      </w:pPr>
      <w:r w:rsidRPr="003A594D">
        <w:rPr>
          <w:sz w:val="28"/>
          <w:szCs w:val="28"/>
          <w:lang w:val="uk-UA"/>
        </w:rPr>
        <w:lastRenderedPageBreak/>
        <w:t xml:space="preserve">Negro F. Hepatitis С virus, steatosis and lipid abnormalities: clinical and pathogenic data / F. Negro, A. J. Sanyal // Liver Int. – 2009. – Vol. 29, Suppl  2. – P. </w:t>
      </w:r>
      <w:r w:rsidRPr="003A594D">
        <w:rPr>
          <w:spacing w:val="1"/>
          <w:sz w:val="28"/>
          <w:szCs w:val="28"/>
          <w:lang w:val="uk-UA"/>
        </w:rPr>
        <w:t xml:space="preserve">26–37. </w:t>
      </w:r>
    </w:p>
    <w:p w:rsidR="00DC20D7" w:rsidRPr="003A594D" w:rsidRDefault="00DC20D7" w:rsidP="00DC20D7">
      <w:pPr>
        <w:numPr>
          <w:ilvl w:val="0"/>
          <w:numId w:val="10"/>
        </w:numPr>
        <w:spacing w:line="360" w:lineRule="auto"/>
        <w:jc w:val="both"/>
        <w:rPr>
          <w:sz w:val="28"/>
          <w:szCs w:val="28"/>
          <w:lang w:val="uk-UA"/>
        </w:rPr>
      </w:pPr>
      <w:r w:rsidRPr="003A594D">
        <w:rPr>
          <w:rStyle w:val="autoren"/>
          <w:sz w:val="28"/>
          <w:szCs w:val="28"/>
          <w:shd w:val="clear" w:color="auto" w:fill="FFFFFF"/>
          <w:lang w:val="uk-UA"/>
        </w:rPr>
        <w:t>Newton J.L.</w:t>
      </w:r>
      <w:r w:rsidRPr="003A594D">
        <w:rPr>
          <w:rStyle w:val="apple-converted-space"/>
          <w:sz w:val="28"/>
          <w:szCs w:val="28"/>
          <w:shd w:val="clear" w:color="auto" w:fill="FFFFFF"/>
          <w:lang w:val="uk-UA"/>
        </w:rPr>
        <w:t> </w:t>
      </w:r>
      <w:hyperlink r:id="rId42" w:history="1">
        <w:r w:rsidRPr="003A594D">
          <w:rPr>
            <w:sz w:val="28"/>
            <w:lang w:val="uk-UA"/>
          </w:rPr>
          <w:t>Systemic Symptoms in Non–Alcoholic Fatty Liver Disease</w:t>
        </w:r>
      </w:hyperlink>
      <w:r w:rsidRPr="003A594D">
        <w:rPr>
          <w:sz w:val="28"/>
          <w:lang w:val="uk-UA"/>
        </w:rPr>
        <w:t>.</w:t>
      </w:r>
      <w:r w:rsidRPr="003A594D">
        <w:rPr>
          <w:lang w:val="uk-UA"/>
        </w:rPr>
        <w:t xml:space="preserve">  //</w:t>
      </w:r>
      <w:r w:rsidRPr="003A594D">
        <w:rPr>
          <w:sz w:val="28"/>
          <w:szCs w:val="28"/>
          <w:shd w:val="clear" w:color="auto" w:fill="FFFFFF"/>
          <w:lang w:val="uk-UA"/>
        </w:rPr>
        <w:t xml:space="preserve"> Dig Dis. – 2010. – Vol. 28 </w:t>
      </w:r>
      <w:r w:rsidRPr="003A594D">
        <w:rPr>
          <w:sz w:val="28"/>
          <w:szCs w:val="28"/>
          <w:lang w:val="uk-UA"/>
        </w:rPr>
        <w:t>(1)</w:t>
      </w:r>
      <w:r w:rsidRPr="003A594D">
        <w:rPr>
          <w:sz w:val="28"/>
          <w:szCs w:val="28"/>
          <w:shd w:val="clear" w:color="auto" w:fill="FFFFFF"/>
          <w:lang w:val="uk-UA"/>
        </w:rPr>
        <w:t>. – P.214–219.</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Non–Alcoholic Fatty Liver Disease: A Practical Guide. / G.C. Farrell, A.J. McCullough, C.P. Day </w:t>
      </w:r>
      <w:r w:rsidRPr="003A594D">
        <w:rPr>
          <w:rStyle w:val="refauthors"/>
          <w:sz w:val="28"/>
          <w:szCs w:val="28"/>
          <w:shd w:val="clear" w:color="auto" w:fill="FFFFFF"/>
          <w:lang w:val="uk-UA"/>
        </w:rPr>
        <w:t xml:space="preserve">[et al.]. </w:t>
      </w:r>
      <w:r w:rsidRPr="003A594D">
        <w:rPr>
          <w:sz w:val="28"/>
          <w:szCs w:val="28"/>
          <w:lang w:val="uk-UA"/>
        </w:rPr>
        <w:t>// 2013, Wiley–Blackwell – 324p.</w:t>
      </w:r>
    </w:p>
    <w:p w:rsidR="00DC20D7" w:rsidRPr="003A594D" w:rsidRDefault="00DC20D7" w:rsidP="00DC20D7">
      <w:pPr>
        <w:pStyle w:val="21"/>
        <w:numPr>
          <w:ilvl w:val="0"/>
          <w:numId w:val="10"/>
        </w:numPr>
        <w:spacing w:line="360" w:lineRule="auto"/>
        <w:jc w:val="both"/>
        <w:rPr>
          <w:spacing w:val="-5"/>
          <w:sz w:val="28"/>
          <w:szCs w:val="28"/>
          <w:lang w:val="uk-UA"/>
        </w:rPr>
      </w:pPr>
      <w:r w:rsidRPr="003A594D">
        <w:rPr>
          <w:spacing w:val="2"/>
          <w:sz w:val="28"/>
          <w:szCs w:val="28"/>
          <w:lang w:val="uk-UA"/>
        </w:rPr>
        <w:t xml:space="preserve">Nonalcoholic fatty liver disease: an overview of current insights in </w:t>
      </w:r>
      <w:r w:rsidRPr="003A594D">
        <w:rPr>
          <w:sz w:val="28"/>
          <w:szCs w:val="28"/>
          <w:lang w:val="uk-UA"/>
        </w:rPr>
        <w:t>pathogenesis, diagnosis and treatment / Schreuder T. C, Verwer B. J., van Nieuwkerk С. М. [et al.]. // World J. Gastroenterol. – 2008. – Vol. 14 (16). – P. 2474–</w:t>
      </w:r>
      <w:r w:rsidRPr="003A594D">
        <w:rPr>
          <w:spacing w:val="-5"/>
          <w:sz w:val="28"/>
          <w:szCs w:val="28"/>
          <w:lang w:val="uk-UA"/>
        </w:rPr>
        <w:t>286.</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Non–alcoholic fatty liver disease from pathogenesis to management: an update / G. Musso, R. Gambino, M. Cassader // Obesity Reviews. – 2010. – № 11 (6). – Р. 430–445.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Non–alcoholic fatty liver disease in older people.</w:t>
      </w:r>
      <w:r w:rsidRPr="003A594D">
        <w:rPr>
          <w:rStyle w:val="refseriestitle"/>
          <w:iCs/>
          <w:sz w:val="28"/>
          <w:szCs w:val="28"/>
          <w:shd w:val="clear" w:color="auto" w:fill="FFFFFF"/>
          <w:lang w:val="uk-UA"/>
        </w:rPr>
        <w:t xml:space="preserve"> / J. </w:t>
      </w:r>
      <w:r w:rsidRPr="003A594D">
        <w:rPr>
          <w:rStyle w:val="refauthors"/>
          <w:sz w:val="28"/>
          <w:szCs w:val="28"/>
          <w:shd w:val="clear" w:color="auto" w:fill="FFFFFF"/>
          <w:lang w:val="uk-UA"/>
        </w:rPr>
        <w:t>Frith, C.P. Day, E. Henderson</w:t>
      </w:r>
      <w:r w:rsidRPr="003A594D">
        <w:rPr>
          <w:rStyle w:val="refseriestitle"/>
          <w:iCs/>
          <w:sz w:val="28"/>
          <w:szCs w:val="28"/>
          <w:shd w:val="clear" w:color="auto" w:fill="FFFFFF"/>
          <w:lang w:val="uk-UA"/>
        </w:rPr>
        <w:t xml:space="preserve"> </w:t>
      </w:r>
      <w:r w:rsidRPr="003A594D">
        <w:rPr>
          <w:rStyle w:val="refauthors"/>
          <w:sz w:val="28"/>
          <w:szCs w:val="28"/>
          <w:shd w:val="clear" w:color="auto" w:fill="FFFFFF"/>
          <w:lang w:val="uk-UA"/>
        </w:rPr>
        <w:t>[et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Gerontology</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refseriesdate"/>
          <w:sz w:val="28"/>
          <w:szCs w:val="28"/>
          <w:shd w:val="clear" w:color="auto" w:fill="FFFFFF"/>
          <w:lang w:val="uk-UA"/>
        </w:rPr>
        <w:t xml:space="preserve">2009. – Vol. </w:t>
      </w:r>
      <w:r w:rsidRPr="003A594D">
        <w:rPr>
          <w:rStyle w:val="refseriesvolume"/>
          <w:sz w:val="28"/>
          <w:szCs w:val="28"/>
          <w:shd w:val="clear" w:color="auto" w:fill="FFFFFF"/>
          <w:lang w:val="uk-UA"/>
        </w:rPr>
        <w:t>55 (6)</w:t>
      </w:r>
      <w:r w:rsidRPr="003A594D">
        <w:rPr>
          <w:sz w:val="28"/>
          <w:szCs w:val="28"/>
          <w:shd w:val="clear" w:color="auto" w:fill="FFFFFF"/>
          <w:lang w:val="uk-UA"/>
        </w:rPr>
        <w:t xml:space="preserve">. – P. </w:t>
      </w:r>
      <w:r w:rsidRPr="003A594D">
        <w:rPr>
          <w:rStyle w:val="refpages"/>
          <w:sz w:val="28"/>
          <w:szCs w:val="28"/>
          <w:shd w:val="clear" w:color="auto" w:fill="FFFFFF"/>
          <w:lang w:val="uk-UA"/>
        </w:rPr>
        <w:t>607–613.</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Non–alcoholic fatty liver disease – new view / </w:t>
      </w:r>
      <w:hyperlink r:id="rId43" w:history="1">
        <w:r w:rsidRPr="003A594D">
          <w:rPr>
            <w:sz w:val="28"/>
            <w:lang w:val="uk-UA"/>
          </w:rPr>
          <w:t>Raszeja–Wyszomirska J</w:t>
        </w:r>
      </w:hyperlink>
      <w:r w:rsidRPr="003A594D">
        <w:rPr>
          <w:sz w:val="28"/>
          <w:lang w:val="uk-UA"/>
        </w:rPr>
        <w:t>., </w:t>
      </w:r>
      <w:hyperlink r:id="rId44" w:history="1">
        <w:r w:rsidRPr="003A594D">
          <w:rPr>
            <w:sz w:val="28"/>
            <w:lang w:val="uk-UA"/>
          </w:rPr>
          <w:t>Lawniczak M</w:t>
        </w:r>
      </w:hyperlink>
      <w:r w:rsidRPr="003A594D">
        <w:rPr>
          <w:sz w:val="28"/>
          <w:lang w:val="uk-UA"/>
        </w:rPr>
        <w:t>., </w:t>
      </w:r>
      <w:hyperlink r:id="rId45" w:history="1">
        <w:r w:rsidRPr="003A594D">
          <w:rPr>
            <w:sz w:val="28"/>
            <w:lang w:val="uk-UA"/>
          </w:rPr>
          <w:t>Marlicz W</w:t>
        </w:r>
      </w:hyperlink>
      <w:r w:rsidRPr="003A594D">
        <w:rPr>
          <w:sz w:val="28"/>
          <w:lang w:val="uk-UA"/>
        </w:rPr>
        <w:t xml:space="preserve">. [et al.]. // </w:t>
      </w:r>
      <w:hyperlink r:id="rId46" w:tooltip="Polski merkuriusz lekarski : organ Polskiego Towarzystwa Lekarskiego." w:history="1">
        <w:r w:rsidRPr="003A594D">
          <w:rPr>
            <w:sz w:val="28"/>
            <w:lang w:val="uk-UA"/>
          </w:rPr>
          <w:t>Pol Merkur Lekarski.</w:t>
        </w:r>
      </w:hyperlink>
      <w:r w:rsidRPr="003A594D">
        <w:rPr>
          <w:rStyle w:val="apple-converted-space"/>
          <w:sz w:val="28"/>
          <w:szCs w:val="28"/>
          <w:lang w:val="uk-UA"/>
        </w:rPr>
        <w:t xml:space="preserve"> – </w:t>
      </w:r>
      <w:r w:rsidRPr="003A594D">
        <w:rPr>
          <w:sz w:val="28"/>
          <w:szCs w:val="28"/>
          <w:lang w:val="uk-UA"/>
        </w:rPr>
        <w:t xml:space="preserve">2008. – Vol. 24 (144). – P. 568–571.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Nonalcoholic fatty liver disease: pathology and pathogenesis / D.G. Tiniakos, M.B. Vos, E.M. Brunt. // Annu Rev Pathol. – 2010. – Vol. 5. – Р.145–171.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Nonalcoholic fatty liver disease: the pathogenetic roles of insulin resistance and adipocytokines / S.A. Polyzos, J. Kountouras, C. Zavos. Curr // Mol Med. – 2009. – Vol. 9 (3). – Р. 299–314.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Non–alcoholic hepatic steatosis and its relation to increased plasma biomarkers of inflammation and endothelial dysfunction in non–diabetic men. Role of visceral adipose tissue / G. Targher, L. Bertolini, L. Scala, </w:t>
      </w:r>
      <w:r w:rsidRPr="003A594D">
        <w:rPr>
          <w:spacing w:val="-1"/>
          <w:sz w:val="28"/>
          <w:szCs w:val="28"/>
          <w:lang w:val="uk-UA"/>
        </w:rPr>
        <w:t xml:space="preserve">[et al.]. </w:t>
      </w:r>
      <w:r w:rsidRPr="003A594D">
        <w:rPr>
          <w:sz w:val="28"/>
          <w:szCs w:val="28"/>
          <w:lang w:val="uk-UA"/>
        </w:rPr>
        <w:t xml:space="preserve"> // Diabet Med. – 2005. – № 22 (10). – Р. 1354–1358.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Non–invasive assessment of liver fibrosis by stiffness measurement: a prospective multicentre study in patients with chronic hepatitis С / M. Ziol, A. </w:t>
      </w:r>
      <w:r w:rsidRPr="003A594D">
        <w:rPr>
          <w:sz w:val="28"/>
          <w:szCs w:val="28"/>
          <w:lang w:val="uk-UA"/>
        </w:rPr>
        <w:lastRenderedPageBreak/>
        <w:t xml:space="preserve">Handra–Luca, A.Kettaneh [et al.].  // Hepatology. — 2005. — Vol. 41, № 1. — P. 48–54.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Novo Е. Redox mechanisms in hepatic chronic wound healing and fibrogenesis / E. Novo, M. Parola // Fibrogenesis &amp; Tissue Repair. — 2008. — № 1 (5). — P. 1755—1769. </w:t>
      </w:r>
    </w:p>
    <w:p w:rsidR="00DC20D7" w:rsidRPr="003A594D" w:rsidRDefault="00DC20D7" w:rsidP="00DC20D7">
      <w:pPr>
        <w:numPr>
          <w:ilvl w:val="0"/>
          <w:numId w:val="10"/>
        </w:numPr>
        <w:spacing w:line="360" w:lineRule="auto"/>
        <w:jc w:val="both"/>
        <w:rPr>
          <w:sz w:val="28"/>
          <w:szCs w:val="28"/>
          <w:lang w:val="uk-UA"/>
        </w:rPr>
      </w:pPr>
      <w:r w:rsidRPr="003A594D">
        <w:rPr>
          <w:sz w:val="28"/>
          <w:szCs w:val="28"/>
          <w:shd w:val="clear" w:color="auto" w:fill="FFFFFF"/>
          <w:lang w:val="uk-UA"/>
        </w:rPr>
        <w:t>Ong J.P. Increased overall mortality and liver–related mortality in non–alcoholic fatty liver disease.</w:t>
      </w:r>
      <w:r w:rsidRPr="003A594D">
        <w:rPr>
          <w:rStyle w:val="apple-converted-space"/>
          <w:sz w:val="28"/>
          <w:szCs w:val="28"/>
          <w:shd w:val="clear" w:color="auto" w:fill="FFFFFF"/>
          <w:lang w:val="uk-UA"/>
        </w:rPr>
        <w:t xml:space="preserve"> /</w:t>
      </w:r>
      <w:r w:rsidRPr="003A594D">
        <w:rPr>
          <w:sz w:val="28"/>
          <w:szCs w:val="28"/>
          <w:shd w:val="clear" w:color="auto" w:fill="FFFFFF"/>
          <w:lang w:val="uk-UA"/>
        </w:rPr>
        <w:t xml:space="preserve"> J.P.</w:t>
      </w:r>
      <w:r w:rsidRPr="003A594D">
        <w:rPr>
          <w:rStyle w:val="apple-converted-space"/>
          <w:sz w:val="28"/>
          <w:szCs w:val="28"/>
          <w:shd w:val="clear" w:color="auto" w:fill="FFFFFF"/>
          <w:lang w:val="uk-UA"/>
        </w:rPr>
        <w:t xml:space="preserve"> </w:t>
      </w:r>
      <w:r w:rsidRPr="003A594D">
        <w:rPr>
          <w:sz w:val="28"/>
          <w:szCs w:val="28"/>
          <w:shd w:val="clear" w:color="auto" w:fill="FFFFFF"/>
          <w:lang w:val="uk-UA"/>
        </w:rPr>
        <w:t>Ong, A. Pitts, Z.M. Younossi</w:t>
      </w:r>
      <w:r w:rsidRPr="003A594D">
        <w:rPr>
          <w:rStyle w:val="apple-converted-space"/>
          <w:sz w:val="28"/>
          <w:szCs w:val="28"/>
          <w:shd w:val="clear" w:color="auto" w:fill="FFFFFF"/>
          <w:lang w:val="uk-UA"/>
        </w:rPr>
        <w:t xml:space="preserve"> // </w:t>
      </w:r>
      <w:r w:rsidRPr="003A594D">
        <w:rPr>
          <w:rStyle w:val="ref-journal"/>
          <w:sz w:val="28"/>
          <w:szCs w:val="28"/>
          <w:shd w:val="clear" w:color="auto" w:fill="FFFFFF"/>
          <w:lang w:val="uk-UA"/>
        </w:rPr>
        <w:t>J Hepatol.</w:t>
      </w:r>
      <w:r w:rsidRPr="003A594D">
        <w:rPr>
          <w:rStyle w:val="apple-converted-space"/>
          <w:sz w:val="28"/>
          <w:szCs w:val="28"/>
          <w:shd w:val="clear" w:color="auto" w:fill="FFFFFF"/>
          <w:lang w:val="uk-UA"/>
        </w:rPr>
        <w:t xml:space="preserve"> – </w:t>
      </w:r>
      <w:r w:rsidRPr="003A594D">
        <w:rPr>
          <w:sz w:val="28"/>
          <w:szCs w:val="28"/>
          <w:shd w:val="clear" w:color="auto" w:fill="FFFFFF"/>
          <w:lang w:val="uk-UA"/>
        </w:rPr>
        <w:t>2008. – Vol.</w:t>
      </w:r>
      <w:r w:rsidRPr="003A594D">
        <w:rPr>
          <w:rStyle w:val="ref-vol"/>
          <w:sz w:val="28"/>
          <w:szCs w:val="28"/>
          <w:shd w:val="clear" w:color="auto" w:fill="FFFFFF"/>
          <w:lang w:val="uk-UA"/>
        </w:rPr>
        <w:t>49</w:t>
      </w:r>
      <w:r w:rsidRPr="003A594D">
        <w:rPr>
          <w:sz w:val="28"/>
          <w:szCs w:val="28"/>
          <w:shd w:val="clear" w:color="auto" w:fill="FFFFFF"/>
          <w:lang w:val="uk-UA"/>
        </w:rPr>
        <w:t xml:space="preserve"> (4). – P.608–612.</w:t>
      </w:r>
    </w:p>
    <w:p w:rsidR="00DC20D7" w:rsidRPr="003A594D" w:rsidRDefault="00DC20D7" w:rsidP="00DC20D7">
      <w:pPr>
        <w:pStyle w:val="21"/>
        <w:numPr>
          <w:ilvl w:val="0"/>
          <w:numId w:val="10"/>
        </w:numPr>
        <w:spacing w:line="360" w:lineRule="auto"/>
        <w:jc w:val="both"/>
        <w:rPr>
          <w:bCs/>
          <w:kern w:val="36"/>
          <w:sz w:val="28"/>
          <w:szCs w:val="28"/>
          <w:bdr w:val="none" w:sz="0" w:space="0" w:color="auto" w:frame="1"/>
          <w:lang w:val="uk-UA"/>
        </w:rPr>
      </w:pPr>
      <w:r w:rsidRPr="003A594D">
        <w:rPr>
          <w:rStyle w:val="maintitle"/>
          <w:bCs/>
          <w:kern w:val="36"/>
          <w:sz w:val="28"/>
          <w:szCs w:val="28"/>
          <w:bdr w:val="none" w:sz="0" w:space="0" w:color="auto" w:frame="1"/>
          <w:lang w:val="uk-UA"/>
        </w:rPr>
        <w:t>Open–label pilot study of folic acid in patients with nonalcoholic steatohepatitis / P. Charatcharoenwitthaya, C. Levy, P. Angulo, J. Keach [et al.]. // Liver International. – 2007. – Vol. 27. – № 2. – P. 220–226.</w:t>
      </w:r>
    </w:p>
    <w:p w:rsidR="00DC20D7" w:rsidRPr="003A594D" w:rsidRDefault="00DC20D7" w:rsidP="00DC20D7">
      <w:pPr>
        <w:numPr>
          <w:ilvl w:val="0"/>
          <w:numId w:val="10"/>
        </w:numPr>
        <w:spacing w:line="360" w:lineRule="auto"/>
        <w:jc w:val="both"/>
        <w:rPr>
          <w:sz w:val="28"/>
          <w:szCs w:val="28"/>
          <w:lang w:val="uk-UA"/>
        </w:rPr>
      </w:pPr>
      <w:r w:rsidRPr="003A594D">
        <w:rPr>
          <w:sz w:val="28"/>
          <w:szCs w:val="28"/>
          <w:shd w:val="clear" w:color="auto" w:fill="FFFFFF"/>
          <w:lang w:val="uk-UA"/>
        </w:rPr>
        <w:t>Oral acetyl–L–carnitine therapy reduces fatigue in overt hepatic encephalopathy: a randomized, double–blind, placebo–controlled study. / M. Malaguarnera, M. Vacante, M. Giordano M [et al.]. // Am J Clin Nutr. – 2011. – Vol. 93. – P. 799–808.</w:t>
      </w:r>
      <w:r w:rsidRPr="003A594D">
        <w:rPr>
          <w:rStyle w:val="apple-converted-space"/>
          <w:sz w:val="28"/>
          <w:szCs w:val="28"/>
          <w:shd w:val="clear" w:color="auto" w:fill="FFFFFF"/>
          <w:lang w:val="uk-UA"/>
        </w:rPr>
        <w:t>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Oxidative and nitrosative stress and apoptosis in the liver of rats fed on </w:t>
      </w:r>
      <w:r w:rsidRPr="003A594D">
        <w:rPr>
          <w:spacing w:val="1"/>
          <w:sz w:val="28"/>
          <w:szCs w:val="28"/>
          <w:lang w:val="uk-UA"/>
        </w:rPr>
        <w:t xml:space="preserve">high methionine diet: protective effect of taurine / S. Yalcinkaya, Y. Unlucerci, M. </w:t>
      </w:r>
      <w:r w:rsidRPr="003A594D">
        <w:rPr>
          <w:sz w:val="28"/>
          <w:szCs w:val="28"/>
          <w:lang w:val="uk-UA"/>
        </w:rPr>
        <w:t xml:space="preserve">Gins [et al.]. // Nutrition. – 2009. – Vol. 25 (4). – P. 436–444. </w:t>
      </w:r>
    </w:p>
    <w:p w:rsidR="00DC20D7" w:rsidRPr="003A594D" w:rsidRDefault="00DE1C28" w:rsidP="00DC20D7">
      <w:pPr>
        <w:numPr>
          <w:ilvl w:val="0"/>
          <w:numId w:val="10"/>
        </w:numPr>
        <w:spacing w:line="360" w:lineRule="auto"/>
        <w:jc w:val="both"/>
        <w:rPr>
          <w:sz w:val="28"/>
          <w:szCs w:val="28"/>
          <w:shd w:val="clear" w:color="auto" w:fill="FFFFFF"/>
          <w:lang w:val="uk-UA"/>
        </w:rPr>
      </w:pPr>
      <w:hyperlink r:id="rId47" w:history="1">
        <w:r w:rsidR="00DC20D7" w:rsidRPr="003A594D">
          <w:rPr>
            <w:rStyle w:val="a3"/>
            <w:color w:val="auto"/>
            <w:sz w:val="28"/>
            <w:szCs w:val="28"/>
            <w:u w:val="none"/>
            <w:lang w:val="uk-UA"/>
          </w:rPr>
          <w:t>Pascale A. An overview of nonalcoholic steatohepatitis: past, present and future directions. / A. Pascale, R. Pais, V. Ratziu. // J Gastrointestin Liver Dis. – 2010. – №19. – P.415.</w:t>
        </w:r>
      </w:hyperlink>
      <w:r w:rsidR="00DC20D7" w:rsidRPr="003A594D">
        <w:rPr>
          <w:sz w:val="28"/>
          <w:szCs w:val="28"/>
          <w:lang w:val="uk-UA"/>
        </w:rPr>
        <w:t xml:space="preserve">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Pathophysiological relevance of aldehydic protein modifications / N. Zarkovic, A. Cipak, M. Jaganjac </w:t>
      </w:r>
      <w:r w:rsidRPr="003A594D">
        <w:rPr>
          <w:sz w:val="28"/>
          <w:szCs w:val="28"/>
          <w:shd w:val="clear" w:color="auto" w:fill="FFFFFF"/>
          <w:lang w:val="uk-UA"/>
        </w:rPr>
        <w:t xml:space="preserve">[et al.]. // </w:t>
      </w:r>
      <w:r w:rsidRPr="003A594D">
        <w:rPr>
          <w:rStyle w:val="apple-converted-space"/>
          <w:sz w:val="28"/>
          <w:szCs w:val="28"/>
          <w:lang w:val="uk-UA"/>
        </w:rPr>
        <w:t> </w:t>
      </w:r>
      <w:r w:rsidRPr="003A594D">
        <w:rPr>
          <w:sz w:val="28"/>
          <w:szCs w:val="28"/>
          <w:lang w:val="uk-UA"/>
        </w:rPr>
        <w:t xml:space="preserve">Journal of Proteomics. – 2013. – </w:t>
      </w:r>
      <w:r w:rsidRPr="003A594D">
        <w:rPr>
          <w:spacing w:val="2"/>
          <w:sz w:val="28"/>
          <w:szCs w:val="28"/>
          <w:lang w:val="uk-UA"/>
        </w:rPr>
        <w:t>V</w:t>
      </w:r>
      <w:r w:rsidRPr="003A594D">
        <w:rPr>
          <w:sz w:val="28"/>
          <w:szCs w:val="28"/>
          <w:lang w:val="uk-UA"/>
        </w:rPr>
        <w:t xml:space="preserve">ol. 92. – Р. 239–247.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Paul T. Mildly Elevated Liver Transaminase Levels in the Asymptomatic Patient / T. Paul, M.D. Giboney // </w:t>
      </w:r>
      <w:r w:rsidRPr="003A594D">
        <w:rPr>
          <w:iCs/>
          <w:sz w:val="28"/>
          <w:szCs w:val="28"/>
          <w:lang w:val="uk-UA"/>
        </w:rPr>
        <w:t>Am Fam Physician.</w:t>
      </w:r>
      <w:r w:rsidRPr="003A594D">
        <w:rPr>
          <w:sz w:val="28"/>
          <w:szCs w:val="28"/>
          <w:lang w:val="uk-UA"/>
        </w:rPr>
        <w:t> – 2005. – Vol. 71 (6). – P.1105–1110.</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Petta S. Non–alcoholic fatty liver disease pathogenesis: The present and the future / S. Petta, C. Muratore, A. Craxi // Dig. Liver Dis. – 2009. – Vol. 41 (9). – Р. 615–625. </w:t>
      </w:r>
    </w:p>
    <w:p w:rsidR="00DC20D7" w:rsidRPr="003A594D" w:rsidRDefault="00DC20D7" w:rsidP="00DC20D7">
      <w:pPr>
        <w:pStyle w:val="21"/>
        <w:numPr>
          <w:ilvl w:val="0"/>
          <w:numId w:val="10"/>
        </w:numPr>
        <w:spacing w:line="360" w:lineRule="auto"/>
        <w:jc w:val="both"/>
        <w:rPr>
          <w:spacing w:val="-6"/>
          <w:sz w:val="28"/>
          <w:szCs w:val="28"/>
          <w:lang w:val="uk-UA"/>
        </w:rPr>
      </w:pPr>
      <w:r w:rsidRPr="003A594D">
        <w:rPr>
          <w:sz w:val="28"/>
          <w:szCs w:val="28"/>
          <w:lang w:val="uk-UA"/>
        </w:rPr>
        <w:lastRenderedPageBreak/>
        <w:t xml:space="preserve">Pinzani M. Fibrosis in chronic liver diseases: diagnosis and management / M. Pinzani, K. Rombouts, S. Colagrande // I. Hepatol. – 2005. – № 42. – P. S 22–S </w:t>
      </w:r>
      <w:r w:rsidRPr="003A594D">
        <w:rPr>
          <w:spacing w:val="-6"/>
          <w:sz w:val="28"/>
          <w:szCs w:val="28"/>
          <w:lang w:val="uk-UA"/>
        </w:rPr>
        <w:t>36.</w:t>
      </w:r>
    </w:p>
    <w:p w:rsidR="00DC20D7" w:rsidRPr="003A594D" w:rsidRDefault="00DC20D7" w:rsidP="00DC20D7">
      <w:pPr>
        <w:pStyle w:val="a5"/>
        <w:numPr>
          <w:ilvl w:val="0"/>
          <w:numId w:val="10"/>
        </w:numPr>
        <w:shd w:val="clear" w:color="auto" w:fill="FFFFFF"/>
        <w:spacing w:line="360" w:lineRule="auto"/>
        <w:jc w:val="both"/>
        <w:rPr>
          <w:sz w:val="28"/>
          <w:szCs w:val="28"/>
          <w:lang w:val="uk-UA"/>
        </w:rPr>
      </w:pPr>
      <w:r w:rsidRPr="003A594D">
        <w:rPr>
          <w:sz w:val="28"/>
          <w:szCs w:val="28"/>
          <w:lang w:val="uk-UA"/>
        </w:rPr>
        <w:t xml:space="preserve">Plasma homocysteine and malondialdehyde are correlated in an age– and </w:t>
      </w:r>
      <w:r w:rsidRPr="003A594D">
        <w:rPr>
          <w:spacing w:val="2"/>
          <w:sz w:val="28"/>
          <w:szCs w:val="28"/>
          <w:lang w:val="uk-UA"/>
        </w:rPr>
        <w:t xml:space="preserve">gender–specific manner / R. W. Powers, A. K. Majors, D. L. Lykins [et al.] // </w:t>
      </w:r>
      <w:r w:rsidRPr="003A594D">
        <w:rPr>
          <w:spacing w:val="7"/>
          <w:sz w:val="28"/>
          <w:szCs w:val="28"/>
          <w:lang w:val="uk-UA"/>
        </w:rPr>
        <w:t xml:space="preserve">Metabolism. – 2008. – Vol. 51 (11). – Vol. 1433–1438.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Plasmatic higher levels of homocysteine in Non–alcoholic fatty liver disease (NAFLD) / </w:t>
      </w:r>
      <w:r w:rsidRPr="003A594D">
        <w:rPr>
          <w:rStyle w:val="af0"/>
          <w:bCs/>
          <w:sz w:val="28"/>
          <w:szCs w:val="28"/>
          <w:bdr w:val="none" w:sz="0" w:space="0" w:color="auto" w:frame="1"/>
          <w:shd w:val="clear" w:color="auto" w:fill="FFFFFF"/>
          <w:lang w:val="uk-UA"/>
        </w:rPr>
        <w:t>S.C. Rampche de Carvalho</w:t>
      </w:r>
      <w:r w:rsidRPr="003A594D">
        <w:rPr>
          <w:rStyle w:val="apple-converted-space"/>
          <w:sz w:val="28"/>
          <w:szCs w:val="28"/>
          <w:shd w:val="clear" w:color="auto" w:fill="FFFFFF"/>
          <w:lang w:val="uk-UA"/>
        </w:rPr>
        <w:t>,</w:t>
      </w:r>
      <w:r w:rsidRPr="003A594D">
        <w:rPr>
          <w:rStyle w:val="apple-converted-space"/>
          <w:b/>
          <w:sz w:val="28"/>
          <w:szCs w:val="28"/>
          <w:shd w:val="clear" w:color="auto" w:fill="FFFFFF"/>
          <w:lang w:val="uk-UA"/>
        </w:rPr>
        <w:t> </w:t>
      </w:r>
      <w:r w:rsidRPr="003A594D">
        <w:rPr>
          <w:rStyle w:val="af0"/>
          <w:bCs/>
          <w:sz w:val="28"/>
          <w:szCs w:val="28"/>
          <w:bdr w:val="none" w:sz="0" w:space="0" w:color="auto" w:frame="1"/>
          <w:shd w:val="clear" w:color="auto" w:fill="FFFFFF"/>
          <w:lang w:val="uk-UA"/>
        </w:rPr>
        <w:t>M.T.C. Muniz</w:t>
      </w:r>
      <w:r w:rsidRPr="003A594D">
        <w:rPr>
          <w:sz w:val="28"/>
          <w:szCs w:val="28"/>
          <w:shd w:val="clear" w:color="auto" w:fill="FFFFFF"/>
          <w:lang w:val="uk-UA"/>
        </w:rPr>
        <w:t>,</w:t>
      </w:r>
      <w:r w:rsidRPr="003A594D">
        <w:rPr>
          <w:rStyle w:val="apple-converted-space"/>
          <w:b/>
          <w:sz w:val="28"/>
          <w:szCs w:val="28"/>
          <w:shd w:val="clear" w:color="auto" w:fill="FFFFFF"/>
          <w:lang w:val="uk-UA"/>
        </w:rPr>
        <w:t> </w:t>
      </w:r>
      <w:r w:rsidRPr="003A594D">
        <w:rPr>
          <w:rStyle w:val="af0"/>
          <w:bCs/>
          <w:sz w:val="28"/>
          <w:szCs w:val="28"/>
          <w:bdr w:val="none" w:sz="0" w:space="0" w:color="auto" w:frame="1"/>
          <w:shd w:val="clear" w:color="auto" w:fill="FFFFFF"/>
          <w:lang w:val="uk-UA"/>
        </w:rPr>
        <w:t xml:space="preserve">M.D.V. Siqueira </w:t>
      </w:r>
      <w:r w:rsidRPr="003A594D">
        <w:rPr>
          <w:sz w:val="28"/>
          <w:szCs w:val="28"/>
          <w:lang w:val="uk-UA"/>
        </w:rPr>
        <w:t xml:space="preserve">[et al.]. </w:t>
      </w:r>
      <w:r w:rsidRPr="003A594D">
        <w:rPr>
          <w:rStyle w:val="af0"/>
          <w:bCs/>
          <w:sz w:val="28"/>
          <w:szCs w:val="28"/>
          <w:bdr w:val="none" w:sz="0" w:space="0" w:color="auto" w:frame="1"/>
          <w:shd w:val="clear" w:color="auto" w:fill="FFFFFF"/>
          <w:lang w:val="uk-UA"/>
        </w:rPr>
        <w:t xml:space="preserve">// </w:t>
      </w:r>
      <w:r w:rsidRPr="003A594D">
        <w:rPr>
          <w:rStyle w:val="af1"/>
          <w:iCs/>
          <w:sz w:val="28"/>
          <w:szCs w:val="28"/>
          <w:bdr w:val="none" w:sz="0" w:space="0" w:color="auto" w:frame="1"/>
          <w:shd w:val="clear" w:color="auto" w:fill="FFFFFF"/>
          <w:lang w:val="uk-UA"/>
        </w:rPr>
        <w:t xml:space="preserve">Nutrition Journal – </w:t>
      </w:r>
      <w:r w:rsidRPr="003A594D">
        <w:rPr>
          <w:sz w:val="28"/>
          <w:szCs w:val="28"/>
          <w:shd w:val="clear" w:color="auto" w:fill="FFFFFF"/>
          <w:lang w:val="uk-UA"/>
        </w:rPr>
        <w:t>2013. – Vol.</w:t>
      </w:r>
      <w:r w:rsidRPr="003A594D">
        <w:rPr>
          <w:rStyle w:val="apple-converted-space"/>
          <w:sz w:val="28"/>
          <w:szCs w:val="28"/>
          <w:shd w:val="clear" w:color="auto" w:fill="FFFFFF"/>
          <w:lang w:val="uk-UA"/>
        </w:rPr>
        <w:t> </w:t>
      </w:r>
      <w:r w:rsidRPr="003A594D">
        <w:rPr>
          <w:rStyle w:val="af0"/>
          <w:bCs/>
          <w:sz w:val="28"/>
          <w:szCs w:val="28"/>
          <w:bdr w:val="none" w:sz="0" w:space="0" w:color="auto" w:frame="1"/>
          <w:shd w:val="clear" w:color="auto" w:fill="FFFFFF"/>
          <w:lang w:val="uk-UA"/>
        </w:rPr>
        <w:t xml:space="preserve">12. – P. </w:t>
      </w:r>
      <w:r w:rsidRPr="003A594D">
        <w:rPr>
          <w:sz w:val="28"/>
          <w:szCs w:val="28"/>
          <w:shd w:val="clear" w:color="auto" w:fill="FFFFFF"/>
          <w:lang w:val="uk-UA"/>
        </w:rPr>
        <w:t>37.</w:t>
      </w:r>
    </w:p>
    <w:p w:rsidR="00DC20D7" w:rsidRPr="003A594D" w:rsidRDefault="00DE1C28" w:rsidP="00DC20D7">
      <w:pPr>
        <w:numPr>
          <w:ilvl w:val="0"/>
          <w:numId w:val="10"/>
        </w:numPr>
        <w:spacing w:line="360" w:lineRule="auto"/>
        <w:jc w:val="both"/>
        <w:rPr>
          <w:sz w:val="28"/>
          <w:szCs w:val="28"/>
          <w:lang w:val="uk-UA"/>
        </w:rPr>
      </w:pPr>
      <w:hyperlink r:id="rId48" w:history="1">
        <w:r w:rsidR="00DC20D7" w:rsidRPr="003A594D">
          <w:rPr>
            <w:sz w:val="28"/>
            <w:lang w:val="uk-UA"/>
          </w:rPr>
          <w:t>PNPLA3 variants specifically confer increased risk for histologic nonalcoholic fatty liver disease but not metabolic disease </w:t>
        </w:r>
      </w:hyperlink>
      <w:r w:rsidR="00DC20D7" w:rsidRPr="003A594D">
        <w:rPr>
          <w:sz w:val="28"/>
          <w:lang w:val="uk-UA"/>
        </w:rPr>
        <w:t>/</w:t>
      </w:r>
      <w:r w:rsidR="00DC20D7" w:rsidRPr="003A594D">
        <w:rPr>
          <w:lang w:val="uk-UA"/>
        </w:rPr>
        <w:t xml:space="preserve">/ </w:t>
      </w:r>
      <w:r w:rsidR="00DC20D7" w:rsidRPr="003A594D">
        <w:rPr>
          <w:sz w:val="28"/>
          <w:szCs w:val="28"/>
          <w:lang w:val="uk-UA"/>
        </w:rPr>
        <w:t>E.K. Speliotes, J.L. Butler, C.D. Palmer Zmuda</w:t>
      </w:r>
      <w:r w:rsidR="00DC20D7" w:rsidRPr="003A594D">
        <w:rPr>
          <w:rStyle w:val="apple-converted-space"/>
          <w:rFonts w:ascii="Arial" w:hAnsi="Arial" w:cs="Arial"/>
          <w:sz w:val="28"/>
          <w:szCs w:val="28"/>
          <w:lang w:val="uk-UA"/>
        </w:rPr>
        <w:t xml:space="preserve"> </w:t>
      </w:r>
      <w:r w:rsidR="00DC20D7" w:rsidRPr="003A594D">
        <w:rPr>
          <w:rStyle w:val="refauthors"/>
          <w:sz w:val="28"/>
          <w:szCs w:val="28"/>
          <w:shd w:val="clear" w:color="auto" w:fill="FFFFFF"/>
          <w:lang w:val="uk-UA"/>
        </w:rPr>
        <w:t xml:space="preserve">[et al.]. </w:t>
      </w:r>
      <w:r w:rsidR="00DC20D7" w:rsidRPr="003A594D">
        <w:rPr>
          <w:sz w:val="28"/>
          <w:szCs w:val="28"/>
          <w:lang w:val="uk-UA"/>
        </w:rPr>
        <w:t>//</w:t>
      </w:r>
      <w:r w:rsidR="00DC20D7" w:rsidRPr="003A594D">
        <w:rPr>
          <w:rStyle w:val="apple-converted-space"/>
          <w:rFonts w:ascii="Arial" w:hAnsi="Arial" w:cs="Arial"/>
          <w:sz w:val="28"/>
          <w:szCs w:val="28"/>
          <w:lang w:val="uk-UA"/>
        </w:rPr>
        <w:t> </w:t>
      </w:r>
      <w:r w:rsidR="00DC20D7" w:rsidRPr="003A594D">
        <w:rPr>
          <w:bCs/>
          <w:sz w:val="28"/>
          <w:szCs w:val="28"/>
          <w:lang w:val="uk-UA"/>
        </w:rPr>
        <w:t xml:space="preserve">Hepatology. – 2010. – </w:t>
      </w:r>
      <w:r w:rsidR="00DC20D7" w:rsidRPr="003A594D">
        <w:rPr>
          <w:sz w:val="28"/>
          <w:szCs w:val="28"/>
          <w:lang w:val="uk-UA"/>
        </w:rPr>
        <w:t>Vol.</w:t>
      </w:r>
      <w:r w:rsidR="00DC20D7" w:rsidRPr="003A594D">
        <w:rPr>
          <w:bCs/>
          <w:sz w:val="28"/>
          <w:szCs w:val="28"/>
          <w:lang w:val="uk-UA"/>
        </w:rPr>
        <w:t xml:space="preserve"> 52.  – Р. 904–912.</w:t>
      </w:r>
    </w:p>
    <w:p w:rsidR="00DC20D7" w:rsidRPr="003A594D" w:rsidRDefault="00DC20D7" w:rsidP="00DC20D7">
      <w:pPr>
        <w:numPr>
          <w:ilvl w:val="0"/>
          <w:numId w:val="10"/>
        </w:numPr>
        <w:spacing w:line="360" w:lineRule="auto"/>
        <w:jc w:val="both"/>
        <w:rPr>
          <w:sz w:val="28"/>
          <w:szCs w:val="28"/>
          <w:lang w:val="uk-UA"/>
        </w:rPr>
      </w:pPr>
      <w:r w:rsidRPr="003A594D">
        <w:rPr>
          <w:rStyle w:val="autoren"/>
          <w:sz w:val="28"/>
          <w:szCs w:val="28"/>
          <w:shd w:val="clear" w:color="auto" w:fill="FFFFFF"/>
          <w:lang w:val="uk-UA"/>
        </w:rPr>
        <w:t>Powel E.E</w:t>
      </w:r>
      <w:r w:rsidRPr="003A594D">
        <w:rPr>
          <w:lang w:val="uk-UA"/>
        </w:rPr>
        <w:t xml:space="preserve">. </w:t>
      </w:r>
      <w:hyperlink r:id="rId49" w:history="1">
        <w:r w:rsidRPr="003A594D">
          <w:rPr>
            <w:sz w:val="28"/>
            <w:lang w:val="uk-UA"/>
          </w:rPr>
          <w:t>Metabolic Factors and Non–Alcoholic Fatty Liver Disease as Co–Factors in Other Liver Diseases</w:t>
        </w:r>
      </w:hyperlink>
      <w:r w:rsidRPr="003A594D">
        <w:rPr>
          <w:sz w:val="28"/>
          <w:lang w:val="uk-UA"/>
        </w:rPr>
        <w:t xml:space="preserve">. </w:t>
      </w:r>
      <w:r w:rsidRPr="003A594D">
        <w:rPr>
          <w:sz w:val="28"/>
          <w:szCs w:val="28"/>
          <w:lang w:val="uk-UA"/>
        </w:rPr>
        <w:t xml:space="preserve">/ </w:t>
      </w:r>
      <w:r w:rsidRPr="003A594D">
        <w:rPr>
          <w:rStyle w:val="autoren"/>
          <w:sz w:val="28"/>
          <w:szCs w:val="28"/>
          <w:shd w:val="clear" w:color="auto" w:fill="FFFFFF"/>
          <w:lang w:val="uk-UA"/>
        </w:rPr>
        <w:t>E.E.</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Powell,</w:t>
      </w:r>
      <w:r w:rsidRPr="003A594D">
        <w:rPr>
          <w:rStyle w:val="color"/>
          <w:sz w:val="28"/>
          <w:szCs w:val="28"/>
          <w:shd w:val="clear" w:color="auto" w:fill="FFFFFF"/>
          <w:lang w:val="uk-UA"/>
        </w:rPr>
        <w:t xml:space="preserve"> </w:t>
      </w:r>
      <w:r w:rsidRPr="003A594D">
        <w:rPr>
          <w:rStyle w:val="autoren"/>
          <w:sz w:val="28"/>
          <w:szCs w:val="28"/>
          <w:shd w:val="clear" w:color="auto" w:fill="FFFFFF"/>
          <w:lang w:val="uk-UA"/>
        </w:rPr>
        <w:t>J.R.</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Jonsson,</w:t>
      </w:r>
      <w:r w:rsidRPr="003A594D">
        <w:rPr>
          <w:rStyle w:val="color"/>
          <w:sz w:val="28"/>
          <w:szCs w:val="28"/>
          <w:shd w:val="clear" w:color="auto" w:fill="FFFFFF"/>
          <w:lang w:val="uk-UA"/>
        </w:rPr>
        <w:t xml:space="preserve"> </w:t>
      </w:r>
      <w:r w:rsidRPr="003A594D">
        <w:rPr>
          <w:rStyle w:val="autoren"/>
          <w:sz w:val="28"/>
          <w:szCs w:val="28"/>
          <w:shd w:val="clear" w:color="auto" w:fill="FFFFFF"/>
          <w:lang w:val="uk-UA"/>
        </w:rPr>
        <w:t xml:space="preserve">A.D. </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 xml:space="preserve">Clouston // </w:t>
      </w:r>
      <w:r w:rsidRPr="003A594D">
        <w:rPr>
          <w:sz w:val="28"/>
          <w:szCs w:val="28"/>
          <w:shd w:val="clear" w:color="auto" w:fill="FFFFFF"/>
          <w:lang w:val="uk-UA"/>
        </w:rPr>
        <w:t xml:space="preserve">Dig Dis. – 2010. – Vol. 28 </w:t>
      </w:r>
      <w:r w:rsidRPr="003A594D">
        <w:rPr>
          <w:sz w:val="28"/>
          <w:szCs w:val="28"/>
          <w:lang w:val="uk-UA"/>
        </w:rPr>
        <w:t>(1)</w:t>
      </w:r>
      <w:r w:rsidRPr="003A594D">
        <w:rPr>
          <w:sz w:val="28"/>
          <w:szCs w:val="28"/>
          <w:shd w:val="clear" w:color="auto" w:fill="FFFFFF"/>
          <w:lang w:val="uk-UA"/>
        </w:rPr>
        <w:t xml:space="preserve">. – P.186–191.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Powel E.E. Steatosis: cofactor in other liver diseases / E.E. Powel, J.R. Jonsson, A.D. Clouston // Hepatology.— 2005.— Vol. 42.— P. 5—13.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Prevalence of and risk factors for fatty liver in a general population of Shanghai, China.</w:t>
      </w:r>
      <w:r w:rsidRPr="003A594D">
        <w:rPr>
          <w:rStyle w:val="apple-converted-space"/>
          <w:bCs/>
          <w:sz w:val="28"/>
          <w:szCs w:val="28"/>
          <w:shd w:val="clear" w:color="auto" w:fill="FFFFFF"/>
          <w:lang w:val="uk-UA"/>
        </w:rPr>
        <w:t xml:space="preserve"> / J.G. </w:t>
      </w:r>
      <w:r w:rsidRPr="003A594D">
        <w:rPr>
          <w:rStyle w:val="refauthors"/>
          <w:sz w:val="28"/>
          <w:szCs w:val="28"/>
          <w:shd w:val="clear" w:color="auto" w:fill="FFFFFF"/>
          <w:lang w:val="uk-UA"/>
        </w:rPr>
        <w:t>Fan, J. Zhu, X.J. Li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J Hepatol</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 2005. – Vol. </w:t>
      </w:r>
      <w:r w:rsidRPr="003A594D">
        <w:rPr>
          <w:rStyle w:val="refseriesvolume"/>
          <w:sz w:val="28"/>
          <w:szCs w:val="28"/>
          <w:shd w:val="clear" w:color="auto" w:fill="FFFFFF"/>
          <w:lang w:val="uk-UA"/>
        </w:rPr>
        <w:t>43 (3)</w:t>
      </w:r>
      <w:r w:rsidRPr="003A594D">
        <w:rPr>
          <w:rStyle w:val="apple-converted-space"/>
          <w:sz w:val="28"/>
          <w:szCs w:val="28"/>
          <w:shd w:val="clear" w:color="auto" w:fill="FFFFFF"/>
          <w:lang w:val="uk-UA"/>
        </w:rPr>
        <w:t xml:space="preserve">. – P. </w:t>
      </w:r>
      <w:r w:rsidRPr="003A594D">
        <w:rPr>
          <w:rStyle w:val="refpages"/>
          <w:sz w:val="28"/>
          <w:szCs w:val="28"/>
          <w:shd w:val="clear" w:color="auto" w:fill="FFFFFF"/>
          <w:lang w:val="uk-UA"/>
        </w:rPr>
        <w:t>508–514</w:t>
      </w:r>
      <w:r w:rsidRPr="003A594D">
        <w:rPr>
          <w:rStyle w:val="refpages"/>
          <w:sz w:val="28"/>
          <w:szCs w:val="28"/>
          <w:lang w:val="uk-UA"/>
        </w:rPr>
        <w:t>.</w:t>
      </w:r>
    </w:p>
    <w:p w:rsidR="00DC20D7" w:rsidRPr="003A594D" w:rsidRDefault="00DC20D7" w:rsidP="00DC20D7">
      <w:pPr>
        <w:pStyle w:val="aa"/>
        <w:numPr>
          <w:ilvl w:val="0"/>
          <w:numId w:val="10"/>
        </w:numPr>
        <w:spacing w:line="360" w:lineRule="auto"/>
        <w:jc w:val="both"/>
        <w:rPr>
          <w:lang w:val="uk-UA"/>
        </w:rPr>
      </w:pPr>
      <w:r w:rsidRPr="003A594D">
        <w:rPr>
          <w:sz w:val="28"/>
          <w:szCs w:val="28"/>
          <w:lang w:val="uk-UA"/>
        </w:rPr>
        <w:t>Prevalence of and risk factors for nonalcoholic fatty</w:t>
      </w:r>
      <w:r w:rsidRPr="003A594D">
        <w:rPr>
          <w:rStyle w:val="apple-converted-space"/>
          <w:spacing w:val="-1"/>
          <w:sz w:val="28"/>
          <w:szCs w:val="28"/>
          <w:lang w:val="uk-UA"/>
        </w:rPr>
        <w:t> </w:t>
      </w:r>
      <w:r w:rsidRPr="003A594D">
        <w:rPr>
          <w:rStyle w:val="highlight"/>
          <w:spacing w:val="-1"/>
          <w:sz w:val="28"/>
          <w:szCs w:val="28"/>
          <w:lang w:val="uk-UA"/>
        </w:rPr>
        <w:t>liver</w:t>
      </w:r>
      <w:r w:rsidRPr="003A594D">
        <w:rPr>
          <w:rStyle w:val="apple-converted-space"/>
          <w:spacing w:val="-1"/>
          <w:sz w:val="28"/>
          <w:szCs w:val="28"/>
          <w:lang w:val="uk-UA"/>
        </w:rPr>
        <w:t> </w:t>
      </w:r>
      <w:r w:rsidRPr="003A594D">
        <w:rPr>
          <w:sz w:val="28"/>
          <w:szCs w:val="28"/>
          <w:lang w:val="uk-UA"/>
        </w:rPr>
        <w:t>disease: the Dionysos nutrition and</w:t>
      </w:r>
      <w:r w:rsidRPr="003A594D">
        <w:rPr>
          <w:rStyle w:val="apple-converted-space"/>
          <w:spacing w:val="-1"/>
          <w:sz w:val="28"/>
          <w:szCs w:val="28"/>
          <w:lang w:val="uk-UA"/>
        </w:rPr>
        <w:t> </w:t>
      </w:r>
      <w:r w:rsidRPr="003A594D">
        <w:rPr>
          <w:rStyle w:val="highlight"/>
          <w:spacing w:val="-1"/>
          <w:sz w:val="28"/>
          <w:szCs w:val="28"/>
          <w:lang w:val="uk-UA"/>
        </w:rPr>
        <w:t>liver</w:t>
      </w:r>
      <w:r w:rsidRPr="003A594D">
        <w:rPr>
          <w:sz w:val="28"/>
          <w:szCs w:val="28"/>
          <w:lang w:val="uk-UA"/>
        </w:rPr>
        <w:t xml:space="preserve"> study / G</w:t>
      </w:r>
      <w:r w:rsidRPr="003A594D">
        <w:rPr>
          <w:sz w:val="28"/>
          <w:lang w:val="uk-UA"/>
        </w:rPr>
        <w:t xml:space="preserve">. </w:t>
      </w:r>
      <w:hyperlink r:id="rId50" w:history="1">
        <w:r w:rsidRPr="003A594D">
          <w:rPr>
            <w:sz w:val="28"/>
            <w:lang w:val="uk-UA"/>
          </w:rPr>
          <w:t>Bedogni</w:t>
        </w:r>
      </w:hyperlink>
      <w:r w:rsidRPr="003A594D">
        <w:rPr>
          <w:sz w:val="28"/>
          <w:lang w:val="uk-UA"/>
        </w:rPr>
        <w:t xml:space="preserve">, L. </w:t>
      </w:r>
      <w:hyperlink r:id="rId51" w:history="1">
        <w:r w:rsidRPr="003A594D">
          <w:rPr>
            <w:sz w:val="28"/>
            <w:lang w:val="uk-UA"/>
          </w:rPr>
          <w:t>Miglioli</w:t>
        </w:r>
      </w:hyperlink>
      <w:r w:rsidRPr="003A594D">
        <w:rPr>
          <w:sz w:val="28"/>
          <w:lang w:val="uk-UA"/>
        </w:rPr>
        <w:t xml:space="preserve">, F. </w:t>
      </w:r>
      <w:hyperlink r:id="rId52" w:history="1">
        <w:r w:rsidRPr="003A594D">
          <w:rPr>
            <w:sz w:val="28"/>
            <w:lang w:val="uk-UA"/>
          </w:rPr>
          <w:t>Masutti</w:t>
        </w:r>
      </w:hyperlink>
      <w:r w:rsidRPr="003A594D">
        <w:rPr>
          <w:sz w:val="32"/>
          <w:szCs w:val="28"/>
          <w:lang w:val="uk-UA"/>
        </w:rPr>
        <w:t xml:space="preserve"> </w:t>
      </w:r>
      <w:r w:rsidRPr="003A594D">
        <w:rPr>
          <w:sz w:val="28"/>
          <w:szCs w:val="28"/>
          <w:lang w:val="uk-UA"/>
        </w:rPr>
        <w:t xml:space="preserve">[et al.]. // Hepatology. – 2005. – № 42 (1). – Р. 44–52.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Prevalence of non–alcoholic fatty liver disease and its association with cardiovascular disease among Type 2 diabetic patients / Targher G., Bertolini L., Padovani R. [et al.]. // Diabetes Care. – 2007. – № 30.  – P.  1212–1218.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 xml:space="preserve">Prevalence of primary non–alcoholic fatty liver disease in a population–based study and its association with biochemical and anthropometric measures. / </w:t>
      </w:r>
      <w:r w:rsidRPr="003A594D">
        <w:rPr>
          <w:rStyle w:val="refauthors"/>
          <w:sz w:val="28"/>
          <w:szCs w:val="28"/>
          <w:shd w:val="clear" w:color="auto" w:fill="FFFFFF"/>
          <w:lang w:val="uk-UA"/>
        </w:rPr>
        <w:t>S. Zelber–Sagi, D. Nitzan–Kaluski, Z. Halpern, R. Oren</w:t>
      </w:r>
      <w:r w:rsidRPr="003A594D">
        <w:rPr>
          <w:rStyle w:val="apple-converted-space"/>
          <w:sz w:val="28"/>
          <w:szCs w:val="28"/>
          <w:shd w:val="clear" w:color="auto" w:fill="FFFFFF"/>
          <w:lang w:val="uk-UA"/>
        </w:rPr>
        <w:t xml:space="preserve"> // </w:t>
      </w:r>
      <w:r w:rsidRPr="003A594D">
        <w:rPr>
          <w:rStyle w:val="refseriestitle"/>
          <w:iCs/>
          <w:sz w:val="28"/>
          <w:szCs w:val="28"/>
          <w:shd w:val="clear" w:color="auto" w:fill="FFFFFF"/>
          <w:lang w:val="uk-UA"/>
        </w:rPr>
        <w:t>Liver Int</w:t>
      </w:r>
      <w:r w:rsidRPr="003A594D">
        <w:rPr>
          <w:sz w:val="28"/>
          <w:szCs w:val="28"/>
          <w:shd w:val="clear" w:color="auto" w:fill="FFFFFF"/>
          <w:lang w:val="uk-UA"/>
        </w:rPr>
        <w:t xml:space="preserve">. – </w:t>
      </w:r>
      <w:r w:rsidRPr="003A594D">
        <w:rPr>
          <w:rStyle w:val="refseriesdate"/>
          <w:sz w:val="28"/>
          <w:szCs w:val="28"/>
          <w:shd w:val="clear" w:color="auto" w:fill="FFFFFF"/>
          <w:lang w:val="uk-UA"/>
        </w:rPr>
        <w:t xml:space="preserve">2006. – Vol. </w:t>
      </w:r>
      <w:r w:rsidRPr="003A594D">
        <w:rPr>
          <w:rStyle w:val="refseriesvolume"/>
          <w:sz w:val="28"/>
          <w:szCs w:val="28"/>
          <w:shd w:val="clear" w:color="auto" w:fill="FFFFFF"/>
          <w:lang w:val="uk-UA"/>
        </w:rPr>
        <w:t xml:space="preserve">26 (7). – P. </w:t>
      </w:r>
      <w:r w:rsidRPr="003A594D">
        <w:rPr>
          <w:rStyle w:val="refpages"/>
          <w:sz w:val="28"/>
          <w:szCs w:val="28"/>
          <w:shd w:val="clear" w:color="auto" w:fill="FFFFFF"/>
          <w:lang w:val="uk-UA"/>
        </w:rPr>
        <w:t>856–863</w:t>
      </w:r>
      <w:r w:rsidRPr="003A594D">
        <w:rPr>
          <w:rStyle w:val="refpages"/>
          <w:sz w:val="28"/>
          <w:szCs w:val="28"/>
          <w:lang w:val="uk-UA"/>
        </w:rPr>
        <w:t>.</w:t>
      </w:r>
    </w:p>
    <w:p w:rsidR="00DC20D7" w:rsidRPr="003A594D" w:rsidRDefault="00DC20D7" w:rsidP="00DC20D7">
      <w:pPr>
        <w:numPr>
          <w:ilvl w:val="0"/>
          <w:numId w:val="10"/>
        </w:numPr>
        <w:spacing w:line="360" w:lineRule="auto"/>
        <w:jc w:val="both"/>
        <w:rPr>
          <w:lang w:val="uk-UA"/>
        </w:rPr>
      </w:pPr>
      <w:r w:rsidRPr="003A594D">
        <w:rPr>
          <w:rStyle w:val="articletitle"/>
          <w:sz w:val="28"/>
          <w:szCs w:val="28"/>
          <w:bdr w:val="none" w:sz="0" w:space="0" w:color="auto" w:frame="1"/>
          <w:shd w:val="clear" w:color="auto" w:fill="FFFFFF"/>
          <w:lang w:val="uk-UA"/>
        </w:rPr>
        <w:lastRenderedPageBreak/>
        <w:t>Prevalence of risk factors of non–alcoholic fatty liver disease in potential living donors in Korea: a review of 589 consecutive liver biopsies in a single center</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author"/>
          <w:sz w:val="28"/>
          <w:szCs w:val="28"/>
          <w:bdr w:val="none" w:sz="0" w:space="0" w:color="auto" w:frame="1"/>
          <w:shd w:val="clear" w:color="auto" w:fill="FFFFFF"/>
          <w:lang w:val="uk-UA"/>
        </w:rPr>
        <w:t>J.Y. Lee</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author"/>
          <w:sz w:val="28"/>
          <w:szCs w:val="28"/>
          <w:bdr w:val="none" w:sz="0" w:space="0" w:color="auto" w:frame="1"/>
          <w:shd w:val="clear" w:color="auto" w:fill="FFFFFF"/>
          <w:lang w:val="uk-UA"/>
        </w:rPr>
        <w:t>K.M. Kim</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author"/>
          <w:sz w:val="28"/>
          <w:szCs w:val="28"/>
          <w:bdr w:val="none" w:sz="0" w:space="0" w:color="auto" w:frame="1"/>
          <w:shd w:val="clear" w:color="auto" w:fill="FFFFFF"/>
          <w:lang w:val="uk-UA"/>
        </w:rPr>
        <w:t>S.G. Lee</w:t>
      </w:r>
      <w:r w:rsidRPr="003A594D">
        <w:rPr>
          <w:sz w:val="28"/>
          <w:szCs w:val="28"/>
          <w:shd w:val="clear" w:color="auto" w:fill="FFFFFF"/>
          <w:lang w:val="uk-UA"/>
        </w:rPr>
        <w:t xml:space="preserve"> [et al.].</w:t>
      </w:r>
      <w:r w:rsidRPr="003A594D">
        <w:rPr>
          <w:rStyle w:val="apple-converted-space"/>
          <w:sz w:val="28"/>
          <w:szCs w:val="28"/>
          <w:shd w:val="clear" w:color="auto" w:fill="FFFFFF"/>
          <w:lang w:val="uk-UA"/>
        </w:rPr>
        <w:t xml:space="preserve"> // </w:t>
      </w:r>
      <w:r w:rsidRPr="003A594D">
        <w:rPr>
          <w:rStyle w:val="journaltitle"/>
          <w:iCs/>
          <w:sz w:val="28"/>
          <w:szCs w:val="28"/>
          <w:bdr w:val="none" w:sz="0" w:space="0" w:color="auto" w:frame="1"/>
          <w:shd w:val="clear" w:color="auto" w:fill="FFFFFF"/>
          <w:lang w:val="uk-UA"/>
        </w:rPr>
        <w:t>J Hepatol</w:t>
      </w:r>
      <w:r w:rsidRPr="003A594D">
        <w:rPr>
          <w:rStyle w:val="apple-converted-space"/>
          <w:sz w:val="28"/>
          <w:szCs w:val="28"/>
          <w:shd w:val="clear" w:color="auto" w:fill="FFFFFF"/>
          <w:lang w:val="uk-UA"/>
        </w:rPr>
        <w:t>. – </w:t>
      </w:r>
      <w:r w:rsidRPr="003A594D">
        <w:rPr>
          <w:rStyle w:val="pubyear"/>
          <w:sz w:val="28"/>
          <w:szCs w:val="28"/>
          <w:bdr w:val="none" w:sz="0" w:space="0" w:color="auto" w:frame="1"/>
          <w:shd w:val="clear" w:color="auto" w:fill="FFFFFF"/>
          <w:lang w:val="uk-UA"/>
        </w:rPr>
        <w:t>2007</w:t>
      </w:r>
      <w:r w:rsidRPr="003A594D">
        <w:rPr>
          <w:sz w:val="28"/>
          <w:szCs w:val="28"/>
          <w:shd w:val="clear" w:color="auto" w:fill="FFFFFF"/>
          <w:lang w:val="uk-UA"/>
        </w:rPr>
        <w:t xml:space="preserve">. – Vol. </w:t>
      </w:r>
      <w:r w:rsidRPr="003A594D">
        <w:rPr>
          <w:rStyle w:val="vol"/>
          <w:bCs/>
          <w:sz w:val="28"/>
          <w:szCs w:val="28"/>
          <w:bdr w:val="none" w:sz="0" w:space="0" w:color="auto" w:frame="1"/>
          <w:shd w:val="clear" w:color="auto" w:fill="FFFFFF"/>
          <w:lang w:val="uk-UA"/>
        </w:rPr>
        <w:t>47</w:t>
      </w:r>
      <w:r w:rsidRPr="003A594D">
        <w:rPr>
          <w:sz w:val="28"/>
          <w:szCs w:val="28"/>
          <w:shd w:val="clear" w:color="auto" w:fill="FFFFFF"/>
          <w:lang w:val="uk-UA"/>
        </w:rPr>
        <w:t>. – P.</w:t>
      </w:r>
      <w:r w:rsidRPr="003A594D">
        <w:rPr>
          <w:rStyle w:val="apple-converted-space"/>
          <w:sz w:val="28"/>
          <w:szCs w:val="28"/>
          <w:shd w:val="clear" w:color="auto" w:fill="FFFFFF"/>
          <w:lang w:val="uk-UA"/>
        </w:rPr>
        <w:t> </w:t>
      </w:r>
      <w:r w:rsidRPr="003A594D">
        <w:rPr>
          <w:rStyle w:val="pagefirst"/>
          <w:sz w:val="28"/>
          <w:szCs w:val="28"/>
          <w:bdr w:val="none" w:sz="0" w:space="0" w:color="auto" w:frame="1"/>
          <w:shd w:val="clear" w:color="auto" w:fill="FFFFFF"/>
          <w:lang w:val="uk-UA"/>
        </w:rPr>
        <w:t>239</w:t>
      </w:r>
      <w:r w:rsidRPr="003A594D">
        <w:rPr>
          <w:sz w:val="28"/>
          <w:szCs w:val="28"/>
          <w:shd w:val="clear" w:color="auto" w:fill="FFFFFF"/>
          <w:lang w:val="uk-UA"/>
        </w:rPr>
        <w:t>–</w:t>
      </w:r>
      <w:r w:rsidRPr="003A594D">
        <w:rPr>
          <w:rStyle w:val="pagelast"/>
          <w:sz w:val="28"/>
          <w:szCs w:val="28"/>
          <w:bdr w:val="none" w:sz="0" w:space="0" w:color="auto" w:frame="1"/>
          <w:shd w:val="clear" w:color="auto" w:fill="FFFFFF"/>
          <w:lang w:val="uk-UA"/>
        </w:rPr>
        <w:t>244</w:t>
      </w:r>
      <w:r w:rsidRPr="003A594D">
        <w:rPr>
          <w:sz w:val="28"/>
          <w:szCs w:val="28"/>
          <w:shd w:val="clear" w:color="auto" w:fill="FFFFFF"/>
          <w:lang w:val="uk-UA"/>
        </w:rPr>
        <w:t>.</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Style w:val="apple-style-span"/>
          <w:rFonts w:ascii="Times New Roman" w:hAnsi="Times New Roman"/>
          <w:b w:val="0"/>
          <w:i w:val="0"/>
          <w:lang w:val="uk-UA"/>
        </w:rPr>
        <w:t xml:space="preserve">Pro–inflammatory and atherogenic circulating factors in non–alcoholic fatty liver disease associated to metabolic syndrome / D. Lucero, V. Zago, G.I. López, </w:t>
      </w:r>
      <w:r w:rsidRPr="003A594D">
        <w:rPr>
          <w:rFonts w:ascii="Times New Roman" w:hAnsi="Times New Roman" w:cs="Times New Roman"/>
          <w:b w:val="0"/>
          <w:i w:val="0"/>
          <w:lang w:val="uk-UA"/>
        </w:rPr>
        <w:t>[et.al.].</w:t>
      </w:r>
      <w:r w:rsidRPr="003A594D">
        <w:rPr>
          <w:lang w:val="uk-UA"/>
        </w:rPr>
        <w:t xml:space="preserve"> </w:t>
      </w:r>
      <w:r w:rsidRPr="003A594D">
        <w:rPr>
          <w:rStyle w:val="apple-converted-space"/>
          <w:rFonts w:ascii="Times New Roman" w:hAnsi="Times New Roman"/>
          <w:b w:val="0"/>
          <w:i w:val="0"/>
          <w:lang w:val="uk-UA"/>
        </w:rPr>
        <w:t xml:space="preserve"> // </w:t>
      </w:r>
      <w:r w:rsidRPr="003A594D">
        <w:rPr>
          <w:rStyle w:val="ref-journal"/>
          <w:rFonts w:ascii="Times New Roman" w:hAnsi="Times New Roman"/>
          <w:b w:val="0"/>
          <w:i w:val="0"/>
          <w:lang w:val="uk-UA"/>
        </w:rPr>
        <w:t>Clin Chim Acta.</w:t>
      </w:r>
      <w:r w:rsidRPr="003A594D">
        <w:rPr>
          <w:rStyle w:val="apple-converted-space"/>
          <w:rFonts w:ascii="Times New Roman" w:hAnsi="Times New Roman"/>
          <w:b w:val="0"/>
          <w:i w:val="0"/>
          <w:lang w:val="uk-UA"/>
        </w:rPr>
        <w:t xml:space="preserve"> – </w:t>
      </w:r>
      <w:r w:rsidRPr="003A594D">
        <w:rPr>
          <w:rStyle w:val="apple-style-span"/>
          <w:rFonts w:ascii="Times New Roman" w:hAnsi="Times New Roman"/>
          <w:b w:val="0"/>
          <w:i w:val="0"/>
          <w:lang w:val="uk-UA"/>
        </w:rPr>
        <w:t xml:space="preserve">2011. – </w:t>
      </w:r>
      <w:r w:rsidRPr="003A594D">
        <w:rPr>
          <w:rFonts w:ascii="Times New Roman" w:hAnsi="Times New Roman" w:cs="Times New Roman"/>
          <w:b w:val="0"/>
          <w:i w:val="0"/>
          <w:lang w:val="uk-UA"/>
        </w:rPr>
        <w:t>Vol.</w:t>
      </w:r>
      <w:r w:rsidRPr="003A594D">
        <w:rPr>
          <w:rStyle w:val="ref-vol"/>
          <w:rFonts w:ascii="Times New Roman" w:hAnsi="Times New Roman"/>
          <w:b w:val="0"/>
          <w:bCs w:val="0"/>
          <w:i w:val="0"/>
          <w:lang w:val="uk-UA"/>
        </w:rPr>
        <w:t xml:space="preserve"> 412</w:t>
      </w:r>
      <w:r w:rsidRPr="003A594D">
        <w:rPr>
          <w:rStyle w:val="apple-style-span"/>
          <w:rFonts w:ascii="Times New Roman" w:hAnsi="Times New Roman"/>
          <w:b w:val="0"/>
          <w:i w:val="0"/>
          <w:lang w:val="uk-UA"/>
        </w:rPr>
        <w:t xml:space="preserve">. – Р. 143–147.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Promrat K. Randomized controlled trial testing the effects of weight loss on nonalcoholic steatohepatitis / K. Promrat, D.E. Liner, H.M. Niemeier [et al.].  // Hepatology. —  2010. — </w:t>
      </w:r>
      <w:r w:rsidRPr="003A594D">
        <w:rPr>
          <w:spacing w:val="4"/>
          <w:sz w:val="28"/>
          <w:szCs w:val="28"/>
          <w:lang w:val="uk-UA"/>
        </w:rPr>
        <w:t xml:space="preserve"> № </w:t>
      </w:r>
      <w:r w:rsidRPr="003A594D">
        <w:rPr>
          <w:sz w:val="28"/>
          <w:szCs w:val="28"/>
          <w:lang w:val="uk-UA"/>
        </w:rPr>
        <w:t xml:space="preserve">51.— P. 121. </w:t>
      </w:r>
    </w:p>
    <w:p w:rsidR="00DC20D7" w:rsidRPr="003A594D" w:rsidRDefault="00DC20D7" w:rsidP="00DC20D7">
      <w:pPr>
        <w:pStyle w:val="21"/>
        <w:numPr>
          <w:ilvl w:val="0"/>
          <w:numId w:val="10"/>
        </w:numPr>
        <w:spacing w:line="360" w:lineRule="auto"/>
        <w:jc w:val="both"/>
        <w:rPr>
          <w:sz w:val="28"/>
          <w:szCs w:val="28"/>
          <w:bdr w:val="none" w:sz="0" w:space="0" w:color="auto" w:frame="1"/>
          <w:lang w:val="uk-UA"/>
        </w:rPr>
      </w:pPr>
      <w:r w:rsidRPr="003A594D">
        <w:rPr>
          <w:sz w:val="28"/>
          <w:szCs w:val="28"/>
          <w:bdr w:val="none" w:sz="0" w:space="0" w:color="auto" w:frame="1"/>
          <w:lang w:val="uk-UA"/>
        </w:rPr>
        <w:t xml:space="preserve">Randomized placebo controlled trial of ursodeoxycholic Acid with vitamin Е in nonalcoholic steatohepatitis / J.F. Dufour, C.M. Oneta, J.J. Gonvers [et al.].  // Clin. Gastroenterol. Hepatol. — 2006. — Vol. 4. — P. 1537.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Recent advances in the relationship between obesity, inﬂammation, and insulin resistance / Bastard JP, Maachi M, Lagathu C, [et.al.]. // Eur Cytokine Netw. – 2006. – Vol. 17 (1). – Р. 4–12.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 xml:space="preserve">Risk of severe liver disease in nonalcoholic fatty liver disease with normal aminotransferase levels: a role for insulin resistance and diabetes. </w:t>
      </w:r>
      <w:r w:rsidRPr="003A594D">
        <w:rPr>
          <w:rStyle w:val="refseriestitle"/>
          <w:iCs/>
          <w:sz w:val="28"/>
          <w:szCs w:val="28"/>
          <w:shd w:val="clear" w:color="auto" w:fill="FFFFFF"/>
          <w:lang w:val="uk-UA"/>
        </w:rPr>
        <w:t xml:space="preserve">/ </w:t>
      </w:r>
      <w:r w:rsidRPr="003A594D">
        <w:rPr>
          <w:rStyle w:val="refauthors"/>
          <w:sz w:val="28"/>
          <w:szCs w:val="28"/>
          <w:shd w:val="clear" w:color="auto" w:fill="FFFFFF"/>
          <w:lang w:val="uk-UA"/>
        </w:rPr>
        <w:t>A.L. Fracanzani, L. Valenti, E. Bugianesi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Hepatology</w:t>
      </w:r>
      <w:r w:rsidRPr="003A594D">
        <w:rPr>
          <w:sz w:val="28"/>
          <w:szCs w:val="28"/>
          <w:shd w:val="clear" w:color="auto" w:fill="FFFFFF"/>
          <w:lang w:val="uk-UA"/>
        </w:rPr>
        <w:t>. –</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2008. – Vol.</w:t>
      </w:r>
      <w:r w:rsidRPr="003A594D">
        <w:rPr>
          <w:rStyle w:val="refseriesvolume"/>
          <w:sz w:val="28"/>
          <w:szCs w:val="28"/>
          <w:shd w:val="clear" w:color="auto" w:fill="FFFFFF"/>
          <w:lang w:val="uk-UA"/>
        </w:rPr>
        <w:t>48. – P.</w:t>
      </w:r>
      <w:r w:rsidRPr="003A594D">
        <w:rPr>
          <w:rStyle w:val="refpages"/>
          <w:sz w:val="28"/>
          <w:szCs w:val="28"/>
          <w:shd w:val="clear" w:color="auto" w:fill="FFFFFF"/>
          <w:lang w:val="uk-UA"/>
        </w:rPr>
        <w:t>792–798.</w:t>
      </w:r>
    </w:p>
    <w:p w:rsidR="00DC20D7" w:rsidRPr="003A594D" w:rsidRDefault="00DE1C28" w:rsidP="00DC20D7">
      <w:pPr>
        <w:numPr>
          <w:ilvl w:val="0"/>
          <w:numId w:val="10"/>
        </w:numPr>
        <w:spacing w:line="360" w:lineRule="auto"/>
        <w:jc w:val="both"/>
        <w:rPr>
          <w:lang w:val="uk-UA"/>
        </w:rPr>
      </w:pPr>
      <w:hyperlink r:id="rId53" w:history="1">
        <w:r w:rsidR="00DC20D7" w:rsidRPr="003A594D">
          <w:rPr>
            <w:sz w:val="28"/>
            <w:lang w:val="uk-UA"/>
          </w:rPr>
          <w:t>Roblin X</w:t>
        </w:r>
      </w:hyperlink>
      <w:r w:rsidR="00DC20D7" w:rsidRPr="003A594D">
        <w:rPr>
          <w:sz w:val="28"/>
          <w:lang w:val="uk-UA"/>
        </w:rPr>
        <w:t xml:space="preserve">. Steatosis, chronic hepatitis virus C infection and homocysteine / X. </w:t>
      </w:r>
      <w:hyperlink r:id="rId54" w:history="1">
        <w:r w:rsidR="00DC20D7" w:rsidRPr="003A594D">
          <w:rPr>
            <w:sz w:val="28"/>
            <w:lang w:val="uk-UA"/>
          </w:rPr>
          <w:t>Roblin</w:t>
        </w:r>
      </w:hyperlink>
      <w:r w:rsidR="00DC20D7" w:rsidRPr="003A594D">
        <w:rPr>
          <w:sz w:val="28"/>
          <w:lang w:val="uk-UA"/>
        </w:rPr>
        <w:t xml:space="preserve">, J. </w:t>
      </w:r>
      <w:hyperlink r:id="rId55" w:history="1">
        <w:r w:rsidR="00DC20D7" w:rsidRPr="003A594D">
          <w:rPr>
            <w:sz w:val="28"/>
            <w:lang w:val="uk-UA"/>
          </w:rPr>
          <w:t>Pofelski</w:t>
        </w:r>
      </w:hyperlink>
      <w:r w:rsidR="00DC20D7" w:rsidRPr="003A594D">
        <w:rPr>
          <w:sz w:val="28"/>
          <w:lang w:val="uk-UA"/>
        </w:rPr>
        <w:t xml:space="preserve">, J.P. </w:t>
      </w:r>
      <w:hyperlink r:id="rId56" w:history="1">
        <w:r w:rsidR="00DC20D7" w:rsidRPr="003A594D">
          <w:rPr>
            <w:sz w:val="28"/>
            <w:lang w:val="uk-UA"/>
          </w:rPr>
          <w:t>Zarski</w:t>
        </w:r>
      </w:hyperlink>
      <w:r w:rsidR="00DC20D7" w:rsidRPr="003A594D">
        <w:rPr>
          <w:sz w:val="28"/>
          <w:lang w:val="uk-UA"/>
        </w:rPr>
        <w:t xml:space="preserve"> // </w:t>
      </w:r>
      <w:hyperlink r:id="rId57" w:tooltip="Gastroentérologie clinique et biologique." w:history="1">
        <w:r w:rsidR="00DC20D7" w:rsidRPr="003A594D">
          <w:rPr>
            <w:sz w:val="28"/>
            <w:lang w:val="uk-UA"/>
          </w:rPr>
          <w:t>Gastroenterol Clin Biol.</w:t>
        </w:r>
      </w:hyperlink>
      <w:r w:rsidR="00DC20D7" w:rsidRPr="003A594D">
        <w:rPr>
          <w:sz w:val="28"/>
          <w:lang w:val="uk-UA"/>
        </w:rPr>
        <w:t> – 2</w:t>
      </w:r>
      <w:r w:rsidR="00DC20D7" w:rsidRPr="003A594D">
        <w:rPr>
          <w:sz w:val="28"/>
          <w:szCs w:val="28"/>
          <w:shd w:val="clear" w:color="auto" w:fill="FFFFFF"/>
          <w:lang w:val="uk-UA"/>
        </w:rPr>
        <w:t>007. – Vol. 31 (4). – P. 415–420.</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Fonts w:ascii="Times New Roman" w:hAnsi="Times New Roman" w:cs="Times New Roman"/>
          <w:b w:val="0"/>
          <w:i w:val="0"/>
          <w:lang w:val="uk-UA"/>
        </w:rPr>
        <w:t xml:space="preserve">Role of cytokines and chemokines in non–alcoholic fatty liver disease / </w:t>
      </w:r>
      <w:r w:rsidRPr="003A594D">
        <w:rPr>
          <w:rStyle w:val="apple-style-span"/>
          <w:rFonts w:ascii="Times New Roman" w:hAnsi="Times New Roman"/>
          <w:b w:val="0"/>
          <w:bCs w:val="0"/>
          <w:i w:val="0"/>
          <w:lang w:val="uk-UA"/>
        </w:rPr>
        <w:t xml:space="preserve">V. Braunersreuther, G.L. Viviani, F. Mach, F. Montecucco // </w:t>
      </w:r>
      <w:r w:rsidRPr="003A594D">
        <w:rPr>
          <w:rStyle w:val="apple-style-span"/>
          <w:rFonts w:ascii="Times New Roman" w:hAnsi="Times New Roman"/>
          <w:b w:val="0"/>
          <w:i w:val="0"/>
          <w:lang w:val="uk-UA"/>
        </w:rPr>
        <w:t xml:space="preserve">World J Gastroenterol. – 2012. – </w:t>
      </w:r>
      <w:r w:rsidRPr="003A594D">
        <w:rPr>
          <w:rStyle w:val="apple-converted-space"/>
          <w:rFonts w:ascii="Times New Roman" w:hAnsi="Times New Roman"/>
          <w:b w:val="0"/>
          <w:i w:val="0"/>
          <w:lang w:val="uk-UA"/>
        </w:rPr>
        <w:t> </w:t>
      </w:r>
      <w:r w:rsidRPr="003A594D">
        <w:rPr>
          <w:rFonts w:ascii="Times New Roman" w:hAnsi="Times New Roman" w:cs="Times New Roman"/>
          <w:b w:val="0"/>
          <w:i w:val="0"/>
          <w:lang w:val="uk-UA"/>
        </w:rPr>
        <w:t xml:space="preserve">Vol. 18 (8). – Р. 727–735. </w:t>
      </w:r>
    </w:p>
    <w:p w:rsidR="00DC20D7" w:rsidRPr="003A594D" w:rsidRDefault="00DC20D7" w:rsidP="00DC20D7">
      <w:pPr>
        <w:pStyle w:val="aa"/>
        <w:numPr>
          <w:ilvl w:val="0"/>
          <w:numId w:val="10"/>
        </w:numPr>
        <w:spacing w:line="360" w:lineRule="auto"/>
        <w:jc w:val="both"/>
        <w:rPr>
          <w:spacing w:val="-8"/>
          <w:sz w:val="28"/>
          <w:szCs w:val="28"/>
          <w:lang w:val="uk-UA"/>
        </w:rPr>
      </w:pPr>
      <w:r w:rsidRPr="003A594D">
        <w:rPr>
          <w:spacing w:val="1"/>
          <w:sz w:val="28"/>
          <w:szCs w:val="28"/>
          <w:lang w:val="uk-UA"/>
        </w:rPr>
        <w:t xml:space="preserve">Role   of Hydrogen   Sulfide   and   Sulfur–Containing  Amino  Acids   in </w:t>
      </w:r>
      <w:r w:rsidRPr="003A594D">
        <w:rPr>
          <w:sz w:val="28"/>
          <w:szCs w:val="28"/>
          <w:lang w:val="uk-UA"/>
        </w:rPr>
        <w:t xml:space="preserve">Regulation of Tone of Smooth Muscles of the Vascular Wall in Rats / A. V. </w:t>
      </w:r>
      <w:r w:rsidRPr="003A594D">
        <w:rPr>
          <w:sz w:val="28"/>
          <w:szCs w:val="28"/>
          <w:lang w:val="uk-UA"/>
        </w:rPr>
        <w:lastRenderedPageBreak/>
        <w:t xml:space="preserve">Mel’nik, </w:t>
      </w:r>
      <w:r w:rsidRPr="003A594D">
        <w:rPr>
          <w:spacing w:val="2"/>
          <w:sz w:val="28"/>
          <w:szCs w:val="28"/>
          <w:lang w:val="uk-UA"/>
        </w:rPr>
        <w:t xml:space="preserve">N. I. Voloshchouk, N. O. Pentyuk [et al.]. // Neurophysiol. </w:t>
      </w:r>
      <w:r w:rsidRPr="003A594D">
        <w:rPr>
          <w:i/>
          <w:iCs/>
          <w:spacing w:val="2"/>
          <w:sz w:val="28"/>
          <w:szCs w:val="28"/>
          <w:lang w:val="uk-UA"/>
        </w:rPr>
        <w:t xml:space="preserve">– </w:t>
      </w:r>
      <w:r w:rsidRPr="003A594D">
        <w:rPr>
          <w:spacing w:val="2"/>
          <w:sz w:val="28"/>
          <w:szCs w:val="28"/>
          <w:lang w:val="uk-UA"/>
        </w:rPr>
        <w:t>2010. – № 2. – P. 126–</w:t>
      </w:r>
      <w:r w:rsidRPr="003A594D">
        <w:rPr>
          <w:spacing w:val="-8"/>
          <w:sz w:val="28"/>
          <w:szCs w:val="28"/>
          <w:lang w:val="uk-UA"/>
        </w:rPr>
        <w:t xml:space="preserve">131. </w:t>
      </w:r>
    </w:p>
    <w:p w:rsidR="00DC20D7" w:rsidRPr="003A594D" w:rsidRDefault="00DC20D7" w:rsidP="00DC20D7">
      <w:pPr>
        <w:numPr>
          <w:ilvl w:val="0"/>
          <w:numId w:val="10"/>
        </w:numPr>
        <w:spacing w:line="360" w:lineRule="auto"/>
        <w:jc w:val="both"/>
        <w:rPr>
          <w:sz w:val="28"/>
          <w:szCs w:val="28"/>
          <w:lang w:val="uk-UA"/>
        </w:rPr>
      </w:pPr>
      <w:r w:rsidRPr="003A594D">
        <w:rPr>
          <w:sz w:val="28"/>
          <w:szCs w:val="28"/>
          <w:shd w:val="clear" w:color="auto" w:fill="FFFFFF"/>
          <w:lang w:val="uk-UA"/>
        </w:rPr>
        <w:t>Role of mitochondria in nonalcoholic fatty liver disease–from origin to propagation. / I. Grattagliano, O. de Bari, T.C. Bernardo [et al.]. // Clin Biochem. – 2012. – Vol. 45. – Р. 610–618.</w:t>
      </w:r>
    </w:p>
    <w:p w:rsidR="00DC20D7" w:rsidRPr="003A594D" w:rsidRDefault="00DC20D7" w:rsidP="00DC20D7">
      <w:pPr>
        <w:numPr>
          <w:ilvl w:val="0"/>
          <w:numId w:val="10"/>
        </w:numPr>
        <w:spacing w:line="360" w:lineRule="auto"/>
        <w:jc w:val="both"/>
        <w:rPr>
          <w:sz w:val="28"/>
          <w:szCs w:val="28"/>
          <w:lang w:val="uk-UA"/>
        </w:rPr>
      </w:pPr>
      <w:r w:rsidRPr="003A594D">
        <w:rPr>
          <w:sz w:val="28"/>
          <w:szCs w:val="28"/>
          <w:shd w:val="clear" w:color="auto" w:fill="FFFFFF"/>
          <w:lang w:val="uk-UA"/>
        </w:rPr>
        <w:t>Ruhl C.E. Elevated serum alanine aminotransferase and gamma–glutamyltransferase and mortality in the United States population. / C.E. Ruhl, J.E.</w:t>
      </w:r>
      <w:r w:rsidRPr="003A594D">
        <w:rPr>
          <w:rStyle w:val="apple-converted-space"/>
          <w:sz w:val="28"/>
          <w:szCs w:val="28"/>
          <w:shd w:val="clear" w:color="auto" w:fill="FFFFFF"/>
          <w:lang w:val="uk-UA"/>
        </w:rPr>
        <w:t> </w:t>
      </w:r>
      <w:r w:rsidRPr="003A594D">
        <w:rPr>
          <w:sz w:val="28"/>
          <w:szCs w:val="28"/>
          <w:shd w:val="clear" w:color="auto" w:fill="FFFFFF"/>
          <w:lang w:val="uk-UA"/>
        </w:rPr>
        <w:t xml:space="preserve">Everhart // </w:t>
      </w:r>
      <w:r w:rsidRPr="003A594D">
        <w:rPr>
          <w:rStyle w:val="ref-journal"/>
          <w:sz w:val="28"/>
          <w:szCs w:val="28"/>
          <w:shd w:val="clear" w:color="auto" w:fill="FFFFFF"/>
          <w:lang w:val="uk-UA"/>
        </w:rPr>
        <w:t xml:space="preserve">Gastroenterology. – </w:t>
      </w:r>
      <w:r w:rsidRPr="003A594D">
        <w:rPr>
          <w:sz w:val="28"/>
          <w:szCs w:val="28"/>
          <w:shd w:val="clear" w:color="auto" w:fill="FFFFFF"/>
          <w:lang w:val="uk-UA"/>
        </w:rPr>
        <w:t>2009</w:t>
      </w:r>
      <w:r w:rsidRPr="003A594D">
        <w:rPr>
          <w:rStyle w:val="ref-vol"/>
          <w:sz w:val="28"/>
          <w:szCs w:val="28"/>
          <w:shd w:val="clear" w:color="auto" w:fill="FFFFFF"/>
          <w:lang w:val="uk-UA"/>
        </w:rPr>
        <w:t>. – Vol. 136 (2)</w:t>
      </w:r>
      <w:r w:rsidRPr="003A594D">
        <w:rPr>
          <w:sz w:val="28"/>
          <w:szCs w:val="28"/>
          <w:shd w:val="clear" w:color="auto" w:fill="FFFFFF"/>
          <w:lang w:val="uk-UA"/>
        </w:rPr>
        <w:t>. – P. 477–485</w:t>
      </w:r>
      <w:r w:rsidRPr="003A594D">
        <w:rPr>
          <w:rStyle w:val="apple-converted-space"/>
          <w:sz w:val="28"/>
          <w:szCs w:val="28"/>
          <w:shd w:val="clear" w:color="auto" w:fill="FFFFFF"/>
          <w:lang w:val="uk-UA"/>
        </w:rPr>
        <w:t>.</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Ruhl</w:t>
      </w:r>
      <w:r w:rsidRPr="003A594D">
        <w:rPr>
          <w:bCs/>
          <w:sz w:val="28"/>
          <w:szCs w:val="28"/>
          <w:lang w:val="uk-UA"/>
        </w:rPr>
        <w:t xml:space="preserve"> С.Е. </w:t>
      </w:r>
      <w:hyperlink r:id="rId58" w:history="1">
        <w:r w:rsidRPr="003A594D">
          <w:rPr>
            <w:sz w:val="28"/>
            <w:lang w:val="uk-UA"/>
          </w:rPr>
          <w:t>Non–alcoholic fatty liver disease (NAFLD) and mortality</w:t>
        </w:r>
      </w:hyperlink>
      <w:r w:rsidRPr="003A594D">
        <w:rPr>
          <w:sz w:val="28"/>
          <w:lang w:val="uk-UA"/>
        </w:rPr>
        <w:t xml:space="preserve">. / C.E. Ruhl, J.E. Everhart // J </w:t>
      </w:r>
      <w:hyperlink r:id="rId59" w:tooltip="Gastroenterology." w:history="1">
        <w:r w:rsidRPr="003A594D">
          <w:rPr>
            <w:sz w:val="28"/>
            <w:lang w:val="uk-UA"/>
          </w:rPr>
          <w:t>Hepatology.</w:t>
        </w:r>
      </w:hyperlink>
      <w:r w:rsidRPr="003A594D">
        <w:rPr>
          <w:sz w:val="28"/>
          <w:szCs w:val="28"/>
          <w:shd w:val="clear" w:color="auto" w:fill="FFFFFF"/>
          <w:lang w:val="uk-UA"/>
        </w:rPr>
        <w:t xml:space="preserve"> – 2009. – Vol. 51 (3). – P. 593.</w:t>
      </w:r>
    </w:p>
    <w:p w:rsidR="00DC20D7" w:rsidRPr="003A594D" w:rsidRDefault="00DC20D7" w:rsidP="00DC20D7">
      <w:pPr>
        <w:pStyle w:val="21"/>
        <w:numPr>
          <w:ilvl w:val="0"/>
          <w:numId w:val="10"/>
        </w:numPr>
        <w:spacing w:line="360" w:lineRule="auto"/>
        <w:jc w:val="both"/>
        <w:rPr>
          <w:spacing w:val="-3"/>
          <w:sz w:val="28"/>
          <w:szCs w:val="28"/>
          <w:lang w:val="uk-UA"/>
        </w:rPr>
      </w:pPr>
      <w:r w:rsidRPr="003A594D">
        <w:rPr>
          <w:sz w:val="28"/>
          <w:szCs w:val="28"/>
          <w:lang w:val="uk-UA"/>
        </w:rPr>
        <w:t>S–adenosyl–L–homocysteine hydrolase, key enzyme of mcthylation meta</w:t>
      </w:r>
      <w:r w:rsidRPr="003A594D">
        <w:rPr>
          <w:sz w:val="28"/>
          <w:szCs w:val="28"/>
          <w:lang w:val="uk-UA"/>
        </w:rPr>
        <w:softHyphen/>
      </w:r>
      <w:r w:rsidRPr="003A594D">
        <w:rPr>
          <w:spacing w:val="2"/>
          <w:sz w:val="28"/>
          <w:szCs w:val="28"/>
          <w:lang w:val="uk-UA"/>
        </w:rPr>
        <w:t xml:space="preserve">bolism, regulates phosphatidylcholine synthesis and triacylglycerol homeostasis in </w:t>
      </w:r>
      <w:r w:rsidRPr="003A594D">
        <w:rPr>
          <w:sz w:val="28"/>
          <w:szCs w:val="28"/>
          <w:lang w:val="uk-UA"/>
        </w:rPr>
        <w:t>yeast: implications for homocysteine as a risk factor of atherosclerosis / N. Malanov</w:t>
      </w:r>
      <w:r w:rsidRPr="003A594D">
        <w:rPr>
          <w:spacing w:val="3"/>
          <w:sz w:val="28"/>
          <w:szCs w:val="28"/>
          <w:lang w:val="uk-UA"/>
        </w:rPr>
        <w:t>ic, 1. Streilh, H. Wolinski [et al.]. // J. Biol. Chem. – 2008. –  Vol. 29 . – P. 23989–</w:t>
      </w:r>
      <w:r w:rsidRPr="003A594D">
        <w:rPr>
          <w:spacing w:val="-3"/>
          <w:sz w:val="28"/>
          <w:szCs w:val="28"/>
          <w:lang w:val="uk-UA"/>
        </w:rPr>
        <w:t xml:space="preserve">23999.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Sanyal AJ. Mechanism of disease: Pathogenesis of nonalcoholic fatty liver diseases / Nat Clin Pract Gastroenterology and Hepatol. – 2005. – № 2. – P. 46 – 53.</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Sazci A. </w:t>
      </w:r>
      <w:r w:rsidRPr="003A594D">
        <w:rPr>
          <w:rStyle w:val="af0"/>
          <w:bCs/>
          <w:sz w:val="28"/>
          <w:szCs w:val="28"/>
          <w:bdr w:val="none" w:sz="0" w:space="0" w:color="auto" w:frame="1"/>
          <w:lang w:val="uk-UA"/>
        </w:rPr>
        <w:t xml:space="preserve">Methylenetetrahydrofolate reductase gene polymorphisms in patients with nonalcoholic steatohepatitis (NASH). / </w:t>
      </w:r>
      <w:r w:rsidRPr="003A594D">
        <w:rPr>
          <w:sz w:val="28"/>
          <w:szCs w:val="28"/>
          <w:lang w:val="uk-UA"/>
        </w:rPr>
        <w:t xml:space="preserve">A. Sazci, E. Ergul, C. Aygun </w:t>
      </w:r>
      <w:r w:rsidRPr="003A594D">
        <w:rPr>
          <w:rStyle w:val="apple-converted-space"/>
          <w:sz w:val="28"/>
          <w:szCs w:val="28"/>
          <w:lang w:val="uk-UA"/>
        </w:rPr>
        <w:t xml:space="preserve">// </w:t>
      </w:r>
      <w:r w:rsidRPr="003A594D">
        <w:rPr>
          <w:rStyle w:val="af1"/>
          <w:iCs/>
          <w:sz w:val="28"/>
          <w:szCs w:val="28"/>
          <w:bdr w:val="none" w:sz="0" w:space="0" w:color="auto" w:frame="1"/>
          <w:lang w:val="uk-UA"/>
        </w:rPr>
        <w:t>Cell Biochem Funct</w:t>
      </w:r>
      <w:r w:rsidRPr="003A594D">
        <w:rPr>
          <w:rStyle w:val="apple-converted-space"/>
          <w:sz w:val="28"/>
          <w:szCs w:val="28"/>
          <w:lang w:val="uk-UA"/>
        </w:rPr>
        <w:t xml:space="preserve">. – </w:t>
      </w:r>
      <w:r w:rsidRPr="003A594D">
        <w:rPr>
          <w:sz w:val="28"/>
          <w:szCs w:val="28"/>
          <w:lang w:val="uk-UA"/>
        </w:rPr>
        <w:t xml:space="preserve"> 2008</w:t>
      </w:r>
      <w:r w:rsidRPr="003A594D">
        <w:rPr>
          <w:rStyle w:val="apple-converted-space"/>
          <w:sz w:val="28"/>
          <w:szCs w:val="28"/>
          <w:lang w:val="uk-UA"/>
        </w:rPr>
        <w:t>. – Vol. </w:t>
      </w:r>
      <w:r w:rsidRPr="003A594D">
        <w:rPr>
          <w:rStyle w:val="af0"/>
          <w:bCs/>
          <w:sz w:val="28"/>
          <w:szCs w:val="28"/>
          <w:bdr w:val="none" w:sz="0" w:space="0" w:color="auto" w:frame="1"/>
          <w:lang w:val="uk-UA"/>
        </w:rPr>
        <w:t xml:space="preserve">26 </w:t>
      </w:r>
      <w:r w:rsidRPr="003A594D">
        <w:rPr>
          <w:sz w:val="28"/>
          <w:szCs w:val="28"/>
          <w:lang w:val="uk-UA"/>
        </w:rPr>
        <w:t>(3). – P. 291–296.</w:t>
      </w:r>
    </w:p>
    <w:p w:rsidR="00DC20D7" w:rsidRPr="003A594D" w:rsidRDefault="00DC20D7" w:rsidP="00DC20D7">
      <w:pPr>
        <w:numPr>
          <w:ilvl w:val="0"/>
          <w:numId w:val="10"/>
        </w:numPr>
        <w:spacing w:line="360" w:lineRule="auto"/>
        <w:jc w:val="both"/>
        <w:rPr>
          <w:sz w:val="28"/>
          <w:szCs w:val="28"/>
          <w:lang w:val="uk-UA"/>
        </w:rPr>
      </w:pPr>
      <w:r w:rsidRPr="003A594D">
        <w:rPr>
          <w:rStyle w:val="autoren"/>
          <w:sz w:val="28"/>
          <w:szCs w:val="28"/>
          <w:shd w:val="clear" w:color="auto" w:fill="FFFFFF"/>
          <w:lang w:val="uk-UA"/>
        </w:rPr>
        <w:t>Schattenberg J.M.</w:t>
      </w:r>
      <w:r w:rsidRPr="003A594D">
        <w:rPr>
          <w:rStyle w:val="apple-converted-space"/>
          <w:sz w:val="28"/>
          <w:szCs w:val="28"/>
          <w:shd w:val="clear" w:color="auto" w:fill="FFFFFF"/>
          <w:lang w:val="uk-UA"/>
        </w:rPr>
        <w:t> </w:t>
      </w:r>
      <w:r w:rsidRPr="003A594D">
        <w:rPr>
          <w:sz w:val="28"/>
          <w:szCs w:val="28"/>
          <w:lang w:val="uk-UA"/>
        </w:rPr>
        <w:t>Animal Models of Non–Alcoholic Steatohepatitis: Of Mice and Man /</w:t>
      </w:r>
      <w:r w:rsidRPr="003A594D">
        <w:rPr>
          <w:rStyle w:val="autoren"/>
          <w:sz w:val="28"/>
          <w:szCs w:val="28"/>
          <w:shd w:val="clear" w:color="auto" w:fill="FFFFFF"/>
          <w:lang w:val="uk-UA"/>
        </w:rPr>
        <w:t xml:space="preserve"> J.M.</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 xml:space="preserve">Schattenberg, P.K. Galle // </w:t>
      </w:r>
      <w:r w:rsidRPr="003A594D">
        <w:rPr>
          <w:sz w:val="28"/>
          <w:szCs w:val="28"/>
          <w:shd w:val="clear" w:color="auto" w:fill="FFFFFF"/>
          <w:lang w:val="uk-UA"/>
        </w:rPr>
        <w:t xml:space="preserve">Dig Dis. – 2010. – Vol. 28 </w:t>
      </w:r>
      <w:r w:rsidRPr="003A594D">
        <w:rPr>
          <w:sz w:val="28"/>
          <w:szCs w:val="28"/>
          <w:lang w:val="uk-UA"/>
        </w:rPr>
        <w:t>(1)</w:t>
      </w:r>
      <w:r w:rsidRPr="003A594D">
        <w:rPr>
          <w:sz w:val="28"/>
          <w:szCs w:val="28"/>
          <w:shd w:val="clear" w:color="auto" w:fill="FFFFFF"/>
          <w:lang w:val="uk-UA"/>
        </w:rPr>
        <w:t>. – P.247–254.</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Serum cytokine and soluble cytokine receptor levels in patients with non–alcoholic steatohepatitis / S. Abiru, K. Micita, Y. Maeda, [et.al.]. // Liver Int. – 2006. – </w:t>
      </w:r>
      <w:r w:rsidRPr="003A594D">
        <w:rPr>
          <w:sz w:val="28"/>
          <w:szCs w:val="28"/>
          <w:shd w:val="clear" w:color="auto" w:fill="FFFFFF"/>
          <w:lang w:val="uk-UA"/>
        </w:rPr>
        <w:t>V</w:t>
      </w:r>
      <w:r w:rsidRPr="003A594D">
        <w:rPr>
          <w:sz w:val="28"/>
          <w:szCs w:val="28"/>
          <w:lang w:val="uk-UA"/>
        </w:rPr>
        <w:t xml:space="preserve">ol. 26 (1). – P. 39–45.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 xml:space="preserve">Serum homocysteine levels in patients with nonalcoholic fatty liver disease </w:t>
      </w:r>
      <w:r w:rsidRPr="003A594D">
        <w:rPr>
          <w:bCs/>
          <w:sz w:val="28"/>
          <w:szCs w:val="15"/>
          <w:lang w:val="uk-UA"/>
        </w:rPr>
        <w:t xml:space="preserve">/ S.A. Polyzos, J. Kountouras, K. Patsiaoura </w:t>
      </w:r>
      <w:r w:rsidRPr="003A594D">
        <w:rPr>
          <w:sz w:val="28"/>
          <w:szCs w:val="28"/>
          <w:lang w:val="uk-UA"/>
        </w:rPr>
        <w:t xml:space="preserve">[et al.]. </w:t>
      </w:r>
      <w:r w:rsidRPr="003A594D">
        <w:rPr>
          <w:rStyle w:val="af0"/>
          <w:bCs/>
          <w:sz w:val="28"/>
          <w:szCs w:val="28"/>
          <w:bdr w:val="none" w:sz="0" w:space="0" w:color="auto" w:frame="1"/>
          <w:shd w:val="clear" w:color="auto" w:fill="FFFFFF"/>
          <w:lang w:val="uk-UA"/>
        </w:rPr>
        <w:t>//</w:t>
      </w:r>
      <w:r w:rsidRPr="003A594D">
        <w:rPr>
          <w:sz w:val="28"/>
          <w:szCs w:val="28"/>
          <w:lang w:val="uk-UA"/>
        </w:rPr>
        <w:t xml:space="preserve"> Annals of Hepatology. – 2012. – Vol. 11 (1). – P. 68–76.</w:t>
      </w:r>
    </w:p>
    <w:p w:rsidR="00DC20D7" w:rsidRPr="003A594D" w:rsidRDefault="00DC20D7" w:rsidP="00DC20D7">
      <w:pPr>
        <w:pStyle w:val="21"/>
        <w:numPr>
          <w:ilvl w:val="0"/>
          <w:numId w:val="10"/>
        </w:numPr>
        <w:spacing w:line="360" w:lineRule="auto"/>
        <w:jc w:val="both"/>
        <w:rPr>
          <w:sz w:val="28"/>
          <w:szCs w:val="28"/>
          <w:shd w:val="clear" w:color="auto" w:fill="FFFFFF"/>
          <w:lang w:val="uk-UA"/>
        </w:rPr>
      </w:pPr>
      <w:r w:rsidRPr="003A594D">
        <w:rPr>
          <w:sz w:val="28"/>
          <w:szCs w:val="28"/>
          <w:shd w:val="clear" w:color="auto" w:fill="FFFFFF"/>
          <w:lang w:val="uk-UA"/>
        </w:rPr>
        <w:lastRenderedPageBreak/>
        <w:t>Simple non–invasive fibrosis scoring systems can reliably exclude advanced fibrosis in patients with non–alcoholic fatty liver disease. /</w:t>
      </w:r>
      <w:r w:rsidRPr="003A594D">
        <w:rPr>
          <w:rStyle w:val="apple-converted-space"/>
          <w:i/>
          <w:sz w:val="28"/>
          <w:szCs w:val="28"/>
          <w:shd w:val="clear" w:color="auto" w:fill="FFFFFF"/>
          <w:lang w:val="uk-UA"/>
        </w:rPr>
        <w:t> </w:t>
      </w:r>
      <w:r w:rsidRPr="003A594D">
        <w:rPr>
          <w:sz w:val="28"/>
          <w:szCs w:val="28"/>
          <w:shd w:val="clear" w:color="auto" w:fill="FFFFFF"/>
          <w:lang w:val="uk-UA"/>
        </w:rPr>
        <w:t>S. McPherson, S.F. Stewart, E. Henderson</w:t>
      </w:r>
      <w:r w:rsidRPr="003A594D">
        <w:rPr>
          <w:rStyle w:val="af1"/>
          <w:iCs/>
          <w:sz w:val="28"/>
          <w:szCs w:val="28"/>
          <w:shd w:val="clear" w:color="auto" w:fill="FFFFFF"/>
          <w:lang w:val="uk-UA"/>
        </w:rPr>
        <w:t xml:space="preserve"> </w:t>
      </w:r>
      <w:r w:rsidRPr="003A594D">
        <w:rPr>
          <w:sz w:val="28"/>
          <w:szCs w:val="28"/>
          <w:lang w:val="uk-UA"/>
        </w:rPr>
        <w:t>[et al.].</w:t>
      </w:r>
      <w:r w:rsidRPr="003A594D">
        <w:rPr>
          <w:rStyle w:val="af1"/>
          <w:iCs/>
          <w:sz w:val="28"/>
          <w:szCs w:val="28"/>
          <w:shd w:val="clear" w:color="auto" w:fill="FFFFFF"/>
          <w:lang w:val="uk-UA"/>
        </w:rPr>
        <w:t xml:space="preserve"> // Gut</w:t>
      </w:r>
      <w:r w:rsidRPr="003A594D">
        <w:rPr>
          <w:rStyle w:val="ref-journal"/>
          <w:i/>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sz w:val="28"/>
          <w:szCs w:val="28"/>
          <w:shd w:val="clear" w:color="auto" w:fill="FFFFFF"/>
          <w:lang w:val="uk-UA"/>
        </w:rPr>
        <w:t>2010</w:t>
      </w:r>
      <w:r w:rsidRPr="003A594D">
        <w:rPr>
          <w:rStyle w:val="ref-vol"/>
          <w:sz w:val="28"/>
          <w:szCs w:val="28"/>
          <w:shd w:val="clear" w:color="auto" w:fill="FFFFFF"/>
          <w:lang w:val="uk-UA"/>
        </w:rPr>
        <w:t xml:space="preserve">. – Vol. 59 </w:t>
      </w:r>
      <w:r w:rsidRPr="003A594D">
        <w:rPr>
          <w:sz w:val="28"/>
          <w:szCs w:val="28"/>
          <w:shd w:val="clear" w:color="auto" w:fill="FFFFFF"/>
          <w:lang w:val="uk-UA"/>
        </w:rPr>
        <w:t xml:space="preserve">(9). – P. 1265–1269. </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Fonts w:ascii="Times New Roman" w:hAnsi="Times New Roman" w:cs="Times New Roman"/>
          <w:b w:val="0"/>
          <w:i w:val="0"/>
          <w:lang w:val="uk-UA"/>
        </w:rPr>
        <w:t xml:space="preserve">Skrypnyk I. Diagnostic and treatment algorithms of ulcerative colitis in Ukraine // Digestive Diseases. – 2009. – Vol. 27. – P. 550–554.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Specific contribution of methionine and choline in nutritional nonalcoholic steatohepatitis: impact on mitochondrial SadenosylLmethionine and glutathione / F. Caballero, A. Fernandez, N. Matias [et al.].  // J. Biol. Chem. — 2010. — Vol. 285 (24). — P. 18528—18536.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Spickett C.M.  The lipid peroxidation product 4–hydroxy–2–nonenal: advances in chemistry and analysis //</w:t>
      </w:r>
      <w:r w:rsidRPr="003A594D">
        <w:rPr>
          <w:rStyle w:val="apple-converted-space"/>
          <w:sz w:val="28"/>
          <w:szCs w:val="28"/>
          <w:lang w:val="uk-UA"/>
        </w:rPr>
        <w:t> </w:t>
      </w:r>
      <w:r w:rsidRPr="003A594D">
        <w:rPr>
          <w:sz w:val="28"/>
          <w:szCs w:val="28"/>
          <w:lang w:val="uk-UA"/>
        </w:rPr>
        <w:t xml:space="preserve">Redox Biology. – 2013.– </w:t>
      </w:r>
      <w:r w:rsidRPr="003A594D">
        <w:rPr>
          <w:spacing w:val="2"/>
          <w:sz w:val="28"/>
          <w:szCs w:val="28"/>
          <w:lang w:val="uk-UA"/>
        </w:rPr>
        <w:t>V</w:t>
      </w:r>
      <w:r w:rsidRPr="003A594D">
        <w:rPr>
          <w:sz w:val="28"/>
          <w:szCs w:val="28"/>
          <w:lang w:val="uk-UA"/>
        </w:rPr>
        <w:t xml:space="preserve">ol. 1. – № 1. – Р. 145–152. </w:t>
      </w:r>
    </w:p>
    <w:p w:rsidR="00DC20D7" w:rsidRPr="003A594D" w:rsidRDefault="00DC20D7" w:rsidP="00DC20D7">
      <w:pPr>
        <w:numPr>
          <w:ilvl w:val="0"/>
          <w:numId w:val="10"/>
        </w:numPr>
        <w:spacing w:line="360" w:lineRule="auto"/>
        <w:jc w:val="both"/>
        <w:rPr>
          <w:sz w:val="28"/>
          <w:szCs w:val="28"/>
          <w:lang w:val="uk-UA"/>
        </w:rPr>
      </w:pPr>
      <w:r w:rsidRPr="003A594D">
        <w:rPr>
          <w:rStyle w:val="refauthors"/>
          <w:sz w:val="28"/>
          <w:szCs w:val="28"/>
          <w:shd w:val="clear" w:color="auto" w:fill="FFFFFF"/>
          <w:lang w:val="uk-UA"/>
        </w:rPr>
        <w:t xml:space="preserve">Starley B.Q. </w:t>
      </w:r>
      <w:r w:rsidRPr="003A594D">
        <w:rPr>
          <w:rStyle w:val="reftitle"/>
          <w:bCs/>
          <w:sz w:val="28"/>
          <w:szCs w:val="28"/>
          <w:shd w:val="clear" w:color="auto" w:fill="FFFFFF"/>
          <w:lang w:val="uk-UA"/>
        </w:rPr>
        <w:t>Non–alcoholic fatty liver disease and hepatocellular carcinoma: a weighty connection.</w:t>
      </w:r>
      <w:r w:rsidRPr="003A594D">
        <w:rPr>
          <w:rStyle w:val="apple-converted-space"/>
          <w:bCs/>
          <w:sz w:val="28"/>
          <w:szCs w:val="28"/>
          <w:shd w:val="clear" w:color="auto" w:fill="FFFFFF"/>
          <w:lang w:val="uk-UA"/>
        </w:rPr>
        <w:t xml:space="preserve"> //</w:t>
      </w:r>
      <w:r w:rsidRPr="003A594D">
        <w:rPr>
          <w:rStyle w:val="refauthors"/>
          <w:sz w:val="28"/>
          <w:szCs w:val="28"/>
          <w:shd w:val="clear" w:color="auto" w:fill="FFFFFF"/>
          <w:lang w:val="uk-UA"/>
        </w:rPr>
        <w:t xml:space="preserve"> B.Q. Starley, C.J. Calcagno, S.A Harrison.</w:t>
      </w:r>
      <w:r w:rsidRPr="003A594D">
        <w:rPr>
          <w:rStyle w:val="apple-converted-space"/>
          <w:sz w:val="28"/>
          <w:szCs w:val="28"/>
          <w:shd w:val="clear" w:color="auto" w:fill="FFFFFF"/>
          <w:lang w:val="uk-UA"/>
        </w:rPr>
        <w:t> //</w:t>
      </w:r>
      <w:r w:rsidRPr="003A594D">
        <w:rPr>
          <w:rStyle w:val="apple-converted-space"/>
          <w:bCs/>
          <w:sz w:val="28"/>
          <w:szCs w:val="28"/>
          <w:shd w:val="clear" w:color="auto" w:fill="FFFFFF"/>
          <w:lang w:val="uk-UA"/>
        </w:rPr>
        <w:t> </w:t>
      </w:r>
      <w:r w:rsidRPr="003A594D">
        <w:rPr>
          <w:rStyle w:val="refseriestitle"/>
          <w:iCs/>
          <w:sz w:val="28"/>
          <w:szCs w:val="28"/>
          <w:shd w:val="clear" w:color="auto" w:fill="FFFFFF"/>
          <w:lang w:val="uk-UA"/>
        </w:rPr>
        <w:t>Hepatology</w:t>
      </w:r>
      <w:r w:rsidRPr="003A594D">
        <w:rPr>
          <w:sz w:val="28"/>
          <w:szCs w:val="28"/>
          <w:shd w:val="clear" w:color="auto" w:fill="FFFFFF"/>
          <w:lang w:val="uk-UA"/>
        </w:rPr>
        <w:t>. –</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2010. – Vol.</w:t>
      </w:r>
      <w:r w:rsidRPr="003A594D">
        <w:rPr>
          <w:rStyle w:val="apple-converted-space"/>
          <w:sz w:val="28"/>
          <w:szCs w:val="28"/>
          <w:shd w:val="clear" w:color="auto" w:fill="FFFFFF"/>
          <w:lang w:val="uk-UA"/>
        </w:rPr>
        <w:t> </w:t>
      </w:r>
      <w:r w:rsidRPr="003A594D">
        <w:rPr>
          <w:rStyle w:val="refseriesvolume"/>
          <w:sz w:val="28"/>
          <w:szCs w:val="28"/>
          <w:shd w:val="clear" w:color="auto" w:fill="FFFFFF"/>
          <w:lang w:val="uk-UA"/>
        </w:rPr>
        <w:t xml:space="preserve">51. – P. </w:t>
      </w:r>
      <w:r w:rsidRPr="003A594D">
        <w:rPr>
          <w:rStyle w:val="refpages"/>
          <w:sz w:val="28"/>
          <w:szCs w:val="28"/>
          <w:shd w:val="clear" w:color="auto" w:fill="FFFFFF"/>
          <w:lang w:val="uk-UA"/>
        </w:rPr>
        <w:t>1820–1832</w:t>
      </w:r>
      <w:r w:rsidRPr="003A594D">
        <w:rPr>
          <w:sz w:val="28"/>
          <w:szCs w:val="28"/>
          <w:lang w:val="uk-UA"/>
        </w:rPr>
        <w:t>.</w:t>
      </w:r>
    </w:p>
    <w:p w:rsidR="00DC20D7" w:rsidRPr="003A594D" w:rsidRDefault="00DC20D7" w:rsidP="00DC20D7">
      <w:pPr>
        <w:numPr>
          <w:ilvl w:val="0"/>
          <w:numId w:val="10"/>
        </w:numPr>
        <w:spacing w:line="360" w:lineRule="auto"/>
        <w:jc w:val="both"/>
        <w:rPr>
          <w:sz w:val="28"/>
          <w:szCs w:val="28"/>
          <w:lang w:val="uk-UA"/>
        </w:rPr>
      </w:pPr>
      <w:r w:rsidRPr="003A594D">
        <w:rPr>
          <w:rStyle w:val="autoren"/>
          <w:sz w:val="28"/>
          <w:szCs w:val="28"/>
          <w:shd w:val="clear" w:color="auto" w:fill="FFFFFF"/>
          <w:lang w:val="uk-UA"/>
        </w:rPr>
        <w:t>Straub B.K</w:t>
      </w:r>
      <w:r w:rsidRPr="003A594D">
        <w:rPr>
          <w:sz w:val="28"/>
          <w:lang w:val="uk-UA"/>
        </w:rPr>
        <w:t>. </w:t>
      </w:r>
      <w:hyperlink r:id="rId60" w:history="1">
        <w:r w:rsidRPr="003A594D">
          <w:rPr>
            <w:sz w:val="28"/>
            <w:lang w:val="uk-UA"/>
          </w:rPr>
          <w:t>Pathology and Biopsy Assessment of Non–Alcoholic Fatty Liver Disease</w:t>
        </w:r>
      </w:hyperlink>
      <w:r w:rsidRPr="003A594D">
        <w:rPr>
          <w:sz w:val="28"/>
          <w:lang w:val="uk-UA"/>
        </w:rPr>
        <w:t>.</w:t>
      </w:r>
      <w:r w:rsidRPr="003A594D">
        <w:rPr>
          <w:rStyle w:val="autoren"/>
          <w:sz w:val="32"/>
          <w:szCs w:val="28"/>
          <w:shd w:val="clear" w:color="auto" w:fill="FFFFFF"/>
          <w:lang w:val="uk-UA"/>
        </w:rPr>
        <w:t xml:space="preserve"> </w:t>
      </w:r>
      <w:r w:rsidRPr="003A594D">
        <w:rPr>
          <w:rStyle w:val="autoren"/>
          <w:sz w:val="28"/>
          <w:szCs w:val="28"/>
          <w:shd w:val="clear" w:color="auto" w:fill="FFFFFF"/>
          <w:lang w:val="uk-UA"/>
        </w:rPr>
        <w:t>/ B.K.</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Straub,</w:t>
      </w:r>
      <w:r w:rsidRPr="003A594D">
        <w:rPr>
          <w:rStyle w:val="apple-converted-space"/>
          <w:sz w:val="28"/>
          <w:szCs w:val="28"/>
          <w:shd w:val="clear" w:color="auto" w:fill="FFFFFF"/>
          <w:lang w:val="uk-UA"/>
        </w:rPr>
        <w:t xml:space="preserve"> </w:t>
      </w:r>
      <w:r w:rsidRPr="003A594D">
        <w:rPr>
          <w:rStyle w:val="autoren"/>
          <w:sz w:val="28"/>
          <w:szCs w:val="28"/>
          <w:shd w:val="clear" w:color="auto" w:fill="FFFFFF"/>
          <w:lang w:val="uk-UA"/>
        </w:rPr>
        <w:t>P.</w:t>
      </w:r>
      <w:r w:rsidRPr="003A594D">
        <w:rPr>
          <w:rStyle w:val="apple-converted-space"/>
          <w:sz w:val="28"/>
          <w:szCs w:val="28"/>
          <w:shd w:val="clear" w:color="auto" w:fill="FFFFFF"/>
          <w:lang w:val="uk-UA"/>
        </w:rPr>
        <w:t> </w:t>
      </w:r>
      <w:r w:rsidRPr="003A594D">
        <w:rPr>
          <w:rStyle w:val="autoren"/>
          <w:sz w:val="28"/>
          <w:szCs w:val="28"/>
          <w:shd w:val="clear" w:color="auto" w:fill="FFFFFF"/>
          <w:lang w:val="uk-UA"/>
        </w:rPr>
        <w:t>Schirmacher </w:t>
      </w:r>
      <w:r w:rsidRPr="003A594D">
        <w:rPr>
          <w:sz w:val="28"/>
          <w:szCs w:val="28"/>
          <w:shd w:val="clear" w:color="auto" w:fill="FFFFFF"/>
          <w:lang w:val="uk-UA"/>
        </w:rPr>
        <w:t xml:space="preserve">// Dig Dis. – 2010. – Vol. 28 </w:t>
      </w:r>
      <w:r w:rsidRPr="003A594D">
        <w:rPr>
          <w:sz w:val="28"/>
          <w:szCs w:val="28"/>
          <w:lang w:val="uk-UA"/>
        </w:rPr>
        <w:t>(1)</w:t>
      </w:r>
      <w:r w:rsidRPr="003A594D">
        <w:rPr>
          <w:sz w:val="28"/>
          <w:szCs w:val="28"/>
          <w:shd w:val="clear" w:color="auto" w:fill="FFFFFF"/>
          <w:lang w:val="uk-UA"/>
        </w:rPr>
        <w:t>. – P. 197–202.</w:t>
      </w:r>
    </w:p>
    <w:p w:rsidR="00DC20D7" w:rsidRPr="003A594D" w:rsidRDefault="00DC20D7" w:rsidP="00DC20D7">
      <w:pPr>
        <w:numPr>
          <w:ilvl w:val="0"/>
          <w:numId w:val="10"/>
        </w:numPr>
        <w:shd w:val="clear" w:color="auto" w:fill="FFFFFF"/>
        <w:spacing w:line="360" w:lineRule="auto"/>
        <w:jc w:val="both"/>
        <w:textAlignment w:val="baseline"/>
        <w:rPr>
          <w:sz w:val="28"/>
          <w:szCs w:val="28"/>
          <w:lang w:val="uk-UA"/>
        </w:rPr>
      </w:pPr>
      <w:r w:rsidRPr="003A594D">
        <w:rPr>
          <w:sz w:val="28"/>
          <w:szCs w:val="28"/>
          <w:lang w:val="uk-UA"/>
        </w:rPr>
        <w:t>Suspected nonalcoholic fatty liver disease and mortality risk in a population–based cohort study / W. Dunn, R. Xu, D. Wingard</w:t>
      </w:r>
      <w:r w:rsidRPr="003A594D">
        <w:rPr>
          <w:rStyle w:val="af1"/>
          <w:iCs/>
          <w:sz w:val="28"/>
          <w:szCs w:val="28"/>
          <w:bdr w:val="none" w:sz="0" w:space="0" w:color="auto" w:frame="1"/>
          <w:lang w:val="uk-UA"/>
        </w:rPr>
        <w:t xml:space="preserve"> </w:t>
      </w:r>
      <w:r w:rsidRPr="003A594D">
        <w:rPr>
          <w:sz w:val="28"/>
          <w:szCs w:val="28"/>
          <w:lang w:val="uk-UA"/>
        </w:rPr>
        <w:t>[et al.] //</w:t>
      </w:r>
      <w:r w:rsidRPr="003A594D">
        <w:rPr>
          <w:rStyle w:val="apple-converted-space"/>
          <w:sz w:val="28"/>
          <w:szCs w:val="28"/>
          <w:lang w:val="uk-UA"/>
        </w:rPr>
        <w:t xml:space="preserve"> </w:t>
      </w:r>
      <w:r w:rsidRPr="003A594D">
        <w:rPr>
          <w:sz w:val="28"/>
          <w:szCs w:val="28"/>
          <w:lang w:val="uk-UA"/>
        </w:rPr>
        <w:t>Am J Gastroenterol. – 2008. – Vol. 103 – P. 2263–2271.</w:t>
      </w:r>
    </w:p>
    <w:p w:rsidR="00DC20D7" w:rsidRPr="003A594D" w:rsidRDefault="00DC20D7" w:rsidP="00DC20D7">
      <w:pPr>
        <w:numPr>
          <w:ilvl w:val="0"/>
          <w:numId w:val="10"/>
        </w:numPr>
        <w:spacing w:line="360" w:lineRule="auto"/>
        <w:jc w:val="both"/>
        <w:rPr>
          <w:rStyle w:val="apple-style-span"/>
          <w:b/>
          <w:i/>
          <w:lang w:val="uk-UA"/>
        </w:rPr>
      </w:pPr>
      <w:r w:rsidRPr="003A594D">
        <w:rPr>
          <w:rStyle w:val="reftitle"/>
          <w:bCs/>
          <w:sz w:val="28"/>
          <w:szCs w:val="28"/>
          <w:shd w:val="clear" w:color="auto" w:fill="FFFFFF"/>
          <w:lang w:val="uk-UA"/>
        </w:rPr>
        <w:t>Systematic review of risk factors for fibrosis progression in non–alcoholic steatohepatitis.</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C.K. Argo, P.G. Northup, A.M. Al–Osaimi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J Hepatol</w:t>
      </w:r>
      <w:r w:rsidRPr="003A594D">
        <w:rPr>
          <w:shd w:val="clear" w:color="auto" w:fill="FFFFFF"/>
          <w:lang w:val="uk-UA"/>
        </w:rPr>
        <w:t>.</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 2009. – Vol. </w:t>
      </w:r>
      <w:r w:rsidRPr="003A594D">
        <w:rPr>
          <w:rStyle w:val="refseriesvolume"/>
          <w:sz w:val="28"/>
          <w:szCs w:val="28"/>
          <w:shd w:val="clear" w:color="auto" w:fill="FFFFFF"/>
          <w:lang w:val="uk-UA"/>
        </w:rPr>
        <w:t xml:space="preserve">51 (2). – P. </w:t>
      </w:r>
      <w:r w:rsidRPr="003A594D">
        <w:rPr>
          <w:rStyle w:val="refpages"/>
          <w:sz w:val="28"/>
          <w:szCs w:val="28"/>
          <w:shd w:val="clear" w:color="auto" w:fill="FFFFFF"/>
          <w:lang w:val="uk-UA"/>
        </w:rPr>
        <w:t>371–379</w:t>
      </w:r>
      <w:r w:rsidRPr="003A594D">
        <w:rPr>
          <w:lang w:val="uk-UA"/>
        </w:rPr>
        <w:t>.</w:t>
      </w:r>
    </w:p>
    <w:p w:rsidR="00DC20D7" w:rsidRPr="003A594D" w:rsidRDefault="00DC20D7" w:rsidP="00DC20D7">
      <w:pPr>
        <w:numPr>
          <w:ilvl w:val="0"/>
          <w:numId w:val="10"/>
        </w:numPr>
        <w:spacing w:line="360" w:lineRule="auto"/>
        <w:jc w:val="both"/>
        <w:rPr>
          <w:rStyle w:val="apple-style-span"/>
          <w:sz w:val="28"/>
          <w:szCs w:val="28"/>
          <w:lang w:val="uk-UA"/>
        </w:rPr>
      </w:pPr>
      <w:r w:rsidRPr="003A594D">
        <w:rPr>
          <w:rStyle w:val="apple-style-span"/>
          <w:sz w:val="28"/>
          <w:szCs w:val="28"/>
          <w:lang w:val="uk-UA"/>
        </w:rPr>
        <w:t xml:space="preserve">Systemic inflammation in nonalcoholic fatty liver disease is characterized by elevated levels of CCL2. / J.W. Haukeland, J.K. Damås, Z. Konopski, </w:t>
      </w:r>
      <w:r w:rsidRPr="003A594D">
        <w:rPr>
          <w:sz w:val="28"/>
          <w:szCs w:val="28"/>
          <w:lang w:val="uk-UA"/>
        </w:rPr>
        <w:t xml:space="preserve">[et.al.]. </w:t>
      </w:r>
      <w:r w:rsidRPr="003A594D">
        <w:rPr>
          <w:rStyle w:val="apple-converted-space"/>
          <w:sz w:val="28"/>
          <w:szCs w:val="28"/>
          <w:lang w:val="uk-UA"/>
        </w:rPr>
        <w:t xml:space="preserve"> </w:t>
      </w:r>
      <w:r w:rsidRPr="003A594D">
        <w:rPr>
          <w:rStyle w:val="apple-style-span"/>
          <w:sz w:val="28"/>
          <w:szCs w:val="28"/>
          <w:lang w:val="uk-UA"/>
        </w:rPr>
        <w:t xml:space="preserve">// </w:t>
      </w:r>
      <w:r w:rsidRPr="003A594D">
        <w:rPr>
          <w:rStyle w:val="ref-journal"/>
          <w:sz w:val="28"/>
          <w:szCs w:val="28"/>
          <w:lang w:val="uk-UA"/>
        </w:rPr>
        <w:t>J Hepatol.</w:t>
      </w:r>
      <w:r w:rsidRPr="003A594D">
        <w:rPr>
          <w:rStyle w:val="apple-converted-space"/>
          <w:sz w:val="28"/>
          <w:szCs w:val="28"/>
          <w:lang w:val="uk-UA"/>
        </w:rPr>
        <w:t xml:space="preserve"> – </w:t>
      </w:r>
      <w:r w:rsidRPr="003A594D">
        <w:rPr>
          <w:rStyle w:val="apple-style-span"/>
          <w:sz w:val="28"/>
          <w:szCs w:val="28"/>
          <w:lang w:val="uk-UA"/>
        </w:rPr>
        <w:t xml:space="preserve">2006. – </w:t>
      </w:r>
      <w:r w:rsidRPr="003A594D">
        <w:rPr>
          <w:sz w:val="28"/>
          <w:szCs w:val="28"/>
          <w:lang w:val="uk-UA"/>
        </w:rPr>
        <w:t xml:space="preserve">Vol. </w:t>
      </w:r>
      <w:r w:rsidRPr="003A594D">
        <w:rPr>
          <w:rStyle w:val="ref-vol"/>
          <w:bCs/>
          <w:sz w:val="28"/>
          <w:szCs w:val="28"/>
          <w:lang w:val="uk-UA"/>
        </w:rPr>
        <w:t>44</w:t>
      </w:r>
      <w:r w:rsidRPr="003A594D">
        <w:rPr>
          <w:rStyle w:val="apple-style-span"/>
          <w:sz w:val="28"/>
          <w:szCs w:val="28"/>
          <w:lang w:val="uk-UA"/>
        </w:rPr>
        <w:t xml:space="preserve">. – Р. 1167–1174. </w:t>
      </w:r>
    </w:p>
    <w:p w:rsidR="00DC20D7" w:rsidRPr="003A594D" w:rsidRDefault="00DC20D7" w:rsidP="00DC20D7">
      <w:pPr>
        <w:pStyle w:val="2"/>
        <w:numPr>
          <w:ilvl w:val="0"/>
          <w:numId w:val="10"/>
        </w:numPr>
        <w:spacing w:line="360" w:lineRule="auto"/>
        <w:jc w:val="both"/>
        <w:rPr>
          <w:rStyle w:val="af1"/>
          <w:rFonts w:ascii="Times New Roman" w:hAnsi="Times New Roman"/>
          <w:b w:val="0"/>
          <w:bCs w:val="0"/>
          <w:iCs w:val="0"/>
          <w:bdr w:val="none" w:sz="0" w:space="0" w:color="auto" w:frame="1"/>
          <w:shd w:val="clear" w:color="auto" w:fill="FFFFFF"/>
          <w:lang w:val="uk-UA"/>
        </w:rPr>
      </w:pPr>
      <w:r w:rsidRPr="003A594D">
        <w:rPr>
          <w:rStyle w:val="af1"/>
          <w:rFonts w:ascii="Times New Roman" w:hAnsi="Times New Roman"/>
          <w:b w:val="0"/>
          <w:bCs w:val="0"/>
          <w:iCs w:val="0"/>
          <w:bdr w:val="none" w:sz="0" w:space="0" w:color="auto" w:frame="1"/>
          <w:shd w:val="clear" w:color="auto" w:fill="FFFFFF"/>
          <w:lang w:val="uk-UA"/>
        </w:rPr>
        <w:lastRenderedPageBreak/>
        <w:t xml:space="preserve">Therapy of NAFLD: antioxidants and cytoprotective agents / C.Y. Chang, C.K. Argo, A.M. Al–Osaimi, S.H. Caldwell // J Clin Gastroenterol. – 2006. – Vol. 40 (1). – P. S51–S60. </w:t>
      </w:r>
    </w:p>
    <w:p w:rsidR="00DC20D7" w:rsidRPr="003A594D" w:rsidRDefault="00DC20D7" w:rsidP="00DC20D7">
      <w:pPr>
        <w:numPr>
          <w:ilvl w:val="0"/>
          <w:numId w:val="10"/>
        </w:numPr>
        <w:spacing w:line="360" w:lineRule="auto"/>
        <w:jc w:val="both"/>
        <w:rPr>
          <w:sz w:val="28"/>
          <w:szCs w:val="28"/>
          <w:lang w:val="uk-UA"/>
        </w:rPr>
      </w:pPr>
      <w:r w:rsidRPr="003A594D">
        <w:rPr>
          <w:bCs/>
          <w:sz w:val="28"/>
          <w:szCs w:val="28"/>
          <w:shd w:val="clear" w:color="auto" w:fill="FFFFFF"/>
          <w:lang w:val="uk-UA"/>
        </w:rPr>
        <w:t>The association of genetic variability in patatin–like phospholipase domain–containing protein 3 (PNPLA3) with histological severity of nonalcoholic fatty liver disease</w:t>
      </w:r>
      <w:r w:rsidRPr="003A594D">
        <w:rPr>
          <w:sz w:val="28"/>
          <w:szCs w:val="28"/>
          <w:lang w:val="uk-UA"/>
        </w:rPr>
        <w:t xml:space="preserve"> / Y. Rotman, C. Koh, J.M. Zmuda</w:t>
      </w:r>
      <w:r w:rsidRPr="003A594D">
        <w:rPr>
          <w:rStyle w:val="apple-converted-space"/>
          <w:rFonts w:ascii="Arial" w:hAnsi="Arial" w:cs="Arial"/>
          <w:sz w:val="28"/>
          <w:szCs w:val="28"/>
          <w:lang w:val="uk-UA"/>
        </w:rPr>
        <w:t xml:space="preserve"> </w:t>
      </w:r>
      <w:r w:rsidRPr="003A594D">
        <w:rPr>
          <w:rStyle w:val="refauthors"/>
          <w:sz w:val="28"/>
          <w:szCs w:val="28"/>
          <w:shd w:val="clear" w:color="auto" w:fill="FFFFFF"/>
          <w:lang w:val="uk-UA"/>
        </w:rPr>
        <w:t xml:space="preserve">[et al.]. </w:t>
      </w:r>
      <w:r w:rsidRPr="003A594D">
        <w:rPr>
          <w:sz w:val="28"/>
          <w:szCs w:val="28"/>
          <w:lang w:val="uk-UA"/>
        </w:rPr>
        <w:t>//</w:t>
      </w:r>
      <w:r w:rsidRPr="003A594D">
        <w:rPr>
          <w:rStyle w:val="apple-converted-space"/>
          <w:rFonts w:ascii="Arial" w:hAnsi="Arial" w:cs="Arial"/>
          <w:sz w:val="28"/>
          <w:szCs w:val="28"/>
          <w:lang w:val="uk-UA"/>
        </w:rPr>
        <w:t> </w:t>
      </w:r>
      <w:r w:rsidRPr="003A594D">
        <w:rPr>
          <w:bCs/>
          <w:sz w:val="28"/>
          <w:szCs w:val="28"/>
          <w:lang w:val="uk-UA"/>
        </w:rPr>
        <w:t xml:space="preserve">Hepatology. – 2010. – </w:t>
      </w:r>
      <w:r w:rsidRPr="003A594D">
        <w:rPr>
          <w:sz w:val="28"/>
          <w:szCs w:val="28"/>
          <w:lang w:val="uk-UA"/>
        </w:rPr>
        <w:t>Vol.</w:t>
      </w:r>
      <w:r w:rsidRPr="003A594D">
        <w:rPr>
          <w:bCs/>
          <w:sz w:val="28"/>
          <w:szCs w:val="28"/>
          <w:lang w:val="uk-UA"/>
        </w:rPr>
        <w:t xml:space="preserve"> 52.  – Р. 894–903.</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The Diagnosis and Management of Non–alcoholic Fatty Liver Disease: Practice Guideline by he American Association for the Study of Liver Diseases, American College of Gastroenterology, and the American Gastroenterological Association / N. Chalasani, Z. Younossi, J. E. Lavine [et al.] // Am. J. Gastroenterol. – 2012. – Vol.</w:t>
      </w:r>
      <w:r w:rsidRPr="003A594D">
        <w:rPr>
          <w:bCs/>
          <w:sz w:val="28"/>
          <w:szCs w:val="28"/>
          <w:lang w:val="uk-UA"/>
        </w:rPr>
        <w:t xml:space="preserve"> </w:t>
      </w:r>
      <w:r w:rsidRPr="003A594D">
        <w:rPr>
          <w:sz w:val="28"/>
          <w:szCs w:val="28"/>
          <w:lang w:val="uk-UA"/>
        </w:rPr>
        <w:t>107. – P. 811–826.</w:t>
      </w:r>
    </w:p>
    <w:p w:rsidR="00DC20D7" w:rsidRPr="003A594D" w:rsidRDefault="00DE1C28" w:rsidP="00DC20D7">
      <w:pPr>
        <w:numPr>
          <w:ilvl w:val="0"/>
          <w:numId w:val="10"/>
        </w:numPr>
        <w:spacing w:line="360" w:lineRule="auto"/>
        <w:jc w:val="both"/>
        <w:rPr>
          <w:sz w:val="28"/>
          <w:szCs w:val="28"/>
          <w:lang w:val="uk-UA"/>
        </w:rPr>
      </w:pPr>
      <w:hyperlink r:id="rId61" w:history="1">
        <w:r w:rsidR="00DC20D7" w:rsidRPr="003A594D">
          <w:rPr>
            <w:sz w:val="28"/>
            <w:lang w:val="uk-UA"/>
          </w:rPr>
          <w:t>The Effect of Lifestyle Changes in Non–Alcoholic Fatty Liver Disease</w:t>
        </w:r>
      </w:hyperlink>
      <w:r w:rsidR="00DC20D7" w:rsidRPr="003A594D">
        <w:rPr>
          <w:sz w:val="28"/>
          <w:lang w:val="uk-UA"/>
        </w:rPr>
        <w:t>.</w:t>
      </w:r>
      <w:r w:rsidR="00DC20D7" w:rsidRPr="003A594D">
        <w:rPr>
          <w:sz w:val="28"/>
          <w:szCs w:val="28"/>
          <w:lang w:val="uk-UA"/>
        </w:rPr>
        <w:t xml:space="preserve"> / </w:t>
      </w:r>
      <w:r w:rsidR="00DC20D7" w:rsidRPr="003A594D">
        <w:rPr>
          <w:rStyle w:val="autoren"/>
          <w:sz w:val="28"/>
          <w:szCs w:val="28"/>
          <w:lang w:val="uk-UA"/>
        </w:rPr>
        <w:t>E.</w:t>
      </w:r>
      <w:r w:rsidR="00DC20D7" w:rsidRPr="003A594D">
        <w:rPr>
          <w:rStyle w:val="apple-converted-space"/>
          <w:sz w:val="28"/>
          <w:szCs w:val="28"/>
          <w:lang w:val="uk-UA"/>
        </w:rPr>
        <w:t> </w:t>
      </w:r>
      <w:r w:rsidR="00DC20D7" w:rsidRPr="003A594D">
        <w:rPr>
          <w:rStyle w:val="autoren"/>
          <w:sz w:val="28"/>
          <w:szCs w:val="28"/>
          <w:lang w:val="uk-UA"/>
        </w:rPr>
        <w:t>Centis,</w:t>
      </w:r>
      <w:r w:rsidR="00DC20D7" w:rsidRPr="003A594D">
        <w:rPr>
          <w:rStyle w:val="apple-converted-space"/>
          <w:sz w:val="28"/>
          <w:szCs w:val="28"/>
          <w:lang w:val="uk-UA"/>
        </w:rPr>
        <w:t> </w:t>
      </w:r>
      <w:r w:rsidR="00DC20D7" w:rsidRPr="003A594D">
        <w:rPr>
          <w:rStyle w:val="autoren"/>
          <w:sz w:val="28"/>
          <w:szCs w:val="28"/>
          <w:lang w:val="uk-UA"/>
        </w:rPr>
        <w:t>R.</w:t>
      </w:r>
      <w:r w:rsidR="00DC20D7" w:rsidRPr="003A594D">
        <w:rPr>
          <w:rStyle w:val="apple-converted-space"/>
          <w:sz w:val="28"/>
          <w:szCs w:val="28"/>
          <w:lang w:val="uk-UA"/>
        </w:rPr>
        <w:t> </w:t>
      </w:r>
      <w:r w:rsidR="00DC20D7" w:rsidRPr="003A594D">
        <w:rPr>
          <w:rStyle w:val="autoren"/>
          <w:sz w:val="28"/>
          <w:szCs w:val="28"/>
          <w:lang w:val="uk-UA"/>
        </w:rPr>
        <w:t>Marzocchi,</w:t>
      </w:r>
      <w:r w:rsidR="00DC20D7" w:rsidRPr="003A594D">
        <w:rPr>
          <w:rStyle w:val="apple-converted-space"/>
          <w:sz w:val="28"/>
          <w:szCs w:val="28"/>
          <w:lang w:val="uk-UA"/>
        </w:rPr>
        <w:t> </w:t>
      </w:r>
      <w:r w:rsidR="00DC20D7" w:rsidRPr="003A594D">
        <w:rPr>
          <w:rStyle w:val="autoren"/>
          <w:sz w:val="28"/>
          <w:szCs w:val="28"/>
          <w:lang w:val="uk-UA"/>
        </w:rPr>
        <w:t>S.</w:t>
      </w:r>
      <w:r w:rsidR="00DC20D7" w:rsidRPr="003A594D">
        <w:rPr>
          <w:rStyle w:val="apple-converted-space"/>
          <w:sz w:val="28"/>
          <w:szCs w:val="28"/>
          <w:lang w:val="uk-UA"/>
        </w:rPr>
        <w:t> </w:t>
      </w:r>
      <w:r w:rsidR="00DC20D7" w:rsidRPr="003A594D">
        <w:rPr>
          <w:rStyle w:val="autoren"/>
          <w:sz w:val="28"/>
          <w:szCs w:val="28"/>
          <w:lang w:val="uk-UA"/>
        </w:rPr>
        <w:t>Di Domizio </w:t>
      </w:r>
      <w:r w:rsidR="00DC20D7" w:rsidRPr="003A594D">
        <w:rPr>
          <w:sz w:val="28"/>
          <w:szCs w:val="28"/>
          <w:lang w:val="uk-UA"/>
        </w:rPr>
        <w:t>[et al.] //</w:t>
      </w:r>
      <w:r w:rsidR="00DC20D7" w:rsidRPr="003A594D">
        <w:rPr>
          <w:rStyle w:val="apple-converted-space"/>
          <w:sz w:val="28"/>
          <w:szCs w:val="28"/>
          <w:lang w:val="uk-UA"/>
        </w:rPr>
        <w:t xml:space="preserve"> </w:t>
      </w:r>
      <w:r w:rsidR="00DC20D7" w:rsidRPr="003A594D">
        <w:rPr>
          <w:sz w:val="28"/>
          <w:szCs w:val="28"/>
          <w:lang w:val="uk-UA"/>
        </w:rPr>
        <w:t>Dig Dis. – 2010. –Vol. 28 (1). – P. 267–273.</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The human liver fatty acid binding protein (FABP1) gene is activated by FOXA1 and PPARα; and repressed by C/EBPα: Implications in FABP1 down–regulation in nonalcoholic fatty liver disease / </w:t>
      </w:r>
      <w:r w:rsidRPr="003A594D">
        <w:rPr>
          <w:sz w:val="28"/>
          <w:szCs w:val="28"/>
          <w:shd w:val="clear" w:color="auto" w:fill="FFFFFF"/>
          <w:lang w:val="uk-UA"/>
        </w:rPr>
        <w:t>C. Guzmán, M. Benet, S. Pisonero–Vaquero</w:t>
      </w:r>
      <w:r w:rsidRPr="003A594D">
        <w:rPr>
          <w:sz w:val="28"/>
          <w:szCs w:val="28"/>
          <w:lang w:val="uk-UA"/>
        </w:rPr>
        <w:t xml:space="preserve"> [et al.]. // </w:t>
      </w:r>
      <w:r w:rsidRPr="003A594D">
        <w:rPr>
          <w:bCs/>
          <w:sz w:val="28"/>
          <w:szCs w:val="28"/>
          <w:lang w:val="uk-UA"/>
        </w:rPr>
        <w:t>Biochimica et Biophysica Acta (BBA) – Molecular and Cell Biology of Lipids</w:t>
      </w:r>
      <w:r w:rsidRPr="003A594D">
        <w:rPr>
          <w:sz w:val="28"/>
          <w:szCs w:val="28"/>
          <w:lang w:val="uk-UA"/>
        </w:rPr>
        <w:t>. – 2013. – Vol. 1831. – I. 6. – P. 803 – 818.</w:t>
      </w:r>
    </w:p>
    <w:p w:rsidR="00DC20D7" w:rsidRPr="003A594D" w:rsidRDefault="00DC20D7" w:rsidP="00DC20D7">
      <w:pPr>
        <w:pStyle w:val="2"/>
        <w:numPr>
          <w:ilvl w:val="0"/>
          <w:numId w:val="10"/>
        </w:numPr>
        <w:spacing w:line="360" w:lineRule="auto"/>
        <w:jc w:val="both"/>
        <w:rPr>
          <w:rStyle w:val="apple-style-span"/>
          <w:rFonts w:ascii="Times New Roman" w:hAnsi="Times New Roman"/>
          <w:b w:val="0"/>
          <w:i w:val="0"/>
          <w:lang w:val="uk-UA"/>
        </w:rPr>
      </w:pPr>
      <w:r w:rsidRPr="003A594D">
        <w:rPr>
          <w:rStyle w:val="apple-style-span"/>
          <w:rFonts w:ascii="Times New Roman" w:hAnsi="Times New Roman"/>
          <w:b w:val="0"/>
          <w:i w:val="0"/>
          <w:lang w:val="uk-UA"/>
        </w:rPr>
        <w:t xml:space="preserve">The IL–6–gp130–STAT3 pathway in hepatocytes triggers liver protection in T cell–mediated liver injury. / C. Klein, T. Wüstefeld, U. Assmus, </w:t>
      </w:r>
      <w:r w:rsidRPr="003A594D">
        <w:rPr>
          <w:rFonts w:ascii="Times New Roman" w:hAnsi="Times New Roman" w:cs="Times New Roman"/>
          <w:b w:val="0"/>
          <w:i w:val="0"/>
          <w:lang w:val="uk-UA"/>
        </w:rPr>
        <w:t>[et.al.].</w:t>
      </w:r>
      <w:r w:rsidRPr="003A594D">
        <w:rPr>
          <w:rStyle w:val="apple-converted-space"/>
          <w:rFonts w:ascii="Times New Roman" w:hAnsi="Times New Roman"/>
          <w:b w:val="0"/>
          <w:i w:val="0"/>
          <w:lang w:val="uk-UA"/>
        </w:rPr>
        <w:t xml:space="preserve"> </w:t>
      </w:r>
      <w:r w:rsidRPr="003A594D">
        <w:rPr>
          <w:rStyle w:val="apple-style-span"/>
          <w:rFonts w:ascii="Times New Roman" w:hAnsi="Times New Roman"/>
          <w:b w:val="0"/>
          <w:i w:val="0"/>
          <w:lang w:val="uk-UA"/>
        </w:rPr>
        <w:t>//</w:t>
      </w:r>
      <w:r w:rsidRPr="003A594D">
        <w:rPr>
          <w:rStyle w:val="apple-converted-space"/>
          <w:rFonts w:ascii="Times New Roman" w:hAnsi="Times New Roman"/>
          <w:b w:val="0"/>
          <w:i w:val="0"/>
          <w:lang w:val="uk-UA"/>
        </w:rPr>
        <w:t> </w:t>
      </w:r>
      <w:r w:rsidRPr="003A594D">
        <w:rPr>
          <w:rStyle w:val="ref-journal"/>
          <w:rFonts w:ascii="Times New Roman" w:hAnsi="Times New Roman"/>
          <w:b w:val="0"/>
          <w:i w:val="0"/>
          <w:lang w:val="uk-UA"/>
        </w:rPr>
        <w:t xml:space="preserve">J Clin Invest. – </w:t>
      </w:r>
      <w:r w:rsidRPr="003A594D">
        <w:rPr>
          <w:rStyle w:val="apple-style-span"/>
          <w:rFonts w:ascii="Times New Roman" w:hAnsi="Times New Roman"/>
          <w:b w:val="0"/>
          <w:i w:val="0"/>
          <w:lang w:val="uk-UA"/>
        </w:rPr>
        <w:t xml:space="preserve">2005. – </w:t>
      </w:r>
      <w:r w:rsidRPr="003A594D">
        <w:rPr>
          <w:rFonts w:ascii="Times New Roman" w:hAnsi="Times New Roman" w:cs="Times New Roman"/>
          <w:b w:val="0"/>
          <w:i w:val="0"/>
          <w:lang w:val="uk-UA"/>
        </w:rPr>
        <w:t>Vol.</w:t>
      </w:r>
      <w:r w:rsidRPr="003A594D">
        <w:rPr>
          <w:rStyle w:val="ref-vol"/>
          <w:rFonts w:ascii="Times New Roman" w:hAnsi="Times New Roman"/>
          <w:b w:val="0"/>
          <w:bCs w:val="0"/>
          <w:i w:val="0"/>
          <w:lang w:val="uk-UA"/>
        </w:rPr>
        <w:t xml:space="preserve"> 115. – Р. </w:t>
      </w:r>
      <w:r w:rsidRPr="003A594D">
        <w:rPr>
          <w:rStyle w:val="apple-style-span"/>
          <w:rFonts w:ascii="Times New Roman" w:hAnsi="Times New Roman"/>
          <w:b w:val="0"/>
          <w:i w:val="0"/>
          <w:lang w:val="uk-UA"/>
        </w:rPr>
        <w:t xml:space="preserve">860–869.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The impact of fat distribution on the severity of nonalcoholic fatty liver disease and the metabolic syndrome / P.Cheung, A. Kapoor, P. Puri [et al.]. // Hepatology. – 2007. – № 46. – P.  1091–1100. </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 xml:space="preserve">The incidence and risk factors of hepatocellular carcinoma in patients with non–alcoholic steatohepatitis. / </w:t>
      </w:r>
      <w:r w:rsidRPr="003A594D">
        <w:rPr>
          <w:rStyle w:val="refauthors"/>
          <w:sz w:val="28"/>
          <w:szCs w:val="28"/>
          <w:shd w:val="clear" w:color="auto" w:fill="FFFFFF"/>
          <w:lang w:val="uk-UA"/>
        </w:rPr>
        <w:t>M.S. Ascha, I.A. Hanouneh, R. Lopez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Hepatology</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refseriesdate"/>
          <w:sz w:val="28"/>
          <w:szCs w:val="28"/>
          <w:shd w:val="clear" w:color="auto" w:fill="FFFFFF"/>
          <w:lang w:val="uk-UA"/>
        </w:rPr>
        <w:t>2010. – Vol.</w:t>
      </w:r>
      <w:r w:rsidRPr="003A594D">
        <w:rPr>
          <w:rStyle w:val="apple-converted-space"/>
          <w:sz w:val="28"/>
          <w:szCs w:val="28"/>
          <w:shd w:val="clear" w:color="auto" w:fill="FFFFFF"/>
          <w:lang w:val="uk-UA"/>
        </w:rPr>
        <w:t> </w:t>
      </w:r>
      <w:r w:rsidRPr="003A594D">
        <w:rPr>
          <w:rStyle w:val="refseriesvolume"/>
          <w:sz w:val="28"/>
          <w:szCs w:val="28"/>
          <w:shd w:val="clear" w:color="auto" w:fill="FFFFFF"/>
          <w:lang w:val="uk-UA"/>
        </w:rPr>
        <w:t>51</w:t>
      </w:r>
      <w:r w:rsidRPr="003A594D">
        <w:rPr>
          <w:sz w:val="28"/>
          <w:szCs w:val="28"/>
          <w:shd w:val="clear" w:color="auto" w:fill="FFFFFF"/>
          <w:lang w:val="uk-UA"/>
        </w:rPr>
        <w:t xml:space="preserve"> (6). – P. </w:t>
      </w:r>
      <w:r w:rsidRPr="003A594D">
        <w:rPr>
          <w:rStyle w:val="refpages"/>
          <w:sz w:val="28"/>
          <w:szCs w:val="28"/>
          <w:shd w:val="clear" w:color="auto" w:fill="FFFFFF"/>
          <w:lang w:val="uk-UA"/>
        </w:rPr>
        <w:t>1972–1978</w:t>
      </w:r>
      <w:r w:rsidRPr="003A594D">
        <w:rPr>
          <w:rStyle w:val="refpages"/>
          <w:sz w:val="28"/>
          <w:szCs w:val="28"/>
          <w:lang w:val="uk-UA"/>
        </w:rPr>
        <w:t>.</w:t>
      </w:r>
    </w:p>
    <w:p w:rsidR="00DC20D7" w:rsidRPr="003A594D" w:rsidRDefault="00DC20D7" w:rsidP="00DC20D7">
      <w:pPr>
        <w:numPr>
          <w:ilvl w:val="0"/>
          <w:numId w:val="10"/>
        </w:numPr>
        <w:spacing w:line="360" w:lineRule="auto"/>
        <w:jc w:val="both"/>
        <w:rPr>
          <w:lang w:val="uk-UA"/>
        </w:rPr>
      </w:pPr>
      <w:r w:rsidRPr="003A594D">
        <w:rPr>
          <w:rStyle w:val="reftitle"/>
          <w:bCs/>
          <w:sz w:val="28"/>
          <w:szCs w:val="28"/>
          <w:shd w:val="clear" w:color="auto" w:fill="FFFFFF"/>
          <w:lang w:val="uk-UA"/>
        </w:rPr>
        <w:lastRenderedPageBreak/>
        <w:t>The metabolic syndrome as a predictor of non–alcoholic fatty liver disease.</w:t>
      </w:r>
      <w:r w:rsidRPr="003A594D">
        <w:rPr>
          <w:rStyle w:val="apple-converted-space"/>
          <w:bCs/>
          <w:sz w:val="28"/>
          <w:szCs w:val="28"/>
          <w:shd w:val="clear" w:color="auto" w:fill="FFFFFF"/>
          <w:lang w:val="uk-UA"/>
        </w:rPr>
        <w:t xml:space="preserve"> / </w:t>
      </w:r>
      <w:r w:rsidRPr="003A594D">
        <w:rPr>
          <w:rStyle w:val="refauthors"/>
          <w:sz w:val="28"/>
          <w:szCs w:val="28"/>
          <w:shd w:val="clear" w:color="auto" w:fill="FFFFFF"/>
          <w:lang w:val="uk-UA"/>
        </w:rPr>
        <w:t>M. Hamaguchi, T. Kojima, N. Takeda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Ann Intern Med</w:t>
      </w:r>
      <w:r w:rsidRPr="003A594D">
        <w:rPr>
          <w:sz w:val="28"/>
          <w:szCs w:val="28"/>
          <w:shd w:val="clear" w:color="auto" w:fill="FFFFFF"/>
          <w:lang w:val="uk-UA"/>
        </w:rPr>
        <w:t>.</w:t>
      </w:r>
      <w:r w:rsidRPr="003A594D">
        <w:rPr>
          <w:rStyle w:val="apple-converted-space"/>
          <w:sz w:val="28"/>
          <w:szCs w:val="28"/>
          <w:shd w:val="clear" w:color="auto" w:fill="FFFFFF"/>
          <w:lang w:val="uk-UA"/>
        </w:rPr>
        <w:t xml:space="preserve"> – </w:t>
      </w:r>
      <w:r w:rsidRPr="003A594D">
        <w:rPr>
          <w:rStyle w:val="refseriesdate"/>
          <w:sz w:val="28"/>
          <w:szCs w:val="28"/>
          <w:shd w:val="clear" w:color="auto" w:fill="FFFFFF"/>
          <w:lang w:val="uk-UA"/>
        </w:rPr>
        <w:t>2005. –Vol.</w:t>
      </w:r>
      <w:r w:rsidRPr="003A594D">
        <w:rPr>
          <w:rStyle w:val="apple-converted-space"/>
          <w:sz w:val="28"/>
          <w:szCs w:val="28"/>
          <w:shd w:val="clear" w:color="auto" w:fill="FFFFFF"/>
          <w:lang w:val="uk-UA"/>
        </w:rPr>
        <w:t> </w:t>
      </w:r>
      <w:r w:rsidRPr="003A594D">
        <w:rPr>
          <w:rStyle w:val="refseriesvolume"/>
          <w:sz w:val="28"/>
          <w:szCs w:val="28"/>
          <w:shd w:val="clear" w:color="auto" w:fill="FFFFFF"/>
          <w:lang w:val="uk-UA"/>
        </w:rPr>
        <w:t xml:space="preserve">143. – P. </w:t>
      </w:r>
      <w:r w:rsidRPr="003A594D">
        <w:rPr>
          <w:rStyle w:val="refpages"/>
          <w:sz w:val="28"/>
          <w:szCs w:val="28"/>
          <w:shd w:val="clear" w:color="auto" w:fill="FFFFFF"/>
          <w:lang w:val="uk-UA"/>
        </w:rPr>
        <w:t>722–728</w:t>
      </w:r>
      <w:r w:rsidRPr="003A594D">
        <w:rPr>
          <w:sz w:val="28"/>
          <w:szCs w:val="28"/>
          <w:lang w:val="uk-UA"/>
        </w:rPr>
        <w:t>.</w:t>
      </w:r>
    </w:p>
    <w:p w:rsidR="00DC20D7" w:rsidRPr="003A594D" w:rsidRDefault="00DC20D7" w:rsidP="00DC20D7">
      <w:pPr>
        <w:numPr>
          <w:ilvl w:val="0"/>
          <w:numId w:val="10"/>
        </w:numPr>
        <w:spacing w:line="360" w:lineRule="auto"/>
        <w:jc w:val="both"/>
        <w:rPr>
          <w:rStyle w:val="refpages"/>
          <w:lang w:val="uk-UA"/>
        </w:rPr>
      </w:pPr>
      <w:r w:rsidRPr="003A594D">
        <w:rPr>
          <w:rStyle w:val="reftitle"/>
          <w:bCs/>
          <w:sz w:val="28"/>
          <w:szCs w:val="28"/>
          <w:shd w:val="clear" w:color="auto" w:fill="FFFFFF"/>
          <w:lang w:val="uk-UA"/>
        </w:rPr>
        <w:t>The metabolic syndrome as a predictor of nonalcoholic fatty liver disease.</w:t>
      </w:r>
      <w:r w:rsidRPr="003A594D">
        <w:rPr>
          <w:rStyle w:val="apple-converted-space"/>
          <w:bCs/>
          <w:sz w:val="28"/>
          <w:szCs w:val="28"/>
          <w:shd w:val="clear" w:color="auto" w:fill="FFFFFF"/>
          <w:lang w:val="uk-UA"/>
        </w:rPr>
        <w:t> </w:t>
      </w:r>
      <w:r w:rsidRPr="003A594D">
        <w:rPr>
          <w:rStyle w:val="refseriestitle"/>
          <w:iCs/>
          <w:sz w:val="28"/>
          <w:szCs w:val="28"/>
          <w:shd w:val="clear" w:color="auto" w:fill="FFFFFF"/>
          <w:lang w:val="uk-UA"/>
        </w:rPr>
        <w:t xml:space="preserve">/ </w:t>
      </w:r>
      <w:r w:rsidRPr="003A594D">
        <w:rPr>
          <w:rStyle w:val="refauthors"/>
          <w:sz w:val="28"/>
          <w:szCs w:val="28"/>
          <w:shd w:val="clear" w:color="auto" w:fill="FFFFFF"/>
          <w:lang w:val="uk-UA"/>
        </w:rPr>
        <w:t>M. Hamaguchi, T. Kojima, N. Takeda [et al.]. //</w:t>
      </w:r>
      <w:r w:rsidRPr="003A594D">
        <w:rPr>
          <w:rStyle w:val="apple-converted-space"/>
          <w:sz w:val="28"/>
          <w:szCs w:val="28"/>
          <w:shd w:val="clear" w:color="auto" w:fill="FFFFFF"/>
          <w:lang w:val="uk-UA"/>
        </w:rPr>
        <w:t> </w:t>
      </w:r>
      <w:r w:rsidRPr="003A594D">
        <w:rPr>
          <w:rStyle w:val="refseriestitle"/>
          <w:iCs/>
          <w:sz w:val="28"/>
          <w:szCs w:val="28"/>
          <w:shd w:val="clear" w:color="auto" w:fill="FFFFFF"/>
          <w:lang w:val="uk-UA"/>
        </w:rPr>
        <w:t>Ann Intern Med</w:t>
      </w:r>
      <w:r w:rsidRPr="003A594D">
        <w:rPr>
          <w:sz w:val="28"/>
          <w:szCs w:val="28"/>
          <w:shd w:val="clear" w:color="auto" w:fill="FFFFFF"/>
          <w:lang w:val="uk-UA"/>
        </w:rPr>
        <w:t>.</w:t>
      </w:r>
      <w:r w:rsidRPr="003A594D">
        <w:rPr>
          <w:rStyle w:val="apple-converted-space"/>
          <w:sz w:val="28"/>
          <w:szCs w:val="28"/>
          <w:shd w:val="clear" w:color="auto" w:fill="FFFFFF"/>
          <w:lang w:val="uk-UA"/>
        </w:rPr>
        <w:t> </w:t>
      </w:r>
      <w:r w:rsidRPr="003A594D">
        <w:rPr>
          <w:rStyle w:val="refseriesdate"/>
          <w:sz w:val="28"/>
          <w:szCs w:val="28"/>
          <w:shd w:val="clear" w:color="auto" w:fill="FFFFFF"/>
          <w:lang w:val="uk-UA"/>
        </w:rPr>
        <w:t xml:space="preserve">– 2005. – Vol. </w:t>
      </w:r>
      <w:r w:rsidRPr="003A594D">
        <w:rPr>
          <w:rStyle w:val="refseriesvolume"/>
          <w:sz w:val="28"/>
          <w:szCs w:val="28"/>
          <w:shd w:val="clear" w:color="auto" w:fill="FFFFFF"/>
          <w:lang w:val="uk-UA"/>
        </w:rPr>
        <w:t>143</w:t>
      </w:r>
      <w:r w:rsidRPr="003A594D">
        <w:rPr>
          <w:rStyle w:val="apple-converted-space"/>
          <w:sz w:val="28"/>
          <w:szCs w:val="28"/>
          <w:shd w:val="clear" w:color="auto" w:fill="FFFFFF"/>
          <w:lang w:val="uk-UA"/>
        </w:rPr>
        <w:t xml:space="preserve">. – P. </w:t>
      </w:r>
      <w:r w:rsidRPr="003A594D">
        <w:rPr>
          <w:rStyle w:val="refpages"/>
          <w:sz w:val="28"/>
          <w:szCs w:val="28"/>
          <w:shd w:val="clear" w:color="auto" w:fill="FFFFFF"/>
          <w:lang w:val="uk-UA"/>
        </w:rPr>
        <w:t>722–728.</w:t>
      </w:r>
    </w:p>
    <w:p w:rsidR="00DC20D7" w:rsidRPr="003A594D" w:rsidRDefault="00DC20D7" w:rsidP="00DC20D7">
      <w:pPr>
        <w:pStyle w:val="21"/>
        <w:numPr>
          <w:ilvl w:val="0"/>
          <w:numId w:val="10"/>
        </w:numPr>
        <w:spacing w:line="360" w:lineRule="auto"/>
        <w:jc w:val="both"/>
        <w:rPr>
          <w:lang w:val="uk-UA"/>
        </w:rPr>
      </w:pPr>
      <w:r w:rsidRPr="003A594D">
        <w:rPr>
          <w:sz w:val="28"/>
          <w:szCs w:val="28"/>
          <w:lang w:val="uk-UA"/>
        </w:rPr>
        <w:t xml:space="preserve">The NAFLD Fibrosis Score: A Noninvasive System That Identiﬁes Liver Fibrosis in Patients with NAFLD / P. Angulo, J.M. Hui, G. Marchesini </w:t>
      </w:r>
      <w:r w:rsidRPr="003A594D">
        <w:rPr>
          <w:spacing w:val="3"/>
          <w:sz w:val="28"/>
          <w:szCs w:val="28"/>
          <w:lang w:val="uk-UA"/>
        </w:rPr>
        <w:t xml:space="preserve">[et al.]. </w:t>
      </w:r>
      <w:r w:rsidRPr="003A594D">
        <w:rPr>
          <w:sz w:val="28"/>
          <w:szCs w:val="28"/>
          <w:lang w:val="uk-UA"/>
        </w:rPr>
        <w:t xml:space="preserve"> // Hepatology. – 2007. – № 4. – P.  846–854. </w:t>
      </w:r>
    </w:p>
    <w:p w:rsidR="00DC20D7" w:rsidRPr="003A594D" w:rsidRDefault="00DC20D7" w:rsidP="00DC20D7">
      <w:pPr>
        <w:pStyle w:val="aa"/>
        <w:numPr>
          <w:ilvl w:val="0"/>
          <w:numId w:val="10"/>
        </w:numPr>
        <w:spacing w:line="360" w:lineRule="auto"/>
        <w:jc w:val="both"/>
        <w:rPr>
          <w:sz w:val="28"/>
          <w:szCs w:val="28"/>
          <w:lang w:val="uk-UA"/>
        </w:rPr>
      </w:pPr>
      <w:r w:rsidRPr="003A594D">
        <w:rPr>
          <w:sz w:val="28"/>
          <w:szCs w:val="28"/>
          <w:lang w:val="uk-UA"/>
        </w:rPr>
        <w:t xml:space="preserve">The natural history of non–alcoholic fatty liver disease: a population–based cohort study / L.A. Adams, J.F. Lymp, J. St Sauver [et al.]. // Gastroenterology. – 2005. – Vol. 129. – P. 113–121. </w:t>
      </w:r>
    </w:p>
    <w:p w:rsidR="00DC20D7" w:rsidRPr="003A594D" w:rsidRDefault="00DC20D7" w:rsidP="00DC20D7">
      <w:pPr>
        <w:pStyle w:val="aa"/>
        <w:numPr>
          <w:ilvl w:val="0"/>
          <w:numId w:val="10"/>
        </w:numPr>
        <w:spacing w:line="360" w:lineRule="auto"/>
        <w:jc w:val="both"/>
        <w:rPr>
          <w:sz w:val="28"/>
          <w:szCs w:val="28"/>
          <w:lang w:val="uk-UA"/>
        </w:rPr>
      </w:pPr>
      <w:r w:rsidRPr="003A594D">
        <w:rPr>
          <w:spacing w:val="-1"/>
          <w:sz w:val="28"/>
          <w:szCs w:val="28"/>
          <w:lang w:val="uk-UA"/>
        </w:rPr>
        <w:t xml:space="preserve">The   relationship   between   the   plasma   homocysteine   level   and   the </w:t>
      </w:r>
      <w:r w:rsidRPr="003A594D">
        <w:rPr>
          <w:sz w:val="28"/>
          <w:szCs w:val="28"/>
          <w:lang w:val="uk-UA"/>
        </w:rPr>
        <w:t xml:space="preserve">polymorphism of MTHFR gene C667T in liver cirrhosis / X.M. Zhou, J.S. Lin, X.M. Sun [et al.]. // Zhonghua. Gan. Zang. Ding. Za. Zhi. – 2005. – № 13 (12). – P. 908–910. </w:t>
      </w:r>
    </w:p>
    <w:p w:rsidR="00DC20D7" w:rsidRPr="003A594D" w:rsidRDefault="00DC20D7" w:rsidP="00DC20D7">
      <w:pPr>
        <w:pStyle w:val="21"/>
        <w:numPr>
          <w:ilvl w:val="0"/>
          <w:numId w:val="10"/>
        </w:numPr>
        <w:spacing w:line="360" w:lineRule="auto"/>
        <w:jc w:val="both"/>
        <w:rPr>
          <w:sz w:val="28"/>
          <w:szCs w:val="28"/>
          <w:bdr w:val="none" w:sz="0" w:space="0" w:color="auto" w:frame="1"/>
          <w:lang w:val="uk-UA"/>
        </w:rPr>
      </w:pPr>
      <w:r w:rsidRPr="003A594D">
        <w:rPr>
          <w:sz w:val="28"/>
          <w:szCs w:val="28"/>
          <w:bdr w:val="none" w:sz="0" w:space="0" w:color="auto" w:frame="1"/>
          <w:lang w:val="uk-UA"/>
        </w:rPr>
        <w:t xml:space="preserve">The role of L–carnitine in nutritional status and echocardiographic parameters in idiopathic dilated cardiomyopathy in children / V.M. Azevedo, F.M. Albanesi Filho. [et al.]. // J. Pediatr. (Rio J.). — 2005. — Vol. 81 (5). — P. 368—372. </w:t>
      </w:r>
    </w:p>
    <w:p w:rsidR="00DC20D7" w:rsidRPr="003A594D" w:rsidRDefault="00DC20D7" w:rsidP="00DC20D7">
      <w:pPr>
        <w:numPr>
          <w:ilvl w:val="0"/>
          <w:numId w:val="10"/>
        </w:numPr>
        <w:spacing w:line="360" w:lineRule="auto"/>
        <w:jc w:val="both"/>
        <w:rPr>
          <w:sz w:val="28"/>
          <w:szCs w:val="28"/>
          <w:lang w:val="uk-UA"/>
        </w:rPr>
      </w:pPr>
      <w:r w:rsidRPr="003A594D">
        <w:rPr>
          <w:sz w:val="28"/>
          <w:szCs w:val="28"/>
          <w:lang w:val="uk-UA"/>
        </w:rPr>
        <w:t>TNF–α Antagonism with etanercept decreases glucose and increases the proportion of high molecular weight adiponectin in obese subjects with features of the metabolic syndrome / T.L. Stanley, M.V. Zanni,</w:t>
      </w:r>
      <w:r w:rsidRPr="003A594D">
        <w:rPr>
          <w:rFonts w:ascii="Arial" w:hAnsi="Arial" w:cs="Arial"/>
          <w:sz w:val="28"/>
          <w:szCs w:val="28"/>
          <w:shd w:val="clear" w:color="auto" w:fill="FFFFFF"/>
          <w:lang w:val="uk-UA"/>
        </w:rPr>
        <w:t xml:space="preserve"> </w:t>
      </w:r>
      <w:r w:rsidRPr="003A594D">
        <w:rPr>
          <w:sz w:val="28"/>
          <w:szCs w:val="28"/>
          <w:shd w:val="clear" w:color="auto" w:fill="FFFFFF"/>
          <w:lang w:val="uk-UA"/>
        </w:rPr>
        <w:t xml:space="preserve">S. Johnsen </w:t>
      </w:r>
      <w:r w:rsidRPr="003A594D">
        <w:rPr>
          <w:sz w:val="28"/>
          <w:szCs w:val="28"/>
          <w:lang w:val="uk-UA"/>
        </w:rPr>
        <w:t xml:space="preserve">[et al.]. // </w:t>
      </w:r>
      <w:r w:rsidRPr="003A594D">
        <w:rPr>
          <w:sz w:val="28"/>
          <w:szCs w:val="28"/>
          <w:shd w:val="clear" w:color="auto" w:fill="FFFFFF"/>
          <w:lang w:val="uk-UA"/>
        </w:rPr>
        <w:t>J Clin Endocrinol Metab</w:t>
      </w:r>
      <w:r w:rsidRPr="003A594D">
        <w:rPr>
          <w:sz w:val="28"/>
          <w:szCs w:val="28"/>
          <w:lang w:val="uk-UA"/>
        </w:rPr>
        <w:t>. – 2011. – Vol. 96 (1). – P.146–150.</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TNF–α interferes with lipid homeostasis and activates acute and proatherogenic processes / K. Fon Tacer, D. Kuzman, M. Seliskar, [et.al.]. // Physiol Genomics. – 2007. – Vol. 31 (2). – Р. 216–227. </w:t>
      </w:r>
    </w:p>
    <w:p w:rsidR="00DC20D7" w:rsidRPr="003A594D" w:rsidRDefault="00DC20D7" w:rsidP="00DC20D7">
      <w:pPr>
        <w:pStyle w:val="2"/>
        <w:numPr>
          <w:ilvl w:val="0"/>
          <w:numId w:val="10"/>
        </w:numPr>
        <w:spacing w:line="360" w:lineRule="auto"/>
        <w:jc w:val="both"/>
        <w:rPr>
          <w:rFonts w:ascii="Times New Roman" w:hAnsi="Times New Roman" w:cs="Times New Roman"/>
          <w:b w:val="0"/>
          <w:i w:val="0"/>
          <w:lang w:val="uk-UA"/>
        </w:rPr>
      </w:pPr>
      <w:r w:rsidRPr="003A594D">
        <w:rPr>
          <w:rFonts w:ascii="Times New Roman" w:hAnsi="Times New Roman" w:cs="Times New Roman"/>
          <w:b w:val="0"/>
          <w:i w:val="0"/>
          <w:lang w:val="uk-UA"/>
        </w:rPr>
        <w:lastRenderedPageBreak/>
        <w:t xml:space="preserve">Tolman K.G. Treatment of non–alcoholic fatty liver disease / K.G. Tolman, A.S.  Dalpiaz // Ther. Clin. Risk Manag. – 2007. – Vol. 3. – P. 1153–1163.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Vuppalanchi R. Nonalcoholic fatty liver disease and nonalcoholic steatohepatitis: Selected practical issues in their evaluation and management / R. Vuppalanchi, N. Chalasani // Hepatol. Baltimore Med. — 2009. — 49. — P. 306—317. </w:t>
      </w:r>
    </w:p>
    <w:p w:rsidR="00DC20D7" w:rsidRPr="003A594D" w:rsidRDefault="00DC20D7" w:rsidP="00DC20D7">
      <w:pPr>
        <w:pStyle w:val="21"/>
        <w:numPr>
          <w:ilvl w:val="0"/>
          <w:numId w:val="10"/>
        </w:numPr>
        <w:spacing w:line="360" w:lineRule="auto"/>
        <w:jc w:val="both"/>
        <w:rPr>
          <w:sz w:val="28"/>
          <w:szCs w:val="28"/>
          <w:lang w:val="uk-UA"/>
        </w:rPr>
      </w:pPr>
      <w:r w:rsidRPr="003A594D">
        <w:rPr>
          <w:rStyle w:val="apple-style-span"/>
          <w:sz w:val="28"/>
          <w:szCs w:val="28"/>
          <w:lang w:val="uk-UA"/>
        </w:rPr>
        <w:t>Wang G. Differential oxidative modification of proteins in MRL+/+ and MRL/lpr mice: increased formation of lipid peroxidation–derived aldehyde–protein adducts may contribute to accelerated onset of autoimmune response / G. Wang, H. Li, M. Firoze Khan</w:t>
      </w:r>
      <w:r w:rsidRPr="003A594D">
        <w:rPr>
          <w:rStyle w:val="apple-converted-space"/>
          <w:sz w:val="28"/>
          <w:szCs w:val="28"/>
          <w:lang w:val="uk-UA"/>
        </w:rPr>
        <w:t xml:space="preserve"> // </w:t>
      </w:r>
      <w:r w:rsidRPr="003A594D">
        <w:rPr>
          <w:rStyle w:val="apple-style-span"/>
          <w:sz w:val="28"/>
          <w:szCs w:val="28"/>
          <w:lang w:val="uk-UA"/>
        </w:rPr>
        <w:t>Free Radical Research</w:t>
      </w:r>
      <w:r w:rsidRPr="003A594D">
        <w:rPr>
          <w:sz w:val="28"/>
          <w:szCs w:val="28"/>
          <w:lang w:val="uk-UA"/>
        </w:rPr>
        <w:t xml:space="preserve">vol. – 2012. –  </w:t>
      </w:r>
      <w:r w:rsidRPr="003A594D">
        <w:rPr>
          <w:spacing w:val="2"/>
          <w:sz w:val="28"/>
          <w:szCs w:val="28"/>
          <w:lang w:val="uk-UA"/>
        </w:rPr>
        <w:t>V</w:t>
      </w:r>
      <w:r w:rsidRPr="003A594D">
        <w:rPr>
          <w:sz w:val="28"/>
          <w:szCs w:val="28"/>
          <w:lang w:val="uk-UA"/>
        </w:rPr>
        <w:t>ol. 46. – № 12. – Р. 1472.</w:t>
      </w:r>
    </w:p>
    <w:p w:rsidR="00DC20D7" w:rsidRPr="003A594D" w:rsidRDefault="00DC20D7" w:rsidP="00DC20D7">
      <w:pPr>
        <w:pStyle w:val="21"/>
        <w:numPr>
          <w:ilvl w:val="0"/>
          <w:numId w:val="10"/>
        </w:numPr>
        <w:spacing w:line="360" w:lineRule="auto"/>
        <w:jc w:val="both"/>
        <w:rPr>
          <w:spacing w:val="-5"/>
          <w:sz w:val="28"/>
          <w:szCs w:val="28"/>
          <w:lang w:val="uk-UA"/>
        </w:rPr>
      </w:pPr>
      <w:r w:rsidRPr="003A594D">
        <w:rPr>
          <w:sz w:val="28"/>
          <w:szCs w:val="28"/>
          <w:lang w:val="uk-UA"/>
        </w:rPr>
        <w:t xml:space="preserve">Wang R. Hydrogen sulfide: a new EDRF / R. Wang // Kidney Int. – 2009. </w:t>
      </w:r>
      <w:r w:rsidRPr="003A594D">
        <w:rPr>
          <w:spacing w:val="2"/>
          <w:sz w:val="28"/>
          <w:szCs w:val="28"/>
          <w:lang w:val="uk-UA"/>
        </w:rPr>
        <w:t>– Vol. 76 (7). – P. 700–704</w:t>
      </w:r>
      <w:r w:rsidRPr="003A594D">
        <w:rPr>
          <w:spacing w:val="-5"/>
          <w:sz w:val="28"/>
          <w:szCs w:val="28"/>
          <w:lang w:val="uk-UA"/>
        </w:rPr>
        <w:t>.</w:t>
      </w:r>
    </w:p>
    <w:p w:rsidR="00DC20D7" w:rsidRPr="003A594D" w:rsidRDefault="00DC20D7" w:rsidP="00DC20D7">
      <w:pPr>
        <w:numPr>
          <w:ilvl w:val="0"/>
          <w:numId w:val="10"/>
        </w:numPr>
        <w:spacing w:before="100" w:beforeAutospacing="1" w:after="100" w:afterAutospacing="1" w:line="360" w:lineRule="auto"/>
        <w:jc w:val="both"/>
        <w:rPr>
          <w:sz w:val="28"/>
          <w:szCs w:val="28"/>
          <w:lang w:val="uk-UA"/>
        </w:rPr>
      </w:pPr>
      <w:r w:rsidRPr="003A594D">
        <w:rPr>
          <w:sz w:val="28"/>
          <w:szCs w:val="28"/>
          <w:lang w:val="uk-UA"/>
        </w:rPr>
        <w:t>Weight gain within the normal weight range predicts ultrasonographically detected fatty liver in healthy Korean men / Y. Chang, S. Ryu, E. Sung [et al.]. // Gut. – 2009. – Vol. 58 – P. 1419–1425.</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Weismann D.  The innate immune response to products of phospholipid peroxidation / D. Weismann, C.J. Binder // Biochimica et Biophysica Acta: Biomembranes. – 2012. – </w:t>
      </w:r>
      <w:r w:rsidRPr="003A594D">
        <w:rPr>
          <w:spacing w:val="2"/>
          <w:sz w:val="28"/>
          <w:szCs w:val="28"/>
          <w:lang w:val="uk-UA"/>
        </w:rPr>
        <w:t>V</w:t>
      </w:r>
      <w:r w:rsidRPr="003A594D">
        <w:rPr>
          <w:sz w:val="28"/>
          <w:szCs w:val="28"/>
          <w:lang w:val="uk-UA"/>
        </w:rPr>
        <w:t xml:space="preserve">ol. 1818. – № 10. – Р. 2465–2475. </w:t>
      </w:r>
    </w:p>
    <w:p w:rsidR="00DC20D7" w:rsidRPr="003A594D" w:rsidRDefault="00DC20D7" w:rsidP="00DC20D7">
      <w:pPr>
        <w:pStyle w:val="21"/>
        <w:numPr>
          <w:ilvl w:val="0"/>
          <w:numId w:val="10"/>
        </w:numPr>
        <w:spacing w:line="360" w:lineRule="auto"/>
        <w:jc w:val="both"/>
        <w:rPr>
          <w:sz w:val="28"/>
          <w:szCs w:val="28"/>
          <w:shd w:val="clear" w:color="auto" w:fill="FFFFFF"/>
          <w:lang w:val="uk-UA"/>
        </w:rPr>
      </w:pPr>
      <w:r w:rsidRPr="003A594D">
        <w:rPr>
          <w:sz w:val="28"/>
          <w:szCs w:val="28"/>
          <w:shd w:val="clear" w:color="auto" w:fill="FFFFFF"/>
          <w:lang w:val="uk-UA"/>
        </w:rPr>
        <w:t>Woo C.W.  Homocysteine activates</w:t>
      </w:r>
      <w:r w:rsidRPr="003A594D">
        <w:rPr>
          <w:rStyle w:val="apple-converted-space"/>
          <w:sz w:val="28"/>
          <w:szCs w:val="28"/>
          <w:shd w:val="clear" w:color="auto" w:fill="FFFFFF"/>
          <w:lang w:val="uk-UA"/>
        </w:rPr>
        <w:t> </w:t>
      </w:r>
      <w:r w:rsidRPr="003A594D">
        <w:rPr>
          <w:sz w:val="28"/>
          <w:szCs w:val="28"/>
          <w:shd w:val="clear" w:color="auto" w:fill="FFFFFF"/>
          <w:lang w:val="uk-UA"/>
        </w:rPr>
        <w:t>cAMP–response element binding protein in HepG2 through cAMP/PKA signaling pathway / C.W.Woo, Y.L. Siow //</w:t>
      </w:r>
      <w:r w:rsidRPr="003A594D">
        <w:rPr>
          <w:rStyle w:val="apple-converted-space"/>
          <w:sz w:val="28"/>
          <w:szCs w:val="28"/>
          <w:shd w:val="clear" w:color="auto" w:fill="FFFFFF"/>
          <w:lang w:val="uk-UA"/>
        </w:rPr>
        <w:t> </w:t>
      </w:r>
      <w:r w:rsidRPr="003A594D">
        <w:rPr>
          <w:rStyle w:val="ref-journal"/>
          <w:sz w:val="28"/>
          <w:szCs w:val="28"/>
          <w:shd w:val="clear" w:color="auto" w:fill="FFFFFF"/>
          <w:lang w:val="uk-UA"/>
        </w:rPr>
        <w:t>Arterioscler. Thromb. Vasc. Biol.</w:t>
      </w:r>
      <w:r w:rsidRPr="003A594D">
        <w:rPr>
          <w:rStyle w:val="apple-converted-space"/>
          <w:sz w:val="28"/>
          <w:szCs w:val="28"/>
          <w:shd w:val="clear" w:color="auto" w:fill="FFFFFF"/>
          <w:lang w:val="uk-UA"/>
        </w:rPr>
        <w:t> </w:t>
      </w:r>
      <w:r w:rsidRPr="003A594D">
        <w:rPr>
          <w:sz w:val="28"/>
          <w:szCs w:val="28"/>
          <w:shd w:val="clear" w:color="auto" w:fill="FFFFFF"/>
          <w:lang w:val="uk-UA"/>
        </w:rPr>
        <w:t xml:space="preserve">– 2006. – </w:t>
      </w:r>
      <w:r w:rsidRPr="003A594D">
        <w:rPr>
          <w:rStyle w:val="ref-vol"/>
          <w:sz w:val="28"/>
          <w:szCs w:val="28"/>
          <w:shd w:val="clear" w:color="auto" w:fill="FFFFFF"/>
          <w:lang w:val="uk-UA"/>
        </w:rPr>
        <w:t>Vol. 26</w:t>
      </w:r>
      <w:r w:rsidRPr="003A594D">
        <w:rPr>
          <w:sz w:val="28"/>
          <w:szCs w:val="28"/>
          <w:shd w:val="clear" w:color="auto" w:fill="FFFFFF"/>
          <w:lang w:val="uk-UA"/>
        </w:rPr>
        <w:t xml:space="preserve"> (5). – P. 1043–1050.</w:t>
      </w:r>
      <w:r w:rsidRPr="003A594D">
        <w:rPr>
          <w:rStyle w:val="apple-converted-space"/>
          <w:sz w:val="28"/>
          <w:szCs w:val="28"/>
          <w:shd w:val="clear" w:color="auto" w:fill="FFFFFF"/>
          <w:lang w:val="uk-UA"/>
        </w:rPr>
        <w:t>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Yang F. Hyperhomocysteinemia and atherosclerosis / F. Yang, H.–V. Tan, H. Wang // Acta. Physiol. Sin. – 2005. – Vol. 57, №2. – P. 103–114. </w:t>
      </w:r>
    </w:p>
    <w:p w:rsidR="00DC20D7" w:rsidRPr="003A594D" w:rsidRDefault="00DC20D7" w:rsidP="00DC20D7">
      <w:pPr>
        <w:numPr>
          <w:ilvl w:val="0"/>
          <w:numId w:val="10"/>
        </w:numPr>
        <w:spacing w:line="360" w:lineRule="auto"/>
        <w:jc w:val="both"/>
        <w:rPr>
          <w:sz w:val="28"/>
          <w:szCs w:val="28"/>
          <w:shd w:val="clear" w:color="auto" w:fill="FFFFFF"/>
          <w:lang w:val="uk-UA"/>
        </w:rPr>
      </w:pPr>
      <w:r w:rsidRPr="003A594D">
        <w:rPr>
          <w:rStyle w:val="autoren"/>
          <w:sz w:val="28"/>
          <w:szCs w:val="28"/>
          <w:shd w:val="clear" w:color="auto" w:fill="FFFFFF"/>
          <w:lang w:val="uk-UA"/>
        </w:rPr>
        <w:t>Yki–Järvinen H.</w:t>
      </w:r>
      <w:r w:rsidRPr="003A594D">
        <w:rPr>
          <w:rStyle w:val="apple-converted-space"/>
          <w:sz w:val="28"/>
          <w:szCs w:val="28"/>
          <w:shd w:val="clear" w:color="auto" w:fill="FFFFFF"/>
          <w:lang w:val="uk-UA"/>
        </w:rPr>
        <w:t> </w:t>
      </w:r>
      <w:hyperlink r:id="rId62" w:history="1">
        <w:r w:rsidRPr="003A594D">
          <w:rPr>
            <w:sz w:val="28"/>
            <w:lang w:val="uk-UA"/>
          </w:rPr>
          <w:t>Liver Fat in the Pathogenesis of Insulin Resistance and Type 2 Diabetes</w:t>
        </w:r>
      </w:hyperlink>
      <w:r w:rsidRPr="003A594D">
        <w:rPr>
          <w:sz w:val="28"/>
          <w:lang w:val="uk-UA"/>
        </w:rPr>
        <w:t xml:space="preserve">. </w:t>
      </w:r>
      <w:r w:rsidRPr="003A594D">
        <w:rPr>
          <w:sz w:val="28"/>
          <w:szCs w:val="28"/>
          <w:shd w:val="clear" w:color="auto" w:fill="FFFFFF"/>
          <w:lang w:val="uk-UA"/>
        </w:rPr>
        <w:t xml:space="preserve">/ </w:t>
      </w:r>
      <w:r w:rsidRPr="003A594D">
        <w:rPr>
          <w:rStyle w:val="autoren"/>
          <w:sz w:val="28"/>
          <w:szCs w:val="28"/>
          <w:shd w:val="clear" w:color="auto" w:fill="FFFFFF"/>
          <w:lang w:val="uk-UA"/>
        </w:rPr>
        <w:t>H. Yki–Järvinen </w:t>
      </w:r>
      <w:r w:rsidRPr="003A594D">
        <w:rPr>
          <w:sz w:val="28"/>
          <w:szCs w:val="28"/>
          <w:shd w:val="clear" w:color="auto" w:fill="FFFFFF"/>
          <w:lang w:val="uk-UA"/>
        </w:rPr>
        <w:t xml:space="preserve">// Dig Dis. – 2010. – № 28 </w:t>
      </w:r>
      <w:r w:rsidRPr="003A594D">
        <w:rPr>
          <w:sz w:val="28"/>
          <w:szCs w:val="28"/>
          <w:lang w:val="uk-UA"/>
        </w:rPr>
        <w:t>(1)</w:t>
      </w:r>
      <w:r w:rsidRPr="003A594D">
        <w:rPr>
          <w:sz w:val="28"/>
          <w:szCs w:val="28"/>
          <w:shd w:val="clear" w:color="auto" w:fill="FFFFFF"/>
          <w:lang w:val="uk-UA"/>
        </w:rPr>
        <w:t>. – P. 203–209.</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t xml:space="preserve">Younossi Z.M. Review article: current management of nonalcoholic fatty liver disease and nonalcoholic steatohepatitis /  Aliment. Pharmacol. Ther. — 2008. — Vol. 28 (1).— P. 2—12. </w:t>
      </w:r>
    </w:p>
    <w:p w:rsidR="00DC20D7" w:rsidRPr="003A594D" w:rsidRDefault="00DC20D7" w:rsidP="00DC20D7">
      <w:pPr>
        <w:pStyle w:val="21"/>
        <w:numPr>
          <w:ilvl w:val="0"/>
          <w:numId w:val="10"/>
        </w:numPr>
        <w:spacing w:line="360" w:lineRule="auto"/>
        <w:jc w:val="both"/>
        <w:rPr>
          <w:sz w:val="28"/>
          <w:szCs w:val="28"/>
          <w:lang w:val="uk-UA"/>
        </w:rPr>
      </w:pPr>
      <w:r w:rsidRPr="003A594D">
        <w:rPr>
          <w:sz w:val="28"/>
          <w:szCs w:val="28"/>
          <w:lang w:val="uk-UA"/>
        </w:rPr>
        <w:lastRenderedPageBreak/>
        <w:t xml:space="preserve">Zivkovic A.M. Comparative review of diets for the metabolic syndrome: implications for nonalcoholic fatty liver disease / A.M. Zivkovic, J.B. German, A.J. Sanyal // Am. J. Clin. Nutr. — 2007. — 86. — Р. 285—300. </w:t>
      </w:r>
    </w:p>
    <w:p w:rsidR="00DC20D7" w:rsidRPr="003A594D" w:rsidRDefault="00DC20D7" w:rsidP="00DC20D7">
      <w:pPr>
        <w:spacing w:line="360" w:lineRule="auto"/>
        <w:ind w:firstLine="709"/>
        <w:jc w:val="both"/>
        <w:rPr>
          <w:sz w:val="28"/>
          <w:szCs w:val="28"/>
          <w:lang w:val="uk-UA"/>
        </w:rPr>
      </w:pPr>
    </w:p>
    <w:p w:rsidR="00DC20D7" w:rsidRPr="003A594D" w:rsidRDefault="00DC20D7" w:rsidP="00DC20D7">
      <w:pPr>
        <w:spacing w:line="360" w:lineRule="auto"/>
        <w:ind w:firstLine="709"/>
        <w:jc w:val="both"/>
        <w:rPr>
          <w:sz w:val="28"/>
          <w:szCs w:val="28"/>
          <w:lang w:val="uk-UA"/>
        </w:rPr>
      </w:pPr>
    </w:p>
    <w:p w:rsidR="00DC20D7" w:rsidRPr="003A594D" w:rsidRDefault="00DC20D7" w:rsidP="00DC20D7">
      <w:pPr>
        <w:spacing w:line="360" w:lineRule="auto"/>
        <w:ind w:firstLine="709"/>
        <w:jc w:val="both"/>
        <w:rPr>
          <w:sz w:val="28"/>
          <w:szCs w:val="28"/>
          <w:lang w:val="uk-UA"/>
        </w:rPr>
      </w:pPr>
    </w:p>
    <w:p w:rsidR="00DC20D7" w:rsidRPr="003A594D" w:rsidRDefault="00DC20D7" w:rsidP="00DC20D7">
      <w:pPr>
        <w:spacing w:line="360" w:lineRule="auto"/>
        <w:rPr>
          <w:lang w:val="uk-UA"/>
        </w:rPr>
      </w:pPr>
    </w:p>
    <w:p w:rsidR="00DC20D7" w:rsidRPr="003A594D" w:rsidRDefault="00DC20D7" w:rsidP="00DC20D7">
      <w:pPr>
        <w:pStyle w:val="aa"/>
        <w:ind w:left="0" w:firstLine="60"/>
        <w:rPr>
          <w:sz w:val="28"/>
          <w:szCs w:val="28"/>
          <w:shd w:val="clear" w:color="auto" w:fill="FFFFFF"/>
          <w:lang w:val="uk-UA"/>
        </w:rPr>
      </w:pPr>
    </w:p>
    <w:p w:rsidR="00DC20D7" w:rsidRPr="003A594D" w:rsidRDefault="00DC20D7" w:rsidP="00DC20D7">
      <w:pPr>
        <w:jc w:val="both"/>
        <w:rPr>
          <w:sz w:val="28"/>
          <w:szCs w:val="28"/>
          <w:lang w:val="uk-UA"/>
        </w:rPr>
      </w:pPr>
    </w:p>
    <w:p w:rsidR="00DC20D7" w:rsidRPr="003A594D" w:rsidRDefault="00DC20D7" w:rsidP="00DC20D7">
      <w:pPr>
        <w:rPr>
          <w:sz w:val="28"/>
          <w:szCs w:val="28"/>
          <w:lang w:val="uk-UA"/>
        </w:rPr>
      </w:pPr>
    </w:p>
    <w:p w:rsidR="00DC20D7" w:rsidRPr="003A594D" w:rsidRDefault="00DC20D7" w:rsidP="00DC20D7">
      <w:pPr>
        <w:rPr>
          <w:sz w:val="28"/>
          <w:szCs w:val="28"/>
          <w:lang w:val="uk-UA"/>
        </w:rPr>
      </w:pPr>
    </w:p>
    <w:p w:rsidR="00DC20D7" w:rsidRPr="003A594D" w:rsidRDefault="00DC20D7" w:rsidP="00DC20D7">
      <w:pPr>
        <w:rPr>
          <w:sz w:val="28"/>
          <w:szCs w:val="28"/>
          <w:lang w:val="uk-UA"/>
        </w:rPr>
      </w:pPr>
    </w:p>
    <w:p w:rsidR="00DC20D7" w:rsidRPr="003A594D" w:rsidRDefault="00DC20D7" w:rsidP="00DC20D7">
      <w:pPr>
        <w:rPr>
          <w:sz w:val="28"/>
          <w:szCs w:val="28"/>
          <w:lang w:val="uk-UA"/>
        </w:rPr>
      </w:pPr>
    </w:p>
    <w:p w:rsidR="00DC20D7" w:rsidRPr="003A594D" w:rsidRDefault="00DC20D7" w:rsidP="00DC20D7">
      <w:pPr>
        <w:rPr>
          <w:sz w:val="28"/>
          <w:szCs w:val="28"/>
          <w:lang w:val="uk-UA"/>
        </w:rPr>
      </w:pPr>
    </w:p>
    <w:p w:rsidR="00DC20D7" w:rsidRPr="003A594D" w:rsidRDefault="00DC20D7" w:rsidP="00DC20D7">
      <w:pPr>
        <w:rPr>
          <w:sz w:val="28"/>
          <w:szCs w:val="28"/>
          <w:lang w:val="uk-UA"/>
        </w:rPr>
      </w:pPr>
    </w:p>
    <w:p w:rsidR="00DC20D7" w:rsidRPr="003A594D" w:rsidRDefault="00DC20D7" w:rsidP="00DC20D7">
      <w:pPr>
        <w:rPr>
          <w:sz w:val="28"/>
          <w:szCs w:val="28"/>
          <w:lang w:val="uk-UA"/>
        </w:rPr>
      </w:pPr>
    </w:p>
    <w:p w:rsidR="00DC20D7" w:rsidRPr="003A594D" w:rsidRDefault="00DC20D7" w:rsidP="00DC20D7">
      <w:pPr>
        <w:rPr>
          <w:lang w:val="uk-UA"/>
        </w:rPr>
      </w:pPr>
    </w:p>
    <w:p w:rsidR="00DC20D7" w:rsidRPr="003A594D" w:rsidRDefault="00DC20D7" w:rsidP="00DC20D7">
      <w:pPr>
        <w:rPr>
          <w:lang w:val="uk-UA"/>
        </w:rPr>
      </w:pPr>
    </w:p>
    <w:p w:rsidR="00DC20D7" w:rsidRPr="003A594D" w:rsidRDefault="00DC20D7" w:rsidP="00DC20D7">
      <w:pPr>
        <w:rPr>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Default="00077303" w:rsidP="001E1317">
      <w:pPr>
        <w:spacing w:line="360" w:lineRule="auto"/>
        <w:jc w:val="both"/>
        <w:rPr>
          <w:sz w:val="28"/>
          <w:szCs w:val="28"/>
          <w:lang w:val="uk-UA"/>
        </w:rPr>
      </w:pPr>
    </w:p>
    <w:p w:rsidR="00077303" w:rsidRPr="00E10867" w:rsidRDefault="00077303">
      <w:pPr>
        <w:rPr>
          <w:lang w:val="uk-UA"/>
        </w:rPr>
      </w:pPr>
    </w:p>
    <w:sectPr w:rsidR="00077303" w:rsidRPr="00E10867" w:rsidSect="00507E51">
      <w:footerReference w:type="default" r:id="rId63"/>
      <w:pgSz w:w="11906" w:h="16838"/>
      <w:pgMar w:top="1134" w:right="567"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1C28" w:rsidRDefault="00DE1C28" w:rsidP="00165F8B">
      <w:r>
        <w:separator/>
      </w:r>
    </w:p>
  </w:endnote>
  <w:endnote w:type="continuationSeparator" w:id="0">
    <w:p w:rsidR="00DE1C28" w:rsidRDefault="00DE1C28" w:rsidP="00165F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7B21" w:rsidRPr="00507E51" w:rsidRDefault="00B77B21">
    <w:pPr>
      <w:pStyle w:val="a8"/>
      <w:jc w:val="right"/>
      <w:rPr>
        <w:lang w:val="en-US"/>
      </w:rPr>
    </w:pPr>
    <w:r>
      <w:fldChar w:fldCharType="begin"/>
    </w:r>
    <w:r>
      <w:instrText>PAGE   \* MERGEFORMAT</w:instrText>
    </w:r>
    <w:r>
      <w:fldChar w:fldCharType="separate"/>
    </w:r>
    <w:r w:rsidR="00ED7296">
      <w:rPr>
        <w:noProof/>
      </w:rPr>
      <w:t>3</w:t>
    </w:r>
    <w:r>
      <w:rPr>
        <w:noProof/>
      </w:rPr>
      <w:fldChar w:fldCharType="end"/>
    </w:r>
  </w:p>
  <w:p w:rsidR="00B77B21" w:rsidRDefault="00B77B21">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1C28" w:rsidRDefault="00DE1C28" w:rsidP="00165F8B">
      <w:r>
        <w:separator/>
      </w:r>
    </w:p>
  </w:footnote>
  <w:footnote w:type="continuationSeparator" w:id="0">
    <w:p w:rsidR="00DE1C28" w:rsidRDefault="00DE1C28" w:rsidP="00165F8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F5DD3"/>
    <w:multiLevelType w:val="hybridMultilevel"/>
    <w:tmpl w:val="E19CDB6C"/>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1D5203E4"/>
    <w:multiLevelType w:val="hybridMultilevel"/>
    <w:tmpl w:val="4FC0CF82"/>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
    <w:nsid w:val="1F0D5C9C"/>
    <w:multiLevelType w:val="hybridMultilevel"/>
    <w:tmpl w:val="5650B3C2"/>
    <w:lvl w:ilvl="0" w:tplc="879CD8E0">
      <w:start w:val="1"/>
      <w:numFmt w:val="decimal"/>
      <w:lvlText w:val="%1."/>
      <w:lvlJc w:val="left"/>
      <w:pPr>
        <w:tabs>
          <w:tab w:val="num" w:pos="720"/>
        </w:tabs>
        <w:ind w:left="720" w:hanging="360"/>
      </w:pPr>
      <w:rPr>
        <w:rFonts w:cs="Times New Roman"/>
        <w:b w:val="0"/>
        <w:i w:val="0"/>
        <w:sz w:val="28"/>
        <w:szCs w:val="28"/>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3">
    <w:nsid w:val="2BA628F6"/>
    <w:multiLevelType w:val="hybridMultilevel"/>
    <w:tmpl w:val="3F68D3F2"/>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4">
    <w:nsid w:val="30CF2AFF"/>
    <w:multiLevelType w:val="hybridMultilevel"/>
    <w:tmpl w:val="3F68D3F2"/>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5">
    <w:nsid w:val="3E9062EA"/>
    <w:multiLevelType w:val="hybridMultilevel"/>
    <w:tmpl w:val="CF98921E"/>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6">
    <w:nsid w:val="51644026"/>
    <w:multiLevelType w:val="hybridMultilevel"/>
    <w:tmpl w:val="0AD28BAC"/>
    <w:lvl w:ilvl="0" w:tplc="0419000F">
      <w:start w:val="1"/>
      <w:numFmt w:val="decimal"/>
      <w:lvlText w:val="%1."/>
      <w:lvlJc w:val="left"/>
      <w:pPr>
        <w:tabs>
          <w:tab w:val="num" w:pos="720"/>
        </w:tabs>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7">
    <w:nsid w:val="6D2F75C7"/>
    <w:multiLevelType w:val="multilevel"/>
    <w:tmpl w:val="562E8738"/>
    <w:lvl w:ilvl="0">
      <w:start w:val="1"/>
      <w:numFmt w:val="decimal"/>
      <w:lvlText w:val="%1"/>
      <w:lvlJc w:val="left"/>
      <w:pPr>
        <w:ind w:left="690" w:hanging="690"/>
      </w:pPr>
      <w:rPr>
        <w:rFonts w:cs="Times New Roman"/>
      </w:rPr>
    </w:lvl>
    <w:lvl w:ilvl="1">
      <w:start w:val="1"/>
      <w:numFmt w:val="decimal"/>
      <w:lvlText w:val="%1.%2"/>
      <w:lvlJc w:val="left"/>
      <w:pPr>
        <w:ind w:left="1050" w:hanging="690"/>
      </w:pPr>
      <w:rPr>
        <w:rFonts w:cs="Times New Roman"/>
      </w:rPr>
    </w:lvl>
    <w:lvl w:ilvl="2">
      <w:start w:val="1"/>
      <w:numFmt w:val="decimal"/>
      <w:lvlText w:val="%1.%2.%3"/>
      <w:lvlJc w:val="left"/>
      <w:pPr>
        <w:ind w:left="1440" w:hanging="720"/>
      </w:pPr>
      <w:rPr>
        <w:rFonts w:cs="Times New Roman"/>
      </w:rPr>
    </w:lvl>
    <w:lvl w:ilvl="3">
      <w:start w:val="1"/>
      <w:numFmt w:val="decimal"/>
      <w:lvlText w:val="%1.%2.%3.%4"/>
      <w:lvlJc w:val="left"/>
      <w:pPr>
        <w:ind w:left="2160" w:hanging="1080"/>
      </w:pPr>
      <w:rPr>
        <w:rFonts w:cs="Times New Roman"/>
      </w:rPr>
    </w:lvl>
    <w:lvl w:ilvl="4">
      <w:start w:val="1"/>
      <w:numFmt w:val="decimal"/>
      <w:lvlText w:val="%1.%2.%3.%4.%5"/>
      <w:lvlJc w:val="left"/>
      <w:pPr>
        <w:ind w:left="2520" w:hanging="1080"/>
      </w:pPr>
      <w:rPr>
        <w:rFonts w:cs="Times New Roman"/>
      </w:rPr>
    </w:lvl>
    <w:lvl w:ilvl="5">
      <w:start w:val="1"/>
      <w:numFmt w:val="decimal"/>
      <w:lvlText w:val="%1.%2.%3.%4.%5.%6"/>
      <w:lvlJc w:val="left"/>
      <w:pPr>
        <w:ind w:left="3240" w:hanging="1440"/>
      </w:pPr>
      <w:rPr>
        <w:rFonts w:cs="Times New Roman"/>
      </w:rPr>
    </w:lvl>
    <w:lvl w:ilvl="6">
      <w:start w:val="1"/>
      <w:numFmt w:val="decimal"/>
      <w:lvlText w:val="%1.%2.%3.%4.%5.%6.%7"/>
      <w:lvlJc w:val="left"/>
      <w:pPr>
        <w:ind w:left="3600" w:hanging="1440"/>
      </w:pPr>
      <w:rPr>
        <w:rFonts w:cs="Times New Roman"/>
      </w:rPr>
    </w:lvl>
    <w:lvl w:ilvl="7">
      <w:start w:val="1"/>
      <w:numFmt w:val="decimal"/>
      <w:lvlText w:val="%1.%2.%3.%4.%5.%6.%7.%8"/>
      <w:lvlJc w:val="left"/>
      <w:pPr>
        <w:ind w:left="4320" w:hanging="1800"/>
      </w:pPr>
      <w:rPr>
        <w:rFonts w:cs="Times New Roman"/>
      </w:rPr>
    </w:lvl>
    <w:lvl w:ilvl="8">
      <w:start w:val="1"/>
      <w:numFmt w:val="decimal"/>
      <w:lvlText w:val="%1.%2.%3.%4.%5.%6.%7.%8.%9"/>
      <w:lvlJc w:val="left"/>
      <w:pPr>
        <w:ind w:left="5040" w:hanging="2160"/>
      </w:pPr>
      <w:rPr>
        <w:rFonts w:cs="Times New Roman"/>
      </w:rPr>
    </w:lvl>
  </w:abstractNum>
  <w:abstractNum w:abstractNumId="8">
    <w:nsid w:val="738A5418"/>
    <w:multiLevelType w:val="hybridMultilevel"/>
    <w:tmpl w:val="45D67BE4"/>
    <w:lvl w:ilvl="0" w:tplc="5FE2C716">
      <w:start w:val="1"/>
      <w:numFmt w:val="decimal"/>
      <w:lvlText w:val="%1."/>
      <w:lvlJc w:val="left"/>
      <w:pPr>
        <w:tabs>
          <w:tab w:val="num" w:pos="720"/>
        </w:tabs>
        <w:ind w:left="720" w:hanging="360"/>
      </w:pPr>
      <w:rPr>
        <w:rFonts w:cs="Times New Roman"/>
        <w:sz w:val="28"/>
        <w:szCs w:val="28"/>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9">
    <w:nsid w:val="771F4097"/>
    <w:multiLevelType w:val="hybridMultilevel"/>
    <w:tmpl w:val="4C6C308C"/>
    <w:lvl w:ilvl="0" w:tplc="D4CA0760">
      <w:start w:val="1"/>
      <w:numFmt w:val="decimal"/>
      <w:lvlText w:val="%1."/>
      <w:lvlJc w:val="left"/>
      <w:pPr>
        <w:tabs>
          <w:tab w:val="num" w:pos="735"/>
        </w:tabs>
        <w:ind w:left="735" w:hanging="375"/>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0">
    <w:nsid w:val="77734968"/>
    <w:multiLevelType w:val="hybridMultilevel"/>
    <w:tmpl w:val="B9F69FF4"/>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0"/>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hideSpellingErrors/>
  <w:doNotTrackMoves/>
  <w:defaultTabStop w:val="708"/>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01F92"/>
    <w:rsid w:val="00044605"/>
    <w:rsid w:val="00077303"/>
    <w:rsid w:val="00077FA6"/>
    <w:rsid w:val="00082DFB"/>
    <w:rsid w:val="000D41EA"/>
    <w:rsid w:val="000F2B95"/>
    <w:rsid w:val="00113E76"/>
    <w:rsid w:val="00165F8B"/>
    <w:rsid w:val="001C066D"/>
    <w:rsid w:val="001D16D6"/>
    <w:rsid w:val="001E1317"/>
    <w:rsid w:val="001F0B9F"/>
    <w:rsid w:val="001F60DB"/>
    <w:rsid w:val="002768FB"/>
    <w:rsid w:val="00286861"/>
    <w:rsid w:val="002B150C"/>
    <w:rsid w:val="002D283D"/>
    <w:rsid w:val="00325ED3"/>
    <w:rsid w:val="0034455C"/>
    <w:rsid w:val="00387A84"/>
    <w:rsid w:val="003B68F3"/>
    <w:rsid w:val="00401F92"/>
    <w:rsid w:val="00413BFD"/>
    <w:rsid w:val="004161DF"/>
    <w:rsid w:val="0042125C"/>
    <w:rsid w:val="00423488"/>
    <w:rsid w:val="00434F07"/>
    <w:rsid w:val="00437960"/>
    <w:rsid w:val="00440BF6"/>
    <w:rsid w:val="00452FCF"/>
    <w:rsid w:val="0047048A"/>
    <w:rsid w:val="00490C56"/>
    <w:rsid w:val="004A451C"/>
    <w:rsid w:val="00507E51"/>
    <w:rsid w:val="00517FBC"/>
    <w:rsid w:val="00545EF9"/>
    <w:rsid w:val="00566F12"/>
    <w:rsid w:val="00595805"/>
    <w:rsid w:val="005D2B75"/>
    <w:rsid w:val="00642B90"/>
    <w:rsid w:val="00673987"/>
    <w:rsid w:val="00737B9C"/>
    <w:rsid w:val="00741155"/>
    <w:rsid w:val="00754A32"/>
    <w:rsid w:val="007C2A38"/>
    <w:rsid w:val="007C5007"/>
    <w:rsid w:val="007E691D"/>
    <w:rsid w:val="008E108A"/>
    <w:rsid w:val="0090668E"/>
    <w:rsid w:val="00943A81"/>
    <w:rsid w:val="009C3873"/>
    <w:rsid w:val="009D2790"/>
    <w:rsid w:val="009E62DB"/>
    <w:rsid w:val="00A0176F"/>
    <w:rsid w:val="00A045A0"/>
    <w:rsid w:val="00A3555D"/>
    <w:rsid w:val="00A45FF1"/>
    <w:rsid w:val="00A81B23"/>
    <w:rsid w:val="00AD18FA"/>
    <w:rsid w:val="00AD3977"/>
    <w:rsid w:val="00AE73FD"/>
    <w:rsid w:val="00B07220"/>
    <w:rsid w:val="00B353F0"/>
    <w:rsid w:val="00B55094"/>
    <w:rsid w:val="00B7365B"/>
    <w:rsid w:val="00B77B21"/>
    <w:rsid w:val="00BF0AD1"/>
    <w:rsid w:val="00BF429E"/>
    <w:rsid w:val="00C652E1"/>
    <w:rsid w:val="00C73F95"/>
    <w:rsid w:val="00C84796"/>
    <w:rsid w:val="00C9368B"/>
    <w:rsid w:val="00CF6631"/>
    <w:rsid w:val="00D03011"/>
    <w:rsid w:val="00D26EB6"/>
    <w:rsid w:val="00D40EA8"/>
    <w:rsid w:val="00D67814"/>
    <w:rsid w:val="00DB1CA7"/>
    <w:rsid w:val="00DB2EF1"/>
    <w:rsid w:val="00DB3353"/>
    <w:rsid w:val="00DC20D7"/>
    <w:rsid w:val="00DD0BAA"/>
    <w:rsid w:val="00DE1C28"/>
    <w:rsid w:val="00E10867"/>
    <w:rsid w:val="00E53258"/>
    <w:rsid w:val="00E67FD9"/>
    <w:rsid w:val="00E736C3"/>
    <w:rsid w:val="00EB0DEF"/>
    <w:rsid w:val="00ED7296"/>
    <w:rsid w:val="00F026A2"/>
    <w:rsid w:val="00F116A8"/>
    <w:rsid w:val="00F2677F"/>
    <w:rsid w:val="00FA1BF9"/>
    <w:rsid w:val="00FB29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nhideWhenUsed="0" w:qFormat="1"/>
    <w:lsdException w:name="Emphasis" w:locked="1" w:semiHidden="0" w:unhideWhenUsed="0" w:qFormat="1"/>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0867"/>
    <w:rPr>
      <w:rFonts w:ascii="Times New Roman" w:eastAsia="Times New Roman" w:hAnsi="Times New Roman"/>
      <w:sz w:val="24"/>
      <w:szCs w:val="24"/>
    </w:rPr>
  </w:style>
  <w:style w:type="paragraph" w:styleId="1">
    <w:name w:val="heading 1"/>
    <w:basedOn w:val="a"/>
    <w:link w:val="10"/>
    <w:uiPriority w:val="99"/>
    <w:qFormat/>
    <w:rsid w:val="00E10867"/>
    <w:pPr>
      <w:spacing w:before="100" w:beforeAutospacing="1" w:after="100" w:afterAutospacing="1"/>
      <w:outlineLvl w:val="0"/>
    </w:pPr>
    <w:rPr>
      <w:b/>
      <w:bCs/>
      <w:kern w:val="36"/>
      <w:sz w:val="48"/>
      <w:szCs w:val="48"/>
    </w:rPr>
  </w:style>
  <w:style w:type="paragraph" w:styleId="2">
    <w:name w:val="heading 2"/>
    <w:basedOn w:val="a"/>
    <w:next w:val="a"/>
    <w:link w:val="20"/>
    <w:uiPriority w:val="99"/>
    <w:qFormat/>
    <w:rsid w:val="00E10867"/>
    <w:pPr>
      <w:keepNext/>
      <w:spacing w:before="240" w:after="60"/>
      <w:outlineLvl w:val="1"/>
    </w:pPr>
    <w:rPr>
      <w:rFonts w:ascii="Arial" w:hAnsi="Arial" w:cs="Arial"/>
      <w:b/>
      <w:bCs/>
      <w:i/>
      <w:iCs/>
      <w:sz w:val="28"/>
      <w:szCs w:val="28"/>
    </w:rPr>
  </w:style>
  <w:style w:type="paragraph" w:styleId="3">
    <w:name w:val="heading 3"/>
    <w:basedOn w:val="a"/>
    <w:next w:val="a"/>
    <w:link w:val="30"/>
    <w:uiPriority w:val="99"/>
    <w:qFormat/>
    <w:rsid w:val="00E10867"/>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10867"/>
    <w:rPr>
      <w:rFonts w:ascii="Times New Roman" w:hAnsi="Times New Roman" w:cs="Times New Roman"/>
      <w:b/>
      <w:bCs/>
      <w:kern w:val="36"/>
      <w:sz w:val="48"/>
      <w:szCs w:val="48"/>
      <w:lang w:eastAsia="ru-RU"/>
    </w:rPr>
  </w:style>
  <w:style w:type="character" w:customStyle="1" w:styleId="20">
    <w:name w:val="Заголовок 2 Знак"/>
    <w:link w:val="2"/>
    <w:uiPriority w:val="99"/>
    <w:locked/>
    <w:rsid w:val="00E10867"/>
    <w:rPr>
      <w:rFonts w:ascii="Arial" w:hAnsi="Arial" w:cs="Arial"/>
      <w:b/>
      <w:bCs/>
      <w:i/>
      <w:iCs/>
      <w:sz w:val="28"/>
      <w:szCs w:val="28"/>
      <w:lang w:eastAsia="ru-RU"/>
    </w:rPr>
  </w:style>
  <w:style w:type="character" w:customStyle="1" w:styleId="30">
    <w:name w:val="Заголовок 3 Знак"/>
    <w:link w:val="3"/>
    <w:uiPriority w:val="99"/>
    <w:locked/>
    <w:rsid w:val="00E10867"/>
    <w:rPr>
      <w:rFonts w:ascii="Arial" w:hAnsi="Arial" w:cs="Arial"/>
      <w:b/>
      <w:bCs/>
      <w:sz w:val="26"/>
      <w:szCs w:val="26"/>
      <w:lang w:eastAsia="ru-RU"/>
    </w:rPr>
  </w:style>
  <w:style w:type="character" w:styleId="a3">
    <w:name w:val="Hyperlink"/>
    <w:uiPriority w:val="99"/>
    <w:rsid w:val="00E10867"/>
    <w:rPr>
      <w:rFonts w:cs="Times New Roman"/>
      <w:color w:val="0000FF"/>
      <w:u w:val="single"/>
    </w:rPr>
  </w:style>
  <w:style w:type="character" w:styleId="a4">
    <w:name w:val="FollowedHyperlink"/>
    <w:uiPriority w:val="99"/>
    <w:rsid w:val="00E10867"/>
    <w:rPr>
      <w:rFonts w:cs="Times New Roman"/>
      <w:color w:val="800080"/>
      <w:u w:val="single"/>
    </w:rPr>
  </w:style>
  <w:style w:type="paragraph" w:styleId="a5">
    <w:name w:val="Normal (Web)"/>
    <w:basedOn w:val="a"/>
    <w:uiPriority w:val="99"/>
    <w:rsid w:val="00E10867"/>
    <w:pPr>
      <w:spacing w:before="100" w:beforeAutospacing="1" w:after="100" w:afterAutospacing="1"/>
    </w:pPr>
  </w:style>
  <w:style w:type="paragraph" w:styleId="a6">
    <w:name w:val="header"/>
    <w:basedOn w:val="a"/>
    <w:link w:val="a7"/>
    <w:uiPriority w:val="99"/>
    <w:rsid w:val="00E10867"/>
    <w:pPr>
      <w:tabs>
        <w:tab w:val="center" w:pos="4677"/>
        <w:tab w:val="right" w:pos="9355"/>
      </w:tabs>
    </w:pPr>
  </w:style>
  <w:style w:type="character" w:customStyle="1" w:styleId="a7">
    <w:name w:val="Верхний колонтитул Знак"/>
    <w:link w:val="a6"/>
    <w:uiPriority w:val="99"/>
    <w:locked/>
    <w:rsid w:val="00E10867"/>
    <w:rPr>
      <w:rFonts w:ascii="Times New Roman" w:hAnsi="Times New Roman" w:cs="Times New Roman"/>
      <w:sz w:val="24"/>
      <w:szCs w:val="24"/>
      <w:lang w:eastAsia="ru-RU"/>
    </w:rPr>
  </w:style>
  <w:style w:type="paragraph" w:styleId="a8">
    <w:name w:val="footer"/>
    <w:basedOn w:val="a"/>
    <w:link w:val="a9"/>
    <w:uiPriority w:val="99"/>
    <w:rsid w:val="00E10867"/>
    <w:pPr>
      <w:tabs>
        <w:tab w:val="center" w:pos="4677"/>
        <w:tab w:val="right" w:pos="9355"/>
      </w:tabs>
    </w:pPr>
  </w:style>
  <w:style w:type="character" w:customStyle="1" w:styleId="a9">
    <w:name w:val="Нижний колонтитул Знак"/>
    <w:link w:val="a8"/>
    <w:uiPriority w:val="99"/>
    <w:locked/>
    <w:rsid w:val="00E10867"/>
    <w:rPr>
      <w:rFonts w:ascii="Times New Roman" w:hAnsi="Times New Roman" w:cs="Times New Roman"/>
      <w:sz w:val="24"/>
      <w:szCs w:val="24"/>
      <w:lang w:eastAsia="ru-RU"/>
    </w:rPr>
  </w:style>
  <w:style w:type="paragraph" w:styleId="aa">
    <w:name w:val="List"/>
    <w:basedOn w:val="a"/>
    <w:uiPriority w:val="99"/>
    <w:rsid w:val="00E10867"/>
    <w:pPr>
      <w:ind w:left="283" w:hanging="283"/>
    </w:pPr>
  </w:style>
  <w:style w:type="paragraph" w:styleId="21">
    <w:name w:val="List 2"/>
    <w:basedOn w:val="a"/>
    <w:uiPriority w:val="99"/>
    <w:rsid w:val="00E10867"/>
    <w:pPr>
      <w:ind w:left="566" w:hanging="283"/>
    </w:pPr>
  </w:style>
  <w:style w:type="paragraph" w:styleId="ab">
    <w:name w:val="Body Text"/>
    <w:basedOn w:val="a"/>
    <w:link w:val="ac"/>
    <w:uiPriority w:val="99"/>
    <w:semiHidden/>
    <w:rsid w:val="00E10867"/>
    <w:pPr>
      <w:spacing w:line="360" w:lineRule="auto"/>
      <w:jc w:val="both"/>
    </w:pPr>
    <w:rPr>
      <w:sz w:val="28"/>
    </w:rPr>
  </w:style>
  <w:style w:type="character" w:customStyle="1" w:styleId="ac">
    <w:name w:val="Основной текст Знак"/>
    <w:link w:val="ab"/>
    <w:uiPriority w:val="99"/>
    <w:semiHidden/>
    <w:locked/>
    <w:rsid w:val="00E10867"/>
    <w:rPr>
      <w:rFonts w:ascii="Times New Roman" w:hAnsi="Times New Roman" w:cs="Times New Roman"/>
      <w:sz w:val="24"/>
      <w:szCs w:val="24"/>
      <w:lang w:eastAsia="ru-RU"/>
    </w:rPr>
  </w:style>
  <w:style w:type="paragraph" w:styleId="ad">
    <w:name w:val="List Continue"/>
    <w:basedOn w:val="a"/>
    <w:uiPriority w:val="99"/>
    <w:rsid w:val="00E10867"/>
    <w:pPr>
      <w:spacing w:after="120"/>
      <w:ind w:left="283"/>
    </w:pPr>
  </w:style>
  <w:style w:type="paragraph" w:styleId="22">
    <w:name w:val="List Continue 2"/>
    <w:basedOn w:val="a"/>
    <w:uiPriority w:val="99"/>
    <w:rsid w:val="00E10867"/>
    <w:pPr>
      <w:spacing w:after="120"/>
      <w:ind w:left="566"/>
    </w:pPr>
  </w:style>
  <w:style w:type="paragraph" w:styleId="23">
    <w:name w:val="Body Text 2"/>
    <w:basedOn w:val="a"/>
    <w:link w:val="24"/>
    <w:uiPriority w:val="99"/>
    <w:rsid w:val="00E10867"/>
    <w:pPr>
      <w:spacing w:after="120" w:line="480" w:lineRule="auto"/>
    </w:pPr>
  </w:style>
  <w:style w:type="character" w:customStyle="1" w:styleId="24">
    <w:name w:val="Основной текст 2 Знак"/>
    <w:link w:val="23"/>
    <w:uiPriority w:val="99"/>
    <w:locked/>
    <w:rsid w:val="00E10867"/>
    <w:rPr>
      <w:rFonts w:ascii="Times New Roman" w:hAnsi="Times New Roman" w:cs="Times New Roman"/>
      <w:sz w:val="24"/>
      <w:szCs w:val="24"/>
      <w:lang w:eastAsia="ru-RU"/>
    </w:rPr>
  </w:style>
  <w:style w:type="paragraph" w:styleId="ae">
    <w:name w:val="Balloon Text"/>
    <w:basedOn w:val="a"/>
    <w:link w:val="11"/>
    <w:uiPriority w:val="99"/>
    <w:semiHidden/>
    <w:rsid w:val="00E10867"/>
    <w:rPr>
      <w:rFonts w:ascii="Tahoma" w:hAnsi="Tahoma"/>
      <w:sz w:val="16"/>
      <w:szCs w:val="16"/>
    </w:rPr>
  </w:style>
  <w:style w:type="character" w:customStyle="1" w:styleId="11">
    <w:name w:val="Текст выноски Знак1"/>
    <w:link w:val="ae"/>
    <w:uiPriority w:val="99"/>
    <w:semiHidden/>
    <w:locked/>
    <w:rsid w:val="00E10867"/>
    <w:rPr>
      <w:rFonts w:ascii="Tahoma" w:hAnsi="Tahoma"/>
      <w:sz w:val="16"/>
      <w:lang w:eastAsia="ru-RU"/>
    </w:rPr>
  </w:style>
  <w:style w:type="character" w:customStyle="1" w:styleId="af">
    <w:name w:val="Текст выноски Знак"/>
    <w:uiPriority w:val="99"/>
    <w:rsid w:val="00E10867"/>
    <w:rPr>
      <w:rFonts w:ascii="Tahoma" w:hAnsi="Tahoma" w:cs="Tahoma"/>
      <w:sz w:val="16"/>
      <w:szCs w:val="16"/>
      <w:lang w:eastAsia="ru-RU"/>
    </w:rPr>
  </w:style>
  <w:style w:type="paragraph" w:customStyle="1" w:styleId="12">
    <w:name w:val="Абзац списка1"/>
    <w:basedOn w:val="a"/>
    <w:uiPriority w:val="99"/>
    <w:rsid w:val="00E10867"/>
    <w:pPr>
      <w:ind w:left="720"/>
      <w:contextualSpacing/>
    </w:pPr>
    <w:rPr>
      <w:rFonts w:eastAsia="Calibri"/>
    </w:rPr>
  </w:style>
  <w:style w:type="paragraph" w:customStyle="1" w:styleId="Style2">
    <w:name w:val="Style2"/>
    <w:basedOn w:val="a"/>
    <w:uiPriority w:val="99"/>
    <w:rsid w:val="00E10867"/>
    <w:pPr>
      <w:widowControl w:val="0"/>
      <w:autoSpaceDE w:val="0"/>
      <w:autoSpaceDN w:val="0"/>
      <w:adjustRightInd w:val="0"/>
    </w:pPr>
  </w:style>
  <w:style w:type="paragraph" w:customStyle="1" w:styleId="contribs">
    <w:name w:val="contribs"/>
    <w:basedOn w:val="a"/>
    <w:uiPriority w:val="99"/>
    <w:rsid w:val="00E10867"/>
    <w:pPr>
      <w:spacing w:before="100" w:beforeAutospacing="1" w:after="100" w:afterAutospacing="1"/>
    </w:pPr>
  </w:style>
  <w:style w:type="paragraph" w:customStyle="1" w:styleId="bylineno-margin">
    <w:name w:val="byline no-margin"/>
    <w:basedOn w:val="a"/>
    <w:uiPriority w:val="99"/>
    <w:rsid w:val="00E10867"/>
    <w:pPr>
      <w:spacing w:before="100" w:beforeAutospacing="1" w:after="100" w:afterAutospacing="1"/>
    </w:pPr>
  </w:style>
  <w:style w:type="paragraph" w:customStyle="1" w:styleId="self-citation">
    <w:name w:val="self-citation"/>
    <w:basedOn w:val="a"/>
    <w:uiPriority w:val="99"/>
    <w:rsid w:val="00E10867"/>
    <w:pPr>
      <w:spacing w:before="100" w:beforeAutospacing="1" w:after="100" w:afterAutospacing="1"/>
    </w:pPr>
  </w:style>
  <w:style w:type="character" w:customStyle="1" w:styleId="apple-converted-space">
    <w:name w:val="apple-converted-space"/>
    <w:uiPriority w:val="99"/>
    <w:rsid w:val="00E10867"/>
  </w:style>
  <w:style w:type="character" w:customStyle="1" w:styleId="FontStyle15">
    <w:name w:val="Font Style15"/>
    <w:uiPriority w:val="99"/>
    <w:rsid w:val="00E10867"/>
    <w:rPr>
      <w:rFonts w:ascii="Times New Roman" w:hAnsi="Times New Roman"/>
      <w:sz w:val="26"/>
    </w:rPr>
  </w:style>
  <w:style w:type="character" w:customStyle="1" w:styleId="FontStyle11">
    <w:name w:val="Font Style11"/>
    <w:uiPriority w:val="99"/>
    <w:rsid w:val="00E10867"/>
    <w:rPr>
      <w:rFonts w:ascii="Times New Roman" w:hAnsi="Times New Roman"/>
      <w:b/>
      <w:sz w:val="26"/>
    </w:rPr>
  </w:style>
  <w:style w:type="character" w:customStyle="1" w:styleId="maintitle">
    <w:name w:val="maintitle"/>
    <w:uiPriority w:val="99"/>
    <w:rsid w:val="00E10867"/>
  </w:style>
  <w:style w:type="character" w:customStyle="1" w:styleId="apple-style-span">
    <w:name w:val="apple-style-span"/>
    <w:uiPriority w:val="99"/>
    <w:rsid w:val="00E10867"/>
  </w:style>
  <w:style w:type="character" w:customStyle="1" w:styleId="googqs-tidbitgoogqs-tidbit-0">
    <w:name w:val="goog_qs-tidbit goog_qs-tidbit-0"/>
    <w:uiPriority w:val="99"/>
    <w:rsid w:val="00E10867"/>
  </w:style>
  <w:style w:type="character" w:customStyle="1" w:styleId="googqs-tidbitgoogqs-tidbit-1googqs-tidbit-hilite">
    <w:name w:val="goog_qs-tidbit goog_qs-tidbit-1 goog_qs-tidbit-hilite"/>
    <w:uiPriority w:val="99"/>
    <w:rsid w:val="00E10867"/>
  </w:style>
  <w:style w:type="character" w:customStyle="1" w:styleId="bib-domain1">
    <w:name w:val="bib-domain1"/>
    <w:uiPriority w:val="99"/>
    <w:rsid w:val="00E10867"/>
  </w:style>
  <w:style w:type="character" w:customStyle="1" w:styleId="highlight">
    <w:name w:val="highlight"/>
    <w:uiPriority w:val="99"/>
    <w:rsid w:val="00E10867"/>
  </w:style>
  <w:style w:type="character" w:customStyle="1" w:styleId="FontStyle13">
    <w:name w:val="Font Style13"/>
    <w:uiPriority w:val="99"/>
    <w:rsid w:val="00E10867"/>
    <w:rPr>
      <w:rFonts w:ascii="Candara" w:hAnsi="Candara"/>
      <w:sz w:val="20"/>
    </w:rPr>
  </w:style>
  <w:style w:type="character" w:customStyle="1" w:styleId="ref-journal">
    <w:name w:val="ref-journal"/>
    <w:uiPriority w:val="99"/>
    <w:rsid w:val="00E10867"/>
  </w:style>
  <w:style w:type="character" w:customStyle="1" w:styleId="ref-vol">
    <w:name w:val="ref-vol"/>
    <w:uiPriority w:val="99"/>
    <w:rsid w:val="00E10867"/>
  </w:style>
  <w:style w:type="character" w:customStyle="1" w:styleId="searchresulthittext">
    <w:name w:val="search_result_hit_text"/>
    <w:uiPriority w:val="99"/>
    <w:rsid w:val="00E10867"/>
  </w:style>
  <w:style w:type="character" w:customStyle="1" w:styleId="italic">
    <w:name w:val="italic"/>
    <w:uiPriority w:val="99"/>
    <w:rsid w:val="00E10867"/>
  </w:style>
  <w:style w:type="character" w:customStyle="1" w:styleId="author">
    <w:name w:val="author"/>
    <w:uiPriority w:val="99"/>
    <w:rsid w:val="00E10867"/>
  </w:style>
  <w:style w:type="character" w:customStyle="1" w:styleId="journalname">
    <w:name w:val="journalname"/>
    <w:uiPriority w:val="99"/>
    <w:rsid w:val="00E10867"/>
  </w:style>
  <w:style w:type="character" w:customStyle="1" w:styleId="refauthors">
    <w:name w:val="refauthors"/>
    <w:uiPriority w:val="99"/>
    <w:rsid w:val="00E10867"/>
  </w:style>
  <w:style w:type="character" w:customStyle="1" w:styleId="autoren">
    <w:name w:val="autoren"/>
    <w:uiPriority w:val="99"/>
    <w:rsid w:val="00E10867"/>
  </w:style>
  <w:style w:type="character" w:customStyle="1" w:styleId="color">
    <w:name w:val="color"/>
    <w:uiPriority w:val="99"/>
    <w:rsid w:val="00E10867"/>
  </w:style>
  <w:style w:type="character" w:customStyle="1" w:styleId="pagerange">
    <w:name w:val="pagerange"/>
    <w:uiPriority w:val="99"/>
    <w:rsid w:val="00E10867"/>
  </w:style>
  <w:style w:type="character" w:customStyle="1" w:styleId="reftitle">
    <w:name w:val="reftitle"/>
    <w:uiPriority w:val="99"/>
    <w:rsid w:val="00E10867"/>
  </w:style>
  <w:style w:type="character" w:customStyle="1" w:styleId="refseriestitle">
    <w:name w:val="refseriestitle"/>
    <w:uiPriority w:val="99"/>
    <w:rsid w:val="00E10867"/>
  </w:style>
  <w:style w:type="character" w:customStyle="1" w:styleId="refseriesdate">
    <w:name w:val="refseriesdate"/>
    <w:uiPriority w:val="99"/>
    <w:rsid w:val="00E10867"/>
  </w:style>
  <w:style w:type="character" w:customStyle="1" w:styleId="refseriesvolume">
    <w:name w:val="refseriesvolume"/>
    <w:uiPriority w:val="99"/>
    <w:rsid w:val="00E10867"/>
  </w:style>
  <w:style w:type="character" w:customStyle="1" w:styleId="refpages">
    <w:name w:val="refpages"/>
    <w:uiPriority w:val="99"/>
    <w:rsid w:val="00E10867"/>
  </w:style>
  <w:style w:type="character" w:customStyle="1" w:styleId="articletitle">
    <w:name w:val="articletitle"/>
    <w:uiPriority w:val="99"/>
    <w:rsid w:val="00E10867"/>
  </w:style>
  <w:style w:type="character" w:customStyle="1" w:styleId="journaltitle">
    <w:name w:val="journaltitle"/>
    <w:uiPriority w:val="99"/>
    <w:rsid w:val="00E10867"/>
  </w:style>
  <w:style w:type="character" w:customStyle="1" w:styleId="pubyear">
    <w:name w:val="pubyear"/>
    <w:uiPriority w:val="99"/>
    <w:rsid w:val="00E10867"/>
  </w:style>
  <w:style w:type="character" w:customStyle="1" w:styleId="vol">
    <w:name w:val="vol"/>
    <w:uiPriority w:val="99"/>
    <w:rsid w:val="00E10867"/>
  </w:style>
  <w:style w:type="character" w:customStyle="1" w:styleId="pagefirst">
    <w:name w:val="pagefirst"/>
    <w:uiPriority w:val="99"/>
    <w:rsid w:val="00E10867"/>
  </w:style>
  <w:style w:type="character" w:customStyle="1" w:styleId="pagelast">
    <w:name w:val="pagelast"/>
    <w:uiPriority w:val="99"/>
    <w:rsid w:val="00E10867"/>
  </w:style>
  <w:style w:type="character" w:customStyle="1" w:styleId="freeaccess">
    <w:name w:val="freeaccess"/>
    <w:uiPriority w:val="99"/>
    <w:rsid w:val="00E10867"/>
  </w:style>
  <w:style w:type="character" w:customStyle="1" w:styleId="label">
    <w:name w:val="label"/>
    <w:uiPriority w:val="99"/>
    <w:rsid w:val="00E10867"/>
  </w:style>
  <w:style w:type="character" w:customStyle="1" w:styleId="erratumvol">
    <w:name w:val="erratumvol"/>
    <w:uiPriority w:val="99"/>
    <w:rsid w:val="00E10867"/>
  </w:style>
  <w:style w:type="character" w:customStyle="1" w:styleId="erratumissue">
    <w:name w:val="erratumissue"/>
    <w:uiPriority w:val="99"/>
    <w:rsid w:val="00E10867"/>
  </w:style>
  <w:style w:type="character" w:styleId="af0">
    <w:name w:val="Strong"/>
    <w:uiPriority w:val="99"/>
    <w:qFormat/>
    <w:rsid w:val="00E10867"/>
    <w:rPr>
      <w:rFonts w:cs="Times New Roman"/>
      <w:b/>
    </w:rPr>
  </w:style>
  <w:style w:type="character" w:styleId="af1">
    <w:name w:val="Emphasis"/>
    <w:uiPriority w:val="99"/>
    <w:qFormat/>
    <w:rsid w:val="00E10867"/>
    <w:rPr>
      <w:rFonts w:cs="Times New Roman"/>
      <w:i/>
    </w:rPr>
  </w:style>
  <w:style w:type="paragraph" w:styleId="af2">
    <w:name w:val="List Paragraph"/>
    <w:basedOn w:val="a"/>
    <w:uiPriority w:val="34"/>
    <w:qFormat/>
    <w:rsid w:val="00E10867"/>
    <w:pPr>
      <w:ind w:left="720"/>
      <w:contextualSpacing/>
    </w:pPr>
  </w:style>
  <w:style w:type="table" w:styleId="af3">
    <w:name w:val="Table Grid"/>
    <w:basedOn w:val="a1"/>
    <w:uiPriority w:val="99"/>
    <w:locked/>
    <w:rsid w:val="00DC20D7"/>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line number"/>
    <w:uiPriority w:val="99"/>
    <w:semiHidden/>
    <w:unhideWhenUsed/>
    <w:rsid w:val="00DC20D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hyperlink" Target="http://www.uptodate.com/contents/nonalcoholic-fatty-liver-disease-nafld-including-nonalcoholic-steatohepatitis-nash-beyond-the-basics/abstract/2" TargetMode="External"/><Relationship Id="rId39" Type="http://schemas.openxmlformats.org/officeDocument/2006/relationships/hyperlink" Target="http://www.ncbi.nlm.nih.gov/pubmed?term=Nishiguchi%20S%5BAuthor%5D&amp;cauthor=true&amp;cauthor_uid=15499623" TargetMode="External"/><Relationship Id="rId21" Type="http://schemas.openxmlformats.org/officeDocument/2006/relationships/hyperlink" Target="http://medart.komlog.ru/ucm/item/contents/?query=rec.id%3D%22%D0%A2202897%22" TargetMode="External"/><Relationship Id="rId34" Type="http://schemas.openxmlformats.org/officeDocument/2006/relationships/hyperlink" Target="http://www.ncbi.nlm.nih.gov/pubmed?term=Yesilova%20Z%5BAuthor%5D&amp;cauthor=true&amp;cauthor_uid=16105135" TargetMode="External"/><Relationship Id="rId42" Type="http://schemas.openxmlformats.org/officeDocument/2006/relationships/hyperlink" Target="http://www.karger.com/Article/FullText/282089" TargetMode="External"/><Relationship Id="rId47" Type="http://schemas.openxmlformats.org/officeDocument/2006/relationships/hyperlink" Target="http://www.uptodate.com/contents/nonalcoholic-fatty-liver-disease-nafld-including-nonalcoholic-steatohepatitis-nash-beyond-the-basics/abstract/4" TargetMode="External"/><Relationship Id="rId50" Type="http://schemas.openxmlformats.org/officeDocument/2006/relationships/hyperlink" Target="http://www.ncbi.nlm.nih.gov/pubmed?term=Bedogni%20G%5BAuthor%5D&amp;cauthor=true&amp;cauthor_uid=15895401" TargetMode="External"/><Relationship Id="rId55" Type="http://schemas.openxmlformats.org/officeDocument/2006/relationships/hyperlink" Target="http://www.ncbi.nlm.nih.gov/pubmed?term=Pofelski%20J%5BAuthor%5D&amp;cauthor=true&amp;cauthor_uid=17483780" TargetMode="External"/><Relationship Id="rId63"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hyperlink" Target="http://www.ncbi.nlm.nih.gov/pubmed?term=Orando%20S%5BAuthor%5D&amp;cauthor=true&amp;cauthor_uid=17253535" TargetMode="External"/><Relationship Id="rId41" Type="http://schemas.openxmlformats.org/officeDocument/2006/relationships/hyperlink" Target="http://www.ncbi.nlm.nih.gov/pubmed?cmd=Search&amp;doptcmdl=Citation&amp;defaultField=Title%20Word&amp;term=Chang%5Bauthor%5D%20AND%20L-carnitine%20inhibits%20hepatocarcinogenesis%20via%20protection%20of%20mitochondria" TargetMode="External"/><Relationship Id="rId54" Type="http://schemas.openxmlformats.org/officeDocument/2006/relationships/hyperlink" Target="http://www.ncbi.nlm.nih.gov/pubmed?term=Roblin%20X%5BAuthor%5D&amp;cauthor=true&amp;cauthor_uid=17483780" TargetMode="External"/><Relationship Id="rId62" Type="http://schemas.openxmlformats.org/officeDocument/2006/relationships/hyperlink" Target="http://www.karger.com/Article/FullText/28208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24" Type="http://schemas.openxmlformats.org/officeDocument/2006/relationships/hyperlink" Target="http://www.uptodate.com/contents/nonalcoholic-fatty-liver-disease-nafld-including-nonalcoholic-steatohepatitis-nash-beyond-the-basics/abstract/3" TargetMode="External"/><Relationship Id="rId32" Type="http://schemas.openxmlformats.org/officeDocument/2006/relationships/hyperlink" Target="http://onlinelibrary.wiley.com/doi/10.1111/j.1751-2980.2009.00386.x/abstract" TargetMode="External"/><Relationship Id="rId37" Type="http://schemas.openxmlformats.org/officeDocument/2006/relationships/hyperlink" Target="http://www.ncbi.nlm.nih.gov/pubmed?term=Chang%20B%5BAuthor%5D&amp;cauthor=true&amp;cauthor_uid=15499623" TargetMode="External"/><Relationship Id="rId40" Type="http://schemas.openxmlformats.org/officeDocument/2006/relationships/hyperlink" Target="http://www.ncbi.nlm.nih.gov/pubmed?term=Inoue%20M%5BAuthor%5D&amp;cauthor=true&amp;cauthor_uid=15499623" TargetMode="External"/><Relationship Id="rId45" Type="http://schemas.openxmlformats.org/officeDocument/2006/relationships/hyperlink" Target="http://www.ncbi.nlm.nih.gov/pubmed?term=Marlicz%20W%5BAuthor%5D&amp;cauthor=true&amp;cauthor_uid=18702346" TargetMode="External"/><Relationship Id="rId53" Type="http://schemas.openxmlformats.org/officeDocument/2006/relationships/hyperlink" Target="http://www.ncbi.nlm.nih.gov/pubmed?term=Roblin%20X%5BAuthor%5D&amp;cauthor=true&amp;cauthor_uid=17483780" TargetMode="External"/><Relationship Id="rId58" Type="http://schemas.openxmlformats.org/officeDocument/2006/relationships/hyperlink" Target="http://www.journal-of-hepatology.eu/article/S0168-8278(09)00369-9/abstract" TargetMode="External"/><Relationship Id="rId5" Type="http://schemas.openxmlformats.org/officeDocument/2006/relationships/settings" Target="settings.xml"/><Relationship Id="rId15" Type="http://schemas.openxmlformats.org/officeDocument/2006/relationships/image" Target="media/image7.emf"/><Relationship Id="rId23" Type="http://schemas.openxmlformats.org/officeDocument/2006/relationships/hyperlink" Target="http://journals.lww.com/jpgn/toc/2014/05000" TargetMode="External"/><Relationship Id="rId28" Type="http://schemas.openxmlformats.org/officeDocument/2006/relationships/hyperlink" Target="http://www.ncbi.nlm.nih.gov/pubmed?term=Azzalini%20L%5BAuthor%5D&amp;cauthor=true&amp;cauthor_uid=17253535" TargetMode="External"/><Relationship Id="rId36" Type="http://schemas.openxmlformats.org/officeDocument/2006/relationships/hyperlink" Target="http://www.ncbi.nlm.nih.gov/pubmed/?term=Gastroenterol+Hepatol+2005%3B+20%3A+1448-55." TargetMode="External"/><Relationship Id="rId49" Type="http://schemas.openxmlformats.org/officeDocument/2006/relationships/hyperlink" Target="http://www.karger.com/Article/FullText/282084" TargetMode="External"/><Relationship Id="rId57" Type="http://schemas.openxmlformats.org/officeDocument/2006/relationships/hyperlink" Target="http://www.ncbi.nlm.nih.gov/pubmed/17483780" TargetMode="External"/><Relationship Id="rId61" Type="http://schemas.openxmlformats.org/officeDocument/2006/relationships/hyperlink" Target="http://www.karger.com/Article/FullText/282101" TargetMode="External"/><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hyperlink" Target="http://onlinelibrary.wiley.com/doi/10.1111/j.1751-2980.2009.00386.x/abstract" TargetMode="External"/><Relationship Id="rId44" Type="http://schemas.openxmlformats.org/officeDocument/2006/relationships/hyperlink" Target="http://www.ncbi.nlm.nih.gov/pubmed?term=Lawniczak%20M%5BAuthor%5D&amp;cauthor=true&amp;cauthor_uid=18702346" TargetMode="External"/><Relationship Id="rId52" Type="http://schemas.openxmlformats.org/officeDocument/2006/relationships/hyperlink" Target="http://www.ncbi.nlm.nih.gov/pubmed?term=Masutti%20F%5BAuthor%5D&amp;cauthor=true&amp;cauthor_uid=15895401" TargetMode="External"/><Relationship Id="rId60" Type="http://schemas.openxmlformats.org/officeDocument/2006/relationships/hyperlink" Target="http://www.karger.com/Article/FullText/282086" TargetMode="External"/><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6.jpeg"/><Relationship Id="rId22" Type="http://schemas.openxmlformats.org/officeDocument/2006/relationships/hyperlink" Target="http://medart.komlog.ru/ucm/item/contents/?query=rec.id%3D%22%D0%A2202897%2F2009%2F81%2F10%22" TargetMode="External"/><Relationship Id="rId27" Type="http://schemas.openxmlformats.org/officeDocument/2006/relationships/hyperlink" Target="http://www.ncbi.nlm.nih.gov/pubmed?term=Lirussi%20F%5BAuthor%5D&amp;cauthor=true&amp;cauthor_uid=17253535" TargetMode="External"/><Relationship Id="rId30" Type="http://schemas.openxmlformats.org/officeDocument/2006/relationships/hyperlink" Target="http://www.ncbi.nlm.nih.gov/pubmed/15887121" TargetMode="External"/><Relationship Id="rId35" Type="http://schemas.openxmlformats.org/officeDocument/2006/relationships/hyperlink" Target="http://www.ncbi.nlm.nih.gov/pubmed?term=Bagci%20S%5BAuthor%5D&amp;cauthor=true&amp;cauthor_uid=16105135" TargetMode="External"/><Relationship Id="rId43" Type="http://schemas.openxmlformats.org/officeDocument/2006/relationships/hyperlink" Target="http://www.ncbi.nlm.nih.gov/pubmed?term=Raszeja-Wyszomirska%20J%5BAuthor%5D&amp;cauthor=true&amp;cauthor_uid=18702346" TargetMode="External"/><Relationship Id="rId48" Type="http://schemas.openxmlformats.org/officeDocument/2006/relationships/hyperlink" Target="http://onlinelibrary.wiley.com/doi/10.1002/hep.23768/abstract" TargetMode="External"/><Relationship Id="rId56" Type="http://schemas.openxmlformats.org/officeDocument/2006/relationships/hyperlink" Target="http://www.ncbi.nlm.nih.gov/pubmed?term=Zarski%20JP%5BAuthor%5D&amp;cauthor=true&amp;cauthor_uid=17483780" TargetMode="External"/><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ncbi.nlm.nih.gov/pubmed?term=Miglioli%20L%5BAuthor%5D&amp;cauthor=true&amp;cauthor_uid=15895401"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hyperlink" Target="http://www.journal-of-hepatology.eu/search/quick?search_area=journal&amp;search_text1=NAFLD&amp;restrictName.jhepat=jhepat" TargetMode="External"/><Relationship Id="rId33" Type="http://schemas.openxmlformats.org/officeDocument/2006/relationships/hyperlink" Target="http://www.ncbi.nlm.nih.gov/pubmed?term=Gulsen%20M%5BAuthor%5D&amp;cauthor=true&amp;cauthor_uid=16105135" TargetMode="External"/><Relationship Id="rId38" Type="http://schemas.openxmlformats.org/officeDocument/2006/relationships/hyperlink" Target="http://www.ncbi.nlm.nih.gov/pubmed?term=Nishikawa%20M%5BAuthor%5D&amp;cauthor=true&amp;cauthor_uid=15499623" TargetMode="External"/><Relationship Id="rId46" Type="http://schemas.openxmlformats.org/officeDocument/2006/relationships/hyperlink" Target="http://www.ncbi.nlm.nih.gov/pubmed/18702346" TargetMode="External"/><Relationship Id="rId59" Type="http://schemas.openxmlformats.org/officeDocument/2006/relationships/hyperlink" Target="http://www.ncbi.nlm.nih.gov/pubmed/158871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38BF72-A16A-49BD-867B-71096EB147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140</Pages>
  <Words>36545</Words>
  <Characters>208310</Characters>
  <Application>Microsoft Office Word</Application>
  <DocSecurity>0</DocSecurity>
  <Lines>1735</Lines>
  <Paragraphs>488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244367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2015-05-09T07:56:00Z</cp:lastPrinted>
  <dcterms:created xsi:type="dcterms:W3CDTF">2015-09-01T16:54:00Z</dcterms:created>
  <dcterms:modified xsi:type="dcterms:W3CDTF">2015-09-01T16:54:00Z</dcterms:modified>
</cp:coreProperties>
</file>