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theme/themeOverride19.xml" ContentType="application/vnd.openxmlformats-officedocument.themeOverride+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theme/themeOverride17.xml" ContentType="application/vnd.openxmlformats-officedocument.themeOverride+xml"/>
  <Override PartName="/word/charts/chart21.xml" ContentType="application/vnd.openxmlformats-officedocument.drawingml.chart+xml"/>
  <Override PartName="/word/theme/themeOverride18.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Override PartName="/word/theme/themeOverride4.xml" ContentType="application/vnd.openxmlformats-officedocument.themeOverride+xml"/>
  <Default Extension="png" ContentType="image/png"/>
  <Override PartName="/word/theme/themeOverride16.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Default Extension="emf" ContentType="image/x-emf"/>
  <Override PartName="/word/theme/themeOverride12.xml" ContentType="application/vnd.openxmlformats-officedocument.themeOverride+xml"/>
  <Override PartName="/word/theme/themeOverride21.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42E0" w:rsidRDefault="00E942E0"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Харківський національний медичний університет </w:t>
      </w:r>
    </w:p>
    <w:p w:rsidR="00247ACA" w:rsidRDefault="00247ACA"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Міністерство охорони здоров</w:t>
      </w:r>
      <w:r w:rsidRPr="00604756">
        <w:rPr>
          <w:rFonts w:ascii="Times New Roman" w:hAnsi="Times New Roman"/>
          <w:sz w:val="28"/>
          <w:szCs w:val="28"/>
          <w:lang w:val="ru-RU"/>
        </w:rPr>
        <w:t>’</w:t>
      </w:r>
      <w:r>
        <w:rPr>
          <w:rFonts w:ascii="Times New Roman" w:hAnsi="Times New Roman"/>
          <w:sz w:val="28"/>
          <w:szCs w:val="28"/>
          <w:lang w:val="uk-UA"/>
        </w:rPr>
        <w:t>я  України</w:t>
      </w:r>
    </w:p>
    <w:p w:rsidR="00C8276F" w:rsidRDefault="00C8276F" w:rsidP="005C1EA2">
      <w:pPr>
        <w:spacing w:line="360" w:lineRule="auto"/>
        <w:ind w:firstLine="709"/>
        <w:jc w:val="center"/>
        <w:rPr>
          <w:rFonts w:ascii="Times New Roman" w:hAnsi="Times New Roman"/>
          <w:sz w:val="28"/>
          <w:szCs w:val="28"/>
          <w:lang w:val="uk-UA"/>
        </w:rPr>
      </w:pPr>
    </w:p>
    <w:p w:rsidR="00C8276F" w:rsidRDefault="00C8276F" w:rsidP="00C8276F">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Харківський національний медичний університет </w:t>
      </w:r>
    </w:p>
    <w:p w:rsidR="00C8276F" w:rsidRDefault="00C8276F" w:rsidP="00C8276F">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Міністерство охорони здоров</w:t>
      </w:r>
      <w:r w:rsidRPr="00604756">
        <w:rPr>
          <w:rFonts w:ascii="Times New Roman" w:hAnsi="Times New Roman"/>
          <w:sz w:val="28"/>
          <w:szCs w:val="28"/>
          <w:lang w:val="ru-RU"/>
        </w:rPr>
        <w:t>’</w:t>
      </w:r>
      <w:r>
        <w:rPr>
          <w:rFonts w:ascii="Times New Roman" w:hAnsi="Times New Roman"/>
          <w:sz w:val="28"/>
          <w:szCs w:val="28"/>
          <w:lang w:val="uk-UA"/>
        </w:rPr>
        <w:t>я  України</w:t>
      </w:r>
    </w:p>
    <w:p w:rsidR="00247ACA" w:rsidRDefault="00247ACA" w:rsidP="005C1EA2">
      <w:pPr>
        <w:spacing w:line="360" w:lineRule="auto"/>
        <w:ind w:firstLine="709"/>
        <w:jc w:val="center"/>
        <w:rPr>
          <w:rFonts w:ascii="Times New Roman" w:hAnsi="Times New Roman"/>
          <w:sz w:val="28"/>
          <w:szCs w:val="28"/>
          <w:lang w:val="uk-UA"/>
        </w:rPr>
      </w:pPr>
    </w:p>
    <w:p w:rsidR="00E942E0" w:rsidRPr="00E942E0" w:rsidRDefault="00E942E0" w:rsidP="005C1EA2">
      <w:pPr>
        <w:spacing w:line="360" w:lineRule="auto"/>
        <w:ind w:left="6237"/>
        <w:rPr>
          <w:lang w:val="ru-RU"/>
        </w:rPr>
      </w:pPr>
      <w:r w:rsidRPr="00E942E0">
        <w:rPr>
          <w:rFonts w:ascii="Times New Roman" w:hAnsi="Times New Roman"/>
          <w:sz w:val="28"/>
          <w:szCs w:val="28"/>
          <w:lang w:val="ru-RU"/>
        </w:rPr>
        <w:t xml:space="preserve">Кваліфікаційна наукова </w:t>
      </w:r>
    </w:p>
    <w:p w:rsidR="00247ACA" w:rsidRPr="00604756" w:rsidRDefault="00E942E0" w:rsidP="005C1EA2">
      <w:pPr>
        <w:spacing w:line="360" w:lineRule="auto"/>
        <w:ind w:left="6237"/>
        <w:rPr>
          <w:rFonts w:ascii="Times New Roman" w:hAnsi="Times New Roman"/>
          <w:i/>
          <w:sz w:val="28"/>
          <w:szCs w:val="28"/>
          <w:lang w:val="uk-UA"/>
        </w:rPr>
      </w:pPr>
      <w:r w:rsidRPr="00E942E0">
        <w:rPr>
          <w:rFonts w:ascii="Times New Roman" w:hAnsi="Times New Roman"/>
          <w:sz w:val="28"/>
          <w:szCs w:val="28"/>
          <w:lang w:val="ru-RU"/>
        </w:rPr>
        <w:t>праця на правах рукопису</w:t>
      </w:r>
    </w:p>
    <w:p w:rsidR="00247ACA" w:rsidRDefault="00247ACA" w:rsidP="005C1EA2">
      <w:pPr>
        <w:spacing w:line="360" w:lineRule="auto"/>
        <w:ind w:firstLine="709"/>
        <w:jc w:val="center"/>
        <w:rPr>
          <w:rFonts w:ascii="Times New Roman" w:hAnsi="Times New Roman"/>
          <w:sz w:val="28"/>
          <w:szCs w:val="28"/>
          <w:lang w:val="uk-UA"/>
        </w:rPr>
      </w:pPr>
    </w:p>
    <w:p w:rsidR="00247ACA" w:rsidRDefault="00247ACA" w:rsidP="005C1EA2">
      <w:pPr>
        <w:spacing w:line="360" w:lineRule="auto"/>
        <w:ind w:firstLine="709"/>
        <w:jc w:val="center"/>
        <w:rPr>
          <w:rFonts w:ascii="Times New Roman" w:hAnsi="Times New Roman"/>
          <w:sz w:val="28"/>
          <w:szCs w:val="28"/>
          <w:lang w:val="uk-UA"/>
        </w:rPr>
      </w:pPr>
    </w:p>
    <w:p w:rsidR="00247ACA" w:rsidRDefault="00247ACA"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Ключка Євгенія Олександрівна</w:t>
      </w:r>
    </w:p>
    <w:p w:rsidR="00247ACA" w:rsidRDefault="00247ACA" w:rsidP="005C1EA2">
      <w:pPr>
        <w:spacing w:line="360" w:lineRule="auto"/>
        <w:ind w:firstLine="709"/>
        <w:jc w:val="center"/>
        <w:rPr>
          <w:rFonts w:ascii="Times New Roman" w:hAnsi="Times New Roman"/>
          <w:sz w:val="28"/>
          <w:szCs w:val="28"/>
          <w:lang w:val="uk-UA"/>
        </w:rPr>
      </w:pPr>
    </w:p>
    <w:p w:rsidR="00247ACA" w:rsidRDefault="00247ACA" w:rsidP="005C1EA2">
      <w:pPr>
        <w:spacing w:line="360" w:lineRule="auto"/>
        <w:ind w:firstLine="709"/>
        <w:jc w:val="right"/>
        <w:rPr>
          <w:rFonts w:ascii="Times New Roman" w:hAnsi="Times New Roman"/>
          <w:sz w:val="28"/>
          <w:szCs w:val="28"/>
          <w:lang w:val="uk-UA"/>
        </w:rPr>
      </w:pPr>
      <w:r>
        <w:rPr>
          <w:rFonts w:ascii="Times New Roman" w:hAnsi="Times New Roman"/>
          <w:sz w:val="28"/>
          <w:szCs w:val="28"/>
          <w:lang w:val="uk-UA"/>
        </w:rPr>
        <w:t>УДК:</w:t>
      </w:r>
      <w:r w:rsidR="002216D7">
        <w:rPr>
          <w:rFonts w:ascii="Times New Roman" w:hAnsi="Times New Roman"/>
          <w:sz w:val="28"/>
          <w:szCs w:val="28"/>
          <w:lang w:val="uk-UA"/>
        </w:rPr>
        <w:t xml:space="preserve"> 616.314.17-008.1-055.25-036-037-084:618.17-008.8(043.3)</w:t>
      </w:r>
    </w:p>
    <w:p w:rsidR="00247ACA" w:rsidRDefault="00247ACA" w:rsidP="005C1EA2">
      <w:pPr>
        <w:spacing w:line="360" w:lineRule="auto"/>
        <w:ind w:firstLine="709"/>
        <w:jc w:val="center"/>
        <w:rPr>
          <w:rFonts w:ascii="Times New Roman" w:hAnsi="Times New Roman"/>
          <w:sz w:val="28"/>
          <w:szCs w:val="28"/>
          <w:lang w:val="uk-UA"/>
        </w:rPr>
      </w:pPr>
    </w:p>
    <w:p w:rsidR="00E942E0" w:rsidRPr="002653A6" w:rsidRDefault="00E942E0" w:rsidP="005C1EA2">
      <w:pPr>
        <w:spacing w:line="360" w:lineRule="auto"/>
        <w:ind w:firstLine="709"/>
        <w:jc w:val="center"/>
        <w:rPr>
          <w:lang w:val="uk-UA"/>
        </w:rPr>
      </w:pPr>
      <w:r w:rsidRPr="002653A6">
        <w:rPr>
          <w:rFonts w:ascii="Times New Roman" w:hAnsi="Times New Roman"/>
          <w:b/>
          <w:sz w:val="28"/>
          <w:szCs w:val="28"/>
          <w:lang w:val="uk-UA"/>
        </w:rPr>
        <w:t>ДИСЕРТАЦІЯ</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Особливості перебігу, прогнозу та профілактики запальних</w:t>
      </w:r>
      <w:r w:rsidR="00235DA2">
        <w:rPr>
          <w:rFonts w:ascii="Times New Roman" w:hAnsi="Times New Roman"/>
          <w:sz w:val="28"/>
          <w:szCs w:val="28"/>
          <w:lang w:val="uk-UA"/>
        </w:rPr>
        <w:t xml:space="preserve"> захворювань </w:t>
      </w:r>
      <w:r w:rsidR="00E92164">
        <w:rPr>
          <w:rFonts w:ascii="Times New Roman" w:hAnsi="Times New Roman"/>
          <w:sz w:val="28"/>
          <w:szCs w:val="28"/>
          <w:lang w:val="uk-UA"/>
        </w:rPr>
        <w:t>пародонта</w:t>
      </w:r>
      <w:r>
        <w:rPr>
          <w:rFonts w:ascii="Times New Roman" w:hAnsi="Times New Roman"/>
          <w:sz w:val="28"/>
          <w:szCs w:val="28"/>
          <w:lang w:val="uk-UA"/>
        </w:rPr>
        <w:t xml:space="preserve"> у дівчат-підлітків з порушенням менструальної функції</w:t>
      </w:r>
    </w:p>
    <w:p w:rsidR="00247ACA" w:rsidRDefault="00247ACA"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14.01.22 – Стоматологія</w:t>
      </w:r>
    </w:p>
    <w:p w:rsidR="00247ACA" w:rsidRDefault="00E942E0" w:rsidP="005C1EA2">
      <w:pPr>
        <w:spacing w:line="360" w:lineRule="auto"/>
        <w:ind w:firstLine="709"/>
        <w:jc w:val="both"/>
        <w:rPr>
          <w:rFonts w:ascii="Times New Roman" w:hAnsi="Times New Roman"/>
          <w:sz w:val="28"/>
          <w:szCs w:val="28"/>
          <w:lang w:val="uk-UA"/>
        </w:rPr>
      </w:pPr>
      <w:r w:rsidRPr="00E942E0">
        <w:rPr>
          <w:rFonts w:ascii="Times New Roman" w:hAnsi="Times New Roman"/>
          <w:sz w:val="28"/>
          <w:szCs w:val="28"/>
          <w:lang w:val="ru-RU"/>
        </w:rPr>
        <w:t>Подається на здобуття наукового ступеня</w:t>
      </w:r>
      <w:r w:rsidR="00247ACA">
        <w:rPr>
          <w:rFonts w:ascii="Times New Roman" w:hAnsi="Times New Roman"/>
          <w:sz w:val="28"/>
          <w:szCs w:val="28"/>
          <w:lang w:val="uk-UA"/>
        </w:rPr>
        <w:t xml:space="preserve"> кандидата медичних наук</w:t>
      </w:r>
    </w:p>
    <w:p w:rsidR="00247ACA" w:rsidRDefault="00247ACA" w:rsidP="005C1EA2">
      <w:pPr>
        <w:spacing w:line="360" w:lineRule="auto"/>
        <w:ind w:firstLine="709"/>
        <w:jc w:val="center"/>
        <w:rPr>
          <w:rFonts w:ascii="Times New Roman" w:hAnsi="Times New Roman"/>
          <w:sz w:val="28"/>
          <w:szCs w:val="28"/>
          <w:lang w:val="uk-UA"/>
        </w:rPr>
      </w:pPr>
    </w:p>
    <w:p w:rsidR="00247ACA" w:rsidRDefault="00E942E0" w:rsidP="005C1EA2">
      <w:pPr>
        <w:spacing w:line="360" w:lineRule="auto"/>
        <w:ind w:firstLine="709"/>
        <w:jc w:val="both"/>
        <w:rPr>
          <w:rFonts w:ascii="Times New Roman" w:hAnsi="Times New Roman"/>
          <w:sz w:val="28"/>
          <w:szCs w:val="28"/>
          <w:lang w:val="ru-RU"/>
        </w:rPr>
      </w:pPr>
      <w:r w:rsidRPr="00E942E0">
        <w:rPr>
          <w:rFonts w:ascii="Times New Roman" w:hAnsi="Times New Roman"/>
          <w:sz w:val="28"/>
          <w:szCs w:val="28"/>
          <w:lang w:val="ru-RU"/>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E942E0" w:rsidRPr="00E942E0" w:rsidRDefault="00E942E0" w:rsidP="005C1EA2">
      <w:pPr>
        <w:spacing w:line="360" w:lineRule="auto"/>
        <w:ind w:firstLine="709"/>
        <w:rPr>
          <w:rFonts w:ascii="Times New Roman" w:hAnsi="Times New Roman"/>
          <w:sz w:val="28"/>
          <w:szCs w:val="28"/>
          <w:lang w:val="ru-RU"/>
        </w:rPr>
      </w:pPr>
      <w:r>
        <w:rPr>
          <w:rFonts w:ascii="Times New Roman" w:hAnsi="Times New Roman"/>
          <w:sz w:val="28"/>
          <w:szCs w:val="28"/>
          <w:lang w:val="ru-RU"/>
        </w:rPr>
        <w:t>______________Є.</w:t>
      </w:r>
      <w:r w:rsidR="00235DA2">
        <w:rPr>
          <w:rFonts w:ascii="Times New Roman" w:hAnsi="Times New Roman"/>
          <w:sz w:val="28"/>
          <w:szCs w:val="28"/>
          <w:lang w:val="ru-RU"/>
        </w:rPr>
        <w:t xml:space="preserve"> </w:t>
      </w:r>
      <w:r>
        <w:rPr>
          <w:rFonts w:ascii="Times New Roman" w:hAnsi="Times New Roman"/>
          <w:sz w:val="28"/>
          <w:szCs w:val="28"/>
          <w:lang w:val="ru-RU"/>
        </w:rPr>
        <w:t>О.</w:t>
      </w:r>
      <w:r w:rsidR="00235DA2">
        <w:rPr>
          <w:rFonts w:ascii="Times New Roman" w:hAnsi="Times New Roman"/>
          <w:sz w:val="28"/>
          <w:szCs w:val="28"/>
          <w:lang w:val="ru-RU"/>
        </w:rPr>
        <w:t xml:space="preserve"> </w:t>
      </w:r>
      <w:r>
        <w:rPr>
          <w:rFonts w:ascii="Times New Roman" w:hAnsi="Times New Roman"/>
          <w:sz w:val="28"/>
          <w:szCs w:val="28"/>
          <w:lang w:val="ru-RU"/>
        </w:rPr>
        <w:t>Ключка</w:t>
      </w:r>
    </w:p>
    <w:p w:rsidR="00235DA2" w:rsidRDefault="00235DA2" w:rsidP="005C1EA2">
      <w:pPr>
        <w:spacing w:line="360" w:lineRule="auto"/>
        <w:ind w:left="4820" w:firstLine="709"/>
        <w:jc w:val="both"/>
        <w:rPr>
          <w:rFonts w:ascii="Times New Roman" w:hAnsi="Times New Roman"/>
          <w:sz w:val="28"/>
          <w:szCs w:val="28"/>
          <w:lang w:val="uk-UA"/>
        </w:rPr>
      </w:pP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Науковий керівник: </w:t>
      </w:r>
      <w:r w:rsidR="00235DA2">
        <w:rPr>
          <w:rFonts w:ascii="Times New Roman" w:hAnsi="Times New Roman"/>
          <w:sz w:val="28"/>
          <w:szCs w:val="28"/>
          <w:lang w:val="uk-UA"/>
        </w:rPr>
        <w:t xml:space="preserve">Соколова Ірина Іванівна, </w:t>
      </w:r>
      <w:r>
        <w:rPr>
          <w:rFonts w:ascii="Times New Roman" w:hAnsi="Times New Roman"/>
          <w:sz w:val="28"/>
          <w:szCs w:val="28"/>
          <w:lang w:val="uk-UA"/>
        </w:rPr>
        <w:t>доктор медичних наук, професор</w:t>
      </w:r>
      <w:r w:rsidR="00235DA2">
        <w:rPr>
          <w:rFonts w:ascii="Times New Roman" w:hAnsi="Times New Roman"/>
          <w:sz w:val="28"/>
          <w:szCs w:val="28"/>
          <w:lang w:val="uk-UA"/>
        </w:rPr>
        <w:t xml:space="preserve"> </w:t>
      </w:r>
    </w:p>
    <w:p w:rsidR="00247ACA" w:rsidRDefault="00247ACA" w:rsidP="005C1EA2">
      <w:pPr>
        <w:spacing w:line="360" w:lineRule="auto"/>
        <w:ind w:firstLine="709"/>
        <w:jc w:val="both"/>
        <w:rPr>
          <w:rFonts w:ascii="Times New Roman" w:hAnsi="Times New Roman"/>
          <w:sz w:val="28"/>
          <w:szCs w:val="28"/>
          <w:lang w:val="uk-UA"/>
        </w:rPr>
      </w:pPr>
    </w:p>
    <w:p w:rsidR="00C8276F" w:rsidRDefault="00C8276F" w:rsidP="005C1EA2">
      <w:pPr>
        <w:spacing w:line="360" w:lineRule="auto"/>
        <w:ind w:firstLine="709"/>
        <w:jc w:val="both"/>
        <w:rPr>
          <w:rFonts w:ascii="Times New Roman" w:hAnsi="Times New Roman"/>
          <w:sz w:val="28"/>
          <w:szCs w:val="28"/>
          <w:lang w:val="uk-UA"/>
        </w:rPr>
      </w:pPr>
    </w:p>
    <w:p w:rsidR="00C8276F" w:rsidRDefault="00C8276F" w:rsidP="005C1EA2">
      <w:pPr>
        <w:spacing w:line="360" w:lineRule="auto"/>
        <w:ind w:firstLine="709"/>
        <w:jc w:val="both"/>
        <w:rPr>
          <w:rFonts w:ascii="Times New Roman" w:hAnsi="Times New Roman"/>
          <w:sz w:val="28"/>
          <w:szCs w:val="28"/>
          <w:lang w:val="uk-UA"/>
        </w:rPr>
      </w:pPr>
    </w:p>
    <w:p w:rsidR="00247ACA" w:rsidRDefault="00235DA2"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м. </w:t>
      </w:r>
      <w:r w:rsidR="00247ACA">
        <w:rPr>
          <w:rFonts w:ascii="Times New Roman" w:hAnsi="Times New Roman"/>
          <w:sz w:val="28"/>
          <w:szCs w:val="28"/>
          <w:lang w:val="uk-UA"/>
        </w:rPr>
        <w:t>Хар</w:t>
      </w:r>
      <w:r w:rsidR="00E92164">
        <w:rPr>
          <w:rFonts w:ascii="Times New Roman" w:hAnsi="Times New Roman"/>
          <w:sz w:val="28"/>
          <w:szCs w:val="28"/>
          <w:lang w:val="uk-UA"/>
        </w:rPr>
        <w:t>ків</w:t>
      </w:r>
      <w:r>
        <w:rPr>
          <w:rFonts w:ascii="Times New Roman" w:hAnsi="Times New Roman"/>
          <w:sz w:val="28"/>
          <w:szCs w:val="28"/>
          <w:lang w:val="uk-UA"/>
        </w:rPr>
        <w:t xml:space="preserve"> </w:t>
      </w:r>
      <w:r w:rsidR="00836B09">
        <w:rPr>
          <w:rFonts w:ascii="Times New Roman" w:hAnsi="Times New Roman"/>
          <w:sz w:val="28"/>
          <w:szCs w:val="28"/>
          <w:lang w:val="uk-UA"/>
        </w:rPr>
        <w:t>–</w:t>
      </w:r>
      <w:r>
        <w:rPr>
          <w:rFonts w:ascii="Times New Roman" w:hAnsi="Times New Roman"/>
          <w:sz w:val="28"/>
          <w:szCs w:val="28"/>
          <w:lang w:val="uk-UA"/>
        </w:rPr>
        <w:t xml:space="preserve"> </w:t>
      </w:r>
      <w:r w:rsidR="00E92164">
        <w:rPr>
          <w:rFonts w:ascii="Times New Roman" w:hAnsi="Times New Roman"/>
          <w:sz w:val="28"/>
          <w:szCs w:val="28"/>
          <w:lang w:val="uk-UA"/>
        </w:rPr>
        <w:t>2019</w:t>
      </w:r>
    </w:p>
    <w:p w:rsidR="00836B09" w:rsidRDefault="00836B09" w:rsidP="005C1EA2">
      <w:pPr>
        <w:spacing w:line="360" w:lineRule="auto"/>
        <w:ind w:firstLine="709"/>
        <w:jc w:val="center"/>
        <w:rPr>
          <w:rFonts w:ascii="Times New Roman" w:hAnsi="Times New Roman"/>
          <w:b/>
          <w:sz w:val="28"/>
          <w:szCs w:val="28"/>
          <w:lang w:val="uk-UA"/>
        </w:rPr>
      </w:pPr>
      <w:r w:rsidRPr="00836B09">
        <w:rPr>
          <w:rFonts w:ascii="Times New Roman" w:hAnsi="Times New Roman"/>
          <w:b/>
          <w:sz w:val="28"/>
          <w:szCs w:val="28"/>
          <w:lang w:val="uk-UA"/>
        </w:rPr>
        <w:lastRenderedPageBreak/>
        <w:t>АНОТАЦІЯ</w:t>
      </w:r>
    </w:p>
    <w:p w:rsidR="00836B09" w:rsidRDefault="00836B09" w:rsidP="005C1EA2">
      <w:pPr>
        <w:spacing w:line="360" w:lineRule="auto"/>
        <w:ind w:firstLine="709"/>
        <w:jc w:val="both"/>
        <w:rPr>
          <w:rFonts w:ascii="Times New Roman" w:hAnsi="Times New Roman"/>
          <w:sz w:val="28"/>
          <w:szCs w:val="28"/>
          <w:lang w:val="uk-UA"/>
        </w:rPr>
      </w:pPr>
      <w:r w:rsidRPr="00836B09">
        <w:rPr>
          <w:rFonts w:ascii="Times New Roman" w:hAnsi="Times New Roman"/>
          <w:i/>
          <w:sz w:val="28"/>
          <w:szCs w:val="28"/>
          <w:lang w:val="uk-UA"/>
        </w:rPr>
        <w:t>Ключка Є. О.</w:t>
      </w:r>
      <w:r w:rsidRPr="00836B09">
        <w:rPr>
          <w:rFonts w:ascii="Times New Roman" w:hAnsi="Times New Roman"/>
          <w:sz w:val="28"/>
          <w:szCs w:val="28"/>
          <w:lang w:val="uk-UA"/>
        </w:rPr>
        <w:t xml:space="preserve"> </w:t>
      </w:r>
      <w:r>
        <w:rPr>
          <w:rFonts w:ascii="Times New Roman" w:hAnsi="Times New Roman"/>
          <w:sz w:val="28"/>
          <w:szCs w:val="28"/>
          <w:lang w:val="uk-UA"/>
        </w:rPr>
        <w:t>Особливості перебігу, прогнозу та профілактики запальних захворювань пародонта у дівчат-підлітків з порушенням менструальної функції. – Кваліфікаційна наукова праця на правах рукопису.</w:t>
      </w:r>
    </w:p>
    <w:p w:rsidR="00836B09" w:rsidRDefault="00836B09"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Дисертація на здобуття наукового ступеня кандидата медичних наук за спеціальністю 14.01.22 «Стоматологія». – Харківський національний медичний університет МОЗ України, Харків, 2019.</w:t>
      </w:r>
    </w:p>
    <w:p w:rsidR="00C8276F" w:rsidRDefault="00C8276F" w:rsidP="00C8276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Захист дисертації відбудеться «__» ___________ 2019 року на засіданні спеціалізованої вченої Ради </w:t>
      </w:r>
      <w:r w:rsidRPr="00C8276F">
        <w:rPr>
          <w:rStyle w:val="FontStyle15"/>
          <w:b w:val="0"/>
          <w:bCs/>
          <w:sz w:val="28"/>
          <w:szCs w:val="28"/>
          <w:lang w:val="uk-UA"/>
        </w:rPr>
        <w:t>Д 64.600.02</w:t>
      </w:r>
      <w:r w:rsidRPr="00BB3887">
        <w:rPr>
          <w:rStyle w:val="FontStyle15"/>
          <w:bCs/>
          <w:sz w:val="28"/>
          <w:szCs w:val="28"/>
          <w:lang w:val="uk-UA"/>
        </w:rPr>
        <w:t xml:space="preserve"> </w:t>
      </w:r>
      <w:r>
        <w:rPr>
          <w:rFonts w:ascii="Times New Roman" w:hAnsi="Times New Roman"/>
          <w:sz w:val="28"/>
          <w:szCs w:val="28"/>
          <w:lang w:val="uk-UA"/>
        </w:rPr>
        <w:t>при Харківському національному медичному університеті МОЗ України.</w:t>
      </w:r>
    </w:p>
    <w:p w:rsidR="000B73DD" w:rsidRDefault="003967FD" w:rsidP="005C1EA2">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У дисертації викладено клініко-статистичний аналіз результатів комплексної діагностики 110 дівчат-підлітків з порушенням менструальної функції (ПМФ) та наявності запальних захворювань пародонта (ЗЗП) у віці від 12 до 17 років.</w:t>
      </w:r>
    </w:p>
    <w:p w:rsidR="003967FD" w:rsidRDefault="003967FD" w:rsidP="005C1EA2">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Основним завданням було підвищення ефективності профілактики ЗЗП у дівчат-підлітків з порушенням менструальної функції шляхом вивчення стану тканин пародонта, факторів, що визначають розвиток і характер їх перебігу, розробки предикторів і обґрунтування на цій основі системи індивідуалізованої профілактики.</w:t>
      </w:r>
    </w:p>
    <w:p w:rsidR="00380E48" w:rsidRDefault="00380E48" w:rsidP="005C1EA2">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Підлітки були розподілені на три групи. Основну групу склали 50 дівчат-підлітків з порушенням менструальної функції та наявністю запальних захворювань пародонта.</w:t>
      </w:r>
    </w:p>
    <w:p w:rsidR="00380E48" w:rsidRDefault="00380E48" w:rsidP="005C1EA2">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Перша контрольна група включала 30 дівчат-підлітків без порушення менструальної функції і з наявністю запальних захворювань пародонта.</w:t>
      </w:r>
    </w:p>
    <w:p w:rsidR="00380E48" w:rsidRDefault="00380E48" w:rsidP="005C1EA2">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Другу контрольну групу склали 30 дівчат-підлітків з порушенням менструальної функції та інтактним пародонтом.  В середньому вік основної групи склав 15,9 ±1,5 років, 1-ої контрольної 15,3±1,8  і 2-ої контрольної 15,2 ±1,9 років.</w:t>
      </w:r>
    </w:p>
    <w:p w:rsidR="005D3D5E" w:rsidRDefault="005D3D5E" w:rsidP="005C1EA2">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Комплексне обстеження хворих включало збір скарг, анамнезу хворобу, анамнезу життя, акушерського анамнезу, генеалогічного анамнезу батьків і </w:t>
      </w:r>
      <w:r>
        <w:rPr>
          <w:rFonts w:ascii="Times New Roman" w:hAnsi="Times New Roman"/>
          <w:color w:val="000000"/>
          <w:sz w:val="28"/>
          <w:szCs w:val="28"/>
          <w:lang w:val="uk-UA"/>
        </w:rPr>
        <w:lastRenderedPageBreak/>
        <w:t>прабатьків, визначення способу життя  і шкідливих звичок підлітків, об’єктивне дослідження стоматологічного статусу і додаткових методів дослідження.</w:t>
      </w:r>
    </w:p>
    <w:p w:rsidR="005D3D5E" w:rsidRDefault="005D3D5E"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клінічному обстеженні тканин пародонта оцінювали стан гігієни порожнини рота за допомогою індексів гігієни </w:t>
      </w:r>
      <w:r w:rsidR="00E71220">
        <w:rPr>
          <w:rFonts w:ascii="Times New Roman" w:hAnsi="Times New Roman"/>
          <w:sz w:val="28"/>
          <w:szCs w:val="28"/>
          <w:lang w:val="uk-UA"/>
        </w:rPr>
        <w:t>.Ю.А.Федорова, В.В.</w:t>
      </w:r>
      <w:r>
        <w:rPr>
          <w:rFonts w:ascii="Times New Roman" w:hAnsi="Times New Roman"/>
          <w:sz w:val="28"/>
          <w:szCs w:val="28"/>
          <w:lang w:val="uk-UA"/>
        </w:rPr>
        <w:t xml:space="preserve">Володкіної (1971) і спрощеного індексу </w:t>
      </w:r>
      <w:r>
        <w:rPr>
          <w:rFonts w:ascii="Times New Roman" w:hAnsi="Times New Roman"/>
          <w:sz w:val="28"/>
          <w:szCs w:val="28"/>
        </w:rPr>
        <w:t>Green</w:t>
      </w:r>
      <w:r w:rsidRPr="00DE7235">
        <w:rPr>
          <w:rFonts w:ascii="Times New Roman" w:hAnsi="Times New Roman"/>
          <w:sz w:val="28"/>
          <w:szCs w:val="28"/>
          <w:lang w:val="uk-UA"/>
        </w:rPr>
        <w:t>-</w:t>
      </w:r>
      <w:r>
        <w:rPr>
          <w:rFonts w:ascii="Times New Roman" w:hAnsi="Times New Roman"/>
          <w:sz w:val="28"/>
          <w:szCs w:val="28"/>
        </w:rPr>
        <w:t>Vermilion</w:t>
      </w:r>
      <w:r>
        <w:rPr>
          <w:rFonts w:ascii="Times New Roman" w:hAnsi="Times New Roman"/>
          <w:sz w:val="28"/>
          <w:szCs w:val="28"/>
          <w:lang w:val="uk-UA"/>
        </w:rPr>
        <w:t xml:space="preserve"> (1960). Тяжкість  і </w:t>
      </w:r>
      <w:r w:rsidR="00CD0628">
        <w:rPr>
          <w:rFonts w:ascii="Times New Roman" w:hAnsi="Times New Roman"/>
          <w:sz w:val="28"/>
          <w:szCs w:val="28"/>
          <w:lang w:val="uk-UA"/>
        </w:rPr>
        <w:t>поширеність</w:t>
      </w:r>
      <w:r>
        <w:rPr>
          <w:rFonts w:ascii="Times New Roman" w:hAnsi="Times New Roman"/>
          <w:sz w:val="28"/>
          <w:szCs w:val="28"/>
          <w:lang w:val="uk-UA"/>
        </w:rPr>
        <w:t xml:space="preserve"> запальних процесів в пародонті визначалися за допомогою папілярно-маргінально-альвеолярного індексу РМА в модифікації </w:t>
      </w:r>
      <w:r>
        <w:rPr>
          <w:rFonts w:ascii="Times New Roman" w:hAnsi="Times New Roman"/>
          <w:sz w:val="28"/>
          <w:szCs w:val="28"/>
        </w:rPr>
        <w:t>Parma</w:t>
      </w:r>
      <w:r>
        <w:rPr>
          <w:rFonts w:ascii="Times New Roman" w:hAnsi="Times New Roman"/>
          <w:sz w:val="28"/>
          <w:szCs w:val="28"/>
          <w:lang w:val="uk-UA"/>
        </w:rPr>
        <w:t xml:space="preserve"> (1960) і папілярного індексу кровоточивості </w:t>
      </w:r>
      <w:r>
        <w:rPr>
          <w:rFonts w:ascii="Times New Roman" w:hAnsi="Times New Roman"/>
          <w:sz w:val="28"/>
          <w:szCs w:val="28"/>
          <w:lang w:val="de-DE"/>
        </w:rPr>
        <w:t>M</w:t>
      </w:r>
      <w:r w:rsidRPr="00DE7235">
        <w:rPr>
          <w:rFonts w:ascii="Times New Roman" w:hAnsi="Times New Roman"/>
          <w:sz w:val="28"/>
          <w:szCs w:val="28"/>
          <w:lang w:val="uk-UA"/>
        </w:rPr>
        <w:t>ü</w:t>
      </w:r>
      <w:r>
        <w:rPr>
          <w:rFonts w:ascii="Times New Roman" w:hAnsi="Times New Roman"/>
          <w:sz w:val="28"/>
          <w:szCs w:val="28"/>
          <w:lang w:val="de-DE"/>
        </w:rPr>
        <w:t>hlemann</w:t>
      </w:r>
      <w:r w:rsidRPr="00DE7235">
        <w:rPr>
          <w:rFonts w:ascii="Times New Roman" w:hAnsi="Times New Roman"/>
          <w:sz w:val="28"/>
          <w:szCs w:val="28"/>
          <w:lang w:val="uk-UA"/>
        </w:rPr>
        <w:t>-</w:t>
      </w:r>
      <w:r>
        <w:rPr>
          <w:rFonts w:ascii="Times New Roman" w:hAnsi="Times New Roman"/>
          <w:sz w:val="28"/>
          <w:szCs w:val="28"/>
          <w:lang w:val="de-DE"/>
        </w:rPr>
        <w:t>Saxer</w:t>
      </w:r>
      <w:r>
        <w:rPr>
          <w:rFonts w:ascii="Times New Roman" w:hAnsi="Times New Roman"/>
          <w:sz w:val="28"/>
          <w:szCs w:val="28"/>
          <w:lang w:val="uk-UA"/>
        </w:rPr>
        <w:t xml:space="preserve"> (1975).</w:t>
      </w:r>
    </w:p>
    <w:p w:rsidR="005D3D5E" w:rsidRDefault="005D3D5E"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Цитологічне дослідження відбитків ясен включало підрахування кількості епітеліальних і сполучнотканинних клітин: поліморфноядерних лейкоцитів, непошкоджених моноцитів  і голоядерних моноцитів.</w:t>
      </w:r>
    </w:p>
    <w:p w:rsidR="005D3D5E" w:rsidRDefault="005D3D5E"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Мінеральну щільність кісткової тканини пародонта вивчали за допомогою денситометрії, а також визначенню вмісту загального кальцію в ротовій рідині.</w:t>
      </w:r>
    </w:p>
    <w:p w:rsidR="005D3D5E" w:rsidRDefault="005D3D5E"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Дисбіотичні порушення  порожнини рота виявлялися ферментним методом за Левицьким А.П. (2007). Стан локального імунітету оцінювався за вмістом в ротовій рідині </w:t>
      </w:r>
      <w:r>
        <w:rPr>
          <w:rFonts w:ascii="Times New Roman" w:hAnsi="Times New Roman"/>
          <w:sz w:val="28"/>
          <w:szCs w:val="28"/>
        </w:rPr>
        <w:t>sIgA</w:t>
      </w:r>
      <w:r>
        <w:rPr>
          <w:rFonts w:ascii="Times New Roman" w:hAnsi="Times New Roman"/>
          <w:sz w:val="28"/>
          <w:szCs w:val="28"/>
          <w:lang w:val="uk-UA"/>
        </w:rPr>
        <w:t xml:space="preserve"> за </w:t>
      </w:r>
      <w:r>
        <w:rPr>
          <w:rFonts w:ascii="Times New Roman" w:hAnsi="Times New Roman"/>
          <w:sz w:val="28"/>
          <w:szCs w:val="28"/>
        </w:rPr>
        <w:t>Mancini</w:t>
      </w:r>
      <w:r w:rsidRPr="005D3D5E">
        <w:rPr>
          <w:rFonts w:ascii="Times New Roman" w:hAnsi="Times New Roman"/>
          <w:sz w:val="28"/>
          <w:szCs w:val="28"/>
          <w:lang w:val="uk-UA"/>
        </w:rPr>
        <w:t xml:space="preserve"> </w:t>
      </w:r>
      <w:r>
        <w:rPr>
          <w:rFonts w:ascii="Times New Roman" w:hAnsi="Times New Roman"/>
          <w:sz w:val="28"/>
          <w:szCs w:val="28"/>
        </w:rPr>
        <w:t>H</w:t>
      </w:r>
      <w:r w:rsidRPr="005D3D5E">
        <w:rPr>
          <w:rFonts w:ascii="Times New Roman" w:hAnsi="Times New Roman"/>
          <w:sz w:val="28"/>
          <w:szCs w:val="28"/>
          <w:lang w:val="uk-UA"/>
        </w:rPr>
        <w:t>. (1965)</w:t>
      </w:r>
      <w:r>
        <w:rPr>
          <w:rFonts w:ascii="Times New Roman" w:hAnsi="Times New Roman"/>
          <w:sz w:val="28"/>
          <w:szCs w:val="28"/>
          <w:lang w:val="uk-UA"/>
        </w:rPr>
        <w:t>, а неспецифічну резистентність організму - за допомогою параметрів цитобіофізичного потенціалу ядер букального епітелію за методом В.Г.Шахбазова (1986).</w:t>
      </w:r>
    </w:p>
    <w:p w:rsidR="005D3D5E" w:rsidRDefault="005D3D5E"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Статистична обробка отриманих результатів </w:t>
      </w:r>
      <w:r w:rsidR="001B0738">
        <w:rPr>
          <w:rFonts w:ascii="Times New Roman" w:hAnsi="Times New Roman"/>
          <w:sz w:val="28"/>
          <w:szCs w:val="28"/>
          <w:lang w:val="uk-UA"/>
        </w:rPr>
        <w:t>включала використання</w:t>
      </w:r>
      <w:r>
        <w:rPr>
          <w:rFonts w:ascii="Times New Roman" w:hAnsi="Times New Roman"/>
          <w:sz w:val="28"/>
          <w:szCs w:val="28"/>
          <w:lang w:val="uk-UA"/>
        </w:rPr>
        <w:t xml:space="preserve"> параметричних і непараметричних методів </w:t>
      </w:r>
      <w:r w:rsidR="001B0738">
        <w:rPr>
          <w:rFonts w:ascii="Times New Roman" w:hAnsi="Times New Roman"/>
          <w:sz w:val="28"/>
          <w:szCs w:val="28"/>
          <w:lang w:val="uk-UA"/>
        </w:rPr>
        <w:t xml:space="preserve">статистики, кореляційного і системного аналізу (Зосімов А.М., 1993). </w:t>
      </w:r>
      <w:r>
        <w:rPr>
          <w:rFonts w:ascii="Times New Roman" w:hAnsi="Times New Roman"/>
          <w:sz w:val="28"/>
          <w:szCs w:val="28"/>
          <w:lang w:val="uk-UA"/>
        </w:rPr>
        <w:t>При розробці критеріїв прогнозування використовувався метод Вальда – Генкіна (Є.В.Гублер, 1978).</w:t>
      </w:r>
    </w:p>
    <w:p w:rsidR="00806D4A" w:rsidRDefault="001B0738"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підлітків основної і 1-ої контрольної групи виявили відмінності у структурі ЗЗП. Вони полягали в тому, що у підлітків з ПМФ хронічний катаральний гінгівіт реєструвався в 1,4 раза рідше (р&lt;0,05), ніж в групі без ПМФ</w:t>
      </w:r>
      <w:r w:rsidRPr="00B6504F">
        <w:rPr>
          <w:rFonts w:ascii="Times New Roman" w:hAnsi="Times New Roman"/>
          <w:sz w:val="28"/>
          <w:szCs w:val="28"/>
          <w:lang w:val="uk-UA"/>
        </w:rPr>
        <w:t>.</w:t>
      </w:r>
      <w:r>
        <w:rPr>
          <w:rFonts w:ascii="Times New Roman" w:hAnsi="Times New Roman"/>
          <w:sz w:val="28"/>
          <w:szCs w:val="28"/>
          <w:lang w:val="uk-UA"/>
        </w:rPr>
        <w:t xml:space="preserve"> І, навпаки, більш тяжкі форми захворювань (гіпертрофічний гінгівіт і хронічний пародонтит) </w:t>
      </w:r>
      <w:r w:rsidR="00806D4A">
        <w:rPr>
          <w:rFonts w:ascii="Times New Roman" w:hAnsi="Times New Roman"/>
          <w:sz w:val="28"/>
          <w:szCs w:val="28"/>
          <w:lang w:val="uk-UA"/>
        </w:rPr>
        <w:t>реєструвалися в</w:t>
      </w:r>
      <w:r>
        <w:rPr>
          <w:rFonts w:ascii="Times New Roman" w:hAnsi="Times New Roman"/>
          <w:sz w:val="28"/>
          <w:szCs w:val="28"/>
          <w:lang w:val="uk-UA"/>
        </w:rPr>
        <w:t xml:space="preserve"> 3,5 раза частіше (р&lt;0,05) в основній групі.</w:t>
      </w:r>
      <w:r w:rsidR="00806D4A">
        <w:rPr>
          <w:rFonts w:ascii="Times New Roman" w:hAnsi="Times New Roman"/>
          <w:sz w:val="28"/>
          <w:szCs w:val="28"/>
          <w:lang w:val="uk-UA"/>
        </w:rPr>
        <w:t xml:space="preserve"> При аналізі тяжкості перебігу хронічного катарального гінгівіту встановлено, що легкий  його перебіг був характерний для контролю і в 1,9 разів частіше (р&lt;0,05) зустрічався в них (57,1%), аніж в основній групі (30%). Середньотяжкий перебіг </w:t>
      </w:r>
      <w:r w:rsidR="00806D4A">
        <w:rPr>
          <w:rFonts w:ascii="Times New Roman" w:hAnsi="Times New Roman"/>
          <w:sz w:val="28"/>
          <w:szCs w:val="28"/>
          <w:lang w:val="uk-UA"/>
        </w:rPr>
        <w:lastRenderedPageBreak/>
        <w:t>захворювання відмічено у 36,7% хворих контрольної групи і в 1,9 разів частіше (р&lt;0,05) в основній групі (70%). Що стосується тяжкого перебігу гінгівіту, то частка таких хворих в основній групі склала 10%, а в контролі в 3 рази рідше (3,8%).</w:t>
      </w:r>
    </w:p>
    <w:p w:rsidR="00806D4A" w:rsidRDefault="00806D4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ПМФ сприяє розвитку більш тяжких форм запальних захворювань пародонта в дівчат-підлітків. Крім ЗЗП, ПМФ негативним чином впливає на прояви карієсу зубів. При цьому висока інтенсивність карієсу (КПВ≥4,5) в 4 рази частіше  (р&lt;0,05) виявлялася в основній групі (30%), ніж в контролі (6,7%).</w:t>
      </w:r>
    </w:p>
    <w:p w:rsidR="00806D4A" w:rsidRDefault="00806D4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Визначення стану гігієни ротової порожнини пацієнтів за допомогою індексу </w:t>
      </w:r>
      <w:r w:rsidR="00E71220">
        <w:rPr>
          <w:rFonts w:ascii="Times New Roman" w:hAnsi="Times New Roman"/>
          <w:sz w:val="28"/>
          <w:szCs w:val="28"/>
          <w:lang w:val="uk-UA"/>
        </w:rPr>
        <w:t>Ю.А.Федорова, В.В.</w:t>
      </w:r>
      <w:r>
        <w:rPr>
          <w:rFonts w:ascii="Times New Roman" w:hAnsi="Times New Roman"/>
          <w:sz w:val="28"/>
          <w:szCs w:val="28"/>
          <w:lang w:val="uk-UA"/>
        </w:rPr>
        <w:t>Володкіної і спрощеного індексу показало, що достовірних відмінностей між групами в їх значеннях не встановлено. Це вказує на те, що виявлені відмінності в групах відносно тяжкості ЗЗП зумовлені саме ПМФ.</w:t>
      </w:r>
    </w:p>
    <w:p w:rsidR="00806D4A" w:rsidRDefault="00806D4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Цитологічне дослідження мазків-відбитків </w:t>
      </w:r>
      <w:r w:rsidR="0086518B">
        <w:rPr>
          <w:rFonts w:ascii="Times New Roman" w:hAnsi="Times New Roman"/>
          <w:sz w:val="28"/>
          <w:szCs w:val="28"/>
          <w:lang w:val="uk-UA"/>
        </w:rPr>
        <w:t>тканин ясен показало, що у хворих основної групи у порівнянні з нормативом (здоровими)</w:t>
      </w:r>
      <w:r>
        <w:rPr>
          <w:rFonts w:ascii="Times New Roman" w:hAnsi="Times New Roman"/>
          <w:sz w:val="28"/>
          <w:szCs w:val="28"/>
          <w:lang w:val="uk-UA"/>
        </w:rPr>
        <w:t xml:space="preserve"> </w:t>
      </w:r>
      <w:r w:rsidR="0086518B">
        <w:rPr>
          <w:rFonts w:ascii="Times New Roman" w:hAnsi="Times New Roman"/>
          <w:sz w:val="28"/>
          <w:szCs w:val="28"/>
          <w:lang w:val="uk-UA"/>
        </w:rPr>
        <w:t>виявлено</w:t>
      </w:r>
      <w:r>
        <w:rPr>
          <w:rFonts w:ascii="Times New Roman" w:hAnsi="Times New Roman"/>
          <w:sz w:val="28"/>
          <w:szCs w:val="28"/>
          <w:lang w:val="uk-UA"/>
        </w:rPr>
        <w:t xml:space="preserve"> достовірне зниження кількості ядровмісних клітин </w:t>
      </w:r>
      <w:r w:rsidR="0086518B">
        <w:rPr>
          <w:rFonts w:ascii="Times New Roman" w:hAnsi="Times New Roman"/>
          <w:sz w:val="28"/>
          <w:szCs w:val="28"/>
          <w:lang w:val="uk-UA"/>
        </w:rPr>
        <w:t xml:space="preserve">в 1,4 раза (р&lt;0,001), </w:t>
      </w:r>
      <w:r>
        <w:rPr>
          <w:rFonts w:ascii="Times New Roman" w:hAnsi="Times New Roman"/>
          <w:sz w:val="28"/>
          <w:szCs w:val="28"/>
          <w:lang w:val="uk-UA"/>
        </w:rPr>
        <w:t xml:space="preserve">без’ядерних зроговілих клітин </w:t>
      </w:r>
      <w:r w:rsidR="0086518B">
        <w:rPr>
          <w:rFonts w:ascii="Times New Roman" w:hAnsi="Times New Roman"/>
          <w:sz w:val="28"/>
          <w:szCs w:val="28"/>
          <w:lang w:val="uk-UA"/>
        </w:rPr>
        <w:t>в 1,9 раза (р&lt;0,001</w:t>
      </w:r>
      <w:r>
        <w:rPr>
          <w:rFonts w:ascii="Times New Roman" w:hAnsi="Times New Roman"/>
          <w:sz w:val="28"/>
          <w:szCs w:val="28"/>
          <w:lang w:val="uk-UA"/>
        </w:rPr>
        <w:t xml:space="preserve">), </w:t>
      </w:r>
      <w:r w:rsidR="0086518B">
        <w:rPr>
          <w:rFonts w:ascii="Times New Roman" w:hAnsi="Times New Roman"/>
          <w:sz w:val="28"/>
          <w:szCs w:val="28"/>
          <w:lang w:val="uk-UA"/>
        </w:rPr>
        <w:t>і</w:t>
      </w:r>
      <w:r>
        <w:rPr>
          <w:rFonts w:ascii="Times New Roman" w:hAnsi="Times New Roman"/>
          <w:sz w:val="28"/>
          <w:szCs w:val="28"/>
          <w:lang w:val="uk-UA"/>
        </w:rPr>
        <w:t xml:space="preserve"> збільшення кількості </w:t>
      </w:r>
      <w:r w:rsidR="0086518B">
        <w:rPr>
          <w:rFonts w:ascii="Times New Roman" w:hAnsi="Times New Roman"/>
          <w:sz w:val="28"/>
          <w:szCs w:val="28"/>
          <w:lang w:val="uk-UA"/>
        </w:rPr>
        <w:t xml:space="preserve">поліморфноядерних лейкоцитів в 3, 5 раза (р&lt;0,001), непошкоджених моноцитів в 2 рази (р&lt;0,001), а також  </w:t>
      </w:r>
      <w:r>
        <w:rPr>
          <w:rFonts w:ascii="Times New Roman" w:hAnsi="Times New Roman"/>
          <w:sz w:val="28"/>
          <w:szCs w:val="28"/>
          <w:lang w:val="uk-UA"/>
        </w:rPr>
        <w:t xml:space="preserve">епітеліальних клітин з вакуолізованою цитоплазмою </w:t>
      </w:r>
      <w:r w:rsidR="0086518B">
        <w:rPr>
          <w:rFonts w:ascii="Times New Roman" w:hAnsi="Times New Roman"/>
          <w:sz w:val="28"/>
          <w:szCs w:val="28"/>
          <w:lang w:val="uk-UA"/>
        </w:rPr>
        <w:t>в 5,2 раза</w:t>
      </w:r>
      <w:r>
        <w:rPr>
          <w:rFonts w:ascii="Times New Roman" w:hAnsi="Times New Roman"/>
          <w:sz w:val="28"/>
          <w:szCs w:val="28"/>
          <w:lang w:val="uk-UA"/>
        </w:rPr>
        <w:t xml:space="preserve"> (</w:t>
      </w:r>
      <w:r w:rsidR="0086518B">
        <w:rPr>
          <w:rFonts w:ascii="Times New Roman" w:hAnsi="Times New Roman"/>
          <w:sz w:val="28"/>
          <w:szCs w:val="28"/>
          <w:lang w:val="uk-UA"/>
        </w:rPr>
        <w:t>р&lt;0,001</w:t>
      </w:r>
      <w:r>
        <w:rPr>
          <w:rFonts w:ascii="Times New Roman" w:hAnsi="Times New Roman"/>
          <w:sz w:val="28"/>
          <w:szCs w:val="28"/>
          <w:lang w:val="uk-UA"/>
        </w:rPr>
        <w:t xml:space="preserve">), з деформованим ядром </w:t>
      </w:r>
      <w:r w:rsidR="0086518B">
        <w:rPr>
          <w:rFonts w:ascii="Times New Roman" w:hAnsi="Times New Roman"/>
          <w:sz w:val="28"/>
          <w:szCs w:val="28"/>
          <w:lang w:val="uk-UA"/>
        </w:rPr>
        <w:t>в 4,3 раза</w:t>
      </w:r>
      <w:r>
        <w:rPr>
          <w:rFonts w:ascii="Times New Roman" w:hAnsi="Times New Roman"/>
          <w:sz w:val="28"/>
          <w:szCs w:val="28"/>
          <w:lang w:val="uk-UA"/>
        </w:rPr>
        <w:t xml:space="preserve"> (р&lt;0,0</w:t>
      </w:r>
      <w:r w:rsidR="0086518B">
        <w:rPr>
          <w:rFonts w:ascii="Times New Roman" w:hAnsi="Times New Roman"/>
          <w:sz w:val="28"/>
          <w:szCs w:val="28"/>
          <w:lang w:val="uk-UA"/>
        </w:rPr>
        <w:t>0</w:t>
      </w:r>
      <w:r>
        <w:rPr>
          <w:rFonts w:ascii="Times New Roman" w:hAnsi="Times New Roman"/>
          <w:sz w:val="28"/>
          <w:szCs w:val="28"/>
          <w:lang w:val="uk-UA"/>
        </w:rPr>
        <w:t xml:space="preserve">1), і контамінованих мікроорганізмами  </w:t>
      </w:r>
      <w:r w:rsidR="0086518B">
        <w:rPr>
          <w:rFonts w:ascii="Times New Roman" w:hAnsi="Times New Roman"/>
          <w:sz w:val="28"/>
          <w:szCs w:val="28"/>
          <w:lang w:val="uk-UA"/>
        </w:rPr>
        <w:t>в 3,8 разів</w:t>
      </w:r>
      <w:r>
        <w:rPr>
          <w:rFonts w:ascii="Times New Roman" w:hAnsi="Times New Roman"/>
          <w:sz w:val="28"/>
          <w:szCs w:val="28"/>
          <w:lang w:val="uk-UA"/>
        </w:rPr>
        <w:t xml:space="preserve"> (р&lt;0,001).</w:t>
      </w:r>
      <w:r w:rsidR="0086518B">
        <w:rPr>
          <w:rFonts w:ascii="Times New Roman" w:hAnsi="Times New Roman"/>
          <w:sz w:val="28"/>
          <w:szCs w:val="28"/>
          <w:lang w:val="uk-UA"/>
        </w:rPr>
        <w:t xml:space="preserve"> </w:t>
      </w:r>
      <w:r>
        <w:rPr>
          <w:rFonts w:ascii="Times New Roman" w:hAnsi="Times New Roman"/>
          <w:sz w:val="28"/>
          <w:szCs w:val="28"/>
          <w:lang w:val="uk-UA"/>
        </w:rPr>
        <w:t>Ці дані вказують</w:t>
      </w:r>
      <w:r w:rsidR="0086518B">
        <w:rPr>
          <w:rFonts w:ascii="Times New Roman" w:hAnsi="Times New Roman"/>
          <w:sz w:val="28"/>
          <w:szCs w:val="28"/>
          <w:lang w:val="uk-UA"/>
        </w:rPr>
        <w:t xml:space="preserve"> на те</w:t>
      </w:r>
      <w:r>
        <w:rPr>
          <w:rFonts w:ascii="Times New Roman" w:hAnsi="Times New Roman"/>
          <w:sz w:val="28"/>
          <w:szCs w:val="28"/>
          <w:lang w:val="uk-UA"/>
        </w:rPr>
        <w:t xml:space="preserve">, що у хворих </w:t>
      </w:r>
      <w:r w:rsidR="0086518B">
        <w:rPr>
          <w:rFonts w:ascii="Times New Roman" w:hAnsi="Times New Roman"/>
          <w:sz w:val="28"/>
          <w:szCs w:val="28"/>
          <w:lang w:val="uk-UA"/>
        </w:rPr>
        <w:t xml:space="preserve">основної групи має місце зсув у бік менш зрілих клітинних форм з переважанням в епітелії ясен проліферативних процесів, викликаних альтерацією клітин, що можна розцінити як прояви проліферативних процесів, викликаних запальним процесом. У хворих основної групи у порівнянні з контрольною патоморфологічні процеси в цілому  виявилися </w:t>
      </w:r>
      <w:r w:rsidR="00B7722B">
        <w:rPr>
          <w:rFonts w:ascii="Times New Roman" w:hAnsi="Times New Roman"/>
          <w:sz w:val="28"/>
          <w:szCs w:val="28"/>
          <w:lang w:val="uk-UA"/>
        </w:rPr>
        <w:t>на 40% більш виражені.</w:t>
      </w:r>
    </w:p>
    <w:p w:rsidR="00B7722B" w:rsidRDefault="00B7722B"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хворих з ПМФ помірне або значне (≤0,70ммоль/л) зниження рівню загального кальцію в слині в 2 рази частіше (р&lt;0,05) виявлялося, ніж в контролі. Поряд зі зниженням мінералізуючої функції слини у 56,7% хворих основної групи </w:t>
      </w:r>
      <w:r>
        <w:rPr>
          <w:rFonts w:ascii="Times New Roman" w:hAnsi="Times New Roman"/>
          <w:sz w:val="28"/>
          <w:szCs w:val="28"/>
          <w:lang w:val="uk-UA"/>
        </w:rPr>
        <w:lastRenderedPageBreak/>
        <w:t>відмічено помірне (≤125 Д) зниження оптичної щільності кісткових тканин і в 2,4 раза рідше (у 23,3%; р&lt;0,05) в контролі.</w:t>
      </w:r>
    </w:p>
    <w:p w:rsidR="00B7722B" w:rsidRDefault="00B7722B"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основній групі виявлені більш значимі, ніж в контролі, прояви дисбіозу порожнини рота. При цьому помірний або виражений ступінь дисбіозу (</w:t>
      </w:r>
      <w:r>
        <w:rPr>
          <w:sz w:val="28"/>
          <w:szCs w:val="28"/>
          <w:lang w:val="uk-UA"/>
        </w:rPr>
        <w:t>≥</w:t>
      </w:r>
      <w:r>
        <w:rPr>
          <w:rFonts w:ascii="Times New Roman" w:hAnsi="Times New Roman"/>
          <w:sz w:val="28"/>
          <w:szCs w:val="28"/>
          <w:lang w:val="uk-UA"/>
        </w:rPr>
        <w:t xml:space="preserve">2,1 ум.од.) зустрічалися у 86,7% основної групи і 49,9% пацієнтів контролю (р&lt;0,05). </w:t>
      </w:r>
    </w:p>
    <w:p w:rsidR="00B7722B" w:rsidRDefault="00B7722B"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Прояву дисбіозу порожнини рота сприяє зниження як місцевої, так і системної резистентності організму. Так, зниження рівня s</w:t>
      </w:r>
      <w:r>
        <w:rPr>
          <w:rFonts w:ascii="Times New Roman" w:hAnsi="Times New Roman"/>
          <w:sz w:val="28"/>
          <w:szCs w:val="28"/>
        </w:rPr>
        <w:t>IgA</w:t>
      </w:r>
      <w:r>
        <w:rPr>
          <w:rFonts w:ascii="Times New Roman" w:hAnsi="Times New Roman"/>
          <w:sz w:val="28"/>
          <w:szCs w:val="28"/>
          <w:lang w:val="uk-UA"/>
        </w:rPr>
        <w:t xml:space="preserve"> в слині відмічено у 26,7%% хворих контролю і в 2 рази частіше  (р&lt;0,05) в основній групі. Поряд зі зниженням місцевого захисту у хворих основної групи в 2 рази частіше (р&lt;0,05) визначалося зниження загальної резистентності організму, що визначалася за часткою електрофоретично рухомих ядер букального епітелію.</w:t>
      </w:r>
    </w:p>
    <w:p w:rsidR="00FA42C9" w:rsidRDefault="00FA42C9"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 факторів ризику розвитку ЗЗП встановило, що серед даних акушерського анамнезу в основній групі порівняно з контролем достовірно частіше зустрічалися: ускладнений перебіг вагітності (в 1,5 раза;</w:t>
      </w:r>
      <w:r w:rsidRPr="00FA42C9">
        <w:rPr>
          <w:rFonts w:ascii="Times New Roman" w:hAnsi="Times New Roman"/>
          <w:sz w:val="28"/>
          <w:szCs w:val="28"/>
          <w:lang w:val="uk-UA"/>
        </w:rPr>
        <w:t xml:space="preserve"> </w:t>
      </w:r>
      <w:r>
        <w:rPr>
          <w:rFonts w:ascii="Times New Roman" w:hAnsi="Times New Roman"/>
          <w:sz w:val="28"/>
          <w:szCs w:val="28"/>
          <w:lang w:val="uk-UA"/>
        </w:rPr>
        <w:t>р&lt;0,05); фетоплацентарна недостатність (в 2,2 раза;</w:t>
      </w:r>
      <w:r w:rsidRPr="00FA42C9">
        <w:rPr>
          <w:rFonts w:ascii="Times New Roman" w:hAnsi="Times New Roman"/>
          <w:sz w:val="28"/>
          <w:szCs w:val="28"/>
          <w:lang w:val="uk-UA"/>
        </w:rPr>
        <w:t xml:space="preserve"> </w:t>
      </w:r>
      <w:r>
        <w:rPr>
          <w:rFonts w:ascii="Times New Roman" w:hAnsi="Times New Roman"/>
          <w:sz w:val="28"/>
          <w:szCs w:val="28"/>
          <w:lang w:val="uk-UA"/>
        </w:rPr>
        <w:t>р&lt;0,05); гестоз першої половини вагітності (в 2 рази;</w:t>
      </w:r>
      <w:r w:rsidRPr="00FA42C9">
        <w:rPr>
          <w:rFonts w:ascii="Times New Roman" w:hAnsi="Times New Roman"/>
          <w:sz w:val="28"/>
          <w:szCs w:val="28"/>
          <w:lang w:val="uk-UA"/>
        </w:rPr>
        <w:t xml:space="preserve"> </w:t>
      </w:r>
      <w:r>
        <w:rPr>
          <w:rFonts w:ascii="Times New Roman" w:hAnsi="Times New Roman"/>
          <w:sz w:val="28"/>
          <w:szCs w:val="28"/>
          <w:lang w:val="uk-UA"/>
        </w:rPr>
        <w:t>р&lt;0,05); розродження шляхом кесарева розтину (в 2,7 раза;</w:t>
      </w:r>
      <w:r w:rsidRPr="00FA42C9">
        <w:rPr>
          <w:rFonts w:ascii="Times New Roman" w:hAnsi="Times New Roman"/>
          <w:sz w:val="28"/>
          <w:szCs w:val="28"/>
          <w:lang w:val="uk-UA"/>
        </w:rPr>
        <w:t xml:space="preserve"> </w:t>
      </w:r>
      <w:r>
        <w:rPr>
          <w:rFonts w:ascii="Times New Roman" w:hAnsi="Times New Roman"/>
          <w:sz w:val="28"/>
          <w:szCs w:val="28"/>
          <w:lang w:val="uk-UA"/>
        </w:rPr>
        <w:t>р&lt;0,05); ускладнені пологи (в 1,8 раза;</w:t>
      </w:r>
      <w:r w:rsidRPr="00FA42C9">
        <w:rPr>
          <w:rFonts w:ascii="Times New Roman" w:hAnsi="Times New Roman"/>
          <w:sz w:val="28"/>
          <w:szCs w:val="28"/>
          <w:lang w:val="uk-UA"/>
        </w:rPr>
        <w:t xml:space="preserve"> </w:t>
      </w:r>
      <w:r>
        <w:rPr>
          <w:rFonts w:ascii="Times New Roman" w:hAnsi="Times New Roman"/>
          <w:sz w:val="28"/>
          <w:szCs w:val="28"/>
          <w:lang w:val="uk-UA"/>
        </w:rPr>
        <w:t>р&lt;0,05); недоношеність (в 2,6 раза;</w:t>
      </w:r>
      <w:r w:rsidRPr="00FA42C9">
        <w:rPr>
          <w:rFonts w:ascii="Times New Roman" w:hAnsi="Times New Roman"/>
          <w:sz w:val="28"/>
          <w:szCs w:val="28"/>
          <w:lang w:val="uk-UA"/>
        </w:rPr>
        <w:t xml:space="preserve"> </w:t>
      </w:r>
      <w:r>
        <w:rPr>
          <w:rFonts w:ascii="Times New Roman" w:hAnsi="Times New Roman"/>
          <w:sz w:val="28"/>
          <w:szCs w:val="28"/>
          <w:lang w:val="uk-UA"/>
        </w:rPr>
        <w:t>р&lt;0,05); асфіксія при народженні (в 1,7 раза;</w:t>
      </w:r>
      <w:r w:rsidRPr="00FA42C9">
        <w:rPr>
          <w:rFonts w:ascii="Times New Roman" w:hAnsi="Times New Roman"/>
          <w:sz w:val="28"/>
          <w:szCs w:val="28"/>
          <w:lang w:val="uk-UA"/>
        </w:rPr>
        <w:t xml:space="preserve"> </w:t>
      </w:r>
      <w:r>
        <w:rPr>
          <w:rFonts w:ascii="Times New Roman" w:hAnsi="Times New Roman"/>
          <w:sz w:val="28"/>
          <w:szCs w:val="28"/>
          <w:lang w:val="uk-UA"/>
        </w:rPr>
        <w:t>р&lt;0,05).</w:t>
      </w:r>
    </w:p>
    <w:p w:rsidR="00FA42C9" w:rsidRDefault="00FA42C9"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Вивчення патогенетичної ролі спадкових факторів встановило, що з боку матері в основній групі порівняно з контролем частіше визначалися: ПМФ (в 2 рази;</w:t>
      </w:r>
      <w:r w:rsidRPr="00FA42C9">
        <w:rPr>
          <w:rFonts w:ascii="Times New Roman" w:hAnsi="Times New Roman"/>
          <w:sz w:val="28"/>
          <w:szCs w:val="28"/>
          <w:lang w:val="uk-UA"/>
        </w:rPr>
        <w:t xml:space="preserve"> </w:t>
      </w:r>
      <w:r>
        <w:rPr>
          <w:rFonts w:ascii="Times New Roman" w:hAnsi="Times New Roman"/>
          <w:sz w:val="28"/>
          <w:szCs w:val="28"/>
          <w:lang w:val="uk-UA"/>
        </w:rPr>
        <w:t>р&lt;0,05); захворювання шлунково-кишкового тракту (в 2,3 раза;</w:t>
      </w:r>
      <w:r w:rsidRPr="00FA42C9">
        <w:rPr>
          <w:rFonts w:ascii="Times New Roman" w:hAnsi="Times New Roman"/>
          <w:sz w:val="28"/>
          <w:szCs w:val="28"/>
          <w:lang w:val="uk-UA"/>
        </w:rPr>
        <w:t xml:space="preserve"> </w:t>
      </w:r>
      <w:r>
        <w:rPr>
          <w:rFonts w:ascii="Times New Roman" w:hAnsi="Times New Roman"/>
          <w:sz w:val="28"/>
          <w:szCs w:val="28"/>
          <w:lang w:val="uk-UA"/>
        </w:rPr>
        <w:t>р&lt;0,05); прояви алергії (в 4,2 раза; р&lt;0,05); значна (≥ 3) коморбідність хронічної патології (в 6,7 разів; р&lt;0,01); і наявність пародонтиту (в 1,8 разів; р&lt;0,05).</w:t>
      </w:r>
    </w:p>
    <w:p w:rsidR="00FA42C9" w:rsidRDefault="00FA42C9"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боку батька коморбідність  (</w:t>
      </w:r>
      <w:r>
        <w:rPr>
          <w:sz w:val="28"/>
          <w:szCs w:val="28"/>
          <w:lang w:val="uk-UA"/>
        </w:rPr>
        <w:t>≥</w:t>
      </w:r>
      <w:r>
        <w:rPr>
          <w:rFonts w:ascii="Times New Roman" w:hAnsi="Times New Roman"/>
          <w:sz w:val="28"/>
          <w:szCs w:val="28"/>
          <w:lang w:val="uk-UA"/>
        </w:rPr>
        <w:t xml:space="preserve">2-х) хронічної соматичної патології </w:t>
      </w:r>
      <w:r w:rsidR="00E03ED7">
        <w:rPr>
          <w:rFonts w:ascii="Times New Roman" w:hAnsi="Times New Roman"/>
          <w:sz w:val="28"/>
          <w:szCs w:val="28"/>
          <w:lang w:val="uk-UA"/>
        </w:rPr>
        <w:t>зустрічала</w:t>
      </w:r>
      <w:r>
        <w:rPr>
          <w:rFonts w:ascii="Times New Roman" w:hAnsi="Times New Roman"/>
          <w:sz w:val="28"/>
          <w:szCs w:val="28"/>
          <w:lang w:val="uk-UA"/>
        </w:rPr>
        <w:t>сь в 3,5 разів частіше (р&lt;0,001) в основній групі</w:t>
      </w:r>
      <w:r w:rsidR="00E03ED7">
        <w:rPr>
          <w:rFonts w:ascii="Times New Roman" w:hAnsi="Times New Roman"/>
          <w:sz w:val="28"/>
          <w:szCs w:val="28"/>
          <w:lang w:val="uk-UA"/>
        </w:rPr>
        <w:t xml:space="preserve">, а пародонтит </w:t>
      </w:r>
      <w:r>
        <w:rPr>
          <w:rFonts w:ascii="Times New Roman" w:hAnsi="Times New Roman"/>
          <w:sz w:val="28"/>
          <w:szCs w:val="28"/>
          <w:lang w:val="uk-UA"/>
        </w:rPr>
        <w:t>в 1,6 разів (р&lt;0,05).</w:t>
      </w:r>
    </w:p>
    <w:p w:rsidR="00E03ED7" w:rsidRDefault="00E03ED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способу життя підлітків, то в основній групі порівняно з контролем частіше виявлялося: тютюнопаління (в 1,6 разів; р&lt;0,05); перевага в харчовому раціоні жирних і гострих страв (в 1,9 разів; р&lt;0,05),  а також м’якої їжі (в 3,6 разів; р&lt;0,05); короткострокове (≤ 2 годин) перебування на відкритому </w:t>
      </w:r>
      <w:r>
        <w:rPr>
          <w:rFonts w:ascii="Times New Roman" w:hAnsi="Times New Roman"/>
          <w:sz w:val="28"/>
          <w:szCs w:val="28"/>
          <w:lang w:val="uk-UA"/>
        </w:rPr>
        <w:lastRenderedPageBreak/>
        <w:t>повітрі (в 2,4 раза; р&lt;0,05); травматичне чищення зубів (в 5,5 разів; р&lt;0,05) і недостатня частота (1 раз на добу) чищення зубів (в 2,9 разів; р&lt;0,05).</w:t>
      </w:r>
    </w:p>
    <w:p w:rsidR="00E03ED7" w:rsidRDefault="00E03ED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дослідженні стоматологічного статусу хворих встановлено, що погана або дуже погана гігієна порожнини достовірно частіше (р&lt;0,001) зустрічалася в основній групі.</w:t>
      </w:r>
    </w:p>
    <w:p w:rsidR="00E03ED7" w:rsidRDefault="00E03ED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Високодостовірним факторами ризику явилися висока інтенсивність карієсу зубів (р&lt;0,001), наявність аномалій зубо-щелепної системи (р&lt;0,01) та їх поєднання (р&lt;0,001), а також дефекти пломбування зубів: краї пломб, що нависають, і порушення змикання зубних рядів (р&lt;0,05).</w:t>
      </w:r>
    </w:p>
    <w:p w:rsidR="00E03ED7" w:rsidRDefault="00E03ED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параклінічних показників для хворих основної групи характерними (р&lt;0,001) виявилися виражені або дуже значні (</w:t>
      </w:r>
      <w:r>
        <w:rPr>
          <w:sz w:val="28"/>
          <w:szCs w:val="28"/>
          <w:lang w:val="uk-UA"/>
        </w:rPr>
        <w:t>≥</w:t>
      </w:r>
      <w:r>
        <w:rPr>
          <w:rFonts w:ascii="Times New Roman" w:hAnsi="Times New Roman"/>
          <w:sz w:val="28"/>
          <w:szCs w:val="28"/>
          <w:lang w:val="uk-UA"/>
        </w:rPr>
        <w:t>3,1 ум.од.) прояви дисбіозу порожнини рота.</w:t>
      </w:r>
    </w:p>
    <w:p w:rsidR="00E03ED7" w:rsidRDefault="00E03ED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Явища дисбіозу сприяють порушенню місцевого імунного захисту у вигляді зниження рівня </w:t>
      </w:r>
      <w:r>
        <w:rPr>
          <w:rFonts w:ascii="Times New Roman" w:hAnsi="Times New Roman"/>
          <w:sz w:val="28"/>
          <w:szCs w:val="28"/>
        </w:rPr>
        <w:t>s</w:t>
      </w:r>
      <w:r w:rsidRPr="00B8561B">
        <w:rPr>
          <w:rFonts w:ascii="Times New Roman" w:hAnsi="Times New Roman"/>
          <w:sz w:val="28"/>
          <w:szCs w:val="28"/>
          <w:lang w:val="uk-UA"/>
        </w:rPr>
        <w:t xml:space="preserve"> </w:t>
      </w:r>
      <w:r>
        <w:rPr>
          <w:rFonts w:ascii="Times New Roman" w:hAnsi="Times New Roman"/>
          <w:sz w:val="28"/>
          <w:szCs w:val="28"/>
        </w:rPr>
        <w:t>IgA</w:t>
      </w:r>
      <w:r>
        <w:rPr>
          <w:rFonts w:ascii="Times New Roman" w:hAnsi="Times New Roman"/>
          <w:sz w:val="28"/>
          <w:szCs w:val="28"/>
          <w:lang w:val="uk-UA"/>
        </w:rPr>
        <w:t xml:space="preserve"> в слині. Зниження рівня </w:t>
      </w:r>
      <w:r>
        <w:rPr>
          <w:rFonts w:ascii="Times New Roman" w:hAnsi="Times New Roman"/>
          <w:sz w:val="28"/>
          <w:szCs w:val="28"/>
        </w:rPr>
        <w:t>s</w:t>
      </w:r>
      <w:r w:rsidRPr="00B8561B">
        <w:rPr>
          <w:rFonts w:ascii="Times New Roman" w:hAnsi="Times New Roman"/>
          <w:sz w:val="28"/>
          <w:szCs w:val="28"/>
          <w:lang w:val="uk-UA"/>
        </w:rPr>
        <w:t xml:space="preserve"> </w:t>
      </w:r>
      <w:r>
        <w:rPr>
          <w:rFonts w:ascii="Times New Roman" w:hAnsi="Times New Roman"/>
          <w:sz w:val="28"/>
          <w:szCs w:val="28"/>
        </w:rPr>
        <w:t>IgA</w:t>
      </w:r>
      <w:r>
        <w:rPr>
          <w:rFonts w:ascii="Times New Roman" w:hAnsi="Times New Roman"/>
          <w:sz w:val="28"/>
          <w:szCs w:val="28"/>
          <w:lang w:val="uk-UA"/>
        </w:rPr>
        <w:t xml:space="preserve"> (≤0,30 мг/л) реєструвалося в 4,1 раза частіше (р&lt;0,001) в основній групі.</w:t>
      </w:r>
    </w:p>
    <w:p w:rsidR="00D66CE7" w:rsidRDefault="00D66CE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 місцевою, у хворих соновної групи відмічено зниження (р&lt;0,001) і загальної резистентності організму, визначаємої за допомогою методу електропровідності ядер букального епітелію.</w:t>
      </w:r>
    </w:p>
    <w:p w:rsidR="00D66CE7" w:rsidRDefault="00D66CE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Значним патогенетичним фактором виявилоя зниження мінералізації кісткових відділів пародонта. Так, зниження (≤0,70 ммоль/л) рівня загального Са в слині в 9 разів частіше  (р&lt;0,001) виявлялося в основній групі, а зниження оптичної щільності кісткових відділів пародонта (≤130 Д) визначалося в 4,6 разів частіше (р&lt;0,001) у хворих основної групи, ніж в контролі.</w:t>
      </w:r>
    </w:p>
    <w:p w:rsidR="00CD086E" w:rsidRDefault="00D66CE7"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Враховууючи, що в патогенезі ЗЗП задіяно числені фактори, було проведено системний аналіз методом кореляційних структур. Встановлено, що кореляційні структури патогенетичних факторів порівнюваних груп хворих відрізняються за </w:t>
      </w:r>
      <w:r w:rsidR="00CD086E">
        <w:rPr>
          <w:rFonts w:ascii="Times New Roman" w:hAnsi="Times New Roman"/>
          <w:sz w:val="28"/>
          <w:szCs w:val="28"/>
          <w:lang w:val="uk-UA"/>
        </w:rPr>
        <w:t xml:space="preserve">кількістю зв’язків. Кореляціна структура основної групи містить в 3 рази більше (р&lt;0,001) зв’язків, ніж в контролі. Така монолітність патогенетичної матриці у хворих основної групи робить її стійкою до саногенетичних заходів. </w:t>
      </w:r>
    </w:p>
    <w:p w:rsidR="00CD086E" w:rsidRDefault="00CD086E"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Крім того, кореляційні структури на 67% відрізняються одна від одної за характером зв’язків. Отже, у хворих з ЗЗП у порівнянні з контрольною групою формується інша патогенетична матриця, що відрізняється як за функціональними, так і за архітектонічними властивостями.</w:t>
      </w:r>
    </w:p>
    <w:p w:rsidR="00CD086E" w:rsidRDefault="00CD086E" w:rsidP="005C1EA2">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Вищевказане стало підставою для розробки алгоритмів прогнозу розвитку і тяжкості ЗЗП. Апробація алгоритмів показала, що правильні прогнози склали 92,5%, невизначені – 6%, а помилкові – 1,5% випадків. </w:t>
      </w:r>
    </w:p>
    <w:p w:rsidR="00413490" w:rsidRDefault="00CD086E" w:rsidP="005C1EA2">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розроблених прогностичних алгоритмів були запропоновані групи ризику розвитку ЗЗП. За основу формування груп ризику були прийняті комбінації варіантів прогнозів. В свою чергу, на основі прогностичних алгоритмів і груп ризику запропоновано</w:t>
      </w:r>
      <w:r w:rsidR="00413490">
        <w:rPr>
          <w:rFonts w:ascii="Times New Roman" w:hAnsi="Times New Roman"/>
          <w:sz w:val="28"/>
          <w:szCs w:val="28"/>
          <w:lang w:val="uk-UA"/>
        </w:rPr>
        <w:t xml:space="preserve"> персоніфіковану</w:t>
      </w:r>
      <w:r>
        <w:rPr>
          <w:rFonts w:ascii="Times New Roman" w:hAnsi="Times New Roman"/>
          <w:sz w:val="28"/>
          <w:szCs w:val="28"/>
          <w:lang w:val="uk-UA"/>
        </w:rPr>
        <w:t xml:space="preserve"> систему</w:t>
      </w:r>
      <w:r w:rsidR="00413490">
        <w:rPr>
          <w:rFonts w:ascii="Times New Roman" w:hAnsi="Times New Roman"/>
          <w:sz w:val="28"/>
          <w:szCs w:val="28"/>
          <w:lang w:val="uk-UA"/>
        </w:rPr>
        <w:t xml:space="preserve"> первинної</w:t>
      </w:r>
      <w:r>
        <w:rPr>
          <w:rFonts w:ascii="Times New Roman" w:hAnsi="Times New Roman"/>
          <w:sz w:val="28"/>
          <w:szCs w:val="28"/>
          <w:lang w:val="uk-UA"/>
        </w:rPr>
        <w:t xml:space="preserve"> профілактики </w:t>
      </w:r>
      <w:r w:rsidR="00413490">
        <w:rPr>
          <w:rFonts w:ascii="Times New Roman" w:hAnsi="Times New Roman"/>
          <w:sz w:val="28"/>
          <w:szCs w:val="28"/>
          <w:lang w:val="uk-UA"/>
        </w:rPr>
        <w:t>ЗЗП</w:t>
      </w:r>
      <w:r>
        <w:rPr>
          <w:rFonts w:ascii="Times New Roman" w:hAnsi="Times New Roman"/>
          <w:sz w:val="28"/>
          <w:szCs w:val="28"/>
          <w:lang w:val="uk-UA"/>
        </w:rPr>
        <w:t xml:space="preserve">. </w:t>
      </w:r>
    </w:p>
    <w:p w:rsidR="00413490" w:rsidRDefault="00413490"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Ефективність запропонованої системи профілактики здійснювалася шляхом обліку підлітків з ПМФ, у яких в процесі диспансеризації розвинулись ЗЗП при використанні традиційної методики профілактики (</w:t>
      </w:r>
      <w:r>
        <w:rPr>
          <w:rFonts w:ascii="Times New Roman" w:hAnsi="Times New Roman"/>
          <w:sz w:val="28"/>
          <w:szCs w:val="28"/>
        </w:rPr>
        <w:t>n</w:t>
      </w:r>
      <w:r>
        <w:rPr>
          <w:rFonts w:ascii="Times New Roman" w:hAnsi="Times New Roman"/>
          <w:sz w:val="28"/>
          <w:szCs w:val="28"/>
          <w:lang w:val="uk-UA"/>
        </w:rPr>
        <w:t>=30) і інноваційної методики (</w:t>
      </w:r>
      <w:r>
        <w:rPr>
          <w:rFonts w:ascii="Times New Roman" w:hAnsi="Times New Roman"/>
          <w:sz w:val="28"/>
          <w:szCs w:val="28"/>
        </w:rPr>
        <w:t>n</w:t>
      </w:r>
      <w:r>
        <w:rPr>
          <w:rFonts w:ascii="Times New Roman" w:hAnsi="Times New Roman"/>
          <w:sz w:val="28"/>
          <w:szCs w:val="28"/>
          <w:lang w:val="uk-UA"/>
        </w:rPr>
        <w:t>=30). Ефективність профілактики здійснювали через 6,12,18 і 24 місяці від її початку.</w:t>
      </w:r>
    </w:p>
    <w:p w:rsidR="00413490" w:rsidRDefault="00413490"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Проведені дослідження показали, що на всіх етапах спостереження в контролі відмічалася достовірно більша (р&lt;0,05) частка підлітків, у яких виникли ЗЗП. При цьому максимальна різниця відмічена через 2 роки спостереження: в контролі 60%, а в основній групі – 23,3% (р&lt;0,01).  Що стосується структури захворювань, то через 24 міс. від початку профілактики в основій групі діагностовано тільки катаральний гінгівіт. В контролі, поряд з катаральним гінгівітом, у 17% хворих  встановлено гіпертрофічний гінгівіт, а у 11% локалізований пародонтит. При співставленні частки хворих з катаральним гінгівітом в залежності від його тяжкості встановлено, що легкий ступінь тяжкості майже в 2 рази частіше діагностувався в основній групі (р&lt;0,05), а середньотяжкий в 2,1 раза частіше (р&lt;0,05) в контролі.</w:t>
      </w:r>
    </w:p>
    <w:p w:rsidR="00413490" w:rsidRDefault="00413490"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в основній групі показник приросту інтенсивності карієсу зубів в 3 рази був нижче (р&lt;0,05), ніж  в контролі. </w:t>
      </w:r>
    </w:p>
    <w:p w:rsidR="00413490" w:rsidRDefault="00413490"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Що стосується ПМФ, то к кінцю спостереження нормалізація менстр</w:t>
      </w:r>
      <w:r w:rsidR="000D0EB4">
        <w:rPr>
          <w:rFonts w:ascii="Times New Roman" w:hAnsi="Times New Roman"/>
          <w:sz w:val="28"/>
          <w:szCs w:val="28"/>
          <w:lang w:val="uk-UA"/>
        </w:rPr>
        <w:t>уальної функції відмічена у 13</w:t>
      </w:r>
      <w:r>
        <w:rPr>
          <w:rFonts w:ascii="Times New Roman" w:hAnsi="Times New Roman"/>
          <w:sz w:val="28"/>
          <w:szCs w:val="28"/>
          <w:lang w:val="uk-UA"/>
        </w:rPr>
        <w:t>% підлітків контролю і в 3 рази частіше (у 30%; р&lt;0,05) в основній групі.</w:t>
      </w:r>
    </w:p>
    <w:p w:rsidR="003967FD" w:rsidRPr="003967FD" w:rsidRDefault="000D0EB4" w:rsidP="005C1EA2">
      <w:pPr>
        <w:spacing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Таким чином, застосування персоніфікованої системи профілактики дозволяє у порівнянні з традиційною системою профілактики суттєвим чином нейтралізувати розвиток ЗЗП і карієсу зубів, а також сприяє підвищенню ефективності лікування ПМФ.</w:t>
      </w:r>
    </w:p>
    <w:p w:rsidR="00836B09" w:rsidRDefault="00836B09" w:rsidP="005C1EA2">
      <w:pPr>
        <w:spacing w:line="360" w:lineRule="auto"/>
        <w:ind w:firstLine="709"/>
        <w:jc w:val="both"/>
        <w:rPr>
          <w:rFonts w:ascii="Times New Roman" w:hAnsi="Times New Roman"/>
          <w:sz w:val="28"/>
          <w:szCs w:val="28"/>
          <w:lang w:val="uk-UA"/>
        </w:rPr>
      </w:pPr>
      <w:r w:rsidRPr="000D0EB4">
        <w:rPr>
          <w:rFonts w:ascii="Times New Roman" w:hAnsi="Times New Roman"/>
          <w:b/>
          <w:sz w:val="28"/>
          <w:szCs w:val="28"/>
          <w:lang w:val="uk-UA"/>
        </w:rPr>
        <w:t>Ключові слова</w:t>
      </w:r>
      <w:r>
        <w:rPr>
          <w:rFonts w:ascii="Times New Roman" w:hAnsi="Times New Roman"/>
          <w:sz w:val="28"/>
          <w:szCs w:val="28"/>
          <w:lang w:val="uk-UA"/>
        </w:rPr>
        <w:t>: дівчата-підлітки, запальні захворювання пародонта, порушення менструальної функції, прогноз, профілактика.</w:t>
      </w:r>
    </w:p>
    <w:p w:rsidR="00B066D9" w:rsidRDefault="00B066D9" w:rsidP="00282D41">
      <w:pPr>
        <w:pStyle w:val="aa"/>
        <w:spacing w:line="360" w:lineRule="auto"/>
        <w:ind w:left="0" w:firstLine="709"/>
        <w:jc w:val="center"/>
        <w:rPr>
          <w:rFonts w:ascii="Times New Roman" w:hAnsi="Times New Roman"/>
          <w:b/>
          <w:sz w:val="28"/>
          <w:szCs w:val="28"/>
          <w:lang w:val="uk-UA"/>
        </w:rPr>
      </w:pPr>
    </w:p>
    <w:p w:rsidR="00282D41" w:rsidRPr="0051660F" w:rsidRDefault="00282D41" w:rsidP="00282D41">
      <w:pPr>
        <w:pStyle w:val="aa"/>
        <w:spacing w:line="360" w:lineRule="auto"/>
        <w:ind w:left="0" w:firstLine="709"/>
        <w:jc w:val="center"/>
        <w:rPr>
          <w:rFonts w:ascii="Times New Roman" w:hAnsi="Times New Roman"/>
          <w:b/>
          <w:sz w:val="28"/>
          <w:szCs w:val="28"/>
          <w:lang w:val="uk-UA"/>
        </w:rPr>
      </w:pPr>
      <w:r w:rsidRPr="0051660F">
        <w:rPr>
          <w:rFonts w:ascii="Times New Roman" w:hAnsi="Times New Roman"/>
          <w:b/>
          <w:sz w:val="28"/>
          <w:szCs w:val="28"/>
          <w:lang w:val="uk-UA"/>
        </w:rPr>
        <w:t>Список опублікованих праць за темою дисертації:</w:t>
      </w:r>
    </w:p>
    <w:p w:rsidR="00251EA6" w:rsidRPr="00251EA6" w:rsidRDefault="00251EA6" w:rsidP="00251EA6">
      <w:pPr>
        <w:spacing w:before="100" w:beforeAutospacing="1" w:after="100" w:afterAutospacing="1" w:line="360" w:lineRule="auto"/>
        <w:ind w:left="709"/>
        <w:jc w:val="both"/>
        <w:rPr>
          <w:rFonts w:ascii="Times New Roman" w:hAnsi="Times New Roman"/>
          <w:color w:val="000000"/>
          <w:sz w:val="28"/>
          <w:szCs w:val="28"/>
          <w:lang w:val="ru-RU" w:eastAsia="ru-RU" w:bidi="ar-SA"/>
        </w:rPr>
      </w:pPr>
      <w:r>
        <w:rPr>
          <w:rFonts w:ascii="Times New Roman" w:hAnsi="Times New Roman"/>
          <w:sz w:val="28"/>
          <w:szCs w:val="28"/>
          <w:lang w:val="uk-UA"/>
        </w:rPr>
        <w:t xml:space="preserve">І. </w:t>
      </w:r>
      <w:r w:rsidRPr="00251EA6">
        <w:rPr>
          <w:rFonts w:ascii="Times New Roman" w:hAnsi="Times New Roman"/>
          <w:sz w:val="28"/>
          <w:szCs w:val="28"/>
          <w:lang w:val="uk-UA"/>
        </w:rPr>
        <w:t>Видання, в яких опубліковані основні наукові результати дисертації:</w:t>
      </w:r>
    </w:p>
    <w:p w:rsidR="00282D41" w:rsidRPr="00251EA6"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251EA6">
        <w:rPr>
          <w:rFonts w:ascii="Times New Roman" w:hAnsi="Times New Roman"/>
          <w:color w:val="000000"/>
          <w:sz w:val="28"/>
          <w:szCs w:val="28"/>
          <w:lang w:val="ru-RU" w:eastAsia="ru-RU" w:bidi="ar-SA"/>
        </w:rPr>
        <w:t>Ключка Є. О. Особливості впливу порушення менструальної функції на стан тканин пародонта у дівчат-підлітків / Є. О. Ключка // Вісник стоматології. – 2018. – № 1 (102), т. 27. – С. 84–88.</w:t>
      </w:r>
    </w:p>
    <w:p w:rsidR="00282D41"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Ключка</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 xml:space="preserve">Ефективність застосування інноваційного методу профілактики пародонта у дівчат-підлітків із порушенням менструального циклу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Ключка, І.</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І.</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Соколова</w:t>
      </w:r>
      <w:r>
        <w:rPr>
          <w:rFonts w:ascii="Times New Roman" w:hAnsi="Times New Roman"/>
          <w:color w:val="000000"/>
          <w:sz w:val="28"/>
          <w:szCs w:val="28"/>
          <w:lang w:val="ru-RU" w:eastAsia="ru-RU" w:bidi="ar-SA"/>
        </w:rPr>
        <w:t xml:space="preserve"> // </w:t>
      </w:r>
      <w:r w:rsidRPr="00761003">
        <w:rPr>
          <w:rFonts w:ascii="Times New Roman" w:hAnsi="Times New Roman"/>
          <w:color w:val="000000"/>
          <w:sz w:val="28"/>
          <w:szCs w:val="28"/>
          <w:lang w:val="ru-RU" w:eastAsia="ru-RU" w:bidi="ar-SA"/>
        </w:rPr>
        <w:t xml:space="preserve">Міжнародний медичний журнал. – 2018. </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Т</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24,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4</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(96). – С.</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85</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89.</w:t>
      </w:r>
      <w:r>
        <w:rPr>
          <w:rFonts w:ascii="Times New Roman" w:hAnsi="Times New Roman"/>
          <w:color w:val="000000"/>
          <w:sz w:val="28"/>
          <w:szCs w:val="28"/>
          <w:lang w:val="ru-RU" w:eastAsia="ru-RU" w:bidi="ar-SA"/>
        </w:rPr>
        <w:t xml:space="preserve"> </w:t>
      </w:r>
    </w:p>
    <w:p w:rsidR="00282D41"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Факторы формирования тяжести воспалительных заболеваний пародонта у девочек-подростков с нарушением менструальной функции</w:t>
      </w:r>
      <w:r w:rsidRPr="00BE565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 Е. А. </w:t>
      </w:r>
      <w:r w:rsidRPr="00761003">
        <w:rPr>
          <w:rFonts w:ascii="Times New Roman" w:hAnsi="Times New Roman"/>
          <w:color w:val="000000"/>
          <w:sz w:val="28"/>
          <w:szCs w:val="28"/>
          <w:lang w:val="ru-RU" w:eastAsia="ru-RU" w:bidi="ar-SA"/>
        </w:rPr>
        <w:t xml:space="preserve">Ключка, </w:t>
      </w:r>
      <w:r>
        <w:rPr>
          <w:rFonts w:ascii="Times New Roman" w:hAnsi="Times New Roman"/>
          <w:color w:val="000000"/>
          <w:sz w:val="28"/>
          <w:szCs w:val="28"/>
          <w:lang w:val="ru-RU" w:eastAsia="ru-RU" w:bidi="ar-SA"/>
        </w:rPr>
        <w:t>И. И. </w:t>
      </w:r>
      <w:r w:rsidRPr="00761003">
        <w:rPr>
          <w:rFonts w:ascii="Times New Roman" w:hAnsi="Times New Roman"/>
          <w:color w:val="000000"/>
          <w:sz w:val="28"/>
          <w:szCs w:val="28"/>
          <w:lang w:val="ru-RU" w:eastAsia="ru-RU" w:bidi="ar-SA"/>
        </w:rPr>
        <w:t xml:space="preserve">Соколова, </w:t>
      </w:r>
      <w:r>
        <w:rPr>
          <w:rFonts w:ascii="Times New Roman" w:hAnsi="Times New Roman"/>
          <w:color w:val="000000"/>
          <w:sz w:val="28"/>
          <w:szCs w:val="28"/>
          <w:lang w:val="ru-RU" w:eastAsia="ru-RU" w:bidi="ar-SA"/>
        </w:rPr>
        <w:t>И. А. </w:t>
      </w:r>
      <w:r w:rsidRPr="00761003">
        <w:rPr>
          <w:rFonts w:ascii="Times New Roman" w:hAnsi="Times New Roman"/>
          <w:color w:val="000000"/>
          <w:sz w:val="28"/>
          <w:szCs w:val="28"/>
          <w:lang w:val="ru-RU" w:eastAsia="ru-RU" w:bidi="ar-SA"/>
        </w:rPr>
        <w:t xml:space="preserve">Тучкина, </w:t>
      </w:r>
      <w:r>
        <w:rPr>
          <w:rFonts w:ascii="Times New Roman" w:hAnsi="Times New Roman"/>
          <w:color w:val="000000"/>
          <w:sz w:val="28"/>
          <w:szCs w:val="28"/>
          <w:lang w:val="ru-RU" w:eastAsia="ru-RU" w:bidi="ar-SA"/>
        </w:rPr>
        <w:t>О. В. </w:t>
      </w:r>
      <w:r w:rsidRPr="00761003">
        <w:rPr>
          <w:rFonts w:ascii="Times New Roman" w:hAnsi="Times New Roman"/>
          <w:color w:val="000000"/>
          <w:sz w:val="28"/>
          <w:szCs w:val="28"/>
          <w:lang w:val="ru-RU" w:eastAsia="ru-RU" w:bidi="ar-SA"/>
        </w:rPr>
        <w:t xml:space="preserve">Пионтковская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 xml:space="preserve">Journal of Education, Health and Sport. – 2017. – </w:t>
      </w:r>
      <w:r w:rsidRPr="00761003">
        <w:rPr>
          <w:rFonts w:ascii="Times New Roman" w:hAnsi="Times New Roman"/>
          <w:color w:val="000000"/>
          <w:sz w:val="28"/>
          <w:szCs w:val="28"/>
          <w:lang w:eastAsia="ru-RU" w:bidi="ar-SA"/>
        </w:rPr>
        <w:t>Vol</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7</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eastAsia="ru-RU" w:bidi="ar-SA"/>
        </w:rPr>
        <w:t>N</w:t>
      </w:r>
      <w:r>
        <w:rPr>
          <w:rFonts w:ascii="Times New Roman" w:hAnsi="Times New Roman"/>
          <w:color w:val="000000"/>
          <w:sz w:val="28"/>
          <w:szCs w:val="28"/>
          <w:lang w:val="uk-UA" w:eastAsia="ru-RU" w:bidi="ar-SA"/>
        </w:rPr>
        <w:t> </w:t>
      </w:r>
      <w:r w:rsidRPr="00761003">
        <w:rPr>
          <w:rFonts w:ascii="Times New Roman" w:hAnsi="Times New Roman"/>
          <w:color w:val="000000"/>
          <w:sz w:val="28"/>
          <w:szCs w:val="28"/>
          <w:lang w:val="ru-RU" w:eastAsia="ru-RU" w:bidi="ar-SA"/>
        </w:rPr>
        <w:t xml:space="preserve">6. – </w:t>
      </w:r>
      <w:r>
        <w:rPr>
          <w:rFonts w:ascii="Times New Roman" w:hAnsi="Times New Roman"/>
          <w:color w:val="000000"/>
          <w:sz w:val="28"/>
          <w:szCs w:val="28"/>
          <w:lang w:val="ru-RU" w:eastAsia="ru-RU" w:bidi="ar-SA"/>
        </w:rPr>
        <w:t>Р</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1160</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1168.</w:t>
      </w:r>
      <w:r>
        <w:rPr>
          <w:rFonts w:ascii="Times New Roman" w:hAnsi="Times New Roman"/>
          <w:color w:val="000000"/>
          <w:sz w:val="28"/>
          <w:szCs w:val="28"/>
          <w:lang w:val="ru-RU" w:eastAsia="ru-RU" w:bidi="ar-SA"/>
        </w:rPr>
        <w:t xml:space="preserve"> </w:t>
      </w:r>
    </w:p>
    <w:p w:rsidR="00282D41" w:rsidRPr="00D9792F"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 xml:space="preserve"> Ключка</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Предиктори розвитку запальних захворювань пародонта у дівчат-підлітків з порушенням менструальної функції</w:t>
      </w:r>
      <w:r>
        <w:rPr>
          <w:rFonts w:ascii="Times New Roman" w:hAnsi="Times New Roman"/>
          <w:color w:val="000000"/>
          <w:sz w:val="28"/>
          <w:szCs w:val="28"/>
          <w:lang w:val="ru-RU" w:eastAsia="ru-RU" w:bidi="ar-SA"/>
        </w:rPr>
        <w:t xml:space="preserve"> / </w:t>
      </w:r>
      <w:r>
        <w:rPr>
          <w:rFonts w:ascii="Times New Roman" w:hAnsi="Times New Roman"/>
          <w:color w:val="000000"/>
          <w:sz w:val="28"/>
          <w:szCs w:val="28"/>
          <w:lang w:val="uk-UA" w:eastAsia="ru-RU" w:bidi="ar-SA"/>
        </w:rPr>
        <w:t>Є. О. Ключка, І. І. Соколова // </w:t>
      </w:r>
      <w:r w:rsidRPr="00761003">
        <w:rPr>
          <w:rFonts w:ascii="Times New Roman" w:hAnsi="Times New Roman"/>
          <w:color w:val="000000"/>
          <w:sz w:val="28"/>
          <w:szCs w:val="28"/>
          <w:lang w:val="ru-RU" w:eastAsia="ru-RU" w:bidi="ar-SA"/>
        </w:rPr>
        <w:t xml:space="preserve">Експериментальна и клінічна медицина. </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 xml:space="preserve">2018. – </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2</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3 (79</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80).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159</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165.</w:t>
      </w:r>
      <w:r>
        <w:rPr>
          <w:rFonts w:ascii="Times New Roman" w:hAnsi="Times New Roman"/>
          <w:color w:val="000000"/>
          <w:sz w:val="28"/>
          <w:szCs w:val="28"/>
          <w:lang w:val="ru-RU" w:eastAsia="ru-RU" w:bidi="ar-SA"/>
        </w:rPr>
        <w:t xml:space="preserve"> </w:t>
      </w:r>
    </w:p>
    <w:p w:rsidR="00282D41" w:rsidRPr="005A04B5"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Ключка</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Персоніфікована система первинної профілактики запальних захворювань пародонта у дівчат-підлітків з порушенням менструа</w:t>
      </w:r>
      <w:r>
        <w:rPr>
          <w:rFonts w:ascii="Times New Roman" w:hAnsi="Times New Roman"/>
          <w:color w:val="000000"/>
          <w:sz w:val="28"/>
          <w:szCs w:val="28"/>
          <w:lang w:val="ru-RU" w:eastAsia="ru-RU" w:bidi="ar-SA"/>
        </w:rPr>
        <w:t xml:space="preserve">льної </w:t>
      </w:r>
      <w:r>
        <w:rPr>
          <w:rFonts w:ascii="Times New Roman" w:hAnsi="Times New Roman"/>
          <w:color w:val="000000"/>
          <w:sz w:val="28"/>
          <w:szCs w:val="28"/>
          <w:lang w:val="ru-RU" w:eastAsia="ru-RU" w:bidi="ar-SA"/>
        </w:rPr>
        <w:lastRenderedPageBreak/>
        <w:t>функції і її ефективність / Є. О. Ключка, І. І. Соколова // Вісник с</w:t>
      </w:r>
      <w:r w:rsidRPr="00761003">
        <w:rPr>
          <w:rFonts w:ascii="Times New Roman" w:hAnsi="Times New Roman"/>
          <w:color w:val="000000"/>
          <w:sz w:val="28"/>
          <w:szCs w:val="28"/>
          <w:lang w:val="ru-RU" w:eastAsia="ru-RU" w:bidi="ar-SA"/>
        </w:rPr>
        <w:t>томатології</w:t>
      </w:r>
      <w:r>
        <w:rPr>
          <w:rFonts w:ascii="Times New Roman" w:hAnsi="Times New Roman"/>
          <w:color w:val="000000"/>
          <w:sz w:val="28"/>
          <w:szCs w:val="28"/>
          <w:lang w:val="ru-RU" w:eastAsia="ru-RU" w:bidi="ar-SA"/>
        </w:rPr>
        <w:t>. – 2018. – № </w:t>
      </w:r>
      <w:r w:rsidRPr="00761003">
        <w:rPr>
          <w:rFonts w:ascii="Times New Roman" w:hAnsi="Times New Roman"/>
          <w:color w:val="000000"/>
          <w:sz w:val="28"/>
          <w:szCs w:val="28"/>
          <w:lang w:val="ru-RU" w:eastAsia="ru-RU" w:bidi="ar-SA"/>
        </w:rPr>
        <w:t>4 (105)</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т. </w:t>
      </w:r>
      <w:r w:rsidRPr="00761003">
        <w:rPr>
          <w:rFonts w:ascii="Times New Roman" w:hAnsi="Times New Roman"/>
          <w:color w:val="000000"/>
          <w:sz w:val="28"/>
          <w:szCs w:val="28"/>
          <w:lang w:val="ru-RU" w:eastAsia="ru-RU" w:bidi="ar-SA"/>
        </w:rPr>
        <w:t xml:space="preserve">30.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11</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16.</w:t>
      </w:r>
      <w:r w:rsidRPr="00D9792F">
        <w:rPr>
          <w:rFonts w:ascii="Times New Roman" w:hAnsi="Times New Roman"/>
          <w:sz w:val="28"/>
          <w:lang w:val="uk-UA"/>
        </w:rPr>
        <w:t xml:space="preserve"> </w:t>
      </w:r>
    </w:p>
    <w:p w:rsidR="00282D41" w:rsidRPr="005A04B5"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5A04B5">
        <w:rPr>
          <w:rFonts w:ascii="Times New Roman" w:hAnsi="Times New Roman"/>
          <w:color w:val="000000"/>
          <w:sz w:val="28"/>
          <w:szCs w:val="28"/>
          <w:lang w:val="uk-UA"/>
        </w:rPr>
        <w:t>Предиктори тяжкості перебігу запальних захворювань пародонт</w:t>
      </w:r>
      <w:r w:rsidRPr="005A04B5">
        <w:rPr>
          <w:rFonts w:ascii="Times New Roman" w:hAnsi="Times New Roman"/>
          <w:color w:val="000000"/>
          <w:sz w:val="28"/>
          <w:szCs w:val="28"/>
          <w:lang w:val="ru-RU"/>
        </w:rPr>
        <w:t>а</w:t>
      </w:r>
      <w:r w:rsidRPr="005A04B5">
        <w:rPr>
          <w:rFonts w:ascii="Times New Roman" w:hAnsi="Times New Roman"/>
          <w:color w:val="000000"/>
          <w:sz w:val="28"/>
          <w:szCs w:val="28"/>
          <w:lang w:val="uk-UA"/>
        </w:rPr>
        <w:t xml:space="preserve"> у дівчат-підлітків з порушенням менструальної функції</w:t>
      </w:r>
      <w:r w:rsidRPr="005A04B5">
        <w:rPr>
          <w:rFonts w:ascii="Times New Roman" w:hAnsi="Times New Roman"/>
          <w:sz w:val="28"/>
          <w:szCs w:val="28"/>
          <w:lang w:val="uk-UA"/>
        </w:rPr>
        <w:t>.</w:t>
      </w:r>
      <w:r>
        <w:rPr>
          <w:rFonts w:ascii="Times New Roman" w:hAnsi="Times New Roman"/>
          <w:color w:val="000000"/>
          <w:sz w:val="28"/>
          <w:szCs w:val="28"/>
          <w:lang w:val="ru-RU" w:eastAsia="ru-RU" w:bidi="ar-SA"/>
        </w:rPr>
        <w:t xml:space="preserve"> / Є. О. Ключка, І. І. Соколова, І. О. Тучкіна, О. В. Піонтковська // Український журнал медицини, біології та спорту. – 2019. – № 2 (18</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т. 4</w:t>
      </w:r>
      <w:r w:rsidRPr="00761003">
        <w:rPr>
          <w:rFonts w:ascii="Times New Roman" w:hAnsi="Times New Roman"/>
          <w:color w:val="000000"/>
          <w:sz w:val="28"/>
          <w:szCs w:val="28"/>
          <w:lang w:val="ru-RU" w:eastAsia="ru-RU" w:bidi="ar-SA"/>
        </w:rPr>
        <w:t xml:space="preserve">.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207-213</w:t>
      </w:r>
      <w:r w:rsidRPr="00761003">
        <w:rPr>
          <w:rFonts w:ascii="Times New Roman" w:hAnsi="Times New Roman"/>
          <w:color w:val="000000"/>
          <w:sz w:val="28"/>
          <w:szCs w:val="28"/>
          <w:lang w:val="ru-RU" w:eastAsia="ru-RU" w:bidi="ar-SA"/>
        </w:rPr>
        <w:t>.</w:t>
      </w:r>
      <w:r w:rsidRPr="00D9792F">
        <w:rPr>
          <w:rFonts w:ascii="Times New Roman" w:hAnsi="Times New Roman"/>
          <w:sz w:val="28"/>
          <w:lang w:val="uk-UA"/>
        </w:rPr>
        <w:t xml:space="preserve"> </w:t>
      </w:r>
    </w:p>
    <w:p w:rsidR="00282D41" w:rsidRPr="00251EA6" w:rsidRDefault="00282D41" w:rsidP="00282D41">
      <w:pPr>
        <w:numPr>
          <w:ilvl w:val="0"/>
          <w:numId w:val="38"/>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5231D2">
        <w:rPr>
          <w:rFonts w:ascii="Times New Roman" w:hAnsi="Times New Roman"/>
          <w:sz w:val="28"/>
          <w:szCs w:val="28"/>
          <w:lang w:val="uk-UA"/>
        </w:rPr>
        <w:t>Особливості впливу порушень менструальної функції на цитологічні характеристики тканин пародонта у дівчат-підлітків з запальними захворюваннями пародонта</w:t>
      </w:r>
      <w:r>
        <w:rPr>
          <w:rFonts w:ascii="Times New Roman" w:hAnsi="Times New Roman"/>
          <w:sz w:val="28"/>
          <w:szCs w:val="28"/>
          <w:lang w:val="uk-UA"/>
        </w:rPr>
        <w:t xml:space="preserve"> </w:t>
      </w:r>
      <w:r w:rsidRPr="005231D2">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sz w:val="28"/>
          <w:lang w:val="uk-UA"/>
        </w:rPr>
        <w:t xml:space="preserve">Є. О. Ключка, І. І. Соколова, О. І. Залюбовська,   Н. І. Гойденко </w:t>
      </w:r>
      <w:r>
        <w:rPr>
          <w:rFonts w:ascii="Times New Roman" w:hAnsi="Times New Roman"/>
          <w:color w:val="000000"/>
          <w:sz w:val="28"/>
          <w:szCs w:val="28"/>
          <w:lang w:val="ru-RU" w:eastAsia="ru-RU" w:bidi="ar-SA"/>
        </w:rPr>
        <w:t>// Вісник с</w:t>
      </w:r>
      <w:r w:rsidRPr="00761003">
        <w:rPr>
          <w:rFonts w:ascii="Times New Roman" w:hAnsi="Times New Roman"/>
          <w:color w:val="000000"/>
          <w:sz w:val="28"/>
          <w:szCs w:val="28"/>
          <w:lang w:val="ru-RU" w:eastAsia="ru-RU" w:bidi="ar-SA"/>
        </w:rPr>
        <w:t>томатології</w:t>
      </w:r>
      <w:r>
        <w:rPr>
          <w:rFonts w:ascii="Times New Roman" w:hAnsi="Times New Roman"/>
          <w:color w:val="000000"/>
          <w:sz w:val="28"/>
          <w:szCs w:val="28"/>
          <w:lang w:val="ru-RU" w:eastAsia="ru-RU" w:bidi="ar-SA"/>
        </w:rPr>
        <w:t>. – 2019. – № 1,</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т. 31</w:t>
      </w:r>
      <w:r w:rsidRPr="00761003">
        <w:rPr>
          <w:rFonts w:ascii="Times New Roman" w:hAnsi="Times New Roman"/>
          <w:color w:val="000000"/>
          <w:sz w:val="28"/>
          <w:szCs w:val="28"/>
          <w:lang w:val="ru-RU" w:eastAsia="ru-RU" w:bidi="ar-SA"/>
        </w:rPr>
        <w:t xml:space="preserve">.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49-53</w:t>
      </w:r>
      <w:r w:rsidRPr="00761003">
        <w:rPr>
          <w:rFonts w:ascii="Times New Roman" w:hAnsi="Times New Roman"/>
          <w:color w:val="000000"/>
          <w:sz w:val="28"/>
          <w:szCs w:val="28"/>
          <w:lang w:val="ru-RU" w:eastAsia="ru-RU" w:bidi="ar-SA"/>
        </w:rPr>
        <w:t>.</w:t>
      </w:r>
      <w:r w:rsidRPr="00D9792F">
        <w:rPr>
          <w:rFonts w:ascii="Times New Roman" w:hAnsi="Times New Roman"/>
          <w:sz w:val="28"/>
          <w:lang w:val="uk-UA"/>
        </w:rPr>
        <w:t xml:space="preserve"> </w:t>
      </w:r>
    </w:p>
    <w:p w:rsidR="00251EA6" w:rsidRDefault="00251EA6" w:rsidP="00251EA6">
      <w:pPr>
        <w:spacing w:before="100" w:beforeAutospacing="1" w:after="100" w:afterAutospacing="1" w:line="360" w:lineRule="auto"/>
        <w:ind w:left="709"/>
        <w:jc w:val="both"/>
        <w:rPr>
          <w:rFonts w:ascii="Times New Roman" w:hAnsi="Times New Roman"/>
          <w:color w:val="000000"/>
          <w:sz w:val="28"/>
          <w:szCs w:val="28"/>
          <w:lang w:val="ru-RU" w:eastAsia="ru-RU" w:bidi="ar-SA"/>
        </w:rPr>
      </w:pPr>
      <w:r>
        <w:rPr>
          <w:rFonts w:ascii="Times New Roman" w:hAnsi="Times New Roman"/>
          <w:sz w:val="28"/>
          <w:szCs w:val="28"/>
          <w:lang w:val="uk-UA"/>
        </w:rPr>
        <w:t>ІІ. Видання, які засвідчують апробацію результатів дисертації:</w:t>
      </w:r>
    </w:p>
    <w:p w:rsidR="00282D41" w:rsidRDefault="00282D41" w:rsidP="00B066D9">
      <w:pPr>
        <w:numPr>
          <w:ilvl w:val="0"/>
          <w:numId w:val="44"/>
        </w:numPr>
        <w:spacing w:before="100" w:beforeAutospacing="1" w:after="100" w:afterAutospacing="1" w:line="360" w:lineRule="auto"/>
        <w:ind w:left="0" w:firstLine="709"/>
        <w:jc w:val="both"/>
        <w:rPr>
          <w:rFonts w:ascii="Times New Roman" w:hAnsi="Times New Roman"/>
          <w:sz w:val="28"/>
          <w:szCs w:val="28"/>
          <w:lang w:val="uk-UA"/>
        </w:rPr>
      </w:pPr>
      <w:r w:rsidRPr="00E31792">
        <w:rPr>
          <w:rFonts w:ascii="Times New Roman" w:hAnsi="Times New Roman"/>
          <w:sz w:val="28"/>
          <w:szCs w:val="28"/>
          <w:lang w:val="uk-UA"/>
        </w:rPr>
        <w:t>Ключка Є. О. Інформаційні аспекти формування запальних захворювань пародонта у дівчат-підлітків з порушенням менструальної функції/ Є.О.Ключка, І.І.Соколова// Матеріали Міжвузівської науково-практичної конференції з міжнародною участю «Проблема людини у соціально-гуманітарному та медичному дискурсах». - Харків, 2018. – с.80-82</w:t>
      </w:r>
    </w:p>
    <w:p w:rsidR="00282D41" w:rsidRPr="00E31792" w:rsidRDefault="00282D41" w:rsidP="00B066D9">
      <w:pPr>
        <w:numPr>
          <w:ilvl w:val="0"/>
          <w:numId w:val="44"/>
        </w:numPr>
        <w:spacing w:before="100" w:beforeAutospacing="1" w:after="100" w:afterAutospacing="1" w:line="360" w:lineRule="auto"/>
        <w:ind w:left="0" w:firstLine="709"/>
        <w:jc w:val="both"/>
        <w:rPr>
          <w:rFonts w:ascii="Times New Roman" w:hAnsi="Times New Roman"/>
          <w:color w:val="000000"/>
          <w:sz w:val="28"/>
          <w:szCs w:val="28"/>
          <w:lang w:val="uk-UA" w:eastAsia="ru-RU" w:bidi="ar-SA"/>
        </w:rPr>
      </w:pPr>
      <w:r w:rsidRPr="00E31792">
        <w:rPr>
          <w:rFonts w:ascii="Times New Roman" w:hAnsi="Times New Roman"/>
          <w:sz w:val="28"/>
          <w:szCs w:val="28"/>
          <w:lang w:val="uk-UA"/>
        </w:rPr>
        <w:t>Ключка Є.О. Визначення факторів ризику розвитку запальних захворювань пародонта у дівчат-підлітків з порушенням менструальної функції/ Є.О.Ключка// Збірник тез міжвузівської конференції молодих вчених та студентів «Медицина третього тисячоліття». - Харків, 2018. – с. 300-301.</w:t>
      </w:r>
    </w:p>
    <w:p w:rsidR="00282D41" w:rsidRPr="00E31792" w:rsidRDefault="00282D41" w:rsidP="00B066D9">
      <w:pPr>
        <w:numPr>
          <w:ilvl w:val="0"/>
          <w:numId w:val="44"/>
        </w:numPr>
        <w:spacing w:before="100" w:beforeAutospacing="1" w:after="100" w:afterAutospacing="1" w:line="360" w:lineRule="auto"/>
        <w:ind w:left="0" w:firstLine="709"/>
        <w:jc w:val="both"/>
        <w:rPr>
          <w:rFonts w:ascii="Times New Roman" w:hAnsi="Times New Roman"/>
          <w:color w:val="000000"/>
          <w:sz w:val="28"/>
          <w:szCs w:val="28"/>
          <w:lang w:val="uk-UA" w:eastAsia="ru-RU" w:bidi="ar-SA"/>
        </w:rPr>
      </w:pPr>
      <w:r w:rsidRPr="00E31792">
        <w:rPr>
          <w:rFonts w:ascii="Times New Roman" w:hAnsi="Times New Roman"/>
          <w:sz w:val="28"/>
          <w:szCs w:val="28"/>
        </w:rPr>
        <w:t>Kliuchka</w:t>
      </w:r>
      <w:r w:rsidRPr="00E31792">
        <w:rPr>
          <w:rFonts w:ascii="Times New Roman" w:hAnsi="Times New Roman"/>
          <w:sz w:val="28"/>
          <w:szCs w:val="28"/>
          <w:lang w:val="uk-UA"/>
        </w:rPr>
        <w:t xml:space="preserve"> </w:t>
      </w:r>
      <w:r w:rsidRPr="00E31792">
        <w:rPr>
          <w:rFonts w:ascii="Times New Roman" w:hAnsi="Times New Roman"/>
          <w:sz w:val="28"/>
          <w:szCs w:val="28"/>
        </w:rPr>
        <w:t>Ye</w:t>
      </w:r>
      <w:r w:rsidRPr="00E31792">
        <w:rPr>
          <w:rFonts w:ascii="Times New Roman" w:hAnsi="Times New Roman"/>
          <w:sz w:val="28"/>
          <w:szCs w:val="28"/>
          <w:lang w:val="uk-UA"/>
        </w:rPr>
        <w:t>.</w:t>
      </w:r>
      <w:r w:rsidRPr="00E31792">
        <w:rPr>
          <w:rFonts w:ascii="Times New Roman" w:hAnsi="Times New Roman"/>
          <w:sz w:val="28"/>
          <w:szCs w:val="28"/>
        </w:rPr>
        <w:t>O</w:t>
      </w:r>
      <w:r w:rsidRPr="00E31792">
        <w:rPr>
          <w:rFonts w:ascii="Times New Roman" w:hAnsi="Times New Roman"/>
          <w:sz w:val="28"/>
          <w:szCs w:val="28"/>
          <w:lang w:val="uk-UA"/>
        </w:rPr>
        <w:t xml:space="preserve">. </w:t>
      </w:r>
      <w:r w:rsidRPr="00E31792">
        <w:rPr>
          <w:rFonts w:ascii="Times New Roman" w:hAnsi="Times New Roman"/>
          <w:sz w:val="28"/>
          <w:szCs w:val="28"/>
        </w:rPr>
        <w:t>Determination</w:t>
      </w:r>
      <w:r w:rsidRPr="00E31792">
        <w:rPr>
          <w:rFonts w:ascii="Times New Roman" w:hAnsi="Times New Roman"/>
          <w:sz w:val="28"/>
          <w:szCs w:val="28"/>
          <w:lang w:val="uk-UA"/>
        </w:rPr>
        <w:t xml:space="preserve"> </w:t>
      </w:r>
      <w:r w:rsidRPr="00E31792">
        <w:rPr>
          <w:rFonts w:ascii="Times New Roman" w:hAnsi="Times New Roman"/>
          <w:sz w:val="28"/>
          <w:szCs w:val="28"/>
        </w:rPr>
        <w:t>of</w:t>
      </w:r>
      <w:r w:rsidRPr="00E31792">
        <w:rPr>
          <w:rFonts w:ascii="Times New Roman" w:hAnsi="Times New Roman"/>
          <w:sz w:val="28"/>
          <w:szCs w:val="28"/>
          <w:lang w:val="uk-UA"/>
        </w:rPr>
        <w:t xml:space="preserve"> </w:t>
      </w:r>
      <w:r w:rsidRPr="00E31792">
        <w:rPr>
          <w:rFonts w:ascii="Times New Roman" w:hAnsi="Times New Roman"/>
          <w:sz w:val="28"/>
          <w:szCs w:val="28"/>
        </w:rPr>
        <w:t>predictors</w:t>
      </w:r>
      <w:r w:rsidRPr="00E31792">
        <w:rPr>
          <w:rFonts w:ascii="Times New Roman" w:hAnsi="Times New Roman"/>
          <w:sz w:val="28"/>
          <w:szCs w:val="28"/>
          <w:lang w:val="uk-UA"/>
        </w:rPr>
        <w:t xml:space="preserve"> </w:t>
      </w:r>
      <w:r w:rsidRPr="00E31792">
        <w:rPr>
          <w:rFonts w:ascii="Times New Roman" w:hAnsi="Times New Roman"/>
          <w:sz w:val="28"/>
          <w:szCs w:val="28"/>
        </w:rPr>
        <w:t>of</w:t>
      </w:r>
      <w:r w:rsidRPr="00E31792">
        <w:rPr>
          <w:rFonts w:ascii="Times New Roman" w:hAnsi="Times New Roman"/>
          <w:sz w:val="28"/>
          <w:szCs w:val="28"/>
          <w:lang w:val="uk-UA"/>
        </w:rPr>
        <w:t xml:space="preserve"> </w:t>
      </w:r>
      <w:r w:rsidRPr="00E31792">
        <w:rPr>
          <w:rFonts w:ascii="Times New Roman" w:hAnsi="Times New Roman"/>
          <w:sz w:val="28"/>
          <w:szCs w:val="28"/>
        </w:rPr>
        <w:t>severity</w:t>
      </w:r>
      <w:r w:rsidRPr="00E31792">
        <w:rPr>
          <w:rFonts w:ascii="Times New Roman" w:hAnsi="Times New Roman"/>
          <w:sz w:val="28"/>
          <w:szCs w:val="28"/>
          <w:lang w:val="uk-UA"/>
        </w:rPr>
        <w:t xml:space="preserve"> </w:t>
      </w:r>
      <w:r w:rsidRPr="00E31792">
        <w:rPr>
          <w:rFonts w:ascii="Times New Roman" w:hAnsi="Times New Roman"/>
          <w:sz w:val="28"/>
          <w:szCs w:val="28"/>
        </w:rPr>
        <w:t>of</w:t>
      </w:r>
      <w:r w:rsidRPr="00E31792">
        <w:rPr>
          <w:rFonts w:ascii="Times New Roman" w:hAnsi="Times New Roman"/>
          <w:sz w:val="28"/>
          <w:szCs w:val="28"/>
          <w:lang w:val="uk-UA"/>
        </w:rPr>
        <w:t xml:space="preserve"> </w:t>
      </w:r>
      <w:r w:rsidRPr="00E31792">
        <w:rPr>
          <w:rFonts w:ascii="Times New Roman" w:hAnsi="Times New Roman"/>
          <w:sz w:val="28"/>
          <w:szCs w:val="28"/>
        </w:rPr>
        <w:t>inflammatory</w:t>
      </w:r>
      <w:r w:rsidRPr="00E31792">
        <w:rPr>
          <w:rFonts w:ascii="Times New Roman" w:hAnsi="Times New Roman"/>
          <w:sz w:val="28"/>
          <w:szCs w:val="28"/>
          <w:lang w:val="uk-UA"/>
        </w:rPr>
        <w:t xml:space="preserve"> </w:t>
      </w:r>
      <w:r w:rsidRPr="00E31792">
        <w:rPr>
          <w:rFonts w:ascii="Times New Roman" w:hAnsi="Times New Roman"/>
          <w:sz w:val="28"/>
          <w:szCs w:val="28"/>
        </w:rPr>
        <w:t>parodontal</w:t>
      </w:r>
      <w:r w:rsidRPr="00E31792">
        <w:rPr>
          <w:rFonts w:ascii="Times New Roman" w:hAnsi="Times New Roman"/>
          <w:sz w:val="28"/>
          <w:szCs w:val="28"/>
          <w:lang w:val="uk-UA"/>
        </w:rPr>
        <w:t xml:space="preserve"> </w:t>
      </w:r>
      <w:r w:rsidRPr="00E31792">
        <w:rPr>
          <w:rFonts w:ascii="Times New Roman" w:hAnsi="Times New Roman"/>
          <w:sz w:val="28"/>
          <w:szCs w:val="28"/>
        </w:rPr>
        <w:t>diseases</w:t>
      </w:r>
      <w:r w:rsidRPr="00E31792">
        <w:rPr>
          <w:rFonts w:ascii="Times New Roman" w:hAnsi="Times New Roman"/>
          <w:sz w:val="28"/>
          <w:szCs w:val="28"/>
          <w:lang w:val="uk-UA"/>
        </w:rPr>
        <w:t xml:space="preserve"> </w:t>
      </w:r>
      <w:r w:rsidRPr="00E31792">
        <w:rPr>
          <w:rFonts w:ascii="Times New Roman" w:hAnsi="Times New Roman"/>
          <w:sz w:val="28"/>
          <w:szCs w:val="28"/>
        </w:rPr>
        <w:t>course</w:t>
      </w:r>
      <w:r w:rsidRPr="00E31792">
        <w:rPr>
          <w:rFonts w:ascii="Times New Roman" w:hAnsi="Times New Roman"/>
          <w:sz w:val="28"/>
          <w:szCs w:val="28"/>
          <w:lang w:val="uk-UA"/>
        </w:rPr>
        <w:t xml:space="preserve"> </w:t>
      </w:r>
      <w:r w:rsidRPr="00E31792">
        <w:rPr>
          <w:rFonts w:ascii="Times New Roman" w:hAnsi="Times New Roman"/>
          <w:sz w:val="28"/>
          <w:szCs w:val="28"/>
        </w:rPr>
        <w:t>in</w:t>
      </w:r>
      <w:r w:rsidRPr="00E31792">
        <w:rPr>
          <w:rFonts w:ascii="Times New Roman" w:hAnsi="Times New Roman"/>
          <w:sz w:val="28"/>
          <w:szCs w:val="28"/>
          <w:lang w:val="uk-UA"/>
        </w:rPr>
        <w:t xml:space="preserve"> </w:t>
      </w:r>
      <w:r w:rsidRPr="00E31792">
        <w:rPr>
          <w:rFonts w:ascii="Times New Roman" w:hAnsi="Times New Roman"/>
          <w:sz w:val="28"/>
          <w:szCs w:val="28"/>
        </w:rPr>
        <w:t>adolescent</w:t>
      </w:r>
      <w:r w:rsidRPr="00E31792">
        <w:rPr>
          <w:rFonts w:ascii="Times New Roman" w:hAnsi="Times New Roman"/>
          <w:sz w:val="28"/>
          <w:szCs w:val="28"/>
          <w:lang w:val="uk-UA"/>
        </w:rPr>
        <w:t xml:space="preserve"> </w:t>
      </w:r>
      <w:r w:rsidRPr="00E31792">
        <w:rPr>
          <w:rFonts w:ascii="Times New Roman" w:hAnsi="Times New Roman"/>
          <w:sz w:val="28"/>
          <w:szCs w:val="28"/>
        </w:rPr>
        <w:t>girls</w:t>
      </w:r>
      <w:r w:rsidRPr="00E31792">
        <w:rPr>
          <w:rFonts w:ascii="Times New Roman" w:hAnsi="Times New Roman"/>
          <w:sz w:val="28"/>
          <w:szCs w:val="28"/>
          <w:lang w:val="uk-UA"/>
        </w:rPr>
        <w:t xml:space="preserve"> </w:t>
      </w:r>
      <w:r w:rsidRPr="00E31792">
        <w:rPr>
          <w:rFonts w:ascii="Times New Roman" w:hAnsi="Times New Roman"/>
          <w:sz w:val="28"/>
          <w:szCs w:val="28"/>
        </w:rPr>
        <w:t>with</w:t>
      </w:r>
      <w:r w:rsidRPr="00E31792">
        <w:rPr>
          <w:rFonts w:ascii="Times New Roman" w:hAnsi="Times New Roman"/>
          <w:sz w:val="28"/>
          <w:szCs w:val="28"/>
          <w:lang w:val="uk-UA"/>
        </w:rPr>
        <w:t xml:space="preserve"> </w:t>
      </w:r>
      <w:r w:rsidRPr="00E31792">
        <w:rPr>
          <w:rFonts w:ascii="Times New Roman" w:hAnsi="Times New Roman"/>
          <w:sz w:val="28"/>
          <w:szCs w:val="28"/>
        </w:rPr>
        <w:t>menstrual</w:t>
      </w:r>
      <w:r w:rsidRPr="00E31792">
        <w:rPr>
          <w:rFonts w:ascii="Times New Roman" w:hAnsi="Times New Roman"/>
          <w:sz w:val="28"/>
          <w:szCs w:val="28"/>
          <w:lang w:val="uk-UA"/>
        </w:rPr>
        <w:t xml:space="preserve"> </w:t>
      </w:r>
      <w:r w:rsidRPr="00E31792">
        <w:rPr>
          <w:rFonts w:ascii="Times New Roman" w:hAnsi="Times New Roman"/>
          <w:sz w:val="28"/>
          <w:szCs w:val="28"/>
        </w:rPr>
        <w:t>dysfunction</w:t>
      </w:r>
      <w:r w:rsidRPr="00E31792">
        <w:rPr>
          <w:rFonts w:ascii="Times New Roman" w:hAnsi="Times New Roman"/>
          <w:sz w:val="28"/>
          <w:szCs w:val="28"/>
          <w:lang w:val="uk-UA"/>
        </w:rPr>
        <w:t xml:space="preserve"> / </w:t>
      </w:r>
      <w:r w:rsidRPr="00E31792">
        <w:rPr>
          <w:rFonts w:ascii="Times New Roman" w:hAnsi="Times New Roman"/>
          <w:sz w:val="28"/>
          <w:szCs w:val="28"/>
        </w:rPr>
        <w:t>Ye</w:t>
      </w:r>
      <w:r w:rsidRPr="00E31792">
        <w:rPr>
          <w:rFonts w:ascii="Times New Roman" w:hAnsi="Times New Roman"/>
          <w:sz w:val="28"/>
          <w:szCs w:val="28"/>
          <w:lang w:val="uk-UA"/>
        </w:rPr>
        <w:t>.</w:t>
      </w:r>
      <w:r w:rsidRPr="00E31792">
        <w:rPr>
          <w:rFonts w:ascii="Times New Roman" w:hAnsi="Times New Roman"/>
          <w:sz w:val="28"/>
          <w:szCs w:val="28"/>
        </w:rPr>
        <w:t>O</w:t>
      </w:r>
      <w:r w:rsidRPr="00E31792">
        <w:rPr>
          <w:rFonts w:ascii="Times New Roman" w:hAnsi="Times New Roman"/>
          <w:sz w:val="28"/>
          <w:szCs w:val="28"/>
          <w:lang w:val="uk-UA"/>
        </w:rPr>
        <w:t>.</w:t>
      </w:r>
      <w:r w:rsidRPr="00E31792">
        <w:rPr>
          <w:rFonts w:ascii="Times New Roman" w:hAnsi="Times New Roman"/>
          <w:sz w:val="28"/>
          <w:szCs w:val="28"/>
        </w:rPr>
        <w:t>Kliuchka</w:t>
      </w:r>
      <w:r w:rsidRPr="00E31792">
        <w:rPr>
          <w:rFonts w:ascii="Times New Roman" w:hAnsi="Times New Roman"/>
          <w:sz w:val="28"/>
          <w:szCs w:val="28"/>
          <w:lang w:val="uk-UA"/>
        </w:rPr>
        <w:t xml:space="preserve"> // 11</w:t>
      </w:r>
      <w:r w:rsidRPr="00E31792">
        <w:rPr>
          <w:rFonts w:ascii="Times New Roman" w:hAnsi="Times New Roman"/>
          <w:sz w:val="28"/>
          <w:szCs w:val="28"/>
          <w:vertAlign w:val="superscript"/>
        </w:rPr>
        <w:t>th</w:t>
      </w:r>
      <w:r w:rsidRPr="00E31792">
        <w:rPr>
          <w:rFonts w:ascii="Times New Roman" w:hAnsi="Times New Roman"/>
          <w:sz w:val="28"/>
          <w:szCs w:val="28"/>
          <w:lang w:val="uk-UA"/>
        </w:rPr>
        <w:t xml:space="preserve"> </w:t>
      </w:r>
      <w:r w:rsidRPr="00E31792">
        <w:rPr>
          <w:rFonts w:ascii="Times New Roman" w:hAnsi="Times New Roman"/>
          <w:sz w:val="28"/>
          <w:szCs w:val="28"/>
        </w:rPr>
        <w:t>international</w:t>
      </w:r>
      <w:r w:rsidRPr="00E31792">
        <w:rPr>
          <w:rFonts w:ascii="Times New Roman" w:hAnsi="Times New Roman"/>
          <w:sz w:val="28"/>
          <w:szCs w:val="28"/>
          <w:lang w:val="uk-UA"/>
        </w:rPr>
        <w:t xml:space="preserve"> </w:t>
      </w:r>
      <w:r w:rsidRPr="00E31792">
        <w:rPr>
          <w:rFonts w:ascii="Times New Roman" w:hAnsi="Times New Roman"/>
          <w:sz w:val="28"/>
          <w:szCs w:val="28"/>
        </w:rPr>
        <w:t>scientific</w:t>
      </w:r>
      <w:r w:rsidRPr="00E31792">
        <w:rPr>
          <w:rFonts w:ascii="Times New Roman" w:hAnsi="Times New Roman"/>
          <w:sz w:val="28"/>
          <w:szCs w:val="28"/>
          <w:lang w:val="uk-UA"/>
        </w:rPr>
        <w:t xml:space="preserve"> </w:t>
      </w:r>
      <w:r w:rsidRPr="00E31792">
        <w:rPr>
          <w:rFonts w:ascii="Times New Roman" w:hAnsi="Times New Roman"/>
          <w:sz w:val="28"/>
          <w:szCs w:val="28"/>
        </w:rPr>
        <w:t>interdisciplinary</w:t>
      </w:r>
      <w:r w:rsidRPr="00E31792">
        <w:rPr>
          <w:rFonts w:ascii="Times New Roman" w:hAnsi="Times New Roman"/>
          <w:sz w:val="28"/>
          <w:szCs w:val="28"/>
          <w:lang w:val="uk-UA"/>
        </w:rPr>
        <w:t xml:space="preserve"> </w:t>
      </w:r>
      <w:r w:rsidRPr="00E31792">
        <w:rPr>
          <w:rFonts w:ascii="Times New Roman" w:hAnsi="Times New Roman"/>
          <w:sz w:val="28"/>
          <w:szCs w:val="28"/>
        </w:rPr>
        <w:t>conference</w:t>
      </w:r>
      <w:r w:rsidRPr="00E31792">
        <w:rPr>
          <w:rFonts w:ascii="Times New Roman" w:hAnsi="Times New Roman"/>
          <w:sz w:val="28"/>
          <w:szCs w:val="28"/>
          <w:lang w:val="uk-UA"/>
        </w:rPr>
        <w:t xml:space="preserve"> </w:t>
      </w:r>
      <w:r w:rsidRPr="00E31792">
        <w:rPr>
          <w:rFonts w:ascii="Times New Roman" w:hAnsi="Times New Roman"/>
          <w:sz w:val="28"/>
          <w:szCs w:val="28"/>
        </w:rPr>
        <w:t>for</w:t>
      </w:r>
      <w:r w:rsidRPr="00E31792">
        <w:rPr>
          <w:rFonts w:ascii="Times New Roman" w:hAnsi="Times New Roman"/>
          <w:sz w:val="28"/>
          <w:szCs w:val="28"/>
          <w:lang w:val="uk-UA"/>
        </w:rPr>
        <w:t xml:space="preserve"> </w:t>
      </w:r>
      <w:r w:rsidRPr="00E31792">
        <w:rPr>
          <w:rFonts w:ascii="Times New Roman" w:hAnsi="Times New Roman"/>
          <w:sz w:val="28"/>
          <w:szCs w:val="28"/>
        </w:rPr>
        <w:t>medical</w:t>
      </w:r>
      <w:r w:rsidRPr="00E31792">
        <w:rPr>
          <w:rFonts w:ascii="Times New Roman" w:hAnsi="Times New Roman"/>
          <w:sz w:val="28"/>
          <w:szCs w:val="28"/>
          <w:lang w:val="uk-UA"/>
        </w:rPr>
        <w:t xml:space="preserve"> </w:t>
      </w:r>
      <w:r w:rsidRPr="00E31792">
        <w:rPr>
          <w:rFonts w:ascii="Times New Roman" w:hAnsi="Times New Roman"/>
          <w:sz w:val="28"/>
          <w:szCs w:val="28"/>
        </w:rPr>
        <w:t>students</w:t>
      </w:r>
      <w:r w:rsidRPr="00E31792">
        <w:rPr>
          <w:rFonts w:ascii="Times New Roman" w:hAnsi="Times New Roman"/>
          <w:sz w:val="28"/>
          <w:szCs w:val="28"/>
          <w:lang w:val="uk-UA"/>
        </w:rPr>
        <w:t xml:space="preserve"> </w:t>
      </w:r>
      <w:r w:rsidRPr="00E31792">
        <w:rPr>
          <w:rFonts w:ascii="Times New Roman" w:hAnsi="Times New Roman"/>
          <w:sz w:val="28"/>
          <w:szCs w:val="28"/>
        </w:rPr>
        <w:t>and</w:t>
      </w:r>
      <w:r w:rsidRPr="00E31792">
        <w:rPr>
          <w:rFonts w:ascii="Times New Roman" w:hAnsi="Times New Roman"/>
          <w:sz w:val="28"/>
          <w:szCs w:val="28"/>
          <w:lang w:val="uk-UA"/>
        </w:rPr>
        <w:t xml:space="preserve"> </w:t>
      </w:r>
      <w:r w:rsidRPr="00E31792">
        <w:rPr>
          <w:rFonts w:ascii="Times New Roman" w:hAnsi="Times New Roman"/>
          <w:sz w:val="28"/>
          <w:szCs w:val="28"/>
        </w:rPr>
        <w:t>young</w:t>
      </w:r>
      <w:r w:rsidRPr="00E31792">
        <w:rPr>
          <w:rFonts w:ascii="Times New Roman" w:hAnsi="Times New Roman"/>
          <w:sz w:val="28"/>
          <w:szCs w:val="28"/>
          <w:lang w:val="uk-UA"/>
        </w:rPr>
        <w:t xml:space="preserve"> </w:t>
      </w:r>
      <w:r w:rsidRPr="00E31792">
        <w:rPr>
          <w:rFonts w:ascii="Times New Roman" w:hAnsi="Times New Roman"/>
          <w:sz w:val="28"/>
          <w:szCs w:val="28"/>
        </w:rPr>
        <w:t>scientists</w:t>
      </w:r>
      <w:r w:rsidRPr="00E31792">
        <w:rPr>
          <w:rFonts w:ascii="Times New Roman" w:hAnsi="Times New Roman"/>
          <w:sz w:val="28"/>
          <w:szCs w:val="28"/>
          <w:lang w:val="uk-UA"/>
        </w:rPr>
        <w:t xml:space="preserve">: </w:t>
      </w:r>
      <w:r w:rsidRPr="00E31792">
        <w:rPr>
          <w:rFonts w:ascii="Times New Roman" w:hAnsi="Times New Roman"/>
          <w:sz w:val="28"/>
          <w:szCs w:val="28"/>
        </w:rPr>
        <w:t>abstract</w:t>
      </w:r>
      <w:r w:rsidRPr="00E31792">
        <w:rPr>
          <w:rFonts w:ascii="Times New Roman" w:hAnsi="Times New Roman"/>
          <w:sz w:val="28"/>
          <w:szCs w:val="28"/>
          <w:lang w:val="uk-UA"/>
        </w:rPr>
        <w:t xml:space="preserve"> </w:t>
      </w:r>
      <w:r w:rsidRPr="00E31792">
        <w:rPr>
          <w:rFonts w:ascii="Times New Roman" w:hAnsi="Times New Roman"/>
          <w:sz w:val="28"/>
          <w:szCs w:val="28"/>
        </w:rPr>
        <w:t>book</w:t>
      </w:r>
      <w:r w:rsidRPr="00E31792">
        <w:rPr>
          <w:rFonts w:ascii="Times New Roman" w:hAnsi="Times New Roman"/>
          <w:sz w:val="28"/>
          <w:szCs w:val="28"/>
          <w:lang w:val="uk-UA"/>
        </w:rPr>
        <w:t xml:space="preserve">, </w:t>
      </w:r>
      <w:r w:rsidRPr="00E31792">
        <w:rPr>
          <w:rFonts w:ascii="Times New Roman" w:hAnsi="Times New Roman"/>
          <w:sz w:val="28"/>
          <w:szCs w:val="28"/>
        </w:rPr>
        <w:t>Kharkiv</w:t>
      </w:r>
      <w:r w:rsidRPr="00E31792">
        <w:rPr>
          <w:rFonts w:ascii="Times New Roman" w:hAnsi="Times New Roman"/>
          <w:sz w:val="28"/>
          <w:szCs w:val="28"/>
          <w:lang w:val="uk-UA"/>
        </w:rPr>
        <w:t xml:space="preserve">, 2018/ </w:t>
      </w:r>
      <w:r w:rsidRPr="00E31792">
        <w:rPr>
          <w:rFonts w:ascii="Times New Roman" w:hAnsi="Times New Roman"/>
          <w:sz w:val="28"/>
          <w:szCs w:val="28"/>
        </w:rPr>
        <w:t>KhNMU</w:t>
      </w:r>
      <w:r w:rsidRPr="00E31792">
        <w:rPr>
          <w:rFonts w:ascii="Times New Roman" w:hAnsi="Times New Roman"/>
          <w:sz w:val="28"/>
          <w:szCs w:val="28"/>
          <w:lang w:val="uk-UA"/>
        </w:rPr>
        <w:t xml:space="preserve">. – </w:t>
      </w:r>
      <w:r w:rsidRPr="00E31792">
        <w:rPr>
          <w:rFonts w:ascii="Times New Roman" w:hAnsi="Times New Roman"/>
          <w:sz w:val="28"/>
          <w:szCs w:val="28"/>
        </w:rPr>
        <w:t>Kharkiv</w:t>
      </w:r>
      <w:r w:rsidRPr="00E31792">
        <w:rPr>
          <w:rFonts w:ascii="Times New Roman" w:hAnsi="Times New Roman"/>
          <w:sz w:val="28"/>
          <w:szCs w:val="28"/>
          <w:lang w:val="uk-UA"/>
        </w:rPr>
        <w:t xml:space="preserve">, 2018. – </w:t>
      </w:r>
      <w:r w:rsidRPr="00E31792">
        <w:rPr>
          <w:rFonts w:ascii="Times New Roman" w:hAnsi="Times New Roman"/>
          <w:sz w:val="28"/>
          <w:szCs w:val="28"/>
        </w:rPr>
        <w:t>P</w:t>
      </w:r>
      <w:r w:rsidRPr="00E31792">
        <w:rPr>
          <w:rFonts w:ascii="Times New Roman" w:hAnsi="Times New Roman"/>
          <w:sz w:val="28"/>
          <w:szCs w:val="28"/>
          <w:lang w:val="uk-UA"/>
        </w:rPr>
        <w:t>. 260-261</w:t>
      </w:r>
    </w:p>
    <w:p w:rsidR="00282D41" w:rsidRPr="00251EA6" w:rsidRDefault="00282D41" w:rsidP="00B066D9">
      <w:pPr>
        <w:numPr>
          <w:ilvl w:val="0"/>
          <w:numId w:val="44"/>
        </w:numPr>
        <w:spacing w:before="100" w:beforeAutospacing="1" w:after="100" w:afterAutospacing="1" w:line="360" w:lineRule="auto"/>
        <w:ind w:left="0" w:firstLine="709"/>
        <w:jc w:val="both"/>
        <w:rPr>
          <w:rFonts w:ascii="Times New Roman" w:hAnsi="Times New Roman"/>
          <w:color w:val="000000"/>
          <w:sz w:val="28"/>
          <w:szCs w:val="28"/>
          <w:lang w:val="uk-UA" w:eastAsia="ru-RU" w:bidi="ar-SA"/>
        </w:rPr>
      </w:pPr>
      <w:r w:rsidRPr="00E31792">
        <w:rPr>
          <w:rFonts w:ascii="Times New Roman" w:hAnsi="Times New Roman"/>
          <w:sz w:val="28"/>
          <w:szCs w:val="28"/>
          <w:lang w:val="uk-UA"/>
        </w:rPr>
        <w:t>Ключка Є.О. Визначення груп ризику розвитку запальних захворювань пародонта у дівчат-підлітків з порушенням менструальної функції/ Є.О.Ключка // Збірник тез міжвузівської конференції молодих вчених та студентів «Медицина третього тисячоліття».  - Харків, 2019. – с.289-290.</w:t>
      </w:r>
    </w:p>
    <w:p w:rsidR="00251EA6" w:rsidRPr="00E31792" w:rsidRDefault="00251EA6" w:rsidP="00251EA6">
      <w:pPr>
        <w:spacing w:before="100" w:beforeAutospacing="1" w:after="100" w:afterAutospacing="1" w:line="360" w:lineRule="auto"/>
        <w:ind w:left="709"/>
        <w:jc w:val="both"/>
        <w:rPr>
          <w:rFonts w:ascii="Times New Roman" w:hAnsi="Times New Roman"/>
          <w:color w:val="000000"/>
          <w:sz w:val="28"/>
          <w:szCs w:val="28"/>
          <w:lang w:val="uk-UA" w:eastAsia="ru-RU" w:bidi="ar-SA"/>
        </w:rPr>
      </w:pPr>
      <w:r>
        <w:rPr>
          <w:rFonts w:ascii="Times New Roman" w:hAnsi="Times New Roman"/>
          <w:sz w:val="28"/>
          <w:szCs w:val="28"/>
          <w:lang w:val="uk-UA"/>
        </w:rPr>
        <w:lastRenderedPageBreak/>
        <w:t xml:space="preserve">ІІІ. </w:t>
      </w:r>
      <w:r w:rsidR="00B066D9">
        <w:rPr>
          <w:rFonts w:ascii="Times New Roman" w:hAnsi="Times New Roman"/>
          <w:sz w:val="28"/>
          <w:szCs w:val="28"/>
          <w:lang w:val="uk-UA"/>
        </w:rPr>
        <w:t>Видання, які додатково відобража</w:t>
      </w:r>
      <w:r>
        <w:rPr>
          <w:rFonts w:ascii="Times New Roman" w:hAnsi="Times New Roman"/>
          <w:sz w:val="28"/>
          <w:szCs w:val="28"/>
          <w:lang w:val="uk-UA"/>
        </w:rPr>
        <w:t>ють  наукові результати дисертації:</w:t>
      </w:r>
    </w:p>
    <w:p w:rsidR="00282D41" w:rsidRPr="00E31792" w:rsidRDefault="00282D41" w:rsidP="00B066D9">
      <w:pPr>
        <w:numPr>
          <w:ilvl w:val="0"/>
          <w:numId w:val="45"/>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Патент на корисну модель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1259</w:t>
      </w:r>
      <w:r>
        <w:rPr>
          <w:rFonts w:ascii="Times New Roman" w:hAnsi="Times New Roman"/>
          <w:color w:val="000000"/>
          <w:sz w:val="28"/>
          <w:szCs w:val="28"/>
          <w:lang w:val="ru-RU" w:eastAsia="ru-RU" w:bidi="ar-SA"/>
        </w:rPr>
        <w:t xml:space="preserve">94. </w:t>
      </w:r>
      <w:r w:rsidRPr="00761003">
        <w:rPr>
          <w:rFonts w:ascii="Times New Roman" w:hAnsi="Times New Roman"/>
          <w:color w:val="000000"/>
          <w:sz w:val="28"/>
          <w:szCs w:val="28"/>
          <w:lang w:val="ru-RU" w:eastAsia="ru-RU" w:bidi="ar-SA"/>
        </w:rPr>
        <w:t>Спосіб профілактики запальних захворювань тканин пародонта у дівчат-підлітків з порушенням менструальної функції</w:t>
      </w:r>
      <w:r>
        <w:rPr>
          <w:rFonts w:ascii="Times New Roman" w:hAnsi="Times New Roman"/>
          <w:color w:val="000000"/>
          <w:sz w:val="28"/>
          <w:szCs w:val="28"/>
          <w:lang w:val="ru-RU" w:eastAsia="ru-RU" w:bidi="ar-SA"/>
        </w:rPr>
        <w:t xml:space="preserve"> / Є. О. </w:t>
      </w:r>
      <w:r w:rsidRPr="00761003">
        <w:rPr>
          <w:rFonts w:ascii="Times New Roman" w:hAnsi="Times New Roman"/>
          <w:color w:val="000000"/>
          <w:sz w:val="28"/>
          <w:szCs w:val="28"/>
          <w:lang w:val="ru-RU" w:eastAsia="ru-RU" w:bidi="ar-SA"/>
        </w:rPr>
        <w:t xml:space="preserve">Ключка, </w:t>
      </w:r>
      <w:r>
        <w:rPr>
          <w:rFonts w:ascii="Times New Roman" w:hAnsi="Times New Roman"/>
          <w:color w:val="000000"/>
          <w:sz w:val="28"/>
          <w:szCs w:val="28"/>
          <w:lang w:val="ru-RU" w:eastAsia="ru-RU" w:bidi="ar-SA"/>
        </w:rPr>
        <w:t>І. І. </w:t>
      </w:r>
      <w:r w:rsidRPr="00761003">
        <w:rPr>
          <w:rFonts w:ascii="Times New Roman" w:hAnsi="Times New Roman"/>
          <w:color w:val="000000"/>
          <w:sz w:val="28"/>
          <w:szCs w:val="28"/>
          <w:lang w:val="ru-RU" w:eastAsia="ru-RU" w:bidi="ar-SA"/>
        </w:rPr>
        <w:t xml:space="preserve">Соколова </w:t>
      </w:r>
      <w:r>
        <w:rPr>
          <w:rFonts w:ascii="Times New Roman" w:hAnsi="Times New Roman"/>
          <w:color w:val="000000"/>
          <w:sz w:val="28"/>
          <w:szCs w:val="28"/>
          <w:lang w:val="ru-RU" w:eastAsia="ru-RU" w:bidi="ar-SA"/>
        </w:rPr>
        <w:t>; патентовласник</w:t>
      </w:r>
      <w:r w:rsidRPr="00761003">
        <w:rPr>
          <w:rFonts w:ascii="Times New Roman" w:hAnsi="Times New Roman"/>
          <w:color w:val="000000"/>
          <w:sz w:val="28"/>
          <w:szCs w:val="28"/>
          <w:lang w:val="ru-RU" w:eastAsia="ru-RU" w:bidi="ar-SA"/>
        </w:rPr>
        <w:t xml:space="preserve"> </w:t>
      </w:r>
      <w:r w:rsidRPr="00761003">
        <w:rPr>
          <w:rFonts w:ascii="Times New Roman" w:hAnsi="Times New Roman"/>
          <w:sz w:val="28"/>
          <w:szCs w:val="28"/>
          <w:lang w:val="uk-UA"/>
        </w:rPr>
        <w:t xml:space="preserve">Харківський національний медичний університет (UA). </w:t>
      </w:r>
      <w:r>
        <w:rPr>
          <w:rFonts w:ascii="Times New Roman" w:hAnsi="Times New Roman"/>
          <w:sz w:val="28"/>
          <w:szCs w:val="28"/>
          <w:lang w:val="uk-UA"/>
        </w:rPr>
        <w:t>–</w:t>
      </w:r>
      <w:r w:rsidRPr="00761003">
        <w:rPr>
          <w:rFonts w:ascii="Times New Roman" w:hAnsi="Times New Roman"/>
          <w:sz w:val="28"/>
          <w:szCs w:val="28"/>
          <w:lang w:val="uk-UA"/>
        </w:rPr>
        <w:t xml:space="preserve"> №</w:t>
      </w:r>
      <w:r>
        <w:rPr>
          <w:rFonts w:ascii="Times New Roman" w:hAnsi="Times New Roman"/>
          <w:sz w:val="28"/>
          <w:szCs w:val="28"/>
          <w:lang w:val="uk-UA"/>
        </w:rPr>
        <w:t> </w:t>
      </w:r>
      <w:r w:rsidRPr="00761003">
        <w:rPr>
          <w:rFonts w:ascii="Times New Roman" w:hAnsi="Times New Roman"/>
          <w:sz w:val="28"/>
          <w:szCs w:val="28"/>
        </w:rPr>
        <w:t>u</w:t>
      </w:r>
      <w:r w:rsidRPr="00761003">
        <w:rPr>
          <w:rFonts w:ascii="Times New Roman" w:hAnsi="Times New Roman"/>
          <w:sz w:val="28"/>
          <w:szCs w:val="28"/>
          <w:lang w:val="uk-UA"/>
        </w:rPr>
        <w:t>201801287</w:t>
      </w:r>
      <w:r>
        <w:rPr>
          <w:rFonts w:ascii="Times New Roman" w:hAnsi="Times New Roman"/>
          <w:sz w:val="28"/>
          <w:szCs w:val="28"/>
          <w:lang w:val="uk-UA"/>
        </w:rPr>
        <w:t xml:space="preserve"> ; з</w:t>
      </w:r>
      <w:r w:rsidRPr="00761003">
        <w:rPr>
          <w:rFonts w:ascii="Times New Roman" w:hAnsi="Times New Roman"/>
          <w:sz w:val="28"/>
          <w:szCs w:val="28"/>
          <w:lang w:val="uk-UA"/>
        </w:rPr>
        <w:t>аявл. 09.02.2018</w:t>
      </w:r>
      <w:r>
        <w:rPr>
          <w:rFonts w:ascii="Times New Roman" w:hAnsi="Times New Roman"/>
          <w:sz w:val="28"/>
          <w:szCs w:val="28"/>
          <w:lang w:val="uk-UA"/>
        </w:rPr>
        <w:t xml:space="preserve"> ; о</w:t>
      </w:r>
      <w:r w:rsidRPr="00761003">
        <w:rPr>
          <w:rFonts w:ascii="Times New Roman" w:hAnsi="Times New Roman"/>
          <w:sz w:val="28"/>
          <w:szCs w:val="28"/>
          <w:lang w:val="uk-UA"/>
        </w:rPr>
        <w:t xml:space="preserve">публ. </w:t>
      </w:r>
      <w:r>
        <w:rPr>
          <w:rFonts w:ascii="Times New Roman" w:hAnsi="Times New Roman"/>
          <w:sz w:val="28"/>
          <w:szCs w:val="28"/>
          <w:lang w:val="uk-UA"/>
        </w:rPr>
        <w:t>25.05.2018, Б</w:t>
      </w:r>
      <w:r w:rsidRPr="00761003">
        <w:rPr>
          <w:rFonts w:ascii="Times New Roman" w:hAnsi="Times New Roman"/>
          <w:sz w:val="28"/>
          <w:szCs w:val="28"/>
          <w:lang w:val="uk-UA"/>
        </w:rPr>
        <w:t>юл. №</w:t>
      </w:r>
      <w:r>
        <w:rPr>
          <w:rFonts w:ascii="Times New Roman" w:hAnsi="Times New Roman"/>
          <w:sz w:val="28"/>
          <w:szCs w:val="28"/>
          <w:lang w:val="uk-UA"/>
        </w:rPr>
        <w:t> </w:t>
      </w:r>
      <w:r w:rsidRPr="00761003">
        <w:rPr>
          <w:rFonts w:ascii="Times New Roman" w:hAnsi="Times New Roman"/>
          <w:sz w:val="28"/>
          <w:szCs w:val="28"/>
          <w:lang w:val="uk-UA"/>
        </w:rPr>
        <w:t>10/2018.</w:t>
      </w:r>
      <w:r>
        <w:rPr>
          <w:rFonts w:ascii="Times New Roman" w:hAnsi="Times New Roman"/>
          <w:sz w:val="28"/>
          <w:szCs w:val="28"/>
          <w:lang w:val="uk-UA"/>
        </w:rPr>
        <w:t xml:space="preserve"> </w:t>
      </w:r>
    </w:p>
    <w:p w:rsidR="004651D9" w:rsidRPr="004651D9" w:rsidRDefault="004651D9" w:rsidP="005C1EA2">
      <w:pPr>
        <w:spacing w:line="360" w:lineRule="auto"/>
        <w:ind w:firstLine="709"/>
        <w:jc w:val="both"/>
        <w:rPr>
          <w:rFonts w:ascii="Times New Roman" w:hAnsi="Times New Roman"/>
          <w:sz w:val="28"/>
          <w:szCs w:val="28"/>
          <w:lang w:val="ru-RU"/>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282D41" w:rsidRDefault="00282D41"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36B09" w:rsidRDefault="00836B09" w:rsidP="005C1EA2">
      <w:pPr>
        <w:spacing w:line="360" w:lineRule="auto"/>
        <w:ind w:firstLine="709"/>
        <w:jc w:val="both"/>
        <w:rPr>
          <w:rFonts w:ascii="Times New Roman" w:hAnsi="Times New Roman"/>
          <w:sz w:val="28"/>
          <w:szCs w:val="28"/>
          <w:lang w:val="uk-UA"/>
        </w:rPr>
      </w:pPr>
    </w:p>
    <w:p w:rsidR="008B4203" w:rsidRPr="001F7EB3" w:rsidRDefault="009252D8"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lastRenderedPageBreak/>
        <w:t>Annotation</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1F7EB3">
        <w:rPr>
          <w:rFonts w:ascii="Times New Roman" w:hAnsi="Times New Roman" w:cs="Times New Roman"/>
          <w:sz w:val="28"/>
          <w:szCs w:val="28"/>
          <w:lang w:val="uk-UA"/>
        </w:rPr>
        <w:t>Kl</w:t>
      </w:r>
      <w:r w:rsidRPr="001F7EB3">
        <w:rPr>
          <w:rFonts w:ascii="Times New Roman" w:hAnsi="Times New Roman" w:cs="Times New Roman"/>
          <w:sz w:val="28"/>
          <w:szCs w:val="28"/>
          <w:lang w:val="en-US"/>
        </w:rPr>
        <w:t>i</w:t>
      </w:r>
      <w:r w:rsidRPr="001F7EB3">
        <w:rPr>
          <w:rFonts w:ascii="Times New Roman" w:hAnsi="Times New Roman" w:cs="Times New Roman"/>
          <w:sz w:val="28"/>
          <w:szCs w:val="28"/>
          <w:lang w:val="uk-UA"/>
        </w:rPr>
        <w:t xml:space="preserve">uchka </w:t>
      </w:r>
      <w:r w:rsidRPr="001F7EB3">
        <w:rPr>
          <w:rFonts w:ascii="Times New Roman" w:hAnsi="Times New Roman" w:cs="Times New Roman"/>
          <w:sz w:val="28"/>
          <w:szCs w:val="28"/>
          <w:lang w:val="en-US"/>
        </w:rPr>
        <w:t>Ye</w:t>
      </w:r>
      <w:r w:rsidRPr="001F7EB3">
        <w:rPr>
          <w:rFonts w:ascii="Times New Roman" w:hAnsi="Times New Roman" w:cs="Times New Roman"/>
          <w:sz w:val="28"/>
          <w:szCs w:val="28"/>
          <w:lang w:val="uk-UA"/>
        </w:rPr>
        <w:t>.</w:t>
      </w:r>
      <w:r w:rsidRPr="001F7EB3">
        <w:rPr>
          <w:rFonts w:ascii="Times New Roman" w:hAnsi="Times New Roman" w:cs="Times New Roman"/>
          <w:sz w:val="28"/>
          <w:szCs w:val="28"/>
          <w:lang w:val="en-US"/>
        </w:rPr>
        <w:t>O</w:t>
      </w:r>
      <w:r w:rsidRPr="001F7EB3">
        <w:rPr>
          <w:rFonts w:ascii="Times New Roman" w:hAnsi="Times New Roman" w:cs="Times New Roman"/>
          <w:sz w:val="28"/>
          <w:szCs w:val="28"/>
          <w:lang w:val="uk-UA"/>
        </w:rPr>
        <w:t>. Features of the course, prognosis and prevention of inflammatory p</w:t>
      </w:r>
      <w:r w:rsidRPr="001F7EB3">
        <w:rPr>
          <w:rFonts w:ascii="Times New Roman" w:hAnsi="Times New Roman" w:cs="Times New Roman"/>
          <w:sz w:val="28"/>
          <w:szCs w:val="28"/>
          <w:lang w:val="en-US"/>
        </w:rPr>
        <w:t>ar</w:t>
      </w:r>
      <w:r w:rsidRPr="001F7EB3">
        <w:rPr>
          <w:rFonts w:ascii="Times New Roman" w:hAnsi="Times New Roman" w:cs="Times New Roman"/>
          <w:sz w:val="28"/>
          <w:szCs w:val="28"/>
          <w:lang w:val="uk-UA"/>
        </w:rPr>
        <w:t xml:space="preserve">odontal diseases in adolescent girls with menstrual dysfunction. - </w:t>
      </w:r>
      <w:r w:rsidRPr="00BE7C02">
        <w:rPr>
          <w:rFonts w:ascii="Times New Roman" w:hAnsi="Times New Roman" w:cs="Times New Roman"/>
          <w:color w:val="212121"/>
          <w:sz w:val="28"/>
          <w:szCs w:val="28"/>
          <w:lang w:val="en-US"/>
        </w:rPr>
        <w:t>Qualifying scientific work on the rights of manuscripts.</w:t>
      </w:r>
    </w:p>
    <w:p w:rsidR="008B4203" w:rsidRDefault="008B4203" w:rsidP="005C1EA2">
      <w:pPr>
        <w:spacing w:line="360" w:lineRule="auto"/>
        <w:ind w:firstLine="709"/>
        <w:jc w:val="both"/>
        <w:rPr>
          <w:rFonts w:ascii="Times New Roman" w:hAnsi="Times New Roman"/>
          <w:sz w:val="28"/>
          <w:szCs w:val="28"/>
          <w:lang w:val="uk-UA"/>
        </w:rPr>
      </w:pPr>
      <w:r w:rsidRPr="001F7EB3">
        <w:rPr>
          <w:rFonts w:ascii="Times New Roman" w:hAnsi="Times New Roman"/>
          <w:sz w:val="28"/>
          <w:szCs w:val="28"/>
          <w:lang w:val="uk-UA"/>
        </w:rPr>
        <w:t xml:space="preserve">Thesis for the degree of candidate of medical sciences in specialty 14.01.22 - </w:t>
      </w:r>
      <w:r w:rsidRPr="001F7EB3">
        <w:rPr>
          <w:rFonts w:ascii="Times New Roman" w:hAnsi="Times New Roman"/>
          <w:sz w:val="28"/>
          <w:szCs w:val="28"/>
        </w:rPr>
        <w:t>Dentistry</w:t>
      </w:r>
      <w:r w:rsidRPr="001F7EB3">
        <w:rPr>
          <w:rFonts w:ascii="Times New Roman" w:hAnsi="Times New Roman"/>
          <w:sz w:val="28"/>
          <w:szCs w:val="28"/>
          <w:lang w:val="uk-UA"/>
        </w:rPr>
        <w:t>. - Khark</w:t>
      </w:r>
      <w:r w:rsidRPr="001F7EB3">
        <w:rPr>
          <w:rFonts w:ascii="Times New Roman" w:hAnsi="Times New Roman"/>
          <w:sz w:val="28"/>
          <w:szCs w:val="28"/>
        </w:rPr>
        <w:t>i</w:t>
      </w:r>
      <w:r w:rsidRPr="001F7EB3">
        <w:rPr>
          <w:rFonts w:ascii="Times New Roman" w:hAnsi="Times New Roman"/>
          <w:sz w:val="28"/>
          <w:szCs w:val="28"/>
          <w:lang w:val="uk-UA"/>
        </w:rPr>
        <w:t>v National Medical University</w:t>
      </w:r>
      <w:r w:rsidRPr="001F7EB3">
        <w:rPr>
          <w:rFonts w:ascii="Times New Roman" w:hAnsi="Times New Roman"/>
          <w:sz w:val="28"/>
          <w:szCs w:val="28"/>
        </w:rPr>
        <w:t>, Ministry of Health of Ukraine, Kharkiv, 2019.</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dissertation presents clinical-statistical analysis of the results of  comprehensive diagnostics of 110 adolescent girls aged 12 to 17 years with menstrual dysfunction (MD) and the presence of inflammatory parodontal diseases (IPD).</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main task was to increase the effectiveness of IPD prevention in adolescent girls with menstrual dysfunction by studying the state of parodontal tissues, factors that determine the development and nature of their course, the development of predictors and justification on this basis of the system of individualized prevention.</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Adolescents were divided into three groups. The main group consisted of 50 adolescent girls with menstrual dysfunction and the presence of inflammatory parodontal diseases.</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first control group included 30 adolescent girls without menstrual dysfunction and with the presence of inflammatory periodontal disease.</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second control group consisted of 30 adolescent girls with menstrual dysfunction and intact parodontium. The average age of the main group was 15.9 ± 1.5 years, the 1st control 15.3 ± 1.8 and the 2nd control 15.2 ± 1.9 years.</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complex examination of patients included the collection of complaints, anamnesis of the disease, anamnesis of life, obstetric history, family history of parents and ancestors, determining the way of life and harmful habits of adolescents, objective study of dental status and additional research methods.</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 xml:space="preserve">In the clinical examination of parodontal tissues, the condition of oral hygiene was assessed using the Fedorov-Volodkin's (1971) hygiene indices and the Green-Vermilion (1960) simplified index. The severity and prevalence of inflammatory processes in the parodontium were determined using the papillary-marginal-alveolar </w:t>
      </w:r>
      <w:r w:rsidRPr="00BE7C02">
        <w:rPr>
          <w:rFonts w:ascii="Times New Roman" w:hAnsi="Times New Roman" w:cs="Times New Roman"/>
          <w:color w:val="212121"/>
          <w:sz w:val="28"/>
          <w:szCs w:val="28"/>
          <w:lang w:val="en-US"/>
        </w:rPr>
        <w:lastRenderedPageBreak/>
        <w:t>PMA index in Parma modification(1960) and the papillary bleeding index of Mühlemann-Saxer (1975).</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Cytological examination of gum prints included counting the number of epithelial and connective tissue cells: polymorphonuclear leukocytes, intact monocytes and glandular monocytes.</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Mineral density of periodontal bone tissue was studied using densitometry, as well as determination of total calcium content in the oral liquid.</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 xml:space="preserve">Dysbiosis of the oral cavity was shown by the enzymatic method by Levitsky AP. </w:t>
      </w:r>
      <w:r w:rsidRPr="00374439">
        <w:rPr>
          <w:rFonts w:ascii="Times New Roman" w:hAnsi="Times New Roman" w:cs="Times New Roman"/>
          <w:color w:val="212121"/>
          <w:sz w:val="28"/>
          <w:szCs w:val="28"/>
          <w:lang w:val="en-US"/>
        </w:rPr>
        <w:t xml:space="preserve">(2007). </w:t>
      </w:r>
      <w:r w:rsidRPr="00BE7C02">
        <w:rPr>
          <w:rFonts w:ascii="Times New Roman" w:hAnsi="Times New Roman" w:cs="Times New Roman"/>
          <w:color w:val="212121"/>
          <w:sz w:val="28"/>
          <w:szCs w:val="28"/>
          <w:lang w:val="en-US"/>
        </w:rPr>
        <w:t>The condition of local immunity was evaluated by the content of the sIgA oral liquid by Mancini H. (1965), and the non-specific resistance of the organism - using parameters of the cytobiophysical potential of the buccal epithelium nuclei by the method of V.G. Shakhbazov (1986).</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Statistical processing of the obtained results included the use of parametric and nonparametric statistical methods, correlation and system analysis (Zosimov AM, 1993). In developing the prediction criteria, the Wald-Genkin method (E.V.Gubler, 1978) was used.</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study of adolescents in the main and the first control group revealed differences in the structure of IPD. They consisted in the fact that in adolescents with MD chronic catarrhal gingivitis was reported 1.4 times less frequently (p &lt;0.05) than in the non-MD group. And, on the contrary, more severe forms of diseases (hypertrophic gingivitis and chronic parodontitis) were registered 3.5 times more often (p &lt;0.05) in the main group.</w:t>
      </w:r>
    </w:p>
    <w:p w:rsidR="005C1EA2"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In analyzing the severity of the course of chronic catarrhal gingivitis, it was found that its mild course was characteristic for control and in 1.9 times more often (p &lt;0,05) they found in them (57,1%) than in the main group (30%). The moderate disease progression was noted in 36.7% of patients in the control group and 1.9 times more often (p &lt;0.05) in the main group (70%). Regarding the severe course of gingivitis, the proportion of such patients in the main group was 10%, and in control 3 times less often (3.8%).</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lastRenderedPageBreak/>
        <w:t>Consequently, MD promotes the development of more severe forms of inflammatory diseases of parodontium in adolescent girls. In addition to IPD, MD negatively affects the manifestations of caries of the teeth. At the same time, the high caries intensity (DMF≥4.5) was 4 times more frequent (p &lt;0.05) in the main group (30%) than in the control (6.7%).</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Determining the state of oral hygiene of patients with the help of the Fedorov-Volodkin index and the simplified index showed that reliable differences between the groups in their values ​​are not established. This indicates that the differences in the groups in relation to the severity of the IPD are due to MD</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cytological study of smears-tissue imprints of the gums showed that in patients with the main group, in comparison with the standard (healthy), a significant reduction in the number of nucleated cells was detected in 1.4 times (p &lt;0.001), nuclear-free keratinous cells in 1.9 times (p &lt;0,001), and an increase in the number of polymorphonuclear leukocytes in 3, 5 times (p &lt;0,001), intact monocytes in 2 times (p &lt;0,001). as well as epithelial cells with vacuated cytoplasm in 5.2 times (p &lt;0.001), with deformed nucleus 4.3 times (p &lt;0.001) and contaminated by microorganisms 3.8 times (p &lt;0.001). These data indicate that the patients in the main group have a shift towards less mature cellular forms with predominance of gum epithelium in proliferative processes caused by cellular alteration, which can be regarded as manifestations of proliferative processes caused by the inflammatory process. In patients with the main group in comparison with control pathomorphological processes in general were 40% more pronounced.</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In patients with MD, moderate or significant (≤0.70 mmol / l) decreased total calcium in saliva by 2 times more often (p &lt;0.05) than in control. Along with the decrease in the mineralization function of saliva in 56.7% of patients in the main group, a moderate (≤125 D) decrease in the optical density of bone tissues and a 2.4-fold less (23.3%; p &lt;0.05) in control.</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 xml:space="preserve">In the main group, more significant than in the control, manifestations of dysbiosis of the oral cavity are detected. In this case, the moderate or severe degree of </w:t>
      </w:r>
      <w:r w:rsidRPr="00BE7C02">
        <w:rPr>
          <w:rFonts w:ascii="Times New Roman" w:hAnsi="Times New Roman" w:cs="Times New Roman"/>
          <w:color w:val="212121"/>
          <w:sz w:val="28"/>
          <w:szCs w:val="28"/>
          <w:lang w:val="en-US"/>
        </w:rPr>
        <w:lastRenderedPageBreak/>
        <w:t>dysbiosis (≥ 2.1) occurred in 86.7% of the main group and 49.9% of the control patients (p &lt;0.05).</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manifestation of dysbiosis in the oral cavity contributes to a decrease in both the local and systemic resistance of the organism. Thus, a decrease in the level of sIgA in saliva was noted in 26.7 %% of patients with control and 2 times more often (p &lt;0.05) in the main group. Along with the decrease in local protection in patients with the main group, 2 times more often (p &lt;0,05) decreased the overall resistance of the organism, which was determined by the proportion of electrophoretically moving nuclei of buccal epithelium.</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Determination of the risk factors for the development of SOP found that among the data of obstetric history in the main group compared with the control is more likely to occur: complicated pregnancy (1.5 times; p &lt;0.05); fetoplacental insufficiency (2.2 times; p &lt;0.05); gestosis of the first half of pregnancy (2 times; p &lt;0,05); delivery by caesarean section (in 2,7 times; p &lt;0,05); complicated childbirth (1.8 times; p &lt;0.05); premature infections (2.6 times; p &lt;0.05); asphyxia at birth (1.7 times; p &lt;0.05).</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study of the pathogenetic role of hereditary factors found that on the part of the mother in the main group compared with the control more often determined: MD (2 times; p &lt;0,05); diseases of the gastrointestinal tract (2,3 times; p &lt;0,05); manifestations of allergy (4.2 times; p &lt;0.05); significant (≥ 3) comorbidity of chronic pathology (6.7 times; p &lt;0.01); and the presence of periodontitis (1.8 times; p &lt;0.05).</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From the father's side, comorbidity (≥2) of chronic somatic pathology was found to be 3.5 times more frequent (p &lt;0.001) in the main group, and periodontitis was 1.6 times (p &lt;0.05).</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As for the lifestyle of adolescents, in the main group, in comparison with control, more often: tobacco smoking (1.6 times; p &lt;0,05); the advantage in the diet of fat and sharp dishes (in 1,9 times, p &lt;0,05), as well as soft food (in 3,6 times, p &lt;0,05); short-term (≤ 2 hours) staying outdoors (2.4 times; p &lt;0.05); traumatic brushing of teeth (5.5 times, p &lt;0.05) and insufficient frequency (1 time per day) of teeth cleaning (2.9 times, p &lt;0.05).</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lastRenderedPageBreak/>
        <w:t>In studying the dental status of patients, it was found that bad or very bad hygiene of the cavity was significantly more frequent (p &lt;0.001) in the main group.</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Highly high risk factors for dental caries (p &lt;0.001), the presence of anomalies of the tooth-jaw system (p &lt;0.01) and their combination (p &lt;0.001), as well as defects in the filling of teeth: the edges of hanging seals and violations closure of dental rows (p &lt;0,05).</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Among the paraclinical indicators for patients with the main group, expressed or very significant (≥ 3.1) manifestations of dysbiosis in the oral cavity were characteristic (p &lt;0.001).</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phenomena of dysbiosis contribute to the violation of local immune defense in the form of a decrease in the level of IgA in saliva. Reduction of s IgA (≤0.30 mg / l) was registered in 4.1 times more often (p &lt;0.001) in the main group.</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Along with the local, in the patients of the sowing group there was a decrease (p &lt;0.001) and total resistance of the organism, determined by the method of electrical conductivity of the buccal epithelium nuclei.</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Significant pathogenetic factor revealed a decrease in mineralization of bone sections of periodontal disease. Thus, the decrease (≤0.70 mmol / l) of total salivary saliva in the saliva was 9 times more frequent (p &lt;0.001) in the main group, and decrease in the optical density of periodontal bone units (≤130 D) was determined 4.6 times more often (p &lt;0.001) in patients with the main group than in the control group.</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Taking into account that numerical factors were involved in the pathogenesis of IPD, a systematic analysis was carried out using the method of correlation structures. It is established that the correlation structures of the pathogenetic factors of the comparable groups of patients differ in the number of bonds. Corelacin structure of the main group contains 3 times more (p &lt;0.001) bonds than in the control. Such monolithicity of the pathogenetic matrix in patients with the main group makes it resistant to sanogenetic measures.</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 xml:space="preserve">In addition, the correlation structures by 67% differ from each other by the nature of the links. Consequently, in patients with IPD in comparison with the control group, a </w:t>
      </w:r>
      <w:r w:rsidRPr="00BE7C02">
        <w:rPr>
          <w:rFonts w:ascii="Times New Roman" w:hAnsi="Times New Roman" w:cs="Times New Roman"/>
          <w:color w:val="212121"/>
          <w:sz w:val="28"/>
          <w:szCs w:val="28"/>
          <w:lang w:val="en-US"/>
        </w:rPr>
        <w:lastRenderedPageBreak/>
        <w:t>different pathogenetic matrix is ​​formed that differs both in function and in architectonic properties.</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foregoing became the basis for the development of algorithms for the forecast of development and severity of IPD. Approbation of algorithms showed that correct forecasts made 92.5%, uncertain - 6%, and false - in 1.5% of cases.</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On the basis of developed prognostic algorithms, risk groups for IPD were proposed. The basis for the formation of risk groups were combinations of prediction variants. In turn, on the basis of prognostic algorithms and risk groups, a personalized system of primary prophylaxis of IPD is proposed.</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effectiveness of the proposed system of prevention was carried out by accounting for adolescents with PMF, which in the process of diagnosis of MD developed with the use of traditional prophylaxis (n = 30) and innovative method (n = 30). The effectiveness of the prevention was carried out 6.12.18 and 24 months from the beginning.</w:t>
      </w:r>
    </w:p>
    <w:p w:rsidR="008B4203" w:rsidRPr="00BE7C02" w:rsidRDefault="008B4203" w:rsidP="005C1EA2">
      <w:pPr>
        <w:pStyle w:val="HTML"/>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The conducted researches showed that at all stages of the observation in the control there was a significantly higher (p &lt;0,05) proportion of adolescents who developed IPD. At the same time, the maximum difference was noted after 2 years of observation: in control 60%, and in the main group - 23,3% (p &lt;0,01). As for the structure of diseases, then after 24 months. From the onset of prophylaxis, only the catarrhal gingivitis is diagnosed in the basis of the group.</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In control, along with catarrhal gingivitis, 17% of patients have hypertrophic gingivitis, and 11% is localized periodontitis. When comparing the proportions of patients with catarrhal gingivitis, depending on its severity, it was established that the mild severity was almost 2 times more often diagnosed in the main group (p &lt;0,05), and the mean weight was 2,1 times more often (p &lt;0,05) in control</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In addition, in the main group, the rate of growth of the caries intensity of teeth was 3 times lower (p &lt;0,05) than in the control.</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In the case of MD, the normalization of menstrual function was observed in the 13% of adolescents and by 3 times more often (30%; p &lt;0.05) in the main group at the end of the observation.</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lastRenderedPageBreak/>
        <w:t>Thus, the use of the personalized prevention system allows, in comparison with the traditional system of prevention, to substantially neutralize the development of IPD and dental caries, and also contributes to the improvement of the effectiveness of the treatment of MD.</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r w:rsidRPr="00BE7C02">
        <w:rPr>
          <w:rFonts w:ascii="Times New Roman" w:hAnsi="Times New Roman" w:cs="Times New Roman"/>
          <w:color w:val="212121"/>
          <w:sz w:val="28"/>
          <w:szCs w:val="28"/>
          <w:lang w:val="en-US"/>
        </w:rPr>
        <w:t>Key words: adolescent girls, parodontal inflammatory diseases, menstrual dysfunction, prognosis, prevention.</w:t>
      </w: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1F7EB3"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lang w:val="en-US"/>
        </w:rPr>
      </w:pP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000000"/>
          <w:sz w:val="28"/>
          <w:szCs w:val="28"/>
        </w:rPr>
      </w:pPr>
      <w:r w:rsidRPr="001F7EB3">
        <w:rPr>
          <w:rFonts w:ascii="Times New Roman" w:hAnsi="Times New Roman" w:cs="Times New Roman"/>
          <w:color w:val="212121"/>
          <w:sz w:val="28"/>
          <w:szCs w:val="28"/>
        </w:rPr>
        <w:t>.</w:t>
      </w: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rPr>
      </w:pP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rPr>
      </w:pP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rPr>
      </w:pP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rPr>
      </w:pP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rPr>
      </w:pPr>
    </w:p>
    <w:p w:rsidR="008B4203" w:rsidRPr="00BE7C02" w:rsidRDefault="008B4203" w:rsidP="005C1EA2">
      <w:pPr>
        <w:pStyle w:val="HTML"/>
        <w:shd w:val="clear" w:color="auto" w:fill="FFFFFF"/>
        <w:spacing w:line="360" w:lineRule="auto"/>
        <w:ind w:firstLine="709"/>
        <w:jc w:val="both"/>
        <w:rPr>
          <w:rFonts w:ascii="Times New Roman" w:hAnsi="Times New Roman" w:cs="Times New Roman"/>
          <w:color w:val="212121"/>
          <w:sz w:val="28"/>
          <w:szCs w:val="28"/>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sz w:val="28"/>
          <w:szCs w:val="28"/>
          <w:lang w:val="ru-RU"/>
        </w:rPr>
      </w:pPr>
    </w:p>
    <w:p w:rsidR="008B4203" w:rsidRPr="00BE7C02" w:rsidRDefault="008B4203" w:rsidP="005C1EA2">
      <w:pPr>
        <w:spacing w:line="360" w:lineRule="auto"/>
        <w:ind w:firstLine="709"/>
        <w:jc w:val="both"/>
        <w:rPr>
          <w:rFonts w:ascii="Times New Roman" w:hAnsi="Times New Roman"/>
          <w:i/>
          <w:sz w:val="28"/>
          <w:szCs w:val="28"/>
          <w:lang w:val="ru-RU"/>
        </w:rPr>
      </w:pPr>
    </w:p>
    <w:p w:rsidR="00247ACA" w:rsidRDefault="00247ACA"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lastRenderedPageBreak/>
        <w:t>Зміст</w:t>
      </w:r>
    </w:p>
    <w:p w:rsidR="00247ACA" w:rsidRPr="00282D41" w:rsidRDefault="005C1EA2"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Вступ……………………………………………………………</w:t>
      </w:r>
      <w:r w:rsidR="00247ACA">
        <w:rPr>
          <w:rFonts w:ascii="Times New Roman" w:hAnsi="Times New Roman"/>
          <w:sz w:val="28"/>
          <w:szCs w:val="28"/>
          <w:lang w:val="uk-UA"/>
        </w:rPr>
        <w:t>……</w:t>
      </w:r>
      <w:r w:rsidR="008C6C87">
        <w:rPr>
          <w:rFonts w:ascii="Times New Roman" w:hAnsi="Times New Roman"/>
          <w:sz w:val="28"/>
          <w:szCs w:val="28"/>
          <w:lang w:val="uk-UA"/>
        </w:rPr>
        <w:t>………….</w:t>
      </w:r>
      <w:r w:rsidR="00282D41" w:rsidRPr="00BE7C02">
        <w:rPr>
          <w:rFonts w:ascii="Times New Roman" w:hAnsi="Times New Roman"/>
          <w:sz w:val="28"/>
          <w:szCs w:val="28"/>
          <w:lang w:val="ru-RU"/>
        </w:rPr>
        <w:t>2</w:t>
      </w:r>
      <w:r w:rsidR="00282D41">
        <w:rPr>
          <w:rFonts w:ascii="Times New Roman" w:hAnsi="Times New Roman"/>
          <w:sz w:val="28"/>
          <w:szCs w:val="28"/>
          <w:lang w:val="uk-UA"/>
        </w:rPr>
        <w:t>1</w:t>
      </w:r>
    </w:p>
    <w:p w:rsidR="00247ACA" w:rsidRPr="008C6C87"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Розділ </w:t>
      </w:r>
      <w:r w:rsidR="005C1EA2">
        <w:rPr>
          <w:rFonts w:ascii="Times New Roman" w:hAnsi="Times New Roman"/>
          <w:sz w:val="28"/>
          <w:szCs w:val="28"/>
          <w:lang w:val="uk-UA"/>
        </w:rPr>
        <w:t>1. Огляд літератури………………………………</w:t>
      </w:r>
      <w:r>
        <w:rPr>
          <w:rFonts w:ascii="Times New Roman" w:hAnsi="Times New Roman"/>
          <w:sz w:val="28"/>
          <w:szCs w:val="28"/>
          <w:lang w:val="uk-UA"/>
        </w:rPr>
        <w:t>…………</w:t>
      </w:r>
      <w:r w:rsidR="008C6C87">
        <w:rPr>
          <w:rFonts w:ascii="Times New Roman" w:hAnsi="Times New Roman"/>
          <w:sz w:val="28"/>
          <w:szCs w:val="28"/>
          <w:lang w:val="uk-UA"/>
        </w:rPr>
        <w:t>………</w:t>
      </w:r>
      <w:r w:rsidR="008C6C87" w:rsidRPr="00282D41">
        <w:rPr>
          <w:rFonts w:ascii="Times New Roman" w:hAnsi="Times New Roman"/>
          <w:sz w:val="28"/>
          <w:szCs w:val="28"/>
          <w:lang w:val="ru-RU"/>
        </w:rPr>
        <w:t>.</w:t>
      </w:r>
      <w:r w:rsidR="008C6C87">
        <w:rPr>
          <w:rFonts w:ascii="Times New Roman" w:hAnsi="Times New Roman"/>
          <w:sz w:val="28"/>
          <w:szCs w:val="28"/>
          <w:lang w:val="uk-UA"/>
        </w:rPr>
        <w:t>…</w:t>
      </w:r>
      <w:r w:rsidR="00282D41">
        <w:rPr>
          <w:rFonts w:ascii="Times New Roman" w:hAnsi="Times New Roman"/>
          <w:sz w:val="28"/>
          <w:szCs w:val="28"/>
          <w:lang w:val="ru-RU"/>
        </w:rPr>
        <w:t>27</w:t>
      </w:r>
    </w:p>
    <w:p w:rsidR="00247ACA" w:rsidRPr="008C6C87" w:rsidRDefault="00247ACA" w:rsidP="005C1EA2">
      <w:pPr>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1.</w:t>
      </w:r>
      <w:r>
        <w:rPr>
          <w:rFonts w:ascii="Times New Roman" w:hAnsi="Times New Roman"/>
          <w:sz w:val="28"/>
          <w:szCs w:val="28"/>
          <w:lang w:val="uk-UA"/>
        </w:rPr>
        <w:t xml:space="preserve">1. </w:t>
      </w:r>
      <w:r w:rsidRPr="00A52CA2">
        <w:rPr>
          <w:rFonts w:ascii="Times New Roman" w:hAnsi="Times New Roman"/>
          <w:sz w:val="28"/>
          <w:szCs w:val="28"/>
          <w:lang w:val="uk-UA"/>
        </w:rPr>
        <w:t xml:space="preserve">Сучасні погляди на етіологію та патогенез </w:t>
      </w:r>
      <w:r w:rsidR="00E92164">
        <w:rPr>
          <w:rFonts w:ascii="Times New Roman" w:hAnsi="Times New Roman"/>
          <w:sz w:val="28"/>
          <w:szCs w:val="28"/>
          <w:lang w:val="uk-UA"/>
        </w:rPr>
        <w:t xml:space="preserve"> запальних захворювань пародонта</w:t>
      </w:r>
      <w:r w:rsidRPr="00A52CA2">
        <w:rPr>
          <w:rFonts w:ascii="Times New Roman" w:hAnsi="Times New Roman"/>
          <w:sz w:val="28"/>
          <w:szCs w:val="28"/>
          <w:lang w:val="uk-UA"/>
        </w:rPr>
        <w:t>…………………………………………………………</w:t>
      </w:r>
      <w:r w:rsidR="008A53BE">
        <w:rPr>
          <w:rFonts w:ascii="Times New Roman" w:hAnsi="Times New Roman"/>
          <w:sz w:val="28"/>
          <w:szCs w:val="28"/>
          <w:lang w:val="uk-UA"/>
        </w:rPr>
        <w:t>………………..</w:t>
      </w:r>
      <w:r w:rsidRPr="00A52CA2">
        <w:rPr>
          <w:rFonts w:ascii="Times New Roman" w:hAnsi="Times New Roman"/>
          <w:sz w:val="28"/>
          <w:szCs w:val="28"/>
          <w:lang w:val="uk-UA"/>
        </w:rPr>
        <w:t>..</w:t>
      </w:r>
      <w:r w:rsidR="00282D41">
        <w:rPr>
          <w:rFonts w:ascii="Times New Roman" w:hAnsi="Times New Roman"/>
          <w:sz w:val="28"/>
          <w:szCs w:val="28"/>
          <w:lang w:val="ru-RU"/>
        </w:rPr>
        <w:t>...27</w:t>
      </w:r>
    </w:p>
    <w:p w:rsidR="00247ACA" w:rsidRPr="008C6C87" w:rsidRDefault="00247ACA" w:rsidP="005C1EA2">
      <w:pPr>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1.2</w:t>
      </w:r>
      <w:r>
        <w:rPr>
          <w:rFonts w:ascii="Times New Roman" w:hAnsi="Times New Roman"/>
          <w:sz w:val="28"/>
          <w:szCs w:val="28"/>
          <w:lang w:val="uk-UA"/>
        </w:rPr>
        <w:t>. Особливості перебігу запаль</w:t>
      </w:r>
      <w:r w:rsidR="00AC605C">
        <w:rPr>
          <w:rFonts w:ascii="Times New Roman" w:hAnsi="Times New Roman"/>
          <w:sz w:val="28"/>
          <w:szCs w:val="28"/>
          <w:lang w:val="uk-UA"/>
        </w:rPr>
        <w:t>них захворювань тканин пародонт</w:t>
      </w:r>
      <w:r w:rsidR="00B43DC8">
        <w:rPr>
          <w:rFonts w:ascii="Times New Roman" w:hAnsi="Times New Roman"/>
          <w:sz w:val="28"/>
          <w:szCs w:val="28"/>
          <w:lang w:val="uk-UA"/>
        </w:rPr>
        <w:t>а</w:t>
      </w:r>
      <w:r>
        <w:rPr>
          <w:rFonts w:ascii="Times New Roman" w:hAnsi="Times New Roman"/>
          <w:sz w:val="28"/>
          <w:szCs w:val="28"/>
          <w:lang w:val="uk-UA"/>
        </w:rPr>
        <w:t xml:space="preserve"> у підлітковому віці……………………………………………</w:t>
      </w:r>
      <w:r w:rsidR="005C1EA2" w:rsidRPr="005C1EA2">
        <w:rPr>
          <w:rFonts w:ascii="Times New Roman" w:hAnsi="Times New Roman"/>
          <w:sz w:val="28"/>
          <w:szCs w:val="28"/>
          <w:lang w:val="ru-RU"/>
        </w:rPr>
        <w:t>..</w:t>
      </w:r>
      <w:r>
        <w:rPr>
          <w:rFonts w:ascii="Times New Roman" w:hAnsi="Times New Roman"/>
          <w:sz w:val="28"/>
          <w:szCs w:val="28"/>
          <w:lang w:val="uk-UA"/>
        </w:rPr>
        <w:t>………</w:t>
      </w:r>
      <w:r w:rsidR="008C6C87">
        <w:rPr>
          <w:rFonts w:ascii="Times New Roman" w:hAnsi="Times New Roman"/>
          <w:sz w:val="28"/>
          <w:szCs w:val="28"/>
          <w:lang w:val="uk-UA"/>
        </w:rPr>
        <w:t>……………….</w:t>
      </w:r>
      <w:r w:rsidR="008C6C87" w:rsidRPr="008C6C87">
        <w:rPr>
          <w:rFonts w:ascii="Times New Roman" w:hAnsi="Times New Roman"/>
          <w:sz w:val="28"/>
          <w:szCs w:val="28"/>
          <w:lang w:val="ru-RU"/>
        </w:rPr>
        <w:t>3</w:t>
      </w:r>
      <w:r w:rsidR="00DF225F">
        <w:rPr>
          <w:rFonts w:ascii="Times New Roman" w:hAnsi="Times New Roman"/>
          <w:sz w:val="28"/>
          <w:szCs w:val="28"/>
          <w:lang w:val="ru-RU"/>
        </w:rPr>
        <w:t>5</w:t>
      </w:r>
    </w:p>
    <w:p w:rsidR="00247ACA" w:rsidRPr="005C1EA2"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1.3. Вплив порушення менструальної функції на стан органів ротової порожнини…………………………………………………………</w:t>
      </w:r>
      <w:r w:rsidR="00D423B8">
        <w:rPr>
          <w:rFonts w:ascii="Times New Roman" w:hAnsi="Times New Roman"/>
          <w:sz w:val="28"/>
          <w:szCs w:val="28"/>
          <w:lang w:val="uk-UA"/>
        </w:rPr>
        <w:t>…</w:t>
      </w:r>
      <w:r w:rsidR="005C1EA2" w:rsidRPr="005C1EA2">
        <w:rPr>
          <w:rFonts w:ascii="Times New Roman" w:hAnsi="Times New Roman"/>
          <w:sz w:val="28"/>
          <w:szCs w:val="28"/>
          <w:lang w:val="ru-RU"/>
        </w:rPr>
        <w:t>..</w:t>
      </w:r>
      <w:r w:rsidR="00D423B8">
        <w:rPr>
          <w:rFonts w:ascii="Times New Roman" w:hAnsi="Times New Roman"/>
          <w:sz w:val="28"/>
          <w:szCs w:val="28"/>
          <w:lang w:val="uk-UA"/>
        </w:rPr>
        <w:t>……………</w:t>
      </w:r>
      <w:r w:rsidR="00D423B8">
        <w:rPr>
          <w:rFonts w:ascii="Times New Roman" w:hAnsi="Times New Roman"/>
          <w:sz w:val="28"/>
          <w:szCs w:val="28"/>
          <w:lang w:val="ru-RU"/>
        </w:rPr>
        <w:t>…</w:t>
      </w:r>
      <w:r w:rsidR="005C1EA2">
        <w:rPr>
          <w:rFonts w:ascii="Times New Roman" w:hAnsi="Times New Roman"/>
          <w:sz w:val="28"/>
          <w:szCs w:val="28"/>
          <w:lang w:val="ru-RU"/>
        </w:rPr>
        <w:t>3</w:t>
      </w:r>
      <w:r w:rsidR="00DF225F">
        <w:rPr>
          <w:rFonts w:ascii="Times New Roman" w:hAnsi="Times New Roman"/>
          <w:sz w:val="28"/>
          <w:szCs w:val="28"/>
          <w:lang w:val="ru-RU"/>
        </w:rPr>
        <w:t>9</w:t>
      </w:r>
    </w:p>
    <w:p w:rsidR="00B43DC8" w:rsidRPr="00D423B8" w:rsidRDefault="00B43DC8"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1.4. Основи первинної профілактики захворювань пародонта………</w:t>
      </w:r>
      <w:r w:rsidR="00D423B8">
        <w:rPr>
          <w:rFonts w:ascii="Times New Roman" w:hAnsi="Times New Roman"/>
          <w:sz w:val="28"/>
          <w:szCs w:val="28"/>
          <w:lang w:val="uk-UA"/>
        </w:rPr>
        <w:t>……</w:t>
      </w:r>
      <w:r w:rsidR="00D423B8" w:rsidRPr="00D423B8">
        <w:rPr>
          <w:rFonts w:ascii="Times New Roman" w:hAnsi="Times New Roman"/>
          <w:sz w:val="28"/>
          <w:szCs w:val="28"/>
          <w:lang w:val="ru-RU"/>
        </w:rPr>
        <w:t>.</w:t>
      </w:r>
      <w:r w:rsidR="00D423B8">
        <w:rPr>
          <w:rFonts w:ascii="Times New Roman" w:hAnsi="Times New Roman"/>
          <w:sz w:val="28"/>
          <w:szCs w:val="28"/>
          <w:lang w:val="uk-UA"/>
        </w:rPr>
        <w:t>..</w:t>
      </w:r>
      <w:r w:rsidR="00DF225F">
        <w:rPr>
          <w:rFonts w:ascii="Times New Roman" w:hAnsi="Times New Roman"/>
          <w:sz w:val="28"/>
          <w:szCs w:val="28"/>
          <w:lang w:val="ru-RU"/>
        </w:rPr>
        <w:t>40</w:t>
      </w:r>
    </w:p>
    <w:p w:rsidR="00247ACA" w:rsidRPr="00D423B8" w:rsidRDefault="00247ACA" w:rsidP="005C1EA2">
      <w:pPr>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 xml:space="preserve">Розділ 2. </w:t>
      </w:r>
      <w:r w:rsidR="00BB171C">
        <w:rPr>
          <w:rFonts w:ascii="Times New Roman" w:hAnsi="Times New Roman"/>
          <w:sz w:val="28"/>
          <w:szCs w:val="28"/>
          <w:lang w:val="uk-UA"/>
        </w:rPr>
        <w:t>Матеріали</w:t>
      </w:r>
      <w:r w:rsidR="00B43DC8">
        <w:rPr>
          <w:rFonts w:ascii="Times New Roman" w:hAnsi="Times New Roman"/>
          <w:sz w:val="28"/>
          <w:szCs w:val="28"/>
          <w:lang w:val="uk-UA"/>
        </w:rPr>
        <w:t xml:space="preserve"> і</w:t>
      </w:r>
      <w:r w:rsidR="00BB171C">
        <w:rPr>
          <w:rFonts w:ascii="Times New Roman" w:hAnsi="Times New Roman"/>
          <w:sz w:val="28"/>
          <w:szCs w:val="28"/>
          <w:lang w:val="uk-UA"/>
        </w:rPr>
        <w:t xml:space="preserve"> методи дослідження……………………</w:t>
      </w:r>
      <w:r w:rsidRPr="00A52CA2">
        <w:rPr>
          <w:rFonts w:ascii="Times New Roman" w:hAnsi="Times New Roman"/>
          <w:sz w:val="28"/>
          <w:szCs w:val="28"/>
          <w:lang w:val="uk-UA"/>
        </w:rPr>
        <w:t>…</w:t>
      </w:r>
      <w:r w:rsidR="00D423B8">
        <w:rPr>
          <w:rFonts w:ascii="Times New Roman" w:hAnsi="Times New Roman"/>
          <w:sz w:val="28"/>
          <w:szCs w:val="28"/>
          <w:lang w:val="uk-UA"/>
        </w:rPr>
        <w:t>…………..</w:t>
      </w:r>
      <w:r w:rsidR="00DF225F">
        <w:rPr>
          <w:rFonts w:ascii="Times New Roman" w:hAnsi="Times New Roman"/>
          <w:sz w:val="28"/>
          <w:szCs w:val="28"/>
          <w:lang w:val="ru-RU"/>
        </w:rPr>
        <w:t>46</w:t>
      </w:r>
    </w:p>
    <w:p w:rsidR="00247ACA" w:rsidRPr="00D423B8" w:rsidRDefault="00247ACA" w:rsidP="005C1EA2">
      <w:pPr>
        <w:tabs>
          <w:tab w:val="left" w:pos="0"/>
        </w:tabs>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 xml:space="preserve">2.1. </w:t>
      </w:r>
      <w:r w:rsidRPr="00985167">
        <w:rPr>
          <w:rFonts w:ascii="Times New Roman" w:hAnsi="Times New Roman"/>
          <w:sz w:val="28"/>
          <w:szCs w:val="28"/>
          <w:lang w:val="uk-UA"/>
        </w:rPr>
        <w:t>Характеристика груп дослідження</w:t>
      </w:r>
      <w:r w:rsidR="00985167">
        <w:rPr>
          <w:rFonts w:ascii="Times New Roman" w:hAnsi="Times New Roman"/>
          <w:sz w:val="28"/>
          <w:szCs w:val="28"/>
          <w:lang w:val="uk-UA"/>
        </w:rPr>
        <w:t>………………………………</w:t>
      </w:r>
      <w:r w:rsidRPr="00985167">
        <w:rPr>
          <w:rFonts w:ascii="Times New Roman" w:hAnsi="Times New Roman"/>
          <w:sz w:val="28"/>
          <w:szCs w:val="28"/>
          <w:lang w:val="uk-UA"/>
        </w:rPr>
        <w:t>…</w:t>
      </w:r>
      <w:r w:rsidR="005C1EA2">
        <w:rPr>
          <w:rFonts w:ascii="Times New Roman" w:hAnsi="Times New Roman"/>
          <w:sz w:val="28"/>
          <w:szCs w:val="28"/>
          <w:lang w:val="ru-RU"/>
        </w:rPr>
        <w:t>…</w:t>
      </w:r>
      <w:r w:rsidR="00D423B8">
        <w:rPr>
          <w:rFonts w:ascii="Times New Roman" w:hAnsi="Times New Roman"/>
          <w:sz w:val="28"/>
          <w:szCs w:val="28"/>
          <w:lang w:val="uk-UA"/>
        </w:rPr>
        <w:t>….</w:t>
      </w:r>
      <w:r w:rsidR="00DF225F">
        <w:rPr>
          <w:rFonts w:ascii="Times New Roman" w:hAnsi="Times New Roman"/>
          <w:sz w:val="28"/>
          <w:szCs w:val="28"/>
          <w:lang w:val="ru-RU"/>
        </w:rPr>
        <w:t>49</w:t>
      </w:r>
    </w:p>
    <w:p w:rsidR="00247ACA" w:rsidRPr="005C1EA2" w:rsidRDefault="00247ACA" w:rsidP="005C1EA2">
      <w:pPr>
        <w:tabs>
          <w:tab w:val="left" w:pos="0"/>
        </w:tabs>
        <w:spacing w:line="360" w:lineRule="auto"/>
        <w:ind w:firstLine="709"/>
        <w:jc w:val="both"/>
        <w:rPr>
          <w:rFonts w:ascii="Times New Roman" w:hAnsi="Times New Roman"/>
          <w:sz w:val="28"/>
          <w:szCs w:val="28"/>
          <w:lang w:val="ru-RU"/>
        </w:rPr>
      </w:pPr>
      <w:r w:rsidRPr="00985167">
        <w:rPr>
          <w:rFonts w:ascii="Times New Roman" w:hAnsi="Times New Roman"/>
          <w:sz w:val="28"/>
          <w:szCs w:val="28"/>
          <w:lang w:val="uk-UA"/>
        </w:rPr>
        <w:t>2.2.Клінічні</w:t>
      </w:r>
      <w:r w:rsidR="00985167">
        <w:rPr>
          <w:rFonts w:ascii="Times New Roman" w:hAnsi="Times New Roman"/>
          <w:sz w:val="28"/>
          <w:szCs w:val="28"/>
          <w:lang w:val="uk-UA"/>
        </w:rPr>
        <w:t xml:space="preserve"> </w:t>
      </w:r>
      <w:r w:rsidRPr="00985167">
        <w:rPr>
          <w:rFonts w:ascii="Times New Roman" w:hAnsi="Times New Roman"/>
          <w:sz w:val="28"/>
          <w:szCs w:val="28"/>
          <w:lang w:val="uk-UA"/>
        </w:rPr>
        <w:t>методи</w:t>
      </w:r>
      <w:r w:rsidR="00985167">
        <w:rPr>
          <w:rFonts w:ascii="Times New Roman" w:hAnsi="Times New Roman"/>
          <w:sz w:val="28"/>
          <w:szCs w:val="28"/>
          <w:lang w:val="uk-UA"/>
        </w:rPr>
        <w:t xml:space="preserve"> </w:t>
      </w:r>
      <w:r w:rsidR="005C1EA2">
        <w:rPr>
          <w:rFonts w:ascii="Times New Roman" w:hAnsi="Times New Roman"/>
          <w:sz w:val="28"/>
          <w:szCs w:val="28"/>
          <w:lang w:val="uk-UA"/>
        </w:rPr>
        <w:t>дослідження………………</w:t>
      </w:r>
      <w:r w:rsidR="005C1EA2" w:rsidRPr="005C1EA2">
        <w:rPr>
          <w:rFonts w:ascii="Times New Roman" w:hAnsi="Times New Roman"/>
          <w:sz w:val="28"/>
          <w:szCs w:val="28"/>
          <w:lang w:val="ru-RU"/>
        </w:rPr>
        <w:t>.</w:t>
      </w:r>
      <w:r w:rsidR="005C1EA2" w:rsidRPr="00DF225F">
        <w:rPr>
          <w:rFonts w:ascii="Times New Roman" w:hAnsi="Times New Roman"/>
          <w:sz w:val="28"/>
          <w:szCs w:val="28"/>
          <w:lang w:val="ru-RU"/>
        </w:rPr>
        <w:t>..</w:t>
      </w:r>
      <w:r w:rsidRPr="00985167">
        <w:rPr>
          <w:rFonts w:ascii="Times New Roman" w:hAnsi="Times New Roman"/>
          <w:sz w:val="28"/>
          <w:szCs w:val="28"/>
          <w:lang w:val="uk-UA"/>
        </w:rPr>
        <w:t>…………………………</w:t>
      </w:r>
      <w:r w:rsidR="00D423B8">
        <w:rPr>
          <w:rFonts w:ascii="Times New Roman" w:hAnsi="Times New Roman"/>
          <w:sz w:val="28"/>
          <w:szCs w:val="28"/>
          <w:lang w:val="uk-UA"/>
        </w:rPr>
        <w:t>…</w:t>
      </w:r>
      <w:r w:rsidR="00DF225F">
        <w:rPr>
          <w:rFonts w:ascii="Times New Roman" w:hAnsi="Times New Roman"/>
          <w:sz w:val="28"/>
          <w:szCs w:val="28"/>
          <w:lang w:val="ru-RU"/>
        </w:rPr>
        <w:t>51</w:t>
      </w:r>
    </w:p>
    <w:p w:rsidR="00247ACA" w:rsidRPr="005C1EA2" w:rsidRDefault="00247ACA" w:rsidP="005C1EA2">
      <w:pPr>
        <w:tabs>
          <w:tab w:val="left" w:pos="0"/>
        </w:tabs>
        <w:spacing w:line="360" w:lineRule="auto"/>
        <w:ind w:firstLine="709"/>
        <w:jc w:val="both"/>
        <w:rPr>
          <w:rFonts w:ascii="Times New Roman" w:hAnsi="Times New Roman"/>
          <w:sz w:val="28"/>
          <w:szCs w:val="28"/>
          <w:lang w:val="ru-RU"/>
        </w:rPr>
      </w:pPr>
      <w:r w:rsidRPr="00985167">
        <w:rPr>
          <w:rFonts w:ascii="Times New Roman" w:hAnsi="Times New Roman"/>
          <w:sz w:val="28"/>
          <w:szCs w:val="28"/>
          <w:lang w:val="uk-UA"/>
        </w:rPr>
        <w:t>2.2.1. Додаткові методи</w:t>
      </w:r>
      <w:r w:rsidRPr="00A52CA2">
        <w:rPr>
          <w:rFonts w:ascii="Times New Roman" w:hAnsi="Times New Roman"/>
          <w:sz w:val="28"/>
          <w:szCs w:val="28"/>
          <w:lang w:val="uk-UA"/>
        </w:rPr>
        <w:t xml:space="preserve"> дослідження</w:t>
      </w:r>
      <w:r>
        <w:rPr>
          <w:rFonts w:ascii="Times New Roman" w:hAnsi="Times New Roman"/>
          <w:sz w:val="28"/>
          <w:szCs w:val="28"/>
          <w:lang w:val="uk-UA"/>
        </w:rPr>
        <w:t>………………………………………</w:t>
      </w:r>
      <w:r w:rsidR="001F6A04">
        <w:rPr>
          <w:rFonts w:ascii="Times New Roman" w:hAnsi="Times New Roman"/>
          <w:sz w:val="28"/>
          <w:szCs w:val="28"/>
          <w:lang w:val="uk-UA"/>
        </w:rPr>
        <w:t>....</w:t>
      </w:r>
      <w:r w:rsidR="001F6A04" w:rsidRPr="005C1EA2">
        <w:rPr>
          <w:rFonts w:ascii="Times New Roman" w:hAnsi="Times New Roman"/>
          <w:sz w:val="28"/>
          <w:szCs w:val="28"/>
          <w:lang w:val="ru-RU"/>
        </w:rPr>
        <w:t>5</w:t>
      </w:r>
      <w:r w:rsidR="00DF225F">
        <w:rPr>
          <w:rFonts w:ascii="Times New Roman" w:hAnsi="Times New Roman"/>
          <w:sz w:val="28"/>
          <w:szCs w:val="28"/>
          <w:lang w:val="ru-RU"/>
        </w:rPr>
        <w:t>2</w:t>
      </w:r>
    </w:p>
    <w:p w:rsidR="00247ACA" w:rsidRPr="005C1EA2" w:rsidRDefault="00247ACA" w:rsidP="005C1EA2">
      <w:pPr>
        <w:tabs>
          <w:tab w:val="left" w:pos="0"/>
        </w:tabs>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2.2.1.1. Цитологічне дослідження тканин ясен</w:t>
      </w:r>
      <w:r>
        <w:rPr>
          <w:rFonts w:ascii="Times New Roman" w:hAnsi="Times New Roman"/>
          <w:sz w:val="28"/>
          <w:szCs w:val="28"/>
          <w:lang w:val="uk-UA"/>
        </w:rPr>
        <w:t>…………………</w:t>
      </w:r>
      <w:r w:rsidR="001F6A04">
        <w:rPr>
          <w:rFonts w:ascii="Times New Roman" w:hAnsi="Times New Roman"/>
          <w:sz w:val="28"/>
          <w:szCs w:val="28"/>
          <w:lang w:val="uk-UA"/>
        </w:rPr>
        <w:t>…………….</w:t>
      </w:r>
      <w:r w:rsidR="00DF225F">
        <w:rPr>
          <w:rFonts w:ascii="Times New Roman" w:hAnsi="Times New Roman"/>
          <w:sz w:val="28"/>
          <w:szCs w:val="28"/>
          <w:lang w:val="ru-RU"/>
        </w:rPr>
        <w:t>52</w:t>
      </w:r>
    </w:p>
    <w:p w:rsidR="00247ACA" w:rsidRPr="001F6A04" w:rsidRDefault="00247ACA" w:rsidP="005C1EA2">
      <w:pPr>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2.2.1.2. Визначення мінеральної щільності кісткової тканини</w:t>
      </w:r>
      <w:r>
        <w:rPr>
          <w:rFonts w:ascii="Times New Roman" w:hAnsi="Times New Roman"/>
          <w:sz w:val="28"/>
          <w:szCs w:val="28"/>
          <w:lang w:val="uk-UA"/>
        </w:rPr>
        <w:t>…………</w:t>
      </w:r>
      <w:r w:rsidR="001F6A04">
        <w:rPr>
          <w:rFonts w:ascii="Times New Roman" w:hAnsi="Times New Roman"/>
          <w:sz w:val="28"/>
          <w:szCs w:val="28"/>
          <w:lang w:val="uk-UA"/>
        </w:rPr>
        <w:t>...…</w:t>
      </w:r>
      <w:r w:rsidR="00DF225F">
        <w:rPr>
          <w:rFonts w:ascii="Times New Roman" w:hAnsi="Times New Roman"/>
          <w:sz w:val="28"/>
          <w:szCs w:val="28"/>
          <w:lang w:val="ru-RU"/>
        </w:rPr>
        <w:t>52</w:t>
      </w:r>
    </w:p>
    <w:p w:rsidR="00247ACA" w:rsidRPr="001F6A04" w:rsidRDefault="00247ACA" w:rsidP="005C1EA2">
      <w:pPr>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2.2.1.3. Визначення ступеню дисбіоза порожнини рота</w:t>
      </w:r>
      <w:r>
        <w:rPr>
          <w:rFonts w:ascii="Times New Roman" w:hAnsi="Times New Roman"/>
          <w:sz w:val="28"/>
          <w:szCs w:val="28"/>
          <w:lang w:val="uk-UA"/>
        </w:rPr>
        <w:t>……………</w:t>
      </w:r>
      <w:r w:rsidR="001F6A04">
        <w:rPr>
          <w:rFonts w:ascii="Times New Roman" w:hAnsi="Times New Roman"/>
          <w:sz w:val="28"/>
          <w:szCs w:val="28"/>
          <w:lang w:val="uk-UA"/>
        </w:rPr>
        <w:t>……….</w:t>
      </w:r>
      <w:r w:rsidR="00DF225F">
        <w:rPr>
          <w:rFonts w:ascii="Times New Roman" w:hAnsi="Times New Roman"/>
          <w:sz w:val="28"/>
          <w:szCs w:val="28"/>
          <w:lang w:val="ru-RU"/>
        </w:rPr>
        <w:t>53</w:t>
      </w:r>
    </w:p>
    <w:p w:rsidR="00247ACA" w:rsidRPr="00DF225F" w:rsidRDefault="00247ACA" w:rsidP="005C1EA2">
      <w:pPr>
        <w:tabs>
          <w:tab w:val="left" w:pos="0"/>
        </w:tabs>
        <w:spacing w:line="360" w:lineRule="auto"/>
        <w:ind w:firstLine="709"/>
        <w:jc w:val="both"/>
        <w:rPr>
          <w:rFonts w:ascii="Times New Roman" w:hAnsi="Times New Roman"/>
          <w:sz w:val="28"/>
          <w:szCs w:val="28"/>
          <w:lang w:val="uk-UA"/>
        </w:rPr>
      </w:pPr>
      <w:r w:rsidRPr="00A52CA2">
        <w:rPr>
          <w:rFonts w:ascii="Times New Roman" w:hAnsi="Times New Roman"/>
          <w:sz w:val="28"/>
          <w:szCs w:val="28"/>
          <w:lang w:val="uk-UA"/>
        </w:rPr>
        <w:t>2.2.1.4. Визначення стану локального імунітету</w:t>
      </w:r>
      <w:r>
        <w:rPr>
          <w:rFonts w:ascii="Times New Roman" w:hAnsi="Times New Roman"/>
          <w:sz w:val="28"/>
          <w:szCs w:val="28"/>
          <w:lang w:val="uk-UA"/>
        </w:rPr>
        <w:t>………………………</w:t>
      </w:r>
      <w:r w:rsidR="001F6A04">
        <w:rPr>
          <w:rFonts w:ascii="Times New Roman" w:hAnsi="Times New Roman"/>
          <w:sz w:val="28"/>
          <w:szCs w:val="28"/>
          <w:lang w:val="uk-UA"/>
        </w:rPr>
        <w:t>…</w:t>
      </w:r>
      <w:r w:rsidR="00BD4604">
        <w:rPr>
          <w:rFonts w:ascii="Times New Roman" w:hAnsi="Times New Roman"/>
          <w:sz w:val="28"/>
          <w:szCs w:val="28"/>
          <w:lang w:val="uk-UA"/>
        </w:rPr>
        <w:t>.</w:t>
      </w:r>
      <w:r w:rsidR="001F6A04">
        <w:rPr>
          <w:rFonts w:ascii="Times New Roman" w:hAnsi="Times New Roman"/>
          <w:sz w:val="28"/>
          <w:szCs w:val="28"/>
          <w:lang w:val="uk-UA"/>
        </w:rPr>
        <w:t>….</w:t>
      </w:r>
      <w:r w:rsidR="00DF225F" w:rsidRPr="00BE7C02">
        <w:rPr>
          <w:rFonts w:ascii="Times New Roman" w:hAnsi="Times New Roman"/>
          <w:sz w:val="28"/>
          <w:szCs w:val="28"/>
          <w:lang w:val="ru-RU"/>
        </w:rPr>
        <w:t>5</w:t>
      </w:r>
      <w:r w:rsidR="00BD4604">
        <w:rPr>
          <w:rFonts w:ascii="Times New Roman" w:hAnsi="Times New Roman"/>
          <w:sz w:val="28"/>
          <w:szCs w:val="28"/>
          <w:lang w:val="uk-UA"/>
        </w:rPr>
        <w:t>4</w:t>
      </w:r>
    </w:p>
    <w:p w:rsidR="00247ACA" w:rsidRPr="001F6A04" w:rsidRDefault="00247ACA" w:rsidP="005C1EA2">
      <w:pPr>
        <w:tabs>
          <w:tab w:val="left" w:pos="0"/>
        </w:tabs>
        <w:spacing w:line="360" w:lineRule="auto"/>
        <w:ind w:firstLine="709"/>
        <w:jc w:val="both"/>
        <w:rPr>
          <w:rFonts w:ascii="Times New Roman" w:hAnsi="Times New Roman"/>
          <w:sz w:val="28"/>
          <w:szCs w:val="28"/>
          <w:lang w:val="ru-RU"/>
        </w:rPr>
      </w:pPr>
      <w:r w:rsidRPr="00A52CA2">
        <w:rPr>
          <w:rFonts w:ascii="Times New Roman" w:hAnsi="Times New Roman"/>
          <w:sz w:val="28"/>
          <w:szCs w:val="28"/>
          <w:lang w:val="uk-UA"/>
        </w:rPr>
        <w:t>2.2.1.5. Визначення неспецифічної резистентності організму хворих</w:t>
      </w:r>
      <w:r w:rsidR="00BD4604">
        <w:rPr>
          <w:rFonts w:ascii="Times New Roman" w:hAnsi="Times New Roman"/>
          <w:sz w:val="28"/>
          <w:szCs w:val="28"/>
          <w:lang w:val="uk-UA"/>
        </w:rPr>
        <w:t>……</w:t>
      </w:r>
      <w:r w:rsidR="001F6A04">
        <w:rPr>
          <w:rFonts w:ascii="Times New Roman" w:hAnsi="Times New Roman"/>
          <w:sz w:val="28"/>
          <w:szCs w:val="28"/>
          <w:lang w:val="uk-UA"/>
        </w:rPr>
        <w:t>.</w:t>
      </w:r>
      <w:r w:rsidR="00DF225F">
        <w:rPr>
          <w:rFonts w:ascii="Times New Roman" w:hAnsi="Times New Roman"/>
          <w:sz w:val="28"/>
          <w:szCs w:val="28"/>
          <w:lang w:val="ru-RU"/>
        </w:rPr>
        <w:t>54</w:t>
      </w:r>
    </w:p>
    <w:p w:rsidR="00247ACA" w:rsidRPr="00DF225F"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2.2.1.6</w:t>
      </w:r>
      <w:r w:rsidRPr="00985167">
        <w:rPr>
          <w:rFonts w:ascii="Times New Roman" w:hAnsi="Times New Roman"/>
          <w:sz w:val="28"/>
          <w:szCs w:val="28"/>
          <w:lang w:val="uk-UA"/>
        </w:rPr>
        <w:t>.</w:t>
      </w:r>
      <w:r w:rsidR="00B43DC8">
        <w:rPr>
          <w:rFonts w:ascii="Times New Roman" w:hAnsi="Times New Roman"/>
          <w:sz w:val="28"/>
          <w:szCs w:val="28"/>
          <w:lang w:val="uk-UA"/>
        </w:rPr>
        <w:t>С</w:t>
      </w:r>
      <w:r w:rsidRPr="00A52CA2">
        <w:rPr>
          <w:rFonts w:ascii="Times New Roman" w:hAnsi="Times New Roman"/>
          <w:sz w:val="28"/>
          <w:szCs w:val="28"/>
          <w:lang w:val="uk-UA"/>
        </w:rPr>
        <w:t>татистичні методи дослідження</w:t>
      </w:r>
      <w:r>
        <w:rPr>
          <w:rFonts w:ascii="Times New Roman" w:hAnsi="Times New Roman"/>
          <w:sz w:val="28"/>
          <w:szCs w:val="28"/>
          <w:lang w:val="uk-UA"/>
        </w:rPr>
        <w:t xml:space="preserve"> …………. . . . . . </w:t>
      </w:r>
      <w:r w:rsidR="001F6A04">
        <w:rPr>
          <w:rFonts w:ascii="Times New Roman" w:hAnsi="Times New Roman"/>
          <w:sz w:val="28"/>
          <w:szCs w:val="28"/>
          <w:lang w:val="uk-UA"/>
        </w:rPr>
        <w:t>………………….</w:t>
      </w:r>
      <w:r w:rsidR="00DF225F">
        <w:rPr>
          <w:rFonts w:ascii="Times New Roman" w:hAnsi="Times New Roman"/>
          <w:sz w:val="28"/>
          <w:szCs w:val="28"/>
        </w:rPr>
        <w:t>5</w:t>
      </w:r>
      <w:r w:rsidR="00DF225F">
        <w:rPr>
          <w:rFonts w:ascii="Times New Roman" w:hAnsi="Times New Roman"/>
          <w:sz w:val="28"/>
          <w:szCs w:val="28"/>
          <w:lang w:val="uk-UA"/>
        </w:rPr>
        <w:t>4</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Розділ 3. Особливості впл</w:t>
      </w:r>
      <w:r w:rsidR="00B43DC8">
        <w:rPr>
          <w:rFonts w:ascii="Times New Roman" w:hAnsi="Times New Roman"/>
          <w:sz w:val="28"/>
          <w:szCs w:val="28"/>
          <w:lang w:val="uk-UA"/>
        </w:rPr>
        <w:t xml:space="preserve">иву </w:t>
      </w:r>
      <w:r w:rsidR="00064714">
        <w:rPr>
          <w:rFonts w:ascii="Times New Roman" w:hAnsi="Times New Roman"/>
          <w:sz w:val="28"/>
          <w:szCs w:val="28"/>
          <w:lang w:val="uk-UA"/>
        </w:rPr>
        <w:t>порушення менструальної функції</w:t>
      </w:r>
      <w:r w:rsidR="00B43DC8">
        <w:rPr>
          <w:rFonts w:ascii="Times New Roman" w:hAnsi="Times New Roman"/>
          <w:sz w:val="28"/>
          <w:szCs w:val="28"/>
          <w:lang w:val="uk-UA"/>
        </w:rPr>
        <w:t xml:space="preserve"> на стан тканин пародонта</w:t>
      </w:r>
      <w:r>
        <w:rPr>
          <w:rFonts w:ascii="Times New Roman" w:hAnsi="Times New Roman"/>
          <w:sz w:val="28"/>
          <w:szCs w:val="28"/>
          <w:lang w:val="uk-UA"/>
        </w:rPr>
        <w:t xml:space="preserve"> у дівчат-підлітків з запальними  захворюваннями пар</w:t>
      </w:r>
      <w:r w:rsidR="00B43DC8">
        <w:rPr>
          <w:rFonts w:ascii="Times New Roman" w:hAnsi="Times New Roman"/>
          <w:sz w:val="28"/>
          <w:szCs w:val="28"/>
          <w:lang w:val="uk-UA"/>
        </w:rPr>
        <w:t>одонта</w:t>
      </w:r>
      <w:r w:rsidR="00064714">
        <w:rPr>
          <w:rFonts w:ascii="Times New Roman" w:hAnsi="Times New Roman"/>
          <w:sz w:val="28"/>
          <w:szCs w:val="28"/>
          <w:lang w:val="uk-UA"/>
        </w:rPr>
        <w:t>...</w:t>
      </w:r>
      <w:r w:rsidR="00DF225F">
        <w:rPr>
          <w:rFonts w:ascii="Times New Roman" w:hAnsi="Times New Roman"/>
          <w:sz w:val="28"/>
          <w:szCs w:val="28"/>
          <w:lang w:val="ru-RU"/>
        </w:rPr>
        <w:t>56</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Розділ 4. Результати додаткових методів дослідження</w:t>
      </w:r>
      <w:r w:rsidR="00B43DC8">
        <w:rPr>
          <w:rFonts w:ascii="Times New Roman" w:hAnsi="Times New Roman"/>
          <w:sz w:val="28"/>
          <w:szCs w:val="28"/>
          <w:lang w:val="uk-UA"/>
        </w:rPr>
        <w:t>…………</w:t>
      </w:r>
      <w:r w:rsidR="001F6A04">
        <w:rPr>
          <w:rFonts w:ascii="Times New Roman" w:hAnsi="Times New Roman"/>
          <w:sz w:val="28"/>
          <w:szCs w:val="28"/>
          <w:lang w:val="uk-UA"/>
        </w:rPr>
        <w:t>…………..</w:t>
      </w:r>
      <w:r w:rsidR="00DF225F">
        <w:rPr>
          <w:rFonts w:ascii="Times New Roman" w:hAnsi="Times New Roman"/>
          <w:sz w:val="28"/>
          <w:szCs w:val="28"/>
          <w:lang w:val="ru-RU"/>
        </w:rPr>
        <w:t>64</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4.1. Результати цитологічного дослідження </w:t>
      </w:r>
      <w:r w:rsidR="00B43DC8">
        <w:rPr>
          <w:rFonts w:ascii="Times New Roman" w:hAnsi="Times New Roman"/>
          <w:sz w:val="28"/>
          <w:szCs w:val="28"/>
          <w:lang w:val="uk-UA"/>
        </w:rPr>
        <w:t>………………</w:t>
      </w:r>
      <w:r w:rsidR="001F6A04">
        <w:rPr>
          <w:rFonts w:ascii="Times New Roman" w:hAnsi="Times New Roman"/>
          <w:sz w:val="28"/>
          <w:szCs w:val="28"/>
          <w:lang w:val="uk-UA"/>
        </w:rPr>
        <w:t>…………………</w:t>
      </w:r>
      <w:r w:rsidR="00DF225F">
        <w:rPr>
          <w:rFonts w:ascii="Times New Roman" w:hAnsi="Times New Roman"/>
          <w:sz w:val="28"/>
          <w:szCs w:val="28"/>
          <w:lang w:val="ru-RU"/>
        </w:rPr>
        <w:t>64</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4.2. Особливості мінералізуючої функції  слини й оптичної щільності кісткових структур пародонта</w:t>
      </w:r>
      <w:r w:rsidR="00B43DC8">
        <w:rPr>
          <w:rFonts w:ascii="Times New Roman" w:hAnsi="Times New Roman"/>
          <w:sz w:val="28"/>
          <w:szCs w:val="28"/>
          <w:lang w:val="uk-UA"/>
        </w:rPr>
        <w:t xml:space="preserve"> у</w:t>
      </w:r>
      <w:r>
        <w:rPr>
          <w:rFonts w:ascii="Times New Roman" w:hAnsi="Times New Roman"/>
          <w:sz w:val="28"/>
          <w:szCs w:val="28"/>
          <w:lang w:val="uk-UA"/>
        </w:rPr>
        <w:t xml:space="preserve"> дівчат-підлітків з </w:t>
      </w:r>
      <w:r w:rsidR="00064714">
        <w:rPr>
          <w:rFonts w:ascii="Times New Roman" w:hAnsi="Times New Roman"/>
          <w:sz w:val="28"/>
          <w:szCs w:val="28"/>
          <w:lang w:val="uk-UA"/>
        </w:rPr>
        <w:t>порушенням менструальної функції …………………………………………………….</w:t>
      </w:r>
      <w:r w:rsidR="00B43DC8">
        <w:rPr>
          <w:rFonts w:ascii="Times New Roman" w:hAnsi="Times New Roman"/>
          <w:sz w:val="28"/>
          <w:szCs w:val="28"/>
          <w:lang w:val="uk-UA"/>
        </w:rPr>
        <w:t>…………………</w:t>
      </w:r>
      <w:r w:rsidR="001F6A04">
        <w:rPr>
          <w:rFonts w:ascii="Times New Roman" w:hAnsi="Times New Roman"/>
          <w:sz w:val="28"/>
          <w:szCs w:val="28"/>
          <w:lang w:val="uk-UA"/>
        </w:rPr>
        <w:t>…</w:t>
      </w:r>
      <w:r w:rsidR="005C1EA2">
        <w:rPr>
          <w:rFonts w:ascii="Times New Roman" w:hAnsi="Times New Roman"/>
          <w:sz w:val="28"/>
          <w:szCs w:val="28"/>
          <w:lang w:val="ru-RU"/>
        </w:rPr>
        <w:t>…</w:t>
      </w:r>
      <w:r w:rsidR="005C1EA2" w:rsidRPr="005C1EA2">
        <w:rPr>
          <w:rFonts w:ascii="Times New Roman" w:hAnsi="Times New Roman"/>
          <w:sz w:val="28"/>
          <w:szCs w:val="28"/>
          <w:lang w:val="ru-RU"/>
        </w:rPr>
        <w:t>..</w:t>
      </w:r>
      <w:r w:rsidR="001F6A04">
        <w:rPr>
          <w:rFonts w:ascii="Times New Roman" w:hAnsi="Times New Roman"/>
          <w:sz w:val="28"/>
          <w:szCs w:val="28"/>
          <w:lang w:val="uk-UA"/>
        </w:rPr>
        <w:t>…</w:t>
      </w:r>
      <w:r w:rsidR="00DF225F">
        <w:rPr>
          <w:rFonts w:ascii="Times New Roman" w:hAnsi="Times New Roman"/>
          <w:sz w:val="28"/>
          <w:szCs w:val="28"/>
          <w:lang w:val="ru-RU"/>
        </w:rPr>
        <w:t>67</w:t>
      </w:r>
    </w:p>
    <w:p w:rsidR="00247ACA" w:rsidRPr="00DF225F"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4.3. Показники імунобіологічного захисту організму </w:t>
      </w:r>
      <w:r w:rsidR="00B43DC8">
        <w:rPr>
          <w:rFonts w:ascii="Times New Roman" w:hAnsi="Times New Roman"/>
          <w:sz w:val="28"/>
          <w:szCs w:val="28"/>
          <w:lang w:val="uk-UA"/>
        </w:rPr>
        <w:t>…………</w:t>
      </w:r>
      <w:r w:rsidR="001F6A04">
        <w:rPr>
          <w:rFonts w:ascii="Times New Roman" w:hAnsi="Times New Roman"/>
          <w:sz w:val="28"/>
          <w:szCs w:val="28"/>
          <w:lang w:val="uk-UA"/>
        </w:rPr>
        <w:t>…………..</w:t>
      </w:r>
      <w:r w:rsidR="001F6A04" w:rsidRPr="00DF225F">
        <w:rPr>
          <w:rFonts w:ascii="Times New Roman" w:hAnsi="Times New Roman"/>
          <w:sz w:val="28"/>
          <w:szCs w:val="28"/>
          <w:lang w:val="ru-RU"/>
        </w:rPr>
        <w:t>6</w:t>
      </w:r>
      <w:r w:rsidR="00DF225F">
        <w:rPr>
          <w:rFonts w:ascii="Times New Roman" w:hAnsi="Times New Roman"/>
          <w:sz w:val="28"/>
          <w:szCs w:val="28"/>
          <w:lang w:val="uk-UA"/>
        </w:rPr>
        <w:t>9</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Розділ 5. Результати комплексного вивчення клініко-анамнестичних та додаткових методів обстеження </w:t>
      </w:r>
      <w:r w:rsidR="00B43DC8">
        <w:rPr>
          <w:rFonts w:ascii="Times New Roman" w:hAnsi="Times New Roman"/>
          <w:sz w:val="28"/>
          <w:szCs w:val="28"/>
          <w:lang w:val="uk-UA"/>
        </w:rPr>
        <w:t>………………………………</w:t>
      </w:r>
      <w:r w:rsidR="001F6A04">
        <w:rPr>
          <w:rFonts w:ascii="Times New Roman" w:hAnsi="Times New Roman"/>
          <w:sz w:val="28"/>
          <w:szCs w:val="28"/>
          <w:lang w:val="uk-UA"/>
        </w:rPr>
        <w:t>……………</w:t>
      </w:r>
      <w:r w:rsidR="005C1EA2">
        <w:rPr>
          <w:rFonts w:ascii="Times New Roman" w:hAnsi="Times New Roman"/>
          <w:sz w:val="28"/>
          <w:szCs w:val="28"/>
          <w:lang w:val="ru-RU"/>
        </w:rPr>
        <w:t>…</w:t>
      </w:r>
      <w:r w:rsidR="005C1EA2" w:rsidRPr="005C1EA2">
        <w:rPr>
          <w:rFonts w:ascii="Times New Roman" w:hAnsi="Times New Roman"/>
          <w:sz w:val="28"/>
          <w:szCs w:val="28"/>
          <w:lang w:val="ru-RU"/>
        </w:rPr>
        <w:t>.</w:t>
      </w:r>
      <w:r w:rsidR="001F6A04">
        <w:rPr>
          <w:rFonts w:ascii="Times New Roman" w:hAnsi="Times New Roman"/>
          <w:sz w:val="28"/>
          <w:szCs w:val="28"/>
          <w:lang w:val="uk-UA"/>
        </w:rPr>
        <w:t>…….</w:t>
      </w:r>
      <w:r w:rsidR="00DF225F">
        <w:rPr>
          <w:rFonts w:ascii="Times New Roman" w:hAnsi="Times New Roman"/>
          <w:sz w:val="28"/>
          <w:szCs w:val="28"/>
          <w:lang w:val="ru-RU"/>
        </w:rPr>
        <w:t>72</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lastRenderedPageBreak/>
        <w:t xml:space="preserve">5.1. Фактори, що детермінують розвиток </w:t>
      </w:r>
      <w:r w:rsidR="00B43DC8">
        <w:rPr>
          <w:rFonts w:ascii="Times New Roman" w:hAnsi="Times New Roman"/>
          <w:sz w:val="28"/>
          <w:szCs w:val="28"/>
          <w:lang w:val="uk-UA"/>
        </w:rPr>
        <w:t>запальних захворювань пародонта</w:t>
      </w:r>
      <w:r w:rsidRPr="00BA30F5">
        <w:rPr>
          <w:rFonts w:ascii="Times New Roman" w:hAnsi="Times New Roman"/>
          <w:sz w:val="28"/>
          <w:szCs w:val="28"/>
          <w:lang w:val="uk-UA"/>
        </w:rPr>
        <w:t xml:space="preserve"> у дівчат-підлітків з </w:t>
      </w:r>
      <w:r w:rsidR="00064714">
        <w:rPr>
          <w:rFonts w:ascii="Times New Roman" w:hAnsi="Times New Roman"/>
          <w:sz w:val="28"/>
          <w:szCs w:val="28"/>
          <w:lang w:val="uk-UA"/>
        </w:rPr>
        <w:t>порушенням менструальної функції</w:t>
      </w:r>
      <w:r w:rsidR="00064714">
        <w:rPr>
          <w:rFonts w:ascii="Times New Roman" w:hAnsi="Times New Roman"/>
          <w:sz w:val="28"/>
          <w:szCs w:val="28"/>
          <w:lang w:val="ru-RU"/>
        </w:rPr>
        <w:t xml:space="preserve"> ………………………..</w:t>
      </w:r>
      <w:r w:rsidR="00DF225F">
        <w:rPr>
          <w:rFonts w:ascii="Times New Roman" w:hAnsi="Times New Roman"/>
          <w:sz w:val="28"/>
          <w:szCs w:val="28"/>
          <w:lang w:val="ru-RU"/>
        </w:rPr>
        <w:t>72</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5.2.</w:t>
      </w:r>
      <w:r w:rsidRPr="00BA30F5">
        <w:rPr>
          <w:rFonts w:ascii="Times New Roman" w:hAnsi="Times New Roman"/>
          <w:sz w:val="28"/>
          <w:szCs w:val="28"/>
          <w:lang w:val="uk-UA"/>
        </w:rPr>
        <w:t xml:space="preserve"> Критерії прогнозування розвитку</w:t>
      </w:r>
      <w:r w:rsidR="00B43DC8">
        <w:rPr>
          <w:rFonts w:ascii="Times New Roman" w:hAnsi="Times New Roman"/>
          <w:sz w:val="28"/>
          <w:szCs w:val="28"/>
          <w:lang w:val="uk-UA"/>
        </w:rPr>
        <w:t xml:space="preserve"> запальних захворювань пародонта</w:t>
      </w:r>
      <w:r w:rsidRPr="00BA30F5">
        <w:rPr>
          <w:rFonts w:ascii="Times New Roman" w:hAnsi="Times New Roman"/>
          <w:sz w:val="28"/>
          <w:szCs w:val="28"/>
          <w:lang w:val="uk-UA"/>
        </w:rPr>
        <w:t xml:space="preserve"> у дівчат-підлітків з </w:t>
      </w:r>
      <w:r w:rsidR="00064714">
        <w:rPr>
          <w:rFonts w:ascii="Times New Roman" w:hAnsi="Times New Roman"/>
          <w:sz w:val="28"/>
          <w:szCs w:val="28"/>
          <w:lang w:val="uk-UA"/>
        </w:rPr>
        <w:t>порушенням менструальної функції</w:t>
      </w:r>
      <w:r w:rsidR="00064714">
        <w:rPr>
          <w:rFonts w:ascii="Times New Roman" w:hAnsi="Times New Roman"/>
          <w:sz w:val="28"/>
          <w:szCs w:val="28"/>
          <w:lang w:val="ru-RU"/>
        </w:rPr>
        <w:t xml:space="preserve"> ………………………….</w:t>
      </w:r>
      <w:r w:rsidR="00DF225F">
        <w:rPr>
          <w:rFonts w:ascii="Times New Roman" w:hAnsi="Times New Roman"/>
          <w:sz w:val="28"/>
          <w:szCs w:val="28"/>
          <w:lang w:val="ru-RU"/>
        </w:rPr>
        <w:t>91</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5.3</w:t>
      </w:r>
      <w:r w:rsidRPr="00BA30F5">
        <w:rPr>
          <w:rFonts w:ascii="Times New Roman" w:hAnsi="Times New Roman"/>
          <w:sz w:val="28"/>
          <w:szCs w:val="28"/>
          <w:lang w:val="uk-UA"/>
        </w:rPr>
        <w:t>. Фактори, що детермінують тяжкість запальних захворювань паро</w:t>
      </w:r>
      <w:r w:rsidR="00B43DC8">
        <w:rPr>
          <w:rFonts w:ascii="Times New Roman" w:hAnsi="Times New Roman"/>
          <w:sz w:val="28"/>
          <w:szCs w:val="28"/>
          <w:lang w:val="uk-UA"/>
        </w:rPr>
        <w:t>донта</w:t>
      </w:r>
      <w:r w:rsidRPr="00BA30F5">
        <w:rPr>
          <w:rFonts w:ascii="Times New Roman" w:hAnsi="Times New Roman"/>
          <w:sz w:val="28"/>
          <w:szCs w:val="28"/>
          <w:lang w:val="uk-UA"/>
        </w:rPr>
        <w:t xml:space="preserve"> у дівчат-підлітків з </w:t>
      </w:r>
      <w:r w:rsidR="00064714">
        <w:rPr>
          <w:rFonts w:ascii="Times New Roman" w:hAnsi="Times New Roman"/>
          <w:sz w:val="28"/>
          <w:szCs w:val="28"/>
          <w:lang w:val="uk-UA"/>
        </w:rPr>
        <w:t>порушенням менструальної функції</w:t>
      </w:r>
      <w:r w:rsidR="00064714">
        <w:rPr>
          <w:rFonts w:ascii="Times New Roman" w:hAnsi="Times New Roman"/>
          <w:sz w:val="28"/>
          <w:szCs w:val="28"/>
          <w:lang w:val="ru-RU"/>
        </w:rPr>
        <w:t xml:space="preserve"> ……………………</w:t>
      </w:r>
      <w:r w:rsidR="0017501B" w:rsidRPr="0017501B">
        <w:rPr>
          <w:rFonts w:ascii="Times New Roman" w:hAnsi="Times New Roman"/>
          <w:sz w:val="28"/>
          <w:szCs w:val="28"/>
          <w:lang w:val="ru-RU"/>
        </w:rPr>
        <w:t>.</w:t>
      </w:r>
      <w:r w:rsidR="00064714">
        <w:rPr>
          <w:rFonts w:ascii="Times New Roman" w:hAnsi="Times New Roman"/>
          <w:sz w:val="28"/>
          <w:szCs w:val="28"/>
          <w:lang w:val="ru-RU"/>
        </w:rPr>
        <w:t>…</w:t>
      </w:r>
      <w:r w:rsidR="00DF225F">
        <w:rPr>
          <w:rFonts w:ascii="Times New Roman" w:hAnsi="Times New Roman"/>
          <w:sz w:val="28"/>
          <w:szCs w:val="28"/>
          <w:lang w:val="ru-RU"/>
        </w:rPr>
        <w:t>115</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5.4</w:t>
      </w:r>
      <w:r w:rsidRPr="00BA30F5">
        <w:rPr>
          <w:rFonts w:ascii="Times New Roman" w:hAnsi="Times New Roman"/>
          <w:sz w:val="28"/>
          <w:szCs w:val="28"/>
          <w:lang w:val="uk-UA"/>
        </w:rPr>
        <w:t>. Предиктори тяжкості перебігу</w:t>
      </w:r>
      <w:r w:rsidR="00B43DC8">
        <w:rPr>
          <w:rFonts w:ascii="Times New Roman" w:hAnsi="Times New Roman"/>
          <w:sz w:val="28"/>
          <w:szCs w:val="28"/>
          <w:lang w:val="uk-UA"/>
        </w:rPr>
        <w:t xml:space="preserve"> запальних захворювань пародонта</w:t>
      </w:r>
      <w:r w:rsidRPr="00BA30F5">
        <w:rPr>
          <w:rFonts w:ascii="Times New Roman" w:hAnsi="Times New Roman"/>
          <w:sz w:val="28"/>
          <w:szCs w:val="28"/>
          <w:lang w:val="uk-UA"/>
        </w:rPr>
        <w:t xml:space="preserve"> у дівчат-підлітків з </w:t>
      </w:r>
      <w:r w:rsidR="00064714">
        <w:rPr>
          <w:rFonts w:ascii="Times New Roman" w:hAnsi="Times New Roman"/>
          <w:sz w:val="28"/>
          <w:szCs w:val="28"/>
          <w:lang w:val="uk-UA"/>
        </w:rPr>
        <w:t>порушенням менструальної функції ……………………</w:t>
      </w:r>
      <w:r w:rsidR="0017501B" w:rsidRPr="0017501B">
        <w:rPr>
          <w:rFonts w:ascii="Times New Roman" w:hAnsi="Times New Roman"/>
          <w:sz w:val="28"/>
          <w:szCs w:val="28"/>
          <w:lang w:val="ru-RU"/>
        </w:rPr>
        <w:t>..</w:t>
      </w:r>
      <w:r w:rsidR="00064714">
        <w:rPr>
          <w:rFonts w:ascii="Times New Roman" w:hAnsi="Times New Roman"/>
          <w:sz w:val="28"/>
          <w:szCs w:val="28"/>
          <w:lang w:val="uk-UA"/>
        </w:rPr>
        <w:t>…..</w:t>
      </w:r>
      <w:r w:rsidR="001F6A04">
        <w:rPr>
          <w:rFonts w:ascii="Times New Roman" w:hAnsi="Times New Roman"/>
          <w:sz w:val="28"/>
          <w:szCs w:val="28"/>
          <w:lang w:val="uk-UA"/>
        </w:rPr>
        <w:t>1</w:t>
      </w:r>
      <w:r w:rsidR="00DF225F">
        <w:rPr>
          <w:rFonts w:ascii="Times New Roman" w:hAnsi="Times New Roman"/>
          <w:sz w:val="28"/>
          <w:szCs w:val="28"/>
          <w:lang w:val="ru-RU"/>
        </w:rPr>
        <w:t>34</w:t>
      </w:r>
    </w:p>
    <w:p w:rsidR="00247ACA" w:rsidRPr="00064714"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Розділ </w:t>
      </w:r>
      <w:r w:rsidRPr="00985167">
        <w:rPr>
          <w:rFonts w:ascii="Times New Roman" w:hAnsi="Times New Roman"/>
          <w:sz w:val="28"/>
          <w:szCs w:val="28"/>
          <w:lang w:val="uk-UA"/>
        </w:rPr>
        <w:t>6</w:t>
      </w:r>
      <w:r>
        <w:rPr>
          <w:rFonts w:ascii="Times New Roman" w:hAnsi="Times New Roman"/>
          <w:sz w:val="28"/>
          <w:szCs w:val="28"/>
          <w:lang w:val="uk-UA"/>
        </w:rPr>
        <w:t>. Система диференційованої профілактики запаль</w:t>
      </w:r>
      <w:r w:rsidR="00B43DC8">
        <w:rPr>
          <w:rFonts w:ascii="Times New Roman" w:hAnsi="Times New Roman"/>
          <w:sz w:val="28"/>
          <w:szCs w:val="28"/>
          <w:lang w:val="uk-UA"/>
        </w:rPr>
        <w:t>них захворювань тканин пародонта</w:t>
      </w:r>
      <w:r>
        <w:rPr>
          <w:rFonts w:ascii="Times New Roman" w:hAnsi="Times New Roman"/>
          <w:sz w:val="28"/>
          <w:szCs w:val="28"/>
          <w:lang w:val="uk-UA"/>
        </w:rPr>
        <w:t xml:space="preserve">  у дівчат-підлітків з </w:t>
      </w:r>
      <w:r w:rsidR="00064714">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і її ефективність</w:t>
      </w:r>
      <w:r w:rsidR="00064714">
        <w:rPr>
          <w:rFonts w:ascii="Times New Roman" w:hAnsi="Times New Roman"/>
          <w:sz w:val="28"/>
          <w:szCs w:val="28"/>
          <w:lang w:val="uk-UA"/>
        </w:rPr>
        <w:t xml:space="preserve"> …………………………………………………..</w:t>
      </w:r>
      <w:r>
        <w:rPr>
          <w:rFonts w:ascii="Times New Roman" w:hAnsi="Times New Roman"/>
          <w:sz w:val="28"/>
          <w:szCs w:val="28"/>
          <w:lang w:val="uk-UA"/>
        </w:rPr>
        <w:t>…</w:t>
      </w:r>
      <w:r w:rsidR="001F6A04">
        <w:rPr>
          <w:rFonts w:ascii="Times New Roman" w:hAnsi="Times New Roman"/>
          <w:sz w:val="28"/>
          <w:szCs w:val="28"/>
          <w:lang w:val="uk-UA"/>
        </w:rPr>
        <w:t>………</w:t>
      </w:r>
      <w:r w:rsidR="005C1EA2" w:rsidRPr="00064714">
        <w:rPr>
          <w:rFonts w:ascii="Times New Roman" w:hAnsi="Times New Roman"/>
          <w:sz w:val="28"/>
          <w:szCs w:val="28"/>
          <w:lang w:val="uk-UA"/>
        </w:rPr>
        <w:t>…</w:t>
      </w:r>
      <w:r w:rsidR="001F6A04">
        <w:rPr>
          <w:rFonts w:ascii="Times New Roman" w:hAnsi="Times New Roman"/>
          <w:sz w:val="28"/>
          <w:szCs w:val="28"/>
          <w:lang w:val="uk-UA"/>
        </w:rPr>
        <w:t>……</w:t>
      </w:r>
      <w:r w:rsidR="0017501B" w:rsidRPr="0017501B">
        <w:rPr>
          <w:rFonts w:ascii="Times New Roman" w:hAnsi="Times New Roman"/>
          <w:sz w:val="28"/>
          <w:szCs w:val="28"/>
          <w:lang w:val="uk-UA"/>
        </w:rPr>
        <w:t>...</w:t>
      </w:r>
      <w:r w:rsidR="001F6A04">
        <w:rPr>
          <w:rFonts w:ascii="Times New Roman" w:hAnsi="Times New Roman"/>
          <w:sz w:val="28"/>
          <w:szCs w:val="28"/>
          <w:lang w:val="uk-UA"/>
        </w:rPr>
        <w:t>...1</w:t>
      </w:r>
      <w:r w:rsidR="00DF225F" w:rsidRPr="00064714">
        <w:rPr>
          <w:rFonts w:ascii="Times New Roman" w:hAnsi="Times New Roman"/>
          <w:sz w:val="28"/>
          <w:szCs w:val="28"/>
          <w:lang w:val="uk-UA"/>
        </w:rPr>
        <w:t>58</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Аналіз і узагальнення отриманих результатів</w:t>
      </w:r>
      <w:r w:rsidR="00A06011">
        <w:rPr>
          <w:rFonts w:ascii="Times New Roman" w:hAnsi="Times New Roman"/>
          <w:sz w:val="28"/>
          <w:szCs w:val="28"/>
          <w:lang w:val="uk-UA"/>
        </w:rPr>
        <w:t xml:space="preserve"> дослідження….</w:t>
      </w:r>
      <w:r w:rsidR="005C1EA2">
        <w:rPr>
          <w:rFonts w:ascii="Times New Roman" w:hAnsi="Times New Roman"/>
          <w:sz w:val="28"/>
          <w:szCs w:val="28"/>
          <w:lang w:val="uk-UA"/>
        </w:rPr>
        <w:t>………</w:t>
      </w:r>
      <w:r w:rsidR="005C1EA2" w:rsidRPr="005C1EA2">
        <w:rPr>
          <w:rFonts w:ascii="Times New Roman" w:hAnsi="Times New Roman"/>
          <w:sz w:val="28"/>
          <w:szCs w:val="28"/>
          <w:lang w:val="ru-RU"/>
        </w:rPr>
        <w:t>..</w:t>
      </w:r>
      <w:r w:rsidR="001F6A04">
        <w:rPr>
          <w:rFonts w:ascii="Times New Roman" w:hAnsi="Times New Roman"/>
          <w:sz w:val="28"/>
          <w:szCs w:val="28"/>
          <w:lang w:val="uk-UA"/>
        </w:rPr>
        <w:t>…1</w:t>
      </w:r>
      <w:r w:rsidR="00DF225F">
        <w:rPr>
          <w:rFonts w:ascii="Times New Roman" w:hAnsi="Times New Roman"/>
          <w:sz w:val="28"/>
          <w:szCs w:val="28"/>
          <w:lang w:val="ru-RU"/>
        </w:rPr>
        <w:t>71</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Висновки……………………………………………………</w:t>
      </w:r>
      <w:r w:rsidR="005C1EA2">
        <w:rPr>
          <w:rFonts w:ascii="Times New Roman" w:hAnsi="Times New Roman"/>
          <w:sz w:val="28"/>
          <w:szCs w:val="28"/>
          <w:lang w:val="uk-UA"/>
        </w:rPr>
        <w:t>………</w:t>
      </w:r>
      <w:r w:rsidR="005C1EA2" w:rsidRPr="005C1EA2">
        <w:rPr>
          <w:rFonts w:ascii="Times New Roman" w:hAnsi="Times New Roman"/>
          <w:sz w:val="28"/>
          <w:szCs w:val="28"/>
          <w:lang w:val="ru-RU"/>
        </w:rPr>
        <w:t>..</w:t>
      </w:r>
      <w:r w:rsidR="001F6A04">
        <w:rPr>
          <w:rFonts w:ascii="Times New Roman" w:hAnsi="Times New Roman"/>
          <w:sz w:val="28"/>
          <w:szCs w:val="28"/>
          <w:lang w:val="uk-UA"/>
        </w:rPr>
        <w:t>………..1</w:t>
      </w:r>
      <w:r w:rsidR="00DF225F">
        <w:rPr>
          <w:rFonts w:ascii="Times New Roman" w:hAnsi="Times New Roman"/>
          <w:sz w:val="28"/>
          <w:szCs w:val="28"/>
          <w:lang w:val="ru-RU"/>
        </w:rPr>
        <w:t>85</w:t>
      </w:r>
    </w:p>
    <w:p w:rsidR="00247ACA" w:rsidRPr="001F6A04" w:rsidRDefault="00247AC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Практичні рекомендації……………………………</w:t>
      </w:r>
      <w:r w:rsidR="005C1EA2">
        <w:rPr>
          <w:rFonts w:ascii="Times New Roman" w:hAnsi="Times New Roman"/>
          <w:sz w:val="28"/>
          <w:szCs w:val="28"/>
          <w:lang w:val="uk-UA"/>
        </w:rPr>
        <w:t>……………</w:t>
      </w:r>
      <w:r w:rsidR="005C1EA2">
        <w:rPr>
          <w:rFonts w:ascii="Times New Roman" w:hAnsi="Times New Roman"/>
          <w:sz w:val="28"/>
          <w:szCs w:val="28"/>
          <w:lang w:val="ru-RU"/>
        </w:rPr>
        <w:t>…</w:t>
      </w:r>
      <w:r w:rsidR="005C1EA2" w:rsidRPr="005C1EA2">
        <w:rPr>
          <w:rFonts w:ascii="Times New Roman" w:hAnsi="Times New Roman"/>
          <w:sz w:val="28"/>
          <w:szCs w:val="28"/>
          <w:lang w:val="ru-RU"/>
        </w:rPr>
        <w:t>...</w:t>
      </w:r>
      <w:r w:rsidR="001F6A04">
        <w:rPr>
          <w:rFonts w:ascii="Times New Roman" w:hAnsi="Times New Roman"/>
          <w:sz w:val="28"/>
          <w:szCs w:val="28"/>
          <w:lang w:val="uk-UA"/>
        </w:rPr>
        <w:t>……….1</w:t>
      </w:r>
      <w:r w:rsidR="001F6A04" w:rsidRPr="001F6A04">
        <w:rPr>
          <w:rFonts w:ascii="Times New Roman" w:hAnsi="Times New Roman"/>
          <w:sz w:val="28"/>
          <w:szCs w:val="28"/>
          <w:lang w:val="ru-RU"/>
        </w:rPr>
        <w:t>8</w:t>
      </w:r>
      <w:r w:rsidR="00DF225F">
        <w:rPr>
          <w:rFonts w:ascii="Times New Roman" w:hAnsi="Times New Roman"/>
          <w:sz w:val="28"/>
          <w:szCs w:val="28"/>
          <w:lang w:val="ru-RU"/>
        </w:rPr>
        <w:t>7</w:t>
      </w:r>
    </w:p>
    <w:p w:rsidR="00247ACA" w:rsidRDefault="00064714"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Список використаних джерел…</w:t>
      </w:r>
      <w:r w:rsidR="00247ACA">
        <w:rPr>
          <w:rFonts w:ascii="Times New Roman" w:hAnsi="Times New Roman"/>
          <w:sz w:val="28"/>
          <w:szCs w:val="28"/>
          <w:lang w:val="uk-UA"/>
        </w:rPr>
        <w:t>………………………………</w:t>
      </w:r>
      <w:r w:rsidR="005C1EA2">
        <w:rPr>
          <w:rFonts w:ascii="Times New Roman" w:hAnsi="Times New Roman"/>
          <w:sz w:val="28"/>
          <w:szCs w:val="28"/>
          <w:lang w:val="uk-UA"/>
        </w:rPr>
        <w:t>……</w:t>
      </w:r>
      <w:r w:rsidR="005C1EA2" w:rsidRPr="005C1EA2">
        <w:rPr>
          <w:rFonts w:ascii="Times New Roman" w:hAnsi="Times New Roman"/>
          <w:sz w:val="28"/>
          <w:szCs w:val="28"/>
          <w:lang w:val="ru-RU"/>
        </w:rPr>
        <w:t>..</w:t>
      </w:r>
      <w:r w:rsidR="001F6A04">
        <w:rPr>
          <w:rFonts w:ascii="Times New Roman" w:hAnsi="Times New Roman"/>
          <w:sz w:val="28"/>
          <w:szCs w:val="28"/>
          <w:lang w:val="uk-UA"/>
        </w:rPr>
        <w:t>…</w:t>
      </w:r>
      <w:r w:rsidR="0017501B" w:rsidRPr="00C21F54">
        <w:rPr>
          <w:rFonts w:ascii="Times New Roman" w:hAnsi="Times New Roman"/>
          <w:sz w:val="28"/>
          <w:szCs w:val="28"/>
          <w:lang w:val="ru-RU"/>
        </w:rPr>
        <w:t>.</w:t>
      </w:r>
      <w:r w:rsidR="001F6A04">
        <w:rPr>
          <w:rFonts w:ascii="Times New Roman" w:hAnsi="Times New Roman"/>
          <w:sz w:val="28"/>
          <w:szCs w:val="28"/>
          <w:lang w:val="uk-UA"/>
        </w:rPr>
        <w:t>…...1</w:t>
      </w:r>
      <w:r w:rsidR="00DF225F">
        <w:rPr>
          <w:rFonts w:ascii="Times New Roman" w:hAnsi="Times New Roman"/>
          <w:sz w:val="28"/>
          <w:szCs w:val="28"/>
          <w:lang w:val="ru-RU"/>
        </w:rPr>
        <w:t>88</w:t>
      </w:r>
    </w:p>
    <w:p w:rsidR="00DF225F" w:rsidRPr="001F6A04" w:rsidRDefault="007D01D7"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Додатки </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Pr>
          <w:rFonts w:ascii="Times New Roman" w:hAnsi="Times New Roman"/>
          <w:sz w:val="28"/>
          <w:szCs w:val="28"/>
          <w:lang w:val="ru-RU"/>
        </w:rPr>
        <w:t>………………</w:t>
      </w:r>
      <w:r w:rsidRPr="007D01D7">
        <w:rPr>
          <w:rFonts w:ascii="Times New Roman" w:hAnsi="Times New Roman"/>
          <w:sz w:val="28"/>
          <w:szCs w:val="28"/>
          <w:lang w:val="ru-RU"/>
        </w:rPr>
        <w:t>.</w:t>
      </w:r>
      <w:r w:rsidR="00DF225F">
        <w:rPr>
          <w:rFonts w:ascii="Times New Roman" w:hAnsi="Times New Roman"/>
          <w:sz w:val="28"/>
          <w:szCs w:val="28"/>
          <w:lang w:val="ru-RU"/>
        </w:rPr>
        <w:t>……………222</w:t>
      </w:r>
    </w:p>
    <w:p w:rsidR="00247ACA" w:rsidRDefault="00247ACA"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B43DC8" w:rsidRDefault="00B43DC8" w:rsidP="005C1EA2">
      <w:pPr>
        <w:spacing w:line="360" w:lineRule="auto"/>
        <w:ind w:firstLine="709"/>
        <w:jc w:val="both"/>
        <w:rPr>
          <w:rFonts w:ascii="Times New Roman" w:hAnsi="Times New Roman"/>
          <w:sz w:val="28"/>
          <w:szCs w:val="28"/>
          <w:lang w:val="uk-UA"/>
        </w:rPr>
      </w:pPr>
    </w:p>
    <w:p w:rsidR="00064714" w:rsidRDefault="00064714" w:rsidP="005C1EA2">
      <w:pPr>
        <w:spacing w:line="360" w:lineRule="auto"/>
        <w:ind w:firstLine="709"/>
        <w:jc w:val="both"/>
        <w:rPr>
          <w:rFonts w:ascii="Times New Roman" w:hAnsi="Times New Roman"/>
          <w:sz w:val="28"/>
          <w:szCs w:val="28"/>
          <w:lang w:val="uk-UA"/>
        </w:rPr>
      </w:pPr>
    </w:p>
    <w:p w:rsidR="00247ACA" w:rsidRDefault="00247ACA" w:rsidP="005C1EA2">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lastRenderedPageBreak/>
        <w:t xml:space="preserve">Перелік умовних </w:t>
      </w:r>
      <w:r w:rsidR="00E9580E">
        <w:rPr>
          <w:rFonts w:ascii="Times New Roman" w:hAnsi="Times New Roman"/>
          <w:sz w:val="28"/>
          <w:szCs w:val="28"/>
          <w:lang w:val="uk-UA"/>
        </w:rPr>
        <w:t>позначень</w:t>
      </w:r>
    </w:p>
    <w:p w:rsidR="00247ACA" w:rsidRDefault="00247ACA" w:rsidP="005C1EA2">
      <w:pPr>
        <w:spacing w:line="360" w:lineRule="auto"/>
        <w:ind w:firstLine="709"/>
        <w:jc w:val="center"/>
        <w:rPr>
          <w:rFonts w:ascii="Times New Roman" w:hAnsi="Times New Roman"/>
          <w:sz w:val="28"/>
          <w:szCs w:val="28"/>
          <w:lang w:val="uk-UA"/>
        </w:rPr>
      </w:pPr>
    </w:p>
    <w:p w:rsidR="00E9580E" w:rsidRDefault="00E9580E"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ГРВІ – гострі респіраторно-вірусні інфекції</w:t>
      </w:r>
    </w:p>
    <w:p w:rsidR="00B43DC8" w:rsidRDefault="00B43DC8"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ЗЗП – запальні захворювання пародонта </w:t>
      </w:r>
    </w:p>
    <w:p w:rsidR="00B43DC8" w:rsidRDefault="00B43DC8"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 – інформативність</w:t>
      </w:r>
    </w:p>
    <w:p w:rsidR="00B452CB" w:rsidRDefault="00B452CB"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ІМТ – індекс маси тіла</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КЛ – коефіцієнт </w:t>
      </w:r>
      <w:r w:rsidR="00E9580E">
        <w:rPr>
          <w:rFonts w:ascii="Times New Roman" w:hAnsi="Times New Roman"/>
          <w:sz w:val="28"/>
          <w:szCs w:val="28"/>
          <w:lang w:val="uk-UA"/>
        </w:rPr>
        <w:t>лабіалізації</w:t>
      </w:r>
    </w:p>
    <w:p w:rsidR="00E9580E" w:rsidRDefault="00E9580E"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ЛОР- ларингооторинологічний</w:t>
      </w:r>
    </w:p>
    <w:p w:rsidR="00E9580E" w:rsidRDefault="00E9580E"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МКАТ - мілікатал</w:t>
      </w:r>
    </w:p>
    <w:p w:rsidR="00B43DC8" w:rsidRDefault="00B43DC8"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ПК – прогностичний коефіцієнт</w:t>
      </w:r>
    </w:p>
    <w:p w:rsidR="00B43DC8" w:rsidRDefault="00B43DC8"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ПКВ -  показник кореляційних відмінностей</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ПМФ – порушення менструальної функції</w:t>
      </w:r>
    </w:p>
    <w:p w:rsidR="00BB171C" w:rsidRDefault="00BB171C"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 – порожнина рота</w:t>
      </w:r>
    </w:p>
    <w:p w:rsidR="00B43DC8" w:rsidRDefault="00B452CB"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OHI-S  - спроще</w:t>
      </w:r>
      <w:r w:rsidRPr="00B452CB">
        <w:rPr>
          <w:rFonts w:ascii="Times New Roman" w:hAnsi="Times New Roman"/>
          <w:sz w:val="28"/>
          <w:szCs w:val="28"/>
          <w:lang w:val="uk-UA"/>
        </w:rPr>
        <w:t>ний індекс гігієни за Грином-Вермільоном</w:t>
      </w:r>
    </w:p>
    <w:p w:rsidR="00B452CB" w:rsidRDefault="00B452CB"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РМА – папілярно-маргінально-альвеолярний індекс</w:t>
      </w:r>
    </w:p>
    <w:p w:rsidR="00B43DC8" w:rsidRPr="00B452CB" w:rsidRDefault="00B452CB" w:rsidP="005C1EA2">
      <w:pPr>
        <w:spacing w:line="360" w:lineRule="auto"/>
        <w:ind w:firstLine="709"/>
        <w:jc w:val="both"/>
        <w:rPr>
          <w:rFonts w:ascii="Times New Roman" w:hAnsi="Times New Roman"/>
          <w:sz w:val="28"/>
          <w:szCs w:val="28"/>
          <w:lang w:val="uk-UA"/>
        </w:rPr>
      </w:pPr>
      <w:r>
        <w:rPr>
          <w:rFonts w:ascii="Times New Roman" w:hAnsi="Times New Roman"/>
          <w:sz w:val="28"/>
          <w:szCs w:val="28"/>
        </w:rPr>
        <w:t>sIgA</w:t>
      </w:r>
      <w:r>
        <w:rPr>
          <w:rFonts w:ascii="Times New Roman" w:hAnsi="Times New Roman"/>
          <w:sz w:val="28"/>
          <w:szCs w:val="28"/>
          <w:lang w:val="uk-UA"/>
        </w:rPr>
        <w:t xml:space="preserve"> – секреторний імуноглобулін А</w:t>
      </w:r>
    </w:p>
    <w:p w:rsidR="00247ACA" w:rsidRDefault="00247ACA" w:rsidP="005C1EA2">
      <w:pPr>
        <w:spacing w:line="360" w:lineRule="auto"/>
        <w:ind w:firstLine="709"/>
        <w:jc w:val="both"/>
        <w:rPr>
          <w:rFonts w:ascii="Times New Roman" w:hAnsi="Times New Roman"/>
          <w:sz w:val="28"/>
          <w:szCs w:val="28"/>
          <w:lang w:val="uk-UA"/>
        </w:rPr>
      </w:pPr>
    </w:p>
    <w:p w:rsidR="00247ACA" w:rsidRDefault="00247ACA"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B452CB" w:rsidRDefault="00B452CB" w:rsidP="005C1EA2">
      <w:pPr>
        <w:spacing w:line="360" w:lineRule="auto"/>
        <w:ind w:firstLine="709"/>
        <w:jc w:val="both"/>
        <w:rPr>
          <w:rFonts w:ascii="Times New Roman" w:hAnsi="Times New Roman"/>
          <w:sz w:val="28"/>
          <w:szCs w:val="28"/>
          <w:lang w:val="uk-UA"/>
        </w:rPr>
      </w:pPr>
    </w:p>
    <w:p w:rsidR="00E9580E" w:rsidRDefault="00E9580E" w:rsidP="005C1EA2">
      <w:pPr>
        <w:spacing w:line="360" w:lineRule="auto"/>
        <w:ind w:firstLine="709"/>
        <w:jc w:val="center"/>
        <w:rPr>
          <w:rFonts w:ascii="Times New Roman" w:hAnsi="Times New Roman"/>
          <w:b/>
          <w:sz w:val="28"/>
          <w:szCs w:val="28"/>
          <w:lang w:val="uk-UA"/>
        </w:rPr>
      </w:pPr>
    </w:p>
    <w:p w:rsidR="00247ACA" w:rsidRDefault="00247ACA" w:rsidP="005C1EA2">
      <w:pPr>
        <w:spacing w:line="360" w:lineRule="auto"/>
        <w:ind w:firstLine="709"/>
        <w:jc w:val="center"/>
        <w:rPr>
          <w:rFonts w:ascii="Times New Roman" w:hAnsi="Times New Roman"/>
          <w:sz w:val="28"/>
          <w:szCs w:val="28"/>
          <w:lang w:val="uk-UA"/>
        </w:rPr>
      </w:pPr>
      <w:r w:rsidRPr="00B452CB">
        <w:rPr>
          <w:rFonts w:ascii="Times New Roman" w:hAnsi="Times New Roman"/>
          <w:b/>
          <w:sz w:val="28"/>
          <w:szCs w:val="28"/>
          <w:lang w:val="uk-UA"/>
        </w:rPr>
        <w:lastRenderedPageBreak/>
        <w:t>ВСТУП</w:t>
      </w:r>
    </w:p>
    <w:p w:rsidR="00247ACA" w:rsidRDefault="00247ACA" w:rsidP="005C1EA2">
      <w:pPr>
        <w:spacing w:line="360" w:lineRule="auto"/>
        <w:ind w:firstLine="709"/>
        <w:jc w:val="center"/>
        <w:rPr>
          <w:rFonts w:ascii="Times New Roman" w:hAnsi="Times New Roman"/>
          <w:sz w:val="28"/>
          <w:szCs w:val="28"/>
          <w:lang w:val="uk-UA"/>
        </w:rPr>
      </w:pPr>
    </w:p>
    <w:p w:rsidR="00247ACA" w:rsidRPr="00BA30F5" w:rsidRDefault="00247ACA" w:rsidP="005C1EA2">
      <w:pPr>
        <w:spacing w:line="360" w:lineRule="auto"/>
        <w:ind w:firstLine="709"/>
        <w:jc w:val="both"/>
        <w:rPr>
          <w:rFonts w:ascii="Times New Roman" w:hAnsi="Times New Roman"/>
          <w:sz w:val="20"/>
          <w:szCs w:val="20"/>
          <w:lang w:val="uk-UA"/>
        </w:rPr>
      </w:pPr>
      <w:r w:rsidRPr="00E2769D">
        <w:rPr>
          <w:rFonts w:ascii="Times New Roman" w:hAnsi="Times New Roman"/>
          <w:b/>
          <w:sz w:val="28"/>
          <w:szCs w:val="28"/>
          <w:lang w:val="uk-UA"/>
        </w:rPr>
        <w:t>Актуальність теми</w:t>
      </w:r>
      <w:r>
        <w:rPr>
          <w:rFonts w:ascii="Times New Roman" w:hAnsi="Times New Roman"/>
          <w:sz w:val="28"/>
          <w:szCs w:val="28"/>
          <w:lang w:val="uk-UA"/>
        </w:rPr>
        <w:t xml:space="preserve"> </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Порушення менструальної функції у підлітковому віці стає все більш актуальною проблемою сьогодення </w:t>
      </w:r>
      <w:r w:rsidR="00DE1E68" w:rsidRPr="00DE1E68">
        <w:rPr>
          <w:rFonts w:ascii="Times New Roman" w:hAnsi="Times New Roman"/>
          <w:sz w:val="28"/>
          <w:szCs w:val="28"/>
          <w:lang w:val="ru-RU"/>
        </w:rPr>
        <w:t>[16, 63, 106, 118, 120, 263, 266]</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дівчат-підлітків основні причини виникнення порушень менструальної функції пов’язують з підвищенням психоемоційного навантаження на неповністю сформований організм, впливом різноманітних техногенних факторів, нераціональним харчуванням, недотриманням здорового способу життя та ін. </w:t>
      </w:r>
      <w:r w:rsidR="00DE1E68" w:rsidRPr="00BD4FE3">
        <w:rPr>
          <w:rFonts w:ascii="Times New Roman" w:hAnsi="Times New Roman"/>
          <w:sz w:val="28"/>
          <w:szCs w:val="28"/>
          <w:lang w:val="ru-RU"/>
        </w:rPr>
        <w:t>[45, 118, 124, 263, 266]</w:t>
      </w:r>
      <w:r>
        <w:rPr>
          <w:rFonts w:ascii="Times New Roman" w:hAnsi="Times New Roman"/>
          <w:sz w:val="28"/>
          <w:szCs w:val="28"/>
          <w:lang w:val="uk-UA"/>
        </w:rPr>
        <w:t>. Оскільки дана проблема має загальні провокуючі фактори, вона не обмежується суто гінекологічними проявами.</w:t>
      </w:r>
    </w:p>
    <w:p w:rsidR="00247ACA" w:rsidRPr="00985167"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Однією з найбільш злободенних проблем сучасної стоматології є запальні захворювання пародонта, в тому числі у підлітковому віці. Оскільки до причин, що викликають розвиток запалення у пародонті, відносять як місцеві (мікробний фактор, травми), так і системні (соматичні захворювання, гормональні порушення, психоемоційні стреси, фізичні перевантаження), підлітки становлять собою групу значного ризику стосовно захворювань </w:t>
      </w:r>
      <w:r w:rsidRPr="00985167">
        <w:rPr>
          <w:rFonts w:ascii="Times New Roman" w:hAnsi="Times New Roman"/>
          <w:sz w:val="28"/>
          <w:szCs w:val="28"/>
          <w:lang w:val="uk-UA"/>
        </w:rPr>
        <w:t xml:space="preserve">пародонта, враховуючи особливий стан перебудови їхнього організму, в якому вони перебувають. </w:t>
      </w:r>
    </w:p>
    <w:p w:rsidR="00247ACA" w:rsidRDefault="00247ACA" w:rsidP="005C1EA2">
      <w:pPr>
        <w:spacing w:line="360" w:lineRule="auto"/>
        <w:ind w:firstLine="709"/>
        <w:jc w:val="both"/>
        <w:rPr>
          <w:rFonts w:ascii="Times New Roman" w:hAnsi="Times New Roman"/>
          <w:sz w:val="28"/>
          <w:szCs w:val="28"/>
          <w:lang w:val="uk-UA"/>
        </w:rPr>
      </w:pPr>
      <w:r w:rsidRPr="00985167">
        <w:rPr>
          <w:rFonts w:ascii="Times New Roman" w:hAnsi="Times New Roman"/>
          <w:sz w:val="28"/>
          <w:szCs w:val="28"/>
          <w:lang w:val="uk-UA"/>
        </w:rPr>
        <w:t>Тому необхідність розробки</w:t>
      </w:r>
      <w:r>
        <w:rPr>
          <w:rFonts w:ascii="Times New Roman" w:hAnsi="Times New Roman"/>
          <w:sz w:val="28"/>
          <w:szCs w:val="28"/>
          <w:lang w:val="uk-UA"/>
        </w:rPr>
        <w:t xml:space="preserve"> схем диференційованої профілактики захворювань пародонта одноголосно визнана багатьма авторами </w:t>
      </w:r>
      <w:r w:rsidR="00DE1E68" w:rsidRPr="00DE1E68">
        <w:rPr>
          <w:rFonts w:ascii="Times New Roman" w:hAnsi="Times New Roman"/>
          <w:sz w:val="28"/>
          <w:szCs w:val="28"/>
          <w:lang w:val="ru-RU"/>
        </w:rPr>
        <w:t xml:space="preserve">[ 18, 80, </w:t>
      </w:r>
      <w:r w:rsidR="00DE1E68">
        <w:rPr>
          <w:rFonts w:ascii="Times New Roman" w:hAnsi="Times New Roman"/>
          <w:sz w:val="28"/>
          <w:szCs w:val="28"/>
          <w:lang w:val="ru-RU"/>
        </w:rPr>
        <w:t>158</w:t>
      </w:r>
      <w:r w:rsidR="00DE1E68" w:rsidRPr="00DE1E68">
        <w:rPr>
          <w:rFonts w:ascii="Times New Roman" w:hAnsi="Times New Roman"/>
          <w:sz w:val="28"/>
          <w:szCs w:val="28"/>
          <w:lang w:val="ru-RU"/>
        </w:rPr>
        <w:t>, 173, 271, 282]</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сьогоднішній день майже відсутні дані стосовно особливостей перебігу запальних процесів в пародонті на тлі порушення менструальної функції у дівчат-підлітків. Невирішеним залишається питання про наявність взаємозв’язку між розвитком запальних захворювань пародонта і порушеною менструальною функцією. Немає специфічно розробленої системи профілактики запальних захворювань тканин пародонта для дівчат-підлітків з порушенням менструальної функції, за</w:t>
      </w:r>
      <w:r w:rsidR="00BE7C02">
        <w:rPr>
          <w:rFonts w:ascii="Times New Roman" w:hAnsi="Times New Roman"/>
          <w:sz w:val="28"/>
          <w:szCs w:val="28"/>
          <w:lang w:val="uk-UA"/>
        </w:rPr>
        <w:t>снованої на індивідуальному ранж</w:t>
      </w:r>
      <w:r>
        <w:rPr>
          <w:rFonts w:ascii="Times New Roman" w:hAnsi="Times New Roman"/>
          <w:sz w:val="28"/>
          <w:szCs w:val="28"/>
          <w:lang w:val="uk-UA"/>
        </w:rPr>
        <w:t>уванні  несприятливих прогностичних факторів, і ефективність якої було б доведено.</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Все вищевказане і стало підставою для виконання даного дослідження.</w:t>
      </w:r>
    </w:p>
    <w:p w:rsidR="00247ACA" w:rsidRPr="00E91429" w:rsidRDefault="00247ACA" w:rsidP="005C1EA2">
      <w:pPr>
        <w:spacing w:line="360" w:lineRule="auto"/>
        <w:ind w:firstLine="709"/>
        <w:jc w:val="both"/>
        <w:rPr>
          <w:rFonts w:ascii="Times New Roman" w:hAnsi="Times New Roman"/>
          <w:b/>
          <w:sz w:val="28"/>
          <w:szCs w:val="28"/>
          <w:lang w:val="uk-UA"/>
        </w:rPr>
      </w:pPr>
      <w:r w:rsidRPr="00E91429">
        <w:rPr>
          <w:rFonts w:ascii="Times New Roman" w:hAnsi="Times New Roman"/>
          <w:b/>
          <w:sz w:val="28"/>
          <w:szCs w:val="28"/>
          <w:lang w:val="uk-UA"/>
        </w:rPr>
        <w:lastRenderedPageBreak/>
        <w:t>Зв'язок роботи з науков</w:t>
      </w:r>
      <w:r w:rsidR="009252D8">
        <w:rPr>
          <w:rFonts w:ascii="Times New Roman" w:hAnsi="Times New Roman"/>
          <w:b/>
          <w:sz w:val="28"/>
          <w:szCs w:val="28"/>
          <w:lang w:val="uk-UA"/>
        </w:rPr>
        <w:t>ими програмами, планами, темами</w:t>
      </w:r>
    </w:p>
    <w:p w:rsidR="000926C9" w:rsidRPr="000926C9" w:rsidRDefault="00247ACA" w:rsidP="005C1EA2">
      <w:pPr>
        <w:spacing w:line="360" w:lineRule="auto"/>
        <w:ind w:firstLine="709"/>
        <w:jc w:val="both"/>
        <w:rPr>
          <w:rFonts w:ascii="Times New Roman" w:hAnsi="Times New Roman"/>
          <w:color w:val="000000"/>
          <w:sz w:val="28"/>
          <w:szCs w:val="28"/>
          <w:lang w:val="uk-UA" w:eastAsia="ru-RU"/>
        </w:rPr>
      </w:pPr>
      <w:r w:rsidRPr="000926C9">
        <w:rPr>
          <w:rFonts w:ascii="Times New Roman" w:hAnsi="Times New Roman"/>
          <w:sz w:val="28"/>
          <w:szCs w:val="28"/>
          <w:lang w:val="uk-UA"/>
        </w:rPr>
        <w:t>Дисертаційна робота виконана у рамках науково-дослідної роботи кафедри стоматології Харківського національного медичного університету «</w:t>
      </w:r>
      <w:r w:rsidR="000926C9" w:rsidRPr="000926C9">
        <w:rPr>
          <w:rFonts w:ascii="Times New Roman" w:hAnsi="Times New Roman"/>
          <w:color w:val="000000"/>
          <w:sz w:val="28"/>
          <w:szCs w:val="28"/>
          <w:lang w:val="uk-UA" w:eastAsia="ru-RU"/>
        </w:rPr>
        <w:t>Розробка нових методів діагностики, лікування та профілактики патології щелепно-лицевої ділянки у дітей та дорослих</w:t>
      </w:r>
      <w:r w:rsidRPr="000926C9">
        <w:rPr>
          <w:rFonts w:ascii="Times New Roman" w:hAnsi="Times New Roman"/>
          <w:sz w:val="28"/>
          <w:szCs w:val="28"/>
          <w:lang w:val="uk-UA"/>
        </w:rPr>
        <w:t>», № державної реєстрації</w:t>
      </w:r>
      <w:r w:rsidR="000926C9" w:rsidRPr="000926C9">
        <w:rPr>
          <w:rFonts w:ascii="Times New Roman" w:hAnsi="Times New Roman"/>
          <w:sz w:val="28"/>
          <w:szCs w:val="28"/>
          <w:lang w:val="uk-UA"/>
        </w:rPr>
        <w:t xml:space="preserve"> </w:t>
      </w:r>
      <w:r w:rsidR="000926C9" w:rsidRPr="000926C9">
        <w:rPr>
          <w:rFonts w:ascii="Times New Roman" w:hAnsi="Times New Roman"/>
          <w:color w:val="000000"/>
          <w:sz w:val="28"/>
          <w:szCs w:val="28"/>
          <w:lang w:val="uk-UA" w:eastAsia="ru-RU"/>
        </w:rPr>
        <w:t>0115</w:t>
      </w:r>
      <w:r w:rsidR="000926C9" w:rsidRPr="000926C9">
        <w:rPr>
          <w:rFonts w:ascii="Times New Roman" w:hAnsi="Times New Roman"/>
          <w:color w:val="000000"/>
          <w:sz w:val="28"/>
          <w:szCs w:val="28"/>
          <w:lang w:val="ru-RU" w:eastAsia="ru-RU"/>
        </w:rPr>
        <w:t>U</w:t>
      </w:r>
      <w:r w:rsidR="000926C9" w:rsidRPr="000926C9">
        <w:rPr>
          <w:rFonts w:ascii="Times New Roman" w:hAnsi="Times New Roman"/>
          <w:color w:val="000000"/>
          <w:sz w:val="28"/>
          <w:szCs w:val="28"/>
          <w:lang w:val="uk-UA" w:eastAsia="ru-RU"/>
        </w:rPr>
        <w:t xml:space="preserve">000230; «Удосконалення та розробка нових індивідуалізованих методів діагностики та лікування стоматологічних захворювань у дітей та дорослих», </w:t>
      </w:r>
      <w:r w:rsidR="000926C9" w:rsidRPr="000926C9">
        <w:rPr>
          <w:rFonts w:ascii="Times New Roman" w:hAnsi="Times New Roman"/>
          <w:sz w:val="28"/>
          <w:szCs w:val="28"/>
          <w:lang w:val="uk-UA"/>
        </w:rPr>
        <w:t xml:space="preserve">№ державної реєстрації </w:t>
      </w:r>
      <w:r w:rsidR="000926C9" w:rsidRPr="000926C9">
        <w:rPr>
          <w:rFonts w:ascii="Times New Roman" w:hAnsi="Times New Roman"/>
          <w:color w:val="000000"/>
          <w:sz w:val="28"/>
          <w:szCs w:val="28"/>
          <w:lang w:val="uk-UA" w:eastAsia="ru-RU"/>
        </w:rPr>
        <w:t>0112</w:t>
      </w:r>
      <w:r w:rsidR="000926C9" w:rsidRPr="000926C9">
        <w:rPr>
          <w:rFonts w:ascii="Times New Roman" w:hAnsi="Times New Roman"/>
          <w:color w:val="000000"/>
          <w:sz w:val="28"/>
          <w:szCs w:val="28"/>
          <w:lang w:val="ru-RU" w:eastAsia="ru-RU"/>
        </w:rPr>
        <w:t> U </w:t>
      </w:r>
      <w:r w:rsidR="000926C9" w:rsidRPr="000926C9">
        <w:rPr>
          <w:rFonts w:ascii="Times New Roman" w:hAnsi="Times New Roman"/>
          <w:color w:val="000000"/>
          <w:sz w:val="28"/>
          <w:szCs w:val="28"/>
          <w:lang w:val="uk-UA" w:eastAsia="ru-RU"/>
        </w:rPr>
        <w:t>002382</w:t>
      </w:r>
    </w:p>
    <w:p w:rsidR="00247ACA" w:rsidRDefault="00247ACA" w:rsidP="005C1EA2">
      <w:pPr>
        <w:spacing w:line="360" w:lineRule="auto"/>
        <w:ind w:firstLine="709"/>
        <w:jc w:val="both"/>
        <w:rPr>
          <w:rFonts w:ascii="Times New Roman" w:hAnsi="Times New Roman"/>
          <w:sz w:val="28"/>
          <w:szCs w:val="28"/>
          <w:lang w:val="uk-UA"/>
        </w:rPr>
      </w:pPr>
      <w:r w:rsidRPr="005B3835">
        <w:rPr>
          <w:rFonts w:ascii="Times New Roman" w:hAnsi="Times New Roman"/>
          <w:b/>
          <w:sz w:val="28"/>
          <w:szCs w:val="28"/>
          <w:lang w:val="uk-UA"/>
        </w:rPr>
        <w:t>Мета роботи</w:t>
      </w:r>
    </w:p>
    <w:p w:rsidR="00247ACA" w:rsidRDefault="00247ACA" w:rsidP="005C1EA2">
      <w:pPr>
        <w:spacing w:line="360" w:lineRule="auto"/>
        <w:ind w:firstLine="709"/>
        <w:jc w:val="both"/>
        <w:rPr>
          <w:rFonts w:ascii="Times New Roman" w:hAnsi="Times New Roman"/>
          <w:sz w:val="28"/>
          <w:szCs w:val="28"/>
          <w:lang w:val="uk-UA"/>
        </w:rPr>
      </w:pPr>
      <w:r w:rsidRPr="00985167">
        <w:rPr>
          <w:rFonts w:ascii="Times New Roman" w:hAnsi="Times New Roman"/>
          <w:sz w:val="28"/>
          <w:szCs w:val="28"/>
          <w:lang w:val="uk-UA"/>
        </w:rPr>
        <w:t>Підвищити ефективність профілактики запальних захворювань пародонта у дівчат-підлітків з порушенням менструальної функції шляхом комплексного аналізу стану тканин пародонта, виявлення факторів, що визначають розвиток і характер їх перебігу, ро</w:t>
      </w:r>
      <w:r w:rsidR="00985167" w:rsidRPr="00985167">
        <w:rPr>
          <w:rFonts w:ascii="Times New Roman" w:hAnsi="Times New Roman"/>
          <w:sz w:val="28"/>
          <w:szCs w:val="28"/>
          <w:lang w:val="uk-UA"/>
        </w:rPr>
        <w:t>зробки прогностичних алгоритмів</w:t>
      </w:r>
      <w:r w:rsidRPr="00985167">
        <w:rPr>
          <w:rFonts w:ascii="Times New Roman" w:hAnsi="Times New Roman"/>
          <w:sz w:val="28"/>
          <w:szCs w:val="28"/>
          <w:lang w:val="uk-UA"/>
        </w:rPr>
        <w:t xml:space="preserve"> та обґрунтування на цій основі системи диференційованої індивідуалізованої профілактики.</w:t>
      </w:r>
    </w:p>
    <w:p w:rsidR="00247ACA" w:rsidRDefault="00247ACA" w:rsidP="005C1EA2">
      <w:pPr>
        <w:spacing w:line="360" w:lineRule="auto"/>
        <w:ind w:firstLine="709"/>
        <w:jc w:val="both"/>
        <w:rPr>
          <w:rFonts w:ascii="Times New Roman" w:hAnsi="Times New Roman"/>
          <w:sz w:val="28"/>
          <w:szCs w:val="28"/>
          <w:lang w:val="uk-UA"/>
        </w:rPr>
      </w:pPr>
      <w:r w:rsidRPr="005B3835">
        <w:rPr>
          <w:rFonts w:ascii="Times New Roman" w:hAnsi="Times New Roman"/>
          <w:b/>
          <w:sz w:val="28"/>
          <w:szCs w:val="28"/>
          <w:lang w:val="uk-UA"/>
        </w:rPr>
        <w:t>Задачі дослідження</w:t>
      </w:r>
    </w:p>
    <w:p w:rsidR="00247ACA" w:rsidRDefault="00247ACA" w:rsidP="005C1EA2">
      <w:pPr>
        <w:spacing w:line="360" w:lineRule="auto"/>
        <w:ind w:firstLine="709"/>
        <w:jc w:val="both"/>
        <w:rPr>
          <w:rFonts w:ascii="Times New Roman" w:hAnsi="Times New Roman"/>
          <w:sz w:val="28"/>
          <w:szCs w:val="28"/>
          <w:lang w:val="uk-UA"/>
        </w:rPr>
      </w:pPr>
      <w:r w:rsidRPr="00985167">
        <w:rPr>
          <w:rFonts w:ascii="Times New Roman" w:hAnsi="Times New Roman"/>
          <w:sz w:val="28"/>
          <w:szCs w:val="28"/>
          <w:lang w:val="uk-UA"/>
        </w:rPr>
        <w:t xml:space="preserve">1. </w:t>
      </w:r>
      <w:r w:rsidR="00985167" w:rsidRPr="00985167">
        <w:rPr>
          <w:rFonts w:ascii="Times New Roman" w:hAnsi="Times New Roman"/>
          <w:sz w:val="28"/>
          <w:szCs w:val="28"/>
          <w:lang w:val="uk-UA"/>
        </w:rPr>
        <w:t>Вивчити показники пар</w:t>
      </w:r>
      <w:r w:rsidRPr="00985167">
        <w:rPr>
          <w:rFonts w:ascii="Times New Roman" w:hAnsi="Times New Roman"/>
          <w:sz w:val="28"/>
          <w:szCs w:val="28"/>
          <w:lang w:val="uk-UA"/>
        </w:rPr>
        <w:t xml:space="preserve">одонтологічного статусу у дівчат-підлітків з </w:t>
      </w:r>
      <w:r w:rsidR="00E9580E">
        <w:rPr>
          <w:rFonts w:ascii="Times New Roman" w:hAnsi="Times New Roman"/>
          <w:sz w:val="28"/>
          <w:szCs w:val="28"/>
          <w:lang w:val="uk-UA"/>
        </w:rPr>
        <w:t>порушенням менструальної функції</w:t>
      </w:r>
      <w:r w:rsidRPr="00985167">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Встановити фактори, що визначають розвиток запальних захворювань пародонта у дівчат-підлітків з </w:t>
      </w:r>
      <w:r w:rsidR="00E9580E">
        <w:rPr>
          <w:rFonts w:ascii="Times New Roman" w:hAnsi="Times New Roman"/>
          <w:sz w:val="28"/>
          <w:szCs w:val="28"/>
          <w:lang w:val="uk-UA"/>
        </w:rPr>
        <w:t>порушенням менструальної функції</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Виявити фактори, що визначають тяжкість запальних захворювань пародонта у дівчат-підлітків з </w:t>
      </w:r>
      <w:r w:rsidR="00E9580E">
        <w:rPr>
          <w:rFonts w:ascii="Times New Roman" w:hAnsi="Times New Roman"/>
          <w:sz w:val="28"/>
          <w:szCs w:val="28"/>
          <w:lang w:val="uk-UA"/>
        </w:rPr>
        <w:t>порушенням менструальної функції</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Обґрунтувати критерії прогнозу розвитку і тяжкості перебігу запальних захворювань пародонта у дівчат-підлітків з </w:t>
      </w:r>
      <w:r w:rsidR="00E9580E">
        <w:rPr>
          <w:rFonts w:ascii="Times New Roman" w:hAnsi="Times New Roman"/>
          <w:sz w:val="28"/>
          <w:szCs w:val="28"/>
          <w:lang w:val="uk-UA"/>
        </w:rPr>
        <w:t>порушенням менструальної функції</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985167">
        <w:rPr>
          <w:rFonts w:ascii="Times New Roman" w:hAnsi="Times New Roman"/>
          <w:sz w:val="28"/>
          <w:szCs w:val="28"/>
          <w:lang w:val="uk-UA"/>
        </w:rPr>
        <w:t>Розробити систему диференційованої індивідуально спрямованої</w:t>
      </w:r>
      <w:r>
        <w:rPr>
          <w:rFonts w:ascii="Times New Roman" w:hAnsi="Times New Roman"/>
          <w:sz w:val="28"/>
          <w:szCs w:val="28"/>
          <w:lang w:val="uk-UA"/>
        </w:rPr>
        <w:t xml:space="preserve"> профілактики розвитку запальних захворювань пародонта у дівчат-підлітків з </w:t>
      </w:r>
      <w:r w:rsidR="00E9580E">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і оцінити її ефективність.</w:t>
      </w:r>
    </w:p>
    <w:p w:rsidR="00247ACA" w:rsidRPr="00B066D9" w:rsidRDefault="00247ACA" w:rsidP="005C1EA2">
      <w:pPr>
        <w:spacing w:line="360" w:lineRule="auto"/>
        <w:ind w:firstLine="709"/>
        <w:jc w:val="both"/>
        <w:rPr>
          <w:rFonts w:ascii="Times New Roman" w:hAnsi="Times New Roman"/>
          <w:i/>
          <w:sz w:val="28"/>
          <w:szCs w:val="28"/>
          <w:lang w:val="uk-UA"/>
        </w:rPr>
      </w:pPr>
      <w:r w:rsidRPr="00B066D9">
        <w:rPr>
          <w:rFonts w:ascii="Times New Roman" w:hAnsi="Times New Roman"/>
          <w:b/>
          <w:i/>
          <w:sz w:val="28"/>
          <w:szCs w:val="28"/>
          <w:lang w:val="uk-UA"/>
        </w:rPr>
        <w:t>Об’єкт дослідження</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Запальні захворювання пародонта у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w:t>
      </w:r>
    </w:p>
    <w:p w:rsidR="00DE1E68" w:rsidRPr="00BD4FE3" w:rsidRDefault="00DE1E68" w:rsidP="005C1EA2">
      <w:pPr>
        <w:spacing w:line="360" w:lineRule="auto"/>
        <w:ind w:firstLine="709"/>
        <w:jc w:val="both"/>
        <w:rPr>
          <w:rFonts w:ascii="Times New Roman" w:hAnsi="Times New Roman"/>
          <w:b/>
          <w:sz w:val="28"/>
          <w:szCs w:val="28"/>
          <w:lang w:val="uk-UA"/>
        </w:rPr>
      </w:pPr>
    </w:p>
    <w:p w:rsidR="00247ACA" w:rsidRPr="00B066D9" w:rsidRDefault="00247ACA" w:rsidP="005C1EA2">
      <w:pPr>
        <w:spacing w:line="360" w:lineRule="auto"/>
        <w:ind w:firstLine="709"/>
        <w:jc w:val="both"/>
        <w:rPr>
          <w:rFonts w:ascii="Times New Roman" w:hAnsi="Times New Roman"/>
          <w:i/>
          <w:sz w:val="28"/>
          <w:szCs w:val="28"/>
          <w:lang w:val="uk-UA"/>
        </w:rPr>
      </w:pPr>
      <w:r w:rsidRPr="00B066D9">
        <w:rPr>
          <w:rFonts w:ascii="Times New Roman" w:hAnsi="Times New Roman"/>
          <w:b/>
          <w:i/>
          <w:sz w:val="28"/>
          <w:szCs w:val="28"/>
          <w:lang w:val="uk-UA"/>
        </w:rPr>
        <w:lastRenderedPageBreak/>
        <w:t>Предмет дослідження</w:t>
      </w:r>
    </w:p>
    <w:p w:rsidR="00247ACA" w:rsidRDefault="00247ACA" w:rsidP="005C1EA2">
      <w:pPr>
        <w:spacing w:line="360" w:lineRule="auto"/>
        <w:ind w:firstLine="709"/>
        <w:jc w:val="both"/>
        <w:rPr>
          <w:rFonts w:ascii="Times New Roman" w:hAnsi="Times New Roman"/>
          <w:sz w:val="28"/>
          <w:szCs w:val="28"/>
          <w:lang w:val="uk-UA"/>
        </w:rPr>
      </w:pPr>
      <w:r w:rsidRPr="00985167">
        <w:rPr>
          <w:rFonts w:ascii="Times New Roman" w:hAnsi="Times New Roman"/>
          <w:sz w:val="28"/>
          <w:szCs w:val="28"/>
          <w:lang w:val="uk-UA"/>
        </w:rPr>
        <w:t>Клінічний пародонтологічний статус, імунометаболічні властивості ротової рідини, цитологічні особливості ясен, мінеральна щільність альвеолярної кістки у дівчат-підлітків</w:t>
      </w:r>
      <w:r w:rsidR="00C21F54">
        <w:rPr>
          <w:rFonts w:ascii="Times New Roman" w:hAnsi="Times New Roman"/>
          <w:sz w:val="28"/>
          <w:szCs w:val="28"/>
          <w:lang w:val="uk-UA"/>
        </w:rPr>
        <w:t xml:space="preserve"> з запальними захворюваннями пародонта</w:t>
      </w:r>
      <w:r w:rsidRPr="00985167">
        <w:rPr>
          <w:rFonts w:ascii="Times New Roman" w:hAnsi="Times New Roman"/>
          <w:sz w:val="28"/>
          <w:szCs w:val="28"/>
          <w:lang w:val="uk-UA"/>
        </w:rPr>
        <w:t xml:space="preserve"> на тлі </w:t>
      </w:r>
      <w:r w:rsidR="00BD4FE3">
        <w:rPr>
          <w:rFonts w:ascii="Times New Roman" w:hAnsi="Times New Roman"/>
          <w:sz w:val="28"/>
          <w:szCs w:val="28"/>
          <w:lang w:val="uk-UA"/>
        </w:rPr>
        <w:t>порушення менструальної функції</w:t>
      </w:r>
      <w:r w:rsidRPr="00985167">
        <w:rPr>
          <w:rFonts w:ascii="Times New Roman" w:hAnsi="Times New Roman"/>
          <w:sz w:val="28"/>
          <w:szCs w:val="28"/>
          <w:lang w:val="uk-UA"/>
        </w:rPr>
        <w:t xml:space="preserve"> до та після використання розроблених профілактичних заходів.</w:t>
      </w:r>
    </w:p>
    <w:p w:rsidR="00247ACA" w:rsidRDefault="00247ACA" w:rsidP="005C1EA2">
      <w:pPr>
        <w:spacing w:line="360" w:lineRule="auto"/>
        <w:ind w:firstLine="709"/>
        <w:jc w:val="both"/>
        <w:rPr>
          <w:rFonts w:ascii="Times New Roman" w:hAnsi="Times New Roman"/>
          <w:sz w:val="28"/>
          <w:szCs w:val="28"/>
          <w:lang w:val="uk-UA"/>
        </w:rPr>
      </w:pPr>
      <w:r w:rsidRPr="00D37183">
        <w:rPr>
          <w:rFonts w:ascii="Times New Roman" w:hAnsi="Times New Roman"/>
          <w:b/>
          <w:sz w:val="28"/>
          <w:szCs w:val="28"/>
          <w:lang w:val="uk-UA"/>
        </w:rPr>
        <w:t>Методи дослідження</w:t>
      </w:r>
      <w:r>
        <w:rPr>
          <w:rFonts w:ascii="Times New Roman" w:hAnsi="Times New Roman"/>
          <w:sz w:val="28"/>
          <w:szCs w:val="28"/>
          <w:lang w:val="uk-UA"/>
        </w:rPr>
        <w:t xml:space="preserve">: клініко-анамнестичні – </w:t>
      </w:r>
      <w:r w:rsidRPr="00985167">
        <w:rPr>
          <w:rFonts w:ascii="Times New Roman" w:hAnsi="Times New Roman"/>
          <w:sz w:val="28"/>
          <w:szCs w:val="28"/>
          <w:lang w:val="uk-UA"/>
        </w:rPr>
        <w:t>для  визначення стану гіг</w:t>
      </w:r>
      <w:r w:rsidR="00985167">
        <w:rPr>
          <w:rFonts w:ascii="Times New Roman" w:hAnsi="Times New Roman"/>
          <w:sz w:val="28"/>
          <w:szCs w:val="28"/>
          <w:lang w:val="uk-UA"/>
        </w:rPr>
        <w:t>і</w:t>
      </w:r>
      <w:r w:rsidRPr="00985167">
        <w:rPr>
          <w:rFonts w:ascii="Times New Roman" w:hAnsi="Times New Roman"/>
          <w:sz w:val="28"/>
          <w:szCs w:val="28"/>
          <w:lang w:val="uk-UA"/>
        </w:rPr>
        <w:t xml:space="preserve">єни </w:t>
      </w:r>
      <w:r w:rsidR="00BD4FE3">
        <w:rPr>
          <w:rFonts w:ascii="Times New Roman" w:hAnsi="Times New Roman"/>
          <w:sz w:val="28"/>
          <w:szCs w:val="28"/>
          <w:lang w:val="uk-UA"/>
        </w:rPr>
        <w:t>порожнини рота</w:t>
      </w:r>
      <w:r w:rsidRPr="00985167">
        <w:rPr>
          <w:rFonts w:ascii="Times New Roman" w:hAnsi="Times New Roman"/>
          <w:sz w:val="28"/>
          <w:szCs w:val="28"/>
          <w:lang w:val="uk-UA"/>
        </w:rPr>
        <w:t xml:space="preserve">, твердих тканин зубів, ступеню запалення тканин пародонта й виділення факторів, що детермінують розвиток </w:t>
      </w:r>
      <w:r w:rsidR="00BD4FE3">
        <w:rPr>
          <w:rFonts w:ascii="Times New Roman" w:hAnsi="Times New Roman"/>
          <w:sz w:val="28"/>
          <w:szCs w:val="28"/>
          <w:lang w:val="uk-UA"/>
        </w:rPr>
        <w:t>запальних захворювань пародонта</w:t>
      </w:r>
      <w:r w:rsidRPr="00985167">
        <w:rPr>
          <w:rFonts w:ascii="Times New Roman" w:hAnsi="Times New Roman"/>
          <w:sz w:val="28"/>
          <w:szCs w:val="28"/>
          <w:lang w:val="uk-UA"/>
        </w:rPr>
        <w:t>;</w:t>
      </w:r>
      <w:r w:rsidR="00985167">
        <w:rPr>
          <w:rFonts w:ascii="Times New Roman" w:hAnsi="Times New Roman"/>
          <w:sz w:val="28"/>
          <w:szCs w:val="28"/>
          <w:lang w:val="uk-UA"/>
        </w:rPr>
        <w:t xml:space="preserve"> </w:t>
      </w:r>
      <w:r w:rsidRPr="00985167">
        <w:rPr>
          <w:rFonts w:ascii="Times New Roman" w:hAnsi="Times New Roman"/>
          <w:sz w:val="28"/>
          <w:szCs w:val="28"/>
          <w:lang w:val="uk-UA"/>
        </w:rPr>
        <w:t>цитологічні – для дослідження стану епітеліальних клітин ясен; рентгенологічні – для з᾿ясування  структурно-оптичної щільності кісткової тканини пародонта;  лабораторні</w:t>
      </w:r>
      <w:r w:rsidR="00985167">
        <w:rPr>
          <w:rFonts w:ascii="Times New Roman" w:hAnsi="Times New Roman"/>
          <w:sz w:val="28"/>
          <w:szCs w:val="28"/>
          <w:lang w:val="uk-UA"/>
        </w:rPr>
        <w:t xml:space="preserve"> </w:t>
      </w:r>
      <w:r w:rsidRPr="00985167">
        <w:rPr>
          <w:rFonts w:ascii="Times New Roman" w:hAnsi="Times New Roman"/>
          <w:sz w:val="28"/>
          <w:szCs w:val="28"/>
          <w:lang w:val="uk-UA"/>
        </w:rPr>
        <w:t>– для визначення імунобіологічних та біохіміч</w:t>
      </w:r>
      <w:r w:rsidR="00985167">
        <w:rPr>
          <w:rFonts w:ascii="Times New Roman" w:hAnsi="Times New Roman"/>
          <w:sz w:val="28"/>
          <w:szCs w:val="28"/>
          <w:lang w:val="uk-UA"/>
        </w:rPr>
        <w:t>них властивостей ротової рідини</w:t>
      </w:r>
      <w:r w:rsidRPr="00985167">
        <w:rPr>
          <w:rFonts w:ascii="Times New Roman" w:hAnsi="Times New Roman"/>
          <w:sz w:val="28"/>
          <w:szCs w:val="28"/>
          <w:lang w:val="uk-UA"/>
        </w:rPr>
        <w:t>, аналітико-статистичні</w:t>
      </w:r>
      <w:r w:rsidR="00985167">
        <w:rPr>
          <w:rFonts w:ascii="Times New Roman" w:hAnsi="Times New Roman"/>
          <w:sz w:val="28"/>
          <w:szCs w:val="28"/>
          <w:lang w:val="uk-UA"/>
        </w:rPr>
        <w:t xml:space="preserve"> </w:t>
      </w:r>
      <w:r w:rsidRPr="00985167">
        <w:rPr>
          <w:rFonts w:ascii="Times New Roman" w:hAnsi="Times New Roman"/>
          <w:sz w:val="28"/>
          <w:szCs w:val="28"/>
          <w:lang w:val="uk-UA"/>
        </w:rPr>
        <w:t>– для визначення відмінностей між групами, для виділення критеріїв прогнозування та створення алгоритму прогнозування розвитку й</w:t>
      </w:r>
      <w:r w:rsidR="00985167">
        <w:rPr>
          <w:rFonts w:ascii="Times New Roman" w:hAnsi="Times New Roman"/>
          <w:sz w:val="28"/>
          <w:szCs w:val="28"/>
          <w:lang w:val="uk-UA"/>
        </w:rPr>
        <w:t xml:space="preserve"> </w:t>
      </w:r>
      <w:r w:rsidRPr="00985167">
        <w:rPr>
          <w:rFonts w:ascii="Times New Roman" w:hAnsi="Times New Roman"/>
          <w:sz w:val="28"/>
          <w:szCs w:val="28"/>
          <w:lang w:val="uk-UA"/>
        </w:rPr>
        <w:t xml:space="preserve">тяжкості перебігу захворювань пародонта у дівчат-підлітків з </w:t>
      </w:r>
      <w:r w:rsidR="00BD4FE3">
        <w:rPr>
          <w:rFonts w:ascii="Times New Roman" w:hAnsi="Times New Roman"/>
          <w:sz w:val="28"/>
          <w:szCs w:val="28"/>
          <w:lang w:val="uk-UA"/>
        </w:rPr>
        <w:t>порушенням менструальної функції</w:t>
      </w:r>
      <w:r w:rsidRPr="00985167">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b/>
          <w:sz w:val="28"/>
          <w:szCs w:val="28"/>
          <w:lang w:val="uk-UA"/>
        </w:rPr>
      </w:pPr>
      <w:r w:rsidRPr="000D19E1">
        <w:rPr>
          <w:rFonts w:ascii="Times New Roman" w:hAnsi="Times New Roman"/>
          <w:b/>
          <w:sz w:val="28"/>
          <w:szCs w:val="28"/>
          <w:lang w:val="uk-UA"/>
        </w:rPr>
        <w:t>Наукова новизна</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Вперше показано, що </w:t>
      </w:r>
      <w:r w:rsidR="00BD4FE3">
        <w:rPr>
          <w:rFonts w:ascii="Times New Roman" w:hAnsi="Times New Roman"/>
          <w:sz w:val="28"/>
          <w:szCs w:val="28"/>
          <w:lang w:val="uk-UA"/>
        </w:rPr>
        <w:t>порушення менструальної функції</w:t>
      </w:r>
      <w:r>
        <w:rPr>
          <w:rFonts w:ascii="Times New Roman" w:hAnsi="Times New Roman"/>
          <w:sz w:val="28"/>
          <w:szCs w:val="28"/>
          <w:lang w:val="uk-UA"/>
        </w:rPr>
        <w:t xml:space="preserve"> у дівчат-підлітків сприяє розвитку більш тяжких форм запальних захворювань пародонта.</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Вперше встановлено пре- і постнатальні фактори, що детермінують розвиток і тяжкість запальних захворювань пародонту у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серед яких провідну роль відіграють ступінь коморбідності хронічної соматичної патології у підлітків, батьків і прабатьків, наявність поєднаних аномалій зубо-щелепної системи і ступінь дисбіозу </w:t>
      </w:r>
      <w:r w:rsidR="00BD4FE3">
        <w:rPr>
          <w:rFonts w:ascii="Times New Roman" w:hAnsi="Times New Roman"/>
          <w:sz w:val="28"/>
          <w:szCs w:val="28"/>
          <w:lang w:val="uk-UA"/>
        </w:rPr>
        <w:t>порожнини рота</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Вперше виявлено, що розвиток і характер перебігу запальних захворювань пародонта у дівчат-підлітків визначається патогенетичною матрицею, яка при  сприятливих результатах складається з небагатьох і ізольованих зв’язків між факторами ризику, а патогенетичний паттерн запальних захворювань пародонта </w:t>
      </w:r>
      <w:r>
        <w:rPr>
          <w:rFonts w:ascii="Times New Roman" w:hAnsi="Times New Roman"/>
          <w:sz w:val="28"/>
          <w:szCs w:val="28"/>
          <w:lang w:val="uk-UA"/>
        </w:rPr>
        <w:lastRenderedPageBreak/>
        <w:t>містить монолітну кореляційну структуру з множиною різночасових зв’язків, що робить її стійкою до профілактичних заходів.</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Вперше обґрунтовані критерії прогнозування розвитку і тяжкості перебігу запальних захворювань пародонта у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і запропонована концепція про випереджуючу за часом діагностику (на основі прогнозування) їх тяжкості як основи системи профілактики.</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Отримав подальший розвиток напрямок </w:t>
      </w:r>
      <w:r w:rsidR="00BE7C02">
        <w:rPr>
          <w:rFonts w:ascii="Times New Roman" w:hAnsi="Times New Roman"/>
          <w:sz w:val="28"/>
          <w:szCs w:val="28"/>
          <w:lang w:val="uk-UA"/>
        </w:rPr>
        <w:t>щодо системи</w:t>
      </w:r>
      <w:r>
        <w:rPr>
          <w:rFonts w:ascii="Times New Roman" w:hAnsi="Times New Roman"/>
          <w:sz w:val="28"/>
          <w:szCs w:val="28"/>
          <w:lang w:val="uk-UA"/>
        </w:rPr>
        <w:t xml:space="preserve"> профілактики запальних захворювань пародонта у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за рахунок її вдосконалення з використанням прогностичних сценаріїв.</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Доповнено положення, що ефективна профілактика запальних захворювань пародонта у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сприяє підвищенню ефективності лікування іншої соматичної патології, особливо </w:t>
      </w:r>
      <w:r w:rsidR="00BD4FE3">
        <w:rPr>
          <w:rFonts w:ascii="Times New Roman" w:hAnsi="Times New Roman"/>
          <w:sz w:val="28"/>
          <w:szCs w:val="28"/>
          <w:lang w:val="uk-UA"/>
        </w:rPr>
        <w:t>порушення менструальної функції</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sidRPr="00A13826">
        <w:rPr>
          <w:rFonts w:ascii="Times New Roman" w:hAnsi="Times New Roman"/>
          <w:b/>
          <w:sz w:val="28"/>
          <w:szCs w:val="28"/>
          <w:lang w:val="uk-UA"/>
        </w:rPr>
        <w:t>Практична значимість отриманих результатів</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Розроблені прогностичні</w:t>
      </w:r>
      <w:r w:rsidR="00BE7C02">
        <w:rPr>
          <w:rFonts w:ascii="Times New Roman" w:hAnsi="Times New Roman"/>
          <w:sz w:val="28"/>
          <w:szCs w:val="28"/>
          <w:lang w:val="uk-UA"/>
        </w:rPr>
        <w:t xml:space="preserve"> алгоритми дозволяють клініцистам</w:t>
      </w:r>
      <w:r>
        <w:rPr>
          <w:rFonts w:ascii="Times New Roman" w:hAnsi="Times New Roman"/>
          <w:sz w:val="28"/>
          <w:szCs w:val="28"/>
          <w:lang w:val="uk-UA"/>
        </w:rPr>
        <w:t xml:space="preserve">  здійснювати надійне прогнозування розвитку і перебігу запальних захворювань пародонта у дівчат-підлітків з </w:t>
      </w:r>
      <w:r w:rsidR="00BD4FE3">
        <w:rPr>
          <w:rFonts w:ascii="Times New Roman" w:hAnsi="Times New Roman"/>
          <w:sz w:val="28"/>
          <w:szCs w:val="28"/>
          <w:lang w:val="uk-UA"/>
        </w:rPr>
        <w:t>порушенням менструальної функції</w:t>
      </w:r>
      <w:r w:rsidR="00BD4FE3" w:rsidRPr="00BD4FE3">
        <w:rPr>
          <w:rFonts w:ascii="Times New Roman" w:hAnsi="Times New Roman"/>
          <w:sz w:val="28"/>
          <w:szCs w:val="28"/>
          <w:lang w:val="uk-UA"/>
        </w:rPr>
        <w:t xml:space="preserve"> </w:t>
      </w:r>
      <w:r>
        <w:rPr>
          <w:rFonts w:ascii="Times New Roman" w:hAnsi="Times New Roman"/>
          <w:sz w:val="28"/>
          <w:szCs w:val="28"/>
          <w:lang w:val="uk-UA"/>
        </w:rPr>
        <w:t>і індивідуалізувати проведення їм профілактичних заходів.</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Запропоновані (на основі варіантів прогнозу) групи ризику за розвитком запальних захворювань пародонта у дівчат-підлітків з</w:t>
      </w:r>
      <w:r w:rsidR="00BE7C02">
        <w:rPr>
          <w:rFonts w:ascii="Times New Roman" w:hAnsi="Times New Roman"/>
          <w:sz w:val="28"/>
          <w:szCs w:val="28"/>
          <w:lang w:val="uk-UA"/>
        </w:rPr>
        <w:t xml:space="preserve"> </w:t>
      </w:r>
      <w:r w:rsidR="00BD4FE3">
        <w:rPr>
          <w:rFonts w:ascii="Times New Roman" w:hAnsi="Times New Roman"/>
          <w:sz w:val="28"/>
          <w:szCs w:val="28"/>
          <w:lang w:val="uk-UA"/>
        </w:rPr>
        <w:t>порушенням менструальної функції</w:t>
      </w:r>
      <w:r w:rsidR="00BE7C02">
        <w:rPr>
          <w:rFonts w:ascii="Times New Roman" w:hAnsi="Times New Roman"/>
          <w:sz w:val="28"/>
          <w:szCs w:val="28"/>
          <w:lang w:val="uk-UA"/>
        </w:rPr>
        <w:t xml:space="preserve"> дають можливість клініцистам</w:t>
      </w:r>
      <w:r>
        <w:rPr>
          <w:rFonts w:ascii="Times New Roman" w:hAnsi="Times New Roman"/>
          <w:sz w:val="28"/>
          <w:szCs w:val="28"/>
          <w:lang w:val="uk-UA"/>
        </w:rPr>
        <w:t xml:space="preserve"> здійснювати ефективний моніторинг підлітків в процесі проведення їх диспансеризації.</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Висока надійність спрощених прогностичних алгоритмів дозволяє здійснювати безперешкодне їх застосування в практичній охороні здоров’я, так як не потребує жодних додаткових капіталовкладень.</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Запропонована інноваційна система профілактики запальних захворювань пародонта у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 xml:space="preserve"> дає можливість суттєво підвищити її ефективність у порівнянні з традиційною системою профілактики.</w:t>
      </w:r>
    </w:p>
    <w:p w:rsidR="00247ACA" w:rsidRPr="00C21F54"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Впровадження інноваційних розробок здійснювалося протягом 2014-2018 років в медичних закладах практичного профілю м.Харкова і Харківської області  та інших областей України. Матеріали дисертаційної роботи використовуються в учбовому </w:t>
      </w:r>
      <w:r w:rsidRPr="00C21F54">
        <w:rPr>
          <w:rFonts w:ascii="Times New Roman" w:hAnsi="Times New Roman"/>
          <w:sz w:val="28"/>
          <w:szCs w:val="28"/>
          <w:lang w:val="uk-UA"/>
        </w:rPr>
        <w:t xml:space="preserve">процесі </w:t>
      </w:r>
      <w:r w:rsidR="00C21F54" w:rsidRPr="00C21F54">
        <w:rPr>
          <w:rFonts w:ascii="Times New Roman" w:hAnsi="Times New Roman"/>
          <w:sz w:val="28"/>
          <w:szCs w:val="28"/>
          <w:lang w:val="uk-UA"/>
        </w:rPr>
        <w:t xml:space="preserve">кафедри стоматології Харківського національного медичного університету </w:t>
      </w:r>
      <w:r w:rsidR="00C21F54">
        <w:rPr>
          <w:rFonts w:ascii="Times New Roman" w:hAnsi="Times New Roman"/>
          <w:sz w:val="28"/>
          <w:szCs w:val="28"/>
          <w:lang w:val="uk-UA"/>
        </w:rPr>
        <w:t>МОЗ України, кафедри</w:t>
      </w:r>
      <w:r w:rsidR="00C21F54" w:rsidRPr="00C21F54">
        <w:rPr>
          <w:rFonts w:ascii="Times New Roman" w:hAnsi="Times New Roman"/>
          <w:sz w:val="28"/>
          <w:szCs w:val="28"/>
          <w:lang w:val="uk-UA"/>
        </w:rPr>
        <w:t xml:space="preserve"> </w:t>
      </w:r>
      <w:r w:rsidR="00C21F54">
        <w:rPr>
          <w:rStyle w:val="a7"/>
          <w:rFonts w:ascii="Times New Roman" w:hAnsi="Times New Roman"/>
          <w:b w:val="0"/>
          <w:sz w:val="28"/>
          <w:szCs w:val="28"/>
          <w:lang w:val="uk-UA"/>
        </w:rPr>
        <w:t>стоматології</w:t>
      </w:r>
      <w:r w:rsidR="00C21F54" w:rsidRPr="00C21F54">
        <w:rPr>
          <w:rStyle w:val="a7"/>
          <w:rFonts w:ascii="Times New Roman" w:hAnsi="Times New Roman"/>
          <w:b w:val="0"/>
          <w:bCs w:val="0"/>
          <w:sz w:val="28"/>
          <w:szCs w:val="28"/>
          <w:lang w:val="uk-UA"/>
        </w:rPr>
        <w:t xml:space="preserve"> </w:t>
      </w:r>
      <w:r w:rsidR="00C21F54" w:rsidRPr="00C21F54">
        <w:rPr>
          <w:rFonts w:ascii="Times New Roman" w:hAnsi="Times New Roman"/>
          <w:sz w:val="28"/>
          <w:szCs w:val="28"/>
          <w:lang w:val="uk-UA"/>
        </w:rPr>
        <w:t xml:space="preserve">дитячого віку ДВНЗ «Ужгородський національний університет», та кафедрі дитячої </w:t>
      </w:r>
      <w:r w:rsidR="00C21F54" w:rsidRPr="00C21F54">
        <w:rPr>
          <w:rStyle w:val="a7"/>
          <w:rFonts w:ascii="Times New Roman" w:hAnsi="Times New Roman"/>
          <w:b w:val="0"/>
          <w:sz w:val="28"/>
          <w:szCs w:val="28"/>
          <w:lang w:val="uk-UA"/>
        </w:rPr>
        <w:t xml:space="preserve">стоматології </w:t>
      </w:r>
      <w:r w:rsidR="00C21F54" w:rsidRPr="00C21F54">
        <w:rPr>
          <w:rFonts w:ascii="Times New Roman" w:hAnsi="Times New Roman"/>
          <w:sz w:val="28"/>
          <w:szCs w:val="28"/>
          <w:lang w:val="uk-UA"/>
        </w:rPr>
        <w:t>Українська медична стоматологічна академія МОЗ України, м. Полтава</w:t>
      </w:r>
      <w:r w:rsidRPr="00C21F54">
        <w:rPr>
          <w:rFonts w:ascii="Times New Roman" w:hAnsi="Times New Roman"/>
          <w:sz w:val="28"/>
          <w:szCs w:val="28"/>
          <w:lang w:val="uk-UA"/>
        </w:rPr>
        <w:t xml:space="preserve"> </w:t>
      </w:r>
    </w:p>
    <w:p w:rsidR="00247ACA" w:rsidRDefault="00247ACA" w:rsidP="005C1EA2">
      <w:pPr>
        <w:spacing w:line="360" w:lineRule="auto"/>
        <w:ind w:firstLine="709"/>
        <w:jc w:val="both"/>
        <w:rPr>
          <w:rFonts w:ascii="Times New Roman" w:hAnsi="Times New Roman"/>
          <w:sz w:val="28"/>
          <w:szCs w:val="28"/>
          <w:lang w:val="uk-UA"/>
        </w:rPr>
      </w:pPr>
      <w:r w:rsidRPr="00AA703B">
        <w:rPr>
          <w:rFonts w:ascii="Times New Roman" w:hAnsi="Times New Roman"/>
          <w:b/>
          <w:sz w:val="28"/>
          <w:szCs w:val="28"/>
          <w:lang w:val="uk-UA"/>
        </w:rPr>
        <w:t>Особистий внесок здобувача</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Дисертаційна робота є завершеним самостійним дослідженням. Здобувач самостійно опрацьював та узагальнив дані літератури, </w:t>
      </w:r>
      <w:r w:rsidRPr="00985167">
        <w:rPr>
          <w:rFonts w:ascii="Times New Roman" w:hAnsi="Times New Roman"/>
          <w:sz w:val="28"/>
          <w:szCs w:val="28"/>
          <w:lang w:val="uk-UA"/>
        </w:rPr>
        <w:t>разом із науковим керівником визначив мету та задачі дослідження, розробив методологію дослідження. Автор самостійно зібрав клінічний матеріал, брав участь в обстеженні, діагностиці, лікуванні та динамічному спостереженню</w:t>
      </w:r>
      <w:r>
        <w:rPr>
          <w:rFonts w:ascii="Times New Roman" w:hAnsi="Times New Roman"/>
          <w:sz w:val="28"/>
          <w:szCs w:val="28"/>
          <w:lang w:val="uk-UA"/>
        </w:rPr>
        <w:t xml:space="preserve"> дівчат-підлітків з </w:t>
      </w:r>
      <w:r w:rsidR="00BD4FE3">
        <w:rPr>
          <w:rFonts w:ascii="Times New Roman" w:hAnsi="Times New Roman"/>
          <w:sz w:val="28"/>
          <w:szCs w:val="28"/>
          <w:lang w:val="uk-UA"/>
        </w:rPr>
        <w:t>порушенням менструальної функції</w:t>
      </w:r>
      <w:r>
        <w:rPr>
          <w:rFonts w:ascii="Times New Roman" w:hAnsi="Times New Roman"/>
          <w:sz w:val="28"/>
          <w:szCs w:val="28"/>
          <w:lang w:val="uk-UA"/>
        </w:rPr>
        <w:t>.</w:t>
      </w:r>
    </w:p>
    <w:p w:rsidR="00247ACA" w:rsidRDefault="00247AC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Автором особисто проведено аналіз, інтерпретацію, статистичну обробку результатів дослідження, написано всі розділи дисертації, сформульовано основні положення  дисертації, висновки і практичні рекомендації, підготовлено до друку наукові праці  та виступи на конференціях.</w:t>
      </w:r>
    </w:p>
    <w:p w:rsidR="00282D41" w:rsidRPr="00123332" w:rsidRDefault="00282D41" w:rsidP="00282D41">
      <w:pPr>
        <w:spacing w:line="360" w:lineRule="auto"/>
        <w:ind w:firstLine="709"/>
        <w:jc w:val="both"/>
        <w:rPr>
          <w:rFonts w:ascii="Times New Roman" w:hAnsi="Times New Roman"/>
          <w:sz w:val="28"/>
          <w:szCs w:val="28"/>
          <w:u w:val="single"/>
          <w:lang w:val="uk-UA"/>
        </w:rPr>
      </w:pPr>
      <w:r w:rsidRPr="00282D41">
        <w:rPr>
          <w:rFonts w:ascii="Times New Roman" w:hAnsi="Times New Roman"/>
          <w:b/>
          <w:sz w:val="28"/>
          <w:szCs w:val="28"/>
          <w:lang w:val="uk-UA"/>
        </w:rPr>
        <w:t>Апробація результатів дисертації</w:t>
      </w:r>
    </w:p>
    <w:p w:rsidR="00282D41" w:rsidRDefault="00282D41" w:rsidP="00282D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Основні положення дисертації обговорювались та доповідались на Міжрегіональному симпозіумі «Актуальні питання акушерства, гінекології та дитячої гінекології (Харків, 2014); Науково-практичній конференції з участю міжнародних спеціалістів «Гофунговські чита</w:t>
      </w:r>
      <w:r w:rsidR="002653A6">
        <w:rPr>
          <w:rFonts w:ascii="Times New Roman" w:hAnsi="Times New Roman"/>
          <w:sz w:val="28"/>
          <w:szCs w:val="28"/>
          <w:lang w:val="uk-UA"/>
        </w:rPr>
        <w:t>ння» (</w:t>
      </w:r>
      <w:r>
        <w:rPr>
          <w:rFonts w:ascii="Times New Roman" w:hAnsi="Times New Roman"/>
          <w:sz w:val="28"/>
          <w:szCs w:val="28"/>
          <w:lang w:val="uk-UA"/>
        </w:rPr>
        <w:t xml:space="preserve">Харків, 2015); 3-му Харківському стоматологічному фестивалі (Харків, 2017); Міжрегіональному симпозіумі з міжнародною участю «Актуальні питання акушерства, гінекології та дитячої гінекології (Харків, 2017); Міжнародній науково-практичній конференції «Актуальні питання акушерства, гінекології та дитячої гінекології (Харків, 2017); Науковому симпозіумі з міжнародною участю «Гіпоменструальний синдром у дівчаток-підлітків (патогенез, профілактика, віддалені наслідки)» (Харків, 2017); Міжвузівській конференції молодих вчених та студентів «Медицина третього </w:t>
      </w:r>
      <w:r>
        <w:rPr>
          <w:rFonts w:ascii="Times New Roman" w:hAnsi="Times New Roman"/>
          <w:sz w:val="28"/>
          <w:szCs w:val="28"/>
          <w:lang w:val="uk-UA"/>
        </w:rPr>
        <w:lastRenderedPageBreak/>
        <w:t>тисячоліття» (Харків, 2018); Міжнародному конгресі з медичної генетики «Генетика та епігенетика рідкісних захворювань» (Харків, 2018); Міжвузівській науково-практичній конференції з міжнародною участю «Проблема людини у соціально-гуманітарному та медичному дискурсах» (Харків, 2018); Науково-практичній конференції «Актуальна стоматологія. Наука, практика, педагогіка» (Харків, 2018); Міжвузівській конференції молодих вчених та студентів «Медицина третього тисячоліття» (Харків, 2018); Науково-практичній конференції</w:t>
      </w:r>
      <w:r w:rsidRPr="00AF16DF">
        <w:rPr>
          <w:rFonts w:ascii="Times New Roman" w:hAnsi="Times New Roman"/>
          <w:sz w:val="28"/>
          <w:szCs w:val="28"/>
          <w:lang w:val="uk-UA"/>
        </w:rPr>
        <w:t xml:space="preserve"> </w:t>
      </w:r>
      <w:r>
        <w:rPr>
          <w:rFonts w:ascii="Times New Roman" w:hAnsi="Times New Roman"/>
          <w:sz w:val="28"/>
          <w:szCs w:val="28"/>
          <w:lang w:val="uk-UA"/>
        </w:rPr>
        <w:t xml:space="preserve">з міжнародною участю «Коморбідність: міждисциплінарні аспекти та сучасний пацієнт» (Харків, 2018); </w:t>
      </w:r>
      <w:r>
        <w:rPr>
          <w:rFonts w:ascii="Times New Roman" w:hAnsi="Times New Roman"/>
          <w:sz w:val="28"/>
          <w:szCs w:val="28"/>
        </w:rPr>
        <w:t>International</w:t>
      </w:r>
      <w:r w:rsidRPr="00206D6D">
        <w:rPr>
          <w:rFonts w:ascii="Times New Roman" w:hAnsi="Times New Roman"/>
          <w:sz w:val="28"/>
          <w:szCs w:val="28"/>
          <w:lang w:val="uk-UA"/>
        </w:rPr>
        <w:t xml:space="preserve"> </w:t>
      </w:r>
      <w:r>
        <w:rPr>
          <w:rFonts w:ascii="Times New Roman" w:hAnsi="Times New Roman"/>
          <w:sz w:val="28"/>
          <w:szCs w:val="28"/>
        </w:rPr>
        <w:t>Scientific</w:t>
      </w:r>
      <w:r w:rsidRPr="00206D6D">
        <w:rPr>
          <w:rFonts w:ascii="Times New Roman" w:hAnsi="Times New Roman"/>
          <w:sz w:val="28"/>
          <w:szCs w:val="28"/>
          <w:lang w:val="uk-UA"/>
        </w:rPr>
        <w:t xml:space="preserve"> </w:t>
      </w:r>
      <w:r>
        <w:rPr>
          <w:rFonts w:ascii="Times New Roman" w:hAnsi="Times New Roman"/>
          <w:sz w:val="28"/>
          <w:szCs w:val="28"/>
        </w:rPr>
        <w:t>Interdisciplinary</w:t>
      </w:r>
      <w:r w:rsidRPr="00206D6D">
        <w:rPr>
          <w:rFonts w:ascii="Times New Roman" w:hAnsi="Times New Roman"/>
          <w:sz w:val="28"/>
          <w:szCs w:val="28"/>
          <w:lang w:val="uk-UA"/>
        </w:rPr>
        <w:t xml:space="preserve"> </w:t>
      </w:r>
      <w:r>
        <w:rPr>
          <w:rFonts w:ascii="Times New Roman" w:hAnsi="Times New Roman"/>
          <w:sz w:val="28"/>
          <w:szCs w:val="28"/>
        </w:rPr>
        <w:t>Conference</w:t>
      </w:r>
      <w:r w:rsidRPr="00206D6D">
        <w:rPr>
          <w:rFonts w:ascii="Times New Roman" w:hAnsi="Times New Roman"/>
          <w:sz w:val="28"/>
          <w:szCs w:val="28"/>
          <w:lang w:val="uk-UA"/>
        </w:rPr>
        <w:t xml:space="preserve"> (</w:t>
      </w:r>
      <w:r>
        <w:rPr>
          <w:rFonts w:ascii="Times New Roman" w:hAnsi="Times New Roman"/>
          <w:sz w:val="28"/>
          <w:szCs w:val="28"/>
          <w:lang w:val="uk-UA"/>
        </w:rPr>
        <w:t>Харків, 2018); Науково-методичній конференції з інтернатури «Сучасний стан та перспективи підготовки лікарів-інтернів у Харківському національному медичному університеті» (Харків, 2018); Міжрегіональному симпозіумі з міжнародною участю «Актуальні питання акушерства, гінекології та дитячої гінекології (Харків, 2018); Міжвузівській конференції молодих вчених та студентів «М</w:t>
      </w:r>
      <w:r w:rsidR="002653A6">
        <w:rPr>
          <w:rFonts w:ascii="Times New Roman" w:hAnsi="Times New Roman"/>
          <w:sz w:val="28"/>
          <w:szCs w:val="28"/>
          <w:lang w:val="uk-UA"/>
        </w:rPr>
        <w:t>едицина третього тисячоліття» (</w:t>
      </w:r>
      <w:r>
        <w:rPr>
          <w:rFonts w:ascii="Times New Roman" w:hAnsi="Times New Roman"/>
          <w:sz w:val="28"/>
          <w:szCs w:val="28"/>
          <w:lang w:val="uk-UA"/>
        </w:rPr>
        <w:t>Харків, 2019); Семінарі для керівників баз стажування лікарів-інтернів за спеціальністю «Стоматологія» (Харків, 2019).</w:t>
      </w:r>
    </w:p>
    <w:p w:rsidR="009252D8" w:rsidRDefault="00282D41" w:rsidP="00282D41">
      <w:pPr>
        <w:spacing w:line="360" w:lineRule="auto"/>
        <w:ind w:firstLine="709"/>
        <w:jc w:val="both"/>
        <w:rPr>
          <w:rFonts w:ascii="Times New Roman" w:hAnsi="Times New Roman"/>
          <w:sz w:val="28"/>
          <w:szCs w:val="28"/>
          <w:lang w:val="uk-UA"/>
        </w:rPr>
      </w:pPr>
      <w:r w:rsidRPr="00282D41">
        <w:rPr>
          <w:rFonts w:ascii="Times New Roman" w:hAnsi="Times New Roman"/>
          <w:b/>
          <w:sz w:val="28"/>
          <w:szCs w:val="28"/>
          <w:lang w:val="uk-UA"/>
        </w:rPr>
        <w:t>Публікації</w:t>
      </w:r>
    </w:p>
    <w:p w:rsidR="00247ACA" w:rsidRDefault="00282D41" w:rsidP="00282D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темою дисертації опубліковано 12</w:t>
      </w:r>
      <w:r w:rsidRPr="0063357C">
        <w:rPr>
          <w:rFonts w:ascii="Times New Roman" w:hAnsi="Times New Roman"/>
          <w:sz w:val="28"/>
          <w:szCs w:val="28"/>
          <w:lang w:val="uk-UA"/>
        </w:rPr>
        <w:t xml:space="preserve"> наукових</w:t>
      </w:r>
      <w:r>
        <w:rPr>
          <w:rFonts w:ascii="Times New Roman" w:hAnsi="Times New Roman"/>
          <w:sz w:val="28"/>
          <w:szCs w:val="28"/>
          <w:lang w:val="uk-UA"/>
        </w:rPr>
        <w:t xml:space="preserve"> праць, із них 7 у фахових наукових виданнях,  рекомендованих МОН України, із них 1 – в іноземному виданні, 4публікації - у наукових збірниках  конференцій, о</w:t>
      </w:r>
      <w:r w:rsidRPr="0063357C">
        <w:rPr>
          <w:rFonts w:ascii="Times New Roman" w:hAnsi="Times New Roman"/>
          <w:sz w:val="28"/>
          <w:szCs w:val="28"/>
          <w:lang w:val="uk-UA"/>
        </w:rPr>
        <w:t>тримано 1 патент на корисну модель.</w:t>
      </w:r>
    </w:p>
    <w:p w:rsidR="009252D8" w:rsidRDefault="00F010D0" w:rsidP="005C1EA2">
      <w:pPr>
        <w:spacing w:line="360" w:lineRule="auto"/>
        <w:ind w:firstLine="709"/>
        <w:jc w:val="both"/>
        <w:rPr>
          <w:rFonts w:ascii="Times New Roman" w:hAnsi="Times New Roman"/>
          <w:sz w:val="28"/>
          <w:szCs w:val="28"/>
          <w:lang w:val="uk-UA"/>
        </w:rPr>
      </w:pPr>
      <w:r w:rsidRPr="00F010D0">
        <w:rPr>
          <w:rFonts w:ascii="Times New Roman" w:hAnsi="Times New Roman"/>
          <w:b/>
          <w:sz w:val="28"/>
          <w:szCs w:val="28"/>
          <w:lang w:val="uk-UA"/>
        </w:rPr>
        <w:t>Обсяг і структура дисертації</w:t>
      </w:r>
      <w:r w:rsidRPr="00123332">
        <w:rPr>
          <w:rFonts w:ascii="Times New Roman" w:hAnsi="Times New Roman"/>
          <w:sz w:val="28"/>
          <w:szCs w:val="28"/>
          <w:lang w:val="uk-UA"/>
        </w:rPr>
        <w:t xml:space="preserve"> </w:t>
      </w:r>
    </w:p>
    <w:p w:rsidR="00247ACA" w:rsidRDefault="00282D41" w:rsidP="005C1EA2">
      <w:pPr>
        <w:spacing w:line="360" w:lineRule="auto"/>
        <w:ind w:firstLine="709"/>
        <w:jc w:val="both"/>
        <w:rPr>
          <w:rFonts w:ascii="Times New Roman" w:hAnsi="Times New Roman"/>
          <w:sz w:val="28"/>
          <w:szCs w:val="28"/>
          <w:lang w:val="uk-UA"/>
        </w:rPr>
      </w:pPr>
      <w:r w:rsidRPr="00123332">
        <w:rPr>
          <w:rFonts w:ascii="Times New Roman" w:hAnsi="Times New Roman"/>
          <w:sz w:val="28"/>
          <w:szCs w:val="28"/>
          <w:lang w:val="uk-UA"/>
        </w:rPr>
        <w:t>Д</w:t>
      </w:r>
      <w:r>
        <w:rPr>
          <w:rFonts w:ascii="Times New Roman" w:hAnsi="Times New Roman"/>
          <w:sz w:val="28"/>
          <w:szCs w:val="28"/>
          <w:lang w:val="uk-UA"/>
        </w:rPr>
        <w:t xml:space="preserve">исертаційна робота викладена українською мовою на </w:t>
      </w:r>
      <w:r w:rsidR="004151AC">
        <w:rPr>
          <w:rFonts w:ascii="Times New Roman" w:hAnsi="Times New Roman"/>
          <w:sz w:val="28"/>
          <w:szCs w:val="28"/>
          <w:lang w:val="uk-UA"/>
        </w:rPr>
        <w:t>225</w:t>
      </w:r>
      <w:r>
        <w:rPr>
          <w:rFonts w:ascii="Times New Roman" w:hAnsi="Times New Roman"/>
          <w:sz w:val="28"/>
          <w:szCs w:val="28"/>
          <w:lang w:val="uk-UA"/>
        </w:rPr>
        <w:t xml:space="preserve"> с</w:t>
      </w:r>
      <w:r w:rsidR="00C21F54">
        <w:rPr>
          <w:rFonts w:ascii="Times New Roman" w:hAnsi="Times New Roman"/>
          <w:sz w:val="28"/>
          <w:szCs w:val="28"/>
          <w:lang w:val="uk-UA"/>
        </w:rPr>
        <w:t>торінках</w:t>
      </w:r>
      <w:r w:rsidR="00374439">
        <w:rPr>
          <w:rFonts w:ascii="Times New Roman" w:hAnsi="Times New Roman"/>
          <w:sz w:val="28"/>
          <w:szCs w:val="28"/>
          <w:lang w:val="uk-UA"/>
        </w:rPr>
        <w:t xml:space="preserve">. </w:t>
      </w:r>
      <w:r w:rsidR="00F010D0">
        <w:rPr>
          <w:rFonts w:ascii="Times New Roman" w:hAnsi="Times New Roman"/>
          <w:sz w:val="28"/>
          <w:szCs w:val="28"/>
          <w:lang w:val="uk-UA"/>
        </w:rPr>
        <w:t xml:space="preserve">Робота складається зі вступу, аналітичного огляду літератури, розділу, у якому викладено матеріали та методи дослідження, 4 розділів власних досліджень, </w:t>
      </w:r>
      <w:r w:rsidR="00374439">
        <w:rPr>
          <w:rFonts w:ascii="Times New Roman" w:hAnsi="Times New Roman"/>
          <w:sz w:val="28"/>
          <w:szCs w:val="28"/>
          <w:lang w:val="uk-UA"/>
        </w:rPr>
        <w:t>аналізу та узагальнення результатів</w:t>
      </w:r>
      <w:r w:rsidR="00F010D0">
        <w:rPr>
          <w:rFonts w:ascii="Times New Roman" w:hAnsi="Times New Roman"/>
          <w:sz w:val="28"/>
          <w:szCs w:val="28"/>
          <w:lang w:val="uk-UA"/>
        </w:rPr>
        <w:t>, висновків, практичних рекомендацій. Список використаних джерел складається з 285 джере</w:t>
      </w:r>
      <w:r w:rsidR="008E6787">
        <w:rPr>
          <w:rFonts w:ascii="Times New Roman" w:hAnsi="Times New Roman"/>
          <w:sz w:val="28"/>
          <w:szCs w:val="28"/>
          <w:lang w:val="uk-UA"/>
        </w:rPr>
        <w:t>л (254 кирилицею, 31 латиницею), що становить 34 сторінки.</w:t>
      </w:r>
      <w:r w:rsidR="00F010D0">
        <w:rPr>
          <w:rFonts w:ascii="Times New Roman" w:hAnsi="Times New Roman"/>
          <w:sz w:val="28"/>
          <w:szCs w:val="28"/>
          <w:lang w:val="uk-UA"/>
        </w:rPr>
        <w:t xml:space="preserve"> Дисертацію ілюстров</w:t>
      </w:r>
      <w:r w:rsidR="008E6787">
        <w:rPr>
          <w:rFonts w:ascii="Times New Roman" w:hAnsi="Times New Roman"/>
          <w:sz w:val="28"/>
          <w:szCs w:val="28"/>
          <w:lang w:val="uk-UA"/>
        </w:rPr>
        <w:t>ано  57 таблицями, 31 рисунками, які займають повну площу 24 сторінок.</w:t>
      </w:r>
      <w:r w:rsidR="00C21F54">
        <w:rPr>
          <w:rFonts w:ascii="Times New Roman" w:hAnsi="Times New Roman"/>
          <w:sz w:val="28"/>
          <w:szCs w:val="28"/>
          <w:lang w:val="uk-UA"/>
        </w:rPr>
        <w:t xml:space="preserve"> Додатки складають 4 сторінки.</w:t>
      </w:r>
    </w:p>
    <w:p w:rsidR="002416FA" w:rsidRDefault="002416FA" w:rsidP="005C1EA2">
      <w:pPr>
        <w:spacing w:line="360" w:lineRule="auto"/>
        <w:ind w:firstLine="709"/>
        <w:jc w:val="center"/>
        <w:rPr>
          <w:rFonts w:ascii="Times New Roman" w:hAnsi="Times New Roman"/>
          <w:b/>
          <w:sz w:val="28"/>
          <w:szCs w:val="28"/>
          <w:lang w:val="uk-UA"/>
        </w:rPr>
      </w:pPr>
      <w:r w:rsidRPr="0013209C">
        <w:rPr>
          <w:rFonts w:ascii="Times New Roman" w:hAnsi="Times New Roman"/>
          <w:b/>
          <w:sz w:val="28"/>
          <w:szCs w:val="28"/>
          <w:lang w:val="uk-UA"/>
        </w:rPr>
        <w:lastRenderedPageBreak/>
        <w:t>РОЗДІЛ 1</w:t>
      </w:r>
    </w:p>
    <w:p w:rsidR="002416FA" w:rsidRPr="0013209C" w:rsidRDefault="002416FA" w:rsidP="005C1EA2">
      <w:pPr>
        <w:spacing w:line="360" w:lineRule="auto"/>
        <w:ind w:firstLine="709"/>
        <w:jc w:val="center"/>
        <w:rPr>
          <w:rFonts w:ascii="Times New Roman" w:hAnsi="Times New Roman"/>
          <w:b/>
          <w:sz w:val="28"/>
          <w:szCs w:val="28"/>
          <w:lang w:val="uk-UA"/>
        </w:rPr>
      </w:pPr>
    </w:p>
    <w:p w:rsidR="002416FA" w:rsidRDefault="002416FA" w:rsidP="005C1EA2">
      <w:pPr>
        <w:spacing w:line="360" w:lineRule="auto"/>
        <w:ind w:firstLine="709"/>
        <w:jc w:val="center"/>
        <w:rPr>
          <w:rFonts w:ascii="Times New Roman" w:hAnsi="Times New Roman"/>
          <w:b/>
          <w:sz w:val="28"/>
          <w:szCs w:val="28"/>
          <w:lang w:val="uk-UA"/>
        </w:rPr>
      </w:pPr>
      <w:r w:rsidRPr="0013209C">
        <w:rPr>
          <w:rFonts w:ascii="Times New Roman" w:hAnsi="Times New Roman"/>
          <w:b/>
          <w:sz w:val="28"/>
          <w:szCs w:val="28"/>
          <w:lang w:val="uk-UA"/>
        </w:rPr>
        <w:t>ОГЛЯД ЛІТЕРАТУРИ</w:t>
      </w:r>
    </w:p>
    <w:p w:rsidR="002416FA" w:rsidRPr="0013209C" w:rsidRDefault="002416FA" w:rsidP="005C1EA2">
      <w:pPr>
        <w:spacing w:line="360" w:lineRule="auto"/>
        <w:ind w:firstLine="709"/>
        <w:jc w:val="center"/>
        <w:rPr>
          <w:rFonts w:ascii="Times New Roman" w:hAnsi="Times New Roman"/>
          <w:b/>
          <w:sz w:val="28"/>
          <w:szCs w:val="28"/>
          <w:lang w:val="uk-UA"/>
        </w:rPr>
      </w:pPr>
    </w:p>
    <w:p w:rsidR="002416FA" w:rsidRPr="0013209C" w:rsidRDefault="002416FA" w:rsidP="005C1EA2">
      <w:pPr>
        <w:pStyle w:val="aa"/>
        <w:numPr>
          <w:ilvl w:val="1"/>
          <w:numId w:val="4"/>
        </w:numPr>
        <w:spacing w:line="360" w:lineRule="auto"/>
        <w:ind w:left="0" w:firstLine="709"/>
        <w:jc w:val="both"/>
        <w:rPr>
          <w:rFonts w:ascii="Times New Roman" w:hAnsi="Times New Roman"/>
          <w:b/>
          <w:sz w:val="28"/>
          <w:szCs w:val="28"/>
          <w:lang w:val="uk-UA"/>
        </w:rPr>
      </w:pPr>
      <w:r w:rsidRPr="0013209C">
        <w:rPr>
          <w:rFonts w:ascii="Times New Roman" w:hAnsi="Times New Roman"/>
          <w:b/>
          <w:sz w:val="28"/>
          <w:szCs w:val="28"/>
          <w:lang w:val="uk-UA"/>
        </w:rPr>
        <w:t xml:space="preserve">Сучасні погляди на етіологію та патогенез </w:t>
      </w:r>
      <w:r w:rsidR="00556A5D">
        <w:rPr>
          <w:rFonts w:ascii="Times New Roman" w:hAnsi="Times New Roman"/>
          <w:b/>
          <w:sz w:val="28"/>
          <w:szCs w:val="28"/>
          <w:lang w:val="uk-UA"/>
        </w:rPr>
        <w:t>запальних захворювань пародонта</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з провідних етіологічних факторів в розвитку ЗЗП прийнято вважати мікрофлору зубної бляшки  і зубного нальоту (біоплівки) </w:t>
      </w:r>
      <w:r w:rsidR="00494ABD">
        <w:rPr>
          <w:rFonts w:ascii="Times New Roman" w:hAnsi="Times New Roman"/>
          <w:sz w:val="28"/>
          <w:szCs w:val="28"/>
          <w:lang w:val="uk-UA"/>
        </w:rPr>
        <w:t>[42, 46, 70</w:t>
      </w:r>
      <w:r w:rsidRPr="00F91BB3">
        <w:rPr>
          <w:rFonts w:ascii="Times New Roman" w:hAnsi="Times New Roman"/>
          <w:sz w:val="28"/>
          <w:szCs w:val="28"/>
          <w:lang w:val="uk-UA"/>
        </w:rPr>
        <w:t xml:space="preserve">, </w:t>
      </w:r>
      <w:r>
        <w:rPr>
          <w:rFonts w:ascii="Times New Roman" w:hAnsi="Times New Roman"/>
          <w:sz w:val="28"/>
          <w:szCs w:val="28"/>
          <w:lang w:val="uk-UA"/>
        </w:rPr>
        <w:t>11</w:t>
      </w:r>
      <w:r w:rsidR="00494ABD">
        <w:rPr>
          <w:rFonts w:ascii="Times New Roman" w:hAnsi="Times New Roman"/>
          <w:sz w:val="28"/>
          <w:szCs w:val="28"/>
          <w:lang w:val="uk-UA"/>
        </w:rPr>
        <w:t>4, 161</w:t>
      </w:r>
      <w:r w:rsidRPr="00F91BB3">
        <w:rPr>
          <w:rFonts w:ascii="Times New Roman" w:hAnsi="Times New Roman"/>
          <w:sz w:val="28"/>
          <w:szCs w:val="28"/>
          <w:lang w:val="uk-UA"/>
        </w:rPr>
        <w:t>]</w:t>
      </w:r>
      <w:r>
        <w:rPr>
          <w:rFonts w:ascii="Times New Roman" w:hAnsi="Times New Roman"/>
          <w:sz w:val="28"/>
          <w:szCs w:val="28"/>
          <w:lang w:val="uk-UA"/>
        </w:rPr>
        <w:t xml:space="preserve">. Основну масу зубного нальоту складають мікроорганізму, серед яких переважають стрептококи  - 70% колоній, 15% представлено вейлонелами і нейсеріями, 15% - стафілококами, лептотріхіями, фузобактеріями, актиноміцетами, дріжджоподібними грибами  </w:t>
      </w:r>
      <w:r w:rsidR="00494ABD">
        <w:rPr>
          <w:rFonts w:ascii="Times New Roman" w:hAnsi="Times New Roman"/>
          <w:sz w:val="28"/>
          <w:szCs w:val="28"/>
          <w:lang w:val="uk-UA"/>
        </w:rPr>
        <w:t>[55,82</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Різновидом </w:t>
      </w:r>
      <w:r w:rsidRPr="00FC322C">
        <w:rPr>
          <w:rFonts w:ascii="Times New Roman" w:hAnsi="Times New Roman"/>
          <w:sz w:val="28"/>
          <w:szCs w:val="28"/>
          <w:lang w:val="uk-UA"/>
        </w:rPr>
        <w:t>зубних відкладень</w:t>
      </w:r>
      <w:r>
        <w:rPr>
          <w:rFonts w:ascii="Times New Roman" w:hAnsi="Times New Roman"/>
          <w:sz w:val="28"/>
          <w:szCs w:val="28"/>
          <w:lang w:val="uk-UA"/>
        </w:rPr>
        <w:t xml:space="preserve"> є зубна бляшка. Зубна бляшка – складний і багатокомпонентний біотип </w:t>
      </w:r>
      <w:r w:rsidR="00713761">
        <w:rPr>
          <w:rFonts w:ascii="Times New Roman" w:hAnsi="Times New Roman"/>
          <w:sz w:val="28"/>
          <w:szCs w:val="28"/>
          <w:lang w:val="uk-UA"/>
        </w:rPr>
        <w:t>ПР</w:t>
      </w:r>
      <w:r>
        <w:rPr>
          <w:rFonts w:ascii="Times New Roman" w:hAnsi="Times New Roman"/>
          <w:sz w:val="28"/>
          <w:szCs w:val="28"/>
          <w:lang w:val="uk-UA"/>
        </w:rPr>
        <w:t xml:space="preserve">, основу якого складає сімбіотна спільнота мікробних видів, що формується в умовах рідких середовищ </w:t>
      </w:r>
      <w:r w:rsidR="00494ABD">
        <w:rPr>
          <w:rFonts w:ascii="Times New Roman" w:hAnsi="Times New Roman"/>
          <w:sz w:val="28"/>
          <w:szCs w:val="28"/>
          <w:lang w:val="uk-UA"/>
        </w:rPr>
        <w:t>[161, 176</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сучасної точки зору ЗЗП являють собою запальний інфекційний процес, основною причиною якого є неспецифічні мікроорганізми </w:t>
      </w:r>
      <w:r w:rsidR="00713761">
        <w:rPr>
          <w:rFonts w:ascii="Times New Roman" w:hAnsi="Times New Roman"/>
          <w:sz w:val="28"/>
          <w:szCs w:val="28"/>
          <w:lang w:val="uk-UA"/>
        </w:rPr>
        <w:t>ПР</w:t>
      </w:r>
      <w:r>
        <w:rPr>
          <w:rFonts w:ascii="Times New Roman" w:hAnsi="Times New Roman"/>
          <w:sz w:val="28"/>
          <w:szCs w:val="28"/>
          <w:lang w:val="uk-UA"/>
        </w:rPr>
        <w:t xml:space="preserve"> і різноманітні їх асоціації </w:t>
      </w:r>
      <w:r w:rsidR="00494ABD">
        <w:rPr>
          <w:rFonts w:ascii="Times New Roman" w:hAnsi="Times New Roman"/>
          <w:sz w:val="28"/>
          <w:szCs w:val="28"/>
          <w:lang w:val="uk-UA"/>
        </w:rPr>
        <w:t>[46, 97</w:t>
      </w:r>
      <w:r w:rsidRPr="00F91BB3">
        <w:rPr>
          <w:rFonts w:ascii="Times New Roman" w:hAnsi="Times New Roman"/>
          <w:sz w:val="28"/>
          <w:szCs w:val="28"/>
          <w:lang w:val="uk-UA"/>
        </w:rPr>
        <w:t>,</w:t>
      </w:r>
      <w:r>
        <w:rPr>
          <w:rFonts w:ascii="Times New Roman" w:hAnsi="Times New Roman"/>
          <w:sz w:val="28"/>
          <w:szCs w:val="28"/>
          <w:lang w:val="uk-UA"/>
        </w:rPr>
        <w:t xml:space="preserve"> </w:t>
      </w:r>
      <w:r w:rsidR="00494ABD">
        <w:rPr>
          <w:rFonts w:ascii="Times New Roman" w:hAnsi="Times New Roman"/>
          <w:sz w:val="28"/>
          <w:szCs w:val="28"/>
          <w:lang w:val="uk-UA"/>
        </w:rPr>
        <w:t>162, 192</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мікробіологічних досліджень при різних формах ураження пародонта виявили переважні мікробні представники та їх поєднання , що дало змогу </w:t>
      </w:r>
      <w:r>
        <w:rPr>
          <w:rFonts w:ascii="Times New Roman" w:hAnsi="Times New Roman"/>
          <w:sz w:val="28"/>
          <w:szCs w:val="28"/>
        </w:rPr>
        <w:t>S</w:t>
      </w:r>
      <w:r w:rsidRPr="00960EF5">
        <w:rPr>
          <w:rFonts w:ascii="Times New Roman" w:hAnsi="Times New Roman"/>
          <w:sz w:val="28"/>
          <w:szCs w:val="28"/>
          <w:lang w:val="uk-UA"/>
        </w:rPr>
        <w:t>.</w:t>
      </w:r>
      <w:r>
        <w:rPr>
          <w:rFonts w:ascii="Times New Roman" w:hAnsi="Times New Roman"/>
          <w:sz w:val="28"/>
          <w:szCs w:val="28"/>
        </w:rPr>
        <w:t>Socransky</w:t>
      </w:r>
      <w:r w:rsidRPr="00960EF5">
        <w:rPr>
          <w:rFonts w:ascii="Times New Roman" w:hAnsi="Times New Roman"/>
          <w:sz w:val="28"/>
          <w:szCs w:val="28"/>
          <w:lang w:val="uk-UA"/>
        </w:rPr>
        <w:t xml:space="preserve"> </w:t>
      </w:r>
      <w:r w:rsidR="00494ABD">
        <w:rPr>
          <w:rFonts w:ascii="Times New Roman" w:hAnsi="Times New Roman"/>
          <w:sz w:val="28"/>
          <w:szCs w:val="28"/>
          <w:lang w:val="uk-UA"/>
        </w:rPr>
        <w:t>[207</w:t>
      </w:r>
      <w:r w:rsidRPr="00F91BB3">
        <w:rPr>
          <w:rFonts w:ascii="Times New Roman" w:hAnsi="Times New Roman"/>
          <w:sz w:val="28"/>
          <w:szCs w:val="28"/>
          <w:lang w:val="uk-UA"/>
        </w:rPr>
        <w:t>]</w:t>
      </w:r>
      <w:r>
        <w:rPr>
          <w:rFonts w:ascii="Times New Roman" w:hAnsi="Times New Roman"/>
          <w:sz w:val="28"/>
          <w:szCs w:val="28"/>
          <w:lang w:val="uk-UA"/>
        </w:rPr>
        <w:t xml:space="preserve"> скласти класифікацію пародонтальних мікробних комплексів. При цьому розрізняють «червоний», «зелений», «жовтий», «пурпурний», «помаранчевий» мікробні комплекси. Встановлено, що найвищу патогенність для тканин пародонта виявляють представники «червоного комплексу».</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«Червоний комплекс» включає </w:t>
      </w:r>
      <w:r>
        <w:rPr>
          <w:rFonts w:ascii="Times New Roman" w:hAnsi="Times New Roman"/>
          <w:sz w:val="28"/>
          <w:szCs w:val="28"/>
        </w:rPr>
        <w:t>Porphyromonas</w:t>
      </w:r>
      <w:r w:rsidRPr="009954A0">
        <w:rPr>
          <w:rFonts w:ascii="Times New Roman" w:hAnsi="Times New Roman"/>
          <w:sz w:val="28"/>
          <w:szCs w:val="28"/>
          <w:lang w:val="uk-UA"/>
        </w:rPr>
        <w:t xml:space="preserve"> </w:t>
      </w:r>
      <w:r>
        <w:rPr>
          <w:rFonts w:ascii="Times New Roman" w:hAnsi="Times New Roman"/>
          <w:sz w:val="28"/>
          <w:szCs w:val="28"/>
        </w:rPr>
        <w:t>gingivalis</w:t>
      </w:r>
      <w:r w:rsidRPr="009954A0">
        <w:rPr>
          <w:rFonts w:ascii="Times New Roman" w:hAnsi="Times New Roman"/>
          <w:sz w:val="28"/>
          <w:szCs w:val="28"/>
          <w:lang w:val="uk-UA"/>
        </w:rPr>
        <w:t xml:space="preserve">, </w:t>
      </w:r>
      <w:r>
        <w:rPr>
          <w:rFonts w:ascii="Times New Roman" w:hAnsi="Times New Roman"/>
          <w:sz w:val="28"/>
          <w:szCs w:val="28"/>
        </w:rPr>
        <w:t>Bacterioides</w:t>
      </w:r>
      <w:r w:rsidRPr="009954A0">
        <w:rPr>
          <w:rFonts w:ascii="Times New Roman" w:hAnsi="Times New Roman"/>
          <w:sz w:val="28"/>
          <w:szCs w:val="28"/>
          <w:lang w:val="uk-UA"/>
        </w:rPr>
        <w:t xml:space="preserve"> </w:t>
      </w:r>
      <w:r>
        <w:rPr>
          <w:rFonts w:ascii="Times New Roman" w:hAnsi="Times New Roman"/>
          <w:sz w:val="28"/>
          <w:szCs w:val="28"/>
        </w:rPr>
        <w:t>torsytus</w:t>
      </w:r>
      <w:r w:rsidRPr="009954A0">
        <w:rPr>
          <w:rFonts w:ascii="Times New Roman" w:hAnsi="Times New Roman"/>
          <w:sz w:val="28"/>
          <w:szCs w:val="28"/>
          <w:lang w:val="uk-UA"/>
        </w:rPr>
        <w:t xml:space="preserve">, </w:t>
      </w:r>
      <w:r>
        <w:rPr>
          <w:rFonts w:ascii="Times New Roman" w:hAnsi="Times New Roman"/>
          <w:sz w:val="28"/>
          <w:szCs w:val="28"/>
        </w:rPr>
        <w:t>Tannerella</w:t>
      </w:r>
      <w:r w:rsidRPr="009954A0">
        <w:rPr>
          <w:rFonts w:ascii="Times New Roman" w:hAnsi="Times New Roman"/>
          <w:sz w:val="28"/>
          <w:szCs w:val="28"/>
          <w:lang w:val="uk-UA"/>
        </w:rPr>
        <w:t xml:space="preserve"> </w:t>
      </w:r>
      <w:r>
        <w:rPr>
          <w:rFonts w:ascii="Times New Roman" w:hAnsi="Times New Roman"/>
          <w:sz w:val="28"/>
          <w:szCs w:val="28"/>
        </w:rPr>
        <w:t>forsythia</w:t>
      </w:r>
      <w:r w:rsidRPr="009954A0">
        <w:rPr>
          <w:rFonts w:ascii="Times New Roman" w:hAnsi="Times New Roman"/>
          <w:sz w:val="28"/>
          <w:szCs w:val="28"/>
          <w:lang w:val="uk-UA"/>
        </w:rPr>
        <w:t xml:space="preserve">, </w:t>
      </w:r>
      <w:r>
        <w:rPr>
          <w:rFonts w:ascii="Times New Roman" w:hAnsi="Times New Roman"/>
          <w:sz w:val="28"/>
          <w:szCs w:val="28"/>
        </w:rPr>
        <w:t>Treponema</w:t>
      </w:r>
      <w:r w:rsidRPr="009954A0">
        <w:rPr>
          <w:rFonts w:ascii="Times New Roman" w:hAnsi="Times New Roman"/>
          <w:sz w:val="28"/>
          <w:szCs w:val="28"/>
          <w:lang w:val="uk-UA"/>
        </w:rPr>
        <w:t xml:space="preserve"> </w:t>
      </w:r>
      <w:r>
        <w:rPr>
          <w:rFonts w:ascii="Times New Roman" w:hAnsi="Times New Roman"/>
          <w:sz w:val="28"/>
          <w:szCs w:val="28"/>
        </w:rPr>
        <w:t>denticola</w:t>
      </w:r>
      <w:r w:rsidRPr="009954A0">
        <w:rPr>
          <w:rFonts w:ascii="Times New Roman" w:hAnsi="Times New Roman"/>
          <w:sz w:val="28"/>
          <w:szCs w:val="28"/>
          <w:lang w:val="uk-UA"/>
        </w:rPr>
        <w:t>.</w:t>
      </w:r>
      <w:r>
        <w:rPr>
          <w:rFonts w:ascii="Times New Roman" w:hAnsi="Times New Roman"/>
          <w:sz w:val="28"/>
          <w:szCs w:val="28"/>
          <w:lang w:val="uk-UA"/>
        </w:rPr>
        <w:t xml:space="preserve"> Цей комплекс обумовлює сильну кровоточивість ясен і швидкий перебіг деструктивних процесів в пародонті.</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«Помаранчевий комплекс» включає</w:t>
      </w:r>
      <w:r w:rsidRPr="009954A0">
        <w:rPr>
          <w:rFonts w:ascii="Times New Roman" w:hAnsi="Times New Roman"/>
          <w:sz w:val="28"/>
          <w:szCs w:val="28"/>
          <w:lang w:val="uk-UA"/>
        </w:rPr>
        <w:t xml:space="preserve"> </w:t>
      </w:r>
      <w:r>
        <w:rPr>
          <w:rFonts w:ascii="Times New Roman" w:hAnsi="Times New Roman"/>
          <w:sz w:val="28"/>
          <w:szCs w:val="28"/>
        </w:rPr>
        <w:t>Campylobacter</w:t>
      </w:r>
      <w:r w:rsidRPr="009954A0">
        <w:rPr>
          <w:rFonts w:ascii="Times New Roman" w:hAnsi="Times New Roman"/>
          <w:sz w:val="28"/>
          <w:szCs w:val="28"/>
          <w:lang w:val="uk-UA"/>
        </w:rPr>
        <w:t xml:space="preserve"> </w:t>
      </w:r>
      <w:r>
        <w:rPr>
          <w:rFonts w:ascii="Times New Roman" w:hAnsi="Times New Roman"/>
          <w:sz w:val="28"/>
          <w:szCs w:val="28"/>
        </w:rPr>
        <w:t>rectus</w:t>
      </w:r>
      <w:r w:rsidRPr="009954A0">
        <w:rPr>
          <w:rFonts w:ascii="Times New Roman" w:hAnsi="Times New Roman"/>
          <w:sz w:val="28"/>
          <w:szCs w:val="28"/>
          <w:lang w:val="uk-UA"/>
        </w:rPr>
        <w:t xml:space="preserve">, </w:t>
      </w:r>
      <w:r>
        <w:rPr>
          <w:rFonts w:ascii="Times New Roman" w:hAnsi="Times New Roman"/>
          <w:sz w:val="28"/>
          <w:szCs w:val="28"/>
        </w:rPr>
        <w:t>Campylobacter</w:t>
      </w:r>
      <w:r w:rsidRPr="009954A0">
        <w:rPr>
          <w:rFonts w:ascii="Times New Roman" w:hAnsi="Times New Roman"/>
          <w:sz w:val="28"/>
          <w:szCs w:val="28"/>
          <w:lang w:val="uk-UA"/>
        </w:rPr>
        <w:t xml:space="preserve"> </w:t>
      </w:r>
      <w:r>
        <w:rPr>
          <w:rFonts w:ascii="Times New Roman" w:hAnsi="Times New Roman"/>
          <w:sz w:val="28"/>
          <w:szCs w:val="28"/>
        </w:rPr>
        <w:t>showae</w:t>
      </w:r>
      <w:r w:rsidRPr="009954A0">
        <w:rPr>
          <w:rFonts w:ascii="Times New Roman" w:hAnsi="Times New Roman"/>
          <w:sz w:val="28"/>
          <w:szCs w:val="28"/>
          <w:lang w:val="uk-UA"/>
        </w:rPr>
        <w:t xml:space="preserve">, </w:t>
      </w:r>
      <w:r>
        <w:rPr>
          <w:rFonts w:ascii="Times New Roman" w:hAnsi="Times New Roman"/>
          <w:sz w:val="28"/>
          <w:szCs w:val="28"/>
        </w:rPr>
        <w:t>Enbacterium</w:t>
      </w:r>
      <w:r w:rsidRPr="009954A0">
        <w:rPr>
          <w:rFonts w:ascii="Times New Roman" w:hAnsi="Times New Roman"/>
          <w:sz w:val="28"/>
          <w:szCs w:val="28"/>
          <w:lang w:val="uk-UA"/>
        </w:rPr>
        <w:t xml:space="preserve"> </w:t>
      </w:r>
      <w:r>
        <w:rPr>
          <w:rFonts w:ascii="Times New Roman" w:hAnsi="Times New Roman"/>
          <w:sz w:val="28"/>
          <w:szCs w:val="28"/>
        </w:rPr>
        <w:t>nodatum</w:t>
      </w:r>
      <w:r w:rsidRPr="009954A0">
        <w:rPr>
          <w:rFonts w:ascii="Times New Roman" w:hAnsi="Times New Roman"/>
          <w:sz w:val="28"/>
          <w:szCs w:val="28"/>
          <w:lang w:val="uk-UA"/>
        </w:rPr>
        <w:t xml:space="preserve">, </w:t>
      </w:r>
      <w:r>
        <w:rPr>
          <w:rFonts w:ascii="Times New Roman" w:hAnsi="Times New Roman"/>
          <w:sz w:val="28"/>
          <w:szCs w:val="28"/>
        </w:rPr>
        <w:t>Fusobacterium</w:t>
      </w:r>
      <w:r w:rsidRPr="009954A0">
        <w:rPr>
          <w:rFonts w:ascii="Times New Roman" w:hAnsi="Times New Roman"/>
          <w:sz w:val="28"/>
          <w:szCs w:val="28"/>
          <w:lang w:val="uk-UA"/>
        </w:rPr>
        <w:t xml:space="preserve"> </w:t>
      </w:r>
      <w:r>
        <w:rPr>
          <w:rFonts w:ascii="Times New Roman" w:hAnsi="Times New Roman"/>
          <w:sz w:val="28"/>
          <w:szCs w:val="28"/>
        </w:rPr>
        <w:t>nucleatum</w:t>
      </w:r>
      <w:r w:rsidRPr="009954A0">
        <w:rPr>
          <w:rFonts w:ascii="Times New Roman" w:hAnsi="Times New Roman"/>
          <w:sz w:val="28"/>
          <w:szCs w:val="28"/>
          <w:lang w:val="uk-UA"/>
        </w:rPr>
        <w:t xml:space="preserve">, </w:t>
      </w:r>
      <w:r>
        <w:rPr>
          <w:rFonts w:ascii="Times New Roman" w:hAnsi="Times New Roman"/>
          <w:sz w:val="28"/>
          <w:szCs w:val="28"/>
        </w:rPr>
        <w:t>Prevotella</w:t>
      </w:r>
      <w:r w:rsidRPr="009954A0">
        <w:rPr>
          <w:rFonts w:ascii="Times New Roman" w:hAnsi="Times New Roman"/>
          <w:sz w:val="28"/>
          <w:szCs w:val="28"/>
          <w:lang w:val="uk-UA"/>
        </w:rPr>
        <w:t xml:space="preserve"> </w:t>
      </w:r>
      <w:r>
        <w:rPr>
          <w:rFonts w:ascii="Times New Roman" w:hAnsi="Times New Roman"/>
          <w:sz w:val="28"/>
          <w:szCs w:val="28"/>
        </w:rPr>
        <w:t>intermedia</w:t>
      </w:r>
      <w:r w:rsidRPr="009954A0">
        <w:rPr>
          <w:rFonts w:ascii="Times New Roman" w:hAnsi="Times New Roman"/>
          <w:sz w:val="28"/>
          <w:szCs w:val="28"/>
          <w:lang w:val="uk-UA"/>
        </w:rPr>
        <w:t xml:space="preserve">, </w:t>
      </w:r>
      <w:r>
        <w:rPr>
          <w:rFonts w:ascii="Times New Roman" w:hAnsi="Times New Roman"/>
          <w:sz w:val="28"/>
          <w:szCs w:val="28"/>
        </w:rPr>
        <w:t>Prevotella</w:t>
      </w:r>
      <w:r w:rsidRPr="009954A0">
        <w:rPr>
          <w:rFonts w:ascii="Times New Roman" w:hAnsi="Times New Roman"/>
          <w:sz w:val="28"/>
          <w:szCs w:val="28"/>
          <w:lang w:val="uk-UA"/>
        </w:rPr>
        <w:t xml:space="preserve"> </w:t>
      </w:r>
      <w:r>
        <w:rPr>
          <w:rFonts w:ascii="Times New Roman" w:hAnsi="Times New Roman"/>
          <w:sz w:val="28"/>
          <w:szCs w:val="28"/>
        </w:rPr>
        <w:t>nigrescens</w:t>
      </w:r>
      <w:r w:rsidRPr="009954A0">
        <w:rPr>
          <w:rFonts w:ascii="Times New Roman" w:hAnsi="Times New Roman"/>
          <w:sz w:val="28"/>
          <w:szCs w:val="28"/>
          <w:lang w:val="uk-UA"/>
        </w:rPr>
        <w:t xml:space="preserve">, </w:t>
      </w:r>
      <w:r>
        <w:rPr>
          <w:rFonts w:ascii="Times New Roman" w:hAnsi="Times New Roman"/>
          <w:sz w:val="28"/>
          <w:szCs w:val="28"/>
        </w:rPr>
        <w:t>Peptostreptococcus</w:t>
      </w:r>
      <w:r w:rsidRPr="009954A0">
        <w:rPr>
          <w:rFonts w:ascii="Times New Roman" w:hAnsi="Times New Roman"/>
          <w:sz w:val="28"/>
          <w:szCs w:val="28"/>
          <w:lang w:val="uk-UA"/>
        </w:rPr>
        <w:t xml:space="preserve"> </w:t>
      </w:r>
      <w:r>
        <w:rPr>
          <w:rFonts w:ascii="Times New Roman" w:hAnsi="Times New Roman"/>
          <w:sz w:val="28"/>
          <w:szCs w:val="28"/>
        </w:rPr>
        <w:t>micros</w:t>
      </w:r>
      <w:r>
        <w:rPr>
          <w:rFonts w:ascii="Times New Roman" w:hAnsi="Times New Roman"/>
          <w:sz w:val="28"/>
          <w:szCs w:val="28"/>
          <w:lang w:val="uk-UA"/>
        </w:rPr>
        <w:t xml:space="preserve"> і виявляє високу патогенність. </w:t>
      </w:r>
      <w:r w:rsidRPr="009954A0">
        <w:rPr>
          <w:rFonts w:ascii="Times New Roman" w:hAnsi="Times New Roman"/>
          <w:sz w:val="28"/>
          <w:szCs w:val="28"/>
          <w:lang w:val="uk-UA"/>
        </w:rPr>
        <w:t xml:space="preserve"> </w:t>
      </w:r>
      <w:r>
        <w:rPr>
          <w:rFonts w:ascii="Times New Roman" w:hAnsi="Times New Roman"/>
          <w:sz w:val="28"/>
          <w:szCs w:val="28"/>
        </w:rPr>
        <w:t>Prevotella</w:t>
      </w:r>
      <w:r w:rsidRPr="009954A0">
        <w:rPr>
          <w:rFonts w:ascii="Times New Roman" w:hAnsi="Times New Roman"/>
          <w:sz w:val="28"/>
          <w:szCs w:val="28"/>
          <w:lang w:val="uk-UA"/>
        </w:rPr>
        <w:t xml:space="preserve"> </w:t>
      </w:r>
      <w:r>
        <w:rPr>
          <w:rFonts w:ascii="Times New Roman" w:hAnsi="Times New Roman"/>
          <w:sz w:val="28"/>
          <w:szCs w:val="28"/>
        </w:rPr>
        <w:t>intermedia</w:t>
      </w:r>
      <w:r w:rsidRPr="009954A0">
        <w:rPr>
          <w:rFonts w:ascii="Times New Roman" w:hAnsi="Times New Roman"/>
          <w:sz w:val="28"/>
          <w:szCs w:val="28"/>
          <w:lang w:val="uk-UA"/>
        </w:rPr>
        <w:t xml:space="preserve"> </w:t>
      </w:r>
      <w:r>
        <w:rPr>
          <w:rFonts w:ascii="Times New Roman" w:hAnsi="Times New Roman"/>
          <w:sz w:val="28"/>
          <w:szCs w:val="28"/>
          <w:lang w:val="uk-UA"/>
        </w:rPr>
        <w:t xml:space="preserve"> продукує фосфоліпазу А, порушує цілісність мембран епітеліальних клітин, є активним продуцентом  гідролітичних протеаз, що розщеплюють білки пародонтальних тканин.</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«Зелений комплекс» - Actin</w:t>
      </w:r>
      <w:r>
        <w:rPr>
          <w:rFonts w:ascii="Times New Roman" w:hAnsi="Times New Roman"/>
          <w:sz w:val="28"/>
          <w:szCs w:val="28"/>
        </w:rPr>
        <w:t>obacillus</w:t>
      </w:r>
      <w:r w:rsidRPr="00E56A17">
        <w:rPr>
          <w:rFonts w:ascii="Times New Roman" w:hAnsi="Times New Roman"/>
          <w:sz w:val="28"/>
          <w:szCs w:val="28"/>
          <w:lang w:val="uk-UA"/>
        </w:rPr>
        <w:t xml:space="preserve"> </w:t>
      </w:r>
      <w:r>
        <w:rPr>
          <w:rFonts w:ascii="Times New Roman" w:hAnsi="Times New Roman"/>
          <w:sz w:val="28"/>
          <w:szCs w:val="28"/>
        </w:rPr>
        <w:t>actinomicetem</w:t>
      </w:r>
      <w:r w:rsidRPr="00E56A17">
        <w:rPr>
          <w:rFonts w:ascii="Times New Roman" w:hAnsi="Times New Roman"/>
          <w:sz w:val="28"/>
          <w:szCs w:val="28"/>
          <w:lang w:val="uk-UA"/>
        </w:rPr>
        <w:t xml:space="preserve"> </w:t>
      </w:r>
      <w:r>
        <w:rPr>
          <w:rFonts w:ascii="Times New Roman" w:hAnsi="Times New Roman"/>
          <w:sz w:val="28"/>
          <w:szCs w:val="28"/>
        </w:rPr>
        <w:t>comitans</w:t>
      </w:r>
      <w:r w:rsidRPr="00E56A17">
        <w:rPr>
          <w:rFonts w:ascii="Times New Roman" w:hAnsi="Times New Roman"/>
          <w:sz w:val="28"/>
          <w:szCs w:val="28"/>
          <w:lang w:val="uk-UA"/>
        </w:rPr>
        <w:t xml:space="preserve">, </w:t>
      </w:r>
      <w:r>
        <w:rPr>
          <w:rFonts w:ascii="Times New Roman" w:hAnsi="Times New Roman"/>
          <w:sz w:val="28"/>
          <w:szCs w:val="28"/>
        </w:rPr>
        <w:t>Capnocytophaga</w:t>
      </w:r>
      <w:r w:rsidRPr="00E56A17">
        <w:rPr>
          <w:rFonts w:ascii="Times New Roman" w:hAnsi="Times New Roman"/>
          <w:sz w:val="28"/>
          <w:szCs w:val="28"/>
          <w:lang w:val="uk-UA"/>
        </w:rPr>
        <w:t xml:space="preserve">, </w:t>
      </w:r>
      <w:r>
        <w:rPr>
          <w:rFonts w:ascii="Times New Roman" w:hAnsi="Times New Roman"/>
          <w:sz w:val="28"/>
          <w:szCs w:val="28"/>
        </w:rPr>
        <w:t>Campilobacter</w:t>
      </w:r>
      <w:r w:rsidRPr="00E56A17">
        <w:rPr>
          <w:rFonts w:ascii="Times New Roman" w:hAnsi="Times New Roman"/>
          <w:sz w:val="28"/>
          <w:szCs w:val="28"/>
          <w:lang w:val="uk-UA"/>
        </w:rPr>
        <w:t xml:space="preserve"> </w:t>
      </w:r>
      <w:r>
        <w:rPr>
          <w:rFonts w:ascii="Times New Roman" w:hAnsi="Times New Roman"/>
          <w:sz w:val="28"/>
          <w:szCs w:val="28"/>
        </w:rPr>
        <w:t>concisus</w:t>
      </w:r>
      <w:r w:rsidRPr="00E56A17">
        <w:rPr>
          <w:rFonts w:ascii="Times New Roman" w:hAnsi="Times New Roman"/>
          <w:sz w:val="28"/>
          <w:szCs w:val="28"/>
          <w:lang w:val="uk-UA"/>
        </w:rPr>
        <w:t xml:space="preserve">, </w:t>
      </w:r>
      <w:r>
        <w:rPr>
          <w:rFonts w:ascii="Times New Roman" w:hAnsi="Times New Roman"/>
          <w:sz w:val="28"/>
          <w:szCs w:val="28"/>
        </w:rPr>
        <w:t>Eikenella</w:t>
      </w:r>
      <w:r w:rsidRPr="00E56A17">
        <w:rPr>
          <w:rFonts w:ascii="Times New Roman" w:hAnsi="Times New Roman"/>
          <w:sz w:val="28"/>
          <w:szCs w:val="28"/>
          <w:lang w:val="uk-UA"/>
        </w:rPr>
        <w:t xml:space="preserve"> </w:t>
      </w:r>
      <w:r>
        <w:rPr>
          <w:rFonts w:ascii="Times New Roman" w:hAnsi="Times New Roman"/>
          <w:sz w:val="28"/>
          <w:szCs w:val="28"/>
        </w:rPr>
        <w:t xml:space="preserve">corrodens. </w:t>
      </w:r>
      <w:r>
        <w:rPr>
          <w:rFonts w:ascii="Times New Roman" w:hAnsi="Times New Roman"/>
          <w:sz w:val="28"/>
          <w:szCs w:val="28"/>
          <w:lang w:val="uk-UA"/>
        </w:rPr>
        <w:t xml:space="preserve"> Основним фактором вірулентності </w:t>
      </w:r>
      <w:r>
        <w:rPr>
          <w:rFonts w:ascii="Times New Roman" w:hAnsi="Times New Roman"/>
          <w:sz w:val="28"/>
          <w:szCs w:val="28"/>
        </w:rPr>
        <w:t>A</w:t>
      </w:r>
      <w:r w:rsidRPr="00E56A17">
        <w:rPr>
          <w:rFonts w:ascii="Times New Roman" w:hAnsi="Times New Roman"/>
          <w:sz w:val="28"/>
          <w:szCs w:val="28"/>
          <w:lang w:val="uk-UA"/>
        </w:rPr>
        <w:t>.</w:t>
      </w:r>
      <w:r>
        <w:rPr>
          <w:rFonts w:ascii="Times New Roman" w:hAnsi="Times New Roman"/>
          <w:sz w:val="28"/>
          <w:szCs w:val="28"/>
        </w:rPr>
        <w:t>actinomicetem</w:t>
      </w:r>
      <w:r w:rsidRPr="00E56A17">
        <w:rPr>
          <w:rFonts w:ascii="Times New Roman" w:hAnsi="Times New Roman"/>
          <w:sz w:val="28"/>
          <w:szCs w:val="28"/>
          <w:lang w:val="uk-UA"/>
        </w:rPr>
        <w:t xml:space="preserve"> </w:t>
      </w:r>
      <w:r>
        <w:rPr>
          <w:rFonts w:ascii="Times New Roman" w:hAnsi="Times New Roman"/>
          <w:sz w:val="28"/>
          <w:szCs w:val="28"/>
        </w:rPr>
        <w:t>comitans</w:t>
      </w:r>
      <w:r w:rsidRPr="00E56A17">
        <w:rPr>
          <w:rFonts w:ascii="Times New Roman" w:hAnsi="Times New Roman"/>
          <w:sz w:val="28"/>
          <w:szCs w:val="28"/>
          <w:lang w:val="uk-UA"/>
        </w:rPr>
        <w:t xml:space="preserve"> </w:t>
      </w:r>
      <w:r>
        <w:rPr>
          <w:rFonts w:ascii="Times New Roman" w:hAnsi="Times New Roman"/>
          <w:sz w:val="28"/>
          <w:szCs w:val="28"/>
          <w:lang w:val="uk-UA"/>
        </w:rPr>
        <w:t xml:space="preserve"> є лейкотоксин, що викликає лізис нейтрофілів.</w:t>
      </w:r>
    </w:p>
    <w:p w:rsidR="002416FA" w:rsidRPr="00E56A17"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«Жовтий комплекс» складається зі стрептококів – </w:t>
      </w:r>
      <w:r>
        <w:rPr>
          <w:rFonts w:ascii="Times New Roman" w:hAnsi="Times New Roman"/>
          <w:sz w:val="28"/>
          <w:szCs w:val="28"/>
        </w:rPr>
        <w:t>S</w:t>
      </w:r>
      <w:r w:rsidRPr="00E56A17">
        <w:rPr>
          <w:rFonts w:ascii="Times New Roman" w:hAnsi="Times New Roman"/>
          <w:sz w:val="28"/>
          <w:szCs w:val="28"/>
          <w:lang w:val="uk-UA"/>
        </w:rPr>
        <w:t xml:space="preserve">. </w:t>
      </w:r>
      <w:r>
        <w:rPr>
          <w:rFonts w:ascii="Times New Roman" w:hAnsi="Times New Roman"/>
          <w:sz w:val="28"/>
          <w:szCs w:val="28"/>
        </w:rPr>
        <w:t>Mitis</w:t>
      </w:r>
      <w:r w:rsidRPr="00E56A17">
        <w:rPr>
          <w:rFonts w:ascii="Times New Roman" w:hAnsi="Times New Roman"/>
          <w:sz w:val="28"/>
          <w:szCs w:val="28"/>
          <w:lang w:val="uk-UA"/>
        </w:rPr>
        <w:t xml:space="preserve">, </w:t>
      </w:r>
      <w:r>
        <w:rPr>
          <w:rFonts w:ascii="Times New Roman" w:hAnsi="Times New Roman"/>
          <w:sz w:val="28"/>
          <w:szCs w:val="28"/>
        </w:rPr>
        <w:t>S</w:t>
      </w:r>
      <w:r w:rsidRPr="00E56A17">
        <w:rPr>
          <w:rFonts w:ascii="Times New Roman" w:hAnsi="Times New Roman"/>
          <w:sz w:val="28"/>
          <w:szCs w:val="28"/>
          <w:lang w:val="uk-UA"/>
        </w:rPr>
        <w:t xml:space="preserve">. </w:t>
      </w:r>
      <w:r>
        <w:rPr>
          <w:rFonts w:ascii="Times New Roman" w:hAnsi="Times New Roman"/>
          <w:sz w:val="28"/>
          <w:szCs w:val="28"/>
        </w:rPr>
        <w:t>Isralis</w:t>
      </w:r>
      <w:r w:rsidRPr="00E56A17">
        <w:rPr>
          <w:rFonts w:ascii="Times New Roman" w:hAnsi="Times New Roman"/>
          <w:sz w:val="28"/>
          <w:szCs w:val="28"/>
          <w:lang w:val="uk-UA"/>
        </w:rPr>
        <w:t xml:space="preserve">, </w:t>
      </w:r>
      <w:r>
        <w:rPr>
          <w:rFonts w:ascii="Times New Roman" w:hAnsi="Times New Roman"/>
          <w:sz w:val="28"/>
          <w:szCs w:val="28"/>
        </w:rPr>
        <w:t>S</w:t>
      </w:r>
      <w:r w:rsidRPr="00E56A17">
        <w:rPr>
          <w:rFonts w:ascii="Times New Roman" w:hAnsi="Times New Roman"/>
          <w:sz w:val="28"/>
          <w:szCs w:val="28"/>
          <w:lang w:val="uk-UA"/>
        </w:rPr>
        <w:t xml:space="preserve">. </w:t>
      </w:r>
      <w:r>
        <w:rPr>
          <w:rFonts w:ascii="Times New Roman" w:hAnsi="Times New Roman"/>
          <w:sz w:val="28"/>
          <w:szCs w:val="28"/>
        </w:rPr>
        <w:t>Sangvis</w:t>
      </w:r>
      <w:r w:rsidRPr="00E56A17">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«Пурпуровий комплекс» включає Actino</w:t>
      </w:r>
      <w:r>
        <w:rPr>
          <w:rFonts w:ascii="Times New Roman" w:hAnsi="Times New Roman"/>
          <w:sz w:val="28"/>
          <w:szCs w:val="28"/>
        </w:rPr>
        <w:t>myces</w:t>
      </w:r>
      <w:r w:rsidRPr="00E56A17">
        <w:rPr>
          <w:rFonts w:ascii="Times New Roman" w:hAnsi="Times New Roman"/>
          <w:sz w:val="28"/>
          <w:szCs w:val="28"/>
          <w:lang w:val="uk-UA"/>
        </w:rPr>
        <w:t xml:space="preserve"> </w:t>
      </w:r>
      <w:r>
        <w:rPr>
          <w:rFonts w:ascii="Times New Roman" w:hAnsi="Times New Roman"/>
          <w:sz w:val="28"/>
          <w:szCs w:val="28"/>
        </w:rPr>
        <w:t>odontoliticus</w:t>
      </w:r>
      <w:r>
        <w:rPr>
          <w:rFonts w:ascii="Times New Roman" w:hAnsi="Times New Roman"/>
          <w:sz w:val="28"/>
          <w:szCs w:val="28"/>
          <w:lang w:val="uk-UA"/>
        </w:rPr>
        <w:t xml:space="preserve"> і </w:t>
      </w:r>
      <w:r w:rsidRPr="00E56A17">
        <w:rPr>
          <w:rFonts w:ascii="Times New Roman" w:hAnsi="Times New Roman"/>
          <w:sz w:val="28"/>
          <w:szCs w:val="28"/>
          <w:lang w:val="uk-UA"/>
        </w:rPr>
        <w:t xml:space="preserve"> </w:t>
      </w:r>
      <w:r>
        <w:rPr>
          <w:rFonts w:ascii="Times New Roman" w:hAnsi="Times New Roman"/>
          <w:sz w:val="28"/>
          <w:szCs w:val="28"/>
        </w:rPr>
        <w:t>Veilonella</w:t>
      </w:r>
      <w:r w:rsidRPr="00E56A17">
        <w:rPr>
          <w:rFonts w:ascii="Times New Roman" w:hAnsi="Times New Roman"/>
          <w:sz w:val="28"/>
          <w:szCs w:val="28"/>
          <w:lang w:val="uk-UA"/>
        </w:rPr>
        <w:t xml:space="preserve"> </w:t>
      </w:r>
      <w:r>
        <w:rPr>
          <w:rFonts w:ascii="Times New Roman" w:hAnsi="Times New Roman"/>
          <w:sz w:val="28"/>
          <w:szCs w:val="28"/>
        </w:rPr>
        <w:t>parvulla</w:t>
      </w:r>
      <w:r w:rsidRPr="00E56A17">
        <w:rPr>
          <w:rFonts w:ascii="Times New Roman" w:hAnsi="Times New Roman"/>
          <w:sz w:val="28"/>
          <w:szCs w:val="28"/>
          <w:lang w:val="uk-UA"/>
        </w:rPr>
        <w:t xml:space="preserve"> </w:t>
      </w:r>
      <w:r w:rsidR="00494ABD">
        <w:rPr>
          <w:rFonts w:ascii="Times New Roman" w:hAnsi="Times New Roman"/>
          <w:sz w:val="28"/>
          <w:szCs w:val="28"/>
          <w:lang w:val="uk-UA"/>
        </w:rPr>
        <w:t>[70</w:t>
      </w:r>
      <w:r w:rsidRPr="00F91BB3">
        <w:rPr>
          <w:rFonts w:ascii="Times New Roman" w:hAnsi="Times New Roman"/>
          <w:sz w:val="28"/>
          <w:szCs w:val="28"/>
          <w:lang w:val="uk-UA"/>
        </w:rPr>
        <w:t>].</w:t>
      </w:r>
    </w:p>
    <w:p w:rsidR="002416FA" w:rsidRPr="00F91BB3"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розвитку пубертатного пародонтиту має значення специфічна інфекція: </w:t>
      </w:r>
      <w:r>
        <w:rPr>
          <w:rFonts w:ascii="Times New Roman" w:hAnsi="Times New Roman"/>
          <w:sz w:val="28"/>
          <w:szCs w:val="28"/>
        </w:rPr>
        <w:t>Actinobacillus</w:t>
      </w:r>
      <w:r w:rsidRPr="00E56A17">
        <w:rPr>
          <w:rFonts w:ascii="Times New Roman" w:hAnsi="Times New Roman"/>
          <w:sz w:val="28"/>
          <w:szCs w:val="28"/>
          <w:lang w:val="uk-UA"/>
        </w:rPr>
        <w:t xml:space="preserve"> </w:t>
      </w:r>
      <w:r>
        <w:rPr>
          <w:rFonts w:ascii="Times New Roman" w:hAnsi="Times New Roman"/>
          <w:sz w:val="28"/>
          <w:szCs w:val="28"/>
        </w:rPr>
        <w:t>actinomycetemomitans</w:t>
      </w:r>
      <w:r w:rsidRPr="00E56A17">
        <w:rPr>
          <w:rFonts w:ascii="Times New Roman" w:hAnsi="Times New Roman"/>
          <w:sz w:val="28"/>
          <w:szCs w:val="28"/>
          <w:lang w:val="uk-UA"/>
        </w:rPr>
        <w:t xml:space="preserve">, </w:t>
      </w:r>
      <w:r>
        <w:rPr>
          <w:rFonts w:ascii="Times New Roman" w:hAnsi="Times New Roman"/>
          <w:sz w:val="28"/>
          <w:szCs w:val="28"/>
        </w:rPr>
        <w:t>Bacteroides</w:t>
      </w:r>
      <w:r w:rsidRPr="00E56A17">
        <w:rPr>
          <w:rFonts w:ascii="Times New Roman" w:hAnsi="Times New Roman"/>
          <w:sz w:val="28"/>
          <w:szCs w:val="28"/>
          <w:lang w:val="uk-UA"/>
        </w:rPr>
        <w:t xml:space="preserve">, </w:t>
      </w:r>
      <w:r>
        <w:rPr>
          <w:rFonts w:ascii="Times New Roman" w:hAnsi="Times New Roman"/>
          <w:sz w:val="28"/>
          <w:szCs w:val="28"/>
        </w:rPr>
        <w:t>Capnocytophaga</w:t>
      </w:r>
      <w:r w:rsidRPr="00E56A17">
        <w:rPr>
          <w:rFonts w:ascii="Times New Roman" w:hAnsi="Times New Roman"/>
          <w:sz w:val="28"/>
          <w:szCs w:val="28"/>
          <w:lang w:val="uk-UA"/>
        </w:rPr>
        <w:t xml:space="preserve"> </w:t>
      </w:r>
      <w:r>
        <w:rPr>
          <w:rFonts w:ascii="Times New Roman" w:hAnsi="Times New Roman"/>
          <w:sz w:val="28"/>
          <w:szCs w:val="28"/>
        </w:rPr>
        <w:t>sputigena</w:t>
      </w:r>
      <w:r w:rsidRPr="00E56A17">
        <w:rPr>
          <w:rFonts w:ascii="Times New Roman" w:hAnsi="Times New Roman"/>
          <w:sz w:val="28"/>
          <w:szCs w:val="28"/>
          <w:lang w:val="uk-UA"/>
        </w:rPr>
        <w:t xml:space="preserve">, </w:t>
      </w:r>
      <w:r>
        <w:rPr>
          <w:rFonts w:ascii="Times New Roman" w:hAnsi="Times New Roman"/>
          <w:sz w:val="28"/>
          <w:szCs w:val="28"/>
        </w:rPr>
        <w:t>Eilkenella</w:t>
      </w:r>
      <w:r w:rsidRPr="00E56A17">
        <w:rPr>
          <w:rFonts w:ascii="Times New Roman" w:hAnsi="Times New Roman"/>
          <w:sz w:val="28"/>
          <w:szCs w:val="28"/>
          <w:lang w:val="uk-UA"/>
        </w:rPr>
        <w:t xml:space="preserve"> </w:t>
      </w:r>
      <w:r w:rsidRPr="00F91BB3">
        <w:rPr>
          <w:rFonts w:ascii="Times New Roman" w:hAnsi="Times New Roman"/>
          <w:sz w:val="28"/>
          <w:szCs w:val="28"/>
        </w:rPr>
        <w:t>corrodes</w:t>
      </w:r>
      <w:r w:rsidR="00494ABD">
        <w:rPr>
          <w:rFonts w:ascii="Times New Roman" w:hAnsi="Times New Roman"/>
          <w:sz w:val="28"/>
          <w:szCs w:val="28"/>
          <w:lang w:val="uk-UA"/>
        </w:rPr>
        <w:t xml:space="preserve"> [114</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Однак захворювання пародонта не можуть виникати без порушень імунологічної резистентності всього організму. При цьому головну роль в патогенезі ЗЗП відіграє взаємодія патогенних мікроорганізмів з клітинами першої лінії імунного захисту (нейтрофілами), що сприяє гіперактивації процесів секреторної де грануляції цих клітин </w:t>
      </w:r>
      <w:r w:rsidRPr="00FC322C">
        <w:rPr>
          <w:rFonts w:ascii="Times New Roman" w:hAnsi="Times New Roman"/>
          <w:sz w:val="28"/>
          <w:szCs w:val="28"/>
          <w:lang w:val="uk-UA"/>
        </w:rPr>
        <w:t>та</w:t>
      </w:r>
      <w:r>
        <w:rPr>
          <w:rFonts w:ascii="Times New Roman" w:hAnsi="Times New Roman"/>
          <w:sz w:val="28"/>
          <w:szCs w:val="28"/>
          <w:lang w:val="uk-UA"/>
        </w:rPr>
        <w:t xml:space="preserve"> призводить до їх масової загибелі </w:t>
      </w:r>
      <w:r w:rsidR="00494ABD">
        <w:rPr>
          <w:rFonts w:ascii="Times New Roman" w:hAnsi="Times New Roman"/>
          <w:sz w:val="28"/>
          <w:szCs w:val="28"/>
          <w:lang w:val="uk-UA"/>
        </w:rPr>
        <w:t>[169, 185</w:t>
      </w:r>
      <w:r w:rsidRPr="00F91BB3">
        <w:rPr>
          <w:rFonts w:ascii="Times New Roman" w:hAnsi="Times New Roman"/>
          <w:sz w:val="28"/>
          <w:szCs w:val="28"/>
          <w:lang w:val="uk-UA"/>
        </w:rPr>
        <w:t>].</w:t>
      </w:r>
      <w:r>
        <w:rPr>
          <w:rFonts w:ascii="Times New Roman" w:hAnsi="Times New Roman"/>
          <w:sz w:val="28"/>
          <w:szCs w:val="28"/>
          <w:lang w:val="uk-UA"/>
        </w:rPr>
        <w:t xml:space="preserve"> Під впливом факторів патогенності мікроорганізмів і імунних комплексів (антиген-антитіло) з лізосомальних гранул лейкоцитів у великій кількості вивільнюються лейкоцитарні протеази (еластаз</w:t>
      </w:r>
      <w:r w:rsidRPr="00FC322C">
        <w:rPr>
          <w:rFonts w:ascii="Times New Roman" w:hAnsi="Times New Roman"/>
          <w:sz w:val="28"/>
          <w:szCs w:val="28"/>
          <w:lang w:val="uk-UA"/>
        </w:rPr>
        <w:t>а</w:t>
      </w:r>
      <w:r>
        <w:rPr>
          <w:rFonts w:ascii="Times New Roman" w:hAnsi="Times New Roman"/>
          <w:sz w:val="28"/>
          <w:szCs w:val="28"/>
          <w:lang w:val="uk-UA"/>
        </w:rPr>
        <w:t xml:space="preserve"> і еластазоподібні металопротеази), що відіграють провідну роль у розвитку запального процесу, тобто дегенеративних судинних і тканинних змін в інфікованих бактеріями тканинах </w:t>
      </w:r>
      <w:r w:rsidR="00494ABD">
        <w:rPr>
          <w:rFonts w:ascii="Times New Roman" w:hAnsi="Times New Roman"/>
          <w:sz w:val="28"/>
          <w:szCs w:val="28"/>
          <w:lang w:val="uk-UA"/>
        </w:rPr>
        <w:t>пародонта [169</w:t>
      </w:r>
      <w:r w:rsidRPr="00FC322C">
        <w:rPr>
          <w:rFonts w:ascii="Times New Roman" w:hAnsi="Times New Roman"/>
          <w:sz w:val="28"/>
          <w:szCs w:val="28"/>
          <w:lang w:val="uk-UA"/>
        </w:rPr>
        <w:t>].</w:t>
      </w:r>
      <w:r>
        <w:rPr>
          <w:rFonts w:ascii="Times New Roman" w:hAnsi="Times New Roman"/>
          <w:sz w:val="28"/>
          <w:szCs w:val="28"/>
          <w:lang w:val="uk-UA"/>
        </w:rPr>
        <w:t xml:space="preserve"> </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здоровому організмі існує баланс активності лейкоцитарних протеіназ, що регулюється  природними  плазмовими і тканинними  інгібіторами, що підтримує нормальний стан тканин, в тому числі і тканин пародонта </w:t>
      </w:r>
      <w:r w:rsidR="00494ABD">
        <w:rPr>
          <w:rFonts w:ascii="Times New Roman" w:hAnsi="Times New Roman"/>
          <w:sz w:val="28"/>
          <w:szCs w:val="28"/>
          <w:lang w:val="uk-UA"/>
        </w:rPr>
        <w:t>[169</w:t>
      </w:r>
      <w:r w:rsidRPr="00F91BB3">
        <w:rPr>
          <w:rFonts w:ascii="Times New Roman" w:hAnsi="Times New Roman"/>
          <w:sz w:val="28"/>
          <w:szCs w:val="28"/>
          <w:lang w:val="uk-UA"/>
        </w:rPr>
        <w:t>].</w:t>
      </w:r>
      <w:r>
        <w:rPr>
          <w:rFonts w:ascii="Times New Roman" w:hAnsi="Times New Roman"/>
          <w:sz w:val="28"/>
          <w:szCs w:val="28"/>
          <w:lang w:val="uk-UA"/>
        </w:rPr>
        <w:t xml:space="preserve"> Однак в </w:t>
      </w:r>
      <w:r>
        <w:rPr>
          <w:rFonts w:ascii="Times New Roman" w:hAnsi="Times New Roman"/>
          <w:sz w:val="28"/>
          <w:szCs w:val="28"/>
          <w:lang w:val="uk-UA"/>
        </w:rPr>
        <w:lastRenderedPageBreak/>
        <w:t>присутності деяких збудників захворювань пародонта  (</w:t>
      </w:r>
      <w:r>
        <w:rPr>
          <w:rFonts w:ascii="Times New Roman" w:hAnsi="Times New Roman"/>
          <w:sz w:val="28"/>
          <w:szCs w:val="28"/>
        </w:rPr>
        <w:t>A</w:t>
      </w:r>
      <w:r w:rsidRPr="007B6C4A">
        <w:rPr>
          <w:rFonts w:ascii="Times New Roman" w:hAnsi="Times New Roman"/>
          <w:sz w:val="28"/>
          <w:szCs w:val="28"/>
          <w:lang w:val="uk-UA"/>
        </w:rPr>
        <w:t>.</w:t>
      </w:r>
      <w:r>
        <w:rPr>
          <w:rFonts w:ascii="Times New Roman" w:hAnsi="Times New Roman"/>
          <w:sz w:val="28"/>
          <w:szCs w:val="28"/>
        </w:rPr>
        <w:t>Actinomycetemcomitans</w:t>
      </w:r>
      <w:r w:rsidRPr="007B6C4A">
        <w:rPr>
          <w:rFonts w:ascii="Times New Roman" w:hAnsi="Times New Roman"/>
          <w:sz w:val="28"/>
          <w:szCs w:val="28"/>
          <w:lang w:val="uk-UA"/>
        </w:rPr>
        <w:t xml:space="preserve">, </w:t>
      </w:r>
      <w:r>
        <w:rPr>
          <w:rFonts w:ascii="Times New Roman" w:hAnsi="Times New Roman"/>
          <w:sz w:val="28"/>
          <w:szCs w:val="28"/>
        </w:rPr>
        <w:t>P</w:t>
      </w:r>
      <w:r w:rsidRPr="007B6C4A">
        <w:rPr>
          <w:rFonts w:ascii="Times New Roman" w:hAnsi="Times New Roman"/>
          <w:sz w:val="28"/>
          <w:szCs w:val="28"/>
          <w:lang w:val="uk-UA"/>
        </w:rPr>
        <w:t xml:space="preserve">. </w:t>
      </w:r>
      <w:r>
        <w:rPr>
          <w:rFonts w:ascii="Times New Roman" w:hAnsi="Times New Roman"/>
          <w:sz w:val="28"/>
          <w:szCs w:val="28"/>
        </w:rPr>
        <w:t>gingivalis</w:t>
      </w:r>
      <w:r w:rsidRPr="007B6C4A">
        <w:rPr>
          <w:rFonts w:ascii="Times New Roman" w:hAnsi="Times New Roman"/>
          <w:sz w:val="28"/>
          <w:szCs w:val="28"/>
          <w:lang w:val="uk-UA"/>
        </w:rPr>
        <w:t xml:space="preserve"> </w:t>
      </w:r>
      <w:r>
        <w:rPr>
          <w:rFonts w:ascii="Times New Roman" w:hAnsi="Times New Roman"/>
          <w:sz w:val="28"/>
          <w:szCs w:val="28"/>
          <w:lang w:val="uk-UA"/>
        </w:rPr>
        <w:t xml:space="preserve">та ін.), що мають виражені лейкотоксичні властивості, велика кількість еластази і еластазоподібних матриксних металопротеіназ вивільнюється з гранул  активованих нейтрофілів в зубоясенну </w:t>
      </w:r>
      <w:r w:rsidR="00494ABD">
        <w:rPr>
          <w:rFonts w:ascii="Times New Roman" w:hAnsi="Times New Roman"/>
          <w:sz w:val="28"/>
          <w:szCs w:val="28"/>
          <w:lang w:val="uk-UA"/>
        </w:rPr>
        <w:t>рідину [165, 167, 175, 211, 215</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Причини гіперсекреції лейкоцитарних протеіназ при ЗЗП в теперішній час інтенсивно вивчаються </w:t>
      </w:r>
      <w:r w:rsidR="00494ABD">
        <w:rPr>
          <w:rFonts w:ascii="Times New Roman" w:hAnsi="Times New Roman"/>
          <w:sz w:val="28"/>
          <w:szCs w:val="28"/>
          <w:lang w:val="uk-UA"/>
        </w:rPr>
        <w:t>[97, 206, 215</w:t>
      </w:r>
      <w:r w:rsidRPr="00F91BB3">
        <w:rPr>
          <w:rFonts w:ascii="Times New Roman" w:hAnsi="Times New Roman"/>
          <w:sz w:val="28"/>
          <w:szCs w:val="28"/>
          <w:lang w:val="uk-UA"/>
        </w:rPr>
        <w:t>].</w:t>
      </w:r>
      <w:r>
        <w:rPr>
          <w:rFonts w:ascii="Times New Roman" w:hAnsi="Times New Roman"/>
          <w:sz w:val="28"/>
          <w:szCs w:val="28"/>
          <w:lang w:val="uk-UA"/>
        </w:rPr>
        <w:t xml:space="preserve"> В умовах низького мікробного навантаження і високої фагоцитарної активності нейтрофілів не виникає дисбаланс між процесами апоптоза і клітинної проліферації, між рівнем активності вивільнюваних з клітин протеіназ і їх </w:t>
      </w:r>
      <w:r w:rsidR="00494ABD">
        <w:rPr>
          <w:rFonts w:ascii="Times New Roman" w:hAnsi="Times New Roman"/>
          <w:sz w:val="28"/>
          <w:szCs w:val="28"/>
          <w:lang w:val="uk-UA"/>
        </w:rPr>
        <w:t>інгібіторів [97</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Дисбаланс процесів дегрануляції і загибелі нейтрофілів, що викликає ЗЗП, виникає при вроджених або набутих імунодефіцитах, при яких різко знижується фагоцитарна активність нейтроіфілів по відношенню до патогенних мікроорганізмів. Інтенсивне позаклітинне розмноження бактерій призводить до контакту великої кількості фагоцитів з мікробними клітинами і вивільненню великої кількості ліпополісахаридів і лейко токсинів, що мають виражені цитотоксичні властивості. Це запускає процеси масивної дегрануляції і загибелі нейтрофілів і, як наслідок, гіперпродукцію до позаклітинного простору лейкоцитарних протеіназ. Внаслідок цього нейтрофіли, які в нормі забезпечують ефективний антибактеріальний захист, самі стають основною причиною інтенсивного руйнування тканин пародонта </w:t>
      </w:r>
      <w:r w:rsidR="00494ABD">
        <w:rPr>
          <w:rFonts w:ascii="Times New Roman" w:hAnsi="Times New Roman"/>
          <w:sz w:val="28"/>
          <w:szCs w:val="28"/>
          <w:lang w:val="uk-UA"/>
        </w:rPr>
        <w:t>[169</w:t>
      </w:r>
      <w:r w:rsidRPr="00F91BB3">
        <w:rPr>
          <w:rFonts w:ascii="Times New Roman" w:hAnsi="Times New Roman"/>
          <w:sz w:val="28"/>
          <w:szCs w:val="28"/>
          <w:lang w:val="uk-UA"/>
        </w:rPr>
        <w:t>].</w:t>
      </w:r>
      <w:r>
        <w:rPr>
          <w:rFonts w:ascii="Times New Roman" w:hAnsi="Times New Roman"/>
          <w:sz w:val="28"/>
          <w:szCs w:val="28"/>
          <w:lang w:val="uk-UA"/>
        </w:rPr>
        <w:t xml:space="preserve"> При цьому деградацію еластину і колагену пародонтальної зв’язки викликають в основному три лейкоцитарних протеінази – еластаза, матриксна металлопротеіназа – 8 і матриксна металопротеіназа – 9 </w:t>
      </w:r>
      <w:r w:rsidR="00494ABD">
        <w:rPr>
          <w:rFonts w:ascii="Times New Roman" w:hAnsi="Times New Roman"/>
          <w:sz w:val="28"/>
          <w:szCs w:val="28"/>
          <w:lang w:val="uk-UA"/>
        </w:rPr>
        <w:t>[165, 167, 175</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Відмічено </w:t>
      </w:r>
      <w:r w:rsidR="00494ABD">
        <w:rPr>
          <w:rFonts w:ascii="Times New Roman" w:hAnsi="Times New Roman"/>
          <w:sz w:val="28"/>
          <w:szCs w:val="28"/>
          <w:lang w:val="uk-UA"/>
        </w:rPr>
        <w:t>[190</w:t>
      </w:r>
      <w:r w:rsidRPr="00F91BB3">
        <w:rPr>
          <w:rFonts w:ascii="Times New Roman" w:hAnsi="Times New Roman"/>
          <w:sz w:val="28"/>
          <w:szCs w:val="28"/>
          <w:lang w:val="uk-UA"/>
        </w:rPr>
        <w:t>],</w:t>
      </w:r>
      <w:r>
        <w:rPr>
          <w:rFonts w:ascii="Times New Roman" w:hAnsi="Times New Roman"/>
          <w:sz w:val="28"/>
          <w:szCs w:val="28"/>
          <w:lang w:val="uk-UA"/>
        </w:rPr>
        <w:t xml:space="preserve"> що трансформація гінгівіту в пародонтит не виникає, якщо в сироватці крові підвищений титр високоактивних антитіл до пародонтопатогенної мікрофлори. Припускається </w:t>
      </w:r>
      <w:r w:rsidR="00494ABD">
        <w:rPr>
          <w:rFonts w:ascii="Times New Roman" w:hAnsi="Times New Roman"/>
          <w:sz w:val="28"/>
          <w:szCs w:val="28"/>
          <w:lang w:val="uk-UA"/>
        </w:rPr>
        <w:t>[54, 115, 116</w:t>
      </w:r>
      <w:r w:rsidRPr="00F91BB3">
        <w:rPr>
          <w:rFonts w:ascii="Times New Roman" w:hAnsi="Times New Roman"/>
          <w:sz w:val="28"/>
          <w:szCs w:val="28"/>
          <w:lang w:val="uk-UA"/>
        </w:rPr>
        <w:t>],</w:t>
      </w:r>
      <w:r>
        <w:rPr>
          <w:rFonts w:ascii="Times New Roman" w:hAnsi="Times New Roman"/>
          <w:sz w:val="28"/>
          <w:szCs w:val="28"/>
          <w:lang w:val="uk-UA"/>
        </w:rPr>
        <w:t xml:space="preserve"> що слабо вірулентні патогени здатні змінювати toll-подібні рецептори (</w:t>
      </w:r>
      <w:r>
        <w:rPr>
          <w:rFonts w:ascii="Times New Roman" w:hAnsi="Times New Roman"/>
          <w:sz w:val="28"/>
          <w:szCs w:val="28"/>
        </w:rPr>
        <w:t>TLR</w:t>
      </w:r>
      <w:r w:rsidRPr="00AA7D6A">
        <w:rPr>
          <w:rFonts w:ascii="Times New Roman" w:hAnsi="Times New Roman"/>
          <w:sz w:val="28"/>
          <w:szCs w:val="28"/>
          <w:lang w:val="uk-UA"/>
        </w:rPr>
        <w:t>)</w:t>
      </w:r>
      <w:r>
        <w:rPr>
          <w:rFonts w:ascii="Times New Roman" w:hAnsi="Times New Roman"/>
          <w:sz w:val="28"/>
          <w:szCs w:val="28"/>
          <w:lang w:val="uk-UA"/>
        </w:rPr>
        <w:t xml:space="preserve"> у зовнішній мембрані клітин, що забезпечують вмикання важливих компонентів вродженого імунітету, що робить цю систему нечутливою до молекулярних структур </w:t>
      </w:r>
      <w:r>
        <w:rPr>
          <w:rFonts w:ascii="Times New Roman" w:hAnsi="Times New Roman"/>
          <w:sz w:val="28"/>
          <w:szCs w:val="28"/>
          <w:lang w:val="uk-UA"/>
        </w:rPr>
        <w:lastRenderedPageBreak/>
        <w:t>мікробів, що, в свою чергу, сприяє прогресуванню деструкції тканин пародонтального комплексу.</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w:t>
      </w:r>
      <w:r w:rsidR="00C93073">
        <w:rPr>
          <w:rFonts w:ascii="Times New Roman" w:hAnsi="Times New Roman"/>
          <w:sz w:val="28"/>
          <w:szCs w:val="28"/>
          <w:lang w:val="uk-UA"/>
        </w:rPr>
        <w:t>ження складу вмісту зубоясенної кишені</w:t>
      </w:r>
      <w:r>
        <w:rPr>
          <w:rFonts w:ascii="Times New Roman" w:hAnsi="Times New Roman"/>
          <w:sz w:val="28"/>
          <w:szCs w:val="28"/>
          <w:lang w:val="uk-UA"/>
        </w:rPr>
        <w:t xml:space="preserve"> дозволило за останні роки сформувати цитокінову концепцію  розвитку хронічного запалення в пародонті </w:t>
      </w:r>
      <w:r w:rsidR="00494ABD">
        <w:rPr>
          <w:rFonts w:ascii="Times New Roman" w:hAnsi="Times New Roman"/>
          <w:sz w:val="28"/>
          <w:szCs w:val="28"/>
          <w:lang w:val="uk-UA"/>
        </w:rPr>
        <w:t>[147, 153, 168, 181</w:t>
      </w:r>
      <w:r w:rsidRPr="00F91BB3">
        <w:rPr>
          <w:rFonts w:ascii="Times New Roman" w:hAnsi="Times New Roman"/>
          <w:sz w:val="28"/>
          <w:szCs w:val="28"/>
          <w:lang w:val="uk-UA"/>
        </w:rPr>
        <w:t>].</w:t>
      </w:r>
      <w:r>
        <w:rPr>
          <w:rFonts w:ascii="Times New Roman" w:hAnsi="Times New Roman"/>
          <w:sz w:val="28"/>
          <w:szCs w:val="28"/>
          <w:lang w:val="uk-UA"/>
        </w:rPr>
        <w:t xml:space="preserve"> Згідно з даною концепцією активація пародонтопатогенними мікробами моноцитів і макрофагів на рівні зубоясенного сполучення збільшує продукцію цими клітинами прозапальних цитокінів, що відіграють провідну роль в розвитку імунопатології при пародонтиті, розвитку запальних і деструктивних процесів </w:t>
      </w:r>
      <w:r w:rsidR="00494ABD">
        <w:rPr>
          <w:rFonts w:ascii="Times New Roman" w:hAnsi="Times New Roman"/>
          <w:sz w:val="28"/>
          <w:szCs w:val="28"/>
          <w:lang w:val="uk-UA"/>
        </w:rPr>
        <w:t>[72, 117</w:t>
      </w:r>
      <w:r w:rsidRPr="00F91BB3">
        <w:rPr>
          <w:rFonts w:ascii="Times New Roman" w:hAnsi="Times New Roman"/>
          <w:sz w:val="28"/>
          <w:szCs w:val="28"/>
          <w:lang w:val="uk-UA"/>
        </w:rPr>
        <w:t>].</w:t>
      </w:r>
      <w:r>
        <w:rPr>
          <w:rFonts w:ascii="Times New Roman" w:hAnsi="Times New Roman"/>
          <w:sz w:val="28"/>
          <w:szCs w:val="28"/>
          <w:lang w:val="uk-UA"/>
        </w:rPr>
        <w:t xml:space="preserve"> Цитокіни мають виключну біологічну активність. Спектр їх дії є активуючим, вмикаючим каскад імунопатологічних реакцій: активацію лімфоцитарної ланки імунітету, проліферацію і диференціювання Т- і В- лімфоцитів, посилення фагоцитозу, резорбцію кістки і активацію фібропластичних процесів </w:t>
      </w:r>
      <w:r w:rsidR="00494ABD">
        <w:rPr>
          <w:rFonts w:ascii="Times New Roman" w:hAnsi="Times New Roman"/>
          <w:sz w:val="28"/>
          <w:szCs w:val="28"/>
          <w:lang w:val="uk-UA"/>
        </w:rPr>
        <w:t>[116, 117</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Передбачається, що розвиток ЗЗП пов'язаний з поєднанням кількох факторів: наявністю пародонтопатогенних мікроорганізмів, високим рівнем прозапальних цитокінів, матричних металопротеїназ, низьким рівнем ІЛ-10 </w:t>
      </w:r>
      <w:r w:rsidR="00494ABD">
        <w:rPr>
          <w:rFonts w:ascii="Times New Roman" w:hAnsi="Times New Roman"/>
          <w:sz w:val="28"/>
          <w:szCs w:val="28"/>
          <w:lang w:val="uk-UA"/>
        </w:rPr>
        <w:t>[179</w:t>
      </w:r>
      <w:r w:rsidRPr="00F91BB3">
        <w:rPr>
          <w:rFonts w:ascii="Times New Roman" w:hAnsi="Times New Roman"/>
          <w:sz w:val="28"/>
          <w:szCs w:val="28"/>
          <w:lang w:val="uk-UA"/>
        </w:rPr>
        <w:t>].</w:t>
      </w:r>
      <w:r>
        <w:rPr>
          <w:rFonts w:ascii="Times New Roman" w:hAnsi="Times New Roman"/>
          <w:sz w:val="28"/>
          <w:szCs w:val="28"/>
          <w:lang w:val="uk-UA"/>
        </w:rPr>
        <w:t xml:space="preserve"> Згідно з цією концепцією, баланс цитокінів визначає, чи відбувається руйнування тканин пародонта, або підтримує гомеостаз </w:t>
      </w:r>
      <w:r w:rsidR="00494ABD">
        <w:rPr>
          <w:rFonts w:ascii="Times New Roman" w:hAnsi="Times New Roman"/>
          <w:sz w:val="28"/>
          <w:szCs w:val="28"/>
          <w:lang w:val="uk-UA"/>
        </w:rPr>
        <w:t>[72, 116, 117</w:t>
      </w:r>
      <w:r w:rsidRPr="00F91BB3">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Існує група запальних цитокінів, що безпосередньо приймає участь у механізмах запалення і пошкодження тканин. До них відносяться ІЛ-1, фактор некрозу пухлини (ФНП), ІЛ-6, ІЛ-8. Дані медіатори секретуються активованими макрофагами і підсилюють запальну реакцію. Дослідниками встановлено провідну роль ІЛ-1, ІЛ-6, ІЛ-8, ФНП, ІЛ-18 в розвитку активного дистрофічно-запального процесу в тканинах пародонта </w:t>
      </w:r>
      <w:r w:rsidR="00494ABD">
        <w:rPr>
          <w:rFonts w:ascii="Times New Roman" w:hAnsi="Times New Roman"/>
          <w:sz w:val="28"/>
          <w:szCs w:val="28"/>
          <w:lang w:val="uk-UA"/>
        </w:rPr>
        <w:t>[78, 107, 112, 172, 199</w:t>
      </w:r>
      <w:r w:rsidR="00CF4BE2">
        <w:rPr>
          <w:rFonts w:ascii="Times New Roman" w:hAnsi="Times New Roman"/>
          <w:sz w:val="28"/>
          <w:szCs w:val="28"/>
          <w:lang w:val="uk-UA"/>
        </w:rPr>
        <w:t>, 203</w:t>
      </w:r>
      <w:r w:rsidRPr="00F91BB3">
        <w:rPr>
          <w:rFonts w:ascii="Times New Roman" w:hAnsi="Times New Roman"/>
          <w:sz w:val="28"/>
          <w:szCs w:val="28"/>
          <w:lang w:val="uk-UA"/>
        </w:rPr>
        <w:t>]</w:t>
      </w:r>
      <w:r>
        <w:rPr>
          <w:rFonts w:ascii="Times New Roman" w:hAnsi="Times New Roman"/>
          <w:sz w:val="28"/>
          <w:szCs w:val="28"/>
          <w:lang w:val="uk-UA"/>
        </w:rPr>
        <w:t xml:space="preserve">. В свою чергу продукція цитокінів регулюється </w:t>
      </w:r>
      <w:r w:rsidRPr="00FC322C">
        <w:rPr>
          <w:rFonts w:ascii="Times New Roman" w:hAnsi="Times New Roman"/>
          <w:sz w:val="28"/>
          <w:szCs w:val="28"/>
          <w:lang w:val="uk-UA"/>
        </w:rPr>
        <w:t>генами цитокінів</w:t>
      </w:r>
      <w:r>
        <w:rPr>
          <w:rFonts w:ascii="Times New Roman" w:hAnsi="Times New Roman"/>
          <w:sz w:val="28"/>
          <w:szCs w:val="28"/>
          <w:lang w:val="uk-UA"/>
        </w:rPr>
        <w:t xml:space="preserve">. В цьому плані виявлено асоціації мінорних алелів  генів ІЛ-1 та ІЛ-6 зі ступенем тяжкості гінгівіту, а також асоціації індексу гігієни порожнини рота </w:t>
      </w:r>
      <w:r>
        <w:rPr>
          <w:rFonts w:ascii="Times New Roman" w:hAnsi="Times New Roman"/>
          <w:sz w:val="28"/>
          <w:szCs w:val="28"/>
        </w:rPr>
        <w:t>OHI</w:t>
      </w:r>
      <w:r w:rsidRPr="007E3D9F">
        <w:rPr>
          <w:rFonts w:ascii="Times New Roman" w:hAnsi="Times New Roman"/>
          <w:sz w:val="28"/>
          <w:szCs w:val="28"/>
          <w:lang w:val="uk-UA"/>
        </w:rPr>
        <w:t>-</w:t>
      </w:r>
      <w:r>
        <w:rPr>
          <w:rFonts w:ascii="Times New Roman" w:hAnsi="Times New Roman"/>
          <w:sz w:val="28"/>
          <w:szCs w:val="28"/>
        </w:rPr>
        <w:t>S</w:t>
      </w:r>
      <w:r>
        <w:rPr>
          <w:rFonts w:ascii="Times New Roman" w:hAnsi="Times New Roman"/>
          <w:sz w:val="28"/>
          <w:szCs w:val="28"/>
          <w:lang w:val="uk-UA"/>
        </w:rPr>
        <w:t xml:space="preserve"> з алелями гена ІЛ-18 </w:t>
      </w:r>
      <w:r w:rsidR="00CF4BE2">
        <w:rPr>
          <w:rFonts w:ascii="Times New Roman" w:hAnsi="Times New Roman"/>
          <w:sz w:val="28"/>
          <w:szCs w:val="28"/>
          <w:lang w:val="uk-UA"/>
        </w:rPr>
        <w:t>[130</w:t>
      </w:r>
      <w:r w:rsidRPr="003527CA">
        <w:rPr>
          <w:rFonts w:ascii="Times New Roman" w:hAnsi="Times New Roman"/>
          <w:sz w:val="28"/>
          <w:szCs w:val="28"/>
          <w:lang w:val="uk-UA"/>
        </w:rPr>
        <w:t>].</w:t>
      </w:r>
      <w:r>
        <w:rPr>
          <w:rFonts w:ascii="Times New Roman" w:hAnsi="Times New Roman"/>
          <w:sz w:val="28"/>
          <w:szCs w:val="28"/>
          <w:lang w:val="uk-UA"/>
        </w:rPr>
        <w:t xml:space="preserve"> Доведено асоціацію між поліморфізмом гену ІЛ-1 і більш частим розвитком тяжких форм патології пародонта у людей європеоїдної раси </w:t>
      </w:r>
      <w:r w:rsidR="00CF4BE2">
        <w:rPr>
          <w:rFonts w:ascii="Times New Roman" w:hAnsi="Times New Roman"/>
          <w:sz w:val="28"/>
          <w:szCs w:val="28"/>
          <w:lang w:val="uk-UA"/>
        </w:rPr>
        <w:t>[186, 191, 189, 195, 210</w:t>
      </w:r>
      <w:r w:rsidRPr="003527CA">
        <w:rPr>
          <w:rFonts w:ascii="Times New Roman" w:hAnsi="Times New Roman"/>
          <w:sz w:val="28"/>
          <w:szCs w:val="28"/>
          <w:lang w:val="uk-UA"/>
        </w:rPr>
        <w:t>].</w:t>
      </w:r>
      <w:r>
        <w:rPr>
          <w:rFonts w:ascii="Times New Roman" w:hAnsi="Times New Roman"/>
          <w:sz w:val="28"/>
          <w:szCs w:val="28"/>
          <w:lang w:val="uk-UA"/>
        </w:rPr>
        <w:t xml:space="preserve"> Також виявлено генетичну зумовленість редукційних змін жувального </w:t>
      </w:r>
      <w:r>
        <w:rPr>
          <w:rFonts w:ascii="Times New Roman" w:hAnsi="Times New Roman"/>
          <w:sz w:val="28"/>
          <w:szCs w:val="28"/>
          <w:lang w:val="uk-UA"/>
        </w:rPr>
        <w:lastRenderedPageBreak/>
        <w:t>апарату, що відіграє детермінуючу роль в патогенезі пародонтит</w:t>
      </w:r>
      <w:r w:rsidRPr="00FC322C">
        <w:rPr>
          <w:rFonts w:ascii="Times New Roman" w:hAnsi="Times New Roman"/>
          <w:sz w:val="28"/>
          <w:szCs w:val="28"/>
          <w:lang w:val="uk-UA"/>
        </w:rPr>
        <w:t>у</w:t>
      </w:r>
      <w:r>
        <w:rPr>
          <w:rFonts w:ascii="Times New Roman" w:hAnsi="Times New Roman"/>
          <w:sz w:val="28"/>
          <w:szCs w:val="28"/>
          <w:lang w:val="uk-UA"/>
        </w:rPr>
        <w:t xml:space="preserve"> </w:t>
      </w:r>
      <w:r w:rsidR="00CF4BE2">
        <w:rPr>
          <w:rFonts w:ascii="Times New Roman" w:hAnsi="Times New Roman"/>
          <w:sz w:val="28"/>
          <w:szCs w:val="28"/>
          <w:lang w:val="uk-UA"/>
        </w:rPr>
        <w:t>[84</w:t>
      </w:r>
      <w:r w:rsidRPr="003527CA">
        <w:rPr>
          <w:rFonts w:ascii="Times New Roman" w:hAnsi="Times New Roman"/>
          <w:sz w:val="28"/>
          <w:szCs w:val="28"/>
          <w:lang w:val="uk-UA"/>
        </w:rPr>
        <w:t>]. Вищевказані</w:t>
      </w:r>
      <w:r>
        <w:rPr>
          <w:rFonts w:ascii="Times New Roman" w:hAnsi="Times New Roman"/>
          <w:sz w:val="28"/>
          <w:szCs w:val="28"/>
          <w:lang w:val="uk-UA"/>
        </w:rPr>
        <w:t xml:space="preserve"> дані дозволяють стверджувати про можливість існування генетичної схильності до захворювань пародонта, яка проявляється як опосередковано, через генетично закладені особливості побудови зубощелепної системи і організму в цілому, так і напряму, при успадковуванні захворювань, які </w:t>
      </w:r>
      <w:r w:rsidRPr="00FC322C">
        <w:rPr>
          <w:rFonts w:ascii="Times New Roman" w:hAnsi="Times New Roman"/>
          <w:sz w:val="28"/>
          <w:szCs w:val="28"/>
          <w:lang w:val="uk-UA"/>
        </w:rPr>
        <w:t>можуть відбиватися</w:t>
      </w:r>
      <w:r>
        <w:rPr>
          <w:rFonts w:ascii="Times New Roman" w:hAnsi="Times New Roman"/>
          <w:sz w:val="28"/>
          <w:szCs w:val="28"/>
          <w:lang w:val="uk-UA"/>
        </w:rPr>
        <w:t xml:space="preserve"> на стані пародонта </w:t>
      </w:r>
      <w:r w:rsidR="00CF4BE2">
        <w:rPr>
          <w:rFonts w:ascii="Times New Roman" w:hAnsi="Times New Roman"/>
          <w:sz w:val="28"/>
          <w:szCs w:val="28"/>
          <w:lang w:val="uk-UA"/>
        </w:rPr>
        <w:t>[186, 189, 210</w:t>
      </w:r>
      <w:r w:rsidRPr="003527C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Важливу роль в патогенезі ЗЗП відіграють місцеві хронічні травмуючи фактори: краї пломб, що нависають, каріозні порожнини, вроджені аномалії зубо-щелепної системи, </w:t>
      </w:r>
      <w:r w:rsidRPr="00FC322C">
        <w:rPr>
          <w:rFonts w:ascii="Times New Roman" w:hAnsi="Times New Roman"/>
          <w:sz w:val="28"/>
          <w:szCs w:val="28"/>
          <w:lang w:val="uk-UA"/>
        </w:rPr>
        <w:t>нераціональне</w:t>
      </w:r>
      <w:r>
        <w:rPr>
          <w:rFonts w:ascii="Times New Roman" w:hAnsi="Times New Roman"/>
          <w:sz w:val="28"/>
          <w:szCs w:val="28"/>
          <w:lang w:val="uk-UA"/>
        </w:rPr>
        <w:t xml:space="preserve"> ортодонтичне лікування, раннє видалення молочних молярів, що призводить до перенавантаження постійних різців </w:t>
      </w:r>
      <w:r w:rsidR="00CF4BE2">
        <w:rPr>
          <w:rFonts w:ascii="Times New Roman" w:hAnsi="Times New Roman"/>
          <w:sz w:val="28"/>
          <w:szCs w:val="28"/>
          <w:lang w:val="uk-UA"/>
        </w:rPr>
        <w:t>[9, 42, 62</w:t>
      </w:r>
      <w:r w:rsidRPr="003527CA">
        <w:rPr>
          <w:rFonts w:ascii="Times New Roman" w:hAnsi="Times New Roman"/>
          <w:sz w:val="28"/>
          <w:szCs w:val="28"/>
          <w:lang w:val="uk-UA"/>
        </w:rPr>
        <w:t>].</w:t>
      </w:r>
      <w:r>
        <w:rPr>
          <w:rFonts w:ascii="Times New Roman" w:hAnsi="Times New Roman"/>
          <w:sz w:val="28"/>
          <w:szCs w:val="28"/>
          <w:lang w:val="uk-UA"/>
        </w:rPr>
        <w:t xml:space="preserve"> Встановлено, що ряд аномалій зубо-щелепної системи визивають мікроциркуляторні розлади в тканинах зубо-щелепної системи і виступають у якості фактора ризику розвитку захворювань пародонта </w:t>
      </w:r>
      <w:r w:rsidRPr="003527CA">
        <w:rPr>
          <w:rFonts w:ascii="Times New Roman" w:hAnsi="Times New Roman"/>
          <w:sz w:val="28"/>
          <w:szCs w:val="28"/>
          <w:lang w:val="uk-UA"/>
        </w:rPr>
        <w:t>[6</w:t>
      </w:r>
      <w:r w:rsidR="00CF4BE2">
        <w:rPr>
          <w:rFonts w:ascii="Times New Roman" w:hAnsi="Times New Roman"/>
          <w:sz w:val="28"/>
          <w:szCs w:val="28"/>
          <w:lang w:val="uk-UA"/>
        </w:rPr>
        <w:t>4, 88, 141, 212</w:t>
      </w:r>
      <w:r w:rsidRPr="003527C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патогенетичних факторів розвитку ЗЗП виділяють порушення умов гігієнічного догляду за порожниною рота, що створює надлишкове утворення зубного нальоту, що, в свою чергу, створює умови для колонізації пародонтопатогенними бактеріями </w:t>
      </w:r>
      <w:r w:rsidR="00CF4BE2">
        <w:rPr>
          <w:rFonts w:ascii="Times New Roman" w:hAnsi="Times New Roman"/>
          <w:sz w:val="28"/>
          <w:szCs w:val="28"/>
          <w:lang w:val="uk-UA"/>
        </w:rPr>
        <w:t>[67, 173, 177, 178, 209</w:t>
      </w:r>
      <w:r w:rsidRPr="003527C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Протягом багатьох років стоматологи сумісно зі спеціалістами загальної практики вивчають взаємозв’язок соматичної патології зі стоматологічною. Ще в 1891р. </w:t>
      </w:r>
      <w:r>
        <w:rPr>
          <w:rFonts w:ascii="Times New Roman" w:hAnsi="Times New Roman"/>
          <w:sz w:val="28"/>
          <w:szCs w:val="28"/>
        </w:rPr>
        <w:t>W</w:t>
      </w:r>
      <w:r w:rsidRPr="006074BC">
        <w:rPr>
          <w:rFonts w:ascii="Times New Roman" w:hAnsi="Times New Roman"/>
          <w:sz w:val="28"/>
          <w:szCs w:val="28"/>
          <w:lang w:val="uk-UA"/>
        </w:rPr>
        <w:t>.</w:t>
      </w:r>
      <w:r>
        <w:rPr>
          <w:rFonts w:ascii="Times New Roman" w:hAnsi="Times New Roman"/>
          <w:sz w:val="28"/>
          <w:szCs w:val="28"/>
        </w:rPr>
        <w:t>D</w:t>
      </w:r>
      <w:r w:rsidRPr="006074BC">
        <w:rPr>
          <w:rFonts w:ascii="Times New Roman" w:hAnsi="Times New Roman"/>
          <w:sz w:val="28"/>
          <w:szCs w:val="28"/>
          <w:lang w:val="uk-UA"/>
        </w:rPr>
        <w:t>.</w:t>
      </w:r>
      <w:r>
        <w:rPr>
          <w:rFonts w:ascii="Times New Roman" w:hAnsi="Times New Roman"/>
          <w:sz w:val="28"/>
          <w:szCs w:val="28"/>
        </w:rPr>
        <w:t>Miller</w:t>
      </w:r>
      <w:r>
        <w:rPr>
          <w:rFonts w:ascii="Times New Roman" w:hAnsi="Times New Roman"/>
          <w:sz w:val="28"/>
          <w:szCs w:val="28"/>
          <w:lang w:val="uk-UA"/>
        </w:rPr>
        <w:t xml:space="preserve"> висловив припущення, що ротова інфекція може впливати на системне здоров’я людини </w:t>
      </w:r>
      <w:r w:rsidR="00CF4BE2">
        <w:rPr>
          <w:rFonts w:ascii="Times New Roman" w:hAnsi="Times New Roman"/>
          <w:sz w:val="28"/>
          <w:szCs w:val="28"/>
          <w:lang w:val="uk-UA"/>
        </w:rPr>
        <w:t>[145, 197</w:t>
      </w:r>
      <w:r w:rsidRPr="003527CA">
        <w:rPr>
          <w:rFonts w:ascii="Times New Roman" w:hAnsi="Times New Roman"/>
          <w:sz w:val="28"/>
          <w:szCs w:val="28"/>
          <w:lang w:val="uk-UA"/>
        </w:rPr>
        <w:t>].</w:t>
      </w:r>
      <w:r>
        <w:rPr>
          <w:rFonts w:ascii="Times New Roman" w:hAnsi="Times New Roman"/>
          <w:sz w:val="28"/>
          <w:szCs w:val="28"/>
          <w:lang w:val="uk-UA"/>
        </w:rPr>
        <w:t xml:space="preserve"> Дослідження показали взаємозв’язок хронічних захворювань тканин пародонта та інших хронічних мультифакторіальних захворювань, а також наявність взаємонапрямлених причинно-слідчих зв’язків </w:t>
      </w:r>
      <w:r w:rsidR="00CF4BE2">
        <w:rPr>
          <w:rFonts w:ascii="Times New Roman" w:hAnsi="Times New Roman"/>
          <w:sz w:val="28"/>
          <w:szCs w:val="28"/>
          <w:lang w:val="uk-UA"/>
        </w:rPr>
        <w:t>[47, 94, 143, 174</w:t>
      </w:r>
      <w:r w:rsidRPr="003527CA">
        <w:rPr>
          <w:rFonts w:ascii="Times New Roman" w:hAnsi="Times New Roman"/>
          <w:sz w:val="28"/>
          <w:szCs w:val="28"/>
          <w:lang w:val="uk-UA"/>
        </w:rPr>
        <w:t>].</w:t>
      </w:r>
      <w:r>
        <w:rPr>
          <w:rFonts w:ascii="Times New Roman" w:hAnsi="Times New Roman"/>
          <w:sz w:val="28"/>
          <w:szCs w:val="28"/>
          <w:lang w:val="uk-UA"/>
        </w:rPr>
        <w:t xml:space="preserve"> Встановлено, що погане соматичне здоров’я дітей несприятливо відображається на формуванні зубо-щелепної системи і сприяє виникненню стоматологічних захворювань </w:t>
      </w:r>
      <w:r w:rsidR="00CF4BE2">
        <w:rPr>
          <w:rFonts w:ascii="Times New Roman" w:hAnsi="Times New Roman"/>
          <w:sz w:val="28"/>
          <w:szCs w:val="28"/>
          <w:lang w:val="uk-UA"/>
        </w:rPr>
        <w:t>[154, 164, 187, 202, 216</w:t>
      </w:r>
      <w:r w:rsidRPr="003527CA">
        <w:rPr>
          <w:rFonts w:ascii="Times New Roman" w:hAnsi="Times New Roman"/>
          <w:sz w:val="28"/>
          <w:szCs w:val="28"/>
          <w:lang w:val="uk-UA"/>
        </w:rPr>
        <w:t>].</w:t>
      </w:r>
      <w:r>
        <w:rPr>
          <w:rFonts w:ascii="Times New Roman" w:hAnsi="Times New Roman"/>
          <w:sz w:val="28"/>
          <w:szCs w:val="28"/>
          <w:lang w:val="uk-UA"/>
        </w:rPr>
        <w:t xml:space="preserve"> Підставою вищевказаного виступає те, що пародонт пов'язаний з внутрішніми органами і системами організму за рахунок їх морфологічної спільності, ембріологічної   і еволюційної залежності, що закладається в період ембріонального розвитку </w:t>
      </w:r>
      <w:r w:rsidRPr="003527CA">
        <w:rPr>
          <w:rFonts w:ascii="Times New Roman" w:hAnsi="Times New Roman"/>
          <w:sz w:val="28"/>
          <w:szCs w:val="28"/>
          <w:lang w:val="uk-UA"/>
        </w:rPr>
        <w:t>[11, 22].</w:t>
      </w:r>
      <w:r>
        <w:rPr>
          <w:rFonts w:ascii="Times New Roman" w:hAnsi="Times New Roman"/>
          <w:sz w:val="28"/>
          <w:szCs w:val="28"/>
          <w:lang w:val="uk-UA"/>
        </w:rPr>
        <w:t xml:space="preserve"> Крім того, взаємозв’язок між соматичними </w:t>
      </w:r>
      <w:r>
        <w:rPr>
          <w:rFonts w:ascii="Times New Roman" w:hAnsi="Times New Roman"/>
          <w:sz w:val="28"/>
          <w:szCs w:val="28"/>
          <w:lang w:val="uk-UA"/>
        </w:rPr>
        <w:lastRenderedPageBreak/>
        <w:t xml:space="preserve">захворюваннями і станом органів порожнини рота пов'язаний з порушенням гемодинаміки, </w:t>
      </w:r>
      <w:r w:rsidRPr="00FC322C">
        <w:rPr>
          <w:rFonts w:ascii="Times New Roman" w:hAnsi="Times New Roman"/>
          <w:sz w:val="28"/>
          <w:szCs w:val="28"/>
          <w:lang w:val="uk-UA"/>
        </w:rPr>
        <w:t>метаболічним, імунологічним і нейрорегуляторним дисбалансом в організмі [1</w:t>
      </w:r>
      <w:r w:rsidRPr="003527CA">
        <w:rPr>
          <w:rFonts w:ascii="Times New Roman" w:hAnsi="Times New Roman"/>
          <w:sz w:val="28"/>
          <w:szCs w:val="28"/>
          <w:lang w:val="uk-UA"/>
        </w:rPr>
        <w:t>8].</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Патологією, що безпосередньо впливає на стан зубів і пародонта є сахарний </w:t>
      </w:r>
      <w:r w:rsidR="00CF4BE2">
        <w:rPr>
          <w:rFonts w:ascii="Times New Roman" w:hAnsi="Times New Roman"/>
          <w:sz w:val="28"/>
          <w:szCs w:val="28"/>
          <w:lang w:val="uk-UA"/>
        </w:rPr>
        <w:t>діабет [53, 80, 204</w:t>
      </w:r>
      <w:r w:rsidRPr="003527CA">
        <w:rPr>
          <w:rFonts w:ascii="Times New Roman" w:hAnsi="Times New Roman"/>
          <w:sz w:val="28"/>
          <w:szCs w:val="28"/>
          <w:lang w:val="uk-UA"/>
        </w:rPr>
        <w:t>].</w:t>
      </w:r>
      <w:r>
        <w:rPr>
          <w:rFonts w:ascii="Times New Roman" w:hAnsi="Times New Roman"/>
          <w:sz w:val="28"/>
          <w:szCs w:val="28"/>
          <w:lang w:val="uk-UA"/>
        </w:rPr>
        <w:t xml:space="preserve"> У хворих сахарним діабетом має місце більш висока частота захворювань пародонта і інтенсивність ураження, при чому це </w:t>
      </w:r>
      <w:r w:rsidRPr="00FC322C">
        <w:rPr>
          <w:rFonts w:ascii="Times New Roman" w:hAnsi="Times New Roman"/>
          <w:sz w:val="28"/>
          <w:szCs w:val="28"/>
          <w:lang w:val="uk-UA"/>
        </w:rPr>
        <w:t>явище абсолютно</w:t>
      </w:r>
      <w:r>
        <w:rPr>
          <w:rFonts w:ascii="Times New Roman" w:hAnsi="Times New Roman"/>
          <w:sz w:val="28"/>
          <w:szCs w:val="28"/>
          <w:lang w:val="uk-UA"/>
        </w:rPr>
        <w:t xml:space="preserve"> не залежить або мало залежить від віку і статі </w:t>
      </w:r>
      <w:r w:rsidR="00CF4BE2">
        <w:rPr>
          <w:rFonts w:ascii="Times New Roman" w:hAnsi="Times New Roman"/>
          <w:sz w:val="28"/>
          <w:szCs w:val="28"/>
          <w:lang w:val="uk-UA"/>
        </w:rPr>
        <w:t>пацієнтів [180, 217</w:t>
      </w:r>
      <w:r w:rsidRPr="003527CA">
        <w:rPr>
          <w:rFonts w:ascii="Times New Roman" w:hAnsi="Times New Roman"/>
          <w:sz w:val="28"/>
          <w:szCs w:val="28"/>
          <w:lang w:val="uk-UA"/>
        </w:rPr>
        <w:t>]. Аналіз розвитку захворювань пародонта у хворих діабетом І типу показав,</w:t>
      </w:r>
      <w:r>
        <w:rPr>
          <w:rFonts w:ascii="Times New Roman" w:hAnsi="Times New Roman"/>
          <w:sz w:val="28"/>
          <w:szCs w:val="28"/>
          <w:lang w:val="uk-UA"/>
        </w:rPr>
        <w:t xml:space="preserve"> що він корелює з високою частотою препубертатного і юнацького пародонтита </w:t>
      </w:r>
      <w:r w:rsidRPr="003527CA">
        <w:rPr>
          <w:rFonts w:ascii="Times New Roman" w:hAnsi="Times New Roman"/>
          <w:sz w:val="28"/>
          <w:szCs w:val="28"/>
          <w:lang w:val="uk-UA"/>
        </w:rPr>
        <w:t>[18].</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хворих діабетом на формування клінічної картини пародонти</w:t>
      </w:r>
      <w:r w:rsidRPr="00FC322C">
        <w:rPr>
          <w:rFonts w:ascii="Times New Roman" w:hAnsi="Times New Roman"/>
          <w:sz w:val="28"/>
          <w:szCs w:val="28"/>
          <w:lang w:val="uk-UA"/>
        </w:rPr>
        <w:t>ту</w:t>
      </w:r>
      <w:r>
        <w:rPr>
          <w:rFonts w:ascii="Times New Roman" w:hAnsi="Times New Roman"/>
          <w:sz w:val="28"/>
          <w:szCs w:val="28"/>
          <w:lang w:val="uk-UA"/>
        </w:rPr>
        <w:t xml:space="preserve"> впливають як мікроорганізми зубного нальоту, так і порушення мікроциркуляторного гемостазу,  дисбаланс системи перекисного окислення ліпідів, порушення реґіонарної гемодинаміки </w:t>
      </w:r>
      <w:r w:rsidR="00CF4BE2">
        <w:rPr>
          <w:rFonts w:ascii="Times New Roman" w:hAnsi="Times New Roman"/>
          <w:sz w:val="28"/>
          <w:szCs w:val="28"/>
          <w:lang w:val="uk-UA"/>
        </w:rPr>
        <w:t>[105, 163</w:t>
      </w:r>
      <w:r w:rsidRPr="003527CA">
        <w:rPr>
          <w:rFonts w:ascii="Times New Roman" w:hAnsi="Times New Roman"/>
          <w:sz w:val="28"/>
          <w:szCs w:val="28"/>
          <w:lang w:val="uk-UA"/>
        </w:rPr>
        <w:t>].</w:t>
      </w:r>
      <w:r>
        <w:rPr>
          <w:rFonts w:ascii="Times New Roman" w:hAnsi="Times New Roman"/>
          <w:sz w:val="28"/>
          <w:szCs w:val="28"/>
          <w:lang w:val="uk-UA"/>
        </w:rPr>
        <w:t xml:space="preserve"> Сахарний діабет призводить до збільшення </w:t>
      </w:r>
      <w:r w:rsidR="00CD0628">
        <w:rPr>
          <w:rFonts w:ascii="Times New Roman" w:hAnsi="Times New Roman"/>
          <w:sz w:val="28"/>
          <w:szCs w:val="28"/>
          <w:lang w:val="uk-UA"/>
        </w:rPr>
        <w:t>поширеності</w:t>
      </w:r>
      <w:r>
        <w:rPr>
          <w:rFonts w:ascii="Times New Roman" w:hAnsi="Times New Roman"/>
          <w:sz w:val="28"/>
          <w:szCs w:val="28"/>
          <w:lang w:val="uk-UA"/>
        </w:rPr>
        <w:t xml:space="preserve"> зубних бляшок і швидкому відкладенню зубного каменю. При цьому відбувається посилення бактеріальної колонізації і </w:t>
      </w:r>
      <w:r w:rsidR="00CD0628">
        <w:rPr>
          <w:rFonts w:ascii="Times New Roman" w:hAnsi="Times New Roman"/>
          <w:sz w:val="28"/>
          <w:szCs w:val="28"/>
          <w:lang w:val="uk-UA"/>
        </w:rPr>
        <w:t>поширеності</w:t>
      </w:r>
      <w:r>
        <w:rPr>
          <w:rFonts w:ascii="Times New Roman" w:hAnsi="Times New Roman"/>
          <w:sz w:val="28"/>
          <w:szCs w:val="28"/>
          <w:lang w:val="uk-UA"/>
        </w:rPr>
        <w:t xml:space="preserve"> бактерій </w:t>
      </w:r>
      <w:r w:rsidRPr="003527CA">
        <w:rPr>
          <w:rFonts w:ascii="Times New Roman" w:hAnsi="Times New Roman"/>
          <w:sz w:val="28"/>
          <w:szCs w:val="28"/>
          <w:lang w:val="uk-UA"/>
        </w:rPr>
        <w:t>бляш</w:t>
      </w:r>
      <w:r w:rsidR="00CF4BE2">
        <w:rPr>
          <w:rFonts w:ascii="Times New Roman" w:hAnsi="Times New Roman"/>
          <w:sz w:val="28"/>
          <w:szCs w:val="28"/>
          <w:lang w:val="uk-UA"/>
        </w:rPr>
        <w:t>ок [69, 81, 112</w:t>
      </w:r>
      <w:r w:rsidRPr="003527C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Клініка хронічного генералізованого пародонтит</w:t>
      </w:r>
      <w:r w:rsidRPr="00FC322C">
        <w:rPr>
          <w:rFonts w:ascii="Times New Roman" w:hAnsi="Times New Roman"/>
          <w:sz w:val="28"/>
          <w:szCs w:val="28"/>
          <w:lang w:val="uk-UA"/>
        </w:rPr>
        <w:t>у</w:t>
      </w:r>
      <w:r>
        <w:rPr>
          <w:rFonts w:ascii="Times New Roman" w:hAnsi="Times New Roman"/>
          <w:sz w:val="28"/>
          <w:szCs w:val="28"/>
          <w:lang w:val="uk-UA"/>
        </w:rPr>
        <w:t xml:space="preserve"> при сахарному діабеті тим тяжче, чим молодше вік хворого і більше давність захворювання. Запальні процеси в пародонті перебігають з частими загостреннями, а карієс швидко ускладнюється пульпітом і періодонтитом </w:t>
      </w:r>
      <w:r w:rsidR="00CF4BE2">
        <w:rPr>
          <w:rFonts w:ascii="Times New Roman" w:hAnsi="Times New Roman"/>
          <w:sz w:val="28"/>
          <w:szCs w:val="28"/>
          <w:lang w:val="uk-UA"/>
        </w:rPr>
        <w:t>[79, 105, 126, 133</w:t>
      </w:r>
      <w:r w:rsidRPr="003527CA">
        <w:rPr>
          <w:rFonts w:ascii="Times New Roman" w:hAnsi="Times New Roman"/>
          <w:sz w:val="28"/>
          <w:szCs w:val="28"/>
          <w:lang w:val="uk-UA"/>
        </w:rPr>
        <w:t>].</w:t>
      </w:r>
      <w:r>
        <w:rPr>
          <w:rFonts w:ascii="Times New Roman" w:hAnsi="Times New Roman"/>
          <w:sz w:val="28"/>
          <w:szCs w:val="28"/>
          <w:lang w:val="uk-UA"/>
        </w:rPr>
        <w:t xml:space="preserve">   </w:t>
      </w:r>
    </w:p>
    <w:p w:rsidR="002416FA" w:rsidRPr="00F06AE3" w:rsidRDefault="002416FA" w:rsidP="005C1EA2">
      <w:pPr>
        <w:spacing w:line="360" w:lineRule="auto"/>
        <w:ind w:firstLine="709"/>
        <w:jc w:val="both"/>
        <w:rPr>
          <w:rFonts w:ascii="Times New Roman" w:hAnsi="Times New Roman"/>
          <w:spacing w:val="-6"/>
          <w:sz w:val="28"/>
          <w:szCs w:val="28"/>
          <w:lang w:val="uk-UA"/>
        </w:rPr>
      </w:pPr>
      <w:r>
        <w:rPr>
          <w:rFonts w:ascii="Times New Roman" w:hAnsi="Times New Roman"/>
          <w:sz w:val="28"/>
          <w:szCs w:val="28"/>
          <w:lang w:val="uk-UA"/>
        </w:rPr>
        <w:t xml:space="preserve">Анатомо-фізіологічна близькість тканин пародонта й травного тракту, спільність інервації й гуморальної регуляції створюють  передумови для залучення пародонта в патологічний процес при захворюваннях органів шлунково-кишкового </w:t>
      </w:r>
      <w:r w:rsidR="00CF4BE2">
        <w:rPr>
          <w:rFonts w:ascii="Times New Roman" w:hAnsi="Times New Roman"/>
          <w:sz w:val="28"/>
          <w:szCs w:val="28"/>
          <w:lang w:val="uk-UA"/>
        </w:rPr>
        <w:t>тракту [72, 186</w:t>
      </w:r>
      <w:r w:rsidRPr="003527CA">
        <w:rPr>
          <w:rFonts w:ascii="Times New Roman" w:hAnsi="Times New Roman"/>
          <w:sz w:val="28"/>
          <w:szCs w:val="28"/>
          <w:lang w:val="uk-UA"/>
        </w:rPr>
        <w:t>].</w:t>
      </w:r>
      <w:r>
        <w:rPr>
          <w:rFonts w:ascii="Times New Roman" w:hAnsi="Times New Roman"/>
          <w:sz w:val="28"/>
          <w:szCs w:val="28"/>
          <w:lang w:val="uk-UA"/>
        </w:rPr>
        <w:t xml:space="preserve"> Отримані результати свідчать про те, що патологічні зміни пародонта виявляються у 93-97% хворих виразковою хворобою </w:t>
      </w:r>
      <w:r w:rsidR="00CF4BE2">
        <w:rPr>
          <w:rFonts w:ascii="Times New Roman" w:hAnsi="Times New Roman"/>
          <w:sz w:val="28"/>
          <w:szCs w:val="28"/>
          <w:lang w:val="uk-UA"/>
        </w:rPr>
        <w:t>[68</w:t>
      </w:r>
      <w:r w:rsidRPr="003527CA">
        <w:rPr>
          <w:rFonts w:ascii="Times New Roman" w:hAnsi="Times New Roman"/>
          <w:sz w:val="28"/>
          <w:szCs w:val="28"/>
          <w:lang w:val="uk-UA"/>
        </w:rPr>
        <w:t>].</w:t>
      </w:r>
      <w:r>
        <w:rPr>
          <w:rFonts w:ascii="Times New Roman" w:hAnsi="Times New Roman"/>
          <w:sz w:val="28"/>
          <w:szCs w:val="28"/>
          <w:lang w:val="uk-UA"/>
        </w:rPr>
        <w:t xml:space="preserve"> Ризик виникнення захворювань тканин пародонта збільшується при виразковому коліті і гепатиті </w:t>
      </w:r>
      <w:r w:rsidR="00CF4BE2">
        <w:rPr>
          <w:rFonts w:ascii="Times New Roman" w:hAnsi="Times New Roman"/>
          <w:sz w:val="28"/>
          <w:szCs w:val="28"/>
          <w:lang w:val="uk-UA"/>
        </w:rPr>
        <w:t>[182</w:t>
      </w:r>
      <w:r w:rsidRPr="003527CA">
        <w:rPr>
          <w:rFonts w:ascii="Times New Roman" w:hAnsi="Times New Roman"/>
          <w:sz w:val="28"/>
          <w:szCs w:val="28"/>
          <w:lang w:val="uk-UA"/>
        </w:rPr>
        <w:t>];</w:t>
      </w:r>
      <w:r>
        <w:rPr>
          <w:rFonts w:ascii="Times New Roman" w:hAnsi="Times New Roman"/>
          <w:sz w:val="28"/>
          <w:szCs w:val="28"/>
          <w:lang w:val="uk-UA"/>
        </w:rPr>
        <w:t xml:space="preserve"> а наявність виразкової хвороби шлунка і дванадцятипалої кишки суттєво погіршує тяжкість патологічного процесу в пародонті </w:t>
      </w:r>
      <w:r w:rsidR="00CF4BE2">
        <w:rPr>
          <w:rFonts w:ascii="Times New Roman" w:hAnsi="Times New Roman"/>
          <w:sz w:val="28"/>
          <w:szCs w:val="28"/>
          <w:lang w:val="uk-UA"/>
        </w:rPr>
        <w:t>[140</w:t>
      </w:r>
      <w:r w:rsidRPr="003527CA">
        <w:rPr>
          <w:rFonts w:ascii="Times New Roman" w:hAnsi="Times New Roman"/>
          <w:sz w:val="28"/>
          <w:szCs w:val="28"/>
          <w:lang w:val="uk-UA"/>
        </w:rPr>
        <w:t>].</w:t>
      </w:r>
      <w:r>
        <w:rPr>
          <w:rFonts w:ascii="Times New Roman" w:hAnsi="Times New Roman"/>
          <w:sz w:val="28"/>
          <w:szCs w:val="28"/>
          <w:lang w:val="uk-UA"/>
        </w:rPr>
        <w:t xml:space="preserve"> Більшість дослідників пов’язують це з інфікуванням Helik</w:t>
      </w:r>
      <w:r>
        <w:rPr>
          <w:rFonts w:ascii="Times New Roman" w:hAnsi="Times New Roman"/>
          <w:sz w:val="28"/>
          <w:szCs w:val="28"/>
        </w:rPr>
        <w:t>obakter</w:t>
      </w:r>
      <w:r w:rsidRPr="00BC3781">
        <w:rPr>
          <w:rFonts w:ascii="Times New Roman" w:hAnsi="Times New Roman"/>
          <w:sz w:val="28"/>
          <w:szCs w:val="28"/>
          <w:lang w:val="uk-UA"/>
        </w:rPr>
        <w:t xml:space="preserve"> </w:t>
      </w:r>
      <w:r>
        <w:rPr>
          <w:rFonts w:ascii="Times New Roman" w:hAnsi="Times New Roman"/>
          <w:sz w:val="28"/>
          <w:szCs w:val="28"/>
        </w:rPr>
        <w:t>pylori</w:t>
      </w:r>
      <w:r>
        <w:rPr>
          <w:rFonts w:ascii="Times New Roman" w:hAnsi="Times New Roman"/>
          <w:sz w:val="28"/>
          <w:szCs w:val="28"/>
          <w:lang w:val="uk-UA"/>
        </w:rPr>
        <w:t xml:space="preserve"> </w:t>
      </w:r>
      <w:r w:rsidR="00CF4BE2">
        <w:rPr>
          <w:rFonts w:ascii="Times New Roman" w:hAnsi="Times New Roman"/>
          <w:sz w:val="28"/>
          <w:szCs w:val="28"/>
          <w:lang w:val="uk-UA"/>
        </w:rPr>
        <w:t>[21, 49, 87, 182</w:t>
      </w:r>
      <w:r w:rsidRPr="003527CA">
        <w:rPr>
          <w:rFonts w:ascii="Times New Roman" w:hAnsi="Times New Roman"/>
          <w:sz w:val="28"/>
          <w:szCs w:val="28"/>
          <w:lang w:val="uk-UA"/>
        </w:rPr>
        <w:t>].</w:t>
      </w:r>
      <w:r>
        <w:rPr>
          <w:rFonts w:ascii="Times New Roman" w:hAnsi="Times New Roman"/>
          <w:sz w:val="28"/>
          <w:szCs w:val="28"/>
          <w:lang w:val="uk-UA"/>
        </w:rPr>
        <w:t xml:space="preserve"> Встановлено прямий зв'язок між вираженістю </w:t>
      </w:r>
      <w:r>
        <w:rPr>
          <w:rFonts w:ascii="Times New Roman" w:hAnsi="Times New Roman"/>
          <w:sz w:val="28"/>
          <w:szCs w:val="28"/>
          <w:lang w:val="uk-UA"/>
        </w:rPr>
        <w:lastRenderedPageBreak/>
        <w:t>дистрофічно-запальних змін в тканинах пародонта при генералізованому пародонтиті й ступенем інфікування Helik</w:t>
      </w:r>
      <w:r>
        <w:rPr>
          <w:rFonts w:ascii="Times New Roman" w:hAnsi="Times New Roman"/>
          <w:sz w:val="28"/>
          <w:szCs w:val="28"/>
        </w:rPr>
        <w:t>obakter</w:t>
      </w:r>
      <w:r w:rsidRPr="00BC3781">
        <w:rPr>
          <w:rFonts w:ascii="Times New Roman" w:hAnsi="Times New Roman"/>
          <w:sz w:val="28"/>
          <w:szCs w:val="28"/>
          <w:lang w:val="uk-UA"/>
        </w:rPr>
        <w:t xml:space="preserve"> </w:t>
      </w:r>
      <w:r w:rsidRPr="00F06AE3">
        <w:rPr>
          <w:rFonts w:ascii="Times New Roman" w:hAnsi="Times New Roman"/>
          <w:spacing w:val="-6"/>
          <w:sz w:val="28"/>
          <w:szCs w:val="28"/>
        </w:rPr>
        <w:t>pylori</w:t>
      </w:r>
      <w:r w:rsidRPr="00F06AE3">
        <w:rPr>
          <w:rFonts w:ascii="Times New Roman" w:hAnsi="Times New Roman"/>
          <w:spacing w:val="-6"/>
          <w:sz w:val="28"/>
          <w:szCs w:val="28"/>
          <w:lang w:val="uk-UA"/>
        </w:rPr>
        <w:t xml:space="preserve"> у хворих виразковою хворобою шлунка</w:t>
      </w:r>
      <w:r w:rsidR="00CF4BE2">
        <w:rPr>
          <w:rFonts w:ascii="Times New Roman" w:hAnsi="Times New Roman"/>
          <w:spacing w:val="-6"/>
          <w:sz w:val="28"/>
          <w:szCs w:val="28"/>
          <w:lang w:val="uk-UA"/>
        </w:rPr>
        <w:t xml:space="preserve"> і дванадцятипалої кишки [21, 87</w:t>
      </w:r>
      <w:r w:rsidRPr="00F06AE3">
        <w:rPr>
          <w:rFonts w:ascii="Times New Roman" w:hAnsi="Times New Roman"/>
          <w:spacing w:val="-6"/>
          <w:sz w:val="28"/>
          <w:szCs w:val="28"/>
          <w:lang w:val="uk-UA"/>
        </w:rPr>
        <w:t>].</w:t>
      </w:r>
    </w:p>
    <w:p w:rsidR="00CF4BE2"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з поширених видів патології в дитячому і підлітковому віці є алергічні захворювання </w:t>
      </w:r>
      <w:r w:rsidRPr="003527CA">
        <w:rPr>
          <w:rFonts w:ascii="Times New Roman" w:hAnsi="Times New Roman"/>
          <w:sz w:val="28"/>
          <w:szCs w:val="28"/>
          <w:lang w:val="uk-UA"/>
        </w:rPr>
        <w:t>[25], при</w:t>
      </w:r>
      <w:r>
        <w:rPr>
          <w:rFonts w:ascii="Times New Roman" w:hAnsi="Times New Roman"/>
          <w:sz w:val="28"/>
          <w:szCs w:val="28"/>
          <w:lang w:val="uk-UA"/>
        </w:rPr>
        <w:t xml:space="preserve"> яких основною патогенетичною клітиною є тучні клітини, що продукують у великій кількості медіатори гістамін і серотонін, що викликають запальний процес в місці виділення. Встановлено, що при хронічному пародонтиті легкого ступеню зростає кількість тучних клітин, а також доведено, що формування катарального гінгівіту супроводжується гіперплазією загальної популяції тучних клітин ясен </w:t>
      </w:r>
      <w:r w:rsidR="00CF4BE2">
        <w:rPr>
          <w:rFonts w:ascii="Times New Roman" w:hAnsi="Times New Roman"/>
          <w:sz w:val="28"/>
          <w:szCs w:val="28"/>
          <w:lang w:val="uk-UA"/>
        </w:rPr>
        <w:t>[109</w:t>
      </w:r>
      <w:r w:rsidRPr="003527CA">
        <w:rPr>
          <w:rFonts w:ascii="Times New Roman" w:hAnsi="Times New Roman"/>
          <w:sz w:val="28"/>
          <w:szCs w:val="28"/>
          <w:lang w:val="uk-UA"/>
        </w:rPr>
        <w:t>].</w:t>
      </w:r>
      <w:r>
        <w:rPr>
          <w:rFonts w:ascii="Times New Roman" w:hAnsi="Times New Roman"/>
          <w:sz w:val="28"/>
          <w:szCs w:val="28"/>
          <w:lang w:val="uk-UA"/>
        </w:rPr>
        <w:t xml:space="preserve"> Крім того, встановлено, що на фоні бронхіальної астми у дітей значно погіршується перебіг захворювань пародонта </w:t>
      </w:r>
      <w:r w:rsidRPr="001D0421">
        <w:rPr>
          <w:rFonts w:ascii="Times New Roman" w:hAnsi="Times New Roman"/>
          <w:sz w:val="28"/>
          <w:szCs w:val="28"/>
          <w:lang w:val="uk-UA"/>
        </w:rPr>
        <w:t>[25</w:t>
      </w:r>
      <w:r w:rsidR="00CF4BE2">
        <w:rPr>
          <w:rFonts w:ascii="Times New Roman" w:hAnsi="Times New Roman"/>
          <w:sz w:val="28"/>
          <w:szCs w:val="28"/>
          <w:lang w:val="uk-UA"/>
        </w:rPr>
        <w:t>, 102</w:t>
      </w:r>
      <w:r w:rsidRPr="001D0421">
        <w:rPr>
          <w:rFonts w:ascii="Times New Roman" w:hAnsi="Times New Roman"/>
          <w:sz w:val="28"/>
          <w:szCs w:val="28"/>
          <w:lang w:val="uk-UA"/>
        </w:rPr>
        <w:t>]</w:t>
      </w:r>
      <w:r w:rsidR="00CF4BE2">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Негативний вплив на формування захворювань пародонта мають серцево-судинні захворювання </w:t>
      </w:r>
      <w:r w:rsidR="00BC1A0E">
        <w:rPr>
          <w:rFonts w:ascii="Times New Roman" w:hAnsi="Times New Roman"/>
          <w:sz w:val="28"/>
          <w:szCs w:val="28"/>
          <w:lang w:val="uk-UA"/>
        </w:rPr>
        <w:t>[48</w:t>
      </w:r>
      <w:r w:rsidRPr="001D0421">
        <w:rPr>
          <w:rFonts w:ascii="Times New Roman" w:hAnsi="Times New Roman"/>
          <w:sz w:val="28"/>
          <w:szCs w:val="28"/>
          <w:lang w:val="uk-UA"/>
        </w:rPr>
        <w:t>],</w:t>
      </w:r>
      <w:r>
        <w:rPr>
          <w:rFonts w:ascii="Times New Roman" w:hAnsi="Times New Roman"/>
          <w:sz w:val="28"/>
          <w:szCs w:val="28"/>
          <w:lang w:val="uk-UA"/>
        </w:rPr>
        <w:t xml:space="preserve"> хронічні захворювання легенів і ендокринна патологія </w:t>
      </w:r>
      <w:r w:rsidR="00BC1A0E">
        <w:rPr>
          <w:rFonts w:ascii="Times New Roman" w:hAnsi="Times New Roman"/>
          <w:sz w:val="28"/>
          <w:szCs w:val="28"/>
          <w:lang w:val="uk-UA"/>
        </w:rPr>
        <w:t>[128</w:t>
      </w:r>
      <w:r w:rsidRPr="001D0421">
        <w:rPr>
          <w:rFonts w:ascii="Times New Roman" w:hAnsi="Times New Roman"/>
          <w:sz w:val="28"/>
          <w:szCs w:val="28"/>
          <w:lang w:val="uk-UA"/>
        </w:rPr>
        <w:t>]. Хронічні</w:t>
      </w:r>
      <w:r>
        <w:rPr>
          <w:rFonts w:ascii="Times New Roman" w:hAnsi="Times New Roman"/>
          <w:sz w:val="28"/>
          <w:szCs w:val="28"/>
          <w:lang w:val="uk-UA"/>
        </w:rPr>
        <w:t xml:space="preserve"> захворювання легенів розглядають як ризико-асоційовані відносно захворювань пародонта. Механізмом формування є патологічна контамінація дихальних шляхів </w:t>
      </w:r>
      <w:r>
        <w:rPr>
          <w:rFonts w:ascii="Times New Roman" w:hAnsi="Times New Roman"/>
          <w:sz w:val="28"/>
          <w:szCs w:val="28"/>
        </w:rPr>
        <w:t>Pseudomonas</w:t>
      </w:r>
      <w:r w:rsidRPr="006C342C">
        <w:rPr>
          <w:rFonts w:ascii="Times New Roman" w:hAnsi="Times New Roman"/>
          <w:sz w:val="28"/>
          <w:szCs w:val="28"/>
          <w:lang w:val="uk-UA"/>
        </w:rPr>
        <w:t xml:space="preserve"> </w:t>
      </w:r>
      <w:r>
        <w:rPr>
          <w:rFonts w:ascii="Times New Roman" w:hAnsi="Times New Roman"/>
          <w:sz w:val="28"/>
          <w:szCs w:val="28"/>
        </w:rPr>
        <w:t>aeroginosa</w:t>
      </w:r>
      <w:r w:rsidRPr="006C342C">
        <w:rPr>
          <w:rFonts w:ascii="Times New Roman" w:hAnsi="Times New Roman"/>
          <w:sz w:val="28"/>
          <w:szCs w:val="28"/>
          <w:lang w:val="uk-UA"/>
        </w:rPr>
        <w:t xml:space="preserve">, </w:t>
      </w:r>
      <w:r>
        <w:rPr>
          <w:rFonts w:ascii="Times New Roman" w:hAnsi="Times New Roman"/>
          <w:sz w:val="28"/>
          <w:szCs w:val="28"/>
        </w:rPr>
        <w:t>St</w:t>
      </w:r>
      <w:r w:rsidRPr="006C342C">
        <w:rPr>
          <w:rFonts w:ascii="Times New Roman" w:hAnsi="Times New Roman"/>
          <w:sz w:val="28"/>
          <w:szCs w:val="28"/>
          <w:lang w:val="uk-UA"/>
        </w:rPr>
        <w:t xml:space="preserve">. </w:t>
      </w:r>
      <w:r w:rsidRPr="001D0421">
        <w:rPr>
          <w:rFonts w:ascii="Times New Roman" w:hAnsi="Times New Roman"/>
          <w:sz w:val="28"/>
          <w:szCs w:val="28"/>
        </w:rPr>
        <w:t>aureus</w:t>
      </w:r>
      <w:r w:rsidR="00BC1A0E">
        <w:rPr>
          <w:rFonts w:ascii="Times New Roman" w:hAnsi="Times New Roman"/>
          <w:sz w:val="28"/>
          <w:szCs w:val="28"/>
          <w:lang w:val="uk-UA"/>
        </w:rPr>
        <w:t xml:space="preserve"> [214</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Порушення функціонального стану системи гіпоталамус-гіпофіз-статеві залози сприяє погіршенню процесів мінералізації альвеолярної кістки. Крім того, відмічаються низькі показники мінеральної щільності кісток скелета  у дітей з зубо-щелепною </w:t>
      </w:r>
      <w:r w:rsidR="00BC1A0E">
        <w:rPr>
          <w:rFonts w:ascii="Times New Roman" w:hAnsi="Times New Roman"/>
          <w:sz w:val="28"/>
          <w:szCs w:val="28"/>
          <w:lang w:val="uk-UA"/>
        </w:rPr>
        <w:t>патологією [119, 196</w:t>
      </w:r>
      <w:r w:rsidRPr="001D0421">
        <w:rPr>
          <w:rFonts w:ascii="Times New Roman" w:hAnsi="Times New Roman"/>
          <w:sz w:val="28"/>
          <w:szCs w:val="28"/>
          <w:lang w:val="uk-UA"/>
        </w:rPr>
        <w:t>].</w:t>
      </w:r>
      <w:r>
        <w:rPr>
          <w:rFonts w:ascii="Times New Roman" w:hAnsi="Times New Roman"/>
          <w:sz w:val="28"/>
          <w:szCs w:val="28"/>
          <w:lang w:val="uk-UA"/>
        </w:rPr>
        <w:t xml:space="preserve"> А мінеральний дисбаланс відіграє значну роль в ремоделюванні тканин пародонта </w:t>
      </w:r>
      <w:r w:rsidR="00BC1A0E">
        <w:rPr>
          <w:rFonts w:ascii="Times New Roman" w:hAnsi="Times New Roman"/>
          <w:sz w:val="28"/>
          <w:szCs w:val="28"/>
          <w:lang w:val="uk-UA"/>
        </w:rPr>
        <w:t>[35, 91</w:t>
      </w:r>
      <w:r w:rsidRPr="001D0421">
        <w:rPr>
          <w:rFonts w:ascii="Times New Roman" w:hAnsi="Times New Roman"/>
          <w:sz w:val="28"/>
          <w:szCs w:val="28"/>
          <w:lang w:val="uk-UA"/>
        </w:rPr>
        <w:t>].</w:t>
      </w:r>
      <w:r>
        <w:rPr>
          <w:rFonts w:ascii="Times New Roman" w:hAnsi="Times New Roman"/>
          <w:sz w:val="28"/>
          <w:szCs w:val="28"/>
          <w:lang w:val="uk-UA"/>
        </w:rPr>
        <w:t xml:space="preserve"> Стан мінерального обміну, властивості і склад слини суттєво впливають на швидкість утворення зубного каменю </w:t>
      </w:r>
      <w:r w:rsidR="00BC1A0E">
        <w:rPr>
          <w:rFonts w:ascii="Times New Roman" w:hAnsi="Times New Roman"/>
          <w:sz w:val="28"/>
          <w:szCs w:val="28"/>
          <w:lang w:val="uk-UA"/>
        </w:rPr>
        <w:t>[40</w:t>
      </w:r>
      <w:r w:rsidRPr="001D0421">
        <w:rPr>
          <w:rFonts w:ascii="Times New Roman" w:hAnsi="Times New Roman"/>
          <w:sz w:val="28"/>
          <w:szCs w:val="28"/>
          <w:lang w:val="uk-UA"/>
        </w:rPr>
        <w:t>].</w:t>
      </w:r>
    </w:p>
    <w:p w:rsidR="002416FA" w:rsidRPr="00F06AE3" w:rsidRDefault="002416FA" w:rsidP="005C1EA2">
      <w:pPr>
        <w:spacing w:line="360" w:lineRule="auto"/>
        <w:ind w:firstLine="709"/>
        <w:jc w:val="both"/>
        <w:rPr>
          <w:rFonts w:ascii="Times New Roman" w:hAnsi="Times New Roman"/>
          <w:spacing w:val="-8"/>
          <w:sz w:val="28"/>
          <w:szCs w:val="28"/>
          <w:lang w:val="uk-UA"/>
        </w:rPr>
      </w:pPr>
      <w:r>
        <w:rPr>
          <w:rFonts w:ascii="Times New Roman" w:hAnsi="Times New Roman"/>
          <w:sz w:val="28"/>
          <w:szCs w:val="28"/>
          <w:lang w:val="uk-UA"/>
        </w:rPr>
        <w:t xml:space="preserve">Особливо несприятливими є взаємообтяжуючі взаємодії хронічної соматичної патології й хронічних інфекційних запальних захворювань пародонта у дітей і </w:t>
      </w:r>
      <w:r w:rsidR="00BC1A0E">
        <w:rPr>
          <w:rFonts w:ascii="Times New Roman" w:hAnsi="Times New Roman"/>
          <w:sz w:val="28"/>
          <w:szCs w:val="28"/>
          <w:lang w:val="uk-UA"/>
        </w:rPr>
        <w:t>підлітків [170</w:t>
      </w:r>
      <w:r w:rsidRPr="001D0421">
        <w:rPr>
          <w:rFonts w:ascii="Times New Roman" w:hAnsi="Times New Roman"/>
          <w:sz w:val="28"/>
          <w:szCs w:val="28"/>
          <w:lang w:val="uk-UA"/>
        </w:rPr>
        <w:t>]. Для</w:t>
      </w:r>
      <w:r>
        <w:rPr>
          <w:rFonts w:ascii="Times New Roman" w:hAnsi="Times New Roman"/>
          <w:sz w:val="28"/>
          <w:szCs w:val="28"/>
          <w:lang w:val="uk-UA"/>
        </w:rPr>
        <w:t xml:space="preserve"> останніх властиві зміни </w:t>
      </w:r>
      <w:r w:rsidRPr="00F06AE3">
        <w:rPr>
          <w:rFonts w:ascii="Times New Roman" w:hAnsi="Times New Roman"/>
          <w:spacing w:val="-8"/>
          <w:sz w:val="28"/>
          <w:szCs w:val="28"/>
          <w:lang w:val="uk-UA"/>
        </w:rPr>
        <w:t>гормонального статусу і поява нових ней</w:t>
      </w:r>
      <w:r w:rsidR="00BC1A0E">
        <w:rPr>
          <w:rFonts w:ascii="Times New Roman" w:hAnsi="Times New Roman"/>
          <w:spacing w:val="-8"/>
          <w:sz w:val="28"/>
          <w:szCs w:val="28"/>
          <w:lang w:val="uk-UA"/>
        </w:rPr>
        <w:t>рогуморальних взаємозв’язків [35, 125</w:t>
      </w:r>
      <w:r w:rsidRPr="00F06AE3">
        <w:rPr>
          <w:rFonts w:ascii="Times New Roman" w:hAnsi="Times New Roman"/>
          <w:spacing w:val="-8"/>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якості патогенетичних факторів ЗЗП виступають також шкідливі звички й нездоровий спосіб життя: жування сторонніх предметів, пережовування їжі на </w:t>
      </w:r>
      <w:r>
        <w:rPr>
          <w:rFonts w:ascii="Times New Roman" w:hAnsi="Times New Roman"/>
          <w:sz w:val="28"/>
          <w:szCs w:val="28"/>
          <w:lang w:val="uk-UA"/>
        </w:rPr>
        <w:lastRenderedPageBreak/>
        <w:t xml:space="preserve">одному боці, паління, нераціональне харчування, вживання алкогольних напоїв, </w:t>
      </w:r>
      <w:r w:rsidR="00BC1A0E">
        <w:rPr>
          <w:rFonts w:ascii="Times New Roman" w:hAnsi="Times New Roman"/>
          <w:sz w:val="28"/>
          <w:szCs w:val="28"/>
          <w:lang w:val="uk-UA"/>
        </w:rPr>
        <w:t>гіпокінезія [66, 128, 132</w:t>
      </w:r>
      <w:r w:rsidRPr="001D0421">
        <w:rPr>
          <w:rFonts w:ascii="Times New Roman" w:hAnsi="Times New Roman"/>
          <w:sz w:val="28"/>
          <w:szCs w:val="28"/>
          <w:lang w:val="uk-UA"/>
        </w:rPr>
        <w:t>]. В</w:t>
      </w:r>
      <w:r>
        <w:rPr>
          <w:rFonts w:ascii="Times New Roman" w:hAnsi="Times New Roman"/>
          <w:sz w:val="28"/>
          <w:szCs w:val="28"/>
          <w:lang w:val="uk-UA"/>
        </w:rPr>
        <w:t xml:space="preserve"> теперішній час паління є одним із вагомих факторів ризику розвитку ЗЗП </w:t>
      </w:r>
      <w:r w:rsidR="00BC1A0E">
        <w:rPr>
          <w:rFonts w:ascii="Times New Roman" w:hAnsi="Times New Roman"/>
          <w:sz w:val="28"/>
          <w:szCs w:val="28"/>
          <w:lang w:val="uk-UA"/>
        </w:rPr>
        <w:t>[158</w:t>
      </w:r>
      <w:r w:rsidRPr="001D0421">
        <w:rPr>
          <w:rFonts w:ascii="Times New Roman" w:hAnsi="Times New Roman"/>
          <w:sz w:val="28"/>
          <w:szCs w:val="28"/>
          <w:lang w:val="uk-UA"/>
        </w:rPr>
        <w:t>]. Патогенез</w:t>
      </w:r>
      <w:r>
        <w:rPr>
          <w:rFonts w:ascii="Times New Roman" w:hAnsi="Times New Roman"/>
          <w:sz w:val="28"/>
          <w:szCs w:val="28"/>
          <w:lang w:val="uk-UA"/>
        </w:rPr>
        <w:t xml:space="preserve"> цієї патології тісно пов'язаний з порушенням вільнорадикального окислення в ротовій рідині. Генерація активних форм кисню і перекисне окислення ліпідів зумовлює стан вільнорадикального окислення. Вільні радикали визивають оксидативний стрес і можуть пошкоджувати біологічні мембрани </w:t>
      </w:r>
      <w:r w:rsidR="00BC1A0E">
        <w:rPr>
          <w:rFonts w:ascii="Times New Roman" w:hAnsi="Times New Roman"/>
          <w:sz w:val="28"/>
          <w:szCs w:val="28"/>
          <w:lang w:val="uk-UA"/>
        </w:rPr>
        <w:t>[120, 184, 200</w:t>
      </w:r>
      <w:r w:rsidRPr="001D0421">
        <w:rPr>
          <w:rFonts w:ascii="Times New Roman" w:hAnsi="Times New Roman"/>
          <w:sz w:val="28"/>
          <w:szCs w:val="28"/>
          <w:lang w:val="uk-UA"/>
        </w:rPr>
        <w:t>]. При</w:t>
      </w:r>
      <w:r>
        <w:rPr>
          <w:rFonts w:ascii="Times New Roman" w:hAnsi="Times New Roman"/>
          <w:sz w:val="28"/>
          <w:szCs w:val="28"/>
          <w:lang w:val="uk-UA"/>
        </w:rPr>
        <w:t xml:space="preserve"> підвищенні рівня вільних радикалів в ротовій рідині пошкоджується тканина пародонта, в той час як нестача активних форм кисню сприяє мікробній </w:t>
      </w:r>
      <w:r w:rsidR="00BC1A0E">
        <w:rPr>
          <w:rFonts w:ascii="Times New Roman" w:hAnsi="Times New Roman"/>
          <w:sz w:val="28"/>
          <w:szCs w:val="28"/>
          <w:lang w:val="uk-UA"/>
        </w:rPr>
        <w:t>інвазії [120</w:t>
      </w:r>
      <w:r w:rsidRPr="001D0421">
        <w:rPr>
          <w:rFonts w:ascii="Times New Roman" w:hAnsi="Times New Roman"/>
          <w:sz w:val="28"/>
          <w:szCs w:val="28"/>
          <w:lang w:val="uk-UA"/>
        </w:rPr>
        <w:t>].</w:t>
      </w:r>
      <w:r>
        <w:rPr>
          <w:rFonts w:ascii="Times New Roman" w:hAnsi="Times New Roman"/>
          <w:sz w:val="28"/>
          <w:szCs w:val="28"/>
          <w:lang w:val="uk-UA"/>
        </w:rPr>
        <w:t xml:space="preserve"> Доведено здатність тютюнового диму запускати процес секреції з гранул лейкоцитів еластази і еластазоподібних </w:t>
      </w:r>
      <w:r w:rsidRPr="001D0421">
        <w:rPr>
          <w:rFonts w:ascii="Times New Roman" w:hAnsi="Times New Roman"/>
          <w:sz w:val="28"/>
          <w:szCs w:val="28"/>
          <w:lang w:val="uk-UA"/>
        </w:rPr>
        <w:t xml:space="preserve">металопротеїназ </w:t>
      </w:r>
      <w:r w:rsidR="00BC1A0E">
        <w:rPr>
          <w:rFonts w:ascii="Times New Roman" w:hAnsi="Times New Roman"/>
          <w:sz w:val="28"/>
          <w:szCs w:val="28"/>
          <w:lang w:val="uk-UA"/>
        </w:rPr>
        <w:t>[206</w:t>
      </w:r>
      <w:r w:rsidRPr="001D0421">
        <w:rPr>
          <w:rFonts w:ascii="Times New Roman" w:hAnsi="Times New Roman"/>
          <w:sz w:val="28"/>
          <w:szCs w:val="28"/>
          <w:lang w:val="uk-UA"/>
        </w:rPr>
        <w:t>]. Повне</w:t>
      </w:r>
      <w:r>
        <w:rPr>
          <w:rFonts w:ascii="Times New Roman" w:hAnsi="Times New Roman"/>
          <w:sz w:val="28"/>
          <w:szCs w:val="28"/>
          <w:lang w:val="uk-UA"/>
        </w:rPr>
        <w:t xml:space="preserve"> руйнування в фагоцитах гранул з еластазною активністю викликає етанол </w:t>
      </w:r>
      <w:r w:rsidR="00BC1A0E">
        <w:rPr>
          <w:rFonts w:ascii="Times New Roman" w:hAnsi="Times New Roman"/>
          <w:sz w:val="28"/>
          <w:szCs w:val="28"/>
          <w:lang w:val="uk-UA"/>
        </w:rPr>
        <w:t>[161</w:t>
      </w:r>
      <w:r w:rsidRPr="001D0421">
        <w:rPr>
          <w:rFonts w:ascii="Times New Roman" w:hAnsi="Times New Roman"/>
          <w:sz w:val="28"/>
          <w:szCs w:val="28"/>
          <w:lang w:val="uk-UA"/>
        </w:rPr>
        <w:t>].</w:t>
      </w:r>
      <w:r>
        <w:rPr>
          <w:rFonts w:ascii="Times New Roman" w:hAnsi="Times New Roman"/>
          <w:sz w:val="28"/>
          <w:szCs w:val="28"/>
          <w:lang w:val="uk-UA"/>
        </w:rPr>
        <w:t xml:space="preserve"> Причому навіть низькі концентрації етанолу (від 1 до 10%) впливають на стан лізосомального апарату лейкоцитів і запускають механізм загибелі клітин за типом </w:t>
      </w:r>
      <w:r w:rsidRPr="001D0421">
        <w:rPr>
          <w:rFonts w:ascii="Times New Roman" w:hAnsi="Times New Roman"/>
          <w:sz w:val="28"/>
          <w:szCs w:val="28"/>
          <w:lang w:val="uk-UA"/>
        </w:rPr>
        <w:t xml:space="preserve">апоптозу </w:t>
      </w:r>
      <w:r w:rsidR="00BC1A0E">
        <w:rPr>
          <w:rFonts w:ascii="Times New Roman" w:hAnsi="Times New Roman"/>
          <w:sz w:val="28"/>
          <w:szCs w:val="28"/>
          <w:lang w:val="uk-UA"/>
        </w:rPr>
        <w:t>[166</w:t>
      </w:r>
      <w:r w:rsidRPr="001D0421">
        <w:rPr>
          <w:rFonts w:ascii="Times New Roman" w:hAnsi="Times New Roman"/>
          <w:sz w:val="28"/>
          <w:szCs w:val="28"/>
          <w:lang w:val="uk-UA"/>
        </w:rPr>
        <w:t>].</w:t>
      </w:r>
    </w:p>
    <w:p w:rsidR="002416FA" w:rsidRPr="001D0421"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з найважливіших факторів патогенезу ЗЗП є хронічне психоемоційне напруження. У відповідь на хронічне психоемоційне напруження розвивається реакція стрес-адаптації, що визначається психологічними властивостями особистості і стану вегетативної нервової системи </w:t>
      </w:r>
      <w:r w:rsidR="00BC1A0E">
        <w:rPr>
          <w:rFonts w:ascii="Times New Roman" w:hAnsi="Times New Roman"/>
          <w:sz w:val="28"/>
          <w:szCs w:val="28"/>
          <w:lang w:val="uk-UA"/>
        </w:rPr>
        <w:t>[158</w:t>
      </w:r>
      <w:r w:rsidRPr="001D0421">
        <w:rPr>
          <w:rFonts w:ascii="Times New Roman" w:hAnsi="Times New Roman"/>
          <w:sz w:val="28"/>
          <w:szCs w:val="28"/>
          <w:lang w:val="uk-UA"/>
        </w:rPr>
        <w:t>].</w:t>
      </w:r>
      <w:r>
        <w:rPr>
          <w:rFonts w:ascii="Times New Roman" w:hAnsi="Times New Roman"/>
          <w:sz w:val="28"/>
          <w:szCs w:val="28"/>
          <w:lang w:val="uk-UA"/>
        </w:rPr>
        <w:t xml:space="preserve"> В умовах хронічного впливу несприятливих факторів відбувається виснаження фізіологічного адаптаційного резерву, що призводить до розвитку симптомів вегетативної дисфункції і нейроендокринних порушень. Останні, в свою чергу, опосередковують системні і місцеві зміни метаболізму, і при цьому найбільш схильними до даного впливу є тканини з щільною іннервацією і кровопостачанням. Таким чином, вся ротова порожнина, включаючи тканини пародонта і слинні залози, є мішенню впливу хронічного психоемоційного напруження на організм людини </w:t>
      </w:r>
      <w:r w:rsidR="00BC1A0E">
        <w:rPr>
          <w:rFonts w:ascii="Times New Roman" w:hAnsi="Times New Roman"/>
          <w:sz w:val="28"/>
          <w:szCs w:val="28"/>
          <w:lang w:val="uk-UA"/>
        </w:rPr>
        <w:t>[146</w:t>
      </w:r>
      <w:r w:rsidRPr="001D0421">
        <w:rPr>
          <w:rFonts w:ascii="Times New Roman" w:hAnsi="Times New Roman"/>
          <w:sz w:val="28"/>
          <w:szCs w:val="28"/>
          <w:lang w:val="uk-UA"/>
        </w:rPr>
        <w:t>, 18</w:t>
      </w:r>
      <w:r w:rsidR="00BC1A0E">
        <w:rPr>
          <w:rFonts w:ascii="Times New Roman" w:hAnsi="Times New Roman"/>
          <w:sz w:val="28"/>
          <w:szCs w:val="28"/>
          <w:lang w:val="uk-UA"/>
        </w:rPr>
        <w:t>3</w:t>
      </w:r>
      <w:r w:rsidRPr="001D0421">
        <w:rPr>
          <w:rFonts w:ascii="Times New Roman" w:hAnsi="Times New Roman"/>
          <w:sz w:val="28"/>
          <w:szCs w:val="28"/>
          <w:lang w:val="uk-UA"/>
        </w:rPr>
        <w:t>].</w:t>
      </w:r>
    </w:p>
    <w:p w:rsidR="002416FA" w:rsidRPr="001D0421" w:rsidRDefault="002416FA" w:rsidP="005C1EA2">
      <w:pPr>
        <w:spacing w:line="360" w:lineRule="auto"/>
        <w:ind w:firstLine="709"/>
        <w:jc w:val="both"/>
        <w:rPr>
          <w:rFonts w:ascii="Times New Roman" w:hAnsi="Times New Roman"/>
          <w:sz w:val="28"/>
          <w:szCs w:val="28"/>
          <w:lang w:val="uk-UA"/>
        </w:rPr>
      </w:pPr>
      <w:r w:rsidRPr="001D0421">
        <w:rPr>
          <w:rFonts w:ascii="Times New Roman" w:hAnsi="Times New Roman"/>
          <w:sz w:val="28"/>
          <w:szCs w:val="28"/>
          <w:lang w:val="uk-UA"/>
        </w:rPr>
        <w:t>Серед провідних факторів</w:t>
      </w:r>
      <w:r>
        <w:rPr>
          <w:rFonts w:ascii="Times New Roman" w:hAnsi="Times New Roman"/>
          <w:sz w:val="28"/>
          <w:szCs w:val="28"/>
          <w:lang w:val="uk-UA"/>
        </w:rPr>
        <w:t xml:space="preserve"> способу життя, що негативно впливають на здоров’я підлітків, є малорухомий спосіб життя (гіпокінезія). Малорухомий спосіб життя, нажаль, є достатньо частим станом сучасних підлітків. Гіпокінезія сприяє розвитку порушень у видільній, репродуктивній, кровотворній системах, </w:t>
      </w:r>
      <w:r>
        <w:rPr>
          <w:rFonts w:ascii="Times New Roman" w:hAnsi="Times New Roman"/>
          <w:sz w:val="28"/>
          <w:szCs w:val="28"/>
          <w:lang w:val="uk-UA"/>
        </w:rPr>
        <w:lastRenderedPageBreak/>
        <w:t xml:space="preserve">зниженню імунітету організму і нервово-психічній </w:t>
      </w:r>
      <w:r w:rsidRPr="001D0421">
        <w:rPr>
          <w:rFonts w:ascii="Times New Roman" w:hAnsi="Times New Roman"/>
          <w:sz w:val="28"/>
          <w:szCs w:val="28"/>
          <w:lang w:val="uk-UA"/>
        </w:rPr>
        <w:t>астенізації [6</w:t>
      </w:r>
      <w:r w:rsidR="00BC1A0E">
        <w:rPr>
          <w:rFonts w:ascii="Times New Roman" w:hAnsi="Times New Roman"/>
          <w:sz w:val="28"/>
          <w:szCs w:val="28"/>
          <w:lang w:val="uk-UA"/>
        </w:rPr>
        <w:t>6, 124, 135, 158, 198</w:t>
      </w:r>
      <w:r w:rsidRPr="00FC322C">
        <w:rPr>
          <w:rFonts w:ascii="Times New Roman" w:hAnsi="Times New Roman"/>
          <w:sz w:val="28"/>
          <w:szCs w:val="28"/>
          <w:lang w:val="uk-UA"/>
        </w:rPr>
        <w:t>], що може негативно позначатися на стані тканин пародонта.</w:t>
      </w:r>
    </w:p>
    <w:p w:rsidR="002416FA" w:rsidRDefault="002416FA" w:rsidP="005C1EA2">
      <w:pPr>
        <w:spacing w:line="360" w:lineRule="auto"/>
        <w:ind w:firstLine="709"/>
        <w:jc w:val="both"/>
        <w:rPr>
          <w:rFonts w:ascii="Times New Roman" w:hAnsi="Times New Roman"/>
          <w:sz w:val="28"/>
          <w:szCs w:val="28"/>
          <w:lang w:val="uk-UA"/>
        </w:rPr>
      </w:pPr>
      <w:r w:rsidRPr="001D0421">
        <w:rPr>
          <w:rFonts w:ascii="Times New Roman" w:hAnsi="Times New Roman"/>
          <w:sz w:val="28"/>
          <w:szCs w:val="28"/>
          <w:lang w:val="uk-UA"/>
        </w:rPr>
        <w:t>Таким чином, патогенез ЗЗП включає в себе</w:t>
      </w:r>
      <w:r>
        <w:rPr>
          <w:rFonts w:ascii="Times New Roman" w:hAnsi="Times New Roman"/>
          <w:sz w:val="28"/>
          <w:szCs w:val="28"/>
          <w:lang w:val="uk-UA"/>
        </w:rPr>
        <w:t xml:space="preserve"> багато факторів, тобто є системним і полікомпонентним. Маловивченим в цій проблемі є питання ранжування патогенетичних факторів за силою їх патогенетичної значимості. Це пов’язано з тим, що наявні дослідження виконані на різноманітних популяційних групах, що живуть в різних соціо-екологічних умовах. І зовсім не досліджені питання патогенезу ЗЗП у дівчат-підлітків з ПМФ. Проведення комплексних досліджень по визначенню патогенетичної значимості різнорівневих факторів на одній групі хворих дозволить визначити їх ієрархію, а остання надасть можливість сформувати індивідуальний патогенетичний профіль (паспорт) підлітка, що стане підставою для проведення індивідуально </w:t>
      </w:r>
      <w:r w:rsidRPr="00FC322C">
        <w:rPr>
          <w:rFonts w:ascii="Times New Roman" w:hAnsi="Times New Roman"/>
          <w:sz w:val="28"/>
          <w:szCs w:val="28"/>
          <w:lang w:val="uk-UA"/>
        </w:rPr>
        <w:t>спрямованої п</w:t>
      </w:r>
      <w:r>
        <w:rPr>
          <w:rFonts w:ascii="Times New Roman" w:hAnsi="Times New Roman"/>
          <w:sz w:val="28"/>
          <w:szCs w:val="28"/>
          <w:lang w:val="uk-UA"/>
        </w:rPr>
        <w:t>ервинної профілактики ЗЗП.</w:t>
      </w:r>
    </w:p>
    <w:p w:rsidR="002416FA" w:rsidRPr="00D97DB2" w:rsidRDefault="002416FA" w:rsidP="005C1EA2">
      <w:pPr>
        <w:spacing w:line="360" w:lineRule="auto"/>
        <w:ind w:firstLine="709"/>
        <w:jc w:val="both"/>
        <w:rPr>
          <w:rFonts w:ascii="Times New Roman" w:hAnsi="Times New Roman"/>
          <w:b/>
          <w:sz w:val="28"/>
          <w:szCs w:val="28"/>
          <w:lang w:val="uk-UA"/>
        </w:rPr>
      </w:pPr>
      <w:r w:rsidRPr="00D97DB2">
        <w:rPr>
          <w:rFonts w:ascii="Times New Roman" w:hAnsi="Times New Roman"/>
          <w:b/>
          <w:sz w:val="28"/>
          <w:szCs w:val="28"/>
          <w:lang w:val="uk-UA"/>
        </w:rPr>
        <w:t>1.2. Особливості перебігу запальних захворюван</w:t>
      </w:r>
      <w:r w:rsidR="00556A5D">
        <w:rPr>
          <w:rFonts w:ascii="Times New Roman" w:hAnsi="Times New Roman"/>
          <w:b/>
          <w:sz w:val="28"/>
          <w:szCs w:val="28"/>
          <w:lang w:val="uk-UA"/>
        </w:rPr>
        <w:t>ь пародонта в підлітковому віці</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даними ВОЗ більше 80% населення земного шару схильні до  захворювань пародонта, що призводять до втрати зубів, появи в порожнині рота вогнищ хронічної інфекції, зниженню реактивності організму, мікробної </w:t>
      </w:r>
      <w:r w:rsidR="00BC1A0E">
        <w:rPr>
          <w:rFonts w:ascii="Times New Roman" w:hAnsi="Times New Roman"/>
          <w:sz w:val="28"/>
          <w:szCs w:val="28"/>
          <w:lang w:val="uk-UA"/>
        </w:rPr>
        <w:t>сенсибілізації [50, 76</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Багато авторів вказує на високу </w:t>
      </w:r>
      <w:r w:rsidR="00CD0628">
        <w:rPr>
          <w:rFonts w:ascii="Times New Roman" w:hAnsi="Times New Roman"/>
          <w:sz w:val="28"/>
          <w:szCs w:val="28"/>
          <w:lang w:val="uk-UA"/>
        </w:rPr>
        <w:t xml:space="preserve">поширеність </w:t>
      </w:r>
      <w:r>
        <w:rPr>
          <w:rFonts w:ascii="Times New Roman" w:hAnsi="Times New Roman"/>
          <w:sz w:val="28"/>
          <w:szCs w:val="28"/>
          <w:lang w:val="uk-UA"/>
        </w:rPr>
        <w:t xml:space="preserve"> захворювань пародонта у дітей всіх вікових </w:t>
      </w:r>
      <w:r w:rsidR="00BC1A0E">
        <w:rPr>
          <w:rFonts w:ascii="Times New Roman" w:hAnsi="Times New Roman"/>
          <w:sz w:val="28"/>
          <w:szCs w:val="28"/>
          <w:lang w:val="uk-UA"/>
        </w:rPr>
        <w:t>груп [75, 86</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епідеміологічних даних відносно </w:t>
      </w:r>
      <w:r w:rsidR="00CD0628">
        <w:rPr>
          <w:rFonts w:ascii="Times New Roman" w:hAnsi="Times New Roman"/>
          <w:sz w:val="28"/>
          <w:szCs w:val="28"/>
          <w:lang w:val="uk-UA"/>
        </w:rPr>
        <w:t>поширеності</w:t>
      </w:r>
      <w:r>
        <w:rPr>
          <w:rFonts w:ascii="Times New Roman" w:hAnsi="Times New Roman"/>
          <w:sz w:val="28"/>
          <w:szCs w:val="28"/>
          <w:lang w:val="uk-UA"/>
        </w:rPr>
        <w:t xml:space="preserve"> стоматологічних захворювань на території України відмітив негативну тенденцію приросту стоматологічної </w:t>
      </w:r>
      <w:r w:rsidR="00BC1A0E">
        <w:rPr>
          <w:rFonts w:ascii="Times New Roman" w:hAnsi="Times New Roman"/>
          <w:sz w:val="28"/>
          <w:szCs w:val="28"/>
          <w:lang w:val="uk-UA"/>
        </w:rPr>
        <w:t>патології [152</w:t>
      </w:r>
      <w:r w:rsidRPr="001D0421">
        <w:rPr>
          <w:rFonts w:ascii="Times New Roman" w:hAnsi="Times New Roman"/>
          <w:sz w:val="28"/>
          <w:szCs w:val="28"/>
          <w:lang w:val="uk-UA"/>
        </w:rPr>
        <w:t>].</w:t>
      </w:r>
      <w:r>
        <w:rPr>
          <w:rFonts w:ascii="Times New Roman" w:hAnsi="Times New Roman"/>
          <w:sz w:val="28"/>
          <w:szCs w:val="28"/>
          <w:lang w:val="uk-UA"/>
        </w:rPr>
        <w:t xml:space="preserve"> За даними досліджень Інституту стоматології НМАПО та Інституту стоматології АМН України 87,9-92,3% українських підлітків мали захворювання ясен. Найчастіше діагностувався гінгівіт (80,9-83,6%). Ці дані співпадають з даними ВОЗ: середньостатистичні світові показники ураженості </w:t>
      </w:r>
      <w:r w:rsidRPr="00FC322C">
        <w:rPr>
          <w:rFonts w:ascii="Times New Roman" w:hAnsi="Times New Roman"/>
          <w:sz w:val="28"/>
          <w:szCs w:val="28"/>
          <w:lang w:val="uk-UA"/>
        </w:rPr>
        <w:t>тканин</w:t>
      </w:r>
      <w:r>
        <w:rPr>
          <w:rFonts w:ascii="Times New Roman" w:hAnsi="Times New Roman"/>
          <w:sz w:val="28"/>
          <w:szCs w:val="28"/>
          <w:lang w:val="uk-UA"/>
        </w:rPr>
        <w:t xml:space="preserve"> пародонта у підлітків – 80,4%-85,9% </w:t>
      </w:r>
      <w:r w:rsidR="00BC1A0E">
        <w:rPr>
          <w:rFonts w:ascii="Times New Roman" w:hAnsi="Times New Roman"/>
          <w:sz w:val="28"/>
          <w:szCs w:val="28"/>
          <w:lang w:val="uk-UA"/>
        </w:rPr>
        <w:t>[12, 145, 152</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Найбільш розповсюдженою формою гінгівіту  в підлітковому віці є хронічний гіпертрофічний гінгівіт, хоча в цілому він займає друге місце після катарального гінгівіту </w:t>
      </w:r>
      <w:r w:rsidR="00BC1A0E">
        <w:rPr>
          <w:rFonts w:ascii="Times New Roman" w:hAnsi="Times New Roman"/>
          <w:sz w:val="28"/>
          <w:szCs w:val="28"/>
          <w:lang w:val="uk-UA"/>
        </w:rPr>
        <w:t>[26, 30</w:t>
      </w:r>
      <w:r w:rsidR="00D17744">
        <w:rPr>
          <w:rFonts w:ascii="Times New Roman" w:hAnsi="Times New Roman"/>
          <w:sz w:val="28"/>
          <w:szCs w:val="28"/>
          <w:lang w:val="uk-UA"/>
        </w:rPr>
        <w:t>, 45, 152</w:t>
      </w:r>
      <w:r w:rsidRPr="001D0421">
        <w:rPr>
          <w:rFonts w:ascii="Times New Roman" w:hAnsi="Times New Roman"/>
          <w:sz w:val="28"/>
          <w:szCs w:val="28"/>
          <w:lang w:val="uk-UA"/>
        </w:rPr>
        <w:t>].</w:t>
      </w:r>
    </w:p>
    <w:p w:rsidR="002416FA" w:rsidRPr="001D0421" w:rsidRDefault="002416FA" w:rsidP="005C1EA2">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Якщо гінгівіт має тривалий перебіг, він може перейти в більш тяжку форму захворювання пародонта, при якій відбувається деструкція емалево-епітеліального прикріплення і кісткової тканини альвеоли. В цьому випадку «юнацький» гінгівіт, що став джерелом розвитку пародонтиту, не проходить  і після встановлення стабільного гормонального статусу по закінченню пубертатного </w:t>
      </w:r>
      <w:r w:rsidR="00D17744">
        <w:rPr>
          <w:rFonts w:ascii="Times New Roman" w:hAnsi="Times New Roman"/>
          <w:sz w:val="28"/>
          <w:szCs w:val="28"/>
          <w:lang w:val="uk-UA"/>
        </w:rPr>
        <w:t>періоду [26, 30, 45</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підлітків, що страждають на хронічний катаральний гінгівіт, легкий ступінь тяжкості відмічено у 1/3 хворих, а середній ступінь у 2/3 </w:t>
      </w:r>
      <w:r w:rsidR="00D17744">
        <w:rPr>
          <w:rFonts w:ascii="Times New Roman" w:hAnsi="Times New Roman"/>
          <w:sz w:val="28"/>
          <w:szCs w:val="28"/>
          <w:lang w:val="uk-UA"/>
        </w:rPr>
        <w:t>[63, 152</w:t>
      </w:r>
      <w:r w:rsidRPr="001D0421">
        <w:rPr>
          <w:rFonts w:ascii="Times New Roman" w:hAnsi="Times New Roman"/>
          <w:sz w:val="28"/>
          <w:szCs w:val="28"/>
          <w:lang w:val="uk-UA"/>
        </w:rPr>
        <w:t>]. При цьому симптоматика хронічного катарального гінгівіту виявил</w:t>
      </w:r>
      <w:r>
        <w:rPr>
          <w:rFonts w:ascii="Times New Roman" w:hAnsi="Times New Roman"/>
          <w:sz w:val="28"/>
          <w:szCs w:val="28"/>
          <w:lang w:val="uk-UA"/>
        </w:rPr>
        <w:t xml:space="preserve">ася </w:t>
      </w:r>
      <w:r w:rsidR="00D17744">
        <w:rPr>
          <w:rFonts w:ascii="Times New Roman" w:hAnsi="Times New Roman"/>
          <w:sz w:val="28"/>
          <w:szCs w:val="28"/>
          <w:lang w:val="uk-UA"/>
        </w:rPr>
        <w:t>несприятливою [152</w:t>
      </w:r>
      <w:r w:rsidRPr="001D0421">
        <w:rPr>
          <w:rFonts w:ascii="Times New Roman" w:hAnsi="Times New Roman"/>
          <w:sz w:val="28"/>
          <w:szCs w:val="28"/>
          <w:lang w:val="uk-UA"/>
        </w:rPr>
        <w:t>].</w:t>
      </w:r>
      <w:r>
        <w:rPr>
          <w:rFonts w:ascii="Times New Roman" w:hAnsi="Times New Roman"/>
          <w:sz w:val="28"/>
          <w:szCs w:val="28"/>
          <w:lang w:val="uk-UA"/>
        </w:rPr>
        <w:t xml:space="preserve"> Особливу увагу привертає генералізований характер запального процесу в яснах, який відмічається у більшості хворих. При цьому скарги на періодичну кровоточивість ясен під час чищення зубів відмічаються у 39,5% пацієнтів, а у 60,5% хворих запальний процес в яснах характеризується безсимптомним </w:t>
      </w:r>
      <w:r w:rsidR="00D17744">
        <w:rPr>
          <w:rFonts w:ascii="Times New Roman" w:hAnsi="Times New Roman"/>
          <w:sz w:val="28"/>
          <w:szCs w:val="28"/>
          <w:lang w:val="uk-UA"/>
        </w:rPr>
        <w:t>перебігом [73, 152</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об’єктивному обстеженні підлітків з хронічним катаральним гінгівітом виявляються набряк і гіперемія слизової оболонки ясен с ціанотичним відтінком. Ясенні сосочки виявляють куполоподібну форму. Також відмічається зміна рельєфу ясенного краю у вигляді валикоподібного </w:t>
      </w:r>
      <w:r w:rsidRPr="001D0421">
        <w:rPr>
          <w:rFonts w:ascii="Times New Roman" w:hAnsi="Times New Roman"/>
          <w:sz w:val="28"/>
          <w:szCs w:val="28"/>
          <w:lang w:val="uk-UA"/>
        </w:rPr>
        <w:t>потовщ</w:t>
      </w:r>
      <w:r w:rsidR="00D17744">
        <w:rPr>
          <w:rFonts w:ascii="Times New Roman" w:hAnsi="Times New Roman"/>
          <w:sz w:val="28"/>
          <w:szCs w:val="28"/>
          <w:lang w:val="uk-UA"/>
        </w:rPr>
        <w:t>ення [73, 152</w:t>
      </w:r>
      <w:r w:rsidRPr="001D0421">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використанні СРІ-індексу встановлено, що при хронічному катаральному гінгівіті у підлітків </w:t>
      </w:r>
      <w:r w:rsidR="00CD0628">
        <w:rPr>
          <w:rFonts w:ascii="Times New Roman" w:hAnsi="Times New Roman"/>
          <w:sz w:val="28"/>
          <w:szCs w:val="28"/>
          <w:lang w:val="uk-UA"/>
        </w:rPr>
        <w:t>поширеність</w:t>
      </w:r>
      <w:r>
        <w:rPr>
          <w:rFonts w:ascii="Times New Roman" w:hAnsi="Times New Roman"/>
          <w:sz w:val="28"/>
          <w:szCs w:val="28"/>
          <w:lang w:val="uk-UA"/>
        </w:rPr>
        <w:t xml:space="preserve"> здорових секстантів склала 70,2%, секстантів з кровоточивістю ясен- 95%, секстантів з зубним каменем – 95,6%, секстантів з пародонтальними </w:t>
      </w:r>
      <w:r w:rsidR="00C93073">
        <w:rPr>
          <w:rFonts w:ascii="Times New Roman" w:hAnsi="Times New Roman"/>
          <w:sz w:val="28"/>
          <w:szCs w:val="28"/>
          <w:lang w:val="uk-UA"/>
        </w:rPr>
        <w:t>кишеня</w:t>
      </w:r>
      <w:r>
        <w:rPr>
          <w:rFonts w:ascii="Times New Roman" w:hAnsi="Times New Roman"/>
          <w:sz w:val="28"/>
          <w:szCs w:val="28"/>
          <w:lang w:val="uk-UA"/>
        </w:rPr>
        <w:t>ми – 5</w:t>
      </w:r>
      <w:r w:rsidR="00D17744">
        <w:rPr>
          <w:rFonts w:ascii="Times New Roman" w:hAnsi="Times New Roman"/>
          <w:sz w:val="28"/>
          <w:szCs w:val="28"/>
          <w:lang w:val="uk-UA"/>
        </w:rPr>
        <w:t>% [152</w:t>
      </w:r>
      <w:r w:rsidRPr="0030018A">
        <w:rPr>
          <w:rFonts w:ascii="Times New Roman" w:hAnsi="Times New Roman"/>
          <w:sz w:val="28"/>
          <w:szCs w:val="28"/>
          <w:lang w:val="uk-UA"/>
        </w:rPr>
        <w:t>].</w:t>
      </w:r>
      <w:r>
        <w:rPr>
          <w:rFonts w:ascii="Times New Roman" w:hAnsi="Times New Roman"/>
          <w:sz w:val="28"/>
          <w:szCs w:val="28"/>
          <w:lang w:val="uk-UA"/>
        </w:rPr>
        <w:t xml:space="preserve"> Що стосується середніх значень, то кількість здорових секстантів була низькою і дорівнювала 0,44 на одного обстеженого, а кількість уражених сегментів виявилася високою – 5,56. Інтенсивність кровоточивості ясен склала 3,02 на одного обстеженого, що згідно зі шкалою ВОЗ, відповідає високому рівню </w:t>
      </w:r>
      <w:r w:rsidR="00D17744">
        <w:rPr>
          <w:rFonts w:ascii="Times New Roman" w:hAnsi="Times New Roman"/>
          <w:sz w:val="28"/>
          <w:szCs w:val="28"/>
          <w:lang w:val="uk-UA"/>
        </w:rPr>
        <w:t>[152</w:t>
      </w:r>
      <w:r w:rsidRPr="0030018A">
        <w:rPr>
          <w:rFonts w:ascii="Times New Roman" w:hAnsi="Times New Roman"/>
          <w:sz w:val="28"/>
          <w:szCs w:val="28"/>
          <w:lang w:val="uk-UA"/>
        </w:rPr>
        <w:t xml:space="preserve">]. </w:t>
      </w:r>
      <w:r w:rsidR="00CD0628">
        <w:rPr>
          <w:rFonts w:ascii="Times New Roman" w:hAnsi="Times New Roman"/>
          <w:sz w:val="28"/>
          <w:szCs w:val="28"/>
          <w:lang w:val="uk-UA"/>
        </w:rPr>
        <w:t>Поширеність</w:t>
      </w:r>
      <w:r>
        <w:rPr>
          <w:rFonts w:ascii="Times New Roman" w:hAnsi="Times New Roman"/>
          <w:sz w:val="28"/>
          <w:szCs w:val="28"/>
          <w:lang w:val="uk-UA"/>
        </w:rPr>
        <w:t xml:space="preserve"> зубного каменю у даного контингенту хворих за градацією ВОЗ також досягла високого рівня – </w:t>
      </w:r>
      <w:r>
        <w:rPr>
          <w:rFonts w:ascii="Times New Roman" w:hAnsi="Times New Roman"/>
          <w:sz w:val="28"/>
          <w:szCs w:val="28"/>
          <w:lang w:val="uk-UA"/>
        </w:rPr>
        <w:lastRenderedPageBreak/>
        <w:t>95%. Середня інтенсивність секстантів з мінералізованими зубними відкладеннями склала 2,15. При цьому зубний камінь виявлявся як у бічних, так і у фронтальних ділянках щелеп.</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клінічної симптоматики хронічного пародонтиту, то вона виявилася найбільш несприятливою. У 66,7% обстежених запально-деструктивний процес в тканинах пародонта мав генералізований характер. При об’єктивному обстеженні визначалася застійна гіперемія слизової оболонки ясен; внаслідок набряку ясеневі сосочки були помітно збільшені  в розмірах і мали закруглену форму, а ясеневі краї – виражене валикоподібне </w:t>
      </w:r>
      <w:r w:rsidR="00D17744">
        <w:rPr>
          <w:rFonts w:ascii="Times New Roman" w:hAnsi="Times New Roman"/>
          <w:sz w:val="28"/>
          <w:szCs w:val="28"/>
          <w:lang w:val="uk-UA"/>
        </w:rPr>
        <w:t>потовщення [152</w:t>
      </w:r>
      <w:r w:rsidRPr="0030018A">
        <w:rPr>
          <w:rFonts w:ascii="Times New Roman" w:hAnsi="Times New Roman"/>
          <w:sz w:val="28"/>
          <w:szCs w:val="28"/>
          <w:lang w:val="uk-UA"/>
        </w:rPr>
        <w:t>].</w:t>
      </w:r>
    </w:p>
    <w:p w:rsidR="002416FA" w:rsidRPr="00FD7B70" w:rsidRDefault="002416FA" w:rsidP="005C1EA2">
      <w:pPr>
        <w:spacing w:line="360" w:lineRule="auto"/>
        <w:ind w:firstLine="709"/>
        <w:jc w:val="both"/>
        <w:rPr>
          <w:rFonts w:ascii="Times New Roman" w:hAnsi="Times New Roman"/>
          <w:spacing w:val="-4"/>
          <w:sz w:val="28"/>
          <w:szCs w:val="28"/>
          <w:lang w:val="uk-UA"/>
        </w:rPr>
      </w:pPr>
      <w:r>
        <w:rPr>
          <w:rFonts w:ascii="Times New Roman" w:hAnsi="Times New Roman"/>
          <w:sz w:val="28"/>
          <w:szCs w:val="28"/>
          <w:lang w:val="uk-UA"/>
        </w:rPr>
        <w:t xml:space="preserve">Пубертатний (підлітковий) пародонтит проявляється у вигляді локалізованої і генералізованої форм. Локалізований пубертатний пародонтит спостерігається у практично здорових підлітків без системних захворювань. Він характеризується швидкою і тяжкою деструкцією альвеолярної кістки в ділянці перших постійних молярів, іноді і різців. Клінічно спостерігається легке запалення (воно може бути відсутнім), невелика кількість зубного нальоту або каменю. Деструкція кісткової </w:t>
      </w:r>
      <w:r w:rsidRPr="00FD7B70">
        <w:rPr>
          <w:rFonts w:ascii="Times New Roman" w:hAnsi="Times New Roman"/>
          <w:spacing w:val="-4"/>
          <w:sz w:val="28"/>
          <w:szCs w:val="28"/>
          <w:lang w:val="uk-UA"/>
        </w:rPr>
        <w:t>тканини прогресує в 3-4 разів швидше, ніж</w:t>
      </w:r>
      <w:r w:rsidR="00D17744">
        <w:rPr>
          <w:rFonts w:ascii="Times New Roman" w:hAnsi="Times New Roman"/>
          <w:spacing w:val="-4"/>
          <w:sz w:val="28"/>
          <w:szCs w:val="28"/>
          <w:lang w:val="uk-UA"/>
        </w:rPr>
        <w:t xml:space="preserve"> при пародонтиті у дорослих [149</w:t>
      </w:r>
      <w:r w:rsidRPr="00FD7B70">
        <w:rPr>
          <w:rFonts w:ascii="Times New Roman" w:hAnsi="Times New Roman"/>
          <w:spacing w:val="-4"/>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Генералізований пубертатний пародонтит зустрічається рідко. При цьому процес часто захоплює пародонт обох щелеп.  Характеризується агресивним перебігом, швидкою і тяжкою деструкцією альвеолярної кістки. Його називають агресивним або швидко прогресуючим </w:t>
      </w:r>
      <w:r w:rsidRPr="0030018A">
        <w:rPr>
          <w:rFonts w:ascii="Times New Roman" w:hAnsi="Times New Roman"/>
          <w:sz w:val="28"/>
          <w:szCs w:val="28"/>
          <w:lang w:val="uk-UA"/>
        </w:rPr>
        <w:t>пародонтитом [13, 2</w:t>
      </w:r>
      <w:r w:rsidR="00D17744">
        <w:rPr>
          <w:rFonts w:ascii="Times New Roman" w:hAnsi="Times New Roman"/>
          <w:sz w:val="28"/>
          <w:szCs w:val="28"/>
          <w:lang w:val="uk-UA"/>
        </w:rPr>
        <w:t>9, 149</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протягом останніх десятиліть не тільки зросли показники </w:t>
      </w:r>
      <w:r w:rsidR="00CD0628">
        <w:rPr>
          <w:rFonts w:ascii="Times New Roman" w:hAnsi="Times New Roman"/>
          <w:sz w:val="28"/>
          <w:szCs w:val="28"/>
          <w:lang w:val="uk-UA"/>
        </w:rPr>
        <w:t>поширеності</w:t>
      </w:r>
      <w:r>
        <w:rPr>
          <w:rFonts w:ascii="Times New Roman" w:hAnsi="Times New Roman"/>
          <w:sz w:val="28"/>
          <w:szCs w:val="28"/>
          <w:lang w:val="uk-UA"/>
        </w:rPr>
        <w:t xml:space="preserve"> патології пародонта у підлітків, але і змінилася їх структура в сторону збільшення найбільш тяжких форм </w:t>
      </w:r>
      <w:r w:rsidR="00D17744">
        <w:rPr>
          <w:rFonts w:ascii="Times New Roman" w:hAnsi="Times New Roman"/>
          <w:sz w:val="28"/>
          <w:szCs w:val="28"/>
          <w:lang w:val="uk-UA"/>
        </w:rPr>
        <w:t>[8, 31</w:t>
      </w:r>
      <w:r w:rsidRPr="0030018A">
        <w:rPr>
          <w:rFonts w:ascii="Times New Roman" w:hAnsi="Times New Roman"/>
          <w:sz w:val="28"/>
          <w:szCs w:val="28"/>
          <w:lang w:val="uk-UA"/>
        </w:rPr>
        <w:t>].  Зміни</w:t>
      </w:r>
      <w:r>
        <w:rPr>
          <w:rFonts w:ascii="Times New Roman" w:hAnsi="Times New Roman"/>
          <w:sz w:val="28"/>
          <w:szCs w:val="28"/>
          <w:lang w:val="uk-UA"/>
        </w:rPr>
        <w:t xml:space="preserve"> гормонального статусу, збільшення психоемоційних, інтелектуальних і фізичних навантажень, а також висока чуттєвість тканин ясен до ендогенних і екзогенних впливів сприяють в пубертаті посиленню патологічного </w:t>
      </w:r>
      <w:r w:rsidR="00D17744">
        <w:rPr>
          <w:rFonts w:ascii="Times New Roman" w:hAnsi="Times New Roman"/>
          <w:sz w:val="28"/>
          <w:szCs w:val="28"/>
          <w:lang w:val="uk-UA"/>
        </w:rPr>
        <w:t>процесу [86</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підлітковому віці спостерігаються явища зростання симптоматичних впливів, що поєднується зі зростанням частоти запальних і деструктивних явищ в тканинах </w:t>
      </w:r>
      <w:r w:rsidR="00D17744">
        <w:rPr>
          <w:rFonts w:ascii="Times New Roman" w:hAnsi="Times New Roman"/>
          <w:sz w:val="28"/>
          <w:szCs w:val="28"/>
          <w:lang w:val="uk-UA"/>
        </w:rPr>
        <w:t>пародонта [101</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Біологічні зміни в даний період регулюються нейросекреторними факторами і гормонами, які прискорюють соматичний ріст, розвиток статевих залоз, їх ендокринну і екзокринну </w:t>
      </w:r>
      <w:r w:rsidR="00D17744">
        <w:rPr>
          <w:rFonts w:ascii="Times New Roman" w:hAnsi="Times New Roman"/>
          <w:sz w:val="28"/>
          <w:szCs w:val="28"/>
          <w:lang w:val="uk-UA"/>
        </w:rPr>
        <w:t>регуляцію [171</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початкових стадіях хронічного гіпертрофічного гінгівіту періоди інтенсивної запальної реакції чергуються з періодами ремісії. Такий характер перебігу хвороби пов’язується з ендокринними змінами в даний </w:t>
      </w:r>
      <w:r w:rsidR="00D17744">
        <w:rPr>
          <w:rFonts w:ascii="Times New Roman" w:hAnsi="Times New Roman"/>
          <w:sz w:val="28"/>
          <w:szCs w:val="28"/>
          <w:lang w:val="uk-UA"/>
        </w:rPr>
        <w:t>період [37</w:t>
      </w:r>
      <w:r w:rsidRPr="0030018A">
        <w:rPr>
          <w:rFonts w:ascii="Times New Roman" w:hAnsi="Times New Roman"/>
          <w:sz w:val="28"/>
          <w:szCs w:val="28"/>
          <w:lang w:val="uk-UA"/>
        </w:rPr>
        <w:t>].</w:t>
      </w:r>
      <w:r>
        <w:rPr>
          <w:rFonts w:ascii="Times New Roman" w:hAnsi="Times New Roman"/>
          <w:sz w:val="28"/>
          <w:szCs w:val="28"/>
          <w:lang w:val="uk-UA"/>
        </w:rPr>
        <w:t xml:space="preserve"> </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Гормональний дисбаланс, пов'язаний з періодом статевого дозрівання, чинить вплив на епітелій ясен, який, в свою чергу, зумовлений клінічними і функціональними особливостями пародонта. З цих позицій порожнина рота роздивляється як екологічна система, в якій різноманітні біологічні процеси, сумісно взаємодіючи, визивають </w:t>
      </w:r>
      <w:r w:rsidRPr="00FC322C">
        <w:rPr>
          <w:rFonts w:ascii="Times New Roman" w:hAnsi="Times New Roman"/>
          <w:sz w:val="28"/>
          <w:szCs w:val="28"/>
          <w:lang w:val="uk-UA"/>
        </w:rPr>
        <w:t>різноспрямовані п</w:t>
      </w:r>
      <w:r>
        <w:rPr>
          <w:rFonts w:ascii="Times New Roman" w:hAnsi="Times New Roman"/>
          <w:sz w:val="28"/>
          <w:szCs w:val="28"/>
          <w:lang w:val="uk-UA"/>
        </w:rPr>
        <w:t xml:space="preserve">атологічні </w:t>
      </w:r>
      <w:r w:rsidRPr="0030018A">
        <w:rPr>
          <w:rFonts w:ascii="Times New Roman" w:hAnsi="Times New Roman"/>
          <w:sz w:val="28"/>
          <w:szCs w:val="28"/>
          <w:lang w:val="uk-UA"/>
        </w:rPr>
        <w:t>процеси [5</w:t>
      </w:r>
      <w:r w:rsidR="00D17744">
        <w:rPr>
          <w:rFonts w:ascii="Times New Roman" w:hAnsi="Times New Roman"/>
          <w:sz w:val="28"/>
          <w:szCs w:val="28"/>
          <w:lang w:val="uk-UA"/>
        </w:rPr>
        <w:t>6, 187, 194</w:t>
      </w:r>
      <w:r w:rsidRPr="0030018A">
        <w:rPr>
          <w:rFonts w:ascii="Times New Roman" w:hAnsi="Times New Roman"/>
          <w:sz w:val="28"/>
          <w:szCs w:val="28"/>
          <w:lang w:val="uk-UA"/>
        </w:rPr>
        <w:t>].</w:t>
      </w:r>
    </w:p>
    <w:p w:rsidR="002416FA" w:rsidRPr="00734075" w:rsidRDefault="002416FA" w:rsidP="005C1EA2">
      <w:pPr>
        <w:spacing w:line="360" w:lineRule="auto"/>
        <w:ind w:firstLine="709"/>
        <w:jc w:val="both"/>
        <w:rPr>
          <w:rFonts w:ascii="Times New Roman" w:hAnsi="Times New Roman"/>
          <w:spacing w:val="-4"/>
          <w:sz w:val="28"/>
          <w:szCs w:val="28"/>
          <w:lang w:val="uk-UA"/>
        </w:rPr>
      </w:pPr>
      <w:r>
        <w:rPr>
          <w:rFonts w:ascii="Times New Roman" w:hAnsi="Times New Roman"/>
          <w:sz w:val="28"/>
          <w:szCs w:val="28"/>
          <w:lang w:val="uk-UA"/>
        </w:rPr>
        <w:t xml:space="preserve">У дівчат в період статевого дозрівання відбувається підвищена екскреція статевих гормонів і низька продукція прогестерона, що створює умови для стимуляції проліферативних процесів в епітелії ендометрію та інших слизових оболонок організму, в тому числі ясен. Під впливом гормону жовтого тіла - прогестерона – розвивається десквамація епітелію. Розвиток симптомів гіпертрофічного гінгівіту або десквамативного гінгівіту </w:t>
      </w:r>
      <w:r w:rsidRPr="00734075">
        <w:rPr>
          <w:rFonts w:ascii="Times New Roman" w:hAnsi="Times New Roman"/>
          <w:spacing w:val="-4"/>
          <w:sz w:val="28"/>
          <w:szCs w:val="28"/>
          <w:lang w:val="uk-UA"/>
        </w:rPr>
        <w:t>знаходиться в залежності від переважанн</w:t>
      </w:r>
      <w:r w:rsidR="00D17744">
        <w:rPr>
          <w:rFonts w:ascii="Times New Roman" w:hAnsi="Times New Roman"/>
          <w:spacing w:val="-4"/>
          <w:sz w:val="28"/>
          <w:szCs w:val="28"/>
          <w:lang w:val="uk-UA"/>
        </w:rPr>
        <w:t>я того чи іншого гормону [26, 30, 45</w:t>
      </w:r>
      <w:r w:rsidRPr="00734075">
        <w:rPr>
          <w:rFonts w:ascii="Times New Roman" w:hAnsi="Times New Roman"/>
          <w:spacing w:val="-4"/>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вищенаведені дані свідчать, що кардинальна перебудова гомеостатичних механізмів організму підліткового віку специфічним чином відображається як на структурі, так і на особливостях перебігу ЗЗП. Функціональні системи організму підлітків не є остаточно сформованими і тривало знаходяться в стані фізіологічного </w:t>
      </w:r>
      <w:r w:rsidR="00D17744">
        <w:rPr>
          <w:rFonts w:ascii="Times New Roman" w:hAnsi="Times New Roman"/>
          <w:sz w:val="28"/>
          <w:szCs w:val="28"/>
          <w:lang w:val="uk-UA"/>
        </w:rPr>
        <w:t>напруження [85, 171</w:t>
      </w:r>
      <w:r w:rsidRPr="0030018A">
        <w:rPr>
          <w:rFonts w:ascii="Times New Roman" w:hAnsi="Times New Roman"/>
          <w:sz w:val="28"/>
          <w:szCs w:val="28"/>
          <w:lang w:val="uk-UA"/>
        </w:rPr>
        <w:t>, 21</w:t>
      </w:r>
      <w:r w:rsidR="00D17744">
        <w:rPr>
          <w:rFonts w:ascii="Times New Roman" w:hAnsi="Times New Roman"/>
          <w:sz w:val="28"/>
          <w:szCs w:val="28"/>
          <w:lang w:val="uk-UA"/>
        </w:rPr>
        <w:t>3</w:t>
      </w:r>
      <w:r w:rsidRPr="0030018A">
        <w:rPr>
          <w:rFonts w:ascii="Times New Roman" w:hAnsi="Times New Roman"/>
          <w:sz w:val="28"/>
          <w:szCs w:val="28"/>
          <w:lang w:val="uk-UA"/>
        </w:rPr>
        <w:t>].</w:t>
      </w:r>
      <w:r>
        <w:rPr>
          <w:rFonts w:ascii="Times New Roman" w:hAnsi="Times New Roman"/>
          <w:sz w:val="28"/>
          <w:szCs w:val="28"/>
          <w:lang w:val="uk-UA"/>
        </w:rPr>
        <w:t xml:space="preserve"> Звідси можна припустити, що фактори ризику розвитку ЗЗП, настільки характерні для дитячого віку або дорослих, в підлітковому віці можуть мати іншу рангову (за силою впливу) характеристику. Останнє потребує подальших наукових досліджень за визначенням рангових значень факторів ризику розвитку ЗЗП у підлітків.</w:t>
      </w:r>
    </w:p>
    <w:p w:rsidR="002416FA" w:rsidRPr="00734075" w:rsidRDefault="002416FA" w:rsidP="005C1EA2">
      <w:pPr>
        <w:spacing w:line="360" w:lineRule="auto"/>
        <w:ind w:firstLine="709"/>
        <w:jc w:val="both"/>
        <w:rPr>
          <w:rFonts w:ascii="Times New Roman" w:hAnsi="Times New Roman"/>
          <w:b/>
          <w:sz w:val="28"/>
          <w:szCs w:val="28"/>
          <w:lang w:val="uk-UA"/>
        </w:rPr>
      </w:pPr>
      <w:r w:rsidRPr="00734075">
        <w:rPr>
          <w:rFonts w:ascii="Times New Roman" w:hAnsi="Times New Roman"/>
          <w:b/>
          <w:sz w:val="28"/>
          <w:szCs w:val="28"/>
          <w:lang w:val="uk-UA"/>
        </w:rPr>
        <w:lastRenderedPageBreak/>
        <w:t>1.3. Вплив порушення менструальної функції на</w:t>
      </w:r>
      <w:r w:rsidR="00556A5D">
        <w:rPr>
          <w:rFonts w:ascii="Times New Roman" w:hAnsi="Times New Roman"/>
          <w:b/>
          <w:sz w:val="28"/>
          <w:szCs w:val="28"/>
          <w:lang w:val="uk-UA"/>
        </w:rPr>
        <w:t xml:space="preserve"> стан органів ротової порожнини</w:t>
      </w:r>
    </w:p>
    <w:p w:rsidR="002416FA" w:rsidRPr="008E6F6E" w:rsidRDefault="002416FA" w:rsidP="005C1EA2">
      <w:pPr>
        <w:spacing w:line="360" w:lineRule="auto"/>
        <w:ind w:firstLine="709"/>
        <w:jc w:val="both"/>
        <w:rPr>
          <w:rFonts w:ascii="Times New Roman" w:hAnsi="Times New Roman"/>
          <w:spacing w:val="-4"/>
          <w:sz w:val="28"/>
          <w:szCs w:val="28"/>
          <w:lang w:val="uk-UA"/>
        </w:rPr>
      </w:pPr>
      <w:r>
        <w:rPr>
          <w:rFonts w:ascii="Times New Roman" w:hAnsi="Times New Roman"/>
          <w:sz w:val="28"/>
          <w:szCs w:val="28"/>
          <w:lang w:val="uk-UA"/>
        </w:rPr>
        <w:t xml:space="preserve">На сьогоднішній день загальновідомим є факт взаємозв’язку стану </w:t>
      </w:r>
      <w:r w:rsidRPr="008E6F6E">
        <w:rPr>
          <w:rFonts w:ascii="Times New Roman" w:hAnsi="Times New Roman"/>
          <w:spacing w:val="-4"/>
          <w:sz w:val="28"/>
          <w:szCs w:val="28"/>
          <w:lang w:val="uk-UA"/>
        </w:rPr>
        <w:t>зубощелепної системи і гормонального фону жіночого ор</w:t>
      </w:r>
      <w:r w:rsidR="00D17744">
        <w:rPr>
          <w:rFonts w:ascii="Times New Roman" w:hAnsi="Times New Roman"/>
          <w:spacing w:val="-4"/>
          <w:sz w:val="28"/>
          <w:szCs w:val="28"/>
          <w:lang w:val="uk-UA"/>
        </w:rPr>
        <w:t>ганізму [3, 155, 156</w:t>
      </w:r>
      <w:r w:rsidRPr="008E6F6E">
        <w:rPr>
          <w:rFonts w:ascii="Times New Roman" w:hAnsi="Times New Roman"/>
          <w:spacing w:val="-4"/>
          <w:sz w:val="28"/>
          <w:szCs w:val="28"/>
          <w:lang w:val="uk-UA"/>
        </w:rPr>
        <w:t>].</w:t>
      </w:r>
    </w:p>
    <w:p w:rsidR="002416FA" w:rsidRPr="0030018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Доведено, що дефіцит естрогенів впливає як на стан твердих тканин зубів, так і на стан тканин </w:t>
      </w:r>
      <w:r w:rsidR="00D17744">
        <w:rPr>
          <w:rFonts w:ascii="Times New Roman" w:hAnsi="Times New Roman"/>
          <w:sz w:val="28"/>
          <w:szCs w:val="28"/>
          <w:lang w:val="uk-UA"/>
        </w:rPr>
        <w:t>пародонта [5, 33, 37</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sidRPr="0030018A">
        <w:rPr>
          <w:rFonts w:ascii="Times New Roman" w:hAnsi="Times New Roman"/>
          <w:sz w:val="28"/>
          <w:szCs w:val="28"/>
          <w:lang w:val="uk-UA"/>
        </w:rPr>
        <w:t>Встановлено, що у жінок на фоні вираженого</w:t>
      </w:r>
      <w:r>
        <w:rPr>
          <w:rFonts w:ascii="Times New Roman" w:hAnsi="Times New Roman"/>
          <w:sz w:val="28"/>
          <w:szCs w:val="28"/>
          <w:lang w:val="uk-UA"/>
        </w:rPr>
        <w:t xml:space="preserve"> дефіциту естрогенів виникає прогресивне збільшення значень пародонтальних індексів, погіршення гігієнічного стану </w:t>
      </w:r>
      <w:r w:rsidR="00713761">
        <w:rPr>
          <w:rFonts w:ascii="Times New Roman" w:hAnsi="Times New Roman"/>
          <w:sz w:val="28"/>
          <w:szCs w:val="28"/>
          <w:lang w:val="uk-UA"/>
        </w:rPr>
        <w:t>ПР</w:t>
      </w:r>
      <w:r>
        <w:rPr>
          <w:rFonts w:ascii="Times New Roman" w:hAnsi="Times New Roman"/>
          <w:sz w:val="28"/>
          <w:szCs w:val="28"/>
          <w:lang w:val="uk-UA"/>
        </w:rPr>
        <w:t xml:space="preserve">, зниження швидкості секреції слини, підвищення її в’язкості, а також дисбаланс мікробного пейзажу пародонтальних </w:t>
      </w:r>
      <w:r w:rsidR="00C93073">
        <w:rPr>
          <w:rFonts w:ascii="Times New Roman" w:hAnsi="Times New Roman"/>
          <w:sz w:val="28"/>
          <w:szCs w:val="28"/>
          <w:lang w:val="uk-UA"/>
        </w:rPr>
        <w:t>кишень</w:t>
      </w:r>
      <w:r w:rsidR="00D17744">
        <w:rPr>
          <w:rFonts w:ascii="Times New Roman" w:hAnsi="Times New Roman"/>
          <w:sz w:val="28"/>
          <w:szCs w:val="28"/>
          <w:lang w:val="uk-UA"/>
        </w:rPr>
        <w:t xml:space="preserve"> [155, 156</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w:t>
      </w:r>
      <w:r w:rsidRPr="0030018A">
        <w:rPr>
          <w:rFonts w:ascii="Times New Roman" w:hAnsi="Times New Roman"/>
          <w:sz w:val="28"/>
          <w:szCs w:val="28"/>
          <w:lang w:val="uk-UA"/>
        </w:rPr>
        <w:t>дослідження [5]</w:t>
      </w:r>
      <w:r>
        <w:rPr>
          <w:rFonts w:ascii="Times New Roman" w:hAnsi="Times New Roman"/>
          <w:sz w:val="28"/>
          <w:szCs w:val="28"/>
          <w:lang w:val="uk-UA"/>
        </w:rPr>
        <w:t xml:space="preserve"> показали, що дефіцит естрогенів у жінок  у віці від 45 до 50 років викликає погіршення стану зубів і пародонта, що викликає розвиток карієсу зубів і хронічного генералізованого пародонтиту.</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Встановлено, що гіпоестрогенемія безпосередньо впливає на пульпу зуба, на тканини пародонта, сприяє розвитку остеопорозу у всьому скелеті, в тому числі і в кістковій тканині щелеп. Естрогени впливають на клітинну проліферацію, диференціювання, кератинезацію ясенного епітелію. Коливання рівню статевих гормонів під час менопаузи виступає в якості факторів як запальних змін в яснах, так і факторами дистрофії, гіпертрофії і атрофії. У жінок з дефіцитом естрогенів запальні захворювання в тканинах пародонта нерідко розвиваються на фоні гіпосаливації з втратою рельєфу ясеневих сосочків, явищами атрофії ясен, оголення шиїк зубів і болісністю в області </w:t>
      </w:r>
      <w:r w:rsidR="00D17744">
        <w:rPr>
          <w:rFonts w:ascii="Times New Roman" w:hAnsi="Times New Roman"/>
          <w:sz w:val="28"/>
          <w:szCs w:val="28"/>
          <w:lang w:val="uk-UA"/>
        </w:rPr>
        <w:t>ясен [37</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Виявлено, що в основі розвитку і перебігу хронічного генералізованого пародонтиту в постменопаузальний період лежать особливості регуляторного впливу статевих гормонів, зокрема зниження експресії рецепторів естрогену в яснах, що позитивно корелює з тяжкістю захворювань пародонтитом (r=0,64). Крім того, ступінь зниження експресії рецепторів естрогенових гормонів виявила суттєвий зв'язок зі ступенем резорбції альвеолярного відростку нижньої щелепи й зниженн</w:t>
      </w:r>
      <w:r w:rsidRPr="00FC322C">
        <w:rPr>
          <w:rFonts w:ascii="Times New Roman" w:hAnsi="Times New Roman"/>
          <w:sz w:val="28"/>
          <w:szCs w:val="28"/>
          <w:lang w:val="uk-UA"/>
        </w:rPr>
        <w:t>ям</w:t>
      </w:r>
      <w:r>
        <w:rPr>
          <w:rFonts w:ascii="Times New Roman" w:hAnsi="Times New Roman"/>
          <w:sz w:val="28"/>
          <w:szCs w:val="28"/>
          <w:lang w:val="uk-UA"/>
        </w:rPr>
        <w:t xml:space="preserve"> мінеральної щільності кісткової </w:t>
      </w:r>
      <w:r w:rsidR="00D17744">
        <w:rPr>
          <w:rFonts w:ascii="Times New Roman" w:hAnsi="Times New Roman"/>
          <w:sz w:val="28"/>
          <w:szCs w:val="28"/>
          <w:lang w:val="uk-UA"/>
        </w:rPr>
        <w:t>тканини [65, 110</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Крім того, </w:t>
      </w:r>
      <w:r w:rsidRPr="00FC322C">
        <w:rPr>
          <w:rFonts w:ascii="Times New Roman" w:hAnsi="Times New Roman"/>
          <w:sz w:val="28"/>
          <w:szCs w:val="28"/>
          <w:lang w:val="uk-UA"/>
        </w:rPr>
        <w:t>є</w:t>
      </w:r>
      <w:r>
        <w:rPr>
          <w:rFonts w:ascii="Times New Roman" w:hAnsi="Times New Roman"/>
          <w:sz w:val="28"/>
          <w:szCs w:val="28"/>
          <w:lang w:val="uk-UA"/>
        </w:rPr>
        <w:t xml:space="preserve"> дослідження, що виявили залежність загострень хронічного генералізованого пародонтиту у жінок в лютеїновій фазі менструального циклу. Встановлено велику питому вагу загострень хронічного пародонтиту в пізній лютеїновій і фолікулінових  фазах менструального циклу. В механізмі загострень хронічного генералізованого  пародонтиту в пізній стадії лютеїнової фази провідну роль відіграє зміщення рН ротової рідини в лужний бік і зміна деяких показників загального і місцевого </w:t>
      </w:r>
      <w:r w:rsidR="00D17744">
        <w:rPr>
          <w:rFonts w:ascii="Times New Roman" w:hAnsi="Times New Roman"/>
          <w:sz w:val="28"/>
          <w:szCs w:val="28"/>
          <w:lang w:val="uk-UA"/>
        </w:rPr>
        <w:t>імунітету [3, 98, 99</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підлітків 13-15 років встановлено значимі кореляційні взаємозв’язки між перебігом хронічного гіпертрофічного гінгівіту і рівнем лютеїнізуючого і фолікулостимулюючого </w:t>
      </w:r>
      <w:r w:rsidRPr="0030018A">
        <w:rPr>
          <w:rFonts w:ascii="Times New Roman" w:hAnsi="Times New Roman"/>
          <w:sz w:val="28"/>
          <w:szCs w:val="28"/>
          <w:lang w:val="uk-UA"/>
        </w:rPr>
        <w:t>гормонів [9</w:t>
      </w:r>
      <w:r w:rsidR="00D17744">
        <w:rPr>
          <w:rFonts w:ascii="Times New Roman" w:hAnsi="Times New Roman"/>
          <w:sz w:val="28"/>
          <w:szCs w:val="28"/>
          <w:lang w:val="uk-UA"/>
        </w:rPr>
        <w:t>3</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іншого боку, зміни гормонального фону є важливим фактором виникнення порушень менструальної функції у дівчат-</w:t>
      </w:r>
      <w:r w:rsidRPr="0030018A">
        <w:rPr>
          <w:rFonts w:ascii="Times New Roman" w:hAnsi="Times New Roman"/>
          <w:sz w:val="28"/>
          <w:szCs w:val="28"/>
          <w:lang w:val="uk-UA"/>
        </w:rPr>
        <w:t>підлітків [8</w:t>
      </w:r>
      <w:r w:rsidR="00D17744">
        <w:rPr>
          <w:rFonts w:ascii="Times New Roman" w:hAnsi="Times New Roman"/>
          <w:sz w:val="28"/>
          <w:szCs w:val="28"/>
          <w:lang w:val="uk-UA"/>
        </w:rPr>
        <w:t>3</w:t>
      </w:r>
      <w:r w:rsidRPr="0030018A">
        <w:rPr>
          <w:rFonts w:ascii="Times New Roman" w:hAnsi="Times New Roman"/>
          <w:sz w:val="28"/>
          <w:szCs w:val="28"/>
          <w:lang w:val="uk-UA"/>
        </w:rPr>
        <w:t>]. Так</w:t>
      </w:r>
      <w:r>
        <w:rPr>
          <w:rFonts w:ascii="Times New Roman" w:hAnsi="Times New Roman"/>
          <w:sz w:val="28"/>
          <w:szCs w:val="28"/>
          <w:lang w:val="uk-UA"/>
        </w:rPr>
        <w:t xml:space="preserve">, при усіх варіантах дисрегуляції пролактину характерні різноманітні порушення менструальної </w:t>
      </w:r>
      <w:r w:rsidR="00D17744">
        <w:rPr>
          <w:rFonts w:ascii="Times New Roman" w:hAnsi="Times New Roman"/>
          <w:sz w:val="28"/>
          <w:szCs w:val="28"/>
          <w:lang w:val="uk-UA"/>
        </w:rPr>
        <w:t>функції [32</w:t>
      </w:r>
      <w:r w:rsidRPr="0030018A">
        <w:rPr>
          <w:rFonts w:ascii="Times New Roman" w:hAnsi="Times New Roman"/>
          <w:sz w:val="28"/>
          <w:szCs w:val="28"/>
          <w:lang w:val="uk-UA"/>
        </w:rPr>
        <w:t>].</w:t>
      </w:r>
      <w:r>
        <w:rPr>
          <w:rFonts w:ascii="Times New Roman" w:hAnsi="Times New Roman"/>
          <w:sz w:val="28"/>
          <w:szCs w:val="28"/>
          <w:lang w:val="uk-UA"/>
        </w:rPr>
        <w:t xml:space="preserve"> </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формуванні вторинної аменореї у дівчат-підлітків важлива роль належить гіперандрогенії </w:t>
      </w:r>
      <w:r w:rsidR="00D17744">
        <w:rPr>
          <w:rFonts w:ascii="Times New Roman" w:hAnsi="Times New Roman"/>
          <w:sz w:val="28"/>
          <w:szCs w:val="28"/>
          <w:lang w:val="uk-UA"/>
        </w:rPr>
        <w:t>[136</w:t>
      </w:r>
      <w:r w:rsidRPr="0030018A">
        <w:rPr>
          <w:rFonts w:ascii="Times New Roman" w:hAnsi="Times New Roman"/>
          <w:sz w:val="28"/>
          <w:szCs w:val="28"/>
          <w:lang w:val="uk-UA"/>
        </w:rPr>
        <w:t>].</w:t>
      </w:r>
      <w:r>
        <w:rPr>
          <w:rFonts w:ascii="Times New Roman" w:hAnsi="Times New Roman"/>
          <w:sz w:val="28"/>
          <w:szCs w:val="28"/>
          <w:lang w:val="uk-UA"/>
        </w:rPr>
        <w:t xml:space="preserve"> При первинній олігоменореї у дівчат-підлітків однією з причин її виникнення може слугувати </w:t>
      </w:r>
      <w:r w:rsidR="00D17744">
        <w:rPr>
          <w:rFonts w:ascii="Times New Roman" w:hAnsi="Times New Roman"/>
          <w:sz w:val="28"/>
          <w:szCs w:val="28"/>
          <w:lang w:val="uk-UA"/>
        </w:rPr>
        <w:t>гіпертестостеронемія [137</w:t>
      </w:r>
      <w:r w:rsidRPr="0030018A">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дані літератури вказують, що гормональний статус статевих гормонів виступає важливим патогенетичним фактором, що формує як розвиток і характер перебігу запальних захворювань пародонта у жінок і підлітків, так і порушення менструальної функції у дівчат-підлітків. Звідси можна припустити, що порушення менструальної функції у дівчат-підлітків здібне потенціювати дію інших факторів ризику розвитку і перебігу ЗЗП. Даних в цьому напрямку в доступній літературі </w:t>
      </w:r>
      <w:r w:rsidRPr="00FC322C">
        <w:rPr>
          <w:rFonts w:ascii="Times New Roman" w:hAnsi="Times New Roman"/>
          <w:sz w:val="28"/>
          <w:szCs w:val="28"/>
          <w:lang w:val="uk-UA"/>
        </w:rPr>
        <w:t>не знайдено,</w:t>
      </w:r>
      <w:r>
        <w:rPr>
          <w:rFonts w:ascii="Times New Roman" w:hAnsi="Times New Roman"/>
          <w:sz w:val="28"/>
          <w:szCs w:val="28"/>
          <w:lang w:val="uk-UA"/>
        </w:rPr>
        <w:t xml:space="preserve"> що робить дану проблему надзвичайно актуальною і потребує </w:t>
      </w:r>
      <w:r w:rsidRPr="00FC322C">
        <w:rPr>
          <w:rFonts w:ascii="Times New Roman" w:hAnsi="Times New Roman"/>
          <w:sz w:val="28"/>
          <w:szCs w:val="28"/>
          <w:lang w:val="uk-UA"/>
        </w:rPr>
        <w:t>проведення</w:t>
      </w:r>
      <w:r>
        <w:rPr>
          <w:rFonts w:ascii="Times New Roman" w:hAnsi="Times New Roman"/>
          <w:sz w:val="28"/>
          <w:szCs w:val="28"/>
          <w:lang w:val="uk-UA"/>
        </w:rPr>
        <w:t xml:space="preserve"> наукових досліджень для її вирішення.   </w:t>
      </w:r>
    </w:p>
    <w:p w:rsidR="002416FA" w:rsidRPr="008E6F6E" w:rsidRDefault="002416FA" w:rsidP="005C1EA2">
      <w:pPr>
        <w:spacing w:line="360" w:lineRule="auto"/>
        <w:ind w:firstLine="709"/>
        <w:jc w:val="both"/>
        <w:rPr>
          <w:rFonts w:ascii="Times New Roman" w:hAnsi="Times New Roman"/>
          <w:b/>
          <w:sz w:val="28"/>
          <w:szCs w:val="28"/>
          <w:lang w:val="uk-UA"/>
        </w:rPr>
      </w:pPr>
      <w:r w:rsidRPr="008E6F6E">
        <w:rPr>
          <w:rFonts w:ascii="Times New Roman" w:hAnsi="Times New Roman"/>
          <w:b/>
          <w:sz w:val="28"/>
          <w:szCs w:val="28"/>
          <w:lang w:val="uk-UA"/>
        </w:rPr>
        <w:t>1.4. Основи первинної профілактики захворювань пародонта</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Профілактичний напрямок вітчизняної медицини, в тому числі і стоматології, є пріоритетним </w:t>
      </w:r>
      <w:r w:rsidR="00D17744">
        <w:rPr>
          <w:rFonts w:ascii="Times New Roman" w:hAnsi="Times New Roman"/>
          <w:sz w:val="28"/>
          <w:szCs w:val="28"/>
          <w:lang w:val="uk-UA"/>
        </w:rPr>
        <w:t>[41, 134</w:t>
      </w:r>
      <w:r w:rsidRPr="00C24B3B">
        <w:rPr>
          <w:rFonts w:ascii="Times New Roman" w:hAnsi="Times New Roman"/>
          <w:sz w:val="28"/>
          <w:szCs w:val="28"/>
          <w:lang w:val="uk-UA"/>
        </w:rPr>
        <w:t>].</w:t>
      </w:r>
      <w:r>
        <w:rPr>
          <w:rFonts w:ascii="Times New Roman" w:hAnsi="Times New Roman"/>
          <w:sz w:val="28"/>
          <w:szCs w:val="28"/>
          <w:lang w:val="uk-UA"/>
        </w:rPr>
        <w:t xml:space="preserve"> Вартість профілактичних методів в середньому в 20 разів нижча вартості лікування стоматологічних захворювань, що вже </w:t>
      </w:r>
      <w:r w:rsidR="00D17744">
        <w:rPr>
          <w:rFonts w:ascii="Times New Roman" w:hAnsi="Times New Roman"/>
          <w:sz w:val="28"/>
          <w:szCs w:val="28"/>
          <w:lang w:val="uk-UA"/>
        </w:rPr>
        <w:t>виникли [1, 106, 138</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Під первинною профілактикою розуміється система заходів, напрямлених на попередження розвитку патології шляхом усунення факторів ризику і підвищення рівня здоров’я </w:t>
      </w:r>
      <w:r w:rsidR="00D17744">
        <w:rPr>
          <w:rFonts w:ascii="Times New Roman" w:hAnsi="Times New Roman"/>
          <w:sz w:val="28"/>
          <w:szCs w:val="28"/>
          <w:lang w:val="uk-UA"/>
        </w:rPr>
        <w:t>пацієнтів [38</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Первинна профілактика захворювань пародонта </w:t>
      </w:r>
      <w:r w:rsidRPr="00FC322C">
        <w:rPr>
          <w:rFonts w:ascii="Times New Roman" w:hAnsi="Times New Roman"/>
          <w:sz w:val="28"/>
          <w:szCs w:val="28"/>
          <w:lang w:val="uk-UA"/>
        </w:rPr>
        <w:t>передбачає</w:t>
      </w:r>
      <w:r>
        <w:rPr>
          <w:rFonts w:ascii="Times New Roman" w:hAnsi="Times New Roman"/>
          <w:sz w:val="28"/>
          <w:szCs w:val="28"/>
          <w:lang w:val="uk-UA"/>
        </w:rPr>
        <w:t xml:space="preserve"> раціональне вигодовування дитини і її подальше харчування, тренування жувального апарату з метою нормального формування пародонта (компенсація недостатнього жувального навантаження), навчання основам правил і методів індивідуальної гігієни </w:t>
      </w:r>
      <w:r w:rsidR="00713761">
        <w:rPr>
          <w:rFonts w:ascii="Times New Roman" w:hAnsi="Times New Roman"/>
          <w:sz w:val="28"/>
          <w:szCs w:val="28"/>
          <w:lang w:val="uk-UA"/>
        </w:rPr>
        <w:t>ПР</w:t>
      </w:r>
      <w:r>
        <w:rPr>
          <w:rFonts w:ascii="Times New Roman" w:hAnsi="Times New Roman"/>
          <w:sz w:val="28"/>
          <w:szCs w:val="28"/>
          <w:lang w:val="uk-UA"/>
        </w:rPr>
        <w:t xml:space="preserve">, підтримка порожнини рота в санованому стані, за показаннями сучасне ортодонтичне лікування з застосуванням багатофункціональної терапії, усунення аномалій прикріплення </w:t>
      </w:r>
      <w:r w:rsidRPr="00FC322C">
        <w:rPr>
          <w:rFonts w:ascii="Times New Roman" w:hAnsi="Times New Roman"/>
          <w:sz w:val="28"/>
          <w:szCs w:val="28"/>
          <w:lang w:val="uk-UA"/>
        </w:rPr>
        <w:t xml:space="preserve">м᾿яких тканин </w:t>
      </w:r>
      <w:r w:rsidR="00713761">
        <w:rPr>
          <w:rFonts w:ascii="Times New Roman" w:hAnsi="Times New Roman"/>
          <w:sz w:val="28"/>
          <w:szCs w:val="28"/>
          <w:lang w:val="uk-UA"/>
        </w:rPr>
        <w:t>ПР</w:t>
      </w:r>
      <w:r>
        <w:rPr>
          <w:rFonts w:ascii="Times New Roman" w:hAnsi="Times New Roman"/>
          <w:sz w:val="28"/>
          <w:szCs w:val="28"/>
          <w:lang w:val="uk-UA"/>
        </w:rPr>
        <w:t xml:space="preserve"> (вуздечок губ, язика), корекцію дрібного присінку порожнини рота, вибіркове пришліфовування зубів )з метою лікв</w:t>
      </w:r>
      <w:r w:rsidR="00D17744">
        <w:rPr>
          <w:rFonts w:ascii="Times New Roman" w:hAnsi="Times New Roman"/>
          <w:sz w:val="28"/>
          <w:szCs w:val="28"/>
          <w:lang w:val="uk-UA"/>
        </w:rPr>
        <w:t>ідації травматичної оклюзії) [38, 71, 128, 138</w:t>
      </w:r>
      <w:r>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 основних заходів профілактики захворювань пародонта відносять </w:t>
      </w:r>
      <w:r w:rsidR="00D17744">
        <w:rPr>
          <w:rFonts w:ascii="Times New Roman" w:hAnsi="Times New Roman"/>
          <w:sz w:val="28"/>
          <w:szCs w:val="28"/>
          <w:lang w:val="uk-UA"/>
        </w:rPr>
        <w:t>[128, 138</w:t>
      </w:r>
      <w:r w:rsidRPr="00C24B3B">
        <w:rPr>
          <w:rFonts w:ascii="Times New Roman" w:hAnsi="Times New Roman"/>
          <w:sz w:val="28"/>
          <w:szCs w:val="28"/>
          <w:lang w:val="uk-UA"/>
        </w:rPr>
        <w:t>]:</w:t>
      </w:r>
      <w:r>
        <w:rPr>
          <w:rFonts w:ascii="Times New Roman" w:hAnsi="Times New Roman"/>
          <w:sz w:val="28"/>
          <w:szCs w:val="28"/>
          <w:lang w:val="uk-UA"/>
        </w:rPr>
        <w:t xml:space="preserve"> усунення патогенної і умовно-патогенної мікрофлори; боротьбу з процесами бляшкоутворення; усунення дисбактеріозу </w:t>
      </w:r>
      <w:r w:rsidR="00713761">
        <w:rPr>
          <w:rFonts w:ascii="Times New Roman" w:hAnsi="Times New Roman"/>
          <w:sz w:val="28"/>
          <w:szCs w:val="28"/>
          <w:lang w:val="uk-UA"/>
        </w:rPr>
        <w:t>ПР</w:t>
      </w:r>
      <w:r>
        <w:rPr>
          <w:rFonts w:ascii="Times New Roman" w:hAnsi="Times New Roman"/>
          <w:sz w:val="28"/>
          <w:szCs w:val="28"/>
          <w:lang w:val="uk-UA"/>
        </w:rPr>
        <w:t xml:space="preserve">; ретельну  і регулярну індивідуальну гігієну порожнини рота; санацію шлунково-кишкового тракту; усунення факторів, що перешкоджають нормальній роботі слинних залоз і виконанню слиною її функції; боротьбу зі шкідливими звичками, палінням, вживанням алкоголю, надлишковою масою тіла; відновлення мінерального балансу і сольового обміну в цілому; усунення місцевих травмуючи факторів; ліквідацію аномалій прикріплення тяжів і вуздечок шляхом хірургічного втручання; укріплення й підтримку загального імунітету шляхом загартовування організму й здорового способу життя; відновлення місцевого імунітету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за рахунок усунення причин, що викликають порушення його функції; поповнення нестачі вітамінів, мікро- і мікроелементів за рахунок додаткового введення їх в організм; правильне поєднання продуктів харчування, що призводить до їх правильного засвоєння  і поповнення нестачі живильних компонентів; повне виключення цукрів з проміжних перекусів і зниження їх кількості під час основних прийомів їжі.</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Враховуючи, що підлітковому віку передує дитячий вік, важливий акцент в первинній профілактиці ЗЗП надається навчанню й корекції мануальних навичок гігієни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у батьків і дітей, підбору індивідуальних засобів гігієни </w:t>
      </w:r>
      <w:r w:rsidR="00713761">
        <w:rPr>
          <w:rFonts w:ascii="Times New Roman" w:hAnsi="Times New Roman"/>
          <w:sz w:val="28"/>
          <w:szCs w:val="28"/>
          <w:lang w:val="uk-UA"/>
        </w:rPr>
        <w:t>ПР</w:t>
      </w:r>
      <w:r>
        <w:rPr>
          <w:rFonts w:ascii="Times New Roman" w:hAnsi="Times New Roman"/>
          <w:sz w:val="28"/>
          <w:szCs w:val="28"/>
          <w:lang w:val="uk-UA"/>
        </w:rPr>
        <w:t xml:space="preserve">, організації контролю за набутими навичками з </w:t>
      </w:r>
      <w:r w:rsidRPr="00FC322C">
        <w:rPr>
          <w:rFonts w:ascii="Times New Roman" w:hAnsi="Times New Roman"/>
          <w:sz w:val="28"/>
          <w:szCs w:val="28"/>
          <w:lang w:val="uk-UA"/>
        </w:rPr>
        <w:t>боку</w:t>
      </w:r>
      <w:r>
        <w:rPr>
          <w:rFonts w:ascii="Times New Roman" w:hAnsi="Times New Roman"/>
          <w:sz w:val="28"/>
          <w:szCs w:val="28"/>
          <w:lang w:val="uk-UA"/>
        </w:rPr>
        <w:t xml:space="preserve"> стоматолога й батьків в боротьбі зі шкідливими звичками </w:t>
      </w:r>
      <w:r w:rsidR="00D17744">
        <w:rPr>
          <w:rFonts w:ascii="Times New Roman" w:hAnsi="Times New Roman"/>
          <w:sz w:val="28"/>
          <w:szCs w:val="28"/>
          <w:lang w:val="uk-UA"/>
        </w:rPr>
        <w:t>[38</w:t>
      </w:r>
      <w:r w:rsidRPr="00C24B3B">
        <w:rPr>
          <w:rFonts w:ascii="Times New Roman" w:hAnsi="Times New Roman"/>
          <w:sz w:val="28"/>
          <w:szCs w:val="28"/>
          <w:lang w:val="uk-UA"/>
        </w:rPr>
        <w:t>].</w:t>
      </w:r>
      <w:r>
        <w:rPr>
          <w:rFonts w:ascii="Times New Roman" w:hAnsi="Times New Roman"/>
          <w:sz w:val="28"/>
          <w:szCs w:val="28"/>
          <w:lang w:val="uk-UA"/>
        </w:rPr>
        <w:t xml:space="preserve"> Професійне чищення зубів і гарна гігієна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можуть суттєво скоротити патологічні зміни аж до їх повного зникнення, тому дитячий лікар-стоматолог відіграє важливу роль в навчанні дитини правильним маніпуляціям під час чищення зубів, підборі індивідуальних заходів гігієни </w:t>
      </w:r>
      <w:r w:rsidR="00713761">
        <w:rPr>
          <w:rFonts w:ascii="Times New Roman" w:hAnsi="Times New Roman"/>
          <w:sz w:val="28"/>
          <w:szCs w:val="28"/>
          <w:lang w:val="uk-UA"/>
        </w:rPr>
        <w:t>ПР</w:t>
      </w:r>
      <w:r>
        <w:rPr>
          <w:rFonts w:ascii="Times New Roman" w:hAnsi="Times New Roman"/>
          <w:sz w:val="28"/>
          <w:szCs w:val="28"/>
          <w:lang w:val="uk-UA"/>
        </w:rPr>
        <w:t xml:space="preserve">, контролі рівня отриманих знань і ступеня їх застосування на </w:t>
      </w:r>
      <w:r w:rsidRPr="00C24B3B">
        <w:rPr>
          <w:rFonts w:ascii="Times New Roman" w:hAnsi="Times New Roman"/>
          <w:sz w:val="28"/>
          <w:szCs w:val="28"/>
          <w:lang w:val="uk-UA"/>
        </w:rPr>
        <w:t>практ</w:t>
      </w:r>
      <w:r w:rsidR="00D17744">
        <w:rPr>
          <w:rFonts w:ascii="Times New Roman" w:hAnsi="Times New Roman"/>
          <w:sz w:val="28"/>
          <w:szCs w:val="28"/>
          <w:lang w:val="uk-UA"/>
        </w:rPr>
        <w:t>иці [205, 208</w:t>
      </w:r>
      <w:r w:rsidRPr="00C24B3B">
        <w:rPr>
          <w:rFonts w:ascii="Times New Roman" w:hAnsi="Times New Roman"/>
          <w:sz w:val="28"/>
          <w:szCs w:val="28"/>
          <w:lang w:val="uk-UA"/>
        </w:rPr>
        <w:t>]. Для кращого сприйняття інформації навчання повинно проводитися доступною</w:t>
      </w:r>
      <w:r>
        <w:rPr>
          <w:rFonts w:ascii="Times New Roman" w:hAnsi="Times New Roman"/>
          <w:sz w:val="28"/>
          <w:szCs w:val="28"/>
          <w:lang w:val="uk-UA"/>
        </w:rPr>
        <w:t xml:space="preserve"> мовою </w:t>
      </w:r>
      <w:r w:rsidR="00D17744">
        <w:rPr>
          <w:rFonts w:ascii="Times New Roman" w:hAnsi="Times New Roman"/>
          <w:sz w:val="28"/>
          <w:szCs w:val="28"/>
          <w:lang w:val="uk-UA"/>
        </w:rPr>
        <w:t>[10, 74, 127</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Мотивація є наріжним каменем у формуванні індивідуального відношення підлітків до здоров’я </w:t>
      </w:r>
      <w:r w:rsidR="00713761">
        <w:rPr>
          <w:rFonts w:ascii="Times New Roman" w:hAnsi="Times New Roman"/>
          <w:sz w:val="28"/>
          <w:szCs w:val="28"/>
          <w:lang w:val="uk-UA"/>
        </w:rPr>
        <w:t>ПР</w:t>
      </w:r>
      <w:r>
        <w:rPr>
          <w:rFonts w:ascii="Times New Roman" w:hAnsi="Times New Roman"/>
          <w:sz w:val="28"/>
          <w:szCs w:val="28"/>
          <w:lang w:val="uk-UA"/>
        </w:rPr>
        <w:t xml:space="preserve">. Від якості мотивації залежить ступінь засвоєння  і застосування інформації, отриманої від лікаря-стоматолога, рівень подальших взаємовідносин стоматолог-пацієнт, так званий комплекс. В цьому плані лікарю-стоматологу необхідно відноситися з повагою до пацієнта. Це сприяє налагодженню довірчих відносин між лікарем і пацієнтом, що важливо для усвідомлення отриманої інформації і подальшого </w:t>
      </w:r>
      <w:r w:rsidR="00D17744">
        <w:rPr>
          <w:rFonts w:ascii="Times New Roman" w:hAnsi="Times New Roman"/>
          <w:sz w:val="28"/>
          <w:szCs w:val="28"/>
          <w:lang w:val="uk-UA"/>
        </w:rPr>
        <w:t>співробітництва [19, 23, 89, 95</w:t>
      </w:r>
      <w:r w:rsidRPr="00C24B3B">
        <w:rPr>
          <w:rFonts w:ascii="Times New Roman" w:hAnsi="Times New Roman"/>
          <w:sz w:val="28"/>
          <w:szCs w:val="28"/>
          <w:lang w:val="uk-UA"/>
        </w:rPr>
        <w:t>].</w:t>
      </w:r>
    </w:p>
    <w:p w:rsidR="002416FA" w:rsidRPr="00181B3D" w:rsidRDefault="002416FA" w:rsidP="005C1EA2">
      <w:pPr>
        <w:spacing w:line="360" w:lineRule="auto"/>
        <w:ind w:firstLine="709"/>
        <w:jc w:val="both"/>
        <w:rPr>
          <w:rFonts w:ascii="Times New Roman" w:hAnsi="Times New Roman"/>
          <w:spacing w:val="-4"/>
          <w:sz w:val="28"/>
          <w:szCs w:val="28"/>
          <w:lang w:val="uk-UA"/>
        </w:rPr>
      </w:pPr>
      <w:r>
        <w:rPr>
          <w:rFonts w:ascii="Times New Roman" w:hAnsi="Times New Roman"/>
          <w:sz w:val="28"/>
          <w:szCs w:val="28"/>
          <w:lang w:val="uk-UA"/>
        </w:rPr>
        <w:t xml:space="preserve"> Окрім навчання і мотивації, важливе значення набуває контроль за рівнем знань, кратністю і якістю чищення зубів. Для цього рекомендується використовування барвників на основі йоду або еритрозину. Це наглядно </w:t>
      </w:r>
      <w:r w:rsidRPr="00181B3D">
        <w:rPr>
          <w:rFonts w:ascii="Times New Roman" w:hAnsi="Times New Roman"/>
          <w:spacing w:val="-4"/>
          <w:sz w:val="28"/>
          <w:szCs w:val="28"/>
          <w:lang w:val="uk-UA"/>
        </w:rPr>
        <w:t>для батьків і підлітків, так як дозволяє лег</w:t>
      </w:r>
      <w:r w:rsidR="00D17744">
        <w:rPr>
          <w:rFonts w:ascii="Times New Roman" w:hAnsi="Times New Roman"/>
          <w:spacing w:val="-4"/>
          <w:sz w:val="28"/>
          <w:szCs w:val="28"/>
          <w:lang w:val="uk-UA"/>
        </w:rPr>
        <w:t>ко побачити залишений наліт [150</w:t>
      </w:r>
      <w:r w:rsidRPr="00181B3D">
        <w:rPr>
          <w:rFonts w:ascii="Times New Roman" w:hAnsi="Times New Roman"/>
          <w:spacing w:val="-4"/>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Враховуючи, що у лікаря немає можливості в повній мірі проконтролювати і закріпити отримані пацієнтом знання і навички, до навчання необхідно долучати батьків і </w:t>
      </w:r>
      <w:r w:rsidR="00D17744">
        <w:rPr>
          <w:rFonts w:ascii="Times New Roman" w:hAnsi="Times New Roman"/>
          <w:sz w:val="28"/>
          <w:szCs w:val="28"/>
          <w:lang w:val="uk-UA"/>
        </w:rPr>
        <w:t>прабатьків [38</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Враховуючи широту задач, які стоять перед клініцистом в плані просвітницької діяльності, яка зачіпає не тільки стоматологічні проблеми, але і питання, що стосуються шкідливих звичок і способу життя пацієнта, а також обмежений час прийому лікаря, вирішити цю проблему, з нашої точки зору, може організація постійно діючої школи медичних знань. Основою для такої точки зору </w:t>
      </w:r>
      <w:r>
        <w:rPr>
          <w:rFonts w:ascii="Times New Roman" w:hAnsi="Times New Roman"/>
          <w:sz w:val="28"/>
          <w:szCs w:val="28"/>
          <w:lang w:val="uk-UA"/>
        </w:rPr>
        <w:lastRenderedPageBreak/>
        <w:t xml:space="preserve">є дослідження </w:t>
      </w:r>
      <w:r w:rsidR="00D17744">
        <w:rPr>
          <w:rFonts w:ascii="Times New Roman" w:hAnsi="Times New Roman"/>
          <w:sz w:val="28"/>
          <w:szCs w:val="28"/>
          <w:lang w:val="uk-UA"/>
        </w:rPr>
        <w:t>[59</w:t>
      </w:r>
      <w:r w:rsidRPr="00C24B3B">
        <w:rPr>
          <w:rFonts w:ascii="Times New Roman" w:hAnsi="Times New Roman"/>
          <w:sz w:val="28"/>
          <w:szCs w:val="28"/>
          <w:lang w:val="uk-UA"/>
        </w:rPr>
        <w:t>], в якому</w:t>
      </w:r>
      <w:r>
        <w:rPr>
          <w:rFonts w:ascii="Times New Roman" w:hAnsi="Times New Roman"/>
          <w:sz w:val="28"/>
          <w:szCs w:val="28"/>
          <w:lang w:val="uk-UA"/>
        </w:rPr>
        <w:t xml:space="preserve"> вивчена ефективність організації і проведення школи медичних знань для батьків і прабатьків дітей, хворих на бронхіальну астму. Аналіз диспансерної діяльності такої школи показав, що серед хворих з короткою (&lt;2-х місяців) ремісією захворювання 87% склали діти, чиї батьки не відвідували школу, і тільки 13% склали діти батьків, що відвідували школу (р&lt;0,001).</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проведенні індивідуальної гігієни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важливу роль відіграє вибір зубної пасти. Рекомендації щодо її вибору залежать як від стану </w:t>
      </w:r>
      <w:r w:rsidR="00713761">
        <w:rPr>
          <w:rFonts w:ascii="Times New Roman" w:hAnsi="Times New Roman"/>
          <w:sz w:val="28"/>
          <w:szCs w:val="28"/>
          <w:lang w:val="uk-UA"/>
        </w:rPr>
        <w:t>ПР</w:t>
      </w:r>
      <w:r>
        <w:rPr>
          <w:rFonts w:ascii="Times New Roman" w:hAnsi="Times New Roman"/>
          <w:sz w:val="28"/>
          <w:szCs w:val="28"/>
          <w:lang w:val="uk-UA"/>
        </w:rPr>
        <w:t xml:space="preserve">, виду патології, стадії процесу, так і від складу гігієнічного </w:t>
      </w:r>
      <w:r w:rsidR="00D17744">
        <w:rPr>
          <w:rFonts w:ascii="Times New Roman" w:hAnsi="Times New Roman"/>
          <w:sz w:val="28"/>
          <w:szCs w:val="28"/>
          <w:lang w:val="uk-UA"/>
        </w:rPr>
        <w:t>засобу [151</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Зубна паста – найбільш розповсюджений гігієнічний засіб з широкою різноманітністю компонентів. Випускається великий асортимент зубних паст, згрупованих за функціональним і віковим </w:t>
      </w:r>
      <w:r w:rsidR="00D17744">
        <w:rPr>
          <w:rFonts w:ascii="Times New Roman" w:hAnsi="Times New Roman"/>
          <w:sz w:val="28"/>
          <w:szCs w:val="28"/>
          <w:lang w:val="uk-UA"/>
        </w:rPr>
        <w:t>призначенням [75, 113, 131, 139, 138, 151</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здорових зубів і пародонта с метою профілактики можна використовувати зубні пасти, що містять препарати із природної сировини на основі лікарняних рослин (звіробій, ромашка, календула, гвоздика, евкаліпт, деревій, ялівець, м’ята, шавлія та ін</w:t>
      </w:r>
      <w:r w:rsidR="00D17744">
        <w:rPr>
          <w:rFonts w:ascii="Times New Roman" w:hAnsi="Times New Roman"/>
          <w:sz w:val="28"/>
          <w:szCs w:val="28"/>
          <w:lang w:val="uk-UA"/>
        </w:rPr>
        <w:t>.) [139</w:t>
      </w:r>
      <w:r w:rsidRPr="00C24B3B">
        <w:rPr>
          <w:rFonts w:ascii="Times New Roman" w:hAnsi="Times New Roman"/>
          <w:sz w:val="28"/>
          <w:szCs w:val="28"/>
          <w:lang w:val="uk-UA"/>
        </w:rPr>
        <w:t>].</w:t>
      </w:r>
    </w:p>
    <w:p w:rsidR="002416FA" w:rsidRPr="00C24B3B"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 числа зубних паст з фіто додатками відносяться </w:t>
      </w:r>
      <w:r w:rsidRPr="00F352B7">
        <w:rPr>
          <w:rFonts w:ascii="Times New Roman" w:hAnsi="Times New Roman"/>
          <w:sz w:val="28"/>
          <w:szCs w:val="28"/>
          <w:lang w:val="uk-UA"/>
        </w:rPr>
        <w:t>“</w:t>
      </w:r>
      <w:r>
        <w:rPr>
          <w:rFonts w:ascii="Times New Roman" w:hAnsi="Times New Roman"/>
          <w:sz w:val="28"/>
          <w:szCs w:val="28"/>
        </w:rPr>
        <w:t>Lacalut</w:t>
      </w:r>
      <w:r w:rsidRPr="00F352B7">
        <w:rPr>
          <w:rFonts w:ascii="Times New Roman" w:hAnsi="Times New Roman"/>
          <w:sz w:val="28"/>
          <w:szCs w:val="28"/>
          <w:lang w:val="uk-UA"/>
        </w:rPr>
        <w:t xml:space="preserve"> </w:t>
      </w:r>
      <w:r>
        <w:rPr>
          <w:rFonts w:ascii="Times New Roman" w:hAnsi="Times New Roman"/>
          <w:sz w:val="28"/>
          <w:szCs w:val="28"/>
        </w:rPr>
        <w:t>Fitoformula</w:t>
      </w:r>
      <w:r w:rsidRPr="00F352B7">
        <w:rPr>
          <w:rFonts w:ascii="Times New Roman" w:hAnsi="Times New Roman"/>
          <w:sz w:val="28"/>
          <w:szCs w:val="28"/>
          <w:lang w:val="uk-UA"/>
        </w:rPr>
        <w:t>”, “</w:t>
      </w:r>
      <w:r>
        <w:rPr>
          <w:rFonts w:ascii="Times New Roman" w:hAnsi="Times New Roman"/>
          <w:sz w:val="28"/>
          <w:szCs w:val="28"/>
        </w:rPr>
        <w:t>President</w:t>
      </w:r>
      <w:r w:rsidRPr="00F352B7">
        <w:rPr>
          <w:rFonts w:ascii="Times New Roman" w:hAnsi="Times New Roman"/>
          <w:sz w:val="28"/>
          <w:szCs w:val="28"/>
          <w:lang w:val="uk-UA"/>
        </w:rPr>
        <w:t xml:space="preserve"> </w:t>
      </w:r>
      <w:r>
        <w:rPr>
          <w:rFonts w:ascii="Times New Roman" w:hAnsi="Times New Roman"/>
          <w:sz w:val="28"/>
          <w:szCs w:val="28"/>
        </w:rPr>
        <w:t>classic</w:t>
      </w:r>
      <w:r w:rsidRPr="00F352B7">
        <w:rPr>
          <w:rFonts w:ascii="Times New Roman" w:hAnsi="Times New Roman"/>
          <w:sz w:val="28"/>
          <w:szCs w:val="28"/>
          <w:lang w:val="uk-UA"/>
        </w:rPr>
        <w:t xml:space="preserve">”, </w:t>
      </w:r>
      <w:r>
        <w:rPr>
          <w:rFonts w:ascii="Times New Roman" w:hAnsi="Times New Roman"/>
          <w:sz w:val="28"/>
          <w:szCs w:val="28"/>
          <w:lang w:val="uk-UA"/>
        </w:rPr>
        <w:t>«Колгейт лікувальні трави», «Пародонтол», з лікарняними травами – «Лісний бальзам», «Новий жемчуг сім трав», «Пародонтакс», «СПЛАТ лікувальні трави», «Асепта» та ін</w:t>
      </w:r>
      <w:r w:rsidR="00D17744">
        <w:rPr>
          <w:rFonts w:ascii="Times New Roman" w:hAnsi="Times New Roman"/>
          <w:sz w:val="28"/>
          <w:szCs w:val="28"/>
          <w:lang w:val="uk-UA"/>
        </w:rPr>
        <w:t>. [2, 4, 104</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sidRPr="00C24B3B">
        <w:rPr>
          <w:rFonts w:ascii="Times New Roman" w:hAnsi="Times New Roman"/>
          <w:sz w:val="28"/>
          <w:szCs w:val="28"/>
          <w:lang w:val="uk-UA"/>
        </w:rPr>
        <w:t>В теперішній час існує велика кількість профілактичних засобів для</w:t>
      </w:r>
      <w:r>
        <w:rPr>
          <w:rFonts w:ascii="Times New Roman" w:hAnsi="Times New Roman"/>
          <w:sz w:val="28"/>
          <w:szCs w:val="28"/>
          <w:lang w:val="uk-UA"/>
        </w:rPr>
        <w:t xml:space="preserve"> попередження ЗЗП. Однак дослідження показали, що не тільки відсутнє зниження, але і спостерігається тенденція до збільшення </w:t>
      </w:r>
      <w:r w:rsidR="00CD0628">
        <w:rPr>
          <w:rFonts w:ascii="Times New Roman" w:hAnsi="Times New Roman"/>
          <w:sz w:val="28"/>
          <w:szCs w:val="28"/>
          <w:lang w:val="uk-UA"/>
        </w:rPr>
        <w:t>поширеності</w:t>
      </w:r>
      <w:r>
        <w:rPr>
          <w:rFonts w:ascii="Times New Roman" w:hAnsi="Times New Roman"/>
          <w:sz w:val="28"/>
          <w:szCs w:val="28"/>
          <w:lang w:val="uk-UA"/>
        </w:rPr>
        <w:t xml:space="preserve"> ураження тканин пародонта, особливо серед осіб молодого </w:t>
      </w:r>
      <w:r w:rsidR="00D17744">
        <w:rPr>
          <w:rFonts w:ascii="Times New Roman" w:hAnsi="Times New Roman"/>
          <w:sz w:val="28"/>
          <w:szCs w:val="28"/>
          <w:lang w:val="uk-UA"/>
        </w:rPr>
        <w:t>віку [6, 144</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Однією з головних причин низької ефективності цих програм є відсутність комплексного підходу і усунення факторів, що сприяють розвитку </w:t>
      </w:r>
      <w:r w:rsidRPr="00C24B3B">
        <w:rPr>
          <w:rFonts w:ascii="Times New Roman" w:hAnsi="Times New Roman"/>
          <w:sz w:val="28"/>
          <w:szCs w:val="28"/>
          <w:lang w:val="uk-UA"/>
        </w:rPr>
        <w:t>хвороби [12</w:t>
      </w:r>
      <w:r w:rsidR="00D17744">
        <w:rPr>
          <w:rFonts w:ascii="Times New Roman" w:hAnsi="Times New Roman"/>
          <w:sz w:val="28"/>
          <w:szCs w:val="28"/>
          <w:lang w:val="uk-UA"/>
        </w:rPr>
        <w:t>9</w:t>
      </w:r>
      <w:r w:rsidRPr="00C24B3B">
        <w:rPr>
          <w:rFonts w:ascii="Times New Roman" w:hAnsi="Times New Roman"/>
          <w:sz w:val="28"/>
          <w:szCs w:val="28"/>
          <w:lang w:val="uk-UA"/>
        </w:rPr>
        <w:t>]. В</w:t>
      </w:r>
      <w:r>
        <w:rPr>
          <w:rFonts w:ascii="Times New Roman" w:hAnsi="Times New Roman"/>
          <w:sz w:val="28"/>
          <w:szCs w:val="28"/>
          <w:lang w:val="uk-UA"/>
        </w:rPr>
        <w:t xml:space="preserve"> цьому плані </w:t>
      </w:r>
      <w:r w:rsidR="00D17744">
        <w:rPr>
          <w:rFonts w:ascii="Times New Roman" w:hAnsi="Times New Roman"/>
          <w:sz w:val="28"/>
          <w:szCs w:val="28"/>
          <w:lang w:val="uk-UA"/>
        </w:rPr>
        <w:t>встановлено [118</w:t>
      </w:r>
      <w:r w:rsidRPr="00C24B3B">
        <w:rPr>
          <w:rFonts w:ascii="Times New Roman" w:hAnsi="Times New Roman"/>
          <w:sz w:val="28"/>
          <w:szCs w:val="28"/>
          <w:lang w:val="uk-UA"/>
        </w:rPr>
        <w:t>], що</w:t>
      </w:r>
      <w:r>
        <w:rPr>
          <w:rFonts w:ascii="Times New Roman" w:hAnsi="Times New Roman"/>
          <w:sz w:val="28"/>
          <w:szCs w:val="28"/>
          <w:lang w:val="uk-UA"/>
        </w:rPr>
        <w:t xml:space="preserve"> застосування індивідуального інтегрального підходу в профілактиці ЗЗП у підлітків, який базувався на оптимальному для кожного організму комплексі профілактичних заходів, дозволив протягом 3-х </w:t>
      </w:r>
      <w:r>
        <w:rPr>
          <w:rFonts w:ascii="Times New Roman" w:hAnsi="Times New Roman"/>
          <w:sz w:val="28"/>
          <w:szCs w:val="28"/>
          <w:lang w:val="uk-UA"/>
        </w:rPr>
        <w:lastRenderedPageBreak/>
        <w:t>років знизити захворюваність на 8,8% при її збільшенні в контрольній групі на 24%.</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вважається, що невирішеність проблеми неефективної профілактики ЗЗП пов’язана з відсутністю прогнозування їх </w:t>
      </w:r>
      <w:r w:rsidR="00D17744">
        <w:rPr>
          <w:rFonts w:ascii="Times New Roman" w:hAnsi="Times New Roman"/>
          <w:sz w:val="28"/>
          <w:szCs w:val="28"/>
          <w:lang w:val="uk-UA"/>
        </w:rPr>
        <w:t>розвитку [147</w:t>
      </w:r>
      <w:r w:rsidRPr="00C24B3B">
        <w:rPr>
          <w:rFonts w:ascii="Times New Roman" w:hAnsi="Times New Roman"/>
          <w:sz w:val="28"/>
          <w:szCs w:val="28"/>
          <w:lang w:val="uk-UA"/>
        </w:rPr>
        <w:t>].</w:t>
      </w:r>
      <w:r>
        <w:rPr>
          <w:rFonts w:ascii="Times New Roman" w:hAnsi="Times New Roman"/>
          <w:sz w:val="28"/>
          <w:szCs w:val="28"/>
          <w:lang w:val="uk-UA"/>
        </w:rPr>
        <w:t xml:space="preserve"> В цьому плані тактика ВОЗ відносно профілактики захворювань пародонта засновується на керуванні факторами ризику </w:t>
      </w:r>
      <w:r w:rsidR="00D17744">
        <w:rPr>
          <w:rFonts w:ascii="Times New Roman" w:hAnsi="Times New Roman"/>
          <w:sz w:val="28"/>
          <w:szCs w:val="28"/>
          <w:lang w:val="uk-UA"/>
        </w:rPr>
        <w:t>[201</w:t>
      </w:r>
      <w:r w:rsidRPr="00C24B3B">
        <w:rPr>
          <w:rFonts w:ascii="Times New Roman" w:hAnsi="Times New Roman"/>
          <w:sz w:val="28"/>
          <w:szCs w:val="28"/>
          <w:lang w:val="uk-UA"/>
        </w:rPr>
        <w:t>].</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насущною необхідністю є змінення тактики профілактики ЗЗП у дітей і </w:t>
      </w:r>
      <w:r w:rsidR="00D17744">
        <w:rPr>
          <w:rFonts w:ascii="Times New Roman" w:hAnsi="Times New Roman"/>
          <w:sz w:val="28"/>
          <w:szCs w:val="28"/>
          <w:lang w:val="uk-UA"/>
        </w:rPr>
        <w:t>підлітків [128</w:t>
      </w:r>
      <w:r w:rsidRPr="00C24B3B">
        <w:rPr>
          <w:rFonts w:ascii="Times New Roman" w:hAnsi="Times New Roman"/>
          <w:sz w:val="28"/>
          <w:szCs w:val="28"/>
          <w:lang w:val="uk-UA"/>
        </w:rPr>
        <w:t>].</w:t>
      </w:r>
      <w:r>
        <w:rPr>
          <w:rFonts w:ascii="Times New Roman" w:hAnsi="Times New Roman"/>
          <w:sz w:val="28"/>
          <w:szCs w:val="28"/>
          <w:lang w:val="uk-UA"/>
        </w:rPr>
        <w:t xml:space="preserve"> Складності в цьому, з нашої точки зору, складаються в тому, що в теперішній час встановлено неозорний круг факторів ризику, тобто предикторів розвитку ВОЗ, що на практиці ускладнює застосування профілактичних заходів щодо їх нейтралізації. Вирішити цю проблему допоможуть дослідження, які змогли би визначити патогенетичну силу (значимість) факторів ризику і, таким чином, стратифікувати (ранжувати) їх. Це дозволить для кожного підлітка оформити індивідуальний патогенетичний паспорт (профіль) і потім усунути  або послабити найбільш значимі для даного індивіду фактори ризику. Це була би, з нашої точки зору, тактика міні-макс, тобто при мінімумі профілактичних затрат отримуємо максимум профілактичної ефективності.</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стратифікацію факторів ризику, очевидно, необхідно встановлювати не для популяції дітей і підлітків в цілому, а в залежності від супутньої соматичної патології. В цьому напрямку вже отримані перші позитивні результати по проведенню профілактики стоматологічних захворювань у дітей з дисметоболічними захворюваннями </w:t>
      </w:r>
      <w:r w:rsidR="00D17744">
        <w:rPr>
          <w:rFonts w:ascii="Times New Roman" w:hAnsi="Times New Roman"/>
          <w:sz w:val="28"/>
          <w:szCs w:val="28"/>
          <w:lang w:val="uk-UA"/>
        </w:rPr>
        <w:t>нирок [90], аутизмом [148</w:t>
      </w:r>
      <w:r w:rsidRPr="00C24B3B">
        <w:rPr>
          <w:rFonts w:ascii="Times New Roman" w:hAnsi="Times New Roman"/>
          <w:sz w:val="28"/>
          <w:szCs w:val="28"/>
          <w:lang w:val="uk-UA"/>
        </w:rPr>
        <w:t>]</w:t>
      </w:r>
      <w:r w:rsidR="00D17744">
        <w:rPr>
          <w:rFonts w:ascii="Times New Roman" w:hAnsi="Times New Roman"/>
          <w:sz w:val="28"/>
          <w:szCs w:val="28"/>
          <w:lang w:val="uk-UA"/>
        </w:rPr>
        <w:t>, хворих бронхіальною астмою [28], у вагітних жінок [60</w:t>
      </w:r>
      <w:r w:rsidRPr="00C24B3B">
        <w:rPr>
          <w:rFonts w:ascii="Times New Roman" w:hAnsi="Times New Roman"/>
          <w:sz w:val="28"/>
          <w:szCs w:val="28"/>
          <w:lang w:val="uk-UA"/>
        </w:rPr>
        <w:t>] і ішемічною хворобою серця [16]. Не можуть бути виключенням в цьому</w:t>
      </w:r>
      <w:r>
        <w:rPr>
          <w:rFonts w:ascii="Times New Roman" w:hAnsi="Times New Roman"/>
          <w:sz w:val="28"/>
          <w:szCs w:val="28"/>
          <w:lang w:val="uk-UA"/>
        </w:rPr>
        <w:t xml:space="preserve"> плані і дівчата-підлітки з порушенням менструальної функції.</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проведений огляд літератури виявив, що патогенез ЗЗП містить багато факторів, тобто є полікомпонентни</w:t>
      </w:r>
      <w:r w:rsidR="0090526F">
        <w:rPr>
          <w:rFonts w:ascii="Times New Roman" w:hAnsi="Times New Roman"/>
          <w:sz w:val="28"/>
          <w:szCs w:val="28"/>
          <w:lang w:val="uk-UA"/>
        </w:rPr>
        <w:t>м. Маловивченим в цій проблемі залишається</w:t>
      </w:r>
      <w:r>
        <w:rPr>
          <w:rFonts w:ascii="Times New Roman" w:hAnsi="Times New Roman"/>
          <w:sz w:val="28"/>
          <w:szCs w:val="28"/>
          <w:lang w:val="uk-UA"/>
        </w:rPr>
        <w:t xml:space="preserve"> питання ранжування (стратифікації) патогенетичних факторів і зовсім не вивчені питання патогенезу ЗЗП у дівчат-підлітків з ПМФ. Проведення комплексних досліджень по визначенню патогенетичної значимості </w:t>
      </w:r>
      <w:r>
        <w:rPr>
          <w:rFonts w:ascii="Times New Roman" w:hAnsi="Times New Roman"/>
          <w:sz w:val="28"/>
          <w:szCs w:val="28"/>
          <w:lang w:val="uk-UA"/>
        </w:rPr>
        <w:lastRenderedPageBreak/>
        <w:t>різнорівневих факторів на одній групі хворих дозволить їх стратифікувати і, таким чином, сформувати індивідуальний патогенетичний профіль підлітка, що стане підставою для проведення персоніфікованої профілактики ЗЗП.</w:t>
      </w:r>
    </w:p>
    <w:p w:rsidR="002416FA"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Невивченим є питання про характер впливу ПМФ у дівчат-підлітків на розвиток і характер перебігу ЗЗП.</w:t>
      </w:r>
    </w:p>
    <w:p w:rsidR="002416FA" w:rsidRPr="00F352B7" w:rsidRDefault="002416FA" w:rsidP="005C1E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Наявність вищевказаних прогалин стало підставою для проведення даного дослідження.</w:t>
      </w:r>
    </w:p>
    <w:p w:rsidR="00247ACA" w:rsidRDefault="00247ACA" w:rsidP="005C1EA2">
      <w:pPr>
        <w:spacing w:line="360" w:lineRule="auto"/>
        <w:ind w:firstLine="709"/>
        <w:jc w:val="both"/>
        <w:rPr>
          <w:rFonts w:ascii="Times New Roman" w:hAnsi="Times New Roman"/>
          <w:sz w:val="28"/>
          <w:szCs w:val="28"/>
          <w:lang w:val="uk-UA"/>
        </w:rPr>
      </w:pPr>
    </w:p>
    <w:p w:rsidR="000F78D0" w:rsidRPr="00BE7C02" w:rsidRDefault="000F78D0"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5C1EA2" w:rsidRPr="00BE7C02" w:rsidRDefault="005C1EA2" w:rsidP="005C1EA2">
      <w:pPr>
        <w:spacing w:line="360" w:lineRule="auto"/>
        <w:ind w:firstLine="709"/>
        <w:jc w:val="both"/>
        <w:rPr>
          <w:rFonts w:ascii="Times New Roman" w:hAnsi="Times New Roman"/>
          <w:sz w:val="28"/>
          <w:szCs w:val="28"/>
          <w:lang w:val="ru-RU"/>
        </w:rPr>
      </w:pPr>
    </w:p>
    <w:p w:rsidR="00D17744" w:rsidRDefault="00D17744" w:rsidP="005C1EA2">
      <w:pPr>
        <w:spacing w:line="360" w:lineRule="auto"/>
        <w:ind w:firstLine="709"/>
        <w:jc w:val="both"/>
        <w:rPr>
          <w:rFonts w:ascii="Times New Roman" w:hAnsi="Times New Roman"/>
          <w:sz w:val="28"/>
          <w:szCs w:val="28"/>
          <w:lang w:val="uk-UA"/>
        </w:rPr>
      </w:pPr>
    </w:p>
    <w:p w:rsidR="00D17744" w:rsidRDefault="00D17744" w:rsidP="005C1EA2">
      <w:pPr>
        <w:spacing w:line="360" w:lineRule="auto"/>
        <w:ind w:firstLine="709"/>
        <w:jc w:val="both"/>
        <w:rPr>
          <w:rFonts w:ascii="Times New Roman" w:hAnsi="Times New Roman"/>
          <w:sz w:val="28"/>
          <w:szCs w:val="28"/>
          <w:lang w:val="uk-UA"/>
        </w:rPr>
      </w:pPr>
    </w:p>
    <w:p w:rsidR="00D17744" w:rsidRDefault="00D17744" w:rsidP="005C1EA2">
      <w:pPr>
        <w:spacing w:line="360" w:lineRule="auto"/>
        <w:ind w:firstLine="709"/>
        <w:jc w:val="both"/>
        <w:rPr>
          <w:rFonts w:ascii="Times New Roman" w:hAnsi="Times New Roman"/>
          <w:sz w:val="28"/>
          <w:szCs w:val="28"/>
          <w:lang w:val="uk-UA"/>
        </w:rPr>
      </w:pPr>
    </w:p>
    <w:p w:rsidR="00D17744" w:rsidRDefault="00D17744" w:rsidP="005C1EA2">
      <w:pPr>
        <w:spacing w:line="360" w:lineRule="auto"/>
        <w:ind w:firstLine="709"/>
        <w:jc w:val="both"/>
        <w:rPr>
          <w:rFonts w:ascii="Times New Roman" w:hAnsi="Times New Roman"/>
          <w:sz w:val="28"/>
          <w:szCs w:val="28"/>
          <w:lang w:val="uk-UA"/>
        </w:rPr>
      </w:pPr>
    </w:p>
    <w:p w:rsidR="000F78D0" w:rsidRDefault="000F78D0" w:rsidP="005C1EA2">
      <w:pPr>
        <w:spacing w:line="360" w:lineRule="auto"/>
        <w:ind w:firstLine="709"/>
        <w:jc w:val="center"/>
        <w:rPr>
          <w:rFonts w:ascii="Times New Roman" w:hAnsi="Times New Roman"/>
          <w:b/>
          <w:sz w:val="28"/>
          <w:szCs w:val="28"/>
          <w:lang w:val="uk-UA"/>
        </w:rPr>
      </w:pPr>
      <w:r w:rsidRPr="00AB3986">
        <w:rPr>
          <w:rFonts w:ascii="Times New Roman" w:hAnsi="Times New Roman"/>
          <w:b/>
          <w:sz w:val="28"/>
          <w:szCs w:val="28"/>
          <w:lang w:val="uk-UA"/>
        </w:rPr>
        <w:lastRenderedPageBreak/>
        <w:t>РОЗДІЛ 2</w:t>
      </w:r>
    </w:p>
    <w:p w:rsidR="00B96077" w:rsidRDefault="00B96077" w:rsidP="005C1EA2">
      <w:pPr>
        <w:spacing w:line="360" w:lineRule="auto"/>
        <w:ind w:firstLine="709"/>
        <w:jc w:val="center"/>
        <w:rPr>
          <w:rFonts w:ascii="Times New Roman" w:hAnsi="Times New Roman"/>
          <w:b/>
          <w:sz w:val="28"/>
          <w:szCs w:val="28"/>
          <w:lang w:val="uk-UA"/>
        </w:rPr>
      </w:pPr>
    </w:p>
    <w:p w:rsidR="000F78D0" w:rsidRDefault="00BB171C" w:rsidP="005C1EA2">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МАТЕРІАЛИ</w:t>
      </w:r>
      <w:r w:rsidR="00D17744" w:rsidRPr="00AB3986">
        <w:rPr>
          <w:rFonts w:ascii="Times New Roman" w:hAnsi="Times New Roman"/>
          <w:b/>
          <w:sz w:val="28"/>
          <w:szCs w:val="28"/>
          <w:lang w:val="uk-UA"/>
        </w:rPr>
        <w:t xml:space="preserve">  І МЕТОДИ ДОСЛІДЖЕННЯ</w:t>
      </w:r>
    </w:p>
    <w:p w:rsidR="000F78D0" w:rsidRDefault="000F78D0" w:rsidP="005C1EA2">
      <w:pPr>
        <w:tabs>
          <w:tab w:val="left" w:pos="0"/>
        </w:tabs>
        <w:spacing w:line="360" w:lineRule="auto"/>
        <w:ind w:firstLine="709"/>
        <w:jc w:val="both"/>
        <w:rPr>
          <w:rFonts w:ascii="Times New Roman" w:hAnsi="Times New Roman"/>
          <w:sz w:val="28"/>
          <w:szCs w:val="28"/>
          <w:lang w:val="uk-UA"/>
        </w:rPr>
      </w:pPr>
      <w:r w:rsidRPr="00A268C2">
        <w:rPr>
          <w:rFonts w:ascii="Times New Roman" w:hAnsi="Times New Roman"/>
          <w:sz w:val="28"/>
          <w:szCs w:val="28"/>
          <w:lang w:val="uk-UA"/>
        </w:rPr>
        <w:t>Дизайн даного дисертаційного дослідження має сім послідовних етапів (рис.2.1). Так, на першому етапі</w:t>
      </w:r>
      <w:r>
        <w:rPr>
          <w:rFonts w:ascii="Times New Roman" w:hAnsi="Times New Roman"/>
          <w:sz w:val="28"/>
          <w:szCs w:val="28"/>
          <w:lang w:val="uk-UA"/>
        </w:rPr>
        <w:t xml:space="preserve"> визначали особливості впливу ПМФ на перебіг запальних захворювань пародонта в дівчат-підлітків шляхом  співставлення клініко-анамнестичних і пара клінічних даних в альтернативних групах: з порушеннями і без порушень менструальної функції.</w:t>
      </w:r>
    </w:p>
    <w:p w:rsidR="000F78D0" w:rsidRDefault="0090526F"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другому етапі вивчали</w:t>
      </w:r>
      <w:r w:rsidR="000F78D0">
        <w:rPr>
          <w:rFonts w:ascii="Times New Roman" w:hAnsi="Times New Roman"/>
          <w:sz w:val="28"/>
          <w:szCs w:val="28"/>
          <w:lang w:val="uk-UA"/>
        </w:rPr>
        <w:t xml:space="preserve"> фактори, що впливають на виникнення запальних захворювань пародонта у дівчат-підлітків з ПМФ. Для цього співставлявся комплекс даних в групах з інтактним пародонтом і хворих з запальними захворюваннями пародонта.</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другого етапу склали основу для виконання третього етапу – визначення предикторів розвитку запальних захворювань пародонта у даного контингенту </w:t>
      </w:r>
      <w:r w:rsidR="0090526F">
        <w:rPr>
          <w:rFonts w:ascii="Times New Roman" w:hAnsi="Times New Roman"/>
          <w:sz w:val="28"/>
          <w:szCs w:val="28"/>
          <w:lang w:val="uk-UA"/>
        </w:rPr>
        <w:t>пацієнтів</w:t>
      </w:r>
      <w:r>
        <w:rPr>
          <w:rFonts w:ascii="Times New Roman" w:hAnsi="Times New Roman"/>
          <w:sz w:val="28"/>
          <w:szCs w:val="28"/>
          <w:lang w:val="uk-UA"/>
        </w:rPr>
        <w:t xml:space="preserve"> і розробки алгоритму прогнозу.</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Четвертий етап дослідження був присвячений встановленню факторів, що визначають тяжкість перебігу запальних захворювань пародонта шляхом співставлення комплексу даних в альтернативних групах з різною тяжкістю захворювань.</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четвертого етапу стали базисом для п’ятого етапу досліджень, а саме визначення предикторів тяжкості перебігу запальних захворювань пародонта і розробки прогностичного алгоритму.</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І-</w:t>
      </w:r>
      <w:r w:rsidRPr="00C374F6">
        <w:rPr>
          <w:rFonts w:ascii="Times New Roman" w:hAnsi="Times New Roman"/>
          <w:sz w:val="28"/>
          <w:szCs w:val="28"/>
        </w:rPr>
        <w:t>V</w:t>
      </w:r>
      <w:r>
        <w:rPr>
          <w:rFonts w:ascii="Times New Roman" w:hAnsi="Times New Roman"/>
          <w:sz w:val="28"/>
          <w:szCs w:val="28"/>
          <w:lang w:val="uk-UA"/>
        </w:rPr>
        <w:t>-х етапів дослідження дали можливість приступити до шостого етапу – розробки вдосконаленої системи профілактики розвитку запальних захворювань пародонта у дівчат-підлітків з ПМФ.</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Розробка інноваційної системи профілактики запальних захворювань пародонта витребувала проведення сьомого етапу досліджень – оцінки її ефективності шляхом співставлення частоти виникнення і структури запальних захворювань пародонта в групах з традиційним і інноваційним проведенням профілактики.</w:t>
      </w:r>
    </w:p>
    <w:p w:rsidR="000F78D0" w:rsidRDefault="00211C4A" w:rsidP="00AC605C">
      <w:pPr>
        <w:spacing w:line="360" w:lineRule="auto"/>
        <w:ind w:firstLine="426"/>
        <w:jc w:val="both"/>
        <w:rPr>
          <w:rFonts w:ascii="Times New Roman" w:hAnsi="Times New Roman"/>
          <w:sz w:val="28"/>
          <w:szCs w:val="28"/>
          <w:lang w:val="uk-UA"/>
        </w:rPr>
      </w:pPr>
      <w:r w:rsidRPr="00211C4A">
        <w:rPr>
          <w:rFonts w:ascii="Times New Roman" w:hAnsi="Times New Roman"/>
          <w:noProof/>
          <w:sz w:val="48"/>
          <w:szCs w:val="48"/>
          <w:lang w:val="ru-RU" w:eastAsia="ru-RU"/>
        </w:rPr>
        <w:lastRenderedPageBreak/>
        <w:pict>
          <v:shapetype id="_x0000_t202" coordsize="21600,21600" o:spt="202" path="m,l,21600r21600,l21600,xe">
            <v:stroke joinstyle="miter"/>
            <v:path gradientshapeok="t" o:connecttype="rect"/>
          </v:shapetype>
          <v:shape id="_x0000_s1027" type="#_x0000_t202" style="position:absolute;left:0;text-align:left;margin-left:81.45pt;margin-top:21.6pt;width:330.75pt;height:54pt;z-index:251636736">
            <v:textbox>
              <w:txbxContent>
                <w:p w:rsidR="00251EA6" w:rsidRPr="00862CB9" w:rsidRDefault="00251EA6" w:rsidP="000F78D0">
                  <w:pPr>
                    <w:jc w:val="center"/>
                    <w:rPr>
                      <w:rFonts w:ascii="Times New Roman" w:hAnsi="Times New Roman"/>
                      <w:sz w:val="28"/>
                      <w:szCs w:val="28"/>
                      <w:lang w:val="uk-UA"/>
                    </w:rPr>
                  </w:pPr>
                  <w:r w:rsidRPr="00862CB9">
                    <w:rPr>
                      <w:rFonts w:ascii="Times New Roman" w:hAnsi="Times New Roman"/>
                      <w:sz w:val="28"/>
                      <w:szCs w:val="28"/>
                      <w:lang w:val="uk-UA"/>
                    </w:rPr>
                    <w:t>Виявлення впливу ПМФ на перебіг запальних захворювань пародонта у дівчат-підлітків</w:t>
                  </w:r>
                </w:p>
              </w:txbxContent>
            </v:textbox>
          </v:shape>
        </w:pict>
      </w:r>
    </w:p>
    <w:p w:rsidR="000F78D0" w:rsidRPr="00862CB9" w:rsidRDefault="000F78D0" w:rsidP="00AC605C">
      <w:pPr>
        <w:spacing w:line="360" w:lineRule="auto"/>
        <w:ind w:firstLine="426"/>
        <w:jc w:val="both"/>
        <w:rPr>
          <w:rFonts w:ascii="Times New Roman" w:hAnsi="Times New Roman"/>
          <w:sz w:val="48"/>
          <w:szCs w:val="48"/>
          <w:lang w:val="uk-UA"/>
        </w:rPr>
      </w:pPr>
      <w:r w:rsidRPr="00862CB9">
        <w:rPr>
          <w:rFonts w:ascii="Times New Roman" w:hAnsi="Times New Roman"/>
          <w:sz w:val="48"/>
          <w:szCs w:val="48"/>
          <w:lang w:val="uk-UA"/>
        </w:rPr>
        <w:t>І</w:t>
      </w:r>
    </w:p>
    <w:p w:rsidR="000F78D0" w:rsidRPr="000F78D0" w:rsidRDefault="00211C4A" w:rsidP="00AC605C">
      <w:pPr>
        <w:spacing w:line="360" w:lineRule="auto"/>
        <w:ind w:firstLine="426"/>
        <w:rPr>
          <w:rFonts w:ascii="Times New Roman" w:hAnsi="Times New Roman"/>
          <w:noProof/>
          <w:sz w:val="28"/>
          <w:szCs w:val="28"/>
          <w:lang w:val="uk-UA" w:eastAsia="ru-RU"/>
        </w:rPr>
      </w:pPr>
      <w:r>
        <w:rPr>
          <w:rFonts w:ascii="Times New Roman" w:hAnsi="Times New Roman"/>
          <w:noProof/>
          <w:sz w:val="28"/>
          <w:szCs w:val="28"/>
          <w:lang w:val="ru-RU" w:eastAsia="ru-RU"/>
        </w:rPr>
        <w:pict>
          <v:shapetype id="_x0000_t32" coordsize="21600,21600" o:spt="32" o:oned="t" path="m,l21600,21600e" filled="f">
            <v:path arrowok="t" fillok="f" o:connecttype="none"/>
            <o:lock v:ext="edit" shapetype="t"/>
          </v:shapetype>
          <v:shape id="_x0000_s1031" type="#_x0000_t32" style="position:absolute;left:0;text-align:left;margin-left:238.2pt;margin-top:10.05pt;width:70.5pt;height:37.5pt;z-index:251640832" o:connectortype="straight">
            <v:stroke endarrow="block"/>
          </v:shape>
        </w:pict>
      </w:r>
      <w:r>
        <w:rPr>
          <w:rFonts w:ascii="Times New Roman" w:hAnsi="Times New Roman"/>
          <w:noProof/>
          <w:sz w:val="28"/>
          <w:szCs w:val="28"/>
          <w:lang w:val="ru-RU" w:eastAsia="ru-RU"/>
        </w:rPr>
        <w:pict>
          <v:shape id="_x0000_s1030" type="#_x0000_t32" style="position:absolute;left:0;text-align:left;margin-left:155.7pt;margin-top:10.05pt;width:82.5pt;height:37.5pt;flip:x;z-index:251639808" o:connectortype="straight">
            <v:stroke endarrow="block"/>
          </v:shape>
        </w:pict>
      </w:r>
    </w:p>
    <w:p w:rsidR="000F78D0" w:rsidRPr="000F78D0" w:rsidRDefault="00211C4A" w:rsidP="00AC605C">
      <w:pPr>
        <w:spacing w:line="360" w:lineRule="auto"/>
        <w:ind w:firstLine="426"/>
        <w:rPr>
          <w:rFonts w:ascii="Times New Roman" w:hAnsi="Times New Roman"/>
          <w:noProof/>
          <w:sz w:val="28"/>
          <w:szCs w:val="28"/>
          <w:lang w:val="uk-UA" w:eastAsia="ru-RU"/>
        </w:rPr>
      </w:pPr>
      <w:r>
        <w:rPr>
          <w:rFonts w:ascii="Times New Roman" w:hAnsi="Times New Roman"/>
          <w:noProof/>
          <w:sz w:val="28"/>
          <w:szCs w:val="28"/>
          <w:lang w:val="ru-RU" w:eastAsia="ru-RU"/>
        </w:rPr>
        <w:pict>
          <v:shape id="_x0000_s1029" type="#_x0000_t202" style="position:absolute;left:0;text-align:left;margin-left:271.2pt;margin-top:23.4pt;width:100.5pt;height:42pt;z-index:251638784">
            <v:textbox>
              <w:txbxContent>
                <w:p w:rsidR="00251EA6" w:rsidRPr="00862CB9" w:rsidRDefault="00251EA6" w:rsidP="000F78D0">
                  <w:pPr>
                    <w:jc w:val="center"/>
                    <w:rPr>
                      <w:rFonts w:ascii="Times New Roman" w:hAnsi="Times New Roman"/>
                      <w:sz w:val="28"/>
                      <w:szCs w:val="28"/>
                      <w:lang w:val="uk-UA"/>
                    </w:rPr>
                  </w:pPr>
                  <w:r>
                    <w:rPr>
                      <w:rFonts w:ascii="Times New Roman" w:hAnsi="Times New Roman"/>
                      <w:sz w:val="28"/>
                      <w:szCs w:val="28"/>
                      <w:lang w:val="uk-UA"/>
                    </w:rPr>
                    <w:t xml:space="preserve">Хворі </w:t>
                  </w:r>
                  <w:r w:rsidRPr="00862CB9">
                    <w:rPr>
                      <w:rFonts w:ascii="Times New Roman" w:hAnsi="Times New Roman"/>
                      <w:sz w:val="28"/>
                      <w:szCs w:val="28"/>
                      <w:lang w:val="uk-UA"/>
                    </w:rPr>
                    <w:t xml:space="preserve">з ПМФ, </w:t>
                  </w:r>
                  <w:r w:rsidRPr="00862CB9">
                    <w:rPr>
                      <w:rFonts w:ascii="Times New Roman" w:hAnsi="Times New Roman"/>
                      <w:sz w:val="28"/>
                      <w:szCs w:val="28"/>
                    </w:rPr>
                    <w:t>n</w:t>
                  </w:r>
                  <w:r w:rsidRPr="00862CB9">
                    <w:rPr>
                      <w:rFonts w:ascii="Times New Roman" w:hAnsi="Times New Roman"/>
                      <w:sz w:val="28"/>
                      <w:szCs w:val="28"/>
                      <w:lang w:val="uk-UA"/>
                    </w:rPr>
                    <w:t>=30</w:t>
                  </w:r>
                </w:p>
                <w:p w:rsidR="00251EA6" w:rsidRDefault="00251EA6" w:rsidP="000F78D0"/>
              </w:txbxContent>
            </v:textbox>
          </v:shape>
        </w:pict>
      </w:r>
      <w:r>
        <w:rPr>
          <w:rFonts w:ascii="Times New Roman" w:hAnsi="Times New Roman"/>
          <w:noProof/>
          <w:sz w:val="28"/>
          <w:szCs w:val="28"/>
          <w:lang w:val="ru-RU" w:eastAsia="ru-RU"/>
        </w:rPr>
        <w:pict>
          <v:shape id="_x0000_s1028" type="#_x0000_t202" style="position:absolute;left:0;text-align:left;margin-left:90.45pt;margin-top:23.4pt;width:99pt;height:42pt;z-index:251637760">
            <v:textbox>
              <w:txbxContent>
                <w:p w:rsidR="00251EA6" w:rsidRPr="00862CB9" w:rsidRDefault="00251EA6" w:rsidP="000F78D0">
                  <w:pPr>
                    <w:jc w:val="center"/>
                    <w:rPr>
                      <w:rFonts w:ascii="Times New Roman" w:hAnsi="Times New Roman"/>
                      <w:sz w:val="28"/>
                      <w:szCs w:val="28"/>
                      <w:lang w:val="uk-UA"/>
                    </w:rPr>
                  </w:pPr>
                  <w:r w:rsidRPr="00862CB9">
                    <w:rPr>
                      <w:rFonts w:ascii="Times New Roman" w:hAnsi="Times New Roman"/>
                      <w:sz w:val="28"/>
                      <w:szCs w:val="28"/>
                      <w:lang w:val="uk-UA"/>
                    </w:rPr>
                    <w:t xml:space="preserve">Хворі без ПМФ, </w:t>
                  </w:r>
                  <w:r w:rsidRPr="00862CB9">
                    <w:rPr>
                      <w:rFonts w:ascii="Times New Roman" w:hAnsi="Times New Roman"/>
                      <w:sz w:val="28"/>
                      <w:szCs w:val="28"/>
                    </w:rPr>
                    <w:t>n</w:t>
                  </w:r>
                  <w:r w:rsidRPr="00862CB9">
                    <w:rPr>
                      <w:rFonts w:ascii="Times New Roman" w:hAnsi="Times New Roman"/>
                      <w:sz w:val="28"/>
                      <w:szCs w:val="28"/>
                      <w:lang w:val="uk-UA"/>
                    </w:rPr>
                    <w:t>=30</w:t>
                  </w:r>
                </w:p>
              </w:txbxContent>
            </v:textbox>
          </v:shape>
        </w:pict>
      </w:r>
    </w:p>
    <w:p w:rsidR="000F78D0" w:rsidRPr="000F78D0" w:rsidRDefault="000F78D0" w:rsidP="00AC605C">
      <w:pPr>
        <w:spacing w:line="360" w:lineRule="auto"/>
        <w:ind w:firstLine="426"/>
        <w:rPr>
          <w:rFonts w:ascii="Times New Roman" w:hAnsi="Times New Roman"/>
          <w:noProof/>
          <w:sz w:val="28"/>
          <w:szCs w:val="28"/>
          <w:lang w:val="uk-UA" w:eastAsia="ru-RU"/>
        </w:rPr>
      </w:pPr>
    </w:p>
    <w:p w:rsidR="000F78D0" w:rsidRPr="000F78D0" w:rsidRDefault="000F78D0" w:rsidP="00AC605C">
      <w:pPr>
        <w:spacing w:line="360" w:lineRule="auto"/>
        <w:ind w:firstLine="426"/>
        <w:rPr>
          <w:rFonts w:ascii="Times New Roman" w:hAnsi="Times New Roman"/>
          <w:noProof/>
          <w:sz w:val="28"/>
          <w:szCs w:val="28"/>
          <w:lang w:val="uk-UA" w:eastAsia="ru-RU"/>
        </w:rPr>
      </w:pPr>
    </w:p>
    <w:p w:rsidR="000F78D0" w:rsidRDefault="00211C4A" w:rsidP="00AC605C">
      <w:pPr>
        <w:spacing w:line="360" w:lineRule="auto"/>
        <w:ind w:firstLine="426"/>
        <w:rPr>
          <w:rFonts w:ascii="Times New Roman" w:hAnsi="Times New Roman"/>
          <w:sz w:val="48"/>
          <w:szCs w:val="48"/>
          <w:lang w:val="uk-UA"/>
        </w:rPr>
      </w:pPr>
      <w:r>
        <w:rPr>
          <w:rFonts w:ascii="Times New Roman" w:hAnsi="Times New Roman"/>
          <w:noProof/>
          <w:sz w:val="48"/>
          <w:szCs w:val="48"/>
          <w:lang w:val="ru-RU" w:eastAsia="ru-RU"/>
        </w:rPr>
        <w:pict>
          <v:shape id="_x0000_s1032" type="#_x0000_t202" style="position:absolute;left:0;text-align:left;margin-left:76.2pt;margin-top:112.05pt;width:140.25pt;height:57.75pt;z-index:251641856">
            <v:textbox>
              <w:txbxContent>
                <w:p w:rsidR="00251EA6" w:rsidRPr="00862CB9" w:rsidRDefault="00251EA6" w:rsidP="000F78D0">
                  <w:pPr>
                    <w:jc w:val="center"/>
                    <w:rPr>
                      <w:rFonts w:ascii="Times New Roman" w:hAnsi="Times New Roman"/>
                      <w:sz w:val="28"/>
                      <w:szCs w:val="28"/>
                      <w:lang w:val="uk-UA"/>
                    </w:rPr>
                  </w:pPr>
                  <w:r>
                    <w:rPr>
                      <w:rFonts w:ascii="Times New Roman" w:hAnsi="Times New Roman"/>
                      <w:sz w:val="28"/>
                      <w:szCs w:val="28"/>
                      <w:lang w:val="uk-UA"/>
                    </w:rPr>
                    <w:t>Хворі з інтактним пародонтом</w:t>
                  </w:r>
                  <w:r w:rsidRPr="00862CB9">
                    <w:rPr>
                      <w:rFonts w:ascii="Times New Roman" w:hAnsi="Times New Roman"/>
                      <w:sz w:val="28"/>
                      <w:szCs w:val="28"/>
                      <w:lang w:val="uk-UA"/>
                    </w:rPr>
                    <w:t xml:space="preserve">, </w:t>
                  </w:r>
                  <w:r w:rsidRPr="00862CB9">
                    <w:rPr>
                      <w:rFonts w:ascii="Times New Roman" w:hAnsi="Times New Roman"/>
                      <w:sz w:val="28"/>
                      <w:szCs w:val="28"/>
                    </w:rPr>
                    <w:t>n</w:t>
                  </w:r>
                  <w:r w:rsidRPr="00862CB9">
                    <w:rPr>
                      <w:rFonts w:ascii="Times New Roman" w:hAnsi="Times New Roman"/>
                      <w:sz w:val="28"/>
                      <w:szCs w:val="28"/>
                      <w:lang w:val="uk-UA"/>
                    </w:rPr>
                    <w:t>=30</w:t>
                  </w:r>
                </w:p>
                <w:p w:rsidR="00251EA6" w:rsidRPr="00700AB3" w:rsidRDefault="00251EA6" w:rsidP="000F78D0">
                  <w:pPr>
                    <w:rPr>
                      <w:lang w:val="ru-RU"/>
                    </w:rPr>
                  </w:pPr>
                </w:p>
              </w:txbxContent>
            </v:textbox>
          </v:shape>
        </w:pict>
      </w:r>
      <w:r>
        <w:rPr>
          <w:rFonts w:ascii="Times New Roman" w:hAnsi="Times New Roman"/>
          <w:noProof/>
          <w:sz w:val="48"/>
          <w:szCs w:val="48"/>
          <w:lang w:val="ru-RU" w:eastAsia="ru-RU"/>
        </w:rPr>
        <w:pict>
          <v:shape id="_x0000_s1033" type="#_x0000_t202" style="position:absolute;left:0;text-align:left;margin-left:282.45pt;margin-top:112.05pt;width:167.25pt;height:57.75pt;z-index:251642880">
            <v:textbox>
              <w:txbxContent>
                <w:p w:rsidR="00251EA6" w:rsidRPr="00862CB9" w:rsidRDefault="00251EA6" w:rsidP="000F78D0">
                  <w:pPr>
                    <w:jc w:val="center"/>
                    <w:rPr>
                      <w:rFonts w:ascii="Times New Roman" w:hAnsi="Times New Roman"/>
                      <w:sz w:val="28"/>
                      <w:szCs w:val="28"/>
                      <w:lang w:val="uk-UA"/>
                    </w:rPr>
                  </w:pPr>
                  <w:r>
                    <w:rPr>
                      <w:rFonts w:ascii="Times New Roman" w:hAnsi="Times New Roman"/>
                      <w:sz w:val="28"/>
                      <w:szCs w:val="28"/>
                      <w:lang w:val="uk-UA"/>
                    </w:rPr>
                    <w:t>Хворі з запальними захворюваннями пародонта</w:t>
                  </w:r>
                  <w:r w:rsidRPr="00862CB9">
                    <w:rPr>
                      <w:rFonts w:ascii="Times New Roman" w:hAnsi="Times New Roman"/>
                      <w:sz w:val="28"/>
                      <w:szCs w:val="28"/>
                      <w:lang w:val="uk-UA"/>
                    </w:rPr>
                    <w:t xml:space="preserve">, </w:t>
                  </w:r>
                  <w:r w:rsidRPr="00862CB9">
                    <w:rPr>
                      <w:rFonts w:ascii="Times New Roman" w:hAnsi="Times New Roman"/>
                      <w:sz w:val="28"/>
                      <w:szCs w:val="28"/>
                    </w:rPr>
                    <w:t>n</w:t>
                  </w:r>
                  <w:r>
                    <w:rPr>
                      <w:rFonts w:ascii="Times New Roman" w:hAnsi="Times New Roman"/>
                      <w:sz w:val="28"/>
                      <w:szCs w:val="28"/>
                      <w:lang w:val="uk-UA"/>
                    </w:rPr>
                    <w:t>=5</w:t>
                  </w:r>
                  <w:r w:rsidRPr="00862CB9">
                    <w:rPr>
                      <w:rFonts w:ascii="Times New Roman" w:hAnsi="Times New Roman"/>
                      <w:sz w:val="28"/>
                      <w:szCs w:val="28"/>
                      <w:lang w:val="uk-UA"/>
                    </w:rPr>
                    <w:t>0</w:t>
                  </w:r>
                </w:p>
                <w:p w:rsidR="00251EA6" w:rsidRPr="00700AB3" w:rsidRDefault="00251EA6" w:rsidP="000F78D0">
                  <w:pPr>
                    <w:rPr>
                      <w:lang w:val="ru-RU"/>
                    </w:rPr>
                  </w:pPr>
                </w:p>
              </w:txbxContent>
            </v:textbox>
          </v:shape>
        </w:pict>
      </w:r>
      <w:r>
        <w:rPr>
          <w:rFonts w:ascii="Times New Roman" w:hAnsi="Times New Roman"/>
          <w:noProof/>
          <w:sz w:val="48"/>
          <w:szCs w:val="48"/>
          <w:lang w:val="ru-RU" w:eastAsia="ru-RU"/>
        </w:rPr>
        <w:pict>
          <v:shape id="_x0000_s1026" type="#_x0000_t202" style="position:absolute;left:0;text-align:left;margin-left:68.7pt;margin-top:11.3pt;width:364.5pt;height:61.5pt;z-index:251635712">
            <v:textbox>
              <w:txbxContent>
                <w:p w:rsidR="00251EA6" w:rsidRPr="00862CB9" w:rsidRDefault="00251EA6" w:rsidP="000F78D0">
                  <w:pPr>
                    <w:jc w:val="center"/>
                    <w:rPr>
                      <w:rFonts w:ascii="Times New Roman" w:hAnsi="Times New Roman"/>
                      <w:sz w:val="28"/>
                      <w:szCs w:val="28"/>
                      <w:lang w:val="uk-UA"/>
                    </w:rPr>
                  </w:pPr>
                  <w:r w:rsidRPr="00862CB9">
                    <w:rPr>
                      <w:rFonts w:ascii="Times New Roman" w:hAnsi="Times New Roman"/>
                      <w:sz w:val="28"/>
                      <w:szCs w:val="28"/>
                      <w:lang w:val="uk-UA"/>
                    </w:rPr>
                    <w:t>Вивчення факторів, що визначають розвиток запальних захворювань пародонта у дівчат – підлітків з ПМФ</w:t>
                  </w:r>
                </w:p>
              </w:txbxContent>
            </v:textbox>
          </v:shape>
        </w:pict>
      </w:r>
      <w:r w:rsidR="000F78D0" w:rsidRPr="00862CB9">
        <w:rPr>
          <w:rFonts w:ascii="Times New Roman" w:hAnsi="Times New Roman"/>
          <w:sz w:val="48"/>
          <w:szCs w:val="48"/>
          <w:lang w:val="uk-UA"/>
        </w:rPr>
        <w:t>ІІ</w:t>
      </w:r>
      <w:r w:rsidR="000F78D0">
        <w:rPr>
          <w:rFonts w:ascii="Times New Roman" w:hAnsi="Times New Roman"/>
          <w:sz w:val="48"/>
          <w:szCs w:val="48"/>
          <w:lang w:val="uk-UA"/>
        </w:rPr>
        <w:t xml:space="preserve"> </w:t>
      </w:r>
    </w:p>
    <w:p w:rsidR="000F78D0" w:rsidRPr="00700AB3" w:rsidRDefault="000F78D0" w:rsidP="00AC605C">
      <w:pPr>
        <w:ind w:firstLine="426"/>
        <w:rPr>
          <w:rFonts w:ascii="Times New Roman" w:hAnsi="Times New Roman"/>
          <w:sz w:val="48"/>
          <w:szCs w:val="48"/>
          <w:lang w:val="uk-UA"/>
        </w:rPr>
      </w:pPr>
    </w:p>
    <w:p w:rsidR="000F78D0" w:rsidRPr="00700AB3"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36" type="#_x0000_t32" style="position:absolute;left:0;text-align:left;margin-left:244.2pt;margin-top:3.85pt;width:95.25pt;height:39.25pt;z-index:251645952" o:connectortype="straight">
            <v:stroke endarrow="block"/>
          </v:shape>
        </w:pict>
      </w:r>
      <w:r>
        <w:rPr>
          <w:rFonts w:ascii="Times New Roman" w:hAnsi="Times New Roman"/>
          <w:noProof/>
          <w:sz w:val="48"/>
          <w:szCs w:val="48"/>
          <w:lang w:val="ru-RU" w:eastAsia="ru-RU"/>
        </w:rPr>
        <w:pict>
          <v:shape id="_x0000_s1035" type="#_x0000_t32" style="position:absolute;left:0;text-align:left;margin-left:147.45pt;margin-top:3.85pt;width:96.75pt;height:39.25pt;flip:x;z-index:251644928" o:connectortype="straight">
            <v:stroke endarrow="block"/>
          </v:shape>
        </w:pict>
      </w:r>
    </w:p>
    <w:p w:rsidR="000F78D0" w:rsidRPr="00700AB3" w:rsidRDefault="000F78D0" w:rsidP="00AC605C">
      <w:pPr>
        <w:ind w:firstLine="426"/>
        <w:rPr>
          <w:rFonts w:ascii="Times New Roman" w:hAnsi="Times New Roman"/>
          <w:sz w:val="48"/>
          <w:szCs w:val="48"/>
          <w:lang w:val="uk-UA"/>
        </w:rPr>
      </w:pPr>
    </w:p>
    <w:p w:rsidR="000F78D0" w:rsidRPr="00700AB3"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39" type="#_x0000_t32" style="position:absolute;left:0;text-align:left;margin-left:216.45pt;margin-top:16.4pt;width:66pt;height:1.5pt;z-index:251649024" o:connectortype="straight">
            <v:stroke startarrow="block" endarrow="block"/>
          </v:shape>
        </w:pict>
      </w:r>
    </w:p>
    <w:p w:rsidR="000F78D0" w:rsidRPr="00700AB3"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38" type="#_x0000_t32" style="position:absolute;left:0;text-align:left;margin-left:263.7pt;margin-top:18.05pt;width:89.25pt;height:40.5pt;flip:x;z-index:251648000" o:connectortype="straight">
            <v:stroke endarrow="block"/>
          </v:shape>
        </w:pict>
      </w:r>
      <w:r>
        <w:rPr>
          <w:rFonts w:ascii="Times New Roman" w:hAnsi="Times New Roman"/>
          <w:noProof/>
          <w:sz w:val="48"/>
          <w:szCs w:val="48"/>
          <w:lang w:val="ru-RU" w:eastAsia="ru-RU"/>
        </w:rPr>
        <w:pict>
          <v:shape id="_x0000_s1037" type="#_x0000_t32" style="position:absolute;left:0;text-align:left;margin-left:139.2pt;margin-top:18.05pt;width:118.5pt;height:40.5pt;z-index:251646976" o:connectortype="straight">
            <v:stroke endarrow="block"/>
          </v:shape>
        </w:pict>
      </w:r>
    </w:p>
    <w:p w:rsidR="000F78D0" w:rsidRDefault="000F78D0" w:rsidP="00AC605C">
      <w:pPr>
        <w:ind w:firstLine="426"/>
        <w:rPr>
          <w:rFonts w:ascii="Times New Roman" w:hAnsi="Times New Roman"/>
          <w:sz w:val="48"/>
          <w:szCs w:val="48"/>
          <w:lang w:val="uk-UA"/>
        </w:rPr>
      </w:pPr>
    </w:p>
    <w:p w:rsidR="000F78D0"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40" type="#_x0000_t32" style="position:absolute;left:0;text-align:left;margin-left:263.7pt;margin-top:52.85pt;width:0;height:29.25pt;z-index:251650048" o:connectortype="straight">
            <v:stroke endarrow="block"/>
          </v:shape>
        </w:pict>
      </w:r>
      <w:r>
        <w:rPr>
          <w:rFonts w:ascii="Times New Roman" w:hAnsi="Times New Roman"/>
          <w:noProof/>
          <w:sz w:val="48"/>
          <w:szCs w:val="48"/>
          <w:lang w:val="ru-RU" w:eastAsia="ru-RU"/>
        </w:rPr>
        <w:pict>
          <v:shape id="_x0000_s1034" type="#_x0000_t202" style="position:absolute;left:0;text-align:left;margin-left:81.45pt;margin-top:3.35pt;width:351.75pt;height:49.5pt;z-index:251643904">
            <v:textbox>
              <w:txbxContent>
                <w:p w:rsidR="00251EA6" w:rsidRPr="00700AB3" w:rsidRDefault="00251EA6" w:rsidP="000F78D0">
                  <w:pPr>
                    <w:jc w:val="center"/>
                    <w:rPr>
                      <w:rFonts w:ascii="Times New Roman" w:hAnsi="Times New Roman"/>
                      <w:sz w:val="28"/>
                      <w:szCs w:val="28"/>
                      <w:lang w:val="uk-UA"/>
                    </w:rPr>
                  </w:pPr>
                  <w:r w:rsidRPr="00700AB3">
                    <w:rPr>
                      <w:rFonts w:ascii="Times New Roman" w:hAnsi="Times New Roman"/>
                      <w:sz w:val="28"/>
                      <w:szCs w:val="28"/>
                      <w:lang w:val="uk-UA"/>
                    </w:rPr>
                    <w:t>Визначення предикторів розвитку запальних захворювань пародонта у дівчат-підлітків з ПМФ</w:t>
                  </w:r>
                </w:p>
              </w:txbxContent>
            </v:textbox>
          </v:shape>
        </w:pict>
      </w:r>
      <w:r w:rsidR="000F78D0">
        <w:rPr>
          <w:rFonts w:ascii="Times New Roman" w:hAnsi="Times New Roman"/>
          <w:sz w:val="48"/>
          <w:szCs w:val="48"/>
          <w:lang w:val="uk-UA"/>
        </w:rPr>
        <w:t>ІІІ</w:t>
      </w:r>
    </w:p>
    <w:p w:rsidR="000F78D0" w:rsidRPr="00700AB3" w:rsidRDefault="000F78D0" w:rsidP="00AC605C">
      <w:pPr>
        <w:ind w:firstLine="426"/>
        <w:rPr>
          <w:rFonts w:ascii="Times New Roman" w:hAnsi="Times New Roman"/>
          <w:sz w:val="48"/>
          <w:szCs w:val="48"/>
          <w:lang w:val="uk-UA"/>
        </w:rPr>
      </w:pPr>
    </w:p>
    <w:p w:rsidR="000F78D0"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41" type="#_x0000_t202" style="position:absolute;left:0;text-align:left;margin-left:90.45pt;margin-top:26.9pt;width:342.75pt;height:57pt;z-index:251651072">
            <v:textbox>
              <w:txbxContent>
                <w:p w:rsidR="00251EA6" w:rsidRPr="00700AB3" w:rsidRDefault="00251EA6" w:rsidP="000F78D0">
                  <w:pPr>
                    <w:jc w:val="center"/>
                    <w:rPr>
                      <w:rFonts w:ascii="Times New Roman" w:hAnsi="Times New Roman"/>
                      <w:sz w:val="28"/>
                      <w:szCs w:val="28"/>
                      <w:lang w:val="uk-UA"/>
                    </w:rPr>
                  </w:pPr>
                  <w:r w:rsidRPr="00700AB3">
                    <w:rPr>
                      <w:rFonts w:ascii="Times New Roman" w:hAnsi="Times New Roman"/>
                      <w:sz w:val="28"/>
                      <w:szCs w:val="28"/>
                      <w:lang w:val="uk-UA"/>
                    </w:rPr>
                    <w:t xml:space="preserve">Визначення </w:t>
                  </w:r>
                  <w:r>
                    <w:rPr>
                      <w:rFonts w:ascii="Times New Roman" w:hAnsi="Times New Roman"/>
                      <w:sz w:val="28"/>
                      <w:szCs w:val="28"/>
                      <w:lang w:val="uk-UA"/>
                    </w:rPr>
                    <w:t>факторів, що впливають на тяжкість перебігу</w:t>
                  </w:r>
                  <w:r w:rsidRPr="00700AB3">
                    <w:rPr>
                      <w:rFonts w:ascii="Times New Roman" w:hAnsi="Times New Roman"/>
                      <w:sz w:val="28"/>
                      <w:szCs w:val="28"/>
                      <w:lang w:val="uk-UA"/>
                    </w:rPr>
                    <w:t xml:space="preserve"> запальних захворювань пародонта у дівчат-підлітків з ПМФ</w:t>
                  </w:r>
                </w:p>
                <w:p w:rsidR="00251EA6" w:rsidRPr="00700AB3" w:rsidRDefault="00251EA6" w:rsidP="000F78D0">
                  <w:pPr>
                    <w:rPr>
                      <w:lang w:val="uk-UA"/>
                    </w:rPr>
                  </w:pPr>
                </w:p>
              </w:txbxContent>
            </v:textbox>
          </v:shape>
        </w:pict>
      </w:r>
    </w:p>
    <w:p w:rsidR="000F78D0" w:rsidRDefault="00211C4A" w:rsidP="00AC605C">
      <w:pPr>
        <w:tabs>
          <w:tab w:val="left" w:pos="870"/>
          <w:tab w:val="left" w:pos="2115"/>
        </w:tabs>
        <w:ind w:firstLine="426"/>
        <w:rPr>
          <w:rFonts w:ascii="Times New Roman" w:hAnsi="Times New Roman"/>
          <w:sz w:val="48"/>
          <w:szCs w:val="48"/>
          <w:lang w:val="uk-UA"/>
        </w:rPr>
      </w:pPr>
      <w:r>
        <w:rPr>
          <w:rFonts w:ascii="Times New Roman" w:hAnsi="Times New Roman"/>
          <w:noProof/>
          <w:sz w:val="48"/>
          <w:szCs w:val="48"/>
          <w:lang w:val="ru-RU" w:eastAsia="ru-RU"/>
        </w:rPr>
        <w:pict>
          <v:shape id="_x0000_s1046" type="#_x0000_t32" style="position:absolute;left:0;text-align:left;margin-left:244.2pt;margin-top:124.55pt;width:34.5pt;height:0;z-index:251656192" o:connectortype="straight">
            <v:stroke startarrow="block" endarrow="block"/>
          </v:shape>
        </w:pict>
      </w:r>
      <w:r>
        <w:rPr>
          <w:rFonts w:ascii="Times New Roman" w:hAnsi="Times New Roman"/>
          <w:noProof/>
          <w:sz w:val="48"/>
          <w:szCs w:val="48"/>
          <w:lang w:val="ru-RU" w:eastAsia="ru-RU"/>
        </w:rPr>
        <w:pict>
          <v:shape id="_x0000_s1045" type="#_x0000_t32" style="position:absolute;left:0;text-align:left;margin-left:263.7pt;margin-top:56.3pt;width:96.75pt;height:29.25pt;z-index:251655168" o:connectortype="straight">
            <v:stroke endarrow="block"/>
          </v:shape>
        </w:pict>
      </w:r>
      <w:r>
        <w:rPr>
          <w:rFonts w:ascii="Times New Roman" w:hAnsi="Times New Roman"/>
          <w:noProof/>
          <w:sz w:val="48"/>
          <w:szCs w:val="48"/>
          <w:lang w:val="ru-RU" w:eastAsia="ru-RU"/>
        </w:rPr>
        <w:pict>
          <v:shape id="_x0000_s1044" type="#_x0000_t32" style="position:absolute;left:0;text-align:left;margin-left:172.95pt;margin-top:56.3pt;width:90.75pt;height:29.25pt;flip:x;z-index:251654144" o:connectortype="straight">
            <v:stroke endarrow="block"/>
          </v:shape>
        </w:pict>
      </w:r>
      <w:r>
        <w:rPr>
          <w:rFonts w:ascii="Times New Roman" w:hAnsi="Times New Roman"/>
          <w:noProof/>
          <w:sz w:val="48"/>
          <w:szCs w:val="48"/>
          <w:lang w:val="ru-RU" w:eastAsia="ru-RU"/>
        </w:rPr>
        <w:pict>
          <v:shape id="_x0000_s1042" type="#_x0000_t202" style="position:absolute;left:0;text-align:left;margin-left:90.45pt;margin-top:85.55pt;width:153.75pt;height:87.75pt;z-index:251652096">
            <v:textbox>
              <w:txbxContent>
                <w:p w:rsidR="00251EA6" w:rsidRPr="00862CB9" w:rsidRDefault="00251EA6" w:rsidP="000F78D0">
                  <w:pPr>
                    <w:jc w:val="center"/>
                    <w:rPr>
                      <w:rFonts w:ascii="Times New Roman" w:hAnsi="Times New Roman"/>
                      <w:sz w:val="28"/>
                      <w:szCs w:val="28"/>
                      <w:lang w:val="uk-UA"/>
                    </w:rPr>
                  </w:pPr>
                  <w:r>
                    <w:rPr>
                      <w:rFonts w:ascii="Times New Roman" w:hAnsi="Times New Roman"/>
                      <w:sz w:val="28"/>
                      <w:szCs w:val="28"/>
                      <w:lang w:val="uk-UA"/>
                    </w:rPr>
                    <w:t>Хворі з легким перебігом хронічного катарального гінгівіта</w:t>
                  </w:r>
                  <w:r w:rsidRPr="00862CB9">
                    <w:rPr>
                      <w:rFonts w:ascii="Times New Roman" w:hAnsi="Times New Roman"/>
                      <w:sz w:val="28"/>
                      <w:szCs w:val="28"/>
                      <w:lang w:val="uk-UA"/>
                    </w:rPr>
                    <w:t xml:space="preserve">, </w:t>
                  </w:r>
                  <w:r w:rsidRPr="00862CB9">
                    <w:rPr>
                      <w:rFonts w:ascii="Times New Roman" w:hAnsi="Times New Roman"/>
                      <w:sz w:val="28"/>
                      <w:szCs w:val="28"/>
                    </w:rPr>
                    <w:t>n</w:t>
                  </w:r>
                  <w:r>
                    <w:rPr>
                      <w:rFonts w:ascii="Times New Roman" w:hAnsi="Times New Roman"/>
                      <w:sz w:val="28"/>
                      <w:szCs w:val="28"/>
                      <w:lang w:val="uk-UA"/>
                    </w:rPr>
                    <w:t>=24</w:t>
                  </w:r>
                </w:p>
                <w:p w:rsidR="00251EA6" w:rsidRPr="00700AB3" w:rsidRDefault="00251EA6" w:rsidP="000F78D0">
                  <w:pPr>
                    <w:rPr>
                      <w:lang w:val="ru-RU"/>
                    </w:rPr>
                  </w:pPr>
                </w:p>
                <w:p w:rsidR="00251EA6" w:rsidRPr="00700AB3" w:rsidRDefault="00251EA6" w:rsidP="000F78D0">
                  <w:pPr>
                    <w:rPr>
                      <w:lang w:val="ru-RU"/>
                    </w:rPr>
                  </w:pPr>
                </w:p>
              </w:txbxContent>
            </v:textbox>
          </v:shape>
        </w:pict>
      </w:r>
      <w:r>
        <w:rPr>
          <w:rFonts w:ascii="Times New Roman" w:hAnsi="Times New Roman"/>
          <w:noProof/>
          <w:sz w:val="48"/>
          <w:szCs w:val="48"/>
          <w:lang w:val="ru-RU" w:eastAsia="ru-RU"/>
        </w:rPr>
        <w:pict>
          <v:shape id="_x0000_s1043" type="#_x0000_t202" style="position:absolute;left:0;text-align:left;margin-left:278.7pt;margin-top:85.55pt;width:180.75pt;height:87.75pt;z-index:251653120">
            <v:textbox>
              <w:txbxContent>
                <w:p w:rsidR="00251EA6" w:rsidRPr="00862CB9" w:rsidRDefault="00251EA6" w:rsidP="000F78D0">
                  <w:pPr>
                    <w:jc w:val="center"/>
                    <w:rPr>
                      <w:rFonts w:ascii="Times New Roman" w:hAnsi="Times New Roman"/>
                      <w:sz w:val="28"/>
                      <w:szCs w:val="28"/>
                      <w:lang w:val="uk-UA"/>
                    </w:rPr>
                  </w:pPr>
                  <w:r>
                    <w:rPr>
                      <w:rFonts w:ascii="Times New Roman" w:hAnsi="Times New Roman"/>
                      <w:sz w:val="28"/>
                      <w:szCs w:val="28"/>
                      <w:lang w:val="uk-UA"/>
                    </w:rPr>
                    <w:t>Хворі з середньо тяжким перебігом ХКГ, гіпертрофічним гінгівітом і хронічним пародонтитом</w:t>
                  </w:r>
                  <w:r w:rsidRPr="00862CB9">
                    <w:rPr>
                      <w:rFonts w:ascii="Times New Roman" w:hAnsi="Times New Roman"/>
                      <w:sz w:val="28"/>
                      <w:szCs w:val="28"/>
                      <w:lang w:val="uk-UA"/>
                    </w:rPr>
                    <w:t xml:space="preserve">, </w:t>
                  </w:r>
                  <w:r w:rsidRPr="00862CB9">
                    <w:rPr>
                      <w:rFonts w:ascii="Times New Roman" w:hAnsi="Times New Roman"/>
                      <w:sz w:val="28"/>
                      <w:szCs w:val="28"/>
                    </w:rPr>
                    <w:t>n</w:t>
                  </w:r>
                  <w:r>
                    <w:rPr>
                      <w:rFonts w:ascii="Times New Roman" w:hAnsi="Times New Roman"/>
                      <w:sz w:val="28"/>
                      <w:szCs w:val="28"/>
                      <w:lang w:val="uk-UA"/>
                    </w:rPr>
                    <w:t>=26</w:t>
                  </w:r>
                </w:p>
                <w:p w:rsidR="00251EA6" w:rsidRPr="00700AB3" w:rsidRDefault="00251EA6" w:rsidP="000F78D0">
                  <w:pPr>
                    <w:rPr>
                      <w:lang w:val="ru-RU"/>
                    </w:rPr>
                  </w:pPr>
                </w:p>
                <w:p w:rsidR="00251EA6" w:rsidRPr="00700AB3" w:rsidRDefault="00251EA6" w:rsidP="000F78D0">
                  <w:pPr>
                    <w:rPr>
                      <w:lang w:val="ru-RU"/>
                    </w:rPr>
                  </w:pPr>
                </w:p>
              </w:txbxContent>
            </v:textbox>
          </v:shape>
        </w:pict>
      </w:r>
      <w:r w:rsidR="000F78D0">
        <w:rPr>
          <w:rFonts w:ascii="Times New Roman" w:hAnsi="Times New Roman"/>
          <w:sz w:val="48"/>
          <w:szCs w:val="48"/>
          <w:lang w:val="uk-UA"/>
        </w:rPr>
        <w:tab/>
        <w:t>І</w:t>
      </w:r>
      <w:r w:rsidR="000F78D0">
        <w:rPr>
          <w:rFonts w:ascii="Times New Roman" w:hAnsi="Times New Roman"/>
          <w:sz w:val="48"/>
          <w:szCs w:val="48"/>
        </w:rPr>
        <w:t>V</w:t>
      </w:r>
    </w:p>
    <w:p w:rsidR="000F78D0" w:rsidRDefault="000F78D0" w:rsidP="00AC605C">
      <w:pPr>
        <w:tabs>
          <w:tab w:val="left" w:pos="870"/>
          <w:tab w:val="left" w:pos="2115"/>
        </w:tabs>
        <w:ind w:firstLine="426"/>
        <w:rPr>
          <w:rFonts w:ascii="Times New Roman" w:hAnsi="Times New Roman"/>
          <w:sz w:val="48"/>
          <w:szCs w:val="48"/>
          <w:lang w:val="uk-UA"/>
        </w:rPr>
      </w:pPr>
    </w:p>
    <w:p w:rsidR="000F78D0" w:rsidRDefault="000F78D0" w:rsidP="00AC605C">
      <w:pPr>
        <w:tabs>
          <w:tab w:val="left" w:pos="870"/>
          <w:tab w:val="left" w:pos="2115"/>
        </w:tabs>
        <w:ind w:firstLine="426"/>
        <w:rPr>
          <w:rFonts w:ascii="Times New Roman" w:hAnsi="Times New Roman"/>
          <w:sz w:val="48"/>
          <w:szCs w:val="48"/>
          <w:lang w:val="uk-UA"/>
        </w:rPr>
      </w:pPr>
    </w:p>
    <w:p w:rsidR="000F78D0" w:rsidRDefault="000F78D0" w:rsidP="00AC605C">
      <w:pPr>
        <w:tabs>
          <w:tab w:val="left" w:pos="870"/>
          <w:tab w:val="left" w:pos="2115"/>
        </w:tabs>
        <w:ind w:firstLine="426"/>
        <w:rPr>
          <w:rFonts w:ascii="Times New Roman" w:hAnsi="Times New Roman"/>
          <w:sz w:val="48"/>
          <w:szCs w:val="48"/>
          <w:lang w:val="uk-UA"/>
        </w:rPr>
      </w:pPr>
    </w:p>
    <w:p w:rsidR="000F78D0" w:rsidRDefault="000F78D0" w:rsidP="00AC605C">
      <w:pPr>
        <w:tabs>
          <w:tab w:val="left" w:pos="870"/>
          <w:tab w:val="left" w:pos="2115"/>
        </w:tabs>
        <w:ind w:firstLine="426"/>
        <w:rPr>
          <w:rFonts w:ascii="Times New Roman" w:hAnsi="Times New Roman"/>
          <w:sz w:val="48"/>
          <w:szCs w:val="48"/>
          <w:lang w:val="uk-UA"/>
        </w:rPr>
      </w:pPr>
    </w:p>
    <w:p w:rsidR="000F78D0" w:rsidRDefault="000F78D0" w:rsidP="00AC605C">
      <w:pPr>
        <w:tabs>
          <w:tab w:val="left" w:pos="870"/>
          <w:tab w:val="left" w:pos="2115"/>
        </w:tabs>
        <w:ind w:firstLine="426"/>
        <w:rPr>
          <w:rFonts w:ascii="Times New Roman" w:hAnsi="Times New Roman"/>
          <w:sz w:val="48"/>
          <w:szCs w:val="48"/>
          <w:lang w:val="uk-UA"/>
        </w:rPr>
      </w:pPr>
    </w:p>
    <w:p w:rsidR="000F78D0" w:rsidRDefault="00211C4A" w:rsidP="00AC605C">
      <w:pPr>
        <w:tabs>
          <w:tab w:val="left" w:pos="870"/>
          <w:tab w:val="left" w:pos="2115"/>
        </w:tabs>
        <w:ind w:firstLine="426"/>
        <w:rPr>
          <w:rFonts w:ascii="Times New Roman" w:hAnsi="Times New Roman"/>
          <w:sz w:val="48"/>
          <w:szCs w:val="48"/>
          <w:lang w:val="uk-UA"/>
        </w:rPr>
      </w:pPr>
      <w:r>
        <w:rPr>
          <w:rFonts w:ascii="Times New Roman" w:hAnsi="Times New Roman"/>
          <w:noProof/>
          <w:sz w:val="48"/>
          <w:szCs w:val="48"/>
          <w:lang w:val="ru-RU" w:eastAsia="ru-RU"/>
        </w:rPr>
        <w:pict>
          <v:shape id="_x0000_s1048" type="#_x0000_t32" style="position:absolute;left:0;text-align:left;margin-left:169.2pt;margin-top:8.4pt;width:79.5pt;height:32.25pt;z-index:251658240" o:connectortype="straight">
            <v:stroke endarrow="block"/>
          </v:shape>
        </w:pict>
      </w:r>
      <w:r>
        <w:rPr>
          <w:rFonts w:ascii="Times New Roman" w:hAnsi="Times New Roman"/>
          <w:noProof/>
          <w:sz w:val="48"/>
          <w:szCs w:val="48"/>
          <w:lang w:val="ru-RU" w:eastAsia="ru-RU"/>
        </w:rPr>
        <w:pict>
          <v:shape id="_x0000_s1047" type="#_x0000_t32" style="position:absolute;left:0;text-align:left;margin-left:308.7pt;margin-top:7.7pt;width:51.75pt;height:32.95pt;flip:x;z-index:251657216" o:connectortype="straight">
            <v:stroke endarrow="block"/>
          </v:shape>
        </w:pict>
      </w:r>
    </w:p>
    <w:p w:rsidR="000F78D0" w:rsidRDefault="00211C4A" w:rsidP="00AC605C">
      <w:pPr>
        <w:tabs>
          <w:tab w:val="left" w:pos="870"/>
          <w:tab w:val="left" w:pos="2115"/>
        </w:tabs>
        <w:ind w:firstLine="426"/>
        <w:rPr>
          <w:rFonts w:ascii="Times New Roman" w:hAnsi="Times New Roman"/>
          <w:sz w:val="48"/>
          <w:szCs w:val="48"/>
          <w:lang w:val="uk-UA"/>
        </w:rPr>
      </w:pPr>
      <w:r>
        <w:rPr>
          <w:rFonts w:ascii="Times New Roman" w:hAnsi="Times New Roman"/>
          <w:noProof/>
          <w:sz w:val="48"/>
          <w:szCs w:val="48"/>
          <w:lang w:val="ru-RU" w:eastAsia="ru-RU"/>
        </w:rPr>
        <w:pict>
          <v:shape id="_x0000_s1049" type="#_x0000_t202" style="position:absolute;left:0;text-align:left;margin-left:73.2pt;margin-top:13.05pt;width:335.25pt;height:65.25pt;z-index:251659264">
            <v:textbox>
              <w:txbxContent>
                <w:p w:rsidR="00251EA6" w:rsidRDefault="00251EA6" w:rsidP="000F78D0">
                  <w:pPr>
                    <w:jc w:val="center"/>
                    <w:rPr>
                      <w:rFonts w:ascii="Times New Roman" w:hAnsi="Times New Roman"/>
                      <w:sz w:val="28"/>
                      <w:szCs w:val="28"/>
                      <w:lang w:val="uk-UA"/>
                    </w:rPr>
                  </w:pPr>
                  <w:r>
                    <w:rPr>
                      <w:rFonts w:ascii="Times New Roman" w:hAnsi="Times New Roman"/>
                      <w:sz w:val="28"/>
                      <w:szCs w:val="28"/>
                      <w:lang w:val="uk-UA"/>
                    </w:rPr>
                    <w:t xml:space="preserve">Визначення предикторів тяжкості перебігу запальних захворювань пародонта у дівчат-підлітків з ПМФ, </w:t>
                  </w:r>
                  <w:r>
                    <w:rPr>
                      <w:rFonts w:ascii="Times New Roman" w:hAnsi="Times New Roman"/>
                      <w:sz w:val="28"/>
                      <w:szCs w:val="28"/>
                    </w:rPr>
                    <w:t>n</w:t>
                  </w:r>
                  <w:r>
                    <w:rPr>
                      <w:rFonts w:ascii="Times New Roman" w:hAnsi="Times New Roman"/>
                      <w:sz w:val="28"/>
                      <w:szCs w:val="28"/>
                      <w:lang w:val="uk-UA"/>
                    </w:rPr>
                    <w:t>=50</w:t>
                  </w:r>
                </w:p>
                <w:p w:rsidR="00251EA6" w:rsidRPr="006F4FB2" w:rsidRDefault="00251EA6" w:rsidP="000F78D0">
                  <w:pPr>
                    <w:rPr>
                      <w:lang w:val="ru-RU"/>
                    </w:rPr>
                  </w:pPr>
                </w:p>
                <w:p w:rsidR="00251EA6" w:rsidRDefault="00251EA6" w:rsidP="000F78D0">
                  <w:pPr>
                    <w:jc w:val="center"/>
                    <w:rPr>
                      <w:rFonts w:ascii="Times New Roman" w:hAnsi="Times New Roman"/>
                      <w:sz w:val="28"/>
                      <w:szCs w:val="28"/>
                      <w:lang w:val="uk-UA"/>
                    </w:rPr>
                  </w:pPr>
                </w:p>
                <w:p w:rsidR="00251EA6" w:rsidRPr="00DC0A44" w:rsidRDefault="00251EA6" w:rsidP="000F78D0">
                  <w:pPr>
                    <w:rPr>
                      <w:lang w:val="uk-UA"/>
                    </w:rPr>
                  </w:pPr>
                </w:p>
              </w:txbxContent>
            </v:textbox>
          </v:shape>
        </w:pict>
      </w:r>
    </w:p>
    <w:p w:rsidR="000F78D0" w:rsidRDefault="000F78D0" w:rsidP="00AC605C">
      <w:pPr>
        <w:tabs>
          <w:tab w:val="left" w:pos="870"/>
          <w:tab w:val="left" w:pos="2115"/>
        </w:tabs>
        <w:ind w:firstLine="426"/>
        <w:rPr>
          <w:rFonts w:ascii="Times New Roman" w:hAnsi="Times New Roman"/>
          <w:sz w:val="48"/>
          <w:szCs w:val="48"/>
          <w:lang w:val="uk-UA"/>
        </w:rPr>
      </w:pPr>
      <w:r>
        <w:rPr>
          <w:rFonts w:ascii="Times New Roman" w:hAnsi="Times New Roman"/>
          <w:sz w:val="48"/>
          <w:szCs w:val="48"/>
          <w:lang w:val="uk-UA"/>
        </w:rPr>
        <w:t xml:space="preserve">   </w:t>
      </w:r>
      <w:r>
        <w:rPr>
          <w:rFonts w:ascii="Times New Roman" w:hAnsi="Times New Roman"/>
          <w:sz w:val="48"/>
          <w:szCs w:val="48"/>
        </w:rPr>
        <w:t>V</w:t>
      </w:r>
    </w:p>
    <w:p w:rsidR="000F78D0" w:rsidRPr="00DC0A44" w:rsidRDefault="000F78D0" w:rsidP="00AC605C">
      <w:pPr>
        <w:tabs>
          <w:tab w:val="left" w:pos="870"/>
          <w:tab w:val="left" w:pos="2115"/>
        </w:tabs>
        <w:ind w:firstLine="426"/>
        <w:rPr>
          <w:rFonts w:ascii="Times New Roman" w:hAnsi="Times New Roman"/>
          <w:sz w:val="48"/>
          <w:szCs w:val="48"/>
          <w:lang w:val="uk-UA"/>
        </w:rPr>
      </w:pPr>
    </w:p>
    <w:p w:rsidR="000F78D0"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51" type="#_x0000_t32" style="position:absolute;left:0;text-align:left;margin-left:237.45pt;margin-top:-32.1pt;width:1.5pt;height:43.5pt;z-index:251661312" o:connectortype="straight">
            <v:stroke endarrow="block"/>
          </v:shape>
        </w:pict>
      </w:r>
      <w:r>
        <w:rPr>
          <w:rFonts w:ascii="Times New Roman" w:hAnsi="Times New Roman"/>
          <w:noProof/>
          <w:sz w:val="48"/>
          <w:szCs w:val="48"/>
          <w:lang w:val="ru-RU" w:eastAsia="ru-RU"/>
        </w:rPr>
        <w:pict>
          <v:shape id="_x0000_s1050" type="#_x0000_t202" style="position:absolute;left:0;text-align:left;margin-left:73.2pt;margin-top:11.4pt;width:341.25pt;height:58.5pt;z-index:251660288">
            <v:textbox>
              <w:txbxContent>
                <w:p w:rsidR="00251EA6" w:rsidRDefault="00251EA6" w:rsidP="000F78D0">
                  <w:pPr>
                    <w:jc w:val="center"/>
                    <w:rPr>
                      <w:rFonts w:ascii="Times New Roman" w:hAnsi="Times New Roman"/>
                      <w:sz w:val="28"/>
                      <w:szCs w:val="28"/>
                      <w:lang w:val="uk-UA"/>
                    </w:rPr>
                  </w:pPr>
                  <w:r>
                    <w:rPr>
                      <w:rFonts w:ascii="Times New Roman" w:hAnsi="Times New Roman"/>
                      <w:sz w:val="28"/>
                      <w:szCs w:val="28"/>
                      <w:lang w:val="uk-UA"/>
                    </w:rPr>
                    <w:t>Розробка інноваційної системи профілактики розвитку запальних захворювань пародонта у дівчат-підлітків з ПМФ</w:t>
                  </w:r>
                </w:p>
                <w:p w:rsidR="00251EA6" w:rsidRPr="00DC0A44" w:rsidRDefault="00251EA6" w:rsidP="000F78D0">
                  <w:pPr>
                    <w:rPr>
                      <w:lang w:val="uk-UA"/>
                    </w:rPr>
                  </w:pPr>
                </w:p>
              </w:txbxContent>
            </v:textbox>
          </v:shape>
        </w:pict>
      </w:r>
    </w:p>
    <w:p w:rsidR="000F78D0"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52" type="#_x0000_t202" style="position:absolute;left:0;text-align:left;margin-left:73.2pt;margin-top:79.8pt;width:345.75pt;height:62.25pt;z-index:251662336">
            <v:textbox>
              <w:txbxContent>
                <w:p w:rsidR="00251EA6" w:rsidRDefault="00251EA6" w:rsidP="000F78D0">
                  <w:pPr>
                    <w:jc w:val="center"/>
                    <w:rPr>
                      <w:rFonts w:ascii="Times New Roman" w:hAnsi="Times New Roman"/>
                      <w:sz w:val="28"/>
                      <w:szCs w:val="28"/>
                      <w:lang w:val="uk-UA"/>
                    </w:rPr>
                  </w:pPr>
                  <w:r>
                    <w:rPr>
                      <w:rFonts w:ascii="Times New Roman" w:hAnsi="Times New Roman"/>
                      <w:sz w:val="28"/>
                      <w:szCs w:val="28"/>
                      <w:lang w:val="uk-UA"/>
                    </w:rPr>
                    <w:t>Оцінка ефективності вдосконаленої системи профілактики розвитку запальних захворювань пародонта у дівчат-підлітків з ПМФ</w:t>
                  </w:r>
                </w:p>
                <w:p w:rsidR="00251EA6" w:rsidRPr="00DC0A44" w:rsidRDefault="00251EA6" w:rsidP="000F78D0">
                  <w:pPr>
                    <w:rPr>
                      <w:lang w:val="uk-UA"/>
                    </w:rPr>
                  </w:pPr>
                </w:p>
              </w:txbxContent>
            </v:textbox>
          </v:shape>
        </w:pict>
      </w:r>
      <w:r w:rsidR="000F78D0">
        <w:rPr>
          <w:rFonts w:ascii="Times New Roman" w:hAnsi="Times New Roman"/>
          <w:sz w:val="48"/>
          <w:szCs w:val="48"/>
          <w:lang w:val="uk-UA"/>
        </w:rPr>
        <w:t xml:space="preserve">   </w:t>
      </w:r>
      <w:r w:rsidR="000F78D0">
        <w:rPr>
          <w:rFonts w:ascii="Times New Roman" w:hAnsi="Times New Roman"/>
          <w:sz w:val="48"/>
          <w:szCs w:val="48"/>
        </w:rPr>
        <w:t>V</w:t>
      </w:r>
      <w:r w:rsidR="000F78D0">
        <w:rPr>
          <w:rFonts w:ascii="Times New Roman" w:hAnsi="Times New Roman"/>
          <w:sz w:val="48"/>
          <w:szCs w:val="48"/>
          <w:lang w:val="uk-UA"/>
        </w:rPr>
        <w:t>І</w:t>
      </w:r>
    </w:p>
    <w:p w:rsidR="000F78D0" w:rsidRPr="00DC0A44"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53" type="#_x0000_t32" style="position:absolute;left:0;text-align:left;margin-left:233.7pt;margin-top:14.7pt;width:0;height:37.5pt;z-index:251663360" o:connectortype="straight">
            <v:stroke endarrow="block"/>
          </v:shape>
        </w:pict>
      </w:r>
    </w:p>
    <w:p w:rsidR="000F78D0" w:rsidRDefault="000F78D0" w:rsidP="00AC605C">
      <w:pPr>
        <w:ind w:firstLine="426"/>
        <w:rPr>
          <w:rFonts w:ascii="Times New Roman" w:hAnsi="Times New Roman"/>
          <w:sz w:val="48"/>
          <w:szCs w:val="48"/>
          <w:lang w:val="uk-UA"/>
        </w:rPr>
      </w:pPr>
    </w:p>
    <w:p w:rsidR="000F78D0" w:rsidRDefault="00211C4A" w:rsidP="00AC605C">
      <w:pPr>
        <w:ind w:firstLine="426"/>
        <w:rPr>
          <w:rFonts w:ascii="Times New Roman" w:hAnsi="Times New Roman"/>
          <w:sz w:val="48"/>
          <w:szCs w:val="48"/>
          <w:lang w:val="uk-UA"/>
        </w:rPr>
      </w:pPr>
      <w:r>
        <w:rPr>
          <w:rFonts w:ascii="Times New Roman" w:hAnsi="Times New Roman"/>
          <w:noProof/>
          <w:sz w:val="48"/>
          <w:szCs w:val="48"/>
          <w:lang w:val="ru-RU" w:eastAsia="ru-RU"/>
        </w:rPr>
        <w:pict>
          <v:shape id="_x0000_s1057" type="#_x0000_t32" style="position:absolute;left:0;text-align:left;margin-left:159.45pt;margin-top:59.25pt;width:79.5pt;height:42pt;flip:x;z-index:251667456" o:connectortype="straight">
            <v:stroke endarrow="block"/>
          </v:shape>
        </w:pict>
      </w:r>
      <w:r>
        <w:rPr>
          <w:rFonts w:ascii="Times New Roman" w:hAnsi="Times New Roman"/>
          <w:noProof/>
          <w:sz w:val="48"/>
          <w:szCs w:val="48"/>
          <w:lang w:val="ru-RU" w:eastAsia="ru-RU"/>
        </w:rPr>
        <w:pict>
          <v:shape id="_x0000_s1056" type="#_x0000_t32" style="position:absolute;left:0;text-align:left;margin-left:238.95pt;margin-top:59.25pt;width:82.5pt;height:42pt;z-index:251666432" o:connectortype="straight">
            <v:stroke endarrow="block"/>
          </v:shape>
        </w:pict>
      </w:r>
      <w:r>
        <w:rPr>
          <w:rFonts w:ascii="Times New Roman" w:hAnsi="Times New Roman"/>
          <w:noProof/>
          <w:sz w:val="48"/>
          <w:szCs w:val="48"/>
          <w:lang w:val="ru-RU" w:eastAsia="ru-RU"/>
        </w:rPr>
        <w:pict>
          <v:shape id="_x0000_s1055" type="#_x0000_t202" style="position:absolute;left:0;text-align:left;margin-left:260.7pt;margin-top:101.25pt;width:138.75pt;height:77.25pt;z-index:251665408">
            <v:textbox>
              <w:txbxContent>
                <w:p w:rsidR="00251EA6" w:rsidRDefault="00251EA6" w:rsidP="000F78D0">
                  <w:pPr>
                    <w:jc w:val="center"/>
                    <w:rPr>
                      <w:rFonts w:ascii="Times New Roman" w:hAnsi="Times New Roman"/>
                      <w:sz w:val="28"/>
                      <w:szCs w:val="28"/>
                      <w:lang w:val="uk-UA"/>
                    </w:rPr>
                  </w:pPr>
                  <w:r>
                    <w:rPr>
                      <w:rFonts w:ascii="Times New Roman" w:hAnsi="Times New Roman"/>
                      <w:sz w:val="28"/>
                      <w:szCs w:val="28"/>
                      <w:lang w:val="uk-UA"/>
                    </w:rPr>
                    <w:t xml:space="preserve">Застосування вдосконаленої системи профілактики, </w:t>
                  </w:r>
                  <w:r>
                    <w:rPr>
                      <w:rFonts w:ascii="Times New Roman" w:hAnsi="Times New Roman"/>
                      <w:sz w:val="28"/>
                      <w:szCs w:val="28"/>
                    </w:rPr>
                    <w:t>n</w:t>
                  </w:r>
                  <w:r>
                    <w:rPr>
                      <w:rFonts w:ascii="Times New Roman" w:hAnsi="Times New Roman"/>
                      <w:sz w:val="28"/>
                      <w:szCs w:val="28"/>
                      <w:lang w:val="uk-UA"/>
                    </w:rPr>
                    <w:t>=30</w:t>
                  </w:r>
                </w:p>
                <w:p w:rsidR="00251EA6" w:rsidRPr="00DC0A44" w:rsidRDefault="00251EA6" w:rsidP="000F78D0">
                  <w:pPr>
                    <w:rPr>
                      <w:lang w:val="uk-UA"/>
                    </w:rPr>
                  </w:pPr>
                </w:p>
              </w:txbxContent>
            </v:textbox>
          </v:shape>
        </w:pict>
      </w:r>
      <w:r>
        <w:rPr>
          <w:rFonts w:ascii="Times New Roman" w:hAnsi="Times New Roman"/>
          <w:noProof/>
          <w:sz w:val="48"/>
          <w:szCs w:val="48"/>
          <w:lang w:val="ru-RU" w:eastAsia="ru-RU"/>
        </w:rPr>
        <w:pict>
          <v:shape id="_x0000_s1054" type="#_x0000_t202" style="position:absolute;left:0;text-align:left;margin-left:79.2pt;margin-top:101.25pt;width:143.25pt;height:61.5pt;z-index:251664384">
            <v:textbox>
              <w:txbxContent>
                <w:p w:rsidR="00251EA6" w:rsidRDefault="00251EA6" w:rsidP="000F78D0">
                  <w:pPr>
                    <w:jc w:val="center"/>
                    <w:rPr>
                      <w:rFonts w:ascii="Times New Roman" w:hAnsi="Times New Roman"/>
                      <w:sz w:val="28"/>
                      <w:szCs w:val="28"/>
                      <w:lang w:val="uk-UA"/>
                    </w:rPr>
                  </w:pPr>
                  <w:r>
                    <w:rPr>
                      <w:rFonts w:ascii="Times New Roman" w:hAnsi="Times New Roman"/>
                      <w:sz w:val="28"/>
                      <w:szCs w:val="28"/>
                      <w:lang w:val="uk-UA"/>
                    </w:rPr>
                    <w:t xml:space="preserve">Застосування традиційної системи профілактики, </w:t>
                  </w:r>
                  <w:r>
                    <w:rPr>
                      <w:rFonts w:ascii="Times New Roman" w:hAnsi="Times New Roman"/>
                      <w:sz w:val="28"/>
                      <w:szCs w:val="28"/>
                    </w:rPr>
                    <w:t>n</w:t>
                  </w:r>
                  <w:r>
                    <w:rPr>
                      <w:rFonts w:ascii="Times New Roman" w:hAnsi="Times New Roman"/>
                      <w:sz w:val="28"/>
                      <w:szCs w:val="28"/>
                      <w:lang w:val="uk-UA"/>
                    </w:rPr>
                    <w:t>=30</w:t>
                  </w:r>
                </w:p>
                <w:p w:rsidR="00251EA6" w:rsidRPr="00DC0A44" w:rsidRDefault="00251EA6" w:rsidP="000F78D0">
                  <w:pPr>
                    <w:rPr>
                      <w:lang w:val="ru-RU"/>
                    </w:rPr>
                  </w:pPr>
                </w:p>
              </w:txbxContent>
            </v:textbox>
          </v:shape>
        </w:pict>
      </w:r>
      <w:r w:rsidR="000F78D0">
        <w:rPr>
          <w:rFonts w:ascii="Times New Roman" w:hAnsi="Times New Roman"/>
          <w:sz w:val="48"/>
          <w:szCs w:val="48"/>
          <w:lang w:val="uk-UA"/>
        </w:rPr>
        <w:t xml:space="preserve">   </w:t>
      </w:r>
      <w:r w:rsidR="000F78D0">
        <w:rPr>
          <w:rFonts w:ascii="Times New Roman" w:hAnsi="Times New Roman"/>
          <w:sz w:val="48"/>
          <w:szCs w:val="48"/>
        </w:rPr>
        <w:t>V</w:t>
      </w:r>
      <w:r w:rsidR="000F78D0">
        <w:rPr>
          <w:rFonts w:ascii="Times New Roman" w:hAnsi="Times New Roman"/>
          <w:sz w:val="48"/>
          <w:szCs w:val="48"/>
          <w:lang w:val="uk-UA"/>
        </w:rPr>
        <w:t>ІІ</w:t>
      </w:r>
    </w:p>
    <w:p w:rsidR="000F78D0" w:rsidRPr="00DC0A44" w:rsidRDefault="000F78D0" w:rsidP="00AC605C">
      <w:pPr>
        <w:ind w:firstLine="426"/>
        <w:rPr>
          <w:rFonts w:ascii="Times New Roman" w:hAnsi="Times New Roman"/>
          <w:sz w:val="48"/>
          <w:szCs w:val="48"/>
          <w:lang w:val="uk-UA"/>
        </w:rPr>
      </w:pPr>
    </w:p>
    <w:p w:rsidR="000F78D0" w:rsidRPr="00DC0A44" w:rsidRDefault="000F78D0" w:rsidP="00AC605C">
      <w:pPr>
        <w:ind w:firstLine="426"/>
        <w:rPr>
          <w:rFonts w:ascii="Times New Roman" w:hAnsi="Times New Roman"/>
          <w:sz w:val="48"/>
          <w:szCs w:val="48"/>
          <w:lang w:val="uk-UA"/>
        </w:rPr>
      </w:pPr>
    </w:p>
    <w:p w:rsidR="000F78D0" w:rsidRPr="00DC0A44" w:rsidRDefault="000F78D0" w:rsidP="00AC605C">
      <w:pPr>
        <w:ind w:firstLine="426"/>
        <w:rPr>
          <w:rFonts w:ascii="Times New Roman" w:hAnsi="Times New Roman"/>
          <w:sz w:val="48"/>
          <w:szCs w:val="48"/>
          <w:lang w:val="uk-UA"/>
        </w:rPr>
      </w:pPr>
    </w:p>
    <w:p w:rsidR="000F78D0" w:rsidRPr="00DC0A44" w:rsidRDefault="000F78D0" w:rsidP="00AC605C">
      <w:pPr>
        <w:ind w:firstLine="426"/>
        <w:rPr>
          <w:rFonts w:ascii="Times New Roman" w:hAnsi="Times New Roman"/>
          <w:sz w:val="48"/>
          <w:szCs w:val="48"/>
          <w:lang w:val="uk-UA"/>
        </w:rPr>
      </w:pPr>
    </w:p>
    <w:p w:rsidR="000F78D0" w:rsidRPr="00DC0A44" w:rsidRDefault="000F78D0" w:rsidP="00AC605C">
      <w:pPr>
        <w:ind w:firstLine="426"/>
        <w:rPr>
          <w:rFonts w:ascii="Times New Roman" w:hAnsi="Times New Roman"/>
          <w:sz w:val="48"/>
          <w:szCs w:val="48"/>
          <w:lang w:val="uk-UA"/>
        </w:rPr>
      </w:pPr>
    </w:p>
    <w:p w:rsidR="000F78D0" w:rsidRPr="00DC0A44" w:rsidRDefault="000F78D0" w:rsidP="00AC605C">
      <w:pPr>
        <w:ind w:firstLine="426"/>
        <w:rPr>
          <w:rFonts w:ascii="Times New Roman" w:hAnsi="Times New Roman"/>
          <w:sz w:val="48"/>
          <w:szCs w:val="48"/>
          <w:lang w:val="uk-UA"/>
        </w:rPr>
      </w:pPr>
    </w:p>
    <w:p w:rsidR="000F78D0" w:rsidRDefault="000F78D0" w:rsidP="00AC605C">
      <w:pPr>
        <w:ind w:firstLine="426"/>
        <w:rPr>
          <w:rFonts w:ascii="Times New Roman" w:hAnsi="Times New Roman"/>
          <w:sz w:val="48"/>
          <w:szCs w:val="48"/>
          <w:lang w:val="uk-UA"/>
        </w:rPr>
      </w:pPr>
    </w:p>
    <w:p w:rsidR="000F78D0" w:rsidRDefault="000F78D0" w:rsidP="002653A6">
      <w:pPr>
        <w:tabs>
          <w:tab w:val="left" w:pos="0"/>
        </w:tabs>
        <w:spacing w:line="360" w:lineRule="auto"/>
        <w:ind w:firstLine="426"/>
        <w:rPr>
          <w:rFonts w:ascii="Times New Roman" w:hAnsi="Times New Roman"/>
          <w:sz w:val="28"/>
          <w:szCs w:val="28"/>
          <w:lang w:val="uk-UA"/>
        </w:rPr>
      </w:pPr>
      <w:r>
        <w:rPr>
          <w:rFonts w:ascii="Times New Roman" w:hAnsi="Times New Roman"/>
          <w:sz w:val="48"/>
          <w:szCs w:val="48"/>
          <w:lang w:val="uk-UA"/>
        </w:rPr>
        <w:tab/>
      </w:r>
      <w:r w:rsidRPr="00A268C2">
        <w:rPr>
          <w:rFonts w:ascii="Times New Roman" w:hAnsi="Times New Roman"/>
          <w:sz w:val="28"/>
          <w:szCs w:val="28"/>
          <w:lang w:val="uk-UA"/>
        </w:rPr>
        <w:t>Рис</w:t>
      </w:r>
      <w:r>
        <w:rPr>
          <w:rFonts w:ascii="Times New Roman" w:hAnsi="Times New Roman"/>
          <w:sz w:val="48"/>
          <w:szCs w:val="48"/>
          <w:lang w:val="uk-UA"/>
        </w:rPr>
        <w:t>.</w:t>
      </w:r>
      <w:r>
        <w:rPr>
          <w:rFonts w:ascii="Times New Roman" w:hAnsi="Times New Roman"/>
          <w:sz w:val="28"/>
          <w:szCs w:val="28"/>
          <w:lang w:val="uk-UA"/>
        </w:rPr>
        <w:t xml:space="preserve"> 2.1. Дизайн дослідження.</w:t>
      </w:r>
    </w:p>
    <w:p w:rsidR="000F78D0" w:rsidRDefault="000F78D0" w:rsidP="00AC605C">
      <w:pPr>
        <w:tabs>
          <w:tab w:val="left" w:pos="0"/>
        </w:tabs>
        <w:spacing w:line="360" w:lineRule="auto"/>
        <w:ind w:firstLine="426"/>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5C1EA2">
      <w:pPr>
        <w:tabs>
          <w:tab w:val="left" w:pos="0"/>
        </w:tabs>
        <w:spacing w:line="360" w:lineRule="auto"/>
        <w:ind w:firstLine="709"/>
        <w:jc w:val="both"/>
        <w:rPr>
          <w:rFonts w:ascii="Times New Roman" w:hAnsi="Times New Roman"/>
          <w:sz w:val="28"/>
          <w:szCs w:val="28"/>
          <w:lang w:val="uk-UA"/>
        </w:rPr>
      </w:pPr>
      <w:r w:rsidRPr="00C374F6">
        <w:rPr>
          <w:rFonts w:ascii="Times New Roman" w:hAnsi="Times New Roman"/>
          <w:b/>
          <w:sz w:val="28"/>
          <w:szCs w:val="28"/>
          <w:lang w:val="uk-UA"/>
        </w:rPr>
        <w:lastRenderedPageBreak/>
        <w:t xml:space="preserve">2.1. </w:t>
      </w:r>
      <w:r w:rsidRPr="00A268C2">
        <w:rPr>
          <w:rFonts w:ascii="Times New Roman" w:hAnsi="Times New Roman"/>
          <w:b/>
          <w:sz w:val="28"/>
          <w:szCs w:val="28"/>
          <w:lang w:val="uk-UA"/>
        </w:rPr>
        <w:t>Характеристика груп дослідження</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Робота виконана </w:t>
      </w:r>
      <w:r w:rsidRPr="00A268C2">
        <w:rPr>
          <w:rFonts w:ascii="Times New Roman" w:hAnsi="Times New Roman"/>
          <w:sz w:val="28"/>
          <w:szCs w:val="28"/>
          <w:lang w:val="uk-UA"/>
        </w:rPr>
        <w:t>на базі кафедри стоматології Харківського національного медичного університету (зав. кафедри – д.мед.н., професор І.І.Соколова), кафедри акушерства, гінекології та дитячої гінекології (зав. кафедри – д.мед.н., професор І.О.Тучкіна), університетського стоматологічного центру Харківського  національного медичного університету (директор – к.мед.н. Бірюкова М.М.) та КЗОЗ «Харківська обласна дитяча клінічна лікарня №1 (головний лікар – д.мед.н., професор Піонтковська О.В.).</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Всього було обстежено 110 дівчат-підлітків у віці 12-17 років. Основну групу склали 50 дівчат-підлітків з ПМФ і наявністю запальних захворювань пародонта. Для вирішення задачі </w:t>
      </w:r>
      <w:r w:rsidR="0090526F">
        <w:rPr>
          <w:rFonts w:ascii="Times New Roman" w:hAnsi="Times New Roman"/>
          <w:sz w:val="28"/>
          <w:szCs w:val="28"/>
          <w:lang w:val="uk-UA"/>
        </w:rPr>
        <w:t>відносно</w:t>
      </w:r>
      <w:r>
        <w:rPr>
          <w:rFonts w:ascii="Times New Roman" w:hAnsi="Times New Roman"/>
          <w:sz w:val="28"/>
          <w:szCs w:val="28"/>
          <w:lang w:val="uk-UA"/>
        </w:rPr>
        <w:t xml:space="preserve"> характер</w:t>
      </w:r>
      <w:r w:rsidR="0090526F">
        <w:rPr>
          <w:rFonts w:ascii="Times New Roman" w:hAnsi="Times New Roman"/>
          <w:sz w:val="28"/>
          <w:szCs w:val="28"/>
          <w:lang w:val="uk-UA"/>
        </w:rPr>
        <w:t>у</w:t>
      </w:r>
      <w:r>
        <w:rPr>
          <w:rFonts w:ascii="Times New Roman" w:hAnsi="Times New Roman"/>
          <w:sz w:val="28"/>
          <w:szCs w:val="28"/>
          <w:lang w:val="uk-UA"/>
        </w:rPr>
        <w:t xml:space="preserve"> впливу ПМФ на стан тканин пародонта використовувалася перша контрольна група, яка була представлена 30 дівчатами-підлітками з наявністю запальних захворювань пародонта при відсутності ПМФ. При виявленні факторів, що визначають розвиток ЗЗП, була використана друга контрольна група, до якої увійшли 30 дівчат-підлітків з ПМФ</w:t>
      </w:r>
      <w:r w:rsidR="0090526F">
        <w:rPr>
          <w:rFonts w:ascii="Times New Roman" w:hAnsi="Times New Roman"/>
          <w:sz w:val="28"/>
          <w:szCs w:val="28"/>
          <w:lang w:val="uk-UA"/>
        </w:rPr>
        <w:t xml:space="preserve"> та </w:t>
      </w:r>
      <w:r>
        <w:rPr>
          <w:rFonts w:ascii="Times New Roman" w:hAnsi="Times New Roman"/>
          <w:sz w:val="28"/>
          <w:szCs w:val="28"/>
          <w:lang w:val="uk-UA"/>
        </w:rPr>
        <w:t xml:space="preserve"> з інтактним пародонтом. </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Розподіл хворих за віком в основній і контрольних групах наведено в табл.2.1.</w:t>
      </w:r>
    </w:p>
    <w:p w:rsidR="000F78D0" w:rsidRPr="00B96077" w:rsidRDefault="000F78D0" w:rsidP="00AC605C">
      <w:pPr>
        <w:tabs>
          <w:tab w:val="left" w:pos="0"/>
        </w:tabs>
        <w:spacing w:line="360" w:lineRule="auto"/>
        <w:ind w:firstLine="426"/>
        <w:jc w:val="right"/>
        <w:rPr>
          <w:rFonts w:ascii="Times New Roman" w:hAnsi="Times New Roman"/>
          <w:i/>
          <w:sz w:val="28"/>
          <w:szCs w:val="28"/>
          <w:lang w:val="uk-UA"/>
        </w:rPr>
      </w:pPr>
      <w:r w:rsidRPr="00B96077">
        <w:rPr>
          <w:rFonts w:ascii="Times New Roman" w:hAnsi="Times New Roman"/>
          <w:i/>
          <w:sz w:val="28"/>
          <w:szCs w:val="28"/>
          <w:lang w:val="uk-UA"/>
        </w:rPr>
        <w:t>Таблиця 2.1</w:t>
      </w:r>
    </w:p>
    <w:p w:rsidR="000F78D0" w:rsidRDefault="000F78D0" w:rsidP="00AC605C">
      <w:pPr>
        <w:tabs>
          <w:tab w:val="left" w:pos="0"/>
        </w:tabs>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Розподіл хворих основної і контрольних груп за віком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79"/>
        <w:gridCol w:w="2244"/>
        <w:gridCol w:w="1413"/>
        <w:gridCol w:w="928"/>
        <w:gridCol w:w="1061"/>
        <w:gridCol w:w="991"/>
        <w:gridCol w:w="1097"/>
        <w:gridCol w:w="1025"/>
      </w:tblGrid>
      <w:tr w:rsidR="000F78D0" w:rsidRPr="001336DC" w:rsidTr="00B96077">
        <w:tc>
          <w:tcPr>
            <w:tcW w:w="0" w:type="auto"/>
            <w:vMerge w:val="restart"/>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Показник</w:t>
            </w:r>
          </w:p>
        </w:tc>
        <w:tc>
          <w:tcPr>
            <w:tcW w:w="0" w:type="auto"/>
            <w:vMerge w:val="restart"/>
          </w:tcPr>
          <w:p w:rsidR="000F78D0" w:rsidRPr="001336DC" w:rsidRDefault="000F78D0" w:rsidP="00BD4604">
            <w:pPr>
              <w:tabs>
                <w:tab w:val="left" w:pos="0"/>
              </w:tabs>
              <w:spacing w:line="360" w:lineRule="auto"/>
              <w:ind w:firstLine="40"/>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0" w:type="auto"/>
            <w:gridSpan w:val="2"/>
          </w:tcPr>
          <w:p w:rsidR="000F78D0" w:rsidRPr="001336DC" w:rsidRDefault="000F78D0" w:rsidP="00BD4604">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 xml:space="preserve">Основна група, </w:t>
            </w:r>
            <w:r w:rsidRPr="001336DC">
              <w:rPr>
                <w:rFonts w:ascii="Times New Roman" w:hAnsi="Times New Roman"/>
                <w:sz w:val="28"/>
                <w:szCs w:val="28"/>
              </w:rPr>
              <w:t>n</w:t>
            </w:r>
            <w:r w:rsidRPr="001336DC">
              <w:rPr>
                <w:rFonts w:ascii="Times New Roman" w:hAnsi="Times New Roman"/>
                <w:sz w:val="28"/>
                <w:szCs w:val="28"/>
                <w:lang w:val="uk-UA"/>
              </w:rPr>
              <w:t>=50</w:t>
            </w:r>
          </w:p>
        </w:tc>
        <w:tc>
          <w:tcPr>
            <w:tcW w:w="0" w:type="auto"/>
            <w:gridSpan w:val="2"/>
          </w:tcPr>
          <w:p w:rsidR="000F78D0" w:rsidRPr="001336DC" w:rsidRDefault="000F78D0" w:rsidP="00BD4604">
            <w:pPr>
              <w:tabs>
                <w:tab w:val="left" w:pos="0"/>
              </w:tabs>
              <w:spacing w:line="360" w:lineRule="auto"/>
              <w:ind w:firstLine="64"/>
              <w:jc w:val="center"/>
              <w:rPr>
                <w:rFonts w:ascii="Times New Roman" w:hAnsi="Times New Roman"/>
                <w:sz w:val="28"/>
                <w:szCs w:val="28"/>
                <w:lang w:val="uk-UA"/>
              </w:rPr>
            </w:pPr>
            <w:r w:rsidRPr="001336DC">
              <w:rPr>
                <w:rFonts w:ascii="Times New Roman" w:hAnsi="Times New Roman"/>
                <w:sz w:val="28"/>
                <w:szCs w:val="28"/>
                <w:lang w:val="uk-UA"/>
              </w:rPr>
              <w:t xml:space="preserve">Контроль І, </w:t>
            </w:r>
            <w:r w:rsidRPr="001336DC">
              <w:rPr>
                <w:rFonts w:ascii="Times New Roman" w:hAnsi="Times New Roman"/>
                <w:sz w:val="28"/>
                <w:szCs w:val="28"/>
              </w:rPr>
              <w:t>n</w:t>
            </w:r>
            <w:r w:rsidRPr="001336DC">
              <w:rPr>
                <w:rFonts w:ascii="Times New Roman" w:hAnsi="Times New Roman"/>
                <w:sz w:val="28"/>
                <w:szCs w:val="28"/>
                <w:lang w:val="uk-UA"/>
              </w:rPr>
              <w:t>=30</w:t>
            </w:r>
          </w:p>
        </w:tc>
        <w:tc>
          <w:tcPr>
            <w:tcW w:w="0" w:type="auto"/>
            <w:gridSpan w:val="2"/>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 xml:space="preserve">Контроль ІІ, </w:t>
            </w:r>
            <w:r w:rsidRPr="001336DC">
              <w:rPr>
                <w:rFonts w:ascii="Times New Roman" w:hAnsi="Times New Roman"/>
                <w:sz w:val="28"/>
                <w:szCs w:val="28"/>
              </w:rPr>
              <w:t>n</w:t>
            </w:r>
            <w:r w:rsidRPr="001336DC">
              <w:rPr>
                <w:rFonts w:ascii="Times New Roman" w:hAnsi="Times New Roman"/>
                <w:sz w:val="28"/>
                <w:szCs w:val="28"/>
                <w:lang w:val="uk-UA"/>
              </w:rPr>
              <w:t>=30</w:t>
            </w:r>
          </w:p>
        </w:tc>
      </w:tr>
      <w:tr w:rsidR="000F78D0" w:rsidRPr="001336DC" w:rsidTr="00B96077">
        <w:tc>
          <w:tcPr>
            <w:tcW w:w="0" w:type="auto"/>
            <w:vMerge/>
          </w:tcPr>
          <w:p w:rsidR="000F78D0" w:rsidRPr="001336DC" w:rsidRDefault="000F78D0" w:rsidP="00BD4604">
            <w:pPr>
              <w:tabs>
                <w:tab w:val="left" w:pos="0"/>
              </w:tabs>
              <w:spacing w:line="360" w:lineRule="auto"/>
              <w:jc w:val="both"/>
              <w:rPr>
                <w:rFonts w:ascii="Times New Roman" w:hAnsi="Times New Roman"/>
                <w:sz w:val="28"/>
                <w:szCs w:val="28"/>
                <w:lang w:val="uk-UA"/>
              </w:rPr>
            </w:pPr>
          </w:p>
        </w:tc>
        <w:tc>
          <w:tcPr>
            <w:tcW w:w="0" w:type="auto"/>
            <w:vMerge/>
          </w:tcPr>
          <w:p w:rsidR="000F78D0" w:rsidRPr="001336DC" w:rsidRDefault="000F78D0" w:rsidP="00BD4604">
            <w:pPr>
              <w:tabs>
                <w:tab w:val="left" w:pos="0"/>
              </w:tabs>
              <w:spacing w:line="360" w:lineRule="auto"/>
              <w:ind w:firstLine="40"/>
              <w:jc w:val="center"/>
              <w:rPr>
                <w:rFonts w:ascii="Times New Roman" w:hAnsi="Times New Roman"/>
                <w:sz w:val="28"/>
                <w:szCs w:val="28"/>
                <w:lang w:val="uk-UA"/>
              </w:rPr>
            </w:pP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BD4604">
            <w:pPr>
              <w:tabs>
                <w:tab w:val="left" w:pos="0"/>
              </w:tabs>
              <w:spacing w:line="360" w:lineRule="auto"/>
              <w:ind w:firstLine="64"/>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BD4604">
            <w:pPr>
              <w:tabs>
                <w:tab w:val="left" w:pos="0"/>
              </w:tabs>
              <w:spacing w:line="360" w:lineRule="auto"/>
              <w:ind w:firstLine="64"/>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B96077">
        <w:tc>
          <w:tcPr>
            <w:tcW w:w="0" w:type="auto"/>
            <w:vMerge w:val="restart"/>
          </w:tcPr>
          <w:p w:rsidR="000F78D0" w:rsidRPr="001336DC" w:rsidRDefault="000F78D0" w:rsidP="00BD4604">
            <w:pPr>
              <w:tabs>
                <w:tab w:val="left" w:pos="0"/>
              </w:tabs>
              <w:spacing w:line="360" w:lineRule="auto"/>
              <w:jc w:val="both"/>
              <w:rPr>
                <w:rFonts w:ascii="Times New Roman" w:hAnsi="Times New Roman"/>
                <w:sz w:val="28"/>
                <w:szCs w:val="28"/>
                <w:lang w:val="uk-UA"/>
              </w:rPr>
            </w:pPr>
            <w:r w:rsidRPr="001336DC">
              <w:rPr>
                <w:rFonts w:ascii="Times New Roman" w:hAnsi="Times New Roman"/>
                <w:sz w:val="28"/>
                <w:szCs w:val="28"/>
                <w:lang w:val="uk-UA"/>
              </w:rPr>
              <w:t>Вік, років</w:t>
            </w:r>
          </w:p>
        </w:tc>
        <w:tc>
          <w:tcPr>
            <w:tcW w:w="0" w:type="auto"/>
          </w:tcPr>
          <w:p w:rsidR="000F78D0" w:rsidRPr="001336DC" w:rsidRDefault="000F78D0" w:rsidP="00BD4604">
            <w:pPr>
              <w:tabs>
                <w:tab w:val="left" w:pos="0"/>
              </w:tabs>
              <w:spacing w:line="360" w:lineRule="auto"/>
              <w:ind w:firstLine="40"/>
              <w:jc w:val="center"/>
              <w:rPr>
                <w:rFonts w:ascii="Times New Roman" w:hAnsi="Times New Roman"/>
                <w:sz w:val="28"/>
                <w:szCs w:val="28"/>
                <w:lang w:val="uk-UA"/>
              </w:rPr>
            </w:pPr>
            <w:r w:rsidRPr="001336DC">
              <w:rPr>
                <w:rFonts w:ascii="Times New Roman" w:hAnsi="Times New Roman"/>
                <w:sz w:val="28"/>
                <w:szCs w:val="28"/>
                <w:lang w:val="uk-UA"/>
              </w:rPr>
              <w:t>12-13</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24</w:t>
            </w:r>
          </w:p>
        </w:tc>
        <w:tc>
          <w:tcPr>
            <w:tcW w:w="0" w:type="auto"/>
          </w:tcPr>
          <w:p w:rsidR="000F78D0" w:rsidRPr="001336DC" w:rsidRDefault="000F78D0" w:rsidP="00BD4604">
            <w:pPr>
              <w:tabs>
                <w:tab w:val="left" w:pos="0"/>
              </w:tabs>
              <w:spacing w:line="360" w:lineRule="auto"/>
              <w:ind w:firstLine="64"/>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94636C" w:rsidRDefault="0094636C" w:rsidP="00BD4604">
            <w:pPr>
              <w:tabs>
                <w:tab w:val="left" w:pos="0"/>
              </w:tabs>
              <w:spacing w:line="360" w:lineRule="auto"/>
              <w:ind w:firstLine="64"/>
              <w:jc w:val="center"/>
              <w:rPr>
                <w:rFonts w:ascii="Times New Roman" w:hAnsi="Times New Roman"/>
                <w:sz w:val="28"/>
                <w:szCs w:val="28"/>
              </w:rPr>
            </w:pPr>
            <w:r>
              <w:rPr>
                <w:rFonts w:ascii="Times New Roman" w:hAnsi="Times New Roman"/>
                <w:sz w:val="28"/>
                <w:szCs w:val="28"/>
                <w:lang w:val="uk-UA"/>
              </w:rPr>
              <w:t>26,7</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30</w:t>
            </w:r>
          </w:p>
        </w:tc>
      </w:tr>
      <w:tr w:rsidR="000F78D0" w:rsidRPr="001336DC" w:rsidTr="00B96077">
        <w:tc>
          <w:tcPr>
            <w:tcW w:w="0" w:type="auto"/>
            <w:vMerge/>
          </w:tcPr>
          <w:p w:rsidR="000F78D0" w:rsidRPr="001336DC" w:rsidRDefault="000F78D0" w:rsidP="00BD4604">
            <w:pPr>
              <w:tabs>
                <w:tab w:val="left" w:pos="0"/>
              </w:tabs>
              <w:spacing w:line="360" w:lineRule="auto"/>
              <w:jc w:val="both"/>
              <w:rPr>
                <w:rFonts w:ascii="Times New Roman" w:hAnsi="Times New Roman"/>
                <w:sz w:val="28"/>
                <w:szCs w:val="28"/>
                <w:lang w:val="uk-UA"/>
              </w:rPr>
            </w:pPr>
          </w:p>
        </w:tc>
        <w:tc>
          <w:tcPr>
            <w:tcW w:w="0" w:type="auto"/>
          </w:tcPr>
          <w:p w:rsidR="000F78D0" w:rsidRPr="001336DC" w:rsidRDefault="000F78D0" w:rsidP="00BD4604">
            <w:pPr>
              <w:tabs>
                <w:tab w:val="left" w:pos="0"/>
              </w:tabs>
              <w:spacing w:line="360" w:lineRule="auto"/>
              <w:ind w:firstLine="40"/>
              <w:jc w:val="center"/>
              <w:rPr>
                <w:rFonts w:ascii="Times New Roman" w:hAnsi="Times New Roman"/>
                <w:sz w:val="28"/>
                <w:szCs w:val="28"/>
                <w:lang w:val="uk-UA"/>
              </w:rPr>
            </w:pPr>
            <w:r w:rsidRPr="001336DC">
              <w:rPr>
                <w:rFonts w:ascii="Times New Roman" w:hAnsi="Times New Roman"/>
                <w:sz w:val="28"/>
                <w:szCs w:val="28"/>
                <w:lang w:val="uk-UA"/>
              </w:rPr>
              <w:t>14-15</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40</w:t>
            </w:r>
          </w:p>
        </w:tc>
        <w:tc>
          <w:tcPr>
            <w:tcW w:w="0" w:type="auto"/>
          </w:tcPr>
          <w:p w:rsidR="000F78D0" w:rsidRPr="001336DC" w:rsidRDefault="000F78D0" w:rsidP="00BD4604">
            <w:pPr>
              <w:tabs>
                <w:tab w:val="left" w:pos="0"/>
              </w:tabs>
              <w:spacing w:line="360" w:lineRule="auto"/>
              <w:ind w:firstLine="64"/>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Pr>
          <w:p w:rsidR="000F78D0" w:rsidRPr="0094636C" w:rsidRDefault="0094636C" w:rsidP="00BD4604">
            <w:pPr>
              <w:tabs>
                <w:tab w:val="left" w:pos="0"/>
              </w:tabs>
              <w:spacing w:line="360" w:lineRule="auto"/>
              <w:ind w:firstLine="64"/>
              <w:jc w:val="center"/>
              <w:rPr>
                <w:rFonts w:ascii="Times New Roman" w:hAnsi="Times New Roman"/>
                <w:sz w:val="28"/>
                <w:szCs w:val="28"/>
              </w:rPr>
            </w:pPr>
            <w:r>
              <w:rPr>
                <w:rFonts w:ascii="Times New Roman" w:hAnsi="Times New Roman"/>
                <w:sz w:val="28"/>
                <w:szCs w:val="28"/>
                <w:lang w:val="uk-UA"/>
              </w:rPr>
              <w:t>40</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36,7</w:t>
            </w:r>
          </w:p>
        </w:tc>
      </w:tr>
      <w:tr w:rsidR="000F78D0" w:rsidRPr="001336DC" w:rsidTr="00B96077">
        <w:tc>
          <w:tcPr>
            <w:tcW w:w="0" w:type="auto"/>
            <w:vMerge/>
          </w:tcPr>
          <w:p w:rsidR="000F78D0" w:rsidRPr="001336DC" w:rsidRDefault="000F78D0" w:rsidP="00BD4604">
            <w:pPr>
              <w:tabs>
                <w:tab w:val="left" w:pos="0"/>
              </w:tabs>
              <w:spacing w:line="360" w:lineRule="auto"/>
              <w:jc w:val="both"/>
              <w:rPr>
                <w:rFonts w:ascii="Times New Roman" w:hAnsi="Times New Roman"/>
                <w:sz w:val="28"/>
                <w:szCs w:val="28"/>
                <w:lang w:val="uk-UA"/>
              </w:rPr>
            </w:pPr>
          </w:p>
        </w:tc>
        <w:tc>
          <w:tcPr>
            <w:tcW w:w="0" w:type="auto"/>
          </w:tcPr>
          <w:p w:rsidR="000F78D0" w:rsidRPr="001336DC" w:rsidRDefault="000F78D0" w:rsidP="00BD4604">
            <w:pPr>
              <w:tabs>
                <w:tab w:val="left" w:pos="0"/>
              </w:tabs>
              <w:spacing w:line="360" w:lineRule="auto"/>
              <w:ind w:firstLine="40"/>
              <w:jc w:val="center"/>
              <w:rPr>
                <w:rFonts w:ascii="Times New Roman" w:hAnsi="Times New Roman"/>
                <w:sz w:val="28"/>
                <w:szCs w:val="28"/>
                <w:lang w:val="uk-UA"/>
              </w:rPr>
            </w:pPr>
            <w:r w:rsidRPr="001336DC">
              <w:rPr>
                <w:rFonts w:ascii="Times New Roman" w:hAnsi="Times New Roman"/>
                <w:sz w:val="28"/>
                <w:szCs w:val="28"/>
                <w:lang w:val="uk-UA"/>
              </w:rPr>
              <w:t>16-17</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36</w:t>
            </w:r>
          </w:p>
        </w:tc>
        <w:tc>
          <w:tcPr>
            <w:tcW w:w="0" w:type="auto"/>
          </w:tcPr>
          <w:p w:rsidR="000F78D0" w:rsidRPr="001336DC" w:rsidRDefault="000F78D0" w:rsidP="00BD4604">
            <w:pPr>
              <w:tabs>
                <w:tab w:val="left" w:pos="0"/>
              </w:tabs>
              <w:spacing w:line="360" w:lineRule="auto"/>
              <w:ind w:firstLine="64"/>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Pr>
          <w:p w:rsidR="000F78D0" w:rsidRPr="0094636C" w:rsidRDefault="0094636C" w:rsidP="00BD4604">
            <w:pPr>
              <w:tabs>
                <w:tab w:val="left" w:pos="0"/>
              </w:tabs>
              <w:spacing w:line="360" w:lineRule="auto"/>
              <w:ind w:firstLine="64"/>
              <w:jc w:val="center"/>
              <w:rPr>
                <w:rFonts w:ascii="Times New Roman" w:hAnsi="Times New Roman"/>
                <w:sz w:val="28"/>
                <w:szCs w:val="28"/>
              </w:rPr>
            </w:pPr>
            <w:r>
              <w:rPr>
                <w:rFonts w:ascii="Times New Roman" w:hAnsi="Times New Roman"/>
                <w:sz w:val="28"/>
                <w:szCs w:val="28"/>
                <w:lang w:val="uk-UA"/>
              </w:rPr>
              <w:t>33,3</w:t>
            </w:r>
          </w:p>
        </w:tc>
        <w:tc>
          <w:tcPr>
            <w:tcW w:w="0" w:type="auto"/>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33,3</w:t>
            </w:r>
          </w:p>
        </w:tc>
      </w:tr>
      <w:tr w:rsidR="000F78D0" w:rsidRPr="001336DC" w:rsidTr="00B96077">
        <w:tc>
          <w:tcPr>
            <w:tcW w:w="0" w:type="auto"/>
          </w:tcPr>
          <w:p w:rsidR="000F78D0" w:rsidRPr="001336DC" w:rsidRDefault="000F78D0" w:rsidP="00BD4604">
            <w:pPr>
              <w:tabs>
                <w:tab w:val="left" w:pos="0"/>
              </w:tabs>
              <w:spacing w:line="360" w:lineRule="auto"/>
              <w:jc w:val="both"/>
              <w:rPr>
                <w:rFonts w:ascii="Times New Roman" w:hAnsi="Times New Roman"/>
                <w:sz w:val="28"/>
                <w:szCs w:val="28"/>
              </w:rPr>
            </w:pPr>
            <w:r w:rsidRPr="001336DC">
              <w:rPr>
                <w:rFonts w:ascii="Times New Roman" w:hAnsi="Times New Roman"/>
                <w:sz w:val="28"/>
                <w:szCs w:val="28"/>
                <w:lang w:val="uk-UA"/>
              </w:rPr>
              <w:t>М</w:t>
            </w:r>
          </w:p>
        </w:tc>
        <w:tc>
          <w:tcPr>
            <w:tcW w:w="0" w:type="auto"/>
          </w:tcPr>
          <w:p w:rsidR="000F78D0" w:rsidRPr="001336DC" w:rsidRDefault="000F78D0" w:rsidP="00BD4604">
            <w:pPr>
              <w:tabs>
                <w:tab w:val="left" w:pos="0"/>
              </w:tabs>
              <w:spacing w:line="360" w:lineRule="auto"/>
              <w:ind w:firstLine="40"/>
              <w:jc w:val="center"/>
              <w:rPr>
                <w:rFonts w:ascii="Times New Roman" w:hAnsi="Times New Roman"/>
                <w:sz w:val="28"/>
                <w:szCs w:val="28"/>
                <w:lang w:val="uk-UA"/>
              </w:rPr>
            </w:pPr>
          </w:p>
        </w:tc>
        <w:tc>
          <w:tcPr>
            <w:tcW w:w="0" w:type="auto"/>
            <w:gridSpan w:val="2"/>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15,9</w:t>
            </w:r>
          </w:p>
        </w:tc>
        <w:tc>
          <w:tcPr>
            <w:tcW w:w="0" w:type="auto"/>
            <w:gridSpan w:val="2"/>
          </w:tcPr>
          <w:p w:rsidR="000F78D0" w:rsidRPr="0094636C" w:rsidRDefault="0094636C" w:rsidP="00BD4604">
            <w:pPr>
              <w:tabs>
                <w:tab w:val="left" w:pos="0"/>
              </w:tabs>
              <w:spacing w:line="360" w:lineRule="auto"/>
              <w:ind w:firstLine="64"/>
              <w:jc w:val="center"/>
              <w:rPr>
                <w:rFonts w:ascii="Times New Roman" w:hAnsi="Times New Roman"/>
                <w:sz w:val="28"/>
                <w:szCs w:val="28"/>
              </w:rPr>
            </w:pPr>
            <w:r>
              <w:rPr>
                <w:rFonts w:ascii="Times New Roman" w:hAnsi="Times New Roman"/>
                <w:sz w:val="28"/>
                <w:szCs w:val="28"/>
                <w:lang w:val="uk-UA"/>
              </w:rPr>
              <w:t>15,3</w:t>
            </w:r>
          </w:p>
        </w:tc>
        <w:tc>
          <w:tcPr>
            <w:tcW w:w="0" w:type="auto"/>
            <w:gridSpan w:val="2"/>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lang w:val="uk-UA"/>
              </w:rPr>
              <w:t>15,2</w:t>
            </w:r>
          </w:p>
        </w:tc>
      </w:tr>
    </w:tbl>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таблиці 2.1 свідчать, що групи були однорідні за віком і достовірних відмінностей не мали (р&gt;0,05). В середньому в</w:t>
      </w:r>
      <w:r w:rsidR="0094636C">
        <w:rPr>
          <w:rFonts w:ascii="Times New Roman" w:hAnsi="Times New Roman"/>
          <w:sz w:val="28"/>
          <w:szCs w:val="28"/>
          <w:lang w:val="uk-UA"/>
        </w:rPr>
        <w:t>ік основної групи склав 15,9</w:t>
      </w:r>
      <w:r>
        <w:rPr>
          <w:rFonts w:ascii="Times New Roman" w:hAnsi="Times New Roman"/>
          <w:sz w:val="28"/>
          <w:szCs w:val="28"/>
          <w:lang w:val="uk-UA"/>
        </w:rPr>
        <w:t xml:space="preserve"> років, </w:t>
      </w:r>
      <w:r>
        <w:rPr>
          <w:rFonts w:ascii="Times New Roman" w:hAnsi="Times New Roman"/>
          <w:sz w:val="28"/>
          <w:szCs w:val="28"/>
          <w:lang w:val="uk-UA"/>
        </w:rPr>
        <w:lastRenderedPageBreak/>
        <w:t>1</w:t>
      </w:r>
      <w:r w:rsidR="0094636C">
        <w:rPr>
          <w:rFonts w:ascii="Times New Roman" w:hAnsi="Times New Roman"/>
          <w:sz w:val="28"/>
          <w:szCs w:val="28"/>
          <w:lang w:val="uk-UA"/>
        </w:rPr>
        <w:t>-ої контрольної групи – 15,3</w:t>
      </w:r>
      <w:r>
        <w:rPr>
          <w:rFonts w:ascii="Times New Roman" w:hAnsi="Times New Roman"/>
          <w:sz w:val="28"/>
          <w:szCs w:val="28"/>
          <w:lang w:val="uk-UA"/>
        </w:rPr>
        <w:t xml:space="preserve"> років, і </w:t>
      </w:r>
      <w:r w:rsidR="0094636C">
        <w:rPr>
          <w:rFonts w:ascii="Times New Roman" w:hAnsi="Times New Roman"/>
          <w:sz w:val="28"/>
          <w:szCs w:val="28"/>
          <w:lang w:val="uk-UA"/>
        </w:rPr>
        <w:t xml:space="preserve">2-ої контрольної групи 15,2 </w:t>
      </w:r>
      <w:r>
        <w:rPr>
          <w:rFonts w:ascii="Times New Roman" w:hAnsi="Times New Roman"/>
          <w:sz w:val="28"/>
          <w:szCs w:val="28"/>
          <w:lang w:val="uk-UA"/>
        </w:rPr>
        <w:t xml:space="preserve"> років. При цьому мода (найбільша частота хворих) віку припала на інтервал 14-15 років і склала для хворих основної і 1-ої контрольної груп 40%, і 36,7% для хворих 2-ої контрольної групи.</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структури запальних захворювань пародонта в основній і 1-й контрольній групах, то вони наведені у розділі 3.</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Структура ПМФ у хворих основної групи представлена в табл. 2.2.</w:t>
      </w:r>
    </w:p>
    <w:p w:rsidR="000F78D0" w:rsidRPr="00B96077" w:rsidRDefault="000F78D0" w:rsidP="00AC605C">
      <w:pPr>
        <w:tabs>
          <w:tab w:val="left" w:pos="0"/>
        </w:tabs>
        <w:spacing w:line="360" w:lineRule="auto"/>
        <w:ind w:firstLine="426"/>
        <w:jc w:val="right"/>
        <w:rPr>
          <w:rFonts w:ascii="Times New Roman" w:hAnsi="Times New Roman"/>
          <w:i/>
          <w:sz w:val="28"/>
          <w:szCs w:val="28"/>
          <w:lang w:val="uk-UA"/>
        </w:rPr>
      </w:pPr>
      <w:r w:rsidRPr="00B96077">
        <w:rPr>
          <w:rFonts w:ascii="Times New Roman" w:hAnsi="Times New Roman"/>
          <w:i/>
          <w:sz w:val="28"/>
          <w:szCs w:val="28"/>
          <w:lang w:val="uk-UA"/>
        </w:rPr>
        <w:t>Таблиця 2.2</w:t>
      </w:r>
    </w:p>
    <w:p w:rsidR="000F78D0" w:rsidRDefault="000F78D0" w:rsidP="00AC605C">
      <w:pPr>
        <w:tabs>
          <w:tab w:val="left" w:pos="0"/>
        </w:tabs>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Структура ПМФ в основній групі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3969"/>
        <w:gridCol w:w="755"/>
        <w:gridCol w:w="496"/>
      </w:tblGrid>
      <w:tr w:rsidR="000F78D0" w:rsidRPr="001336DC" w:rsidTr="00B96077">
        <w:tc>
          <w:tcPr>
            <w:tcW w:w="817" w:type="dxa"/>
          </w:tcPr>
          <w:p w:rsidR="000F78D0" w:rsidRPr="001336DC" w:rsidRDefault="000F78D0" w:rsidP="00BD4604">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Різновид патології</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94636C" w:rsidRDefault="0094636C" w:rsidP="00BD4604">
            <w:pPr>
              <w:tabs>
                <w:tab w:val="left" w:pos="0"/>
              </w:tabs>
              <w:spacing w:line="360" w:lineRule="auto"/>
              <w:jc w:val="center"/>
              <w:rPr>
                <w:rFonts w:ascii="Times New Roman" w:hAnsi="Times New Roman"/>
                <w:sz w:val="28"/>
                <w:szCs w:val="28"/>
              </w:rPr>
            </w:pPr>
            <w:r>
              <w:rPr>
                <w:rFonts w:ascii="Times New Roman" w:hAnsi="Times New Roman"/>
                <w:sz w:val="28"/>
                <w:szCs w:val="28"/>
              </w:rPr>
              <w:t>%</w:t>
            </w:r>
          </w:p>
        </w:tc>
      </w:tr>
      <w:tr w:rsidR="000F78D0" w:rsidRPr="001336DC" w:rsidTr="00B96077">
        <w:tc>
          <w:tcPr>
            <w:tcW w:w="817" w:type="dxa"/>
            <w:vMerge w:val="restart"/>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Гіпоменструальний синдром:</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22</w:t>
            </w:r>
          </w:p>
        </w:tc>
        <w:tc>
          <w:tcPr>
            <w:tcW w:w="0" w:type="auto"/>
          </w:tcPr>
          <w:p w:rsidR="000F78D0" w:rsidRPr="0094636C" w:rsidRDefault="000F78D0" w:rsidP="00BD4604">
            <w:pPr>
              <w:tabs>
                <w:tab w:val="left" w:pos="0"/>
              </w:tabs>
              <w:spacing w:line="360" w:lineRule="auto"/>
              <w:jc w:val="center"/>
              <w:rPr>
                <w:rFonts w:ascii="Times New Roman" w:hAnsi="Times New Roman"/>
                <w:sz w:val="28"/>
                <w:szCs w:val="28"/>
              </w:rPr>
            </w:pPr>
            <w:r w:rsidRPr="001336DC">
              <w:rPr>
                <w:rFonts w:ascii="Times New Roman" w:hAnsi="Times New Roman"/>
                <w:sz w:val="28"/>
                <w:szCs w:val="28"/>
                <w:lang w:val="uk-UA"/>
              </w:rPr>
              <w:t>44</w:t>
            </w:r>
          </w:p>
        </w:tc>
      </w:tr>
      <w:tr w:rsidR="000F78D0" w:rsidRPr="001336DC" w:rsidTr="00B96077">
        <w:tc>
          <w:tcPr>
            <w:tcW w:w="817" w:type="dxa"/>
            <w:vMerge/>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А) гіпоменорея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16</w:t>
            </w:r>
          </w:p>
        </w:tc>
      </w:tr>
      <w:tr w:rsidR="000F78D0" w:rsidRPr="001336DC" w:rsidTr="00B96077">
        <w:tc>
          <w:tcPr>
            <w:tcW w:w="817" w:type="dxa"/>
            <w:vMerge/>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Б) олігоменорея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3</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6</w:t>
            </w:r>
          </w:p>
        </w:tc>
      </w:tr>
      <w:tr w:rsidR="000F78D0" w:rsidRPr="001336DC" w:rsidTr="00B96077">
        <w:tc>
          <w:tcPr>
            <w:tcW w:w="817" w:type="dxa"/>
            <w:vMerge/>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В) опсоменорея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11</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22</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Первинна аменорея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1</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2</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Вторинна аменорея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3</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6</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Пубертатні маткові кровотечі</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5</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10</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Альгоменорея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13</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26</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Дисменорея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17</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34</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Альгодисменорея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9</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18</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Гіперменорея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6</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12</w:t>
            </w:r>
          </w:p>
        </w:tc>
      </w:tr>
      <w:tr w:rsidR="000F78D0" w:rsidRPr="001336DC" w:rsidTr="00B96077">
        <w:tc>
          <w:tcPr>
            <w:tcW w:w="817" w:type="dxa"/>
          </w:tcPr>
          <w:p w:rsidR="000F78D0" w:rsidRPr="001336DC" w:rsidRDefault="000F78D0" w:rsidP="00BD4604">
            <w:pPr>
              <w:numPr>
                <w:ilvl w:val="0"/>
                <w:numId w:val="5"/>
              </w:numPr>
              <w:tabs>
                <w:tab w:val="left" w:pos="0"/>
              </w:tabs>
              <w:spacing w:line="360" w:lineRule="auto"/>
              <w:ind w:left="0" w:firstLine="0"/>
              <w:jc w:val="center"/>
              <w:rPr>
                <w:rFonts w:ascii="Times New Roman" w:hAnsi="Times New Roman"/>
                <w:sz w:val="28"/>
                <w:szCs w:val="28"/>
                <w:lang w:val="uk-UA"/>
              </w:rPr>
            </w:pPr>
          </w:p>
        </w:tc>
        <w:tc>
          <w:tcPr>
            <w:tcW w:w="3969" w:type="dxa"/>
          </w:tcPr>
          <w:p w:rsidR="000F78D0" w:rsidRPr="001336DC" w:rsidRDefault="000F78D0" w:rsidP="00BD4604">
            <w:pPr>
              <w:tabs>
                <w:tab w:val="left" w:pos="0"/>
              </w:tabs>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Опсоменорея</w:t>
            </w:r>
          </w:p>
        </w:tc>
        <w:tc>
          <w:tcPr>
            <w:tcW w:w="0" w:type="auto"/>
          </w:tcPr>
          <w:p w:rsidR="000F78D0" w:rsidRPr="001336DC" w:rsidRDefault="000F78D0" w:rsidP="00BD4604">
            <w:pPr>
              <w:tabs>
                <w:tab w:val="left" w:pos="0"/>
              </w:tabs>
              <w:spacing w:line="360" w:lineRule="auto"/>
              <w:rPr>
                <w:rFonts w:ascii="Times New Roman" w:hAnsi="Times New Roman"/>
                <w:sz w:val="28"/>
                <w:szCs w:val="28"/>
                <w:lang w:val="uk-UA"/>
              </w:rPr>
            </w:pPr>
            <w:r w:rsidRPr="001336DC">
              <w:rPr>
                <w:rFonts w:ascii="Times New Roman" w:hAnsi="Times New Roman"/>
                <w:sz w:val="28"/>
                <w:szCs w:val="28"/>
                <w:lang w:val="uk-UA"/>
              </w:rPr>
              <w:t>4</w:t>
            </w:r>
          </w:p>
        </w:tc>
        <w:tc>
          <w:tcPr>
            <w:tcW w:w="0" w:type="auto"/>
          </w:tcPr>
          <w:p w:rsidR="000F78D0" w:rsidRPr="001336DC" w:rsidRDefault="000F78D0" w:rsidP="0094636C">
            <w:pPr>
              <w:tabs>
                <w:tab w:val="left" w:pos="0"/>
              </w:tabs>
              <w:spacing w:line="360" w:lineRule="auto"/>
              <w:jc w:val="center"/>
              <w:rPr>
                <w:rFonts w:ascii="Times New Roman" w:hAnsi="Times New Roman"/>
                <w:sz w:val="28"/>
                <w:szCs w:val="28"/>
                <w:lang w:val="uk-UA"/>
              </w:rPr>
            </w:pPr>
            <w:r w:rsidRPr="001336DC">
              <w:rPr>
                <w:rFonts w:ascii="Times New Roman" w:hAnsi="Times New Roman"/>
                <w:sz w:val="28"/>
                <w:szCs w:val="28"/>
                <w:lang w:val="uk-UA"/>
              </w:rPr>
              <w:t>8</w:t>
            </w:r>
          </w:p>
        </w:tc>
      </w:tr>
    </w:tbl>
    <w:p w:rsidR="000F78D0" w:rsidRDefault="000F78D0" w:rsidP="00AC605C">
      <w:pPr>
        <w:tabs>
          <w:tab w:val="left" w:pos="0"/>
        </w:tabs>
        <w:spacing w:line="360" w:lineRule="auto"/>
        <w:ind w:firstLine="426"/>
        <w:jc w:val="both"/>
        <w:rPr>
          <w:rFonts w:ascii="Times New Roman" w:hAnsi="Times New Roman"/>
          <w:sz w:val="20"/>
          <w:szCs w:val="20"/>
          <w:lang w:val="uk-UA"/>
        </w:rPr>
      </w:pP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w:t>
      </w:r>
      <w:r w:rsidRPr="00A268C2">
        <w:rPr>
          <w:rFonts w:ascii="Times New Roman" w:hAnsi="Times New Roman"/>
          <w:sz w:val="28"/>
          <w:szCs w:val="28"/>
          <w:lang w:val="uk-UA"/>
        </w:rPr>
        <w:t>даних т</w:t>
      </w:r>
      <w:r>
        <w:rPr>
          <w:rFonts w:ascii="Times New Roman" w:hAnsi="Times New Roman"/>
          <w:sz w:val="28"/>
          <w:szCs w:val="28"/>
          <w:lang w:val="uk-UA"/>
        </w:rPr>
        <w:t>аблиці 2.2 витікає, що найбільш часто (у 44% підлітків) виявлявся гіпоменструальний синдром, який проявився у 16% у вигляді гіпоменорей (менструацій зі зменшеною кількістю втрачаємої крові), у 6% у вигляді олігоменорей (порушення тривалості менструацій у вигляді коротких (2-х і менше діб) менструацій), у 23 % пацієнтів у вигляді опсоменорей (рідких менструацій від 35 до 90 діб).</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 високою частотою (34%) у підлітків діагностувалася дисменорея (загальні порушення при менструації – головний біль, нудота, блювота, відсутність апетиту тощо). Альгоменорею (локальний біль при менструації) відмічено у 26% хворих, а альгодисменорея (поєднання загальних проявів і місцевого болю при менструаціях) виявлено у 18% підлітків.</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Гіперменорея (менструації з підвищеною кількістю крові, що виділяється) мала місце у 12</w:t>
      </w:r>
      <w:r w:rsidRPr="00A268C2">
        <w:rPr>
          <w:rFonts w:ascii="Times New Roman" w:hAnsi="Times New Roman"/>
          <w:sz w:val="28"/>
          <w:szCs w:val="28"/>
          <w:lang w:val="uk-UA"/>
        </w:rPr>
        <w:t>% дівчат-підлітків</w:t>
      </w:r>
      <w:r>
        <w:rPr>
          <w:rFonts w:ascii="Times New Roman" w:hAnsi="Times New Roman"/>
          <w:sz w:val="28"/>
          <w:szCs w:val="28"/>
          <w:lang w:val="uk-UA"/>
        </w:rPr>
        <w:t>, а опсоменорея ( рідкі менструації від 55 до 90 діб) – у 8% хворих.</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Рідше за все зустрічалися вторинна аменорея (відсутність менструацій протягом 6 місяців) – у 6% підлітків, і первинна аменорея у 2% </w:t>
      </w:r>
      <w:r w:rsidRPr="00A268C2">
        <w:rPr>
          <w:rFonts w:ascii="Times New Roman" w:hAnsi="Times New Roman"/>
          <w:sz w:val="28"/>
          <w:szCs w:val="28"/>
          <w:lang w:val="uk-UA"/>
        </w:rPr>
        <w:t>пацієнтів.</w:t>
      </w:r>
    </w:p>
    <w:p w:rsidR="000F78D0" w:rsidRPr="008D25ED" w:rsidRDefault="000F78D0" w:rsidP="005C1EA2">
      <w:pPr>
        <w:tabs>
          <w:tab w:val="left" w:pos="0"/>
        </w:tabs>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2.2</w:t>
      </w:r>
      <w:r w:rsidRPr="00A268C2">
        <w:rPr>
          <w:rFonts w:ascii="Times New Roman" w:hAnsi="Times New Roman"/>
          <w:b/>
          <w:sz w:val="28"/>
          <w:szCs w:val="28"/>
          <w:lang w:val="uk-UA"/>
        </w:rPr>
        <w:t>. Клінічні методи</w:t>
      </w:r>
      <w:r w:rsidRPr="00773F8F">
        <w:rPr>
          <w:rFonts w:ascii="Times New Roman" w:hAnsi="Times New Roman"/>
          <w:b/>
          <w:sz w:val="28"/>
          <w:szCs w:val="28"/>
          <w:lang w:val="uk-UA"/>
        </w:rPr>
        <w:t xml:space="preserve"> дослідження</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Діагностику захворювань пародонта здійснювали згідно з класифікацією захворювань пародонта, запропоновано</w:t>
      </w:r>
      <w:r w:rsidRPr="00A268C2">
        <w:rPr>
          <w:rFonts w:ascii="Times New Roman" w:hAnsi="Times New Roman"/>
          <w:sz w:val="28"/>
          <w:szCs w:val="28"/>
          <w:lang w:val="uk-UA"/>
        </w:rPr>
        <w:t>ю</w:t>
      </w:r>
      <w:r>
        <w:rPr>
          <w:rFonts w:ascii="Times New Roman" w:hAnsi="Times New Roman"/>
          <w:sz w:val="28"/>
          <w:szCs w:val="28"/>
          <w:lang w:val="uk-UA"/>
        </w:rPr>
        <w:t xml:space="preserve"> М.Ф.Данилевським та співав. (1994) </w:t>
      </w:r>
      <w:r w:rsidRPr="0066279E">
        <w:rPr>
          <w:rFonts w:ascii="Times New Roman" w:hAnsi="Times New Roman"/>
          <w:sz w:val="28"/>
          <w:szCs w:val="28"/>
          <w:lang w:val="uk-UA"/>
        </w:rPr>
        <w:t>[</w:t>
      </w:r>
      <w:r w:rsidR="0066279E" w:rsidRPr="0066279E">
        <w:rPr>
          <w:rFonts w:ascii="Times New Roman" w:hAnsi="Times New Roman"/>
          <w:sz w:val="28"/>
          <w:szCs w:val="28"/>
          <w:lang w:val="uk-UA"/>
        </w:rPr>
        <w:t>54</w:t>
      </w:r>
      <w:r w:rsidRPr="0066279E">
        <w:rPr>
          <w:rFonts w:ascii="Times New Roman" w:hAnsi="Times New Roman"/>
          <w:sz w:val="28"/>
          <w:szCs w:val="28"/>
          <w:lang w:val="uk-UA"/>
        </w:rPr>
        <w:t>],</w:t>
      </w:r>
      <w:r>
        <w:rPr>
          <w:rFonts w:ascii="Times New Roman" w:hAnsi="Times New Roman"/>
          <w:sz w:val="28"/>
          <w:szCs w:val="28"/>
          <w:lang w:val="uk-UA"/>
        </w:rPr>
        <w:t xml:space="preserve"> </w:t>
      </w:r>
      <w:r w:rsidRPr="00B60833">
        <w:rPr>
          <w:rFonts w:ascii="Times New Roman" w:hAnsi="Times New Roman"/>
          <w:sz w:val="28"/>
          <w:szCs w:val="28"/>
          <w:lang w:val="uk-UA"/>
        </w:rPr>
        <w:t>та</w:t>
      </w:r>
      <w:r>
        <w:rPr>
          <w:rFonts w:ascii="Times New Roman" w:hAnsi="Times New Roman"/>
          <w:sz w:val="28"/>
          <w:szCs w:val="28"/>
          <w:lang w:val="uk-UA"/>
        </w:rPr>
        <w:t xml:space="preserve"> яка була рекомендована Республіканською конференцією стоматологів України (Одеса, 1998) в якості робочої класифікації в учбових і лікувальних закладах країни.</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Комплексне обстеження </w:t>
      </w:r>
      <w:r w:rsidRPr="00B60833">
        <w:rPr>
          <w:rFonts w:ascii="Times New Roman" w:hAnsi="Times New Roman"/>
          <w:sz w:val="28"/>
          <w:szCs w:val="28"/>
          <w:lang w:val="uk-UA"/>
        </w:rPr>
        <w:t>обраного контингенту</w:t>
      </w:r>
      <w:r w:rsidR="0090526F">
        <w:rPr>
          <w:rFonts w:ascii="Times New Roman" w:hAnsi="Times New Roman"/>
          <w:sz w:val="28"/>
          <w:szCs w:val="28"/>
          <w:lang w:val="uk-UA"/>
        </w:rPr>
        <w:t xml:space="preserve"> пацієнтів</w:t>
      </w:r>
      <w:r>
        <w:rPr>
          <w:rFonts w:ascii="Times New Roman" w:hAnsi="Times New Roman"/>
          <w:sz w:val="28"/>
          <w:szCs w:val="28"/>
          <w:lang w:val="uk-UA"/>
        </w:rPr>
        <w:t xml:space="preserve"> включало: збір скарг, анамнезу хвороби, анамнезу життя, акушерського анамнезу матері, генеалогічного анамнезу батьків і прабатьків, визначення способу життя підлітків, об’єктивне обстеження стоматологічного статусу і додаткових способів дослідження, включаючи ортопантомографію.</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вивчення способу життя підлітків було розроблено анкету, в якій </w:t>
      </w:r>
      <w:r w:rsidRPr="00B60833">
        <w:rPr>
          <w:rFonts w:ascii="Times New Roman" w:hAnsi="Times New Roman"/>
          <w:sz w:val="28"/>
          <w:szCs w:val="28"/>
          <w:lang w:val="uk-UA"/>
        </w:rPr>
        <w:t>враховувалась наступна інформація: тютюнопаління; зловживання солодощами і фастфудом; режим рухової</w:t>
      </w:r>
      <w:r>
        <w:rPr>
          <w:rFonts w:ascii="Times New Roman" w:hAnsi="Times New Roman"/>
          <w:sz w:val="28"/>
          <w:szCs w:val="28"/>
          <w:lang w:val="uk-UA"/>
        </w:rPr>
        <w:t xml:space="preserve"> активності; переважання в дієті жирних і гострих страв; учбове навантаження; фізичні перевантаження; психологічна обстановка в родині;  наявність конфліктів в родині і колективі, нерозділеного або невдалого кохання, довготривалих психотравмуючих ситуацій, дієтичного раціону; тривалість перебування на свіжому повітрі; пережовування їжі на одному боці; використання в раціоні м’якої їжі, а також наявність травматичного чищення зубів.</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При клінічному обстеженні тканин пародонта оцінювали стан гігієни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за допомогою індексів гігієни </w:t>
      </w:r>
      <w:r w:rsidR="00E71220">
        <w:rPr>
          <w:rFonts w:ascii="Times New Roman" w:hAnsi="Times New Roman"/>
          <w:sz w:val="28"/>
          <w:szCs w:val="28"/>
          <w:lang w:val="uk-UA"/>
        </w:rPr>
        <w:t>Ю.А.Федорова, В.В.Володкіної</w:t>
      </w:r>
      <w:r>
        <w:rPr>
          <w:rFonts w:ascii="Times New Roman" w:hAnsi="Times New Roman"/>
          <w:sz w:val="28"/>
          <w:szCs w:val="28"/>
          <w:lang w:val="uk-UA"/>
        </w:rPr>
        <w:t xml:space="preserve"> (</w:t>
      </w:r>
      <w:r w:rsidRPr="0066279E">
        <w:rPr>
          <w:rFonts w:ascii="Times New Roman" w:hAnsi="Times New Roman"/>
          <w:sz w:val="28"/>
          <w:szCs w:val="28"/>
          <w:lang w:val="uk-UA"/>
        </w:rPr>
        <w:t>1971) [</w:t>
      </w:r>
      <w:r w:rsidR="0066279E" w:rsidRPr="0066279E">
        <w:rPr>
          <w:rFonts w:ascii="Times New Roman" w:hAnsi="Times New Roman"/>
          <w:sz w:val="28"/>
          <w:szCs w:val="28"/>
          <w:lang w:val="uk-UA"/>
        </w:rPr>
        <w:t>146</w:t>
      </w:r>
      <w:r w:rsidRPr="0066279E">
        <w:rPr>
          <w:rFonts w:ascii="Times New Roman" w:hAnsi="Times New Roman"/>
          <w:sz w:val="28"/>
          <w:szCs w:val="28"/>
          <w:lang w:val="uk-UA"/>
        </w:rPr>
        <w:t xml:space="preserve">],  і спрощеного індексу </w:t>
      </w:r>
      <w:r w:rsidRPr="0066279E">
        <w:rPr>
          <w:rFonts w:ascii="Times New Roman" w:hAnsi="Times New Roman"/>
          <w:sz w:val="28"/>
          <w:szCs w:val="28"/>
        </w:rPr>
        <w:t>Green</w:t>
      </w:r>
      <w:r w:rsidRPr="0066279E">
        <w:rPr>
          <w:rFonts w:ascii="Times New Roman" w:hAnsi="Times New Roman"/>
          <w:sz w:val="28"/>
          <w:szCs w:val="28"/>
          <w:lang w:val="uk-UA"/>
        </w:rPr>
        <w:t>-</w:t>
      </w:r>
      <w:r w:rsidRPr="0066279E">
        <w:rPr>
          <w:rFonts w:ascii="Times New Roman" w:hAnsi="Times New Roman"/>
          <w:sz w:val="28"/>
          <w:szCs w:val="28"/>
        </w:rPr>
        <w:t>Vermilion</w:t>
      </w:r>
      <w:r w:rsidRPr="0066279E">
        <w:rPr>
          <w:rFonts w:ascii="Times New Roman" w:hAnsi="Times New Roman"/>
          <w:sz w:val="28"/>
          <w:szCs w:val="28"/>
          <w:lang w:val="uk-UA"/>
        </w:rPr>
        <w:t xml:space="preserve"> (1960) [</w:t>
      </w:r>
      <w:r w:rsidR="0066279E" w:rsidRPr="0066279E">
        <w:rPr>
          <w:rFonts w:ascii="Times New Roman" w:hAnsi="Times New Roman"/>
          <w:sz w:val="28"/>
          <w:szCs w:val="28"/>
          <w:lang w:val="uk-UA"/>
        </w:rPr>
        <w:t>146</w:t>
      </w:r>
      <w:r w:rsidR="0066279E">
        <w:rPr>
          <w:rFonts w:ascii="Times New Roman" w:hAnsi="Times New Roman"/>
          <w:sz w:val="28"/>
          <w:szCs w:val="28"/>
          <w:lang w:val="uk-UA"/>
        </w:rPr>
        <w:t>]</w:t>
      </w:r>
      <w:r w:rsidRPr="0066279E">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Тяжкість  і </w:t>
      </w:r>
      <w:r w:rsidR="00CD0628">
        <w:rPr>
          <w:rFonts w:ascii="Times New Roman" w:hAnsi="Times New Roman"/>
          <w:sz w:val="28"/>
          <w:szCs w:val="28"/>
          <w:lang w:val="uk-UA"/>
        </w:rPr>
        <w:t>поширеність</w:t>
      </w:r>
      <w:r>
        <w:rPr>
          <w:rFonts w:ascii="Times New Roman" w:hAnsi="Times New Roman"/>
          <w:sz w:val="28"/>
          <w:szCs w:val="28"/>
          <w:lang w:val="uk-UA"/>
        </w:rPr>
        <w:t xml:space="preserve"> запальних змін визначалися за допомогою папілярно-маргінально-альвеолярного індексу РМА в модифікації </w:t>
      </w:r>
      <w:r>
        <w:rPr>
          <w:rFonts w:ascii="Times New Roman" w:hAnsi="Times New Roman"/>
          <w:sz w:val="28"/>
          <w:szCs w:val="28"/>
        </w:rPr>
        <w:t>Parma</w:t>
      </w:r>
      <w:r>
        <w:rPr>
          <w:rFonts w:ascii="Times New Roman" w:hAnsi="Times New Roman"/>
          <w:sz w:val="28"/>
          <w:szCs w:val="28"/>
          <w:lang w:val="uk-UA"/>
        </w:rPr>
        <w:t xml:space="preserve"> (1960) і папілярного індексу кровоточивості </w:t>
      </w:r>
      <w:r>
        <w:rPr>
          <w:rFonts w:ascii="Times New Roman" w:hAnsi="Times New Roman"/>
          <w:sz w:val="28"/>
          <w:szCs w:val="28"/>
          <w:lang w:val="de-DE"/>
        </w:rPr>
        <w:t>M</w:t>
      </w:r>
      <w:r w:rsidRPr="00DE7235">
        <w:rPr>
          <w:rFonts w:ascii="Times New Roman" w:hAnsi="Times New Roman"/>
          <w:sz w:val="28"/>
          <w:szCs w:val="28"/>
          <w:lang w:val="uk-UA"/>
        </w:rPr>
        <w:t>ü</w:t>
      </w:r>
      <w:r>
        <w:rPr>
          <w:rFonts w:ascii="Times New Roman" w:hAnsi="Times New Roman"/>
          <w:sz w:val="28"/>
          <w:szCs w:val="28"/>
          <w:lang w:val="de-DE"/>
        </w:rPr>
        <w:t>hlemann</w:t>
      </w:r>
      <w:r w:rsidRPr="00DE7235">
        <w:rPr>
          <w:rFonts w:ascii="Times New Roman" w:hAnsi="Times New Roman"/>
          <w:sz w:val="28"/>
          <w:szCs w:val="28"/>
          <w:lang w:val="uk-UA"/>
        </w:rPr>
        <w:t>-</w:t>
      </w:r>
      <w:r>
        <w:rPr>
          <w:rFonts w:ascii="Times New Roman" w:hAnsi="Times New Roman"/>
          <w:sz w:val="28"/>
          <w:szCs w:val="28"/>
          <w:lang w:val="de-DE"/>
        </w:rPr>
        <w:t>Saxer</w:t>
      </w:r>
      <w:r>
        <w:rPr>
          <w:rFonts w:ascii="Times New Roman" w:hAnsi="Times New Roman"/>
          <w:sz w:val="28"/>
          <w:szCs w:val="28"/>
          <w:lang w:val="uk-UA"/>
        </w:rPr>
        <w:t xml:space="preserve"> (1975).</w:t>
      </w:r>
    </w:p>
    <w:p w:rsidR="000F78D0" w:rsidRPr="003A36BC" w:rsidRDefault="000F78D0" w:rsidP="005C1EA2">
      <w:pPr>
        <w:tabs>
          <w:tab w:val="left" w:pos="0"/>
        </w:tabs>
        <w:spacing w:line="360" w:lineRule="auto"/>
        <w:ind w:firstLine="709"/>
        <w:jc w:val="both"/>
        <w:rPr>
          <w:rFonts w:ascii="Times New Roman" w:hAnsi="Times New Roman"/>
          <w:b/>
          <w:sz w:val="28"/>
          <w:szCs w:val="28"/>
          <w:lang w:val="uk-UA"/>
        </w:rPr>
      </w:pPr>
      <w:r w:rsidRPr="003A36BC">
        <w:rPr>
          <w:rFonts w:ascii="Times New Roman" w:hAnsi="Times New Roman"/>
          <w:b/>
          <w:sz w:val="28"/>
          <w:szCs w:val="28"/>
          <w:lang w:val="uk-UA"/>
        </w:rPr>
        <w:t>2.2.1. Додаткові методи дослідження</w:t>
      </w:r>
    </w:p>
    <w:p w:rsidR="000F78D0" w:rsidRDefault="000F78D0" w:rsidP="005C1EA2">
      <w:pPr>
        <w:tabs>
          <w:tab w:val="left" w:pos="0"/>
        </w:tabs>
        <w:spacing w:line="360" w:lineRule="auto"/>
        <w:ind w:firstLine="709"/>
        <w:jc w:val="both"/>
        <w:rPr>
          <w:rFonts w:ascii="Times New Roman" w:hAnsi="Times New Roman"/>
          <w:b/>
          <w:sz w:val="28"/>
          <w:szCs w:val="28"/>
          <w:lang w:val="uk-UA"/>
        </w:rPr>
      </w:pPr>
      <w:r w:rsidRPr="003A36BC">
        <w:rPr>
          <w:rFonts w:ascii="Times New Roman" w:hAnsi="Times New Roman"/>
          <w:b/>
          <w:sz w:val="28"/>
          <w:szCs w:val="28"/>
          <w:lang w:val="uk-UA"/>
        </w:rPr>
        <w:t>2.2.1.1. Цитологічне дослідження тканин ясен</w:t>
      </w:r>
    </w:p>
    <w:p w:rsidR="000F78D0" w:rsidRPr="0066279E"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цитологічного дослідження проводили забір відбитків з ясен в області фронтальних і жувальних зубів (по 6 відбитків у кожного хворого) за допомогою мішені: стерильний клиноподібний фрагмент гуми-ластика з розміром вузької частини не більше </w:t>
      </w:r>
      <w:smartTag w:uri="urn:schemas-microsoft-com:office:smarttags" w:element="metricconverter">
        <w:smartTagPr>
          <w:attr w:name="ProductID" w:val="1 мм"/>
        </w:smartTagPr>
        <w:r>
          <w:rPr>
            <w:rFonts w:ascii="Times New Roman" w:hAnsi="Times New Roman"/>
            <w:sz w:val="28"/>
            <w:szCs w:val="28"/>
            <w:lang w:val="uk-UA"/>
          </w:rPr>
          <w:t>1 мм</w:t>
        </w:r>
      </w:smartTag>
      <w:r>
        <w:rPr>
          <w:rFonts w:ascii="Times New Roman" w:hAnsi="Times New Roman"/>
          <w:sz w:val="28"/>
          <w:szCs w:val="28"/>
          <w:lang w:val="uk-UA"/>
        </w:rPr>
        <w:t>. Легко притискаючи мішень до досліджуваної ділянки, брали матеріал і переносили його у вигляді відбитків на предметне скло. Мазки фіксували і фарбували за Романовським-Гімзою</w:t>
      </w:r>
      <w:r w:rsidR="0066279E">
        <w:rPr>
          <w:rFonts w:ascii="Times New Roman" w:hAnsi="Times New Roman"/>
          <w:sz w:val="28"/>
          <w:szCs w:val="28"/>
          <w:lang w:val="uk-UA"/>
        </w:rPr>
        <w:t xml:space="preserve"> </w:t>
      </w:r>
      <w:r w:rsidRPr="0066279E">
        <w:rPr>
          <w:rFonts w:ascii="Times New Roman" w:hAnsi="Times New Roman"/>
          <w:sz w:val="28"/>
          <w:szCs w:val="28"/>
          <w:lang w:val="uk-UA"/>
        </w:rPr>
        <w:t>[</w:t>
      </w:r>
      <w:r w:rsidR="0066279E" w:rsidRPr="0066279E">
        <w:rPr>
          <w:rFonts w:ascii="Times New Roman" w:hAnsi="Times New Roman"/>
          <w:sz w:val="28"/>
          <w:szCs w:val="28"/>
          <w:lang w:val="uk-UA"/>
        </w:rPr>
        <w:t>27]</w:t>
      </w:r>
      <w:r w:rsidRPr="0066279E">
        <w:rPr>
          <w:rFonts w:ascii="Times New Roman" w:hAnsi="Times New Roman"/>
          <w:sz w:val="28"/>
          <w:szCs w:val="28"/>
          <w:lang w:val="uk-UA"/>
        </w:rPr>
        <w:t>.</w:t>
      </w:r>
      <w:r>
        <w:rPr>
          <w:rFonts w:ascii="Times New Roman" w:hAnsi="Times New Roman"/>
          <w:sz w:val="28"/>
          <w:szCs w:val="28"/>
          <w:lang w:val="uk-UA"/>
        </w:rPr>
        <w:t xml:space="preserve"> В 10-ти полях зору підраховували абсолютну і відносну кількість епітеліальних (базофільні ядровмісні клітини, позбавлені ядер) і сполучнотканинних клітин: поліморфноядерних лейкоцитів, непошкоджених моноцитів  і голоядерних </w:t>
      </w:r>
      <w:r w:rsidRPr="0066279E">
        <w:rPr>
          <w:rFonts w:ascii="Times New Roman" w:hAnsi="Times New Roman"/>
          <w:sz w:val="28"/>
          <w:szCs w:val="28"/>
          <w:lang w:val="uk-UA"/>
        </w:rPr>
        <w:t>моноцитів</w:t>
      </w:r>
      <w:r w:rsidR="0066279E" w:rsidRPr="0066279E">
        <w:rPr>
          <w:rFonts w:ascii="Times New Roman" w:hAnsi="Times New Roman"/>
          <w:sz w:val="28"/>
          <w:szCs w:val="28"/>
          <w:lang w:val="uk-UA"/>
        </w:rPr>
        <w:t xml:space="preserve"> </w:t>
      </w:r>
      <w:r w:rsidRPr="0066279E">
        <w:rPr>
          <w:rFonts w:ascii="Times New Roman" w:hAnsi="Times New Roman"/>
          <w:sz w:val="28"/>
          <w:szCs w:val="28"/>
          <w:lang w:val="uk-UA"/>
        </w:rPr>
        <w:t>[</w:t>
      </w:r>
      <w:r w:rsidR="0066279E" w:rsidRPr="0066279E">
        <w:rPr>
          <w:rFonts w:ascii="Times New Roman" w:hAnsi="Times New Roman"/>
          <w:sz w:val="28"/>
          <w:szCs w:val="28"/>
          <w:lang w:val="uk-UA"/>
        </w:rPr>
        <w:t>27]</w:t>
      </w:r>
      <w:r w:rsidRPr="0066279E">
        <w:rPr>
          <w:rFonts w:ascii="Times New Roman" w:hAnsi="Times New Roman"/>
          <w:sz w:val="28"/>
          <w:szCs w:val="28"/>
          <w:lang w:val="uk-UA"/>
        </w:rPr>
        <w:t xml:space="preserve">. </w:t>
      </w:r>
    </w:p>
    <w:p w:rsidR="000F78D0" w:rsidRDefault="000F78D0" w:rsidP="005C1EA2">
      <w:pPr>
        <w:tabs>
          <w:tab w:val="left" w:pos="0"/>
        </w:tabs>
        <w:spacing w:line="360" w:lineRule="auto"/>
        <w:ind w:firstLine="709"/>
        <w:jc w:val="both"/>
        <w:rPr>
          <w:rFonts w:ascii="Times New Roman" w:hAnsi="Times New Roman"/>
          <w:sz w:val="28"/>
          <w:szCs w:val="28"/>
          <w:lang w:val="uk-UA"/>
        </w:rPr>
      </w:pPr>
      <w:r w:rsidRPr="0066279E">
        <w:rPr>
          <w:rFonts w:ascii="Times New Roman" w:hAnsi="Times New Roman"/>
          <w:sz w:val="28"/>
          <w:szCs w:val="28"/>
          <w:lang w:val="uk-UA"/>
        </w:rPr>
        <w:t>Визначали кількість епітеліальних клітин з ознаками цитопатології: дистрофічно змінених клітин з вакуолізованою цитоплазмою, з деформованим ядром; клітини, контаміновані мікроорганізмами</w:t>
      </w:r>
      <w:r w:rsidR="0066279E" w:rsidRPr="0066279E">
        <w:rPr>
          <w:rFonts w:ascii="Times New Roman" w:hAnsi="Times New Roman"/>
          <w:sz w:val="28"/>
          <w:szCs w:val="28"/>
          <w:lang w:val="uk-UA"/>
        </w:rPr>
        <w:t xml:space="preserve"> </w:t>
      </w:r>
      <w:r w:rsidRPr="0066279E">
        <w:rPr>
          <w:rFonts w:ascii="Times New Roman" w:hAnsi="Times New Roman"/>
          <w:sz w:val="28"/>
          <w:szCs w:val="28"/>
          <w:lang w:val="uk-UA"/>
        </w:rPr>
        <w:t>[</w:t>
      </w:r>
      <w:r w:rsidR="0066279E" w:rsidRPr="0066279E">
        <w:rPr>
          <w:rFonts w:ascii="Times New Roman" w:hAnsi="Times New Roman"/>
          <w:sz w:val="28"/>
          <w:szCs w:val="28"/>
          <w:lang w:val="uk-UA"/>
        </w:rPr>
        <w:t>27</w:t>
      </w:r>
      <w:r w:rsidRPr="0066279E">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sidRPr="006A0B59">
        <w:rPr>
          <w:rFonts w:ascii="Times New Roman" w:hAnsi="Times New Roman"/>
          <w:b/>
          <w:sz w:val="28"/>
          <w:szCs w:val="28"/>
          <w:lang w:val="uk-UA"/>
        </w:rPr>
        <w:t>2.2.1.2. Визначення мінеральної щільності кісткової тканини</w:t>
      </w:r>
      <w:r>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Мінеральну щільність кісткової тканини пародонта вивчали за допомогою денситометрії. В якості вихідних даних використовувалася ортопантомограма пацієнтів, отримана з цифрового ортопантомографу виробництва фірми </w:t>
      </w:r>
      <w:r>
        <w:rPr>
          <w:rFonts w:ascii="Times New Roman" w:hAnsi="Times New Roman"/>
          <w:sz w:val="28"/>
          <w:szCs w:val="28"/>
        </w:rPr>
        <w:t>Trophy</w:t>
      </w:r>
      <w:r w:rsidRPr="00F43818">
        <w:rPr>
          <w:rFonts w:ascii="Times New Roman" w:hAnsi="Times New Roman"/>
          <w:sz w:val="28"/>
          <w:szCs w:val="28"/>
          <w:lang w:val="uk-UA"/>
        </w:rPr>
        <w:t xml:space="preserve"> </w:t>
      </w:r>
      <w:r>
        <w:rPr>
          <w:rFonts w:ascii="Times New Roman" w:hAnsi="Times New Roman"/>
          <w:sz w:val="28"/>
          <w:szCs w:val="28"/>
        </w:rPr>
        <w:t>Radiology</w:t>
      </w:r>
      <w:r>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Було проведено рентгенографію (ортопантомографію) з вивченням оптичної щільності кісткової тканини і інтерпретацію стану кісткових структур і пародонта.  За оцінкою відстані між альвеолярним гребенем і емалево-цементною межею розпізнається втрата кістки. У здорової людини ця відстань  складає 1-</w:t>
      </w:r>
      <w:r>
        <w:rPr>
          <w:rFonts w:ascii="Times New Roman" w:hAnsi="Times New Roman"/>
          <w:sz w:val="28"/>
          <w:szCs w:val="28"/>
          <w:lang w:val="uk-UA"/>
        </w:rPr>
        <w:lastRenderedPageBreak/>
        <w:t>2мм; будь-яке відхилення роздивляється як втрата альвеолярної кістки (В.М. Щербіч і співав., 2008</w:t>
      </w:r>
      <w:r w:rsidRPr="0066279E">
        <w:rPr>
          <w:rFonts w:ascii="Times New Roman" w:hAnsi="Times New Roman"/>
          <w:sz w:val="28"/>
          <w:szCs w:val="28"/>
          <w:lang w:val="uk-UA"/>
        </w:rPr>
        <w:t>) [</w:t>
      </w:r>
      <w:r w:rsidR="0066279E" w:rsidRPr="0066279E">
        <w:rPr>
          <w:rFonts w:ascii="Times New Roman" w:hAnsi="Times New Roman"/>
          <w:sz w:val="28"/>
          <w:szCs w:val="28"/>
          <w:lang w:val="uk-UA"/>
        </w:rPr>
        <w:t>248]</w:t>
      </w:r>
      <w:r w:rsidRPr="0066279E">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із денситометрією визначали концентрацію загального кальцію в ротовій рідині фотометричним методом за допомогою діагностичних тестів фірми «</w:t>
      </w:r>
      <w:r>
        <w:rPr>
          <w:rFonts w:ascii="Times New Roman" w:hAnsi="Times New Roman"/>
          <w:sz w:val="28"/>
          <w:szCs w:val="28"/>
        </w:rPr>
        <w:t>Human</w:t>
      </w:r>
      <w:r w:rsidRPr="00B60833">
        <w:rPr>
          <w:rFonts w:ascii="Times New Roman" w:hAnsi="Times New Roman"/>
          <w:sz w:val="28"/>
          <w:szCs w:val="28"/>
          <w:lang w:val="uk-UA"/>
        </w:rPr>
        <w:t>» (Німеччина).</w:t>
      </w:r>
    </w:p>
    <w:p w:rsidR="000F78D0" w:rsidRDefault="000F78D0" w:rsidP="005C1EA2">
      <w:pPr>
        <w:tabs>
          <w:tab w:val="left" w:pos="0"/>
        </w:tabs>
        <w:spacing w:line="360" w:lineRule="auto"/>
        <w:ind w:firstLine="709"/>
        <w:jc w:val="both"/>
        <w:rPr>
          <w:rFonts w:ascii="Times New Roman" w:hAnsi="Times New Roman"/>
          <w:b/>
          <w:sz w:val="28"/>
          <w:szCs w:val="28"/>
          <w:lang w:val="uk-UA"/>
        </w:rPr>
      </w:pPr>
      <w:r w:rsidRPr="00E02007">
        <w:rPr>
          <w:rFonts w:ascii="Times New Roman" w:hAnsi="Times New Roman"/>
          <w:b/>
          <w:sz w:val="28"/>
          <w:szCs w:val="28"/>
          <w:lang w:val="uk-UA"/>
        </w:rPr>
        <w:t>2.2.1.3. Визначення ступеню дисбіоза порожнини рота</w:t>
      </w:r>
    </w:p>
    <w:p w:rsidR="000F78D0" w:rsidRPr="0066279E"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визначення дисбіотичних порушень в порожнині рота використовували ферментний метод за Левицьким А.П. (2007)</w:t>
      </w:r>
      <w:r w:rsidRPr="00810388">
        <w:rPr>
          <w:rFonts w:ascii="Times New Roman" w:hAnsi="Times New Roman"/>
          <w:sz w:val="28"/>
          <w:szCs w:val="28"/>
          <w:lang w:val="uk-UA"/>
        </w:rPr>
        <w:t xml:space="preserve"> </w:t>
      </w:r>
      <w:r w:rsidRPr="0066279E">
        <w:rPr>
          <w:rFonts w:ascii="Times New Roman" w:hAnsi="Times New Roman"/>
          <w:sz w:val="28"/>
          <w:szCs w:val="28"/>
          <w:lang w:val="uk-UA"/>
        </w:rPr>
        <w:t xml:space="preserve"> [</w:t>
      </w:r>
      <w:r w:rsidR="0066279E" w:rsidRPr="0066279E">
        <w:rPr>
          <w:rFonts w:ascii="Times New Roman" w:hAnsi="Times New Roman"/>
          <w:sz w:val="28"/>
          <w:szCs w:val="28"/>
          <w:lang w:val="uk-UA"/>
        </w:rPr>
        <w:t>123</w:t>
      </w:r>
      <w:r w:rsidRPr="0066279E">
        <w:rPr>
          <w:rFonts w:ascii="Times New Roman" w:hAnsi="Times New Roman"/>
          <w:sz w:val="28"/>
          <w:szCs w:val="28"/>
          <w:lang w:val="uk-UA"/>
        </w:rPr>
        <w:t xml:space="preserve">]. В основу ферментного метода покладено розуміння того, що дисбіоз являє собою результат взаємодії антимікробних систем з мікробами </w:t>
      </w:r>
      <w:r w:rsidR="00713761">
        <w:rPr>
          <w:rFonts w:ascii="Times New Roman" w:hAnsi="Times New Roman"/>
          <w:sz w:val="28"/>
          <w:szCs w:val="28"/>
          <w:lang w:val="uk-UA"/>
        </w:rPr>
        <w:t>ПР</w:t>
      </w:r>
      <w:r w:rsidRPr="0066279E">
        <w:rPr>
          <w:rFonts w:ascii="Times New Roman" w:hAnsi="Times New Roman"/>
          <w:sz w:val="28"/>
          <w:szCs w:val="28"/>
          <w:lang w:val="uk-UA"/>
        </w:rPr>
        <w:t>. Показником стану антимікробних систем може бути лізоцим, активність якого тісно корелює з рівнем антимікробних факторів макроорганізму (Левицький А.П., 2005,2006).</w:t>
      </w:r>
    </w:p>
    <w:p w:rsidR="000F78D0" w:rsidRPr="0066279E" w:rsidRDefault="000F78D0" w:rsidP="005C1EA2">
      <w:pPr>
        <w:tabs>
          <w:tab w:val="left" w:pos="0"/>
        </w:tabs>
        <w:spacing w:line="360" w:lineRule="auto"/>
        <w:ind w:firstLine="709"/>
        <w:jc w:val="both"/>
        <w:rPr>
          <w:rFonts w:ascii="Times New Roman" w:hAnsi="Times New Roman"/>
          <w:sz w:val="28"/>
          <w:szCs w:val="28"/>
          <w:lang w:val="uk-UA"/>
        </w:rPr>
      </w:pPr>
      <w:r w:rsidRPr="0066279E">
        <w:rPr>
          <w:rFonts w:ascii="Times New Roman" w:hAnsi="Times New Roman"/>
          <w:sz w:val="28"/>
          <w:szCs w:val="28"/>
          <w:lang w:val="uk-UA"/>
        </w:rPr>
        <w:t>У всіх пацієнтів збирали змішану нестимульовану слину (ротову рідину) згідно з рекомендаціями Левицького А.П. (2005)</w:t>
      </w:r>
      <w:r w:rsidR="0066279E" w:rsidRPr="0066279E">
        <w:rPr>
          <w:rFonts w:ascii="Times New Roman" w:hAnsi="Times New Roman"/>
          <w:sz w:val="28"/>
          <w:szCs w:val="28"/>
          <w:lang w:val="uk-UA"/>
        </w:rPr>
        <w:t xml:space="preserve"> [125]</w:t>
      </w:r>
      <w:r w:rsidRPr="0066279E">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sidRPr="0066279E">
        <w:rPr>
          <w:rFonts w:ascii="Times New Roman" w:hAnsi="Times New Roman"/>
          <w:sz w:val="28"/>
          <w:szCs w:val="28"/>
          <w:lang w:val="uk-UA"/>
        </w:rPr>
        <w:t>Забір нестимульованої ротової рідини  здійснювали зранку</w:t>
      </w:r>
      <w:r>
        <w:rPr>
          <w:rFonts w:ascii="Times New Roman" w:hAnsi="Times New Roman"/>
          <w:sz w:val="28"/>
          <w:szCs w:val="28"/>
          <w:lang w:val="uk-UA"/>
        </w:rPr>
        <w:t xml:space="preserve"> натщесерце після попереднього ополіскування порожнини рота водопровідною водою. Заборонялося зранку чистити зуби зубною щіткою, використовувати зубні ополіскувачі. Через 3 хвилини  підлітки здійснювали спльовування слини в пробірку через воронку. Після центрифугування вимірювали об’єм ротової рідини, відбирали надосадову рідину в сухі пеніцилінові флакони, герметично закривали і заморожували до дослідження.</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Ступінь дисбіозу  (СД) визначали за співвідношенням відносної активності уреази (У) і лізоциму (Л):</w:t>
      </w:r>
    </w:p>
    <w:p w:rsidR="000F78D0" w:rsidRDefault="00211C4A" w:rsidP="00AC605C">
      <w:pPr>
        <w:tabs>
          <w:tab w:val="left" w:pos="0"/>
        </w:tabs>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pict>
          <v:shape id="_x0000_s1058" type="#_x0000_t202" style="position:absolute;left:0;text-align:left;margin-left:116.7pt;margin-top:4.65pt;width:93pt;height:57pt;z-index:251668480" stroked="f">
            <v:textbox>
              <w:txbxContent>
                <w:p w:rsidR="00251EA6" w:rsidRPr="007F1CEC" w:rsidRDefault="00251EA6" w:rsidP="000F78D0">
                  <w:pPr>
                    <w:rPr>
                      <w:rFonts w:ascii="Times New Roman" w:hAnsi="Times New Roman"/>
                      <w:sz w:val="28"/>
                      <w:szCs w:val="28"/>
                      <w:lang w:val="uk-UA"/>
                    </w:rPr>
                  </w:pPr>
                  <w:r>
                    <w:rPr>
                      <w:rFonts w:ascii="Times New Roman" w:hAnsi="Times New Roman"/>
                      <w:sz w:val="28"/>
                      <w:szCs w:val="28"/>
                      <w:lang w:val="uk-UA"/>
                    </w:rPr>
                    <w:tab/>
                    <w:t xml:space="preserve">У </w:t>
                  </w:r>
                  <w:r w:rsidRPr="007F1CEC">
                    <w:rPr>
                      <w:rFonts w:ascii="Times New Roman" w:hAnsi="Times New Roman"/>
                      <w:sz w:val="20"/>
                      <w:szCs w:val="20"/>
                      <w:lang w:val="uk-UA"/>
                    </w:rPr>
                    <w:t>відн</w:t>
                  </w:r>
                </w:p>
                <w:p w:rsidR="00251EA6" w:rsidRDefault="00251EA6" w:rsidP="000F78D0">
                  <w:pPr>
                    <w:rPr>
                      <w:rFonts w:ascii="Times New Roman" w:hAnsi="Times New Roman"/>
                      <w:sz w:val="28"/>
                      <w:szCs w:val="28"/>
                      <w:lang w:val="uk-UA"/>
                    </w:rPr>
                  </w:pPr>
                  <w:r w:rsidRPr="007F1CEC">
                    <w:rPr>
                      <w:rFonts w:ascii="Times New Roman" w:hAnsi="Times New Roman"/>
                      <w:sz w:val="28"/>
                      <w:szCs w:val="28"/>
                      <w:lang w:val="uk-UA"/>
                    </w:rPr>
                    <w:t>СД</w:t>
                  </w:r>
                  <w:r>
                    <w:rPr>
                      <w:rFonts w:ascii="Times New Roman" w:hAnsi="Times New Roman"/>
                      <w:sz w:val="28"/>
                      <w:szCs w:val="28"/>
                      <w:lang w:val="uk-UA"/>
                    </w:rPr>
                    <w:t xml:space="preserve"> =</w:t>
                  </w:r>
                </w:p>
                <w:p w:rsidR="00251EA6" w:rsidRPr="007F1CEC" w:rsidRDefault="00251EA6" w:rsidP="000F78D0">
                  <w:pPr>
                    <w:rPr>
                      <w:rFonts w:ascii="Times New Roman" w:hAnsi="Times New Roman"/>
                      <w:sz w:val="28"/>
                      <w:szCs w:val="28"/>
                      <w:lang w:val="uk-UA"/>
                    </w:rPr>
                  </w:pPr>
                  <w:r>
                    <w:rPr>
                      <w:rFonts w:ascii="Times New Roman" w:hAnsi="Times New Roman"/>
                      <w:sz w:val="28"/>
                      <w:szCs w:val="28"/>
                      <w:lang w:val="uk-UA"/>
                    </w:rPr>
                    <w:tab/>
                    <w:t xml:space="preserve">Л </w:t>
                  </w:r>
                  <w:r w:rsidRPr="007F1CEC">
                    <w:rPr>
                      <w:rFonts w:ascii="Times New Roman" w:hAnsi="Times New Roman"/>
                      <w:sz w:val="20"/>
                      <w:szCs w:val="20"/>
                      <w:lang w:val="uk-UA"/>
                    </w:rPr>
                    <w:t>відн</w:t>
                  </w:r>
                </w:p>
              </w:txbxContent>
            </v:textbox>
          </v:shape>
        </w:pict>
      </w:r>
      <w:r w:rsidR="000F78D0">
        <w:rPr>
          <w:rFonts w:ascii="Times New Roman" w:hAnsi="Times New Roman"/>
          <w:sz w:val="28"/>
          <w:szCs w:val="28"/>
          <w:lang w:val="uk-UA"/>
        </w:rPr>
        <w:tab/>
      </w:r>
      <w:r w:rsidR="000F78D0">
        <w:rPr>
          <w:rFonts w:ascii="Times New Roman" w:hAnsi="Times New Roman"/>
          <w:sz w:val="28"/>
          <w:szCs w:val="28"/>
          <w:lang w:val="uk-UA"/>
        </w:rPr>
        <w:tab/>
      </w:r>
    </w:p>
    <w:p w:rsidR="000F78D0" w:rsidRDefault="00211C4A" w:rsidP="00A06011">
      <w:pPr>
        <w:tabs>
          <w:tab w:val="left" w:pos="0"/>
          <w:tab w:val="left" w:pos="708"/>
          <w:tab w:val="left" w:pos="1416"/>
          <w:tab w:val="left" w:pos="2124"/>
          <w:tab w:val="left" w:pos="6870"/>
        </w:tabs>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pict>
          <v:shape id="_x0000_s1059" type="#_x0000_t32" style="position:absolute;left:0;text-align:left;margin-left:157.95pt;margin-top:8.25pt;width:35.25pt;height:0;z-index:251669504" o:connectortype="straight"/>
        </w:pict>
      </w:r>
      <w:r w:rsidR="000F78D0">
        <w:rPr>
          <w:rFonts w:ascii="Times New Roman" w:hAnsi="Times New Roman"/>
          <w:sz w:val="28"/>
          <w:szCs w:val="28"/>
          <w:lang w:val="uk-UA"/>
        </w:rPr>
        <w:tab/>
      </w:r>
      <w:r w:rsidR="000F78D0">
        <w:rPr>
          <w:rFonts w:ascii="Times New Roman" w:hAnsi="Times New Roman"/>
          <w:sz w:val="28"/>
          <w:szCs w:val="28"/>
          <w:lang w:val="uk-UA"/>
        </w:rPr>
        <w:tab/>
      </w:r>
      <w:r w:rsidR="000F78D0">
        <w:rPr>
          <w:rFonts w:ascii="Times New Roman" w:hAnsi="Times New Roman"/>
          <w:sz w:val="28"/>
          <w:szCs w:val="28"/>
          <w:lang w:val="uk-UA"/>
        </w:rPr>
        <w:tab/>
      </w:r>
      <w:r w:rsidR="00A06011">
        <w:rPr>
          <w:rFonts w:ascii="Times New Roman" w:hAnsi="Times New Roman"/>
          <w:sz w:val="28"/>
          <w:szCs w:val="28"/>
          <w:lang w:val="uk-UA"/>
        </w:rPr>
        <w:tab/>
        <w:t>(2.1)</w:t>
      </w:r>
    </w:p>
    <w:p w:rsidR="000F78D0" w:rsidRDefault="000F78D0" w:rsidP="00AC605C">
      <w:pPr>
        <w:tabs>
          <w:tab w:val="left" w:pos="0"/>
        </w:tabs>
        <w:spacing w:line="360" w:lineRule="auto"/>
        <w:ind w:firstLine="426"/>
        <w:jc w:val="both"/>
        <w:rPr>
          <w:rFonts w:ascii="Times New Roman" w:hAnsi="Times New Roman"/>
          <w:sz w:val="28"/>
          <w:szCs w:val="28"/>
          <w:lang w:val="uk-UA"/>
        </w:rPr>
      </w:pP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нормі у здорових осіб показник СД дорівнює одиниці. При появі дисбіозу показник СД вище однини ці.</w:t>
      </w:r>
    </w:p>
    <w:p w:rsidR="00BD4604" w:rsidRDefault="00BD4604" w:rsidP="005C1EA2">
      <w:pPr>
        <w:tabs>
          <w:tab w:val="left" w:pos="0"/>
        </w:tabs>
        <w:spacing w:line="360" w:lineRule="auto"/>
        <w:ind w:firstLine="709"/>
        <w:jc w:val="both"/>
        <w:rPr>
          <w:rFonts w:ascii="Times New Roman" w:hAnsi="Times New Roman"/>
          <w:b/>
          <w:sz w:val="28"/>
          <w:szCs w:val="28"/>
          <w:lang w:val="uk-UA"/>
        </w:rPr>
      </w:pPr>
    </w:p>
    <w:p w:rsidR="00BD4604" w:rsidRDefault="00BD4604" w:rsidP="005C1EA2">
      <w:pPr>
        <w:tabs>
          <w:tab w:val="left" w:pos="0"/>
        </w:tabs>
        <w:spacing w:line="360" w:lineRule="auto"/>
        <w:ind w:firstLine="709"/>
        <w:jc w:val="both"/>
        <w:rPr>
          <w:rFonts w:ascii="Times New Roman" w:hAnsi="Times New Roman"/>
          <w:b/>
          <w:sz w:val="28"/>
          <w:szCs w:val="28"/>
          <w:lang w:val="uk-UA"/>
        </w:rPr>
      </w:pPr>
    </w:p>
    <w:p w:rsidR="000F78D0" w:rsidRDefault="000F78D0" w:rsidP="005C1EA2">
      <w:pPr>
        <w:tabs>
          <w:tab w:val="left" w:pos="0"/>
        </w:tabs>
        <w:spacing w:line="360" w:lineRule="auto"/>
        <w:ind w:firstLine="709"/>
        <w:jc w:val="both"/>
        <w:rPr>
          <w:rFonts w:ascii="Times New Roman" w:hAnsi="Times New Roman"/>
          <w:b/>
          <w:sz w:val="28"/>
          <w:szCs w:val="28"/>
          <w:lang w:val="uk-UA"/>
        </w:rPr>
      </w:pPr>
      <w:r w:rsidRPr="00BB6E69">
        <w:rPr>
          <w:rFonts w:ascii="Times New Roman" w:hAnsi="Times New Roman"/>
          <w:b/>
          <w:sz w:val="28"/>
          <w:szCs w:val="28"/>
          <w:lang w:val="uk-UA"/>
        </w:rPr>
        <w:lastRenderedPageBreak/>
        <w:t>2.2.1.4. Визначення стану локального імунітету</w:t>
      </w:r>
    </w:p>
    <w:p w:rsidR="000F78D0" w:rsidRPr="006A4A05"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Стан локального імунітету оцінювався за вмістом </w:t>
      </w:r>
      <w:r>
        <w:rPr>
          <w:rFonts w:ascii="Times New Roman" w:hAnsi="Times New Roman"/>
          <w:sz w:val="28"/>
          <w:szCs w:val="28"/>
        </w:rPr>
        <w:t>sIgA</w:t>
      </w:r>
      <w:r>
        <w:rPr>
          <w:rFonts w:ascii="Times New Roman" w:hAnsi="Times New Roman"/>
          <w:sz w:val="28"/>
          <w:szCs w:val="28"/>
          <w:lang w:val="uk-UA"/>
        </w:rPr>
        <w:t xml:space="preserve"> в слині за допомогою імуноферментного </w:t>
      </w:r>
      <w:r w:rsidRPr="0066279E">
        <w:rPr>
          <w:rFonts w:ascii="Times New Roman" w:hAnsi="Times New Roman"/>
          <w:sz w:val="28"/>
          <w:szCs w:val="28"/>
          <w:lang w:val="uk-UA"/>
        </w:rPr>
        <w:t>аналізу [</w:t>
      </w:r>
      <w:r w:rsidR="0066279E" w:rsidRPr="0066279E">
        <w:rPr>
          <w:rFonts w:ascii="Times New Roman" w:hAnsi="Times New Roman"/>
          <w:sz w:val="28"/>
          <w:szCs w:val="28"/>
          <w:lang w:val="uk-UA"/>
        </w:rPr>
        <w:t>252</w:t>
      </w:r>
      <w:r w:rsidRPr="0066279E">
        <w:rPr>
          <w:rFonts w:ascii="Times New Roman" w:hAnsi="Times New Roman"/>
          <w:sz w:val="28"/>
          <w:szCs w:val="28"/>
          <w:lang w:val="uk-UA"/>
        </w:rPr>
        <w:t>].</w:t>
      </w:r>
      <w:r>
        <w:rPr>
          <w:rFonts w:ascii="Times New Roman" w:hAnsi="Times New Roman"/>
          <w:sz w:val="28"/>
          <w:szCs w:val="28"/>
          <w:lang w:val="uk-UA"/>
        </w:rPr>
        <w:t xml:space="preserve"> Діагностика </w:t>
      </w:r>
      <w:r>
        <w:rPr>
          <w:rFonts w:ascii="Times New Roman" w:hAnsi="Times New Roman"/>
          <w:sz w:val="28"/>
          <w:szCs w:val="28"/>
        </w:rPr>
        <w:t>sIgA</w:t>
      </w:r>
      <w:r>
        <w:rPr>
          <w:rFonts w:ascii="Times New Roman" w:hAnsi="Times New Roman"/>
          <w:sz w:val="28"/>
          <w:szCs w:val="28"/>
          <w:lang w:val="uk-UA"/>
        </w:rPr>
        <w:t xml:space="preserve"> в слині здійснюється за допомогою наборів реагентів </w:t>
      </w:r>
      <w:r>
        <w:rPr>
          <w:rFonts w:ascii="Times New Roman" w:hAnsi="Times New Roman"/>
          <w:sz w:val="28"/>
          <w:szCs w:val="28"/>
        </w:rPr>
        <w:t>sIgA</w:t>
      </w:r>
      <w:r>
        <w:rPr>
          <w:rFonts w:ascii="Times New Roman" w:hAnsi="Times New Roman"/>
          <w:sz w:val="28"/>
          <w:szCs w:val="28"/>
          <w:lang w:val="uk-UA"/>
        </w:rPr>
        <w:t xml:space="preserve">-ІФА-БЕСТ-стрип для кількісного визначення </w:t>
      </w:r>
      <w:r>
        <w:rPr>
          <w:rFonts w:ascii="Times New Roman" w:hAnsi="Times New Roman"/>
          <w:sz w:val="28"/>
          <w:szCs w:val="28"/>
        </w:rPr>
        <w:t>sIgA</w:t>
      </w:r>
      <w:r>
        <w:rPr>
          <w:rFonts w:ascii="Times New Roman" w:hAnsi="Times New Roman"/>
          <w:sz w:val="28"/>
          <w:szCs w:val="28"/>
          <w:lang w:val="uk-UA"/>
        </w:rPr>
        <w:t xml:space="preserve"> в біологічних рідинах людини твердо фазним методом імуноферментного аналізу. Метод заснований на принципі сандвіча. Аналіз  проводиться в дві стадії. На першій стадії калібрувальні проби з відомою концентрацією </w:t>
      </w:r>
      <w:r>
        <w:rPr>
          <w:rFonts w:ascii="Times New Roman" w:hAnsi="Times New Roman"/>
          <w:sz w:val="28"/>
          <w:szCs w:val="28"/>
        </w:rPr>
        <w:t>sIgA</w:t>
      </w:r>
      <w:r>
        <w:rPr>
          <w:rFonts w:ascii="Times New Roman" w:hAnsi="Times New Roman"/>
          <w:sz w:val="28"/>
          <w:szCs w:val="28"/>
          <w:lang w:val="uk-UA"/>
        </w:rPr>
        <w:t xml:space="preserve"> та досліджувані зразки інкубуються в лунках стрипованого планшету з іммобілізованими моноклональними антитілами (МКАТ) до секреторного компоненту </w:t>
      </w:r>
      <w:r>
        <w:rPr>
          <w:rFonts w:ascii="Times New Roman" w:hAnsi="Times New Roman"/>
          <w:sz w:val="28"/>
          <w:szCs w:val="28"/>
        </w:rPr>
        <w:t>sIgA</w:t>
      </w:r>
      <w:r>
        <w:rPr>
          <w:rFonts w:ascii="Times New Roman" w:hAnsi="Times New Roman"/>
          <w:sz w:val="28"/>
          <w:szCs w:val="28"/>
          <w:lang w:val="uk-UA"/>
        </w:rPr>
        <w:t xml:space="preserve">. Потім планшет відмивається. На другій стадії </w:t>
      </w:r>
      <w:r>
        <w:rPr>
          <w:rFonts w:ascii="Times New Roman" w:hAnsi="Times New Roman"/>
          <w:sz w:val="28"/>
          <w:szCs w:val="28"/>
        </w:rPr>
        <w:t>sIgA</w:t>
      </w:r>
      <w:r>
        <w:rPr>
          <w:rFonts w:ascii="Times New Roman" w:hAnsi="Times New Roman"/>
          <w:sz w:val="28"/>
          <w:szCs w:val="28"/>
          <w:lang w:val="uk-UA"/>
        </w:rPr>
        <w:t xml:space="preserve">, що зв’язався в лунках, виявляють кон’югатом МКАТ до α- ланцюга імуноглобуліну з пероксидазою хріна. Концентрацію </w:t>
      </w:r>
      <w:r>
        <w:rPr>
          <w:rFonts w:ascii="Times New Roman" w:hAnsi="Times New Roman"/>
          <w:sz w:val="28"/>
          <w:szCs w:val="28"/>
        </w:rPr>
        <w:t>sIgA</w:t>
      </w:r>
      <w:r>
        <w:rPr>
          <w:rFonts w:ascii="Times New Roman" w:hAnsi="Times New Roman"/>
          <w:sz w:val="28"/>
          <w:szCs w:val="28"/>
          <w:lang w:val="uk-UA"/>
        </w:rPr>
        <w:t xml:space="preserve">  визначають за калібрувальн</w:t>
      </w:r>
      <w:r w:rsidR="0066279E">
        <w:rPr>
          <w:rFonts w:ascii="Times New Roman" w:hAnsi="Times New Roman"/>
          <w:sz w:val="28"/>
          <w:szCs w:val="28"/>
          <w:lang w:val="uk-UA"/>
        </w:rPr>
        <w:t xml:space="preserve">им графіком (Ярилін А.А., 1999) </w:t>
      </w:r>
      <w:r w:rsidR="0066279E" w:rsidRPr="0066279E">
        <w:rPr>
          <w:rFonts w:ascii="Times New Roman" w:hAnsi="Times New Roman"/>
          <w:sz w:val="28"/>
          <w:szCs w:val="28"/>
          <w:lang w:val="uk-UA"/>
        </w:rPr>
        <w:t>[252].</w:t>
      </w:r>
    </w:p>
    <w:p w:rsidR="000F78D0" w:rsidRDefault="000F78D0" w:rsidP="005C1EA2">
      <w:pPr>
        <w:tabs>
          <w:tab w:val="left" w:pos="0"/>
        </w:tabs>
        <w:spacing w:line="360" w:lineRule="auto"/>
        <w:ind w:firstLine="709"/>
        <w:jc w:val="both"/>
        <w:rPr>
          <w:rFonts w:ascii="Times New Roman" w:hAnsi="Times New Roman"/>
          <w:b/>
          <w:sz w:val="28"/>
          <w:szCs w:val="28"/>
          <w:lang w:val="uk-UA"/>
        </w:rPr>
      </w:pPr>
      <w:r w:rsidRPr="00BB6E69">
        <w:rPr>
          <w:rFonts w:ascii="Times New Roman" w:hAnsi="Times New Roman"/>
          <w:b/>
          <w:sz w:val="28"/>
          <w:szCs w:val="28"/>
          <w:lang w:val="uk-UA"/>
        </w:rPr>
        <w:t>2.2.1.5. Визначення неспецифічної резистентності організму хворих</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Стан неспецифічної резистентності організму хворих оцінювали за допомогою параметрів цитобіофізичного потенціалу ядер букального епітелію за методом В.Г.Шахбазова (1986</w:t>
      </w:r>
      <w:r w:rsidRPr="00A94F4E">
        <w:rPr>
          <w:rFonts w:ascii="Times New Roman" w:hAnsi="Times New Roman"/>
          <w:sz w:val="28"/>
          <w:szCs w:val="28"/>
          <w:lang w:val="uk-UA"/>
        </w:rPr>
        <w:t>)</w:t>
      </w:r>
      <w:r w:rsidR="00A94F4E" w:rsidRPr="00A94F4E">
        <w:rPr>
          <w:rFonts w:ascii="Times New Roman" w:hAnsi="Times New Roman"/>
          <w:sz w:val="28"/>
          <w:szCs w:val="28"/>
          <w:lang w:val="uk-UA"/>
        </w:rPr>
        <w:t xml:space="preserve"> </w:t>
      </w:r>
      <w:r w:rsidRPr="00A94F4E">
        <w:rPr>
          <w:rFonts w:ascii="Times New Roman" w:hAnsi="Times New Roman"/>
          <w:sz w:val="28"/>
          <w:szCs w:val="28"/>
          <w:lang w:val="uk-UA"/>
        </w:rPr>
        <w:t>[</w:t>
      </w:r>
      <w:r w:rsidR="00A94F4E" w:rsidRPr="00A94F4E">
        <w:rPr>
          <w:rFonts w:ascii="Times New Roman" w:hAnsi="Times New Roman"/>
          <w:sz w:val="28"/>
          <w:szCs w:val="28"/>
          <w:lang w:val="uk-UA"/>
        </w:rPr>
        <w:t>252]</w:t>
      </w:r>
      <w:r w:rsidRPr="00A94F4E">
        <w:rPr>
          <w:rFonts w:ascii="Times New Roman" w:hAnsi="Times New Roman"/>
          <w:sz w:val="28"/>
          <w:szCs w:val="28"/>
          <w:lang w:val="uk-UA"/>
        </w:rPr>
        <w:t>.</w:t>
      </w:r>
      <w:r>
        <w:rPr>
          <w:rFonts w:ascii="Times New Roman" w:hAnsi="Times New Roman"/>
          <w:sz w:val="28"/>
          <w:szCs w:val="28"/>
          <w:lang w:val="uk-UA"/>
        </w:rPr>
        <w:t xml:space="preserve"> Дослідження засновано на методиці внутрішньоклітинного мікроелектрофорезу. Мазок нативних клітин букального епітелію розміщували в камеру для електрофорезу і додавали до препарату 0,1 мл спеціального буферного розчину з рН 7. Камеру підключали до приладу «Біотест». В кожному препараті при збільшенні х 400 проглядали не менше 100 клітин і визначали відсоток електронегативних ядер.</w:t>
      </w:r>
    </w:p>
    <w:p w:rsidR="000F78D0" w:rsidRDefault="000F78D0" w:rsidP="005C1EA2">
      <w:pPr>
        <w:tabs>
          <w:tab w:val="left" w:pos="0"/>
        </w:tabs>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w:t>
      </w:r>
      <w:r w:rsidRPr="00BB6E69">
        <w:rPr>
          <w:rFonts w:ascii="Times New Roman" w:hAnsi="Times New Roman"/>
          <w:b/>
          <w:sz w:val="28"/>
          <w:szCs w:val="28"/>
          <w:lang w:val="uk-UA"/>
        </w:rPr>
        <w:t>2.2.1.6. Статистичні методи дослідження</w:t>
      </w:r>
    </w:p>
    <w:p w:rsidR="000F78D0" w:rsidRPr="005171E5"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Статистична обробка отриманих результатів виконана на персональному комп’ютері з використанням пакетів прикладних програм </w:t>
      </w:r>
      <w:r>
        <w:rPr>
          <w:rFonts w:ascii="Times New Roman" w:hAnsi="Times New Roman"/>
          <w:sz w:val="28"/>
          <w:szCs w:val="28"/>
        </w:rPr>
        <w:t>Excell</w:t>
      </w:r>
      <w:r w:rsidRPr="00BB6E69">
        <w:rPr>
          <w:rFonts w:ascii="Times New Roman" w:hAnsi="Times New Roman"/>
          <w:sz w:val="28"/>
          <w:szCs w:val="28"/>
          <w:lang w:val="ru-RU"/>
        </w:rPr>
        <w:t xml:space="preserve"> </w:t>
      </w:r>
      <w:r>
        <w:rPr>
          <w:rFonts w:ascii="Times New Roman" w:hAnsi="Times New Roman"/>
          <w:sz w:val="28"/>
          <w:szCs w:val="28"/>
          <w:lang w:val="ru-RU"/>
        </w:rPr>
        <w:t xml:space="preserve">і </w:t>
      </w:r>
      <w:r>
        <w:rPr>
          <w:rFonts w:ascii="Times New Roman" w:hAnsi="Times New Roman"/>
          <w:sz w:val="28"/>
          <w:szCs w:val="28"/>
        </w:rPr>
        <w:t>Statgraphics</w:t>
      </w:r>
      <w:r>
        <w:rPr>
          <w:rFonts w:ascii="Times New Roman" w:hAnsi="Times New Roman"/>
          <w:sz w:val="28"/>
          <w:szCs w:val="28"/>
          <w:lang w:val="ru-RU"/>
        </w:rPr>
        <w:t xml:space="preserve">-5.  </w:t>
      </w:r>
      <w:r w:rsidRPr="00BB6E69">
        <w:rPr>
          <w:rFonts w:ascii="Times New Roman" w:hAnsi="Times New Roman"/>
          <w:sz w:val="28"/>
          <w:szCs w:val="28"/>
          <w:lang w:val="uk-UA"/>
        </w:rPr>
        <w:t>Розраховувалися</w:t>
      </w:r>
      <w:r>
        <w:rPr>
          <w:rFonts w:ascii="Times New Roman" w:hAnsi="Times New Roman"/>
          <w:sz w:val="28"/>
          <w:szCs w:val="28"/>
          <w:lang w:val="ru-RU"/>
        </w:rPr>
        <w:t xml:space="preserve"> і </w:t>
      </w:r>
      <w:r w:rsidRPr="00BB6E69">
        <w:rPr>
          <w:rFonts w:ascii="Times New Roman" w:hAnsi="Times New Roman"/>
          <w:sz w:val="28"/>
          <w:szCs w:val="28"/>
          <w:lang w:val="uk-UA"/>
        </w:rPr>
        <w:t>аналізувалися</w:t>
      </w:r>
      <w:r>
        <w:rPr>
          <w:rFonts w:ascii="Times New Roman" w:hAnsi="Times New Roman"/>
          <w:sz w:val="28"/>
          <w:szCs w:val="28"/>
          <w:lang w:val="ru-RU"/>
        </w:rPr>
        <w:t xml:space="preserve"> </w:t>
      </w:r>
      <w:r>
        <w:rPr>
          <w:rFonts w:ascii="Times New Roman" w:hAnsi="Times New Roman"/>
          <w:sz w:val="28"/>
          <w:szCs w:val="28"/>
          <w:lang w:val="uk-UA"/>
        </w:rPr>
        <w:t>середня арифметична величина показника (М) і її середня помилка (</w:t>
      </w:r>
      <w:r>
        <w:rPr>
          <w:rFonts w:ascii="Times New Roman" w:hAnsi="Times New Roman"/>
          <w:sz w:val="28"/>
          <w:szCs w:val="28"/>
        </w:rPr>
        <w:t>m</w:t>
      </w:r>
      <w:r>
        <w:rPr>
          <w:rFonts w:ascii="Times New Roman" w:hAnsi="Times New Roman"/>
          <w:sz w:val="28"/>
          <w:szCs w:val="28"/>
          <w:lang w:val="uk-UA"/>
        </w:rPr>
        <w:t>). Визначення відмінностей між групами здійснювалося за допомогою параметричних (</w:t>
      </w:r>
      <w:r>
        <w:rPr>
          <w:rFonts w:ascii="Times New Roman" w:hAnsi="Times New Roman"/>
          <w:sz w:val="28"/>
          <w:szCs w:val="28"/>
        </w:rPr>
        <w:t>t</w:t>
      </w:r>
      <w:r>
        <w:rPr>
          <w:rFonts w:ascii="Times New Roman" w:hAnsi="Times New Roman"/>
          <w:sz w:val="28"/>
          <w:szCs w:val="28"/>
          <w:lang w:val="uk-UA"/>
        </w:rPr>
        <w:t>- критерій Ст</w:t>
      </w:r>
      <w:r w:rsidRPr="00A94F4E">
        <w:rPr>
          <w:rFonts w:ascii="Times New Roman" w:hAnsi="Times New Roman"/>
          <w:sz w:val="28"/>
          <w:szCs w:val="28"/>
          <w:lang w:val="uk-UA"/>
        </w:rPr>
        <w:t>`</w:t>
      </w:r>
      <w:r>
        <w:rPr>
          <w:rFonts w:ascii="Times New Roman" w:hAnsi="Times New Roman"/>
          <w:sz w:val="28"/>
          <w:szCs w:val="28"/>
          <w:lang w:val="uk-UA"/>
        </w:rPr>
        <w:t xml:space="preserve">юдента) і непараметричних (метод кутового перетворення φ- Фішера) </w:t>
      </w:r>
      <w:r w:rsidR="00A94F4E">
        <w:rPr>
          <w:rFonts w:ascii="Times New Roman" w:hAnsi="Times New Roman"/>
          <w:sz w:val="28"/>
          <w:szCs w:val="28"/>
          <w:lang w:val="uk-UA"/>
        </w:rPr>
        <w:t xml:space="preserve">методів математичної </w:t>
      </w:r>
      <w:r w:rsidR="00A94F4E" w:rsidRPr="005171E5">
        <w:rPr>
          <w:rFonts w:ascii="Times New Roman" w:hAnsi="Times New Roman"/>
          <w:sz w:val="28"/>
          <w:szCs w:val="28"/>
          <w:lang w:val="uk-UA"/>
        </w:rPr>
        <w:t>статистики [</w:t>
      </w:r>
      <w:r w:rsidR="005171E5" w:rsidRPr="005171E5">
        <w:rPr>
          <w:rFonts w:ascii="Times New Roman" w:hAnsi="Times New Roman"/>
          <w:sz w:val="28"/>
          <w:szCs w:val="28"/>
          <w:lang w:val="uk-UA"/>
        </w:rPr>
        <w:t>47</w:t>
      </w:r>
      <w:r w:rsidR="00A94F4E" w:rsidRPr="005171E5">
        <w:rPr>
          <w:rFonts w:ascii="Times New Roman" w:hAnsi="Times New Roman"/>
          <w:sz w:val="28"/>
          <w:szCs w:val="28"/>
          <w:lang w:val="uk-UA"/>
        </w:rPr>
        <w:t>]</w:t>
      </w:r>
      <w:r w:rsidRPr="005171E5">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sidRPr="005171E5">
        <w:rPr>
          <w:rFonts w:ascii="Times New Roman" w:hAnsi="Times New Roman"/>
          <w:sz w:val="28"/>
          <w:szCs w:val="28"/>
          <w:lang w:val="uk-UA"/>
        </w:rPr>
        <w:lastRenderedPageBreak/>
        <w:t>Для визначення зв’язків між показниками проводився кореляційний аналіз Пірсона (</w:t>
      </w:r>
      <w:r w:rsidRPr="005171E5">
        <w:rPr>
          <w:rFonts w:ascii="Times New Roman" w:hAnsi="Times New Roman"/>
          <w:sz w:val="28"/>
          <w:szCs w:val="28"/>
        </w:rPr>
        <w:t>r</w:t>
      </w:r>
      <w:r w:rsidRPr="005171E5">
        <w:rPr>
          <w:rFonts w:ascii="Times New Roman" w:hAnsi="Times New Roman"/>
          <w:sz w:val="28"/>
          <w:szCs w:val="28"/>
          <w:lang w:val="uk-UA"/>
        </w:rPr>
        <w:t xml:space="preserve">) </w:t>
      </w:r>
      <w:r w:rsidR="00A94F4E" w:rsidRPr="005171E5">
        <w:rPr>
          <w:rFonts w:ascii="Times New Roman" w:hAnsi="Times New Roman"/>
          <w:sz w:val="28"/>
          <w:szCs w:val="28"/>
          <w:lang w:val="uk-UA"/>
        </w:rPr>
        <w:t xml:space="preserve"> [</w:t>
      </w:r>
      <w:r w:rsidR="005171E5" w:rsidRPr="005171E5">
        <w:rPr>
          <w:rFonts w:ascii="Times New Roman" w:hAnsi="Times New Roman"/>
          <w:sz w:val="28"/>
          <w:szCs w:val="28"/>
          <w:lang w:val="uk-UA"/>
        </w:rPr>
        <w:t>47</w:t>
      </w:r>
      <w:r w:rsidR="00A94F4E" w:rsidRPr="005171E5">
        <w:rPr>
          <w:rFonts w:ascii="Times New Roman" w:hAnsi="Times New Roman"/>
          <w:sz w:val="28"/>
          <w:szCs w:val="28"/>
          <w:lang w:val="uk-UA"/>
        </w:rPr>
        <w:t>]</w:t>
      </w:r>
      <w:r w:rsidRPr="005171E5">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розробці критеріїв прогнозування розвитку і тяжкості запальних захворювань пародонта, визначення прогностичної значимості показників і їх градації використовувався метод неоднорідної послідовної процедури Вальда – Генкіна з визначенням інформативності показників за допомогою критерія Кульбака (Є.В.Гублер, 1978</w:t>
      </w:r>
      <w:r w:rsidRPr="005171E5">
        <w:rPr>
          <w:rFonts w:ascii="Times New Roman" w:hAnsi="Times New Roman"/>
          <w:sz w:val="28"/>
          <w:szCs w:val="28"/>
          <w:lang w:val="uk-UA"/>
        </w:rPr>
        <w:t>)  [</w:t>
      </w:r>
      <w:r w:rsidR="005171E5" w:rsidRPr="005171E5">
        <w:rPr>
          <w:rFonts w:ascii="Times New Roman" w:hAnsi="Times New Roman"/>
          <w:sz w:val="28"/>
          <w:szCs w:val="28"/>
          <w:lang w:val="uk-UA"/>
        </w:rPr>
        <w:t>47]</w:t>
      </w:r>
      <w:r w:rsidRPr="005171E5">
        <w:rPr>
          <w:rFonts w:ascii="Times New Roman" w:hAnsi="Times New Roman"/>
          <w:sz w:val="28"/>
          <w:szCs w:val="28"/>
          <w:lang w:val="uk-UA"/>
        </w:rPr>
        <w:t>.</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Системний аналіз сукупності </w:t>
      </w:r>
      <w:r w:rsidR="0090526F">
        <w:rPr>
          <w:rFonts w:ascii="Times New Roman" w:hAnsi="Times New Roman"/>
          <w:sz w:val="28"/>
          <w:szCs w:val="28"/>
          <w:lang w:val="uk-UA"/>
        </w:rPr>
        <w:t>досліджуваних</w:t>
      </w:r>
      <w:r>
        <w:rPr>
          <w:rFonts w:ascii="Times New Roman" w:hAnsi="Times New Roman"/>
          <w:sz w:val="28"/>
          <w:szCs w:val="28"/>
          <w:lang w:val="uk-UA"/>
        </w:rPr>
        <w:t xml:space="preserve"> показників здійснювали за допомогою метода кореляційних структур (А.М.Зосімов, 1993; 2003</w:t>
      </w:r>
      <w:r w:rsidRPr="005171E5">
        <w:rPr>
          <w:rFonts w:ascii="Times New Roman" w:hAnsi="Times New Roman"/>
          <w:sz w:val="28"/>
          <w:szCs w:val="28"/>
          <w:lang w:val="uk-UA"/>
        </w:rPr>
        <w:t>)</w:t>
      </w:r>
      <w:r w:rsidR="005171E5" w:rsidRPr="005171E5">
        <w:rPr>
          <w:rFonts w:ascii="Times New Roman" w:hAnsi="Times New Roman"/>
          <w:sz w:val="28"/>
          <w:szCs w:val="28"/>
          <w:lang w:val="uk-UA"/>
        </w:rPr>
        <w:t xml:space="preserve"> [47]</w:t>
      </w:r>
      <w:r w:rsidRPr="005171E5">
        <w:rPr>
          <w:rFonts w:ascii="Times New Roman" w:hAnsi="Times New Roman"/>
          <w:sz w:val="28"/>
          <w:szCs w:val="28"/>
          <w:lang w:val="uk-UA"/>
        </w:rPr>
        <w:t>.</w:t>
      </w:r>
      <w:r>
        <w:rPr>
          <w:rFonts w:ascii="Times New Roman" w:hAnsi="Times New Roman"/>
          <w:sz w:val="28"/>
          <w:szCs w:val="28"/>
          <w:lang w:val="uk-UA"/>
        </w:rPr>
        <w:t xml:space="preserve"> Порівнювані кореляційні структури оцінювали за допомогою двох показників: коефіцієнта лабілізації (КЛ) і показника кореляційної відмінності (ПКВ).</w:t>
      </w:r>
    </w:p>
    <w:p w:rsidR="000F78D0" w:rsidRDefault="000F78D0" w:rsidP="005C1EA2">
      <w:pPr>
        <w:tabs>
          <w:tab w:val="left" w:pos="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КЛ визначали за формулою:</w:t>
      </w:r>
    </w:p>
    <w:p w:rsidR="000F78D0" w:rsidRDefault="00211C4A" w:rsidP="00AC605C">
      <w:pPr>
        <w:tabs>
          <w:tab w:val="left" w:pos="0"/>
          <w:tab w:val="left" w:pos="2280"/>
        </w:tabs>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pict>
          <v:shape id="_x0000_s1060" type="#_x0000_t202" style="position:absolute;left:0;text-align:left;margin-left:129.4pt;margin-top:.8pt;width:180.75pt;height:57pt;z-index:251670528" stroked="f">
            <v:textbox>
              <w:txbxContent>
                <w:p w:rsidR="00251EA6" w:rsidRPr="00185843" w:rsidRDefault="00251EA6" w:rsidP="000F78D0">
                  <w:pPr>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 xml:space="preserve">    N</w:t>
                  </w:r>
                </w:p>
                <w:p w:rsidR="00251EA6" w:rsidRPr="00185843" w:rsidRDefault="00251EA6" w:rsidP="000F78D0">
                  <w:pPr>
                    <w:rPr>
                      <w:rFonts w:ascii="Times New Roman" w:hAnsi="Times New Roman"/>
                      <w:sz w:val="28"/>
                      <w:szCs w:val="28"/>
                    </w:rPr>
                  </w:pPr>
                  <w:r>
                    <w:rPr>
                      <w:rFonts w:ascii="Times New Roman" w:hAnsi="Times New Roman"/>
                      <w:sz w:val="28"/>
                      <w:szCs w:val="28"/>
                      <w:lang w:val="uk-UA"/>
                    </w:rPr>
                    <w:t>КЛ =</w:t>
                  </w:r>
                  <w:r>
                    <w:rPr>
                      <w:rFonts w:ascii="Times New Roman" w:hAnsi="Times New Roman"/>
                      <w:sz w:val="28"/>
                      <w:szCs w:val="28"/>
                    </w:rPr>
                    <w:t xml:space="preserve">              • 100%</w:t>
                  </w:r>
                </w:p>
                <w:p w:rsidR="00251EA6" w:rsidRPr="00185843" w:rsidRDefault="00251EA6" w:rsidP="000F78D0">
                  <w:pPr>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n (n-1)</w:t>
                  </w:r>
                </w:p>
              </w:txbxContent>
            </v:textbox>
          </v:shape>
        </w:pict>
      </w:r>
      <w:r w:rsidR="000F78D0">
        <w:rPr>
          <w:rFonts w:ascii="Times New Roman" w:hAnsi="Times New Roman"/>
          <w:sz w:val="28"/>
          <w:szCs w:val="28"/>
          <w:lang w:val="uk-UA"/>
        </w:rPr>
        <w:tab/>
      </w:r>
    </w:p>
    <w:p w:rsidR="000F78D0" w:rsidRDefault="00211C4A" w:rsidP="00AC605C">
      <w:pPr>
        <w:tabs>
          <w:tab w:val="left" w:pos="0"/>
          <w:tab w:val="left" w:pos="6705"/>
        </w:tabs>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pict>
          <v:shape id="_x0000_s1061" type="#_x0000_t32" style="position:absolute;left:0;text-align:left;margin-left:175.2pt;margin-top:5.15pt;width:35.25pt;height:.75pt;z-index:251671552" o:connectortype="straight"/>
        </w:pict>
      </w:r>
      <w:r w:rsidR="00A06011">
        <w:rPr>
          <w:rFonts w:ascii="Times New Roman" w:hAnsi="Times New Roman"/>
          <w:sz w:val="28"/>
          <w:szCs w:val="28"/>
          <w:lang w:val="uk-UA"/>
        </w:rPr>
        <w:tab/>
        <w:t>(2.2</w:t>
      </w:r>
      <w:r w:rsidR="000F78D0">
        <w:rPr>
          <w:rFonts w:ascii="Times New Roman" w:hAnsi="Times New Roman"/>
          <w:sz w:val="28"/>
          <w:szCs w:val="28"/>
          <w:lang w:val="uk-UA"/>
        </w:rPr>
        <w:t>)</w:t>
      </w:r>
    </w:p>
    <w:p w:rsidR="000F78D0" w:rsidRDefault="000F78D0" w:rsidP="00AC605C">
      <w:pPr>
        <w:tabs>
          <w:tab w:val="left" w:pos="0"/>
          <w:tab w:val="left" w:pos="6705"/>
        </w:tabs>
        <w:spacing w:line="360" w:lineRule="auto"/>
        <w:ind w:firstLine="426"/>
        <w:jc w:val="both"/>
        <w:rPr>
          <w:rFonts w:ascii="Times New Roman" w:hAnsi="Times New Roman"/>
          <w:sz w:val="28"/>
          <w:szCs w:val="28"/>
          <w:lang w:val="uk-UA"/>
        </w:rPr>
      </w:pPr>
    </w:p>
    <w:p w:rsidR="000F78D0" w:rsidRDefault="000F78D0" w:rsidP="002E2C80">
      <w:pPr>
        <w:tabs>
          <w:tab w:val="left" w:pos="0"/>
          <w:tab w:val="left" w:pos="670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w:r>
        <w:rPr>
          <w:rFonts w:ascii="Times New Roman" w:hAnsi="Times New Roman"/>
          <w:sz w:val="28"/>
          <w:szCs w:val="28"/>
        </w:rPr>
        <w:t>N</w:t>
      </w:r>
      <w:r>
        <w:rPr>
          <w:rFonts w:ascii="Times New Roman" w:hAnsi="Times New Roman"/>
          <w:sz w:val="28"/>
          <w:szCs w:val="28"/>
          <w:lang w:val="uk-UA"/>
        </w:rPr>
        <w:t xml:space="preserve"> – сума значимих (р&lt;0,05) кореляцій, утворених кожним показником кореляційної структури; </w:t>
      </w:r>
      <w:r>
        <w:rPr>
          <w:rFonts w:ascii="Times New Roman" w:hAnsi="Times New Roman"/>
          <w:sz w:val="28"/>
          <w:szCs w:val="28"/>
        </w:rPr>
        <w:t>n</w:t>
      </w:r>
      <w:r>
        <w:rPr>
          <w:rFonts w:ascii="Times New Roman" w:hAnsi="Times New Roman"/>
          <w:sz w:val="28"/>
          <w:szCs w:val="28"/>
          <w:lang w:val="uk-UA"/>
        </w:rPr>
        <w:t xml:space="preserve"> – кількість показників кореляційної структури.</w:t>
      </w:r>
    </w:p>
    <w:p w:rsidR="000F78D0" w:rsidRDefault="000F78D0" w:rsidP="002E2C80">
      <w:pPr>
        <w:tabs>
          <w:tab w:val="left" w:pos="0"/>
          <w:tab w:val="left" w:pos="670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ПКВ вираховувався за формулою: </w:t>
      </w:r>
    </w:p>
    <w:p w:rsidR="000F78D0" w:rsidRDefault="00211C4A" w:rsidP="00AC605C">
      <w:pPr>
        <w:tabs>
          <w:tab w:val="left" w:pos="0"/>
          <w:tab w:val="left" w:pos="6705"/>
        </w:tabs>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pict>
          <v:shape id="_x0000_s1063" type="#_x0000_t32" style="position:absolute;left:0;text-align:left;margin-left:171.45pt;margin-top:29.15pt;width:24pt;height:0;z-index:251673600" o:connectortype="straight"/>
        </w:pict>
      </w:r>
      <w:r>
        <w:rPr>
          <w:rFonts w:ascii="Times New Roman" w:hAnsi="Times New Roman"/>
          <w:noProof/>
          <w:sz w:val="28"/>
          <w:szCs w:val="28"/>
          <w:lang w:val="ru-RU" w:eastAsia="ru-RU"/>
        </w:rPr>
        <w:pict>
          <v:shape id="_x0000_s1062" type="#_x0000_t202" style="position:absolute;left:0;text-align:left;margin-left:121.15pt;margin-top:.65pt;width:180.75pt;height:57pt;z-index:251672576" stroked="f">
            <v:textbox>
              <w:txbxContent>
                <w:p w:rsidR="00251EA6" w:rsidRPr="00D805A6" w:rsidRDefault="00251EA6" w:rsidP="000F78D0">
                  <w:pPr>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rPr>
                    <w:t xml:space="preserve">    </w:t>
                  </w:r>
                  <w:r>
                    <w:rPr>
                      <w:rFonts w:ascii="Times New Roman" w:hAnsi="Times New Roman"/>
                      <w:sz w:val="28"/>
                      <w:szCs w:val="28"/>
                      <w:lang w:val="uk-UA"/>
                    </w:rPr>
                    <w:t>Н</w:t>
                  </w:r>
                </w:p>
                <w:p w:rsidR="00251EA6" w:rsidRPr="00185843" w:rsidRDefault="00251EA6" w:rsidP="000F78D0">
                  <w:pPr>
                    <w:rPr>
                      <w:rFonts w:ascii="Times New Roman" w:hAnsi="Times New Roman"/>
                      <w:sz w:val="28"/>
                      <w:szCs w:val="28"/>
                    </w:rPr>
                  </w:pPr>
                  <w:r>
                    <w:rPr>
                      <w:rFonts w:ascii="Times New Roman" w:hAnsi="Times New Roman"/>
                      <w:sz w:val="28"/>
                      <w:szCs w:val="28"/>
                      <w:lang w:val="uk-UA"/>
                    </w:rPr>
                    <w:t>КЛ =</w:t>
                  </w:r>
                  <w:r>
                    <w:rPr>
                      <w:rFonts w:ascii="Times New Roman" w:hAnsi="Times New Roman"/>
                      <w:sz w:val="28"/>
                      <w:szCs w:val="28"/>
                    </w:rPr>
                    <w:t xml:space="preserve">              • 100%</w:t>
                  </w:r>
                </w:p>
                <w:p w:rsidR="00251EA6" w:rsidRPr="00D805A6" w:rsidRDefault="00251EA6" w:rsidP="000F78D0">
                  <w:pPr>
                    <w:rPr>
                      <w:rFonts w:ascii="Times New Roman" w:hAnsi="Times New Roman"/>
                      <w:sz w:val="28"/>
                      <w:szCs w:val="28"/>
                      <w:lang w:val="uk-UA"/>
                    </w:rPr>
                  </w:pPr>
                  <w:r>
                    <w:rPr>
                      <w:rFonts w:ascii="Times New Roman" w:hAnsi="Times New Roman"/>
                      <w:sz w:val="28"/>
                      <w:szCs w:val="28"/>
                      <w:lang w:val="uk-UA"/>
                    </w:rPr>
                    <w:tab/>
                    <w:t xml:space="preserve"> Н+С</w:t>
                  </w:r>
                </w:p>
              </w:txbxContent>
            </v:textbox>
          </v:shape>
        </w:pict>
      </w:r>
    </w:p>
    <w:p w:rsidR="000F78D0" w:rsidRDefault="00A06011" w:rsidP="00AC605C">
      <w:pPr>
        <w:tabs>
          <w:tab w:val="left" w:pos="6705"/>
        </w:tabs>
        <w:ind w:firstLine="426"/>
        <w:rPr>
          <w:rFonts w:ascii="Times New Roman" w:hAnsi="Times New Roman"/>
          <w:sz w:val="28"/>
          <w:szCs w:val="28"/>
          <w:lang w:val="uk-UA"/>
        </w:rPr>
      </w:pPr>
      <w:r>
        <w:rPr>
          <w:rFonts w:ascii="Times New Roman" w:hAnsi="Times New Roman"/>
          <w:sz w:val="28"/>
          <w:szCs w:val="28"/>
          <w:lang w:val="uk-UA"/>
        </w:rPr>
        <w:tab/>
        <w:t>(2.3</w:t>
      </w:r>
      <w:r w:rsidR="000F78D0">
        <w:rPr>
          <w:rFonts w:ascii="Times New Roman" w:hAnsi="Times New Roman"/>
          <w:sz w:val="28"/>
          <w:szCs w:val="28"/>
          <w:lang w:val="uk-UA"/>
        </w:rPr>
        <w:t>)</w:t>
      </w:r>
    </w:p>
    <w:p w:rsidR="000F78D0" w:rsidRDefault="000F78D0" w:rsidP="00AC605C">
      <w:pPr>
        <w:tabs>
          <w:tab w:val="left" w:pos="6705"/>
        </w:tabs>
        <w:ind w:firstLine="426"/>
        <w:rPr>
          <w:rFonts w:ascii="Times New Roman" w:hAnsi="Times New Roman"/>
          <w:sz w:val="28"/>
          <w:szCs w:val="28"/>
          <w:lang w:val="uk-UA"/>
        </w:rPr>
      </w:pPr>
    </w:p>
    <w:p w:rsidR="000F78D0" w:rsidRDefault="000F78D0" w:rsidP="00AC605C">
      <w:pPr>
        <w:tabs>
          <w:tab w:val="left" w:pos="6705"/>
        </w:tabs>
        <w:ind w:firstLine="426"/>
        <w:rPr>
          <w:rFonts w:ascii="Times New Roman" w:hAnsi="Times New Roman"/>
          <w:sz w:val="28"/>
          <w:szCs w:val="28"/>
          <w:lang w:val="uk-UA"/>
        </w:rPr>
      </w:pPr>
    </w:p>
    <w:p w:rsidR="000F78D0" w:rsidRPr="00D805A6" w:rsidRDefault="000F78D0" w:rsidP="002E2C80">
      <w:pPr>
        <w:tabs>
          <w:tab w:val="left" w:pos="670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Н – сума неспівпадаючих зв’язків порівнюваних структур, а С – сума співпадаючих зв’язків. </w:t>
      </w: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BD4604">
      <w:pPr>
        <w:spacing w:line="360" w:lineRule="auto"/>
        <w:jc w:val="center"/>
        <w:rPr>
          <w:rFonts w:ascii="Times New Roman" w:hAnsi="Times New Roman"/>
          <w:b/>
          <w:sz w:val="28"/>
          <w:szCs w:val="28"/>
          <w:lang w:val="uk-UA"/>
        </w:rPr>
      </w:pPr>
      <w:r w:rsidRPr="002572A4">
        <w:rPr>
          <w:rFonts w:ascii="Times New Roman" w:hAnsi="Times New Roman"/>
          <w:b/>
          <w:sz w:val="28"/>
          <w:szCs w:val="28"/>
          <w:lang w:val="uk-UA"/>
        </w:rPr>
        <w:lastRenderedPageBreak/>
        <w:t>РОЗДІЛ 3</w:t>
      </w:r>
    </w:p>
    <w:p w:rsidR="005171E5" w:rsidRDefault="005171E5" w:rsidP="002E2C80">
      <w:pPr>
        <w:spacing w:line="360" w:lineRule="auto"/>
        <w:ind w:firstLine="709"/>
        <w:jc w:val="center"/>
        <w:rPr>
          <w:rFonts w:ascii="Times New Roman" w:hAnsi="Times New Roman"/>
          <w:b/>
          <w:sz w:val="28"/>
          <w:szCs w:val="28"/>
          <w:lang w:val="uk-UA"/>
        </w:rPr>
      </w:pPr>
    </w:p>
    <w:p w:rsidR="000F78D0" w:rsidRDefault="000F78D0" w:rsidP="002E2C80">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ОСОБЛИВОСТІ ВПЛИВУ ПМФ НА СТАН ТКАНИН ПАРОДОНТА У ДІВЧАТ-ПІДЛІТКІВ З ЗАПАЛЬНИМИ ЗАХВОРЮВАННЯМИ ПАРОДОНТА </w:t>
      </w:r>
    </w:p>
    <w:p w:rsidR="005171E5" w:rsidRPr="001D0E8B" w:rsidRDefault="005171E5" w:rsidP="002E2C80">
      <w:pPr>
        <w:spacing w:line="360" w:lineRule="auto"/>
        <w:ind w:firstLine="709"/>
        <w:jc w:val="center"/>
        <w:rPr>
          <w:rFonts w:ascii="Times New Roman" w:hAnsi="Times New Roman"/>
          <w:b/>
          <w:sz w:val="20"/>
          <w:szCs w:val="20"/>
          <w:lang w:val="uk-UA"/>
        </w:rPr>
      </w:pPr>
    </w:p>
    <w:p w:rsidR="00A06011" w:rsidRDefault="000F78D0" w:rsidP="00A0601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вирішення поставленої задачі було проведено комплексне </w:t>
      </w:r>
      <w:r w:rsidRPr="00AA24F2">
        <w:rPr>
          <w:rFonts w:ascii="Times New Roman" w:hAnsi="Times New Roman"/>
          <w:sz w:val="28"/>
          <w:szCs w:val="28"/>
          <w:lang w:val="uk-UA"/>
        </w:rPr>
        <w:t>обстеження</w:t>
      </w:r>
      <w:r>
        <w:rPr>
          <w:rFonts w:ascii="Times New Roman" w:hAnsi="Times New Roman"/>
          <w:sz w:val="28"/>
          <w:szCs w:val="28"/>
          <w:lang w:val="uk-UA"/>
        </w:rPr>
        <w:t xml:space="preserve"> дівчат-підлітків з наявністю запальних захворювань пародонта в альтернативних групах: а</w:t>
      </w:r>
      <w:r w:rsidRPr="00634D02">
        <w:rPr>
          <w:rFonts w:ascii="Times New Roman" w:hAnsi="Times New Roman"/>
          <w:sz w:val="28"/>
          <w:szCs w:val="28"/>
          <w:lang w:val="uk-UA"/>
        </w:rPr>
        <w:t>) основна група (</w:t>
      </w:r>
      <w:r w:rsidRPr="00634D02">
        <w:rPr>
          <w:rFonts w:ascii="Times New Roman" w:hAnsi="Times New Roman"/>
          <w:sz w:val="28"/>
          <w:szCs w:val="28"/>
        </w:rPr>
        <w:t>n</w:t>
      </w:r>
      <w:r w:rsidRPr="00634D02">
        <w:rPr>
          <w:rFonts w:ascii="Times New Roman" w:hAnsi="Times New Roman"/>
          <w:sz w:val="28"/>
          <w:szCs w:val="28"/>
          <w:lang w:val="uk-UA"/>
        </w:rPr>
        <w:t>=30) з ПМФ; б) контрольна (</w:t>
      </w:r>
      <w:r w:rsidRPr="00634D02">
        <w:rPr>
          <w:rFonts w:ascii="Times New Roman" w:hAnsi="Times New Roman"/>
          <w:sz w:val="28"/>
          <w:szCs w:val="28"/>
        </w:rPr>
        <w:t>n</w:t>
      </w:r>
      <w:r w:rsidRPr="00634D02">
        <w:rPr>
          <w:rFonts w:ascii="Times New Roman" w:hAnsi="Times New Roman"/>
          <w:sz w:val="28"/>
          <w:szCs w:val="28"/>
          <w:lang w:val="uk-UA"/>
        </w:rPr>
        <w:t xml:space="preserve">=30) без ПМФ. </w:t>
      </w:r>
    </w:p>
    <w:p w:rsidR="00A06011" w:rsidRDefault="00A06011" w:rsidP="00A0601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вивченні структури запальних захворювань пародонта в групах встановлено (табл.3.1), що домінуючою патологією в обох групах виявлено хронічний катаральний гінгівіт, який діагностовано у 93,3% пацієнтів контрольної групи, в 1,4 раз</w:t>
      </w:r>
      <w:r w:rsidRPr="00AA24F2">
        <w:rPr>
          <w:rFonts w:ascii="Times New Roman" w:hAnsi="Times New Roman"/>
          <w:sz w:val="28"/>
          <w:szCs w:val="28"/>
          <w:lang w:val="uk-UA"/>
        </w:rPr>
        <w:t>а</w:t>
      </w:r>
      <w:r>
        <w:rPr>
          <w:rFonts w:ascii="Times New Roman" w:hAnsi="Times New Roman"/>
          <w:sz w:val="28"/>
          <w:szCs w:val="28"/>
          <w:lang w:val="uk-UA"/>
        </w:rPr>
        <w:t xml:space="preserve"> рідше (р&lt;0,05) у хворих основної групи (66,7%).</w:t>
      </w:r>
    </w:p>
    <w:p w:rsidR="000F78D0" w:rsidRDefault="000F78D0" w:rsidP="00AC605C">
      <w:pPr>
        <w:spacing w:line="360" w:lineRule="auto"/>
        <w:ind w:firstLine="426"/>
        <w:jc w:val="right"/>
        <w:rPr>
          <w:rFonts w:ascii="Times New Roman" w:hAnsi="Times New Roman"/>
          <w:sz w:val="28"/>
          <w:szCs w:val="28"/>
          <w:lang w:val="uk-UA"/>
        </w:rPr>
      </w:pPr>
      <w:r w:rsidRPr="00FA671D">
        <w:rPr>
          <w:rFonts w:ascii="Times New Roman" w:hAnsi="Times New Roman"/>
          <w:i/>
          <w:sz w:val="28"/>
          <w:szCs w:val="28"/>
          <w:lang w:val="uk-UA"/>
        </w:rPr>
        <w:t>Таблиця</w:t>
      </w:r>
      <w:r>
        <w:rPr>
          <w:rFonts w:ascii="Times New Roman" w:hAnsi="Times New Roman"/>
          <w:sz w:val="28"/>
          <w:szCs w:val="28"/>
          <w:lang w:val="uk-UA"/>
        </w:rPr>
        <w:t xml:space="preserve"> 3.1</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Структура запальних захворювань пародонта в групах</w:t>
      </w:r>
    </w:p>
    <w:tbl>
      <w:tblPr>
        <w:tblW w:w="10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4252"/>
        <w:gridCol w:w="1312"/>
        <w:gridCol w:w="1097"/>
        <w:gridCol w:w="1145"/>
        <w:gridCol w:w="840"/>
        <w:gridCol w:w="1004"/>
      </w:tblGrid>
      <w:tr w:rsidR="000F78D0" w:rsidRPr="001336DC" w:rsidTr="005171E5">
        <w:tc>
          <w:tcPr>
            <w:tcW w:w="534" w:type="dxa"/>
            <w:vMerge w:val="restart"/>
          </w:tcPr>
          <w:p w:rsidR="000F78D0" w:rsidRPr="001336DC" w:rsidRDefault="000F78D0" w:rsidP="005171E5">
            <w:pPr>
              <w:jc w:val="both"/>
              <w:rPr>
                <w:rFonts w:ascii="Times New Roman" w:hAnsi="Times New Roman"/>
                <w:sz w:val="28"/>
                <w:szCs w:val="28"/>
                <w:lang w:val="uk-UA"/>
              </w:rPr>
            </w:pPr>
            <w:r w:rsidRPr="001336DC">
              <w:rPr>
                <w:rFonts w:ascii="Times New Roman" w:hAnsi="Times New Roman"/>
                <w:sz w:val="28"/>
                <w:szCs w:val="28"/>
                <w:lang w:val="uk-UA"/>
              </w:rPr>
              <w:t>№</w:t>
            </w:r>
          </w:p>
        </w:tc>
        <w:tc>
          <w:tcPr>
            <w:tcW w:w="4252" w:type="dxa"/>
            <w:vMerge w:val="restart"/>
          </w:tcPr>
          <w:p w:rsidR="000F78D0" w:rsidRPr="001336DC" w:rsidRDefault="000F78D0" w:rsidP="005171E5">
            <w:pPr>
              <w:ind w:firstLine="33"/>
              <w:jc w:val="both"/>
              <w:rPr>
                <w:rFonts w:ascii="Times New Roman" w:hAnsi="Times New Roman"/>
                <w:sz w:val="28"/>
                <w:szCs w:val="28"/>
                <w:lang w:val="uk-UA"/>
              </w:rPr>
            </w:pPr>
            <w:r w:rsidRPr="001336DC">
              <w:rPr>
                <w:rFonts w:ascii="Times New Roman" w:hAnsi="Times New Roman"/>
                <w:sz w:val="28"/>
                <w:szCs w:val="28"/>
                <w:lang w:val="uk-UA"/>
              </w:rPr>
              <w:t>Нозологічна форма патології пародонта</w:t>
            </w:r>
          </w:p>
        </w:tc>
        <w:tc>
          <w:tcPr>
            <w:tcW w:w="2409"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xml:space="preserve">Контрольна група, </w:t>
            </w:r>
            <w:r w:rsidRPr="001336DC">
              <w:rPr>
                <w:rFonts w:ascii="Times New Roman" w:hAnsi="Times New Roman"/>
                <w:sz w:val="28"/>
                <w:szCs w:val="28"/>
              </w:rPr>
              <w:t>n</w:t>
            </w:r>
            <w:r w:rsidRPr="001336DC">
              <w:rPr>
                <w:rFonts w:ascii="Times New Roman" w:hAnsi="Times New Roman"/>
                <w:sz w:val="28"/>
                <w:szCs w:val="28"/>
                <w:lang w:val="uk-UA"/>
              </w:rPr>
              <w:t>=30</w:t>
            </w:r>
          </w:p>
        </w:tc>
        <w:tc>
          <w:tcPr>
            <w:tcW w:w="1985" w:type="dxa"/>
            <w:gridSpan w:val="2"/>
          </w:tcPr>
          <w:p w:rsidR="000F78D0" w:rsidRPr="001336DC" w:rsidRDefault="000F78D0" w:rsidP="003D0EAE">
            <w:pPr>
              <w:ind w:hanging="15"/>
              <w:jc w:val="center"/>
              <w:rPr>
                <w:rFonts w:ascii="Times New Roman" w:hAnsi="Times New Roman"/>
                <w:sz w:val="28"/>
                <w:szCs w:val="28"/>
                <w:lang w:val="uk-UA"/>
              </w:rPr>
            </w:pPr>
            <w:r w:rsidRPr="001336DC">
              <w:rPr>
                <w:rFonts w:ascii="Times New Roman" w:hAnsi="Times New Roman"/>
                <w:sz w:val="28"/>
                <w:szCs w:val="28"/>
                <w:lang w:val="uk-UA"/>
              </w:rPr>
              <w:t>Основна група,</w:t>
            </w:r>
            <w:r w:rsidRPr="001336DC">
              <w:rPr>
                <w:rFonts w:ascii="Times New Roman" w:hAnsi="Times New Roman"/>
                <w:sz w:val="28"/>
                <w:szCs w:val="28"/>
              </w:rPr>
              <w:t xml:space="preserve"> n</w:t>
            </w:r>
            <w:r w:rsidRPr="001336DC">
              <w:rPr>
                <w:rFonts w:ascii="Times New Roman" w:hAnsi="Times New Roman"/>
                <w:sz w:val="28"/>
                <w:szCs w:val="28"/>
                <w:lang w:val="uk-UA"/>
              </w:rPr>
              <w:t>=30</w:t>
            </w:r>
          </w:p>
        </w:tc>
        <w:tc>
          <w:tcPr>
            <w:tcW w:w="1004" w:type="dxa"/>
            <w:vMerge w:val="restart"/>
          </w:tcPr>
          <w:p w:rsidR="000F78D0" w:rsidRPr="001336DC" w:rsidRDefault="005171E5"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5171E5">
        <w:tc>
          <w:tcPr>
            <w:tcW w:w="534" w:type="dxa"/>
            <w:vMerge/>
          </w:tcPr>
          <w:p w:rsidR="000F78D0" w:rsidRPr="001336DC" w:rsidRDefault="000F78D0" w:rsidP="005171E5">
            <w:pPr>
              <w:jc w:val="both"/>
              <w:rPr>
                <w:rFonts w:ascii="Times New Roman" w:hAnsi="Times New Roman"/>
                <w:sz w:val="28"/>
                <w:szCs w:val="28"/>
                <w:lang w:val="uk-UA"/>
              </w:rPr>
            </w:pPr>
          </w:p>
        </w:tc>
        <w:tc>
          <w:tcPr>
            <w:tcW w:w="4252" w:type="dxa"/>
            <w:vMerge/>
          </w:tcPr>
          <w:p w:rsidR="000F78D0" w:rsidRPr="001336DC" w:rsidRDefault="000F78D0" w:rsidP="005171E5">
            <w:pPr>
              <w:ind w:firstLine="33"/>
              <w:jc w:val="both"/>
              <w:rPr>
                <w:rFonts w:ascii="Times New Roman" w:hAnsi="Times New Roman"/>
                <w:sz w:val="28"/>
                <w:szCs w:val="28"/>
                <w:lang w:val="uk-UA"/>
              </w:rPr>
            </w:pPr>
          </w:p>
        </w:tc>
        <w:tc>
          <w:tcPr>
            <w:tcW w:w="131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109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1145"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40"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jc w:val="center"/>
              <w:rPr>
                <w:rFonts w:ascii="Times New Roman" w:hAnsi="Times New Roman"/>
                <w:sz w:val="28"/>
                <w:szCs w:val="28"/>
                <w:lang w:val="uk-UA"/>
              </w:rPr>
            </w:pPr>
          </w:p>
        </w:tc>
      </w:tr>
      <w:tr w:rsidR="000F78D0" w:rsidRPr="001336DC" w:rsidTr="005171E5">
        <w:tc>
          <w:tcPr>
            <w:tcW w:w="534" w:type="dxa"/>
          </w:tcPr>
          <w:p w:rsidR="000F78D0" w:rsidRPr="001336DC" w:rsidRDefault="000F78D0" w:rsidP="005171E5">
            <w:pPr>
              <w:jc w:val="both"/>
              <w:rPr>
                <w:rFonts w:ascii="Times New Roman" w:hAnsi="Times New Roman"/>
                <w:sz w:val="28"/>
                <w:szCs w:val="28"/>
                <w:lang w:val="uk-UA"/>
              </w:rPr>
            </w:pPr>
            <w:r w:rsidRPr="001336DC">
              <w:rPr>
                <w:rFonts w:ascii="Times New Roman" w:hAnsi="Times New Roman"/>
                <w:sz w:val="28"/>
                <w:szCs w:val="28"/>
                <w:lang w:val="uk-UA"/>
              </w:rPr>
              <w:t>1.</w:t>
            </w:r>
          </w:p>
        </w:tc>
        <w:tc>
          <w:tcPr>
            <w:tcW w:w="4252" w:type="dxa"/>
          </w:tcPr>
          <w:p w:rsidR="000F78D0" w:rsidRPr="001336DC" w:rsidRDefault="000F78D0" w:rsidP="005171E5">
            <w:pPr>
              <w:ind w:firstLine="33"/>
              <w:rPr>
                <w:rFonts w:ascii="Times New Roman" w:hAnsi="Times New Roman"/>
                <w:sz w:val="28"/>
                <w:szCs w:val="28"/>
                <w:lang w:val="uk-UA"/>
              </w:rPr>
            </w:pPr>
            <w:r w:rsidRPr="001336DC">
              <w:rPr>
                <w:rFonts w:ascii="Times New Roman" w:hAnsi="Times New Roman"/>
                <w:sz w:val="28"/>
                <w:szCs w:val="28"/>
                <w:lang w:val="uk-UA"/>
              </w:rPr>
              <w:t>Хронічний катаральний гінгівіт</w:t>
            </w:r>
          </w:p>
        </w:tc>
        <w:tc>
          <w:tcPr>
            <w:tcW w:w="131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09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93,3</w:t>
            </w:r>
          </w:p>
        </w:tc>
        <w:tc>
          <w:tcPr>
            <w:tcW w:w="1145"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20</w:t>
            </w:r>
          </w:p>
        </w:tc>
        <w:tc>
          <w:tcPr>
            <w:tcW w:w="840"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66,7</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5171E5">
        <w:tc>
          <w:tcPr>
            <w:tcW w:w="534" w:type="dxa"/>
          </w:tcPr>
          <w:p w:rsidR="000F78D0" w:rsidRPr="001336DC" w:rsidRDefault="000F78D0" w:rsidP="005171E5">
            <w:pPr>
              <w:jc w:val="both"/>
              <w:rPr>
                <w:rFonts w:ascii="Times New Roman" w:hAnsi="Times New Roman"/>
                <w:sz w:val="28"/>
                <w:szCs w:val="28"/>
                <w:lang w:val="uk-UA"/>
              </w:rPr>
            </w:pPr>
            <w:r w:rsidRPr="001336DC">
              <w:rPr>
                <w:rFonts w:ascii="Times New Roman" w:hAnsi="Times New Roman"/>
                <w:sz w:val="28"/>
                <w:szCs w:val="28"/>
                <w:lang w:val="uk-UA"/>
              </w:rPr>
              <w:t>2.</w:t>
            </w:r>
          </w:p>
        </w:tc>
        <w:tc>
          <w:tcPr>
            <w:tcW w:w="4252" w:type="dxa"/>
          </w:tcPr>
          <w:p w:rsidR="000F78D0" w:rsidRPr="001336DC" w:rsidRDefault="000F78D0" w:rsidP="005171E5">
            <w:pPr>
              <w:ind w:firstLine="33"/>
              <w:jc w:val="both"/>
              <w:rPr>
                <w:rFonts w:ascii="Times New Roman" w:hAnsi="Times New Roman"/>
                <w:sz w:val="28"/>
                <w:szCs w:val="28"/>
                <w:lang w:val="uk-UA"/>
              </w:rPr>
            </w:pPr>
            <w:r w:rsidRPr="001336DC">
              <w:rPr>
                <w:rFonts w:ascii="Times New Roman" w:hAnsi="Times New Roman"/>
                <w:sz w:val="28"/>
                <w:szCs w:val="28"/>
                <w:lang w:val="uk-UA"/>
              </w:rPr>
              <w:t>Гіпертрофічний гінгівіт</w:t>
            </w:r>
          </w:p>
        </w:tc>
        <w:tc>
          <w:tcPr>
            <w:tcW w:w="131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09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145"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3</w:t>
            </w:r>
          </w:p>
        </w:tc>
        <w:tc>
          <w:tcPr>
            <w:tcW w:w="840"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10,0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5171E5">
        <w:tc>
          <w:tcPr>
            <w:tcW w:w="534" w:type="dxa"/>
          </w:tcPr>
          <w:p w:rsidR="000F78D0" w:rsidRPr="001336DC" w:rsidRDefault="000F78D0" w:rsidP="005171E5">
            <w:pPr>
              <w:jc w:val="both"/>
              <w:rPr>
                <w:rFonts w:ascii="Times New Roman" w:hAnsi="Times New Roman"/>
                <w:sz w:val="28"/>
                <w:szCs w:val="28"/>
                <w:lang w:val="uk-UA"/>
              </w:rPr>
            </w:pPr>
            <w:r w:rsidRPr="001336DC">
              <w:rPr>
                <w:rFonts w:ascii="Times New Roman" w:hAnsi="Times New Roman"/>
                <w:sz w:val="28"/>
                <w:szCs w:val="28"/>
                <w:lang w:val="uk-UA"/>
              </w:rPr>
              <w:t>3.</w:t>
            </w:r>
          </w:p>
        </w:tc>
        <w:tc>
          <w:tcPr>
            <w:tcW w:w="4252" w:type="dxa"/>
          </w:tcPr>
          <w:p w:rsidR="000F78D0" w:rsidRPr="001336DC" w:rsidRDefault="000F78D0" w:rsidP="005171E5">
            <w:pPr>
              <w:ind w:firstLine="33"/>
              <w:jc w:val="both"/>
              <w:rPr>
                <w:rFonts w:ascii="Times New Roman" w:hAnsi="Times New Roman"/>
                <w:sz w:val="28"/>
                <w:szCs w:val="28"/>
                <w:lang w:val="uk-UA"/>
              </w:rPr>
            </w:pPr>
            <w:r w:rsidRPr="001336DC">
              <w:rPr>
                <w:rFonts w:ascii="Times New Roman" w:hAnsi="Times New Roman"/>
                <w:sz w:val="28"/>
                <w:szCs w:val="28"/>
                <w:lang w:val="uk-UA"/>
              </w:rPr>
              <w:t>Хронічний пародонтит</w:t>
            </w:r>
          </w:p>
        </w:tc>
        <w:tc>
          <w:tcPr>
            <w:tcW w:w="131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109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1145"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7</w:t>
            </w:r>
          </w:p>
        </w:tc>
        <w:tc>
          <w:tcPr>
            <w:tcW w:w="840" w:type="dxa"/>
          </w:tcPr>
          <w:p w:rsidR="000F78D0" w:rsidRPr="001336DC" w:rsidRDefault="000F78D0" w:rsidP="003D0EAE">
            <w:pPr>
              <w:ind w:firstLine="76"/>
              <w:jc w:val="center"/>
              <w:rPr>
                <w:rFonts w:ascii="Times New Roman" w:hAnsi="Times New Roman"/>
                <w:sz w:val="28"/>
                <w:szCs w:val="28"/>
                <w:lang w:val="uk-UA"/>
              </w:rPr>
            </w:pPr>
            <w:r w:rsidRPr="001336DC">
              <w:rPr>
                <w:rFonts w:ascii="Times New Roman" w:hAnsi="Times New Roman"/>
                <w:sz w:val="28"/>
                <w:szCs w:val="28"/>
                <w:lang w:val="uk-UA"/>
              </w:rPr>
              <w:t>23,3</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AC605C">
      <w:pPr>
        <w:spacing w:line="360" w:lineRule="auto"/>
        <w:ind w:firstLine="426"/>
        <w:jc w:val="both"/>
        <w:rPr>
          <w:rFonts w:ascii="Times New Roman" w:hAnsi="Times New Roman"/>
          <w:sz w:val="28"/>
          <w:szCs w:val="28"/>
          <w:lang w:val="uk-UA"/>
        </w:rPr>
      </w:pPr>
      <w:r>
        <w:rPr>
          <w:rFonts w:ascii="Times New Roman" w:hAnsi="Times New Roman"/>
          <w:sz w:val="28"/>
          <w:szCs w:val="28"/>
          <w:lang w:val="uk-UA"/>
        </w:rPr>
        <w:t>Примітка. * - однобічний критерій</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Гіпертрофічний гінгівіт явився специфічною патологією основної групи, оскільки діагностовано тільки в цій групі (10%) і не зустрічався в контролі.</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Хронічний пародонтит достовірно частіше (в 3,5 раз</w:t>
      </w:r>
      <w:r w:rsidRPr="00AA24F2">
        <w:rPr>
          <w:rFonts w:ascii="Times New Roman" w:hAnsi="Times New Roman"/>
          <w:sz w:val="28"/>
          <w:szCs w:val="28"/>
          <w:lang w:val="uk-UA"/>
        </w:rPr>
        <w:t>а</w:t>
      </w:r>
      <w:r>
        <w:rPr>
          <w:rFonts w:ascii="Times New Roman" w:hAnsi="Times New Roman"/>
          <w:sz w:val="28"/>
          <w:szCs w:val="28"/>
          <w:lang w:val="uk-UA"/>
        </w:rPr>
        <w:t xml:space="preserve">; р&lt;0,05) визначався в основній групі (23,3%) у порівнянні з контролем (6,7%). </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Із цього випливає, що ПМФ сприяє розвитку більш тяжких форм запальних захворювань пародонта у дівчат-підлітків.</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Крім того, при аналізі розподілу частки хворих в групах в залежності від тяжкості хронічного катарального гінгівіту виявлено (рис. 3.1), що легкий перебіг захворювання був характерним для контрольної групи і в 1,9 раза частіше (р&lt;0,05) зустрічався серед них (57,1%), ніж в основній групі (30%).</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Середньотяжкий перебіг захворювання виявлено у 1/3 (36,7%) хворих контрольної групи і в 1,9 раза частіше (р&lt;0,05) в основній групі (70%).</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924550" cy="3829050"/>
            <wp:effectExtent l="0" t="0" r="0" b="0"/>
            <wp:docPr id="64" name="Объект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F78D0" w:rsidRDefault="000F78D0" w:rsidP="002653A6">
      <w:pPr>
        <w:spacing w:line="360" w:lineRule="auto"/>
        <w:ind w:firstLine="709"/>
        <w:rPr>
          <w:rFonts w:ascii="Times New Roman" w:hAnsi="Times New Roman"/>
          <w:sz w:val="28"/>
          <w:szCs w:val="28"/>
          <w:lang w:val="uk-UA"/>
        </w:rPr>
      </w:pPr>
      <w:r w:rsidRPr="005171E5">
        <w:rPr>
          <w:rFonts w:ascii="Times New Roman" w:hAnsi="Times New Roman"/>
          <w:i/>
          <w:sz w:val="28"/>
          <w:szCs w:val="28"/>
          <w:lang w:val="uk-UA"/>
        </w:rPr>
        <w:t>Рис. 3.1</w:t>
      </w:r>
      <w:r>
        <w:rPr>
          <w:rFonts w:ascii="Times New Roman" w:hAnsi="Times New Roman"/>
          <w:sz w:val="28"/>
          <w:szCs w:val="28"/>
          <w:lang w:val="uk-UA"/>
        </w:rPr>
        <w:t xml:space="preserve"> Розподіл хворих в групах в залежності від ступеня тяжкості хронічного катарального гінгівіту. * - Однобічний критерій. </w:t>
      </w:r>
    </w:p>
    <w:p w:rsidR="005171E5" w:rsidRDefault="005171E5" w:rsidP="002E2C80">
      <w:pPr>
        <w:spacing w:line="360" w:lineRule="auto"/>
        <w:ind w:firstLine="709"/>
        <w:jc w:val="both"/>
        <w:rPr>
          <w:rFonts w:ascii="Times New Roman" w:hAnsi="Times New Roman"/>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тяжкого перебігу гінгівіту, то частка таких хворих в основній групі склала 10%,  а в контрольній групі в 3 рази рідше (3,3%).</w:t>
      </w:r>
    </w:p>
    <w:p w:rsidR="005171E5"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аналізі хворих з хронічним пародонтитом встановлено (</w:t>
      </w:r>
      <w:r w:rsidRPr="00AA24F2">
        <w:rPr>
          <w:rFonts w:ascii="Times New Roman" w:hAnsi="Times New Roman"/>
          <w:sz w:val="28"/>
          <w:szCs w:val="28"/>
          <w:lang w:val="uk-UA"/>
        </w:rPr>
        <w:t>рис.</w:t>
      </w:r>
      <w:r>
        <w:rPr>
          <w:rFonts w:ascii="Times New Roman" w:hAnsi="Times New Roman"/>
          <w:sz w:val="28"/>
          <w:szCs w:val="28"/>
          <w:lang w:val="uk-UA"/>
        </w:rPr>
        <w:t xml:space="preserve"> 3.2), що як локалізована, так  і генералізована його форми відмічені у однакової частки (3,3%) хворих контролю. В основній групі локалізована форма хронічного пародонтиту зустрічалася в 3 рази частіше (10%), а генералізований пародонтит І ступеня в 4 рази (13,3%) частіше, ніж в контролі.</w:t>
      </w:r>
      <w:r w:rsidR="005171E5" w:rsidRPr="005171E5">
        <w:rPr>
          <w:rFonts w:ascii="Times New Roman" w:hAnsi="Times New Roman"/>
          <w:sz w:val="28"/>
          <w:szCs w:val="28"/>
          <w:lang w:val="uk-UA"/>
        </w:rPr>
        <w:t xml:space="preserve"> </w:t>
      </w:r>
    </w:p>
    <w:p w:rsidR="005171E5" w:rsidRDefault="005171E5"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результати підтверджують вищенаведене положення про негативну роль ПМФ у формуванні більш тяжких форм запальних захворювань в дівчат-підлітків.</w:t>
      </w:r>
    </w:p>
    <w:p w:rsidR="000F78D0" w:rsidRDefault="00CD0628"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Поширеність</w:t>
      </w:r>
      <w:r w:rsidR="008915BE">
        <w:rPr>
          <w:rFonts w:ascii="Times New Roman" w:hAnsi="Times New Roman"/>
          <w:sz w:val="28"/>
          <w:szCs w:val="28"/>
          <w:lang w:val="uk-UA"/>
        </w:rPr>
        <w:t xml:space="preserve"> карієсу зубів в групах представлено на рис.3.3.</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581650" cy="3219450"/>
            <wp:effectExtent l="0" t="0" r="0" b="0"/>
            <wp:docPr id="63" name="Объект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F78D0" w:rsidRPr="00D423B8" w:rsidRDefault="000F78D0" w:rsidP="002E2C80">
      <w:pPr>
        <w:spacing w:line="360" w:lineRule="auto"/>
        <w:ind w:firstLine="709"/>
        <w:jc w:val="both"/>
        <w:rPr>
          <w:rFonts w:ascii="Times New Roman" w:hAnsi="Times New Roman"/>
          <w:sz w:val="28"/>
          <w:szCs w:val="28"/>
          <w:lang w:val="ru-RU"/>
        </w:rPr>
      </w:pPr>
      <w:r w:rsidRPr="008915BE">
        <w:rPr>
          <w:rFonts w:ascii="Times New Roman" w:hAnsi="Times New Roman"/>
          <w:i/>
          <w:sz w:val="28"/>
          <w:szCs w:val="28"/>
          <w:lang w:val="uk-UA"/>
        </w:rPr>
        <w:t>Рис.3.2</w:t>
      </w:r>
      <w:r>
        <w:rPr>
          <w:rFonts w:ascii="Times New Roman" w:hAnsi="Times New Roman"/>
          <w:sz w:val="28"/>
          <w:szCs w:val="28"/>
          <w:lang w:val="uk-UA"/>
        </w:rPr>
        <w:t xml:space="preserve">  Розподіл хворих в групах  в залежності від ступеня генералізації пародонтиту. </w:t>
      </w:r>
    </w:p>
    <w:p w:rsidR="00D423B8" w:rsidRPr="00BE7C02" w:rsidRDefault="00D423B8" w:rsidP="00AC605C">
      <w:pPr>
        <w:spacing w:line="360" w:lineRule="auto"/>
        <w:ind w:firstLine="426"/>
        <w:jc w:val="both"/>
        <w:rPr>
          <w:rFonts w:ascii="Times New Roman" w:hAnsi="Times New Roman"/>
          <w:sz w:val="20"/>
          <w:szCs w:val="20"/>
          <w:lang w:val="ru-RU"/>
        </w:rPr>
      </w:pPr>
    </w:p>
    <w:p w:rsidR="00D423B8" w:rsidRPr="00BE7C02" w:rsidRDefault="00D423B8" w:rsidP="00AC605C">
      <w:pPr>
        <w:spacing w:line="360" w:lineRule="auto"/>
        <w:ind w:firstLine="426"/>
        <w:jc w:val="both"/>
        <w:rPr>
          <w:rFonts w:ascii="Times New Roman" w:hAnsi="Times New Roman"/>
          <w:sz w:val="20"/>
          <w:szCs w:val="20"/>
          <w:lang w:val="ru-RU"/>
        </w:rPr>
      </w:pPr>
    </w:p>
    <w:p w:rsidR="000F78D0" w:rsidRPr="0033328A"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695950" cy="3714750"/>
            <wp:effectExtent l="0" t="0" r="0" b="0"/>
            <wp:docPr id="62"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F78D0" w:rsidRDefault="000F78D0" w:rsidP="002E2C80">
      <w:pPr>
        <w:spacing w:line="360" w:lineRule="auto"/>
        <w:ind w:firstLine="709"/>
        <w:jc w:val="both"/>
        <w:rPr>
          <w:rFonts w:ascii="Times New Roman" w:hAnsi="Times New Roman"/>
          <w:sz w:val="28"/>
          <w:szCs w:val="28"/>
          <w:lang w:val="uk-UA"/>
        </w:rPr>
      </w:pPr>
      <w:r w:rsidRPr="008915BE">
        <w:rPr>
          <w:rFonts w:ascii="Times New Roman" w:hAnsi="Times New Roman"/>
          <w:i/>
          <w:sz w:val="28"/>
          <w:szCs w:val="28"/>
          <w:lang w:val="uk-UA"/>
        </w:rPr>
        <w:t>Рис.3.3</w:t>
      </w:r>
      <w:r>
        <w:rPr>
          <w:rFonts w:ascii="Times New Roman" w:hAnsi="Times New Roman"/>
          <w:sz w:val="28"/>
          <w:szCs w:val="28"/>
          <w:lang w:val="uk-UA"/>
        </w:rPr>
        <w:t xml:space="preserve"> Частка хворих з карієсом зубів в групах</w:t>
      </w:r>
      <w:r w:rsidRPr="00421401">
        <w:rPr>
          <w:rFonts w:ascii="Times New Roman" w:hAnsi="Times New Roman"/>
          <w:sz w:val="20"/>
          <w:szCs w:val="20"/>
          <w:highlight w:val="yellow"/>
          <w:lang w:val="uk-UA"/>
        </w:rPr>
        <w:t xml:space="preserve"> </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 </w:t>
      </w:r>
      <w:r w:rsidRPr="00AA24F2">
        <w:rPr>
          <w:rFonts w:ascii="Times New Roman" w:hAnsi="Times New Roman"/>
          <w:sz w:val="28"/>
          <w:szCs w:val="28"/>
          <w:lang w:val="uk-UA"/>
        </w:rPr>
        <w:t>рис.</w:t>
      </w:r>
      <w:r>
        <w:rPr>
          <w:rFonts w:ascii="Times New Roman" w:hAnsi="Times New Roman"/>
          <w:sz w:val="28"/>
          <w:szCs w:val="28"/>
          <w:lang w:val="uk-UA"/>
        </w:rPr>
        <w:t xml:space="preserve"> 3.3 витікає, що достовірних відмінностей в групах не </w:t>
      </w:r>
      <w:r w:rsidRPr="00246733">
        <w:rPr>
          <w:rFonts w:ascii="Times New Roman" w:hAnsi="Times New Roman"/>
          <w:sz w:val="28"/>
          <w:szCs w:val="28"/>
          <w:lang w:val="uk-UA"/>
        </w:rPr>
        <w:t>відмічено (р&gt;0,05)</w:t>
      </w:r>
      <w:r>
        <w:rPr>
          <w:rFonts w:ascii="Times New Roman" w:hAnsi="Times New Roman"/>
          <w:sz w:val="28"/>
          <w:szCs w:val="28"/>
          <w:lang w:val="uk-UA"/>
        </w:rPr>
        <w:t>, однак в основній групі враженість карієсом (93,3%) була вище, ніж в контролі (83,3%).</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інтенсивності карієсу (табл. 3.2), то дуже низька і низька його інтенсивність (≤1,1</w:t>
      </w:r>
      <w:r w:rsidRPr="00AA24F2">
        <w:rPr>
          <w:rFonts w:ascii="Times New Roman" w:hAnsi="Times New Roman"/>
          <w:sz w:val="28"/>
          <w:szCs w:val="28"/>
          <w:lang w:val="uk-UA"/>
        </w:rPr>
        <w:t>бала</w:t>
      </w:r>
      <w:r>
        <w:rPr>
          <w:rFonts w:ascii="Times New Roman" w:hAnsi="Times New Roman"/>
          <w:sz w:val="28"/>
          <w:szCs w:val="28"/>
          <w:lang w:val="uk-UA"/>
        </w:rPr>
        <w:t>) в 2 рази частіше визначалася  в контрольній групі (13,3%) порівняно з основною групою (6,7%). Однак ці відмінності недостовірні (р&gt;0,05) і носять характер тенденції.</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Помірна інтенсивність карієсу (1,2-2,</w:t>
      </w:r>
      <w:r w:rsidRPr="00AA24F2">
        <w:rPr>
          <w:rFonts w:ascii="Times New Roman" w:hAnsi="Times New Roman"/>
          <w:sz w:val="28"/>
          <w:szCs w:val="28"/>
          <w:lang w:val="uk-UA"/>
        </w:rPr>
        <w:t>6 бала) була характерна для дівчат</w:t>
      </w:r>
      <w:r>
        <w:rPr>
          <w:rFonts w:ascii="Times New Roman" w:hAnsi="Times New Roman"/>
          <w:sz w:val="28"/>
          <w:szCs w:val="28"/>
          <w:lang w:val="uk-UA"/>
        </w:rPr>
        <w:t xml:space="preserve"> контрольної групи і в 2 рази частіше (р&lt;0,05) визначалася у цій групі (46,7%) порівняно з хворими основної групи (23,3%).</w:t>
      </w:r>
    </w:p>
    <w:p w:rsidR="000F78D0" w:rsidRPr="008915BE" w:rsidRDefault="000F78D0" w:rsidP="002E2C80">
      <w:pPr>
        <w:spacing w:line="360" w:lineRule="auto"/>
        <w:ind w:firstLine="709"/>
        <w:jc w:val="right"/>
        <w:rPr>
          <w:rFonts w:ascii="Times New Roman" w:hAnsi="Times New Roman"/>
          <w:i/>
          <w:sz w:val="28"/>
          <w:szCs w:val="28"/>
          <w:lang w:val="uk-UA"/>
        </w:rPr>
      </w:pPr>
      <w:r w:rsidRPr="008915BE">
        <w:rPr>
          <w:rFonts w:ascii="Times New Roman" w:hAnsi="Times New Roman"/>
          <w:i/>
          <w:sz w:val="28"/>
          <w:szCs w:val="28"/>
          <w:lang w:val="uk-UA"/>
        </w:rPr>
        <w:t>Таблиця 3.2</w:t>
      </w:r>
    </w:p>
    <w:p w:rsidR="000F78D0" w:rsidRDefault="000F78D0" w:rsidP="002E2C80">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значень показника інтенсивності карієсу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5"/>
        <w:gridCol w:w="2576"/>
        <w:gridCol w:w="1228"/>
        <w:gridCol w:w="1148"/>
        <w:gridCol w:w="1022"/>
        <w:gridCol w:w="956"/>
        <w:gridCol w:w="1004"/>
      </w:tblGrid>
      <w:tr w:rsidR="000F78D0" w:rsidRPr="001336DC" w:rsidTr="000F78D0">
        <w:tc>
          <w:tcPr>
            <w:tcW w:w="0" w:type="auto"/>
            <w:vMerge w:val="restart"/>
          </w:tcPr>
          <w:p w:rsidR="000F78D0" w:rsidRPr="001336DC" w:rsidRDefault="000F78D0" w:rsidP="008915BE">
            <w:pPr>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бали</w:t>
            </w:r>
          </w:p>
        </w:tc>
        <w:tc>
          <w:tcPr>
            <w:tcW w:w="0" w:type="auto"/>
            <w:gridSpan w:val="2"/>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F78D0">
        <w:tc>
          <w:tcPr>
            <w:tcW w:w="0" w:type="auto"/>
            <w:vMerge/>
          </w:tcPr>
          <w:p w:rsidR="000F78D0" w:rsidRPr="001336DC" w:rsidRDefault="000F78D0" w:rsidP="008915BE">
            <w:pPr>
              <w:jc w:val="both"/>
              <w:rPr>
                <w:rFonts w:ascii="Times New Roman" w:hAnsi="Times New Roman"/>
                <w:sz w:val="28"/>
                <w:szCs w:val="28"/>
                <w:lang w:val="uk-UA"/>
              </w:rPr>
            </w:pPr>
          </w:p>
        </w:tc>
        <w:tc>
          <w:tcPr>
            <w:tcW w:w="0" w:type="auto"/>
            <w:vMerge/>
          </w:tcPr>
          <w:p w:rsidR="000F78D0" w:rsidRPr="001336DC" w:rsidRDefault="000F78D0" w:rsidP="003D0EAE">
            <w:pPr>
              <w:jc w:val="center"/>
              <w:rPr>
                <w:rFonts w:ascii="Times New Roman" w:hAnsi="Times New Roman"/>
                <w:sz w:val="28"/>
                <w:szCs w:val="28"/>
                <w:lang w:val="uk-UA"/>
              </w:rPr>
            </w:pP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0F78D0">
        <w:tc>
          <w:tcPr>
            <w:tcW w:w="0" w:type="auto"/>
            <w:vMerge w:val="restart"/>
          </w:tcPr>
          <w:p w:rsidR="000F78D0" w:rsidRPr="001336DC" w:rsidRDefault="000F78D0" w:rsidP="008915BE">
            <w:pPr>
              <w:jc w:val="both"/>
              <w:rPr>
                <w:rFonts w:ascii="Times New Roman" w:hAnsi="Times New Roman"/>
                <w:sz w:val="28"/>
                <w:szCs w:val="28"/>
                <w:lang w:val="uk-UA"/>
              </w:rPr>
            </w:pPr>
            <w:r w:rsidRPr="001336DC">
              <w:rPr>
                <w:rFonts w:ascii="Times New Roman" w:hAnsi="Times New Roman"/>
                <w:sz w:val="28"/>
                <w:szCs w:val="28"/>
                <w:lang w:val="uk-UA"/>
              </w:rPr>
              <w:t>КПВ</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vMerge/>
          </w:tcPr>
          <w:p w:rsidR="000F78D0" w:rsidRPr="001336DC" w:rsidRDefault="000F78D0" w:rsidP="008915BE">
            <w:pPr>
              <w:jc w:val="both"/>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1,2-2,6</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46,7</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23,3</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0F78D0">
        <w:tc>
          <w:tcPr>
            <w:tcW w:w="0" w:type="auto"/>
            <w:vMerge/>
          </w:tcPr>
          <w:p w:rsidR="000F78D0" w:rsidRPr="001336DC" w:rsidRDefault="000F78D0" w:rsidP="008915BE">
            <w:pPr>
              <w:jc w:val="both"/>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2,7-4,4</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vMerge/>
          </w:tcPr>
          <w:p w:rsidR="000F78D0" w:rsidRPr="001336DC" w:rsidRDefault="000F78D0" w:rsidP="008915BE">
            <w:pPr>
              <w:jc w:val="both"/>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2E2C80">
      <w:pPr>
        <w:spacing w:line="360" w:lineRule="auto"/>
        <w:ind w:firstLine="709"/>
        <w:rPr>
          <w:rFonts w:ascii="Times New Roman" w:hAnsi="Times New Roman"/>
          <w:sz w:val="28"/>
          <w:szCs w:val="28"/>
          <w:lang w:val="uk-UA"/>
        </w:rPr>
      </w:pPr>
      <w:r>
        <w:rPr>
          <w:rFonts w:ascii="Times New Roman" w:hAnsi="Times New Roman"/>
          <w:sz w:val="28"/>
          <w:szCs w:val="28"/>
          <w:lang w:val="uk-UA"/>
        </w:rPr>
        <w:t>Примітка. * - однобічний критерій</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Висока інтенсивність карієсу (2,7-4,</w:t>
      </w:r>
      <w:r w:rsidRPr="00AA24F2">
        <w:rPr>
          <w:rFonts w:ascii="Times New Roman" w:hAnsi="Times New Roman"/>
          <w:sz w:val="28"/>
          <w:szCs w:val="28"/>
          <w:lang w:val="uk-UA"/>
        </w:rPr>
        <w:t>4бала) діагностувалася приблизно в рівної частки хворих (р&gt;0,05), а дуже висока (≥4,5 бала) інтенсивність</w:t>
      </w:r>
      <w:r>
        <w:rPr>
          <w:rFonts w:ascii="Times New Roman" w:hAnsi="Times New Roman"/>
          <w:sz w:val="28"/>
          <w:szCs w:val="28"/>
          <w:lang w:val="uk-UA"/>
        </w:rPr>
        <w:t xml:space="preserve"> карієсу достовірно частіше (р&lt;0,05) виявлялася в основній групі (30%), ніж в контролі (6,7%).</w:t>
      </w:r>
    </w:p>
    <w:p w:rsidR="008915BE" w:rsidRDefault="000F78D0" w:rsidP="002E2C80">
      <w:pPr>
        <w:spacing w:line="360" w:lineRule="auto"/>
        <w:ind w:firstLine="709"/>
        <w:jc w:val="both"/>
        <w:rPr>
          <w:rFonts w:ascii="Times New Roman" w:hAnsi="Times New Roman"/>
          <w:sz w:val="28"/>
          <w:szCs w:val="28"/>
          <w:lang w:val="uk-UA"/>
        </w:rPr>
      </w:pPr>
      <w:r w:rsidRPr="00AA24F2">
        <w:rPr>
          <w:rFonts w:ascii="Times New Roman" w:hAnsi="Times New Roman"/>
          <w:sz w:val="28"/>
          <w:szCs w:val="28"/>
          <w:lang w:val="uk-UA"/>
        </w:rPr>
        <w:t>При об’єднанні градацій показників до двох, а саме: ≤2,6 бала (дуже низька, низька і помірна інтенсивність) і ≥2,7 бала (висока і дуже висока)  виявлен</w:t>
      </w:r>
      <w:r>
        <w:rPr>
          <w:rFonts w:ascii="Times New Roman" w:hAnsi="Times New Roman"/>
          <w:sz w:val="28"/>
          <w:szCs w:val="28"/>
          <w:lang w:val="uk-UA"/>
        </w:rPr>
        <w:t>о достовірну закономірність (рис</w:t>
      </w:r>
      <w:r w:rsidRPr="00AA24F2">
        <w:rPr>
          <w:rFonts w:ascii="Times New Roman" w:hAnsi="Times New Roman"/>
          <w:sz w:val="28"/>
          <w:szCs w:val="28"/>
          <w:lang w:val="uk-UA"/>
        </w:rPr>
        <w:t>. 3.4), що полягає в наступному: значення КПВ ≤2,6 бала, що визначають в цілому дуже низьку, низьку і помірну інтенсивність карієсу, в 2 рази частіше (р&lt;0,05) визначалися в контрольній групі, а значення КПВ ≥ 2,7 бала в 1,8 раза частіше</w:t>
      </w:r>
      <w:r>
        <w:rPr>
          <w:rFonts w:ascii="Times New Roman" w:hAnsi="Times New Roman"/>
          <w:sz w:val="28"/>
          <w:szCs w:val="28"/>
          <w:lang w:val="uk-UA"/>
        </w:rPr>
        <w:t xml:space="preserve"> (р&lt;0,05) виявлялися серед хворих основної групи.</w:t>
      </w:r>
      <w:r w:rsidR="008915BE" w:rsidRPr="008915BE">
        <w:rPr>
          <w:rFonts w:ascii="Times New Roman" w:hAnsi="Times New Roman"/>
          <w:sz w:val="28"/>
          <w:szCs w:val="28"/>
          <w:lang w:val="uk-UA"/>
        </w:rPr>
        <w:t xml:space="preserve"> </w:t>
      </w:r>
    </w:p>
    <w:p w:rsidR="000F78D0" w:rsidRDefault="008915BE"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Отримані дані свідчать про те, що ПМФ негативним чином впливає на виникнення карієсу зубів у дівчат-підлітків.</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562600" cy="3219450"/>
            <wp:effectExtent l="0" t="0" r="0" b="0"/>
            <wp:docPr id="61"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F78D0" w:rsidRPr="00410CB6" w:rsidRDefault="000F78D0" w:rsidP="002E2C80">
      <w:pPr>
        <w:spacing w:line="360" w:lineRule="auto"/>
        <w:ind w:firstLine="709"/>
        <w:jc w:val="both"/>
        <w:rPr>
          <w:rFonts w:ascii="Times New Roman" w:hAnsi="Times New Roman"/>
          <w:sz w:val="20"/>
          <w:szCs w:val="20"/>
          <w:lang w:val="uk-UA"/>
        </w:rPr>
      </w:pPr>
      <w:r w:rsidRPr="008915BE">
        <w:rPr>
          <w:rFonts w:ascii="Times New Roman" w:hAnsi="Times New Roman"/>
          <w:i/>
          <w:sz w:val="28"/>
          <w:szCs w:val="28"/>
          <w:lang w:val="uk-UA"/>
        </w:rPr>
        <w:t>Рис.3.4</w:t>
      </w:r>
      <w:r>
        <w:rPr>
          <w:rFonts w:ascii="Times New Roman" w:hAnsi="Times New Roman"/>
          <w:sz w:val="28"/>
          <w:szCs w:val="28"/>
          <w:lang w:val="uk-UA"/>
        </w:rPr>
        <w:t xml:space="preserve"> Розподіл хворих в групах в залежності від значень показника інтенсивності карієсу</w:t>
      </w:r>
      <w:r w:rsidR="008915BE">
        <w:rPr>
          <w:rFonts w:ascii="Times New Roman" w:hAnsi="Times New Roman"/>
          <w:sz w:val="28"/>
          <w:szCs w:val="28"/>
          <w:lang w:val="uk-UA"/>
        </w:rPr>
        <w:t>.</w:t>
      </w:r>
    </w:p>
    <w:p w:rsidR="000F78D0" w:rsidRDefault="000F78D0" w:rsidP="002E2C80">
      <w:pPr>
        <w:spacing w:line="360" w:lineRule="auto"/>
        <w:ind w:firstLine="709"/>
        <w:jc w:val="both"/>
        <w:rPr>
          <w:rFonts w:ascii="Times New Roman" w:hAnsi="Times New Roman"/>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 стану гігієни ротової порожнини обстежуваних здійснили за допомогою індексу Федорова-Володкіної і спрощеного індексу</w:t>
      </w:r>
      <w:r w:rsidRPr="00DB3FA7">
        <w:rPr>
          <w:rFonts w:ascii="Times New Roman" w:hAnsi="Times New Roman"/>
          <w:sz w:val="28"/>
          <w:szCs w:val="28"/>
          <w:lang w:val="ru-RU"/>
        </w:rPr>
        <w:t xml:space="preserve"> </w:t>
      </w:r>
      <w:r w:rsidRPr="00AA24F2">
        <w:rPr>
          <w:rFonts w:ascii="Times New Roman" w:hAnsi="Times New Roman"/>
          <w:sz w:val="28"/>
          <w:szCs w:val="28"/>
        </w:rPr>
        <w:t>OHI</w:t>
      </w:r>
      <w:r w:rsidRPr="00AA24F2">
        <w:rPr>
          <w:rFonts w:ascii="Times New Roman" w:hAnsi="Times New Roman"/>
          <w:sz w:val="28"/>
          <w:szCs w:val="28"/>
          <w:lang w:val="ru-RU"/>
        </w:rPr>
        <w:t>-</w:t>
      </w:r>
      <w:r w:rsidRPr="00AA24F2">
        <w:rPr>
          <w:rFonts w:ascii="Times New Roman" w:hAnsi="Times New Roman"/>
          <w:sz w:val="28"/>
          <w:szCs w:val="28"/>
        </w:rPr>
        <w:t>S</w:t>
      </w:r>
      <w:r>
        <w:rPr>
          <w:rFonts w:ascii="Times New Roman" w:hAnsi="Times New Roman"/>
          <w:sz w:val="28"/>
          <w:szCs w:val="28"/>
          <w:lang w:val="uk-UA"/>
        </w:rPr>
        <w:t xml:space="preserve"> (табл.3.3). </w:t>
      </w:r>
    </w:p>
    <w:p w:rsidR="000F78D0" w:rsidRPr="008915BE" w:rsidRDefault="000F78D0" w:rsidP="002E2C80">
      <w:pPr>
        <w:spacing w:line="360" w:lineRule="auto"/>
        <w:ind w:firstLine="709"/>
        <w:jc w:val="right"/>
        <w:rPr>
          <w:rFonts w:ascii="Times New Roman" w:hAnsi="Times New Roman"/>
          <w:i/>
          <w:sz w:val="28"/>
          <w:szCs w:val="28"/>
          <w:lang w:val="uk-UA"/>
        </w:rPr>
      </w:pPr>
      <w:r w:rsidRPr="008915BE">
        <w:rPr>
          <w:rFonts w:ascii="Times New Roman" w:hAnsi="Times New Roman"/>
          <w:i/>
          <w:sz w:val="28"/>
          <w:szCs w:val="28"/>
          <w:lang w:val="uk-UA"/>
        </w:rPr>
        <w:t>Таблиця 3.3</w:t>
      </w:r>
    </w:p>
    <w:p w:rsidR="000F78D0" w:rsidRDefault="000F78D0" w:rsidP="002E2C80">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значень індексів гігієни порожнини рота</w:t>
      </w:r>
    </w:p>
    <w:tbl>
      <w:tblPr>
        <w:tblW w:w="10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044"/>
        <w:gridCol w:w="1437"/>
        <w:gridCol w:w="1266"/>
        <w:gridCol w:w="1197"/>
        <w:gridCol w:w="881"/>
        <w:gridCol w:w="824"/>
        <w:gridCol w:w="1004"/>
      </w:tblGrid>
      <w:tr w:rsidR="000F78D0" w:rsidRPr="001336DC" w:rsidTr="00D84EA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Індекси</w:t>
            </w:r>
          </w:p>
        </w:tc>
        <w:tc>
          <w:tcPr>
            <w:tcW w:w="1437" w:type="dxa"/>
            <w:vMerge w:val="restart"/>
            <w:tcBorders>
              <w:top w:val="single" w:sz="4" w:space="0" w:color="auto"/>
              <w:left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24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D84EA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D84EA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D84EA8">
            <w:pPr>
              <w:rPr>
                <w:rFonts w:ascii="Times New Roman" w:hAnsi="Times New Roman"/>
                <w:sz w:val="28"/>
                <w:szCs w:val="28"/>
                <w:lang w:val="uk-UA"/>
              </w:rPr>
            </w:pPr>
          </w:p>
        </w:tc>
        <w:tc>
          <w:tcPr>
            <w:tcW w:w="1437" w:type="dxa"/>
            <w:vMerge/>
            <w:tcBorders>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D84EA8">
        <w:tc>
          <w:tcPr>
            <w:tcW w:w="534" w:type="dxa"/>
            <w:vMerge w:val="restart"/>
            <w:tcBorders>
              <w:top w:val="single" w:sz="4" w:space="0" w:color="auto"/>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1.</w:t>
            </w:r>
          </w:p>
          <w:p w:rsidR="000F78D0" w:rsidRPr="001336DC" w:rsidRDefault="000F78D0" w:rsidP="00D84EA8">
            <w:pPr>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E71220" w:rsidRDefault="00E71220" w:rsidP="00D84EA8">
            <w:pPr>
              <w:rPr>
                <w:rFonts w:ascii="Times New Roman" w:hAnsi="Times New Roman"/>
                <w:sz w:val="28"/>
                <w:szCs w:val="28"/>
                <w:lang w:val="ru-RU"/>
              </w:rPr>
            </w:pPr>
            <w:r>
              <w:rPr>
                <w:rFonts w:ascii="Times New Roman" w:hAnsi="Times New Roman"/>
                <w:sz w:val="28"/>
                <w:szCs w:val="28"/>
                <w:lang w:val="uk-UA"/>
              </w:rPr>
              <w:t>Ю.А.Федорова, В.В.Володкіної</w:t>
            </w:r>
            <w:r w:rsidR="000F78D0" w:rsidRPr="001336DC">
              <w:rPr>
                <w:rFonts w:ascii="Times New Roman" w:hAnsi="Times New Roman"/>
                <w:sz w:val="28"/>
                <w:szCs w:val="28"/>
                <w:lang w:val="uk-UA"/>
              </w:rPr>
              <w:t xml:space="preserve">, </w:t>
            </w:r>
          </w:p>
          <w:p w:rsidR="000F78D0" w:rsidRPr="001336DC" w:rsidRDefault="000F78D0" w:rsidP="00D84EA8">
            <w:pPr>
              <w:rPr>
                <w:rFonts w:ascii="Times New Roman" w:hAnsi="Times New Roman"/>
                <w:sz w:val="28"/>
                <w:szCs w:val="28"/>
                <w:lang w:val="uk-UA"/>
              </w:rPr>
            </w:pPr>
            <w:r w:rsidRPr="001336DC">
              <w:rPr>
                <w:rFonts w:ascii="Times New Roman" w:hAnsi="Times New Roman"/>
                <w:sz w:val="28"/>
                <w:szCs w:val="28"/>
                <w:lang w:val="uk-UA"/>
              </w:rPr>
              <w:t>бали</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≤2,0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р&gt;0,05</w:t>
            </w:r>
          </w:p>
        </w:tc>
      </w:tr>
      <w:tr w:rsidR="000F78D0" w:rsidRPr="001336DC" w:rsidTr="00D84EA8">
        <w:tc>
          <w:tcPr>
            <w:tcW w:w="534" w:type="dxa"/>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2,1-2,5</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р&gt;0,05</w:t>
            </w:r>
          </w:p>
        </w:tc>
      </w:tr>
      <w:tr w:rsidR="000F78D0" w:rsidRPr="001336DC" w:rsidTr="00D84EA8">
        <w:tc>
          <w:tcPr>
            <w:tcW w:w="534" w:type="dxa"/>
            <w:vMerge/>
            <w:tcBorders>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≥2,6</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р&gt;0,05</w:t>
            </w:r>
          </w:p>
        </w:tc>
      </w:tr>
      <w:tr w:rsidR="000F78D0" w:rsidRPr="001336DC" w:rsidTr="00D84EA8">
        <w:tc>
          <w:tcPr>
            <w:tcW w:w="534" w:type="dxa"/>
            <w:vMerge w:val="restart"/>
            <w:tcBorders>
              <w:top w:val="single" w:sz="4" w:space="0" w:color="auto"/>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Спрощений індекс, бали</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≤1,6</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р&gt;0,05</w:t>
            </w:r>
          </w:p>
        </w:tc>
      </w:tr>
      <w:tr w:rsidR="000F78D0" w:rsidRPr="001336DC" w:rsidTr="00D84EA8">
        <w:tc>
          <w:tcPr>
            <w:tcW w:w="534" w:type="dxa"/>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1,7-2,5</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р&gt;0,05</w:t>
            </w:r>
          </w:p>
        </w:tc>
      </w:tr>
      <w:tr w:rsidR="000F78D0" w:rsidRPr="001336DC" w:rsidTr="00D84EA8">
        <w:tc>
          <w:tcPr>
            <w:tcW w:w="534" w:type="dxa"/>
            <w:vMerge/>
            <w:tcBorders>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2"/>
              <w:jc w:val="center"/>
              <w:rPr>
                <w:rFonts w:ascii="Times New Roman" w:hAnsi="Times New Roman"/>
                <w:sz w:val="28"/>
                <w:szCs w:val="28"/>
                <w:lang w:val="uk-UA"/>
              </w:rPr>
            </w:pPr>
            <w:r w:rsidRPr="001336DC">
              <w:rPr>
                <w:rFonts w:ascii="Times New Roman" w:hAnsi="Times New Roman"/>
                <w:sz w:val="28"/>
                <w:szCs w:val="28"/>
                <w:lang w:val="uk-UA"/>
              </w:rPr>
              <w:t>≥2,6</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р&gt;0,05</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Pr="00D84EA8"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таблиці 3.3 свідчать, що достовірних відмінностей між групами не встановлено (р&gt;0,05). При цьому гарна або задовільна гігієна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відмічена у 1/</w:t>
      </w:r>
      <w:r w:rsidRPr="00AA24F2">
        <w:rPr>
          <w:rFonts w:ascii="Times New Roman" w:hAnsi="Times New Roman"/>
          <w:sz w:val="28"/>
          <w:szCs w:val="28"/>
          <w:lang w:val="uk-UA"/>
        </w:rPr>
        <w:t xml:space="preserve">5 </w:t>
      </w:r>
      <w:r w:rsidRPr="00AA24F2">
        <w:rPr>
          <w:rFonts w:ascii="Times New Roman" w:hAnsi="Times New Roman"/>
          <w:sz w:val="28"/>
          <w:szCs w:val="28"/>
          <w:lang w:val="uk-UA"/>
        </w:rPr>
        <w:lastRenderedPageBreak/>
        <w:t>обстежених обох груп вівдповідно.  У</w:t>
      </w:r>
      <w:r>
        <w:rPr>
          <w:rFonts w:ascii="Times New Roman" w:hAnsi="Times New Roman"/>
          <w:sz w:val="28"/>
          <w:szCs w:val="28"/>
          <w:lang w:val="uk-UA"/>
        </w:rPr>
        <w:t xml:space="preserve"> половини хворих встановлено незадовільну гігієну </w:t>
      </w:r>
      <w:r w:rsidR="00713761">
        <w:rPr>
          <w:rFonts w:ascii="Times New Roman" w:hAnsi="Times New Roman"/>
          <w:sz w:val="28"/>
          <w:szCs w:val="28"/>
          <w:lang w:val="uk-UA"/>
        </w:rPr>
        <w:t>ПР</w:t>
      </w:r>
      <w:r w:rsidR="00D84EA8">
        <w:rPr>
          <w:rFonts w:ascii="Times New Roman" w:hAnsi="Times New Roman"/>
          <w:sz w:val="28"/>
          <w:szCs w:val="28"/>
          <w:lang w:val="uk-UA"/>
        </w:rPr>
        <w:t xml:space="preserve"> </w:t>
      </w:r>
      <w:r w:rsidRPr="00D84EA8">
        <w:rPr>
          <w:rFonts w:ascii="Times New Roman" w:hAnsi="Times New Roman"/>
          <w:sz w:val="28"/>
          <w:szCs w:val="28"/>
          <w:lang w:val="uk-UA"/>
        </w:rPr>
        <w:t xml:space="preserve"> (</w:t>
      </w:r>
      <w:r w:rsidR="00D84EA8" w:rsidRPr="00D84EA8">
        <w:rPr>
          <w:rFonts w:ascii="Times New Roman" w:hAnsi="Times New Roman"/>
          <w:sz w:val="28"/>
          <w:szCs w:val="28"/>
          <w:lang w:val="uk-UA"/>
        </w:rPr>
        <w:t xml:space="preserve">2,1-2,5 </w:t>
      </w:r>
      <w:r w:rsidRPr="00D84EA8">
        <w:rPr>
          <w:rFonts w:ascii="Times New Roman" w:hAnsi="Times New Roman"/>
          <w:sz w:val="28"/>
          <w:szCs w:val="28"/>
          <w:lang w:val="uk-UA"/>
        </w:rPr>
        <w:t>бала), а у 1/3 пацієнтів виявлено погану або ду</w:t>
      </w:r>
      <w:r w:rsidR="00D84EA8" w:rsidRPr="00D84EA8">
        <w:rPr>
          <w:rFonts w:ascii="Times New Roman" w:hAnsi="Times New Roman"/>
          <w:sz w:val="28"/>
          <w:szCs w:val="28"/>
          <w:lang w:val="uk-UA"/>
        </w:rPr>
        <w:t>же погану гігієну порожнини рота (</w:t>
      </w:r>
      <w:r w:rsidR="00D84EA8" w:rsidRPr="00D84EA8">
        <w:rPr>
          <w:sz w:val="28"/>
          <w:szCs w:val="28"/>
          <w:lang w:val="uk-UA"/>
        </w:rPr>
        <w:t>≥</w:t>
      </w:r>
      <w:r w:rsidR="00D84EA8" w:rsidRPr="00D84EA8">
        <w:rPr>
          <w:rFonts w:ascii="Times New Roman" w:hAnsi="Times New Roman"/>
          <w:sz w:val="28"/>
          <w:szCs w:val="28"/>
          <w:lang w:val="uk-UA"/>
        </w:rPr>
        <w:t>2,6</w:t>
      </w:r>
      <w:r w:rsidRPr="00D84EA8">
        <w:rPr>
          <w:rFonts w:ascii="Times New Roman" w:hAnsi="Times New Roman"/>
          <w:sz w:val="28"/>
          <w:szCs w:val="28"/>
          <w:lang w:val="uk-UA"/>
        </w:rPr>
        <w:t xml:space="preserve"> бала).</w:t>
      </w:r>
    </w:p>
    <w:p w:rsidR="000F78D0" w:rsidRDefault="000F78D0" w:rsidP="002E2C80">
      <w:pPr>
        <w:spacing w:line="360" w:lineRule="auto"/>
        <w:ind w:firstLine="709"/>
        <w:jc w:val="both"/>
        <w:rPr>
          <w:rFonts w:ascii="Times New Roman" w:hAnsi="Times New Roman"/>
          <w:sz w:val="28"/>
          <w:szCs w:val="28"/>
          <w:lang w:val="uk-UA"/>
        </w:rPr>
      </w:pPr>
      <w:r w:rsidRPr="00D84EA8">
        <w:rPr>
          <w:rFonts w:ascii="Times New Roman" w:hAnsi="Times New Roman"/>
          <w:sz w:val="28"/>
          <w:szCs w:val="28"/>
          <w:lang w:val="uk-UA"/>
        </w:rPr>
        <w:t xml:space="preserve">Відсутність відмінностей в гігієні </w:t>
      </w:r>
      <w:r w:rsidR="00713761">
        <w:rPr>
          <w:rFonts w:ascii="Times New Roman" w:hAnsi="Times New Roman"/>
          <w:sz w:val="28"/>
          <w:szCs w:val="28"/>
          <w:lang w:val="uk-UA"/>
        </w:rPr>
        <w:t>ПР</w:t>
      </w:r>
      <w:r w:rsidRPr="00D84EA8">
        <w:rPr>
          <w:rFonts w:ascii="Times New Roman" w:hAnsi="Times New Roman"/>
          <w:sz w:val="28"/>
          <w:szCs w:val="28"/>
          <w:lang w:val="uk-UA"/>
        </w:rPr>
        <w:t xml:space="preserve"> в групах вказує на</w:t>
      </w:r>
      <w:r>
        <w:rPr>
          <w:rFonts w:ascii="Times New Roman" w:hAnsi="Times New Roman"/>
          <w:sz w:val="28"/>
          <w:szCs w:val="28"/>
          <w:lang w:val="uk-UA"/>
        </w:rPr>
        <w:t xml:space="preserve"> те, що виявлені вище відмінності в групах відносно тяжкості запальних захворювань пародонта зумовлені саме ПМФ.</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порівнянні ступеня вираженості запалення в яснах за допомогою папілярно-маргінально-альвеолярного індексу (РМА) встановлено (табл.3.4), що легкий ступінь запалення (≤30%) відмічено у 40% </w:t>
      </w:r>
      <w:r w:rsidRPr="00AA24F2">
        <w:rPr>
          <w:rFonts w:ascii="Times New Roman" w:hAnsi="Times New Roman"/>
          <w:sz w:val="28"/>
          <w:szCs w:val="28"/>
          <w:lang w:val="uk-UA"/>
        </w:rPr>
        <w:t>дівчат-підлітків контрольної групи і дещо менше (у 30%) – у хворих основної групи</w:t>
      </w:r>
      <w:r>
        <w:rPr>
          <w:rFonts w:ascii="Times New Roman" w:hAnsi="Times New Roman"/>
          <w:sz w:val="28"/>
          <w:szCs w:val="28"/>
          <w:lang w:val="uk-UA"/>
        </w:rPr>
        <w:t xml:space="preserve"> (р&gt;0,05). Подібна тенденція встановлена і по відношенню до запалення середньої тяжкості – відповідно у 46,7% і 36,7% (р&gt;0,05). Що стосується тяжкого запалення (РМА≥61%), то воно достовірно частіше (в 2,9 разів, р&lt;0,05) визначалося у пацієнтів основної групи. </w:t>
      </w:r>
    </w:p>
    <w:p w:rsidR="000F78D0" w:rsidRPr="001664CC" w:rsidRDefault="000F78D0" w:rsidP="002E2C80">
      <w:pPr>
        <w:spacing w:line="360" w:lineRule="auto"/>
        <w:ind w:firstLine="709"/>
        <w:jc w:val="right"/>
        <w:rPr>
          <w:rFonts w:ascii="Times New Roman" w:hAnsi="Times New Roman"/>
          <w:i/>
          <w:sz w:val="28"/>
          <w:szCs w:val="28"/>
          <w:lang w:val="uk-UA"/>
        </w:rPr>
      </w:pPr>
      <w:r w:rsidRPr="001664CC">
        <w:rPr>
          <w:rFonts w:ascii="Times New Roman" w:hAnsi="Times New Roman"/>
          <w:i/>
          <w:sz w:val="28"/>
          <w:szCs w:val="28"/>
          <w:lang w:val="uk-UA"/>
        </w:rPr>
        <w:t>Таблиця 3.4</w:t>
      </w:r>
    </w:p>
    <w:p w:rsidR="000F78D0" w:rsidRDefault="000F78D0" w:rsidP="002E2C80">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згідно значень папілярно-маргінально-альвеолярного індексу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5"/>
        <w:gridCol w:w="2506"/>
        <w:gridCol w:w="1228"/>
        <w:gridCol w:w="1148"/>
        <w:gridCol w:w="1022"/>
        <w:gridCol w:w="956"/>
        <w:gridCol w:w="994"/>
      </w:tblGrid>
      <w:tr w:rsidR="000F78D0" w:rsidRPr="001336DC" w:rsidTr="000F78D0">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0"/>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F78D0">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D84EA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10"/>
              <w:jc w:val="center"/>
              <w:rPr>
                <w:rFonts w:ascii="Times New Roman" w:hAnsi="Times New Roman"/>
                <w:sz w:val="28"/>
                <w:szCs w:val="28"/>
                <w:lang w:val="uk-UA"/>
              </w:rPr>
            </w:pPr>
          </w:p>
        </w:tc>
      </w:tr>
      <w:tr w:rsidR="000F78D0" w:rsidRPr="001336DC" w:rsidTr="000F78D0">
        <w:tc>
          <w:tcPr>
            <w:tcW w:w="0" w:type="auto"/>
            <w:vMerge w:val="restart"/>
            <w:tcBorders>
              <w:top w:val="single" w:sz="4" w:space="0" w:color="auto"/>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РМА,%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0"/>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31-60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0"/>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vMerge/>
            <w:tcBorders>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61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0"/>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2E2C80">
      <w:pPr>
        <w:spacing w:line="360" w:lineRule="auto"/>
        <w:ind w:firstLine="709"/>
        <w:rPr>
          <w:rFonts w:ascii="Times New Roman" w:hAnsi="Times New Roman"/>
          <w:sz w:val="28"/>
          <w:szCs w:val="28"/>
          <w:lang w:val="uk-UA"/>
        </w:rPr>
      </w:pPr>
      <w:r>
        <w:rPr>
          <w:rFonts w:ascii="Times New Roman" w:hAnsi="Times New Roman"/>
          <w:sz w:val="28"/>
          <w:szCs w:val="28"/>
          <w:lang w:val="uk-UA"/>
        </w:rPr>
        <w:t>Примітка. *- односторонній критерій</w:t>
      </w:r>
    </w:p>
    <w:p w:rsidR="000F78D0" w:rsidRDefault="000F78D0" w:rsidP="002E2C80">
      <w:pPr>
        <w:spacing w:line="360" w:lineRule="auto"/>
        <w:ind w:firstLine="709"/>
        <w:rPr>
          <w:rFonts w:ascii="Times New Roman" w:hAnsi="Times New Roman"/>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зв’язку з тим, що при обліку запалення легкої і середньої тяжкості достовірних відмінностей між групами не встановлено, було проведено об’єднання цих градацій показника (</w:t>
      </w:r>
      <w:r w:rsidRPr="00AA24F2">
        <w:rPr>
          <w:rFonts w:ascii="Times New Roman" w:hAnsi="Times New Roman"/>
          <w:sz w:val="28"/>
          <w:szCs w:val="28"/>
          <w:lang w:val="uk-UA"/>
        </w:rPr>
        <w:t>рис</w:t>
      </w:r>
      <w:r>
        <w:rPr>
          <w:rFonts w:ascii="Times New Roman" w:hAnsi="Times New Roman"/>
          <w:sz w:val="28"/>
          <w:szCs w:val="28"/>
          <w:lang w:val="uk-UA"/>
        </w:rPr>
        <w:t xml:space="preserve">.3.5). З рис.3.5 випливає, що легкий і середньотяжкий   ступені запалення в яснах достовірно частіше (у 86,7%) діагностувалися у </w:t>
      </w:r>
      <w:r w:rsidRPr="00AA24F2">
        <w:rPr>
          <w:rFonts w:ascii="Times New Roman" w:hAnsi="Times New Roman"/>
          <w:sz w:val="28"/>
          <w:szCs w:val="28"/>
          <w:lang w:val="uk-UA"/>
        </w:rPr>
        <w:t>дівчат контрольної групи, ніж в основній групі (66,7%,р&lt;0,05), а тяжкий ступінь, як це було наведено</w:t>
      </w:r>
      <w:r>
        <w:rPr>
          <w:rFonts w:ascii="Times New Roman" w:hAnsi="Times New Roman"/>
          <w:sz w:val="28"/>
          <w:szCs w:val="28"/>
          <w:lang w:val="uk-UA"/>
        </w:rPr>
        <w:t xml:space="preserve"> вище, був характерним для хворих основної групи (р&lt;0,05). Ці дані підтверджують клінічні результати про те, що </w:t>
      </w:r>
      <w:r>
        <w:rPr>
          <w:rFonts w:ascii="Times New Roman" w:hAnsi="Times New Roman"/>
          <w:sz w:val="28"/>
          <w:szCs w:val="28"/>
          <w:lang w:val="uk-UA"/>
        </w:rPr>
        <w:lastRenderedPageBreak/>
        <w:t>ПМФ потенціює розвиток більш тяжких форм запальних захворювань пародонта в дівчат-підлітків.</w:t>
      </w:r>
    </w:p>
    <w:p w:rsidR="000F78D0" w:rsidRPr="007834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543550" cy="3200400"/>
            <wp:effectExtent l="0" t="0" r="0" b="0"/>
            <wp:docPr id="60" name="Объект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F78D0" w:rsidRDefault="000F78D0" w:rsidP="002E2C80">
      <w:pPr>
        <w:spacing w:line="360" w:lineRule="auto"/>
        <w:ind w:firstLine="426"/>
        <w:jc w:val="both"/>
        <w:rPr>
          <w:rFonts w:ascii="Times New Roman" w:hAnsi="Times New Roman"/>
          <w:sz w:val="20"/>
          <w:szCs w:val="20"/>
          <w:lang w:val="uk-UA"/>
        </w:rPr>
      </w:pPr>
      <w:r w:rsidRPr="00D84EA8">
        <w:rPr>
          <w:rFonts w:ascii="Times New Roman" w:hAnsi="Times New Roman"/>
          <w:i/>
          <w:sz w:val="28"/>
          <w:szCs w:val="28"/>
          <w:lang w:val="uk-UA"/>
        </w:rPr>
        <w:t>Рис.3.5</w:t>
      </w:r>
      <w:r w:rsidR="002E2C80">
        <w:rPr>
          <w:rFonts w:ascii="Times New Roman" w:hAnsi="Times New Roman"/>
          <w:sz w:val="28"/>
          <w:szCs w:val="28"/>
          <w:lang w:val="uk-UA"/>
        </w:rPr>
        <w:t>.</w:t>
      </w:r>
      <w:r w:rsidR="002E2C80" w:rsidRPr="002E2C80">
        <w:rPr>
          <w:rFonts w:ascii="Times New Roman" w:hAnsi="Times New Roman"/>
          <w:sz w:val="28"/>
          <w:szCs w:val="28"/>
          <w:lang w:val="ru-RU"/>
        </w:rPr>
        <w:t xml:space="preserve"> </w:t>
      </w:r>
      <w:r>
        <w:rPr>
          <w:rFonts w:ascii="Times New Roman" w:hAnsi="Times New Roman"/>
          <w:sz w:val="28"/>
          <w:szCs w:val="28"/>
          <w:lang w:val="uk-UA"/>
        </w:rPr>
        <w:t>Розподіл хворих в групах в залежності</w:t>
      </w:r>
      <w:r w:rsidR="002E2C80">
        <w:rPr>
          <w:rFonts w:ascii="Times New Roman" w:hAnsi="Times New Roman"/>
          <w:sz w:val="28"/>
          <w:szCs w:val="28"/>
          <w:lang w:val="uk-UA"/>
        </w:rPr>
        <w:t xml:space="preserve"> від тяжкості запалення в яснах</w:t>
      </w:r>
      <w:r w:rsidR="002E2C80" w:rsidRPr="002E2C80">
        <w:rPr>
          <w:rFonts w:ascii="Times New Roman" w:hAnsi="Times New Roman"/>
          <w:sz w:val="28"/>
          <w:szCs w:val="28"/>
          <w:lang w:val="ru-RU"/>
        </w:rPr>
        <w:t>.</w:t>
      </w:r>
      <w:r>
        <w:rPr>
          <w:rFonts w:ascii="Times New Roman" w:hAnsi="Times New Roman"/>
          <w:sz w:val="28"/>
          <w:szCs w:val="28"/>
          <w:lang w:val="uk-UA"/>
        </w:rPr>
        <w:t xml:space="preserve"> </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індексу кровоточивості (табл.3.5) встановлено, що в контролі кровоточивість була відсутня у 60% </w:t>
      </w:r>
      <w:r w:rsidRPr="00AA24F2">
        <w:rPr>
          <w:rFonts w:ascii="Times New Roman" w:hAnsi="Times New Roman"/>
          <w:sz w:val="28"/>
          <w:szCs w:val="28"/>
          <w:lang w:val="uk-UA"/>
        </w:rPr>
        <w:t>дівчат</w:t>
      </w:r>
      <w:r>
        <w:rPr>
          <w:rFonts w:ascii="Times New Roman" w:hAnsi="Times New Roman"/>
          <w:sz w:val="28"/>
          <w:szCs w:val="28"/>
          <w:lang w:val="uk-UA"/>
        </w:rPr>
        <w:t>, а в основній групі в 2,6 раз</w:t>
      </w:r>
      <w:r w:rsidRPr="00AA24F2">
        <w:rPr>
          <w:rFonts w:ascii="Times New Roman" w:hAnsi="Times New Roman"/>
          <w:sz w:val="28"/>
          <w:szCs w:val="28"/>
          <w:lang w:val="uk-UA"/>
        </w:rPr>
        <w:t>а</w:t>
      </w:r>
      <w:r>
        <w:rPr>
          <w:rFonts w:ascii="Times New Roman" w:hAnsi="Times New Roman"/>
          <w:sz w:val="28"/>
          <w:szCs w:val="28"/>
          <w:lang w:val="uk-UA"/>
        </w:rPr>
        <w:t xml:space="preserve"> рідше (23,3%, р&lt;0,01). </w:t>
      </w:r>
    </w:p>
    <w:p w:rsidR="000F78D0" w:rsidRPr="00D84EA8" w:rsidRDefault="000F78D0" w:rsidP="002E2C80">
      <w:pPr>
        <w:spacing w:line="360" w:lineRule="auto"/>
        <w:ind w:firstLine="709"/>
        <w:jc w:val="right"/>
        <w:rPr>
          <w:rFonts w:ascii="Times New Roman" w:hAnsi="Times New Roman"/>
          <w:i/>
          <w:sz w:val="28"/>
          <w:szCs w:val="28"/>
          <w:lang w:val="uk-UA"/>
        </w:rPr>
      </w:pPr>
      <w:r w:rsidRPr="00D84EA8">
        <w:rPr>
          <w:rFonts w:ascii="Times New Roman" w:hAnsi="Times New Roman"/>
          <w:i/>
          <w:sz w:val="28"/>
          <w:szCs w:val="28"/>
          <w:lang w:val="uk-UA"/>
        </w:rPr>
        <w:t>Таблиця 3.5</w:t>
      </w:r>
    </w:p>
    <w:p w:rsidR="000F78D0" w:rsidRDefault="000F78D0" w:rsidP="002E2C80">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значень індексу кровоточивості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2"/>
        <w:gridCol w:w="2135"/>
        <w:gridCol w:w="1095"/>
        <w:gridCol w:w="1024"/>
        <w:gridCol w:w="929"/>
        <w:gridCol w:w="869"/>
        <w:gridCol w:w="1004"/>
      </w:tblGrid>
      <w:tr w:rsidR="000F78D0" w:rsidRPr="001336DC" w:rsidTr="000F78D0">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5"/>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F78D0">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D84EA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35"/>
              <w:jc w:val="center"/>
              <w:rPr>
                <w:rFonts w:ascii="Times New Roman" w:hAnsi="Times New Roman"/>
                <w:sz w:val="28"/>
                <w:szCs w:val="28"/>
                <w:lang w:val="uk-UA"/>
              </w:rPr>
            </w:pPr>
          </w:p>
        </w:tc>
      </w:tr>
      <w:tr w:rsidR="000F78D0" w:rsidRPr="001336DC" w:rsidTr="000F78D0">
        <w:tc>
          <w:tcPr>
            <w:tcW w:w="0" w:type="auto"/>
            <w:vMerge w:val="restart"/>
            <w:tcBorders>
              <w:top w:val="single" w:sz="4" w:space="0" w:color="auto"/>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r w:rsidRPr="001336DC">
              <w:rPr>
                <w:rFonts w:ascii="Times New Roman" w:hAnsi="Times New Roman"/>
                <w:sz w:val="28"/>
                <w:szCs w:val="28"/>
                <w:lang w:val="uk-UA"/>
              </w:rPr>
              <w:t>Індекс кровоточивості, бали</w:t>
            </w:r>
          </w:p>
          <w:p w:rsidR="000F78D0" w:rsidRPr="001336DC" w:rsidRDefault="000F78D0" w:rsidP="00D84EA8">
            <w:pPr>
              <w:jc w:val="cente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5"/>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0F78D0">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5"/>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0F78D0">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5"/>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rPr>
          <w:trHeight w:val="252"/>
        </w:trPr>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5"/>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vMerge/>
            <w:tcBorders>
              <w:left w:val="single" w:sz="4" w:space="0" w:color="auto"/>
              <w:right w:val="single" w:sz="4" w:space="0" w:color="auto"/>
            </w:tcBorders>
            <w:hideMark/>
          </w:tcPr>
          <w:p w:rsidR="000F78D0" w:rsidRPr="001336DC" w:rsidRDefault="000F78D0" w:rsidP="00D84EA8">
            <w:pPr>
              <w:jc w:val="both"/>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8"/>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5"/>
              <w:jc w:val="center"/>
              <w:rPr>
                <w:rFonts w:ascii="Times New Roman" w:hAnsi="Times New Roman"/>
                <w:sz w:val="28"/>
                <w:szCs w:val="28"/>
                <w:lang w:val="uk-UA"/>
              </w:rPr>
            </w:pPr>
            <w:r w:rsidRPr="001336DC">
              <w:rPr>
                <w:rFonts w:ascii="Times New Roman" w:hAnsi="Times New Roman"/>
                <w:sz w:val="28"/>
                <w:szCs w:val="28"/>
                <w:lang w:val="uk-UA"/>
              </w:rPr>
              <w:t>&gt;0,05</w:t>
            </w:r>
          </w:p>
        </w:tc>
      </w:tr>
    </w:tbl>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Примітка. * - однобічний критерій.</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Окремі точкові кровотечі (1 бал) в 1,7 ра</w:t>
      </w:r>
      <w:r w:rsidRPr="00AA24F2">
        <w:rPr>
          <w:rFonts w:ascii="Times New Roman" w:hAnsi="Times New Roman"/>
          <w:sz w:val="28"/>
          <w:szCs w:val="28"/>
          <w:lang w:val="uk-UA"/>
        </w:rPr>
        <w:t>за</w:t>
      </w:r>
      <w:r>
        <w:rPr>
          <w:rFonts w:ascii="Times New Roman" w:hAnsi="Times New Roman"/>
          <w:sz w:val="28"/>
          <w:szCs w:val="28"/>
          <w:lang w:val="uk-UA"/>
        </w:rPr>
        <w:t xml:space="preserve"> частіше (р&lt;0,05) діагностувалися в основній групі, ніж в контрольній. Що стосується виражених проявів кровоточивості судин ясен (2, 3 і 4 бали), то виявлено тенденцію в більшій частці таких хворих в основній групі, ніж в контролі (р&gt;0,05). У зв’язку з тим, що за </w:t>
      </w:r>
      <w:r>
        <w:rPr>
          <w:rFonts w:ascii="Times New Roman" w:hAnsi="Times New Roman"/>
          <w:sz w:val="28"/>
          <w:szCs w:val="28"/>
          <w:lang w:val="uk-UA"/>
        </w:rPr>
        <w:lastRenderedPageBreak/>
        <w:t xml:space="preserve">окремими градаціями індексу (2, 3 і 4 бали)  достовірних відмінностей між групами не встановлено, було проведено поєднання цих градацій </w:t>
      </w:r>
      <w:r w:rsidRPr="00AA24F2">
        <w:rPr>
          <w:rFonts w:ascii="Times New Roman" w:hAnsi="Times New Roman"/>
          <w:sz w:val="28"/>
          <w:szCs w:val="28"/>
          <w:lang w:val="uk-UA"/>
        </w:rPr>
        <w:t>(рис. 3</w:t>
      </w:r>
      <w:r>
        <w:rPr>
          <w:rFonts w:ascii="Times New Roman" w:hAnsi="Times New Roman"/>
          <w:sz w:val="28"/>
          <w:szCs w:val="28"/>
          <w:lang w:val="uk-UA"/>
        </w:rPr>
        <w:t>.6).</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543550" cy="3200400"/>
            <wp:effectExtent l="0" t="0" r="0" b="0"/>
            <wp:docPr id="59" name="Объект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F78D0" w:rsidRPr="007834D0" w:rsidRDefault="00D84EA8" w:rsidP="002E2C80">
      <w:pPr>
        <w:spacing w:line="360" w:lineRule="auto"/>
        <w:ind w:firstLine="709"/>
        <w:jc w:val="both"/>
        <w:rPr>
          <w:rFonts w:ascii="Times New Roman" w:hAnsi="Times New Roman"/>
          <w:sz w:val="20"/>
          <w:szCs w:val="20"/>
          <w:lang w:val="uk-UA"/>
        </w:rPr>
      </w:pPr>
      <w:r w:rsidRPr="00D84EA8">
        <w:rPr>
          <w:rFonts w:ascii="Times New Roman" w:hAnsi="Times New Roman"/>
          <w:i/>
          <w:sz w:val="28"/>
          <w:szCs w:val="28"/>
          <w:lang w:val="uk-UA"/>
        </w:rPr>
        <w:t>Рис</w:t>
      </w:r>
      <w:r w:rsidR="000F78D0" w:rsidRPr="00D84EA8">
        <w:rPr>
          <w:rFonts w:ascii="Times New Roman" w:hAnsi="Times New Roman"/>
          <w:i/>
          <w:sz w:val="28"/>
          <w:szCs w:val="28"/>
          <w:lang w:val="uk-UA"/>
        </w:rPr>
        <w:t>.3.6</w:t>
      </w:r>
      <w:r w:rsidR="000F78D0">
        <w:rPr>
          <w:rFonts w:ascii="Times New Roman" w:hAnsi="Times New Roman"/>
          <w:sz w:val="28"/>
          <w:szCs w:val="28"/>
          <w:lang w:val="uk-UA"/>
        </w:rPr>
        <w:t>. Частка хворих в групах зі значенням індексу кровоточивості 2, 3 і 4 бали</w:t>
      </w:r>
      <w:r>
        <w:rPr>
          <w:rFonts w:ascii="Times New Roman" w:hAnsi="Times New Roman"/>
          <w:sz w:val="28"/>
          <w:szCs w:val="28"/>
          <w:lang w:val="uk-UA"/>
        </w:rPr>
        <w:t>.</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w:t>
      </w:r>
      <w:r w:rsidRPr="00AA24F2">
        <w:rPr>
          <w:rFonts w:ascii="Times New Roman" w:hAnsi="Times New Roman"/>
          <w:sz w:val="28"/>
          <w:szCs w:val="28"/>
          <w:lang w:val="uk-UA"/>
        </w:rPr>
        <w:t>рис.</w:t>
      </w:r>
      <w:r>
        <w:rPr>
          <w:rFonts w:ascii="Times New Roman" w:hAnsi="Times New Roman"/>
          <w:sz w:val="28"/>
          <w:szCs w:val="28"/>
          <w:lang w:val="uk-UA"/>
        </w:rPr>
        <w:t>3.6 видно, що в контролі частка таких хворих незначна і склала 6,7%, а в основній групі - в 3 рази більше (19,9%; р&gt;0,05).</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ПМФ суттєво посилює активність запалення в тканинах пародонта, потенціюючи при цьому патологічні процеси в судинному руслі ясен, що проявляються підвищеною кровоточивістю.</w:t>
      </w:r>
      <w:r w:rsidRPr="00490500">
        <w:rPr>
          <w:rFonts w:ascii="Times New Roman" w:hAnsi="Times New Roman"/>
          <w:sz w:val="28"/>
          <w:szCs w:val="28"/>
          <w:lang w:val="uk-UA"/>
        </w:rPr>
        <w:t xml:space="preserve"> </w:t>
      </w:r>
    </w:p>
    <w:p w:rsidR="00D84EA8" w:rsidRDefault="00D84EA8" w:rsidP="002E2C80">
      <w:pPr>
        <w:spacing w:line="360" w:lineRule="auto"/>
        <w:ind w:firstLine="709"/>
        <w:jc w:val="both"/>
        <w:rPr>
          <w:rFonts w:ascii="Times New Roman" w:hAnsi="Times New Roman"/>
          <w:sz w:val="28"/>
          <w:szCs w:val="28"/>
          <w:lang w:val="uk-UA"/>
        </w:rPr>
      </w:pPr>
    </w:p>
    <w:p w:rsidR="00D84EA8" w:rsidRDefault="005B735F" w:rsidP="005B735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000F78D0">
        <w:rPr>
          <w:rFonts w:ascii="Times New Roman" w:hAnsi="Times New Roman"/>
          <w:sz w:val="28"/>
          <w:szCs w:val="28"/>
          <w:lang w:val="uk-UA"/>
        </w:rPr>
        <w:t xml:space="preserve"> ПМФ сприяє розвитку більш тяжких форм запальних захворювань пародонта у дівчат-підлітків, а саме: гіпертрофічного гінгівіту і хронічного пародонтита.  Серед хворих з хронічним катаральним гінгівітом середньо тяжкий і тяжкий його перебіг мав місце у 80% хворих основної групи і в два рази рідше (40%) в контролі.</w:t>
      </w:r>
      <w:r>
        <w:rPr>
          <w:rFonts w:ascii="Times New Roman" w:hAnsi="Times New Roman"/>
          <w:sz w:val="28"/>
          <w:szCs w:val="28"/>
          <w:lang w:val="uk-UA"/>
        </w:rPr>
        <w:t xml:space="preserve"> </w:t>
      </w:r>
      <w:r w:rsidR="000F78D0">
        <w:rPr>
          <w:rFonts w:ascii="Times New Roman" w:hAnsi="Times New Roman"/>
          <w:sz w:val="28"/>
          <w:szCs w:val="28"/>
          <w:lang w:val="uk-UA"/>
        </w:rPr>
        <w:t>У дівчат-підлітків з ПМФ встановлені більш виражені (р&lt;0,05) прояви запального процесу в тканинах пародонта за даними папілярно-маргінально-альвеолярного індексу і індексу кровоточивості.</w:t>
      </w:r>
    </w:p>
    <w:p w:rsidR="005B735F" w:rsidRDefault="005B735F" w:rsidP="002E2C80">
      <w:pPr>
        <w:spacing w:line="360" w:lineRule="auto"/>
        <w:ind w:firstLine="709"/>
        <w:jc w:val="center"/>
        <w:rPr>
          <w:rFonts w:ascii="Times New Roman" w:hAnsi="Times New Roman"/>
          <w:b/>
          <w:sz w:val="28"/>
          <w:szCs w:val="28"/>
          <w:lang w:val="uk-UA"/>
        </w:rPr>
      </w:pPr>
    </w:p>
    <w:p w:rsidR="005B735F" w:rsidRDefault="005B735F" w:rsidP="002E2C80">
      <w:pPr>
        <w:spacing w:line="360" w:lineRule="auto"/>
        <w:ind w:firstLine="709"/>
        <w:jc w:val="center"/>
        <w:rPr>
          <w:rFonts w:ascii="Times New Roman" w:hAnsi="Times New Roman"/>
          <w:b/>
          <w:sz w:val="28"/>
          <w:szCs w:val="28"/>
          <w:lang w:val="uk-UA"/>
        </w:rPr>
      </w:pPr>
    </w:p>
    <w:p w:rsidR="000F78D0" w:rsidRPr="00D84EA8" w:rsidRDefault="000F78D0" w:rsidP="002E2C80">
      <w:pPr>
        <w:spacing w:line="360" w:lineRule="auto"/>
        <w:ind w:firstLine="709"/>
        <w:jc w:val="center"/>
        <w:rPr>
          <w:rFonts w:ascii="Times New Roman" w:hAnsi="Times New Roman"/>
          <w:b/>
          <w:sz w:val="28"/>
          <w:szCs w:val="28"/>
          <w:lang w:val="uk-UA"/>
        </w:rPr>
      </w:pPr>
      <w:r w:rsidRPr="00D84EA8">
        <w:rPr>
          <w:rFonts w:ascii="Times New Roman" w:hAnsi="Times New Roman"/>
          <w:b/>
          <w:sz w:val="28"/>
          <w:szCs w:val="28"/>
          <w:lang w:val="uk-UA"/>
        </w:rPr>
        <w:lastRenderedPageBreak/>
        <w:t>РОЗДІЛ 4</w:t>
      </w:r>
    </w:p>
    <w:p w:rsidR="00D84EA8" w:rsidRPr="00D84EA8" w:rsidRDefault="00D84EA8" w:rsidP="002E2C80">
      <w:pPr>
        <w:spacing w:line="360" w:lineRule="auto"/>
        <w:ind w:firstLine="709"/>
        <w:jc w:val="center"/>
        <w:rPr>
          <w:rFonts w:ascii="Times New Roman" w:hAnsi="Times New Roman"/>
          <w:b/>
          <w:sz w:val="28"/>
          <w:szCs w:val="28"/>
          <w:lang w:val="uk-UA"/>
        </w:rPr>
      </w:pPr>
    </w:p>
    <w:p w:rsidR="000F78D0" w:rsidRPr="00D84EA8" w:rsidRDefault="000F78D0" w:rsidP="002E2C80">
      <w:pPr>
        <w:spacing w:line="360" w:lineRule="auto"/>
        <w:ind w:firstLine="709"/>
        <w:jc w:val="center"/>
        <w:rPr>
          <w:rFonts w:ascii="Times New Roman" w:hAnsi="Times New Roman"/>
          <w:b/>
          <w:sz w:val="28"/>
          <w:szCs w:val="28"/>
          <w:lang w:val="uk-UA"/>
        </w:rPr>
      </w:pPr>
      <w:r w:rsidRPr="00D84EA8">
        <w:rPr>
          <w:rFonts w:ascii="Times New Roman" w:hAnsi="Times New Roman"/>
          <w:b/>
          <w:sz w:val="28"/>
          <w:szCs w:val="28"/>
          <w:lang w:val="uk-UA"/>
        </w:rPr>
        <w:t>РЕЗУЛЬТАТИ ДОДАТКОВИХ МЕТОДІВ ДОСЛІДЖЕННЯ</w:t>
      </w:r>
    </w:p>
    <w:p w:rsidR="00D84EA8" w:rsidRPr="00D84EA8" w:rsidRDefault="00D84EA8" w:rsidP="002E2C80">
      <w:pPr>
        <w:spacing w:line="360" w:lineRule="auto"/>
        <w:ind w:firstLine="709"/>
        <w:jc w:val="center"/>
        <w:rPr>
          <w:rFonts w:ascii="Times New Roman" w:hAnsi="Times New Roman"/>
          <w:b/>
          <w:sz w:val="28"/>
          <w:szCs w:val="28"/>
          <w:lang w:val="uk-UA"/>
        </w:rPr>
      </w:pPr>
    </w:p>
    <w:p w:rsidR="000F78D0" w:rsidRPr="00D84EA8" w:rsidRDefault="000F78D0" w:rsidP="002E2C80">
      <w:pPr>
        <w:spacing w:line="360" w:lineRule="auto"/>
        <w:ind w:firstLine="709"/>
        <w:jc w:val="both"/>
        <w:rPr>
          <w:rFonts w:ascii="Times New Roman" w:hAnsi="Times New Roman"/>
          <w:b/>
          <w:sz w:val="28"/>
          <w:szCs w:val="28"/>
          <w:lang w:val="uk-UA"/>
        </w:rPr>
      </w:pPr>
      <w:r w:rsidRPr="00D84EA8">
        <w:rPr>
          <w:rFonts w:ascii="Times New Roman" w:hAnsi="Times New Roman"/>
          <w:b/>
          <w:sz w:val="28"/>
          <w:szCs w:val="28"/>
          <w:lang w:val="uk-UA"/>
        </w:rPr>
        <w:t>4.1. Результати цитологічного дослідження</w:t>
      </w:r>
    </w:p>
    <w:p w:rsidR="000F78D0" w:rsidRPr="007A624C"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цитологічного дослідження з відбитків ясен в групах наведені в табл</w:t>
      </w:r>
      <w:r w:rsidR="002653A6">
        <w:rPr>
          <w:rFonts w:ascii="Times New Roman" w:hAnsi="Times New Roman"/>
          <w:sz w:val="28"/>
          <w:szCs w:val="28"/>
          <w:lang w:val="uk-UA"/>
        </w:rPr>
        <w:t>. 4.1. З таблиці 4.1</w:t>
      </w:r>
      <w:r>
        <w:rPr>
          <w:rFonts w:ascii="Times New Roman" w:hAnsi="Times New Roman"/>
          <w:sz w:val="28"/>
          <w:szCs w:val="28"/>
          <w:lang w:val="uk-UA"/>
        </w:rPr>
        <w:t xml:space="preserve"> </w:t>
      </w:r>
      <w:r w:rsidRPr="007A624C">
        <w:rPr>
          <w:rFonts w:ascii="Times New Roman" w:hAnsi="Times New Roman"/>
          <w:sz w:val="28"/>
          <w:szCs w:val="28"/>
          <w:lang w:val="uk-UA"/>
        </w:rPr>
        <w:t>витікає, що в контрольній групі в порівнянні з здоровими відмічено</w:t>
      </w:r>
      <w:r>
        <w:rPr>
          <w:rFonts w:ascii="Times New Roman" w:hAnsi="Times New Roman"/>
          <w:sz w:val="28"/>
          <w:szCs w:val="28"/>
          <w:lang w:val="uk-UA"/>
        </w:rPr>
        <w:t xml:space="preserve"> достовірне зниження на 34,2% (р&lt;0,01) кількості без’ядерних ороговілих клітин і на 42,3% (р&lt;0,001) непошкоджених моноцитів, а також збільшення кількості епітеліальних клітин з вакуолізованою цитоплазмою (в 3,9 </w:t>
      </w:r>
      <w:r w:rsidRPr="007A624C">
        <w:rPr>
          <w:rFonts w:ascii="Times New Roman" w:hAnsi="Times New Roman"/>
          <w:sz w:val="28"/>
          <w:szCs w:val="28"/>
          <w:lang w:val="uk-UA"/>
        </w:rPr>
        <w:t>раза, р&lt;0,001), з деформованим ядром (в 3,3 раза, р&lt;0,001) і контамінованих мікроорганізмами (в 2,8 раза, р&lt;0,001). Крім того, виявлено збільшення в 2,9 раза (&lt;0,001) поліморфноядерних лейкоцитів і тенденцію до зниження (в 1,2 раза; р&gt;0,05) ядровмісних клітин.</w:t>
      </w:r>
    </w:p>
    <w:p w:rsidR="000F78D0" w:rsidRDefault="000F78D0" w:rsidP="002E2C80">
      <w:pPr>
        <w:spacing w:line="360" w:lineRule="auto"/>
        <w:ind w:firstLine="709"/>
        <w:jc w:val="both"/>
        <w:rPr>
          <w:rFonts w:ascii="Times New Roman" w:hAnsi="Times New Roman"/>
          <w:sz w:val="28"/>
          <w:szCs w:val="28"/>
          <w:lang w:val="uk-UA"/>
        </w:rPr>
      </w:pPr>
      <w:r w:rsidRPr="007A624C">
        <w:rPr>
          <w:rFonts w:ascii="Times New Roman" w:hAnsi="Times New Roman"/>
          <w:sz w:val="28"/>
          <w:szCs w:val="28"/>
          <w:lang w:val="uk-UA"/>
        </w:rPr>
        <w:t>У хворих основної групи у порівнянні з нормативом виявлено достовірне зниження ядровмісних клітин в 1,4 раза (р&lt;0,001), без’ядерних ороговілих клітин в 1,9 раза (р&lt;0,001), і збільшення поліморфноядерних лейкоцитів в 3,5 рази (р&lt;0,001), непошкоджених моноцитів в 2 рази (р&lt;0,001), а також епітеліальних клітин: з вакуолізованою цитоплазмою в 5,2 раза (р&lt;0,001), з деформованим ядром в 4,3 раза (р&lt;0,001), і контамінованих мікроорганізмами в 3,8 раза (р&lt;0,001).</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порівнянні основної і контрольної групи виявлено, що в останній мало місце достовірне зниження кількості ядровмісних клітин на 17,1% (р&lt;0,05), без’ядерних зроговілих клітин на 18,7% (р&lt;0,05) і тенденція до зниження кількості непошкоджених моноцитів на 12,8% (р&gt;0,05). Крім того, в основній групі порівняно з контролем встановлено збільшення епітеліальних клітин з вакуолізованою цитоплазмою на 31,4% (р&lt;0,05), з деформованим ядром на 30,6% (р&lt;0,01) і контамінованих мікроорганізмами  на 38,6% (р&lt;0,001). Кількість поліморфноядерних лейкоцитів в основній групі на 20% (р&lt;0,001) перевищувала відповідну у контролі.</w:t>
      </w:r>
    </w:p>
    <w:p w:rsidR="000F78D0" w:rsidRPr="00BD4FE3" w:rsidRDefault="002653A6" w:rsidP="00AC605C">
      <w:pPr>
        <w:spacing w:line="360" w:lineRule="auto"/>
        <w:ind w:firstLine="426"/>
        <w:jc w:val="right"/>
        <w:rPr>
          <w:rFonts w:ascii="Times New Roman" w:hAnsi="Times New Roman"/>
          <w:i/>
          <w:sz w:val="28"/>
          <w:szCs w:val="28"/>
          <w:lang w:val="ru-RU"/>
        </w:rPr>
      </w:pPr>
      <w:r>
        <w:rPr>
          <w:rFonts w:ascii="Times New Roman" w:hAnsi="Times New Roman"/>
          <w:i/>
          <w:sz w:val="28"/>
          <w:szCs w:val="28"/>
          <w:lang w:val="uk-UA"/>
        </w:rPr>
        <w:lastRenderedPageBreak/>
        <w:t>Таблиця 4.1</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Характеристика епітелію ясен в групах за даними цитограм (М+</w:t>
      </w:r>
      <w:r>
        <w:rPr>
          <w:rFonts w:ascii="Times New Roman" w:hAnsi="Times New Roman"/>
          <w:sz w:val="28"/>
          <w:szCs w:val="28"/>
        </w:rPr>
        <w:t>m</w:t>
      </w:r>
      <w:r>
        <w:rPr>
          <w:rFonts w:ascii="Times New Roman" w:hAnsi="Times New Roman"/>
          <w:sz w:val="28"/>
          <w:szCs w:val="28"/>
          <w:lang w:val="uk-UA"/>
        </w:rPr>
        <w:t>)</w:t>
      </w:r>
    </w:p>
    <w:tbl>
      <w:tblPr>
        <w:tblW w:w="9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3419"/>
        <w:gridCol w:w="1635"/>
        <w:gridCol w:w="1805"/>
        <w:gridCol w:w="2075"/>
      </w:tblGrid>
      <w:tr w:rsidR="000F78D0" w:rsidRPr="001336DC" w:rsidTr="00B658ED">
        <w:tc>
          <w:tcPr>
            <w:tcW w:w="817" w:type="dxa"/>
          </w:tcPr>
          <w:p w:rsidR="000F78D0" w:rsidRPr="001336DC" w:rsidRDefault="000F78D0" w:rsidP="00B658ED">
            <w:pPr>
              <w:pStyle w:val="aa"/>
              <w:ind w:left="0"/>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 xml:space="preserve">Показники </w:t>
            </w:r>
          </w:p>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Од/поле зору</w:t>
            </w:r>
          </w:p>
        </w:tc>
        <w:tc>
          <w:tcPr>
            <w:tcW w:w="0" w:type="auto"/>
          </w:tcPr>
          <w:p w:rsidR="000F78D0" w:rsidRPr="001336DC" w:rsidRDefault="000F78D0" w:rsidP="00036E27">
            <w:pPr>
              <w:jc w:val="center"/>
              <w:rPr>
                <w:rFonts w:ascii="Times New Roman" w:hAnsi="Times New Roman"/>
                <w:sz w:val="28"/>
                <w:szCs w:val="28"/>
                <w:lang w:val="uk-UA"/>
              </w:rPr>
            </w:pPr>
            <w:r w:rsidRPr="001336DC">
              <w:rPr>
                <w:rFonts w:ascii="Times New Roman" w:hAnsi="Times New Roman"/>
                <w:sz w:val="28"/>
                <w:szCs w:val="28"/>
                <w:lang w:val="uk-UA"/>
              </w:rPr>
              <w:t xml:space="preserve">Здорові, </w:t>
            </w:r>
            <w:r w:rsidRPr="001336DC">
              <w:rPr>
                <w:rFonts w:ascii="Times New Roman" w:hAnsi="Times New Roman"/>
                <w:sz w:val="28"/>
                <w:szCs w:val="28"/>
              </w:rPr>
              <w:t>n</w:t>
            </w:r>
            <w:r w:rsidRPr="001336DC">
              <w:rPr>
                <w:rFonts w:ascii="Times New Roman" w:hAnsi="Times New Roman"/>
                <w:sz w:val="28"/>
                <w:szCs w:val="28"/>
                <w:lang w:val="uk-UA"/>
              </w:rPr>
              <w:t>=10</w:t>
            </w:r>
          </w:p>
        </w:tc>
        <w:tc>
          <w:tcPr>
            <w:tcW w:w="0" w:type="auto"/>
          </w:tcPr>
          <w:p w:rsidR="000F78D0" w:rsidRPr="001336DC" w:rsidRDefault="000F78D0" w:rsidP="00036E27">
            <w:pPr>
              <w:jc w:val="center"/>
              <w:rPr>
                <w:rFonts w:ascii="Times New Roman" w:hAnsi="Times New Roman"/>
                <w:sz w:val="28"/>
                <w:szCs w:val="28"/>
                <w:lang w:val="uk-UA"/>
              </w:rPr>
            </w:pPr>
            <w:r w:rsidRPr="001336DC">
              <w:rPr>
                <w:rFonts w:ascii="Times New Roman" w:hAnsi="Times New Roman"/>
                <w:sz w:val="28"/>
                <w:szCs w:val="28"/>
                <w:lang w:val="uk-UA"/>
              </w:rPr>
              <w:t xml:space="preserve">Контроль, </w:t>
            </w:r>
            <w:r w:rsidRPr="001336DC">
              <w:rPr>
                <w:rFonts w:ascii="Times New Roman" w:hAnsi="Times New Roman"/>
                <w:sz w:val="28"/>
                <w:szCs w:val="28"/>
              </w:rPr>
              <w:t>n</w:t>
            </w:r>
            <w:r w:rsidRPr="001336DC">
              <w:rPr>
                <w:rFonts w:ascii="Times New Roman" w:hAnsi="Times New Roman"/>
                <w:sz w:val="28"/>
                <w:szCs w:val="28"/>
                <w:lang w:val="uk-UA"/>
              </w:rPr>
              <w:t>=30</w:t>
            </w:r>
          </w:p>
        </w:tc>
        <w:tc>
          <w:tcPr>
            <w:tcW w:w="0" w:type="auto"/>
          </w:tcPr>
          <w:p w:rsidR="000F78D0" w:rsidRPr="001336DC" w:rsidRDefault="000F78D0" w:rsidP="00036E27">
            <w:pPr>
              <w:jc w:val="center"/>
              <w:rPr>
                <w:rFonts w:ascii="Times New Roman" w:hAnsi="Times New Roman"/>
                <w:sz w:val="28"/>
                <w:szCs w:val="28"/>
                <w:lang w:val="uk-UA"/>
              </w:rPr>
            </w:pPr>
            <w:r w:rsidRPr="001336DC">
              <w:rPr>
                <w:rFonts w:ascii="Times New Roman" w:hAnsi="Times New Roman"/>
                <w:sz w:val="28"/>
                <w:szCs w:val="28"/>
                <w:lang w:val="uk-UA"/>
              </w:rPr>
              <w:t xml:space="preserve">Основна група, </w:t>
            </w:r>
            <w:r w:rsidRPr="001336DC">
              <w:rPr>
                <w:rFonts w:ascii="Times New Roman" w:hAnsi="Times New Roman"/>
                <w:sz w:val="28"/>
                <w:szCs w:val="28"/>
              </w:rPr>
              <w:t>n</w:t>
            </w:r>
            <w:r w:rsidRPr="001336DC">
              <w:rPr>
                <w:rFonts w:ascii="Times New Roman" w:hAnsi="Times New Roman"/>
                <w:sz w:val="28"/>
                <w:szCs w:val="28"/>
                <w:lang w:val="uk-UA"/>
              </w:rPr>
              <w:t>=30</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Ядровмісні клітини</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36,8±2,31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32,9±2,0</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&gt;0,05</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27,3 ±1,51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 xml:space="preserve"> &lt;0,05</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 xml:space="preserve">Без’ядерні ороговілі клітини </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46,3 ±4,30</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30,5 ±1,93</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24,8 ±1,43</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 xml:space="preserve"> &lt;0,0</w:t>
            </w:r>
            <w:r w:rsidRPr="001336DC">
              <w:rPr>
                <w:rFonts w:ascii="Times New Roman" w:hAnsi="Times New Roman"/>
                <w:sz w:val="28"/>
                <w:szCs w:val="28"/>
              </w:rPr>
              <w:t>5</w:t>
            </w:r>
          </w:p>
        </w:tc>
      </w:tr>
      <w:tr w:rsidR="000F78D0" w:rsidRPr="00C21F54" w:rsidTr="00B658ED">
        <w:tc>
          <w:tcPr>
            <w:tcW w:w="9751" w:type="dxa"/>
            <w:gridSpan w:val="5"/>
          </w:tcPr>
          <w:p w:rsidR="000F78D0" w:rsidRPr="001336DC" w:rsidRDefault="000F78D0" w:rsidP="00036E27">
            <w:pPr>
              <w:jc w:val="center"/>
              <w:rPr>
                <w:rFonts w:ascii="Times New Roman" w:hAnsi="Times New Roman"/>
                <w:sz w:val="28"/>
                <w:szCs w:val="28"/>
                <w:lang w:val="uk-UA"/>
              </w:rPr>
            </w:pPr>
            <w:r w:rsidRPr="001336DC">
              <w:rPr>
                <w:rFonts w:ascii="Times New Roman" w:hAnsi="Times New Roman"/>
                <w:sz w:val="28"/>
                <w:szCs w:val="28"/>
                <w:lang w:val="uk-UA"/>
              </w:rPr>
              <w:t>Епітеліальні клітини з ознаками цитопатології</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З вакуолізованою цитоплазмою</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0,13 ±0,01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0,51 ±0,04</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0,67 ±0,05</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 xml:space="preserve"> &lt;0,0</w:t>
            </w:r>
            <w:r w:rsidRPr="001336DC">
              <w:rPr>
                <w:rFonts w:ascii="Times New Roman" w:hAnsi="Times New Roman"/>
                <w:sz w:val="28"/>
                <w:szCs w:val="28"/>
              </w:rPr>
              <w:t>5</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З деформованим ядром</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0,15 ±0,02</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0,49 ±0,03</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0,64 ±0,04</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 xml:space="preserve"> &lt;0,0</w:t>
            </w:r>
            <w:r w:rsidRPr="001336DC">
              <w:rPr>
                <w:rFonts w:ascii="Times New Roman" w:hAnsi="Times New Roman"/>
                <w:sz w:val="28"/>
                <w:szCs w:val="28"/>
              </w:rPr>
              <w:t>1</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Контаміновані мікроорганізмами</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0,16 ±0,01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0,44 ±0,03</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0,61 ±0,04</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ПМЯЛ</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7,35 ±0,29</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21,4 ±0,50</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25,7 ±0,79</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Непошкоджені моноцити</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2,58 ±0,20</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1,49 ±0,14</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1,30 ±0,11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p1</w:t>
            </w:r>
            <w:r w:rsidRPr="001336DC">
              <w:rPr>
                <w:rFonts w:ascii="Times New Roman" w:hAnsi="Times New Roman"/>
                <w:sz w:val="28"/>
                <w:szCs w:val="28"/>
                <w:lang w:val="uk-UA"/>
              </w:rPr>
              <w:t>&gt;0,05</w:t>
            </w:r>
          </w:p>
        </w:tc>
      </w:tr>
      <w:tr w:rsidR="000F78D0" w:rsidRPr="001336DC" w:rsidTr="00B658ED">
        <w:tc>
          <w:tcPr>
            <w:tcW w:w="817" w:type="dxa"/>
          </w:tcPr>
          <w:p w:rsidR="000F78D0" w:rsidRPr="001336DC" w:rsidRDefault="000F78D0" w:rsidP="00B658ED">
            <w:pPr>
              <w:pStyle w:val="aa"/>
              <w:numPr>
                <w:ilvl w:val="0"/>
                <w:numId w:val="6"/>
              </w:numPr>
              <w:ind w:left="0" w:firstLine="0"/>
              <w:jc w:val="center"/>
              <w:rPr>
                <w:rFonts w:ascii="Times New Roman" w:hAnsi="Times New Roman"/>
                <w:sz w:val="28"/>
                <w:szCs w:val="28"/>
                <w:lang w:val="uk-UA"/>
              </w:rPr>
            </w:pPr>
          </w:p>
        </w:tc>
        <w:tc>
          <w:tcPr>
            <w:tcW w:w="0" w:type="auto"/>
          </w:tcPr>
          <w:p w:rsidR="000F78D0" w:rsidRPr="001336DC" w:rsidRDefault="000F78D0" w:rsidP="00036E27">
            <w:pPr>
              <w:rPr>
                <w:rFonts w:ascii="Times New Roman" w:hAnsi="Times New Roman"/>
                <w:sz w:val="28"/>
                <w:szCs w:val="28"/>
                <w:lang w:val="uk-UA"/>
              </w:rPr>
            </w:pPr>
            <w:r w:rsidRPr="001336DC">
              <w:rPr>
                <w:rFonts w:ascii="Times New Roman" w:hAnsi="Times New Roman"/>
                <w:sz w:val="28"/>
                <w:szCs w:val="28"/>
                <w:lang w:val="uk-UA"/>
              </w:rPr>
              <w:t>Голо ядерні нейтрофіли</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1,08 ±0,09</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1,31 ±0,11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&gt;0,05</w:t>
            </w:r>
          </w:p>
        </w:tc>
        <w:tc>
          <w:tcPr>
            <w:tcW w:w="0" w:type="auto"/>
          </w:tcPr>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1,64 ±0,15</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 xml:space="preserve"> &lt;0,0</w:t>
            </w:r>
            <w:r w:rsidRPr="001336DC">
              <w:rPr>
                <w:rFonts w:ascii="Times New Roman" w:hAnsi="Times New Roman"/>
                <w:sz w:val="28"/>
                <w:szCs w:val="28"/>
              </w:rPr>
              <w:t>01</w:t>
            </w:r>
          </w:p>
          <w:p w:rsidR="000F78D0" w:rsidRPr="001336DC" w:rsidRDefault="000F78D0" w:rsidP="00036E27">
            <w:pPr>
              <w:jc w:val="center"/>
              <w:rPr>
                <w:rFonts w:ascii="Times New Roman" w:hAnsi="Times New Roman"/>
                <w:sz w:val="28"/>
                <w:szCs w:val="28"/>
              </w:rPr>
            </w:pPr>
            <w:r w:rsidRPr="001336DC">
              <w:rPr>
                <w:rFonts w:ascii="Times New Roman" w:hAnsi="Times New Roman"/>
                <w:sz w:val="28"/>
                <w:szCs w:val="28"/>
              </w:rPr>
              <w:t>p</w:t>
            </w:r>
            <w:r w:rsidRPr="001336DC">
              <w:rPr>
                <w:rFonts w:ascii="Times New Roman" w:hAnsi="Times New Roman"/>
                <w:sz w:val="28"/>
                <w:szCs w:val="28"/>
                <w:lang w:val="uk-UA"/>
              </w:rPr>
              <w:t>&gt;0,05</w:t>
            </w:r>
          </w:p>
        </w:tc>
      </w:tr>
    </w:tbl>
    <w:p w:rsidR="000F78D0" w:rsidRDefault="002E2C8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Примітка. Р </w:t>
      </w:r>
      <w:r w:rsidRPr="002E2C80">
        <w:rPr>
          <w:rFonts w:ascii="Times New Roman" w:hAnsi="Times New Roman"/>
          <w:sz w:val="28"/>
          <w:szCs w:val="28"/>
          <w:lang w:val="ru-RU"/>
        </w:rPr>
        <w:t xml:space="preserve">- </w:t>
      </w:r>
      <w:r>
        <w:rPr>
          <w:rFonts w:ascii="Times New Roman" w:hAnsi="Times New Roman"/>
          <w:sz w:val="28"/>
          <w:szCs w:val="28"/>
          <w:lang w:val="uk-UA"/>
        </w:rPr>
        <w:t>по відношенню до здорових, р1</w:t>
      </w:r>
      <w:r w:rsidRPr="002E2C80">
        <w:rPr>
          <w:rFonts w:ascii="Times New Roman" w:hAnsi="Times New Roman"/>
          <w:sz w:val="28"/>
          <w:szCs w:val="28"/>
          <w:lang w:val="ru-RU"/>
        </w:rPr>
        <w:t>-</w:t>
      </w:r>
      <w:r w:rsidR="000F78D0">
        <w:rPr>
          <w:rFonts w:ascii="Times New Roman" w:hAnsi="Times New Roman"/>
          <w:sz w:val="28"/>
          <w:szCs w:val="28"/>
          <w:lang w:val="uk-UA"/>
        </w:rPr>
        <w:t xml:space="preserve"> по відношенню до контролю.</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у хворих обох груп виявлено зсув в менш зрілих кліткових форм з переважанням в епітелії ясен проліферативних процесів, викликаних альтерацією клітин внаслідок запального процесу, що можна розцінювати як прояви компенсації.</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Однак збільшення кількості клітин з проявами цитопатології вказує на дефіцит компенсації. Це призводить до неповноцінного диференціювання клітин, що призводить до зростання кількості незрілих форм клітин. Про дефіцит компенсації свідчить також збільшення кількості епітеліальних клітин, контамінованих мікроорганізмами.</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Крім того, домінування нейтрофільного запалення в яснах сприяє розвитку ексудативного, а не продуктивного запалення з вираженими явищами кровоточивості тканин пародонта, про що було згадано вище (табл. 3.5).</w:t>
      </w:r>
    </w:p>
    <w:p w:rsidR="000F78D0" w:rsidRDefault="000F78D0" w:rsidP="002E2C80">
      <w:pPr>
        <w:spacing w:line="360" w:lineRule="auto"/>
        <w:ind w:firstLine="709"/>
        <w:jc w:val="both"/>
        <w:rPr>
          <w:rFonts w:ascii="Times New Roman" w:hAnsi="Times New Roman"/>
          <w:sz w:val="28"/>
          <w:szCs w:val="28"/>
          <w:lang w:val="uk-UA"/>
        </w:rPr>
      </w:pPr>
      <w:r w:rsidRPr="007A624C">
        <w:rPr>
          <w:rFonts w:ascii="Times New Roman" w:hAnsi="Times New Roman"/>
          <w:sz w:val="28"/>
          <w:szCs w:val="28"/>
          <w:lang w:val="uk-UA"/>
        </w:rPr>
        <w:t>У дівчат-підлітків</w:t>
      </w:r>
      <w:r>
        <w:rPr>
          <w:rFonts w:ascii="Times New Roman" w:hAnsi="Times New Roman"/>
          <w:sz w:val="28"/>
          <w:szCs w:val="28"/>
          <w:lang w:val="uk-UA"/>
        </w:rPr>
        <w:t xml:space="preserve"> з ПМФ вищевказані процеси суттєво більш виражені, аніж без ПМФ. Вказані морфологічні особливості тканин пародонта і визначають відмінності в структурі клінічних форм і характеру їх перебігу в досліджуваних групах.</w:t>
      </w:r>
    </w:p>
    <w:p w:rsidR="000F78D0" w:rsidRPr="00636793" w:rsidRDefault="000F78D0" w:rsidP="002E2C80">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Використання нормованого показника </w:t>
      </w:r>
      <w:r>
        <w:rPr>
          <w:rFonts w:ascii="Times New Roman" w:hAnsi="Times New Roman"/>
          <w:sz w:val="28"/>
          <w:szCs w:val="28"/>
        </w:rPr>
        <w:t>t</w:t>
      </w:r>
      <w:r>
        <w:rPr>
          <w:rFonts w:ascii="Times New Roman" w:hAnsi="Times New Roman"/>
          <w:sz w:val="28"/>
          <w:szCs w:val="28"/>
          <w:lang w:val="uk-UA"/>
        </w:rPr>
        <w:t>- критерію дозволяє визначити ступінь відхилення від норми значень цитологічних показників в групах і потім їх рангувати  (А.М.Зосімов, В.П.Голік, 2009).</w:t>
      </w:r>
      <w:r w:rsidR="00E66D22" w:rsidRPr="00E66D22">
        <w:rPr>
          <w:rFonts w:ascii="Times New Roman" w:hAnsi="Times New Roman"/>
          <w:sz w:val="28"/>
          <w:szCs w:val="28"/>
          <w:lang w:val="uk-UA"/>
        </w:rPr>
        <w:t xml:space="preserve"> </w:t>
      </w:r>
      <w:r>
        <w:rPr>
          <w:rFonts w:ascii="Times New Roman" w:hAnsi="Times New Roman"/>
          <w:sz w:val="28"/>
          <w:szCs w:val="28"/>
          <w:lang w:val="uk-UA"/>
        </w:rPr>
        <w:t xml:space="preserve"> </w:t>
      </w:r>
      <w:r w:rsidR="00E66D22">
        <w:rPr>
          <w:rFonts w:ascii="Times New Roman" w:hAnsi="Times New Roman"/>
          <w:sz w:val="28"/>
          <w:szCs w:val="28"/>
          <w:lang w:val="uk-UA"/>
        </w:rPr>
        <w:t>На рис. 4.1</w:t>
      </w:r>
      <w:r w:rsidR="00E66D22" w:rsidRPr="00E66D22">
        <w:rPr>
          <w:rFonts w:ascii="Times New Roman" w:hAnsi="Times New Roman"/>
          <w:sz w:val="28"/>
          <w:szCs w:val="28"/>
          <w:lang w:val="ru-RU"/>
        </w:rPr>
        <w:t xml:space="preserve"> </w:t>
      </w:r>
      <w:r w:rsidRPr="007A624C">
        <w:rPr>
          <w:rFonts w:ascii="Times New Roman" w:hAnsi="Times New Roman"/>
          <w:sz w:val="28"/>
          <w:szCs w:val="28"/>
          <w:lang w:val="uk-UA"/>
        </w:rPr>
        <w:t xml:space="preserve"> наведені</w:t>
      </w:r>
      <w:r>
        <w:rPr>
          <w:rFonts w:ascii="Times New Roman" w:hAnsi="Times New Roman"/>
          <w:sz w:val="28"/>
          <w:szCs w:val="28"/>
          <w:lang w:val="uk-UA"/>
        </w:rPr>
        <w:t xml:space="preserve"> рангові структури ступеню відхилення від нормативу значень цитограми в групах. </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410200" cy="4000500"/>
            <wp:effectExtent l="19050" t="0" r="0" b="0"/>
            <wp:docPr id="5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3"/>
                    <a:srcRect/>
                    <a:stretch>
                      <a:fillRect/>
                    </a:stretch>
                  </pic:blipFill>
                  <pic:spPr bwMode="auto">
                    <a:xfrm>
                      <a:off x="0" y="0"/>
                      <a:ext cx="5410200" cy="4000500"/>
                    </a:xfrm>
                    <a:prstGeom prst="rect">
                      <a:avLst/>
                    </a:prstGeom>
                    <a:noFill/>
                    <a:ln w="9525">
                      <a:noFill/>
                      <a:miter lim="800000"/>
                      <a:headEnd/>
                      <a:tailEnd/>
                    </a:ln>
                  </pic:spPr>
                </pic:pic>
              </a:graphicData>
            </a:graphic>
          </wp:inline>
        </w:drawing>
      </w:r>
    </w:p>
    <w:p w:rsidR="000F78D0" w:rsidRDefault="000F78D0" w:rsidP="002E2C80">
      <w:pPr>
        <w:spacing w:line="360" w:lineRule="auto"/>
        <w:ind w:firstLine="709"/>
        <w:jc w:val="both"/>
        <w:rPr>
          <w:rFonts w:ascii="Times New Roman" w:hAnsi="Times New Roman"/>
          <w:sz w:val="28"/>
          <w:szCs w:val="28"/>
          <w:lang w:val="uk-UA"/>
        </w:rPr>
      </w:pPr>
      <w:r w:rsidRPr="007A624C">
        <w:rPr>
          <w:rFonts w:ascii="Times New Roman" w:hAnsi="Times New Roman"/>
          <w:i/>
          <w:sz w:val="28"/>
          <w:szCs w:val="28"/>
          <w:lang w:val="uk-UA"/>
        </w:rPr>
        <w:t>Ри</w:t>
      </w:r>
      <w:r w:rsidR="002653A6">
        <w:rPr>
          <w:rFonts w:ascii="Times New Roman" w:hAnsi="Times New Roman"/>
          <w:i/>
          <w:sz w:val="28"/>
          <w:szCs w:val="28"/>
          <w:lang w:val="uk-UA"/>
        </w:rPr>
        <w:t>с. 4.1.</w:t>
      </w:r>
      <w:r w:rsidRPr="0088687B">
        <w:rPr>
          <w:rFonts w:ascii="Times New Roman" w:hAnsi="Times New Roman"/>
          <w:i/>
          <w:sz w:val="28"/>
          <w:szCs w:val="28"/>
          <w:lang w:val="uk-UA"/>
        </w:rPr>
        <w:t xml:space="preserve"> Рангові структури ступеню відхилень від норми значень цитограми в групах</w:t>
      </w:r>
      <w:r>
        <w:rPr>
          <w:rFonts w:ascii="Times New Roman" w:hAnsi="Times New Roman"/>
          <w:sz w:val="28"/>
          <w:szCs w:val="28"/>
          <w:lang w:val="uk-UA"/>
        </w:rPr>
        <w:t>.</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w:t>
      </w:r>
      <w:r w:rsidRPr="007A624C">
        <w:rPr>
          <w:rFonts w:ascii="Times New Roman" w:hAnsi="Times New Roman"/>
          <w:sz w:val="28"/>
          <w:szCs w:val="28"/>
          <w:lang w:val="uk-UA"/>
        </w:rPr>
        <w:t>рис.</w:t>
      </w:r>
      <w:r w:rsidR="002653A6">
        <w:rPr>
          <w:rFonts w:ascii="Times New Roman" w:hAnsi="Times New Roman"/>
          <w:sz w:val="28"/>
          <w:szCs w:val="28"/>
          <w:lang w:val="uk-UA"/>
        </w:rPr>
        <w:t>4.1</w:t>
      </w:r>
      <w:r>
        <w:rPr>
          <w:rFonts w:ascii="Times New Roman" w:hAnsi="Times New Roman"/>
          <w:sz w:val="28"/>
          <w:szCs w:val="28"/>
          <w:lang w:val="uk-UA"/>
        </w:rPr>
        <w:t xml:space="preserve"> витікає, що рангові структури обох груп ідентичні, що свідчить про стереотипність морфологічних змін в тканинах пародонта. При цьому перші три рангові місця зайняли: збільшення кількості епітеліальних клітин, контамінованих мікроорганізмами (1-й ранг), а також збільшення кількості </w:t>
      </w:r>
      <w:r>
        <w:rPr>
          <w:rFonts w:ascii="Times New Roman" w:hAnsi="Times New Roman"/>
          <w:sz w:val="28"/>
          <w:szCs w:val="28"/>
          <w:lang w:val="uk-UA"/>
        </w:rPr>
        <w:lastRenderedPageBreak/>
        <w:t xml:space="preserve">епітеліальних клітин з деформованим ядром (2-й ранг) і вакуолізованою цитоплазмою (3-й ранг). Ці дані вказують, що запальний процес в яснах має інфекційний характер з вираженимим деструктивними процесами в епітеліальних клітинах, переважаючими над проліферативними процесами. </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Використання середньоарифметичних значень </w:t>
      </w:r>
      <w:r>
        <w:rPr>
          <w:rFonts w:ascii="Times New Roman" w:hAnsi="Times New Roman"/>
          <w:sz w:val="28"/>
          <w:szCs w:val="28"/>
        </w:rPr>
        <w:t>t</w:t>
      </w:r>
      <w:r>
        <w:rPr>
          <w:rFonts w:ascii="Times New Roman" w:hAnsi="Times New Roman"/>
          <w:sz w:val="28"/>
          <w:szCs w:val="28"/>
          <w:lang w:val="uk-UA"/>
        </w:rPr>
        <w:t>- критерію дозволяє провести комплексну оцінку ступеню відхилень від нормативу цитологічних показників в групах (</w:t>
      </w:r>
      <w:r w:rsidR="00E66D22">
        <w:rPr>
          <w:rFonts w:ascii="Times New Roman" w:hAnsi="Times New Roman"/>
          <w:sz w:val="28"/>
          <w:szCs w:val="28"/>
          <w:lang w:val="uk-UA"/>
        </w:rPr>
        <w:t>рис. 4.</w:t>
      </w:r>
      <w:r w:rsidRPr="007A624C">
        <w:rPr>
          <w:rFonts w:ascii="Times New Roman" w:hAnsi="Times New Roman"/>
          <w:sz w:val="28"/>
          <w:szCs w:val="28"/>
          <w:lang w:val="uk-UA"/>
        </w:rPr>
        <w:t>2).</w:t>
      </w:r>
    </w:p>
    <w:p w:rsidR="000F78D0" w:rsidRDefault="00211C4A" w:rsidP="00AC605C">
      <w:pPr>
        <w:spacing w:line="360" w:lineRule="auto"/>
        <w:ind w:firstLine="426"/>
        <w:jc w:val="both"/>
        <w:rPr>
          <w:rFonts w:ascii="Times New Roman" w:hAnsi="Times New Roman"/>
          <w:sz w:val="28"/>
          <w:szCs w:val="28"/>
          <w:lang w:val="uk-UA"/>
        </w:rPr>
      </w:pPr>
      <w:r w:rsidRPr="00211C4A">
        <w:rPr>
          <w:rFonts w:ascii="Times New Roman" w:hAnsi="Times New Roman"/>
          <w:noProof/>
          <w:sz w:val="28"/>
          <w:szCs w:val="28"/>
          <w:lang w:val="uk-UA"/>
        </w:rPr>
        <w:pict>
          <v:shape id="_x0000_s1064" type="#_x0000_t202" style="position:absolute;left:0;text-align:left;margin-left:282.25pt;margin-top:157.05pt;width:96.75pt;height:22.6pt;z-index:251674624;mso-height-percent:200;mso-height-percent:200;mso-width-relative:margin;mso-height-relative:margin">
            <v:textbox style="mso-fit-shape-to-text:t">
              <w:txbxContent>
                <w:p w:rsidR="00251EA6" w:rsidRPr="008B48FE" w:rsidRDefault="00251EA6" w:rsidP="000F78D0">
                  <w:pPr>
                    <w:rPr>
                      <w:lang w:val="uk-UA"/>
                    </w:rPr>
                  </w:pPr>
                  <w:r>
                    <w:t>t</w:t>
                  </w:r>
                  <w:r>
                    <w:rPr>
                      <w:lang w:val="uk-UA"/>
                    </w:rPr>
                    <w:t>=1,36; р&lt;0,05</w:t>
                  </w:r>
                </w:p>
              </w:txbxContent>
            </v:textbox>
          </v:shape>
        </w:pict>
      </w:r>
      <w:r w:rsidR="00B066D9">
        <w:rPr>
          <w:rFonts w:ascii="Times New Roman" w:hAnsi="Times New Roman"/>
          <w:noProof/>
          <w:sz w:val="28"/>
          <w:szCs w:val="28"/>
          <w:lang w:val="ru-RU" w:eastAsia="ru-RU" w:bidi="ar-SA"/>
        </w:rPr>
        <w:drawing>
          <wp:inline distT="0" distB="0" distL="0" distR="0">
            <wp:extent cx="5524500" cy="3200400"/>
            <wp:effectExtent l="0" t="0" r="0" b="0"/>
            <wp:docPr id="57" name="Объект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F78D0" w:rsidRPr="00636793" w:rsidRDefault="00E66D22" w:rsidP="002E2C80">
      <w:pPr>
        <w:spacing w:line="360" w:lineRule="auto"/>
        <w:ind w:firstLine="709"/>
        <w:jc w:val="both"/>
        <w:rPr>
          <w:rFonts w:ascii="Times New Roman" w:hAnsi="Times New Roman"/>
          <w:i/>
          <w:sz w:val="20"/>
          <w:szCs w:val="20"/>
          <w:lang w:val="uk-UA"/>
        </w:rPr>
      </w:pPr>
      <w:r>
        <w:rPr>
          <w:rFonts w:ascii="Times New Roman" w:hAnsi="Times New Roman"/>
          <w:i/>
          <w:sz w:val="28"/>
          <w:szCs w:val="28"/>
          <w:lang w:val="uk-UA"/>
        </w:rPr>
        <w:t>Рис. 4.</w:t>
      </w:r>
      <w:r w:rsidR="000F78D0" w:rsidRPr="007A624C">
        <w:rPr>
          <w:rFonts w:ascii="Times New Roman" w:hAnsi="Times New Roman"/>
          <w:i/>
          <w:sz w:val="28"/>
          <w:szCs w:val="28"/>
          <w:lang w:val="uk-UA"/>
        </w:rPr>
        <w:t>2.</w:t>
      </w:r>
      <w:r w:rsidR="000F78D0" w:rsidRPr="008B48FE">
        <w:rPr>
          <w:rFonts w:ascii="Times New Roman" w:hAnsi="Times New Roman"/>
          <w:i/>
          <w:sz w:val="28"/>
          <w:szCs w:val="28"/>
          <w:lang w:val="uk-UA"/>
        </w:rPr>
        <w:t xml:space="preserve"> Комплексна оцінка ступеню відхилення від норми значень цитограми в групах</w:t>
      </w:r>
      <w:r w:rsidR="000F78D0">
        <w:rPr>
          <w:rFonts w:ascii="Times New Roman" w:hAnsi="Times New Roman"/>
          <w:i/>
          <w:sz w:val="28"/>
          <w:szCs w:val="28"/>
          <w:lang w:val="uk-UA"/>
        </w:rPr>
        <w:t xml:space="preserve">   </w:t>
      </w:r>
    </w:p>
    <w:p w:rsidR="000F78D0" w:rsidRDefault="000F78D0" w:rsidP="002E2C80">
      <w:pPr>
        <w:spacing w:line="360" w:lineRule="auto"/>
        <w:ind w:firstLine="709"/>
        <w:jc w:val="both"/>
        <w:rPr>
          <w:rFonts w:ascii="Times New Roman" w:hAnsi="Times New Roman"/>
          <w:i/>
          <w:sz w:val="28"/>
          <w:szCs w:val="28"/>
          <w:lang w:val="uk-UA"/>
        </w:rPr>
      </w:pPr>
    </w:p>
    <w:p w:rsidR="000F78D0" w:rsidRDefault="00E66D22"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рис. 4.</w:t>
      </w:r>
      <w:r w:rsidR="000F78D0" w:rsidRPr="007A624C">
        <w:rPr>
          <w:rFonts w:ascii="Times New Roman" w:hAnsi="Times New Roman"/>
          <w:sz w:val="28"/>
          <w:szCs w:val="28"/>
          <w:lang w:val="uk-UA"/>
        </w:rPr>
        <w:t>2 видно</w:t>
      </w:r>
      <w:r w:rsidR="000F78D0">
        <w:rPr>
          <w:rFonts w:ascii="Times New Roman" w:hAnsi="Times New Roman"/>
          <w:sz w:val="28"/>
          <w:szCs w:val="28"/>
          <w:lang w:val="uk-UA"/>
        </w:rPr>
        <w:t>, що в цілому ступінь морфологічних порушень в яснах хворих основної групи (t=7,28; р&lt;0,001) на 40 % були більш значимі, аніж в контролі (</w:t>
      </w:r>
      <w:r w:rsidR="000F78D0">
        <w:rPr>
          <w:rFonts w:ascii="Times New Roman" w:hAnsi="Times New Roman"/>
          <w:sz w:val="28"/>
          <w:szCs w:val="28"/>
          <w:lang w:val="de-DE"/>
        </w:rPr>
        <w:t>t</w:t>
      </w:r>
      <w:r w:rsidR="000F78D0">
        <w:rPr>
          <w:rFonts w:ascii="Times New Roman" w:hAnsi="Times New Roman"/>
          <w:sz w:val="28"/>
          <w:szCs w:val="28"/>
          <w:lang w:val="uk-UA"/>
        </w:rPr>
        <w:t>=5,20; р&lt;0,001).</w:t>
      </w:r>
    </w:p>
    <w:p w:rsidR="00036E27" w:rsidRDefault="00036E27" w:rsidP="002E2C80">
      <w:pPr>
        <w:spacing w:line="360" w:lineRule="auto"/>
        <w:ind w:firstLine="709"/>
        <w:jc w:val="both"/>
        <w:rPr>
          <w:rFonts w:ascii="Times New Roman" w:hAnsi="Times New Roman"/>
          <w:b/>
          <w:sz w:val="28"/>
          <w:szCs w:val="28"/>
          <w:lang w:val="uk-UA"/>
        </w:rPr>
      </w:pPr>
    </w:p>
    <w:p w:rsidR="000F78D0" w:rsidRPr="00C864A4" w:rsidRDefault="000F78D0" w:rsidP="002E2C80">
      <w:pPr>
        <w:spacing w:line="360" w:lineRule="auto"/>
        <w:ind w:firstLine="709"/>
        <w:jc w:val="both"/>
        <w:rPr>
          <w:rFonts w:ascii="Times New Roman" w:hAnsi="Times New Roman"/>
          <w:b/>
          <w:sz w:val="28"/>
          <w:szCs w:val="28"/>
          <w:lang w:val="uk-UA"/>
        </w:rPr>
      </w:pPr>
      <w:r w:rsidRPr="00C864A4">
        <w:rPr>
          <w:rFonts w:ascii="Times New Roman" w:hAnsi="Times New Roman"/>
          <w:b/>
          <w:sz w:val="28"/>
          <w:szCs w:val="28"/>
          <w:lang w:val="uk-UA"/>
        </w:rPr>
        <w:t>4.2. Особливості мінералізуючої функції слини і оптичної щільності кісткових структур пародонта</w:t>
      </w:r>
      <w:r>
        <w:rPr>
          <w:rFonts w:ascii="Times New Roman" w:hAnsi="Times New Roman"/>
          <w:b/>
          <w:sz w:val="28"/>
          <w:szCs w:val="28"/>
          <w:lang w:val="uk-UA"/>
        </w:rPr>
        <w:t xml:space="preserve"> у дівчат-підліткіз з ПМФ</w:t>
      </w:r>
    </w:p>
    <w:p w:rsidR="000F78D0" w:rsidRPr="00BD4FE3"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Особливості мінералізуючої функції слини і оптичної щільності кісткових структур пародонта в групах наведено в табл</w:t>
      </w:r>
      <w:r w:rsidR="00E66D22">
        <w:rPr>
          <w:rFonts w:ascii="Times New Roman" w:hAnsi="Times New Roman"/>
          <w:sz w:val="28"/>
          <w:szCs w:val="28"/>
          <w:lang w:val="uk-UA"/>
        </w:rPr>
        <w:t>. 4.2.</w:t>
      </w:r>
    </w:p>
    <w:p w:rsidR="00036E27" w:rsidRDefault="00036E27" w:rsidP="00AC605C">
      <w:pPr>
        <w:spacing w:line="360" w:lineRule="auto"/>
        <w:ind w:firstLine="426"/>
        <w:jc w:val="right"/>
        <w:rPr>
          <w:rFonts w:ascii="Times New Roman" w:hAnsi="Times New Roman"/>
          <w:i/>
          <w:sz w:val="28"/>
          <w:szCs w:val="28"/>
          <w:lang w:val="uk-UA"/>
        </w:rPr>
      </w:pPr>
    </w:p>
    <w:p w:rsidR="000F78D0" w:rsidRPr="00BD4FE3" w:rsidRDefault="000F78D0" w:rsidP="002E2C80">
      <w:pPr>
        <w:spacing w:line="360" w:lineRule="auto"/>
        <w:ind w:firstLine="709"/>
        <w:jc w:val="right"/>
        <w:rPr>
          <w:rFonts w:ascii="Times New Roman" w:hAnsi="Times New Roman"/>
          <w:sz w:val="28"/>
          <w:szCs w:val="28"/>
          <w:lang w:val="uk-UA"/>
        </w:rPr>
      </w:pPr>
      <w:r w:rsidRPr="007A624C">
        <w:rPr>
          <w:rFonts w:ascii="Times New Roman" w:hAnsi="Times New Roman"/>
          <w:i/>
          <w:sz w:val="28"/>
          <w:szCs w:val="28"/>
          <w:lang w:val="uk-UA"/>
        </w:rPr>
        <w:lastRenderedPageBreak/>
        <w:t>Таблиця</w:t>
      </w:r>
      <w:r w:rsidRPr="007A624C">
        <w:rPr>
          <w:rFonts w:ascii="Times New Roman" w:hAnsi="Times New Roman"/>
          <w:sz w:val="28"/>
          <w:szCs w:val="28"/>
          <w:lang w:val="uk-UA"/>
        </w:rPr>
        <w:t xml:space="preserve"> </w:t>
      </w:r>
      <w:r w:rsidRPr="007A624C">
        <w:rPr>
          <w:rFonts w:ascii="Times New Roman" w:hAnsi="Times New Roman"/>
          <w:i/>
          <w:sz w:val="28"/>
          <w:szCs w:val="28"/>
          <w:lang w:val="uk-UA"/>
        </w:rPr>
        <w:t>4.2</w:t>
      </w:r>
    </w:p>
    <w:p w:rsidR="000F78D0" w:rsidRDefault="000F78D0" w:rsidP="002E2C80">
      <w:pPr>
        <w:spacing w:line="360" w:lineRule="auto"/>
        <w:ind w:firstLine="709"/>
        <w:jc w:val="center"/>
        <w:rPr>
          <w:rFonts w:ascii="Times New Roman" w:hAnsi="Times New Roman"/>
          <w:sz w:val="28"/>
          <w:szCs w:val="28"/>
          <w:lang w:val="uk-UA"/>
        </w:rPr>
      </w:pPr>
      <w:r w:rsidRPr="007A624C">
        <w:rPr>
          <w:rFonts w:ascii="Times New Roman" w:hAnsi="Times New Roman"/>
          <w:sz w:val="28"/>
          <w:szCs w:val="28"/>
          <w:lang w:val="uk-UA"/>
        </w:rPr>
        <w:t>Вміст кальцію в слині і значення оптичної щільності кісткових відділів пародонта у дівчат-підлітків основної і контрольної групи</w:t>
      </w:r>
      <w:r>
        <w:rPr>
          <w:rFonts w:ascii="Times New Roman" w:hAnsi="Times New Roman"/>
          <w:sz w:val="28"/>
          <w:szCs w:val="28"/>
          <w:lang w:val="uk-UA"/>
        </w:rPr>
        <w:t>.</w:t>
      </w:r>
    </w:p>
    <w:tbl>
      <w:tblPr>
        <w:tblW w:w="10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5"/>
        <w:gridCol w:w="3242"/>
        <w:gridCol w:w="1437"/>
        <w:gridCol w:w="1266"/>
        <w:gridCol w:w="1197"/>
        <w:gridCol w:w="850"/>
        <w:gridCol w:w="795"/>
        <w:gridCol w:w="864"/>
      </w:tblGrid>
      <w:tr w:rsidR="000F78D0" w:rsidRPr="001336DC" w:rsidTr="00036E27">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r w:rsidRPr="001336DC">
              <w:rPr>
                <w:rFonts w:ascii="Times New Roman" w:hAnsi="Times New Roman"/>
                <w:sz w:val="28"/>
                <w:szCs w:val="28"/>
                <w:lang w:val="uk-UA"/>
              </w:rPr>
              <w:t>Показники</w:t>
            </w:r>
          </w:p>
        </w:tc>
        <w:tc>
          <w:tcPr>
            <w:tcW w:w="1437" w:type="dxa"/>
            <w:vMerge w:val="restart"/>
            <w:tcBorders>
              <w:top w:val="single" w:sz="4" w:space="0" w:color="auto"/>
              <w:left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24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2"/>
              <w:rPr>
                <w:rFonts w:ascii="Times New Roman" w:hAnsi="Times New Roman"/>
                <w:sz w:val="28"/>
                <w:szCs w:val="28"/>
                <w:lang w:val="uk-UA"/>
              </w:rPr>
            </w:pPr>
          </w:p>
        </w:tc>
        <w:tc>
          <w:tcPr>
            <w:tcW w:w="1437" w:type="dxa"/>
            <w:vMerge/>
            <w:tcBorders>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036E27">
        <w:tc>
          <w:tcPr>
            <w:tcW w:w="534" w:type="dxa"/>
            <w:vMerge w:val="restart"/>
            <w:tcBorders>
              <w:top w:val="single" w:sz="4" w:space="0" w:color="auto"/>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1.</w:t>
            </w:r>
          </w:p>
          <w:p w:rsidR="000F78D0" w:rsidRPr="001336DC" w:rsidRDefault="000F78D0" w:rsidP="00036E27">
            <w:pPr>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r w:rsidRPr="001336DC">
              <w:rPr>
                <w:rFonts w:ascii="Times New Roman" w:hAnsi="Times New Roman"/>
                <w:sz w:val="28"/>
                <w:szCs w:val="28"/>
                <w:lang w:val="uk-UA"/>
              </w:rPr>
              <w:t>Кальцій в слині, ммоль/л</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≤0,70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≥0,91</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val="restart"/>
            <w:tcBorders>
              <w:top w:val="single" w:sz="4" w:space="0" w:color="auto"/>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r w:rsidRPr="001336DC">
              <w:rPr>
                <w:rFonts w:ascii="Times New Roman" w:hAnsi="Times New Roman"/>
                <w:sz w:val="28"/>
                <w:szCs w:val="28"/>
                <w:lang w:val="uk-UA"/>
              </w:rPr>
              <w:t>Оптична щільність кісткових відділів пародонта, Д</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≤125</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50,0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hideMark/>
          </w:tcPr>
          <w:p w:rsidR="000F78D0" w:rsidRPr="001336DC" w:rsidRDefault="000F78D0" w:rsidP="00036E27">
            <w:pPr>
              <w:ind w:firstLine="32"/>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≥131</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bl>
    <w:p w:rsidR="00036E27" w:rsidRDefault="00036E27" w:rsidP="00AC605C">
      <w:pPr>
        <w:spacing w:line="360" w:lineRule="auto"/>
        <w:ind w:firstLine="426"/>
        <w:jc w:val="both"/>
        <w:rPr>
          <w:rFonts w:ascii="Times New Roman" w:hAnsi="Times New Roman"/>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w:t>
      </w:r>
      <w:r w:rsidR="00E66D22">
        <w:rPr>
          <w:rFonts w:ascii="Times New Roman" w:hAnsi="Times New Roman"/>
          <w:sz w:val="28"/>
          <w:szCs w:val="28"/>
          <w:lang w:val="uk-UA"/>
        </w:rPr>
        <w:t>таблиці 4.2</w:t>
      </w:r>
      <w:r w:rsidRPr="007A624C">
        <w:rPr>
          <w:rFonts w:ascii="Times New Roman" w:hAnsi="Times New Roman"/>
          <w:sz w:val="28"/>
          <w:szCs w:val="28"/>
          <w:lang w:val="uk-UA"/>
        </w:rPr>
        <w:t xml:space="preserve"> свідчать про те, що помірне або виражене зниження рівню кальцію в слині (≤0,70ммоль/л) відмічено у 30% дівчат-підлітків контрольної групи і в 2 рази частіше (у 63,3%, р&lt;0,05) у пацієнтів основної групи. Незначне зниження вмісту Са (0,71-0,90 ммлоь/л) виявлено в рівній долі  - у 1/3 дівчат-підлітків обох груп (р&gt;0,05), а нормальний вміст Са (</w:t>
      </w:r>
      <w:r w:rsidRPr="007A624C">
        <w:rPr>
          <w:sz w:val="28"/>
          <w:szCs w:val="28"/>
          <w:lang w:val="uk-UA"/>
        </w:rPr>
        <w:t>≥</w:t>
      </w:r>
      <w:r w:rsidRPr="007A624C">
        <w:rPr>
          <w:rFonts w:ascii="Times New Roman" w:hAnsi="Times New Roman"/>
          <w:sz w:val="28"/>
          <w:szCs w:val="28"/>
          <w:lang w:val="uk-UA"/>
        </w:rPr>
        <w:t>0,91 ммоль/л) в слині діагностовано у 33,3% пацієнтів контролю і в 5 разів рідше (у 6,7%, р&lt;0,05) в основній групі. Отже, в основній групі у достовірно більшої частки хворих виявлено зниження мінералізуючої функції слини, що може негативним чином відбитися на мінеральній</w:t>
      </w:r>
      <w:r>
        <w:rPr>
          <w:rFonts w:ascii="Times New Roman" w:hAnsi="Times New Roman"/>
          <w:sz w:val="28"/>
          <w:szCs w:val="28"/>
          <w:lang w:val="uk-UA"/>
        </w:rPr>
        <w:t xml:space="preserve"> щільності кісткових тканин пародонта. Дослідження оптичної щільності кісткових тканин пародонта підтверджує це. Помірне зниження оптичної щільності кісткових тканин (≤125 Д) мало місце у половини (56,7%) хворих основної групи і в 2,4 </w:t>
      </w:r>
      <w:r w:rsidRPr="007A624C">
        <w:rPr>
          <w:rFonts w:ascii="Times New Roman" w:hAnsi="Times New Roman"/>
          <w:sz w:val="28"/>
          <w:szCs w:val="28"/>
          <w:lang w:val="uk-UA"/>
        </w:rPr>
        <w:t>раза рідше (23,3%; р&lt;0,05) в контролі. Незначне зниження оптичної щільності кісткових тканин (126-130 Д) мало місце у ½ хворих (50%) контролю і в 1,4 раза</w:t>
      </w:r>
      <w:r>
        <w:rPr>
          <w:rFonts w:ascii="Times New Roman" w:hAnsi="Times New Roman"/>
          <w:sz w:val="28"/>
          <w:szCs w:val="28"/>
          <w:lang w:val="uk-UA"/>
        </w:rPr>
        <w:t xml:space="preserve"> рідше (у 36,7%)  в основній групі. Однак ці відмінності мали характер тенденції і не були достовірні (р&gt;0,05).</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Нормальне зниження показника (</w:t>
      </w:r>
      <w:r>
        <w:rPr>
          <w:sz w:val="28"/>
          <w:szCs w:val="28"/>
          <w:lang w:val="uk-UA"/>
        </w:rPr>
        <w:t>≥</w:t>
      </w:r>
      <w:r>
        <w:rPr>
          <w:rFonts w:ascii="Times New Roman" w:hAnsi="Times New Roman"/>
          <w:sz w:val="28"/>
          <w:szCs w:val="28"/>
          <w:lang w:val="uk-UA"/>
        </w:rPr>
        <w:t>131 Д) мало місце у 26,7% хворих контролю  і в 4 рази рідше (у 6,7%; р&lt;0,05) в основній групі.</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результати свідчать про те, що ПМФ потенціює порушення мінерального обміну кісткових тканин пародонта  у хворих з запальними захворюваннями пародонта.</w:t>
      </w:r>
    </w:p>
    <w:p w:rsidR="000F78D0" w:rsidRPr="00C864A4" w:rsidRDefault="000F78D0" w:rsidP="002E2C80">
      <w:pPr>
        <w:spacing w:line="360" w:lineRule="auto"/>
        <w:ind w:firstLine="709"/>
        <w:jc w:val="both"/>
        <w:rPr>
          <w:rFonts w:ascii="Times New Roman" w:hAnsi="Times New Roman"/>
          <w:b/>
          <w:sz w:val="28"/>
          <w:szCs w:val="28"/>
          <w:lang w:val="uk-UA"/>
        </w:rPr>
      </w:pPr>
      <w:r w:rsidRPr="00C864A4">
        <w:rPr>
          <w:rFonts w:ascii="Times New Roman" w:hAnsi="Times New Roman"/>
          <w:b/>
          <w:sz w:val="28"/>
          <w:szCs w:val="28"/>
          <w:lang w:val="uk-UA"/>
        </w:rPr>
        <w:lastRenderedPageBreak/>
        <w:t>4.3. Показники імунобіологічного захисту організму</w:t>
      </w:r>
    </w:p>
    <w:p w:rsidR="000F78D0" w:rsidRPr="00BD4FE3" w:rsidRDefault="000F78D0" w:rsidP="002E2C80">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Значення </w:t>
      </w:r>
      <w:r w:rsidRPr="007A624C">
        <w:rPr>
          <w:rFonts w:ascii="Times New Roman" w:hAnsi="Times New Roman"/>
          <w:sz w:val="28"/>
          <w:szCs w:val="28"/>
          <w:lang w:val="uk-UA"/>
        </w:rPr>
        <w:t>показників, що визначають ступінь дисбіоза порожнини рота і</w:t>
      </w:r>
      <w:r w:rsidR="00E66D22">
        <w:rPr>
          <w:rFonts w:ascii="Times New Roman" w:hAnsi="Times New Roman"/>
          <w:sz w:val="28"/>
          <w:szCs w:val="28"/>
          <w:lang w:val="uk-UA"/>
        </w:rPr>
        <w:t xml:space="preserve"> групах, наведено в табл. 4.3.</w:t>
      </w:r>
    </w:p>
    <w:p w:rsidR="000F78D0" w:rsidRPr="00BD4FE3" w:rsidRDefault="000F78D0" w:rsidP="002E2C80">
      <w:pPr>
        <w:spacing w:line="360" w:lineRule="auto"/>
        <w:ind w:firstLine="709"/>
        <w:jc w:val="right"/>
        <w:rPr>
          <w:rFonts w:ascii="Times New Roman" w:hAnsi="Times New Roman"/>
          <w:sz w:val="28"/>
          <w:szCs w:val="28"/>
          <w:lang w:val="ru-RU"/>
        </w:rPr>
      </w:pPr>
      <w:r w:rsidRPr="007A624C">
        <w:rPr>
          <w:rFonts w:ascii="Times New Roman" w:hAnsi="Times New Roman"/>
          <w:i/>
          <w:sz w:val="28"/>
          <w:szCs w:val="28"/>
          <w:lang w:val="uk-UA"/>
        </w:rPr>
        <w:t>Таблиця</w:t>
      </w:r>
      <w:r w:rsidRPr="007A624C">
        <w:rPr>
          <w:rFonts w:ascii="Times New Roman" w:hAnsi="Times New Roman"/>
          <w:sz w:val="28"/>
          <w:szCs w:val="28"/>
          <w:lang w:val="uk-UA"/>
        </w:rPr>
        <w:t xml:space="preserve"> </w:t>
      </w:r>
      <w:r w:rsidR="00E66D22">
        <w:rPr>
          <w:rFonts w:ascii="Times New Roman" w:hAnsi="Times New Roman"/>
          <w:i/>
          <w:sz w:val="28"/>
          <w:szCs w:val="28"/>
          <w:lang w:val="uk-UA"/>
        </w:rPr>
        <w:t>4.3</w:t>
      </w:r>
    </w:p>
    <w:p w:rsidR="000F78D0" w:rsidRDefault="000F78D0" w:rsidP="002E2C80">
      <w:pPr>
        <w:spacing w:line="360" w:lineRule="auto"/>
        <w:ind w:firstLine="709"/>
        <w:jc w:val="center"/>
        <w:rPr>
          <w:rFonts w:ascii="Times New Roman" w:hAnsi="Times New Roman"/>
          <w:sz w:val="28"/>
          <w:szCs w:val="28"/>
          <w:lang w:val="uk-UA"/>
        </w:rPr>
      </w:pPr>
      <w:r w:rsidRPr="007A624C">
        <w:rPr>
          <w:rFonts w:ascii="Times New Roman" w:hAnsi="Times New Roman"/>
          <w:sz w:val="28"/>
          <w:szCs w:val="28"/>
          <w:lang w:val="uk-UA"/>
        </w:rPr>
        <w:t>Розподіл дівчат-підлітків в групах обстеження в залежності від значень показників дисбіоза порожнини рота.</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859"/>
        <w:gridCol w:w="1437"/>
        <w:gridCol w:w="1266"/>
        <w:gridCol w:w="1197"/>
        <w:gridCol w:w="977"/>
        <w:gridCol w:w="914"/>
        <w:gridCol w:w="1004"/>
      </w:tblGrid>
      <w:tr w:rsidR="000F78D0" w:rsidRPr="001336DC" w:rsidTr="00036E27">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r w:rsidRPr="001336DC">
              <w:rPr>
                <w:rFonts w:ascii="Times New Roman" w:hAnsi="Times New Roman"/>
                <w:sz w:val="28"/>
                <w:szCs w:val="28"/>
                <w:lang w:val="uk-UA"/>
              </w:rPr>
              <w:t>Показники</w:t>
            </w:r>
          </w:p>
        </w:tc>
        <w:tc>
          <w:tcPr>
            <w:tcW w:w="1437" w:type="dxa"/>
            <w:vMerge w:val="restart"/>
            <w:tcBorders>
              <w:top w:val="single" w:sz="4" w:space="0" w:color="auto"/>
              <w:left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24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3"/>
              <w:rPr>
                <w:rFonts w:ascii="Times New Roman" w:hAnsi="Times New Roman"/>
                <w:sz w:val="28"/>
                <w:szCs w:val="28"/>
                <w:lang w:val="uk-UA"/>
              </w:rPr>
            </w:pPr>
          </w:p>
        </w:tc>
        <w:tc>
          <w:tcPr>
            <w:tcW w:w="1437" w:type="dxa"/>
            <w:vMerge/>
            <w:tcBorders>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036E27">
        <w:tc>
          <w:tcPr>
            <w:tcW w:w="534" w:type="dxa"/>
            <w:vMerge w:val="restart"/>
            <w:tcBorders>
              <w:top w:val="single" w:sz="4" w:space="0" w:color="auto"/>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1.</w:t>
            </w:r>
          </w:p>
          <w:p w:rsidR="000F78D0" w:rsidRPr="001336DC" w:rsidRDefault="000F78D0" w:rsidP="00036E27">
            <w:pPr>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036E27">
            <w:pPr>
              <w:ind w:firstLine="33"/>
              <w:rPr>
                <w:rFonts w:ascii="Times New Roman" w:hAnsi="Times New Roman"/>
                <w:sz w:val="28"/>
                <w:szCs w:val="28"/>
                <w:lang w:val="uk-UA"/>
              </w:rPr>
            </w:pPr>
            <w:r w:rsidRPr="001336DC">
              <w:rPr>
                <w:rFonts w:ascii="Times New Roman" w:hAnsi="Times New Roman"/>
                <w:sz w:val="28"/>
                <w:szCs w:val="28"/>
                <w:lang w:val="uk-UA"/>
              </w:rPr>
              <w:t>Уреаза в слині, мккат/л</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≤0,10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≥0,14</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val="restart"/>
            <w:tcBorders>
              <w:top w:val="single" w:sz="4" w:space="0" w:color="auto"/>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r w:rsidRPr="001336DC">
              <w:rPr>
                <w:rFonts w:ascii="Times New Roman" w:hAnsi="Times New Roman"/>
                <w:sz w:val="28"/>
                <w:szCs w:val="28"/>
                <w:lang w:val="uk-UA"/>
              </w:rPr>
              <w:t>Лізоцим в слині, од/л</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≤40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41-50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≥51</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val="restart"/>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Borders>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r w:rsidRPr="001336DC">
              <w:rPr>
                <w:rFonts w:ascii="Times New Roman" w:hAnsi="Times New Roman"/>
                <w:sz w:val="28"/>
                <w:szCs w:val="28"/>
                <w:lang w:val="uk-UA"/>
              </w:rPr>
              <w:t>Ступінь дисбіоза, ум.од.</w:t>
            </w: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≤1,30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1,31-2,0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left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rFonts w:ascii="Times New Roman" w:hAnsi="Times New Roman"/>
                <w:sz w:val="28"/>
                <w:szCs w:val="28"/>
                <w:lang w:val="uk-UA"/>
              </w:rPr>
              <w:t>2,1-4,0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36E27">
        <w:tc>
          <w:tcPr>
            <w:tcW w:w="534" w:type="dxa"/>
            <w:vMerge/>
            <w:tcBorders>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9"/>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4,1</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Примітка. * - однобічний критерій</w:t>
      </w:r>
    </w:p>
    <w:p w:rsidR="000F78D0" w:rsidRPr="0084259C"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w:t>
      </w:r>
      <w:r w:rsidR="00E66D22">
        <w:rPr>
          <w:rFonts w:ascii="Times New Roman" w:hAnsi="Times New Roman"/>
          <w:sz w:val="28"/>
          <w:szCs w:val="28"/>
          <w:lang w:val="uk-UA"/>
        </w:rPr>
        <w:t>табл.4.3</w:t>
      </w:r>
      <w:r w:rsidRPr="0084259C">
        <w:rPr>
          <w:rFonts w:ascii="Times New Roman" w:hAnsi="Times New Roman"/>
          <w:sz w:val="28"/>
          <w:szCs w:val="28"/>
          <w:lang w:val="uk-UA"/>
        </w:rPr>
        <w:t xml:space="preserve"> свідчать, що нормативні значення (≤0,10 мккат/л) уреази, що визначає мікробну контамінацію порожнини рота відмічено у 30% контролю і в 2,2 раза рідше (13,3%) в основній групі. Однак ці відмінності виявилися несуттєвими (р&gt;0,05).</w:t>
      </w:r>
    </w:p>
    <w:p w:rsidR="000F78D0" w:rsidRPr="0084259C" w:rsidRDefault="000F78D0" w:rsidP="002E2C80">
      <w:pPr>
        <w:spacing w:line="360" w:lineRule="auto"/>
        <w:ind w:firstLine="709"/>
        <w:jc w:val="both"/>
        <w:rPr>
          <w:rFonts w:ascii="Times New Roman" w:hAnsi="Times New Roman"/>
          <w:sz w:val="28"/>
          <w:szCs w:val="28"/>
          <w:lang w:val="uk-UA"/>
        </w:rPr>
      </w:pPr>
      <w:r w:rsidRPr="0084259C">
        <w:rPr>
          <w:rFonts w:ascii="Times New Roman" w:hAnsi="Times New Roman"/>
          <w:sz w:val="28"/>
          <w:szCs w:val="28"/>
          <w:lang w:val="uk-UA"/>
        </w:rPr>
        <w:t>Незначне підвищення активності ферменту (0,11-0,13 мккат/л) виявлялося в приблизно рівній (1/3) частці обстежених дівчат (р&gt;0,</w:t>
      </w:r>
      <w:r>
        <w:rPr>
          <w:rFonts w:ascii="Times New Roman" w:hAnsi="Times New Roman"/>
          <w:sz w:val="28"/>
          <w:szCs w:val="28"/>
          <w:lang w:val="uk-UA"/>
        </w:rPr>
        <w:t>05), а помірне або виражене підвищення активності уреази (</w:t>
      </w:r>
      <w:r>
        <w:rPr>
          <w:sz w:val="28"/>
          <w:szCs w:val="28"/>
          <w:lang w:val="uk-UA"/>
        </w:rPr>
        <w:t>≥</w:t>
      </w:r>
      <w:r>
        <w:rPr>
          <w:rFonts w:ascii="Times New Roman" w:hAnsi="Times New Roman"/>
          <w:sz w:val="28"/>
          <w:szCs w:val="28"/>
          <w:lang w:val="uk-UA"/>
        </w:rPr>
        <w:t xml:space="preserve">0,14 мккат/л) достовірно частіше (в 1,6 </w:t>
      </w:r>
      <w:r w:rsidRPr="0084259C">
        <w:rPr>
          <w:rFonts w:ascii="Times New Roman" w:hAnsi="Times New Roman"/>
          <w:sz w:val="28"/>
          <w:szCs w:val="28"/>
          <w:lang w:val="uk-UA"/>
        </w:rPr>
        <w:t>раза,</w:t>
      </w:r>
      <w:r>
        <w:rPr>
          <w:rFonts w:ascii="Times New Roman" w:hAnsi="Times New Roman"/>
          <w:sz w:val="28"/>
          <w:szCs w:val="28"/>
          <w:lang w:val="uk-UA"/>
        </w:rPr>
        <w:t xml:space="preserve"> р&lt;0,05) виявлялося в основній групі. Ці дані вказують на </w:t>
      </w:r>
      <w:r w:rsidRPr="0084259C">
        <w:rPr>
          <w:rFonts w:ascii="Times New Roman" w:hAnsi="Times New Roman"/>
          <w:sz w:val="28"/>
          <w:szCs w:val="28"/>
          <w:lang w:val="uk-UA"/>
        </w:rPr>
        <w:t xml:space="preserve">більшу мікробну контамінацію </w:t>
      </w:r>
      <w:r w:rsidR="00713761">
        <w:rPr>
          <w:rFonts w:ascii="Times New Roman" w:hAnsi="Times New Roman"/>
          <w:sz w:val="28"/>
          <w:szCs w:val="28"/>
          <w:lang w:val="uk-UA"/>
        </w:rPr>
        <w:t xml:space="preserve">ПР </w:t>
      </w:r>
      <w:r w:rsidRPr="0084259C">
        <w:rPr>
          <w:rFonts w:ascii="Times New Roman" w:hAnsi="Times New Roman"/>
          <w:sz w:val="28"/>
          <w:szCs w:val="28"/>
          <w:lang w:val="uk-UA"/>
        </w:rPr>
        <w:t xml:space="preserve"> у дівчат-підлітків з ПМФ.</w:t>
      </w:r>
    </w:p>
    <w:p w:rsidR="000F78D0" w:rsidRPr="0084259C" w:rsidRDefault="000F78D0" w:rsidP="002E2C80">
      <w:pPr>
        <w:spacing w:line="360" w:lineRule="auto"/>
        <w:ind w:firstLine="709"/>
        <w:jc w:val="both"/>
        <w:rPr>
          <w:rFonts w:ascii="Times New Roman" w:hAnsi="Times New Roman"/>
          <w:sz w:val="28"/>
          <w:szCs w:val="28"/>
          <w:lang w:val="uk-UA"/>
        </w:rPr>
      </w:pPr>
      <w:r w:rsidRPr="0084259C">
        <w:rPr>
          <w:rFonts w:ascii="Times New Roman" w:hAnsi="Times New Roman"/>
          <w:sz w:val="28"/>
          <w:szCs w:val="28"/>
          <w:lang w:val="uk-UA"/>
        </w:rPr>
        <w:t xml:space="preserve">На ступінь бактеріальної контамінації </w:t>
      </w:r>
      <w:r w:rsidR="00713761">
        <w:rPr>
          <w:rFonts w:ascii="Times New Roman" w:hAnsi="Times New Roman"/>
          <w:sz w:val="28"/>
          <w:szCs w:val="28"/>
          <w:lang w:val="uk-UA"/>
        </w:rPr>
        <w:t>ПР</w:t>
      </w:r>
      <w:r w:rsidRPr="0084259C">
        <w:rPr>
          <w:rFonts w:ascii="Times New Roman" w:hAnsi="Times New Roman"/>
          <w:sz w:val="28"/>
          <w:szCs w:val="28"/>
          <w:lang w:val="uk-UA"/>
        </w:rPr>
        <w:t xml:space="preserve"> впливає активність ферменту лізоциму, що має протибактеріальну</w:t>
      </w:r>
      <w:r w:rsidR="00E66D22">
        <w:rPr>
          <w:rFonts w:ascii="Times New Roman" w:hAnsi="Times New Roman"/>
          <w:sz w:val="28"/>
          <w:szCs w:val="28"/>
          <w:lang w:val="uk-UA"/>
        </w:rPr>
        <w:t xml:space="preserve"> дію. В цьому плані (табл. 4.3</w:t>
      </w:r>
      <w:r w:rsidRPr="0084259C">
        <w:rPr>
          <w:rFonts w:ascii="Times New Roman" w:hAnsi="Times New Roman"/>
          <w:sz w:val="28"/>
          <w:szCs w:val="28"/>
          <w:lang w:val="uk-UA"/>
        </w:rPr>
        <w:t>) зниження рівню лізоциму в слині (≤40 од/л)  відмічено у 26,7% пацієнтів контролю і в 2,2 раза частіше (у 60%; р&lt;0,05) в основній групі.</w:t>
      </w:r>
    </w:p>
    <w:p w:rsidR="000F78D0" w:rsidRPr="0084259C" w:rsidRDefault="000F78D0" w:rsidP="002E2C80">
      <w:pPr>
        <w:spacing w:line="360" w:lineRule="auto"/>
        <w:ind w:firstLine="709"/>
        <w:jc w:val="both"/>
        <w:rPr>
          <w:rFonts w:ascii="Times New Roman" w:hAnsi="Times New Roman"/>
          <w:sz w:val="28"/>
          <w:szCs w:val="28"/>
          <w:lang w:val="uk-UA"/>
        </w:rPr>
      </w:pPr>
      <w:r w:rsidRPr="0084259C">
        <w:rPr>
          <w:rFonts w:ascii="Times New Roman" w:hAnsi="Times New Roman"/>
          <w:sz w:val="28"/>
          <w:szCs w:val="28"/>
          <w:lang w:val="uk-UA"/>
        </w:rPr>
        <w:lastRenderedPageBreak/>
        <w:t>Внаслідок вищевказаного</w:t>
      </w:r>
      <w:r>
        <w:rPr>
          <w:rFonts w:ascii="Times New Roman" w:hAnsi="Times New Roman"/>
          <w:sz w:val="28"/>
          <w:szCs w:val="28"/>
          <w:lang w:val="uk-UA"/>
        </w:rPr>
        <w:t xml:space="preserve"> співвідношення рівнів уреази і лізоциму встановлені суттєві відмінності в групах і по відношенню до показника ступеню дисбіозу. Так, нормативні його значення (≤130 ум.од.) не зустрічалися в основній групі, а в контролі частка таких хворих склала 10% (р&lt;0,05). Незначні прояви дисбіоза (1,31-2,0 ум.од) також були характерні для контроля і в 3 рази частіше (р&lt;0,05) визначалися в них, ніж в основній групі. Помірна ступінь дисбіоза (2,1-4,0 ум.од.) діагностувалася у 36,7% </w:t>
      </w:r>
      <w:r w:rsidRPr="0084259C">
        <w:rPr>
          <w:rFonts w:ascii="Times New Roman" w:hAnsi="Times New Roman"/>
          <w:sz w:val="28"/>
          <w:szCs w:val="28"/>
          <w:lang w:val="uk-UA"/>
        </w:rPr>
        <w:t>пацієнток контролю і дещо частіше (у 46,7%) в основній групі без суттєвих відмінностей (р&gt;0,05), а виражені прояви дисбіозу (</w:t>
      </w:r>
      <w:r w:rsidRPr="0084259C">
        <w:rPr>
          <w:sz w:val="28"/>
          <w:szCs w:val="28"/>
          <w:lang w:val="uk-UA"/>
        </w:rPr>
        <w:t>≥</w:t>
      </w:r>
      <w:r w:rsidRPr="0084259C">
        <w:rPr>
          <w:rFonts w:ascii="Times New Roman" w:hAnsi="Times New Roman"/>
          <w:sz w:val="28"/>
          <w:szCs w:val="28"/>
          <w:lang w:val="uk-UA"/>
        </w:rPr>
        <w:t>4,1 ум.од.) в 3 рази частіше (р&lt;0,05) виявлялися в основній групі.</w:t>
      </w:r>
    </w:p>
    <w:p w:rsidR="000F78D0" w:rsidRPr="0084259C" w:rsidRDefault="000F78D0" w:rsidP="002E2C80">
      <w:pPr>
        <w:spacing w:line="360" w:lineRule="auto"/>
        <w:ind w:firstLine="709"/>
        <w:jc w:val="both"/>
        <w:rPr>
          <w:rFonts w:ascii="Times New Roman" w:hAnsi="Times New Roman"/>
          <w:sz w:val="28"/>
          <w:szCs w:val="28"/>
          <w:lang w:val="uk-UA"/>
        </w:rPr>
      </w:pPr>
      <w:r w:rsidRPr="0084259C">
        <w:rPr>
          <w:rFonts w:ascii="Times New Roman" w:hAnsi="Times New Roman"/>
          <w:sz w:val="28"/>
          <w:szCs w:val="28"/>
          <w:lang w:val="uk-UA"/>
        </w:rPr>
        <w:t>Отже, ПМФ сприяє виникненню більш значимого дефіциту продукції нейтрофілами порожнини рота лізоциму, що призводить до збільшення його бактеріальної контамінації і розвитку більш вираженого, ніж в контролі, нейтрофільного запалення в тканинах пародонта.</w:t>
      </w:r>
    </w:p>
    <w:p w:rsidR="000F78D0" w:rsidRDefault="000F78D0" w:rsidP="002E2C80">
      <w:pPr>
        <w:spacing w:line="360" w:lineRule="auto"/>
        <w:ind w:firstLine="709"/>
        <w:jc w:val="both"/>
        <w:rPr>
          <w:rFonts w:ascii="Times New Roman" w:hAnsi="Times New Roman"/>
          <w:sz w:val="28"/>
          <w:szCs w:val="28"/>
          <w:lang w:val="uk-UA"/>
        </w:rPr>
      </w:pPr>
      <w:r w:rsidRPr="0084259C">
        <w:rPr>
          <w:rFonts w:ascii="Times New Roman" w:hAnsi="Times New Roman"/>
          <w:sz w:val="28"/>
          <w:szCs w:val="28"/>
          <w:lang w:val="uk-UA"/>
        </w:rPr>
        <w:t xml:space="preserve">Прояву дисбіозу </w:t>
      </w:r>
      <w:r w:rsidR="00713761">
        <w:rPr>
          <w:rFonts w:ascii="Times New Roman" w:hAnsi="Times New Roman"/>
          <w:sz w:val="28"/>
          <w:szCs w:val="28"/>
          <w:lang w:val="uk-UA"/>
        </w:rPr>
        <w:t>ПР</w:t>
      </w:r>
      <w:r w:rsidRPr="0084259C">
        <w:rPr>
          <w:rFonts w:ascii="Times New Roman" w:hAnsi="Times New Roman"/>
          <w:sz w:val="28"/>
          <w:szCs w:val="28"/>
          <w:lang w:val="uk-UA"/>
        </w:rPr>
        <w:t xml:space="preserve"> сприяє зниження як місцевої, так і системної резистентності організму. Так, ви</w:t>
      </w:r>
      <w:r>
        <w:rPr>
          <w:rFonts w:ascii="Times New Roman" w:hAnsi="Times New Roman"/>
          <w:sz w:val="28"/>
          <w:szCs w:val="28"/>
          <w:lang w:val="uk-UA"/>
        </w:rPr>
        <w:t>значення вмісту s</w:t>
      </w:r>
      <w:r>
        <w:rPr>
          <w:rFonts w:ascii="Times New Roman" w:hAnsi="Times New Roman"/>
          <w:sz w:val="28"/>
          <w:szCs w:val="28"/>
        </w:rPr>
        <w:t>IgA</w:t>
      </w:r>
      <w:r>
        <w:rPr>
          <w:rFonts w:ascii="Times New Roman" w:hAnsi="Times New Roman"/>
          <w:sz w:val="28"/>
          <w:szCs w:val="28"/>
          <w:lang w:val="uk-UA"/>
        </w:rPr>
        <w:t xml:space="preserve"> в слині показало (табл. </w:t>
      </w:r>
      <w:r w:rsidR="00E66D22">
        <w:rPr>
          <w:rFonts w:ascii="Times New Roman" w:hAnsi="Times New Roman"/>
          <w:sz w:val="28"/>
          <w:szCs w:val="28"/>
          <w:lang w:val="uk-UA"/>
        </w:rPr>
        <w:t>4.</w:t>
      </w:r>
      <w:r w:rsidR="00E66D22" w:rsidRPr="00E66D22">
        <w:rPr>
          <w:rFonts w:ascii="Times New Roman" w:hAnsi="Times New Roman"/>
          <w:sz w:val="28"/>
          <w:szCs w:val="28"/>
          <w:lang w:val="ru-RU"/>
        </w:rPr>
        <w:t>4</w:t>
      </w:r>
      <w:r w:rsidRPr="0084259C">
        <w:rPr>
          <w:rFonts w:ascii="Times New Roman" w:hAnsi="Times New Roman"/>
          <w:sz w:val="28"/>
          <w:szCs w:val="28"/>
          <w:lang w:val="uk-UA"/>
        </w:rPr>
        <w:t>), що</w:t>
      </w:r>
      <w:r>
        <w:rPr>
          <w:rFonts w:ascii="Times New Roman" w:hAnsi="Times New Roman"/>
          <w:sz w:val="28"/>
          <w:szCs w:val="28"/>
          <w:lang w:val="uk-UA"/>
        </w:rPr>
        <w:t xml:space="preserve"> зниження його рівня (≤0,30 мг/л) мало місце у 26,7%% хворих контролю і достовірно частіше ( в 2 рази, р&lt;0,05) в основній групі.</w:t>
      </w:r>
    </w:p>
    <w:p w:rsidR="000F78D0" w:rsidRPr="00BD4FE3" w:rsidRDefault="000F78D0" w:rsidP="002E2C80">
      <w:pPr>
        <w:spacing w:line="360" w:lineRule="auto"/>
        <w:ind w:firstLine="709"/>
        <w:jc w:val="right"/>
        <w:rPr>
          <w:rFonts w:ascii="Times New Roman" w:hAnsi="Times New Roman"/>
          <w:sz w:val="28"/>
          <w:szCs w:val="28"/>
          <w:lang w:val="ru-RU"/>
        </w:rPr>
      </w:pPr>
      <w:r w:rsidRPr="00981097">
        <w:rPr>
          <w:rFonts w:ascii="Times New Roman" w:hAnsi="Times New Roman"/>
          <w:i/>
          <w:sz w:val="28"/>
          <w:szCs w:val="28"/>
          <w:lang w:val="uk-UA"/>
        </w:rPr>
        <w:t>Таблиця</w:t>
      </w:r>
      <w:r>
        <w:rPr>
          <w:rFonts w:ascii="Times New Roman" w:hAnsi="Times New Roman"/>
          <w:sz w:val="28"/>
          <w:szCs w:val="28"/>
          <w:lang w:val="uk-UA"/>
        </w:rPr>
        <w:t xml:space="preserve"> </w:t>
      </w:r>
      <w:r w:rsidRPr="0084259C">
        <w:rPr>
          <w:rFonts w:ascii="Times New Roman" w:hAnsi="Times New Roman"/>
          <w:i/>
          <w:sz w:val="28"/>
          <w:szCs w:val="28"/>
          <w:lang w:val="uk-UA"/>
        </w:rPr>
        <w:t>4.</w:t>
      </w:r>
      <w:r w:rsidR="00E66D22" w:rsidRPr="00BD4FE3">
        <w:rPr>
          <w:rFonts w:ascii="Times New Roman" w:hAnsi="Times New Roman"/>
          <w:i/>
          <w:sz w:val="28"/>
          <w:szCs w:val="28"/>
          <w:lang w:val="ru-RU"/>
        </w:rPr>
        <w:t>4</w:t>
      </w:r>
    </w:p>
    <w:p w:rsidR="000F78D0" w:rsidRPr="00FF3BF6" w:rsidRDefault="000F78D0" w:rsidP="002E2C80">
      <w:pPr>
        <w:spacing w:line="360" w:lineRule="auto"/>
        <w:ind w:firstLine="709"/>
        <w:jc w:val="center"/>
        <w:rPr>
          <w:rFonts w:ascii="Times New Roman" w:hAnsi="Times New Roman"/>
          <w:sz w:val="20"/>
          <w:szCs w:val="20"/>
          <w:lang w:val="uk-UA"/>
        </w:rPr>
      </w:pPr>
      <w:r>
        <w:rPr>
          <w:rFonts w:ascii="Times New Roman" w:hAnsi="Times New Roman"/>
          <w:sz w:val="28"/>
          <w:szCs w:val="28"/>
          <w:lang w:val="uk-UA"/>
        </w:rPr>
        <w:t xml:space="preserve">Розподіл хворих в групах в залежності від значень показників місцевої і системної резистентності організму.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327"/>
        <w:gridCol w:w="1437"/>
        <w:gridCol w:w="1266"/>
        <w:gridCol w:w="1197"/>
        <w:gridCol w:w="808"/>
        <w:gridCol w:w="755"/>
        <w:gridCol w:w="864"/>
      </w:tblGrid>
      <w:tr w:rsidR="000F78D0" w:rsidRPr="001336DC" w:rsidTr="00036E27">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r w:rsidRPr="001336DC">
              <w:rPr>
                <w:rFonts w:ascii="Times New Roman" w:hAnsi="Times New Roman"/>
                <w:sz w:val="28"/>
                <w:szCs w:val="28"/>
                <w:lang w:val="uk-UA"/>
              </w:rPr>
              <w:t>Показники</w:t>
            </w:r>
          </w:p>
        </w:tc>
        <w:tc>
          <w:tcPr>
            <w:tcW w:w="143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24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p>
        </w:tc>
        <w:tc>
          <w:tcPr>
            <w:tcW w:w="0" w:type="auto"/>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3"/>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036E27">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ind w:firstLine="33"/>
              <w:rPr>
                <w:rFonts w:ascii="Times New Roman" w:hAnsi="Times New Roman"/>
                <w:sz w:val="28"/>
                <w:szCs w:val="28"/>
                <w:lang w:val="uk-UA"/>
              </w:rPr>
            </w:pPr>
            <w:r w:rsidRPr="001336DC">
              <w:rPr>
                <w:rFonts w:ascii="Times New Roman" w:hAnsi="Times New Roman"/>
                <w:sz w:val="28"/>
                <w:szCs w:val="28"/>
              </w:rPr>
              <w:t>sIgA</w:t>
            </w:r>
            <w:r w:rsidRPr="001336DC">
              <w:rPr>
                <w:rFonts w:ascii="Times New Roman" w:hAnsi="Times New Roman"/>
                <w:sz w:val="28"/>
                <w:szCs w:val="28"/>
                <w:lang w:val="uk-UA"/>
              </w:rPr>
              <w:t>, мг/л</w:t>
            </w:r>
          </w:p>
        </w:tc>
        <w:tc>
          <w:tcPr>
            <w:tcW w:w="143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3"/>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0,31-0,40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3"/>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≥0,41</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036E27">
            <w:pPr>
              <w:ind w:firstLine="33"/>
              <w:jc w:val="both"/>
              <w:rPr>
                <w:rFonts w:ascii="Times New Roman" w:hAnsi="Times New Roman"/>
                <w:sz w:val="28"/>
                <w:szCs w:val="28"/>
                <w:lang w:val="uk-UA"/>
              </w:rPr>
            </w:pPr>
            <w:r w:rsidRPr="001336DC">
              <w:rPr>
                <w:rFonts w:ascii="Times New Roman" w:hAnsi="Times New Roman"/>
                <w:sz w:val="28"/>
                <w:szCs w:val="28"/>
                <w:lang w:val="uk-UA"/>
              </w:rPr>
              <w:t>Електрофоретично рухомі ядра букального епітелію,%</w:t>
            </w:r>
          </w:p>
        </w:tc>
        <w:tc>
          <w:tcPr>
            <w:tcW w:w="143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3"/>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41-50</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&gt;0,05</w:t>
            </w:r>
          </w:p>
        </w:tc>
      </w:tr>
      <w:tr w:rsidR="000F78D0" w:rsidRPr="001336DC" w:rsidTr="00036E27">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036E27">
            <w:pPr>
              <w:ind w:firstLine="33"/>
              <w:rPr>
                <w:rFonts w:ascii="Times New Roman" w:hAnsi="Times New Roman"/>
                <w:sz w:val="28"/>
                <w:szCs w:val="28"/>
                <w:lang w:val="uk-UA"/>
              </w:rPr>
            </w:pPr>
          </w:p>
        </w:tc>
        <w:tc>
          <w:tcPr>
            <w:tcW w:w="143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126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pPr>
            <w:r w:rsidRPr="001336DC">
              <w:rPr>
                <w:rFonts w:ascii="Times New Roman" w:hAnsi="Times New Roman"/>
                <w:sz w:val="28"/>
                <w:szCs w:val="28"/>
                <w:lang w:val="uk-UA"/>
              </w:rPr>
              <w:t>&lt;0,05</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Поряд з порушенням місцевого захисту, у хворих основної групи в 2 рази частіше (р&lt;0,05) визначалося зниження загальної резистентності організму, що визначалася за часткою електрофоретично рухомих ядер букального епітелію </w:t>
      </w:r>
      <w:r>
        <w:rPr>
          <w:rFonts w:ascii="Times New Roman" w:hAnsi="Times New Roman"/>
          <w:sz w:val="28"/>
          <w:szCs w:val="28"/>
          <w:lang w:val="uk-UA"/>
        </w:rPr>
        <w:lastRenderedPageBreak/>
        <w:t>(табл</w:t>
      </w:r>
      <w:r w:rsidR="00E66D22">
        <w:rPr>
          <w:rFonts w:ascii="Times New Roman" w:hAnsi="Times New Roman"/>
          <w:sz w:val="28"/>
          <w:szCs w:val="28"/>
          <w:lang w:val="uk-UA"/>
        </w:rPr>
        <w:t>. 4.</w:t>
      </w:r>
      <w:r w:rsidR="00E66D22" w:rsidRPr="00BD4FE3">
        <w:rPr>
          <w:rFonts w:ascii="Times New Roman" w:hAnsi="Times New Roman"/>
          <w:sz w:val="28"/>
          <w:szCs w:val="28"/>
          <w:lang w:val="ru-RU"/>
        </w:rPr>
        <w:t>4</w:t>
      </w:r>
      <w:r w:rsidRPr="0084259C">
        <w:rPr>
          <w:rFonts w:ascii="Times New Roman" w:hAnsi="Times New Roman"/>
          <w:sz w:val="28"/>
          <w:szCs w:val="28"/>
          <w:lang w:val="uk-UA"/>
        </w:rPr>
        <w:t>)</w:t>
      </w:r>
      <w:r>
        <w:rPr>
          <w:rFonts w:ascii="Times New Roman" w:hAnsi="Times New Roman"/>
          <w:sz w:val="28"/>
          <w:szCs w:val="28"/>
          <w:lang w:val="uk-UA"/>
        </w:rPr>
        <w:t>. Так, частка хворих зі зниженою рухомістю ядер букального епітелію склала 43,3%, а в контролі в 2,2 раза рідше (20%; р&lt;0,05). І, навпаки, висока їх рухомість відмічалася в 4,4 раза частіше в контрольній групі (р&lt;0,05).</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у дівчат-підлітків з ПМФ, у порівнянні з контролем, відзначалося суттєво більш виражене порушення місцевого і загального імунобіологічного захисту організму, що сприяє розвитку виражених проявів дисбіозу </w:t>
      </w:r>
      <w:r w:rsidR="00713761">
        <w:rPr>
          <w:rFonts w:ascii="Times New Roman" w:hAnsi="Times New Roman"/>
          <w:sz w:val="28"/>
          <w:szCs w:val="28"/>
          <w:lang w:val="uk-UA"/>
        </w:rPr>
        <w:t xml:space="preserve">ПР </w:t>
      </w:r>
      <w:r>
        <w:rPr>
          <w:rFonts w:ascii="Times New Roman" w:hAnsi="Times New Roman"/>
          <w:sz w:val="28"/>
          <w:szCs w:val="28"/>
          <w:lang w:val="uk-UA"/>
        </w:rPr>
        <w:t>і інфекційного запалення в тканинах пародонта.</w:t>
      </w:r>
    </w:p>
    <w:p w:rsidR="000F78D0" w:rsidRDefault="000F78D0" w:rsidP="002E2C80">
      <w:pPr>
        <w:spacing w:line="360" w:lineRule="auto"/>
        <w:ind w:firstLine="709"/>
        <w:jc w:val="both"/>
        <w:rPr>
          <w:rFonts w:ascii="Times New Roman" w:hAnsi="Times New Roman"/>
          <w:sz w:val="28"/>
          <w:szCs w:val="28"/>
          <w:lang w:val="uk-UA"/>
        </w:rPr>
      </w:pPr>
    </w:p>
    <w:p w:rsidR="000F78D0" w:rsidRDefault="00EE3129"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у</w:t>
      </w:r>
      <w:r w:rsidR="000F78D0">
        <w:rPr>
          <w:rFonts w:ascii="Times New Roman" w:hAnsi="Times New Roman"/>
          <w:sz w:val="28"/>
          <w:szCs w:val="28"/>
          <w:lang w:val="uk-UA"/>
        </w:rPr>
        <w:t xml:space="preserve"> хворих з ПМФ у  порівнянні з контролем виявлено достовірне збільшення епітеліальних клітин з проявами цитопатології: з вакуолізованою цитоплазмою, з деформованим ядром і контамінованих мікроорганізмами.</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Визначення ступеню відхилення від нормативу значень цитологічних показників за допомогою нормованого показника </w:t>
      </w:r>
      <w:r>
        <w:rPr>
          <w:rFonts w:ascii="Times New Roman" w:hAnsi="Times New Roman"/>
          <w:sz w:val="28"/>
          <w:szCs w:val="28"/>
        </w:rPr>
        <w:t>t</w:t>
      </w:r>
      <w:r w:rsidRPr="00B30671">
        <w:rPr>
          <w:rFonts w:ascii="Times New Roman" w:hAnsi="Times New Roman"/>
          <w:sz w:val="28"/>
          <w:szCs w:val="28"/>
          <w:lang w:val="uk-UA"/>
        </w:rPr>
        <w:t>-критерію і їх рангування  виявило стереотипність</w:t>
      </w:r>
      <w:r>
        <w:rPr>
          <w:rFonts w:ascii="Times New Roman" w:hAnsi="Times New Roman"/>
          <w:sz w:val="28"/>
          <w:szCs w:val="28"/>
          <w:lang w:val="uk-UA"/>
        </w:rPr>
        <w:t xml:space="preserve"> (ідентичність) цитологічних відхилень в тканинах пародонта в групах. Однак, в цілому, ступінь морфологічних порушень в яснах хворих з ПМФ на 40% була вищою, ніж в контролі.</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У хворих основної групи відмічено достовірно більш значиме зниження мінералізуючої функції слини і оптичної щільності кісткових структур пародонта.</w:t>
      </w:r>
    </w:p>
    <w:p w:rsidR="000F78D0" w:rsidRPr="00B30671"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дівчат-підлітків з ПМФ у порівнянні з контролем більш виражені прояви дисбіозу </w:t>
      </w:r>
      <w:r w:rsidR="00713761">
        <w:rPr>
          <w:rFonts w:ascii="Times New Roman" w:hAnsi="Times New Roman"/>
          <w:sz w:val="28"/>
          <w:szCs w:val="28"/>
          <w:lang w:val="uk-UA"/>
        </w:rPr>
        <w:t xml:space="preserve">ПР </w:t>
      </w:r>
      <w:r>
        <w:rPr>
          <w:rFonts w:ascii="Times New Roman" w:hAnsi="Times New Roman"/>
          <w:sz w:val="28"/>
          <w:szCs w:val="28"/>
          <w:lang w:val="uk-UA"/>
        </w:rPr>
        <w:t xml:space="preserve"> на фоні зниження місцевих (рівень лізоциму і sIgA)</w:t>
      </w:r>
      <w:r w:rsidRPr="00B30671">
        <w:rPr>
          <w:rFonts w:ascii="Times New Roman" w:hAnsi="Times New Roman"/>
          <w:sz w:val="28"/>
          <w:szCs w:val="28"/>
          <w:lang w:val="uk-UA"/>
        </w:rPr>
        <w:t xml:space="preserve"> </w:t>
      </w:r>
      <w:r>
        <w:rPr>
          <w:rFonts w:ascii="Times New Roman" w:hAnsi="Times New Roman"/>
          <w:sz w:val="28"/>
          <w:szCs w:val="28"/>
          <w:lang w:val="uk-UA"/>
        </w:rPr>
        <w:t>і загальних (вміст електрофоретично активних ядер букального епітелію) факторів неспецифічної резистентності організму.</w:t>
      </w:r>
    </w:p>
    <w:p w:rsidR="000F78D0" w:rsidRDefault="000F78D0" w:rsidP="002E2C80">
      <w:pPr>
        <w:spacing w:line="360" w:lineRule="auto"/>
        <w:ind w:firstLine="709"/>
        <w:jc w:val="both"/>
        <w:rPr>
          <w:rFonts w:ascii="Times New Roman" w:hAnsi="Times New Roman"/>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p>
    <w:p w:rsidR="00036E27" w:rsidRDefault="00036E27" w:rsidP="00AC605C">
      <w:pPr>
        <w:spacing w:line="360" w:lineRule="auto"/>
        <w:ind w:firstLine="426"/>
        <w:jc w:val="both"/>
        <w:rPr>
          <w:rFonts w:ascii="Times New Roman" w:hAnsi="Times New Roman"/>
          <w:sz w:val="28"/>
          <w:szCs w:val="28"/>
          <w:lang w:val="uk-UA"/>
        </w:rPr>
      </w:pPr>
    </w:p>
    <w:p w:rsidR="00036E27" w:rsidRDefault="00036E27" w:rsidP="00AC605C">
      <w:pPr>
        <w:spacing w:line="360" w:lineRule="auto"/>
        <w:ind w:firstLine="426"/>
        <w:jc w:val="both"/>
        <w:rPr>
          <w:rFonts w:ascii="Times New Roman" w:hAnsi="Times New Roman"/>
          <w:sz w:val="28"/>
          <w:szCs w:val="28"/>
          <w:lang w:val="uk-UA"/>
        </w:rPr>
      </w:pPr>
    </w:p>
    <w:p w:rsidR="00EE3129" w:rsidRDefault="00EE3129" w:rsidP="00AC605C">
      <w:pPr>
        <w:spacing w:line="360" w:lineRule="auto"/>
        <w:ind w:firstLine="426"/>
        <w:jc w:val="both"/>
        <w:rPr>
          <w:rFonts w:ascii="Times New Roman" w:hAnsi="Times New Roman"/>
          <w:sz w:val="28"/>
          <w:szCs w:val="28"/>
          <w:lang w:val="uk-UA"/>
        </w:rPr>
      </w:pPr>
    </w:p>
    <w:p w:rsidR="00036E27" w:rsidRDefault="00036E27" w:rsidP="00AC605C">
      <w:pPr>
        <w:spacing w:line="360" w:lineRule="auto"/>
        <w:ind w:firstLine="426"/>
        <w:jc w:val="both"/>
        <w:rPr>
          <w:rFonts w:ascii="Times New Roman" w:hAnsi="Times New Roman"/>
          <w:sz w:val="28"/>
          <w:szCs w:val="28"/>
          <w:lang w:val="uk-UA"/>
        </w:rPr>
      </w:pPr>
    </w:p>
    <w:p w:rsidR="00036E27" w:rsidRDefault="00036E27" w:rsidP="00AC605C">
      <w:pPr>
        <w:spacing w:line="360" w:lineRule="auto"/>
        <w:ind w:firstLine="426"/>
        <w:jc w:val="both"/>
        <w:rPr>
          <w:rFonts w:ascii="Times New Roman" w:hAnsi="Times New Roman"/>
          <w:sz w:val="28"/>
          <w:szCs w:val="28"/>
          <w:lang w:val="uk-UA"/>
        </w:rPr>
      </w:pPr>
    </w:p>
    <w:p w:rsidR="00036E27" w:rsidRPr="0033328A" w:rsidRDefault="00036E27" w:rsidP="00AC605C">
      <w:pPr>
        <w:spacing w:line="360" w:lineRule="auto"/>
        <w:ind w:firstLine="426"/>
        <w:jc w:val="both"/>
        <w:rPr>
          <w:rFonts w:ascii="Times New Roman" w:hAnsi="Times New Roman"/>
          <w:sz w:val="28"/>
          <w:szCs w:val="28"/>
          <w:lang w:val="uk-UA"/>
        </w:rPr>
      </w:pPr>
    </w:p>
    <w:p w:rsidR="000F78D0" w:rsidRPr="00282DED" w:rsidRDefault="000F78D0" w:rsidP="002E2C80">
      <w:pPr>
        <w:spacing w:line="360" w:lineRule="auto"/>
        <w:ind w:firstLine="709"/>
        <w:jc w:val="center"/>
        <w:rPr>
          <w:rFonts w:ascii="Times New Roman" w:hAnsi="Times New Roman"/>
          <w:b/>
          <w:sz w:val="28"/>
          <w:szCs w:val="28"/>
          <w:lang w:val="ru-RU"/>
        </w:rPr>
      </w:pPr>
      <w:r w:rsidRPr="00282DED">
        <w:rPr>
          <w:rFonts w:ascii="Times New Roman" w:hAnsi="Times New Roman"/>
          <w:b/>
          <w:sz w:val="28"/>
          <w:szCs w:val="28"/>
          <w:lang w:val="uk-UA"/>
        </w:rPr>
        <w:lastRenderedPageBreak/>
        <w:t>РОЗДІЛ</w:t>
      </w:r>
      <w:r w:rsidRPr="00282DED">
        <w:rPr>
          <w:rFonts w:ascii="Times New Roman" w:hAnsi="Times New Roman"/>
          <w:b/>
          <w:sz w:val="28"/>
          <w:szCs w:val="28"/>
          <w:lang w:val="ru-RU"/>
        </w:rPr>
        <w:t xml:space="preserve"> 5</w:t>
      </w:r>
    </w:p>
    <w:p w:rsidR="000F78D0" w:rsidRPr="00282DED" w:rsidRDefault="000F78D0" w:rsidP="002E2C80">
      <w:pPr>
        <w:spacing w:line="360" w:lineRule="auto"/>
        <w:ind w:firstLine="709"/>
        <w:jc w:val="center"/>
        <w:rPr>
          <w:rFonts w:ascii="Times New Roman" w:hAnsi="Times New Roman"/>
          <w:b/>
          <w:sz w:val="28"/>
          <w:szCs w:val="28"/>
          <w:lang w:val="ru-RU"/>
        </w:rPr>
      </w:pPr>
    </w:p>
    <w:p w:rsidR="000F78D0" w:rsidRPr="00282DED" w:rsidRDefault="000F78D0" w:rsidP="002E2C80">
      <w:pPr>
        <w:spacing w:line="360" w:lineRule="auto"/>
        <w:ind w:firstLine="709"/>
        <w:jc w:val="center"/>
        <w:rPr>
          <w:rFonts w:ascii="Times New Roman" w:hAnsi="Times New Roman"/>
          <w:b/>
          <w:sz w:val="28"/>
          <w:szCs w:val="28"/>
          <w:lang w:val="ru-RU"/>
        </w:rPr>
      </w:pPr>
      <w:r w:rsidRPr="00282DED">
        <w:rPr>
          <w:rFonts w:ascii="Times New Roman" w:hAnsi="Times New Roman"/>
          <w:b/>
          <w:sz w:val="28"/>
          <w:szCs w:val="28"/>
          <w:lang w:val="ru-RU"/>
        </w:rPr>
        <w:t>РЕЗУЛЬТАТИ КОМПЛЕКСНОГО ВИВЧЕННЯ КЛІНІКО-АНАМНЕСТИЧНИХ ТА ДОДАТКОВИХ МЕТОДІВ ОБСТЕЖЕННЯ</w:t>
      </w:r>
    </w:p>
    <w:p w:rsidR="000F78D0" w:rsidRPr="00282DED" w:rsidRDefault="000F78D0" w:rsidP="002E2C80">
      <w:pPr>
        <w:spacing w:line="360" w:lineRule="auto"/>
        <w:ind w:firstLine="709"/>
        <w:jc w:val="center"/>
        <w:rPr>
          <w:rFonts w:ascii="Times New Roman" w:hAnsi="Times New Roman"/>
          <w:b/>
          <w:sz w:val="28"/>
          <w:szCs w:val="28"/>
          <w:lang w:val="ru-RU"/>
        </w:rPr>
      </w:pPr>
    </w:p>
    <w:p w:rsidR="000F78D0" w:rsidRPr="00311627" w:rsidRDefault="000F78D0" w:rsidP="002E2C80">
      <w:pPr>
        <w:spacing w:line="360" w:lineRule="auto"/>
        <w:ind w:firstLine="709"/>
        <w:jc w:val="both"/>
        <w:rPr>
          <w:rFonts w:ascii="Times New Roman" w:hAnsi="Times New Roman"/>
          <w:b/>
          <w:sz w:val="28"/>
          <w:szCs w:val="28"/>
          <w:lang w:val="uk-UA"/>
        </w:rPr>
      </w:pPr>
      <w:r w:rsidRPr="00282DED">
        <w:rPr>
          <w:rFonts w:ascii="Times New Roman" w:hAnsi="Times New Roman"/>
          <w:b/>
          <w:sz w:val="28"/>
          <w:szCs w:val="28"/>
          <w:lang w:val="uk-UA"/>
        </w:rPr>
        <w:t>5. 1. Фактори, що детермінують розвиток запальних захворювань пародонта у дівчат-підлітків з порушенням менструальної функції</w:t>
      </w:r>
    </w:p>
    <w:p w:rsidR="000F78D0" w:rsidRDefault="000F78D0" w:rsidP="002E2C80">
      <w:pPr>
        <w:spacing w:line="360" w:lineRule="auto"/>
        <w:ind w:firstLine="709"/>
        <w:rPr>
          <w:rFonts w:ascii="Times New Roman" w:hAnsi="Times New Roman"/>
          <w:sz w:val="28"/>
          <w:szCs w:val="28"/>
          <w:lang w:val="uk-UA"/>
        </w:rPr>
      </w:pPr>
    </w:p>
    <w:p w:rsidR="000F78D0" w:rsidRPr="00B152D1" w:rsidRDefault="000F78D0" w:rsidP="002E2C80">
      <w:pPr>
        <w:spacing w:line="360" w:lineRule="auto"/>
        <w:ind w:firstLine="709"/>
        <w:jc w:val="both"/>
        <w:rPr>
          <w:rFonts w:ascii="Times New Roman" w:hAnsi="Times New Roman"/>
          <w:sz w:val="18"/>
          <w:szCs w:val="18"/>
          <w:lang w:val="uk-UA"/>
        </w:rPr>
      </w:pPr>
      <w:r>
        <w:rPr>
          <w:rFonts w:ascii="Times New Roman" w:hAnsi="Times New Roman"/>
          <w:sz w:val="28"/>
          <w:szCs w:val="28"/>
          <w:lang w:val="uk-UA"/>
        </w:rPr>
        <w:t xml:space="preserve">Для вирішення поставлених завдань  було вивчено клініко - анамнестичні та параклінічні показники в альтернативних групах: до </w:t>
      </w:r>
      <w:r w:rsidR="00B52E0B">
        <w:rPr>
          <w:rFonts w:ascii="Times New Roman" w:hAnsi="Times New Roman"/>
          <w:sz w:val="28"/>
          <w:szCs w:val="28"/>
          <w:lang w:val="uk-UA"/>
        </w:rPr>
        <w:t>основної</w:t>
      </w:r>
      <w:r>
        <w:rPr>
          <w:rFonts w:ascii="Times New Roman" w:hAnsi="Times New Roman"/>
          <w:sz w:val="28"/>
          <w:szCs w:val="28"/>
          <w:lang w:val="uk-UA"/>
        </w:rPr>
        <w:t xml:space="preserve"> групи увійшли дівчата – підлітки з порушенням менструальної функції (ПМФ)</w:t>
      </w:r>
      <w:r w:rsidR="00B52E0B" w:rsidRPr="00B52E0B">
        <w:rPr>
          <w:rFonts w:ascii="Times New Roman" w:hAnsi="Times New Roman"/>
          <w:sz w:val="28"/>
          <w:szCs w:val="28"/>
          <w:lang w:val="uk-UA"/>
        </w:rPr>
        <w:t xml:space="preserve"> </w:t>
      </w:r>
      <w:r w:rsidR="00B52E0B">
        <w:rPr>
          <w:rFonts w:ascii="Times New Roman" w:hAnsi="Times New Roman"/>
          <w:sz w:val="28"/>
          <w:szCs w:val="28"/>
          <w:lang w:val="uk-UA"/>
        </w:rPr>
        <w:t>і наявністю запальних змін пародонту (</w:t>
      </w:r>
      <w:r w:rsidR="00B52E0B">
        <w:rPr>
          <w:rFonts w:ascii="Times New Roman" w:hAnsi="Times New Roman"/>
          <w:sz w:val="28"/>
          <w:szCs w:val="28"/>
        </w:rPr>
        <w:t>n</w:t>
      </w:r>
      <w:r w:rsidR="00B52E0B">
        <w:rPr>
          <w:rFonts w:ascii="Times New Roman" w:hAnsi="Times New Roman"/>
          <w:sz w:val="28"/>
          <w:szCs w:val="28"/>
          <w:lang w:val="uk-UA"/>
        </w:rPr>
        <w:t>=50),</w:t>
      </w:r>
      <w:r>
        <w:rPr>
          <w:rFonts w:ascii="Times New Roman" w:hAnsi="Times New Roman"/>
          <w:sz w:val="28"/>
          <w:szCs w:val="28"/>
          <w:lang w:val="uk-UA"/>
        </w:rPr>
        <w:t xml:space="preserve"> </w:t>
      </w:r>
      <w:r w:rsidR="00B52E0B">
        <w:rPr>
          <w:rFonts w:ascii="Times New Roman" w:hAnsi="Times New Roman"/>
          <w:sz w:val="28"/>
          <w:szCs w:val="28"/>
          <w:lang w:val="uk-UA"/>
        </w:rPr>
        <w:t xml:space="preserve"> до другої групи  </w:t>
      </w:r>
      <w:r>
        <w:rPr>
          <w:rFonts w:ascii="Times New Roman" w:hAnsi="Times New Roman"/>
          <w:sz w:val="28"/>
          <w:szCs w:val="28"/>
          <w:lang w:val="uk-UA"/>
        </w:rPr>
        <w:t xml:space="preserve">(група контролю, </w:t>
      </w:r>
      <w:r>
        <w:rPr>
          <w:rFonts w:ascii="Times New Roman" w:hAnsi="Times New Roman"/>
          <w:sz w:val="28"/>
          <w:szCs w:val="28"/>
        </w:rPr>
        <w:t>n</w:t>
      </w:r>
      <w:r>
        <w:rPr>
          <w:rFonts w:ascii="Times New Roman" w:hAnsi="Times New Roman"/>
          <w:sz w:val="28"/>
          <w:szCs w:val="28"/>
          <w:lang w:val="uk-UA"/>
        </w:rPr>
        <w:t>=30</w:t>
      </w:r>
      <w:r w:rsidR="00B52E0B">
        <w:rPr>
          <w:rFonts w:ascii="Times New Roman" w:hAnsi="Times New Roman"/>
          <w:sz w:val="28"/>
          <w:szCs w:val="28"/>
          <w:lang w:val="uk-UA"/>
        </w:rPr>
        <w:t>)</w:t>
      </w:r>
      <w:r>
        <w:rPr>
          <w:rFonts w:ascii="Times New Roman" w:hAnsi="Times New Roman"/>
          <w:sz w:val="28"/>
          <w:szCs w:val="28"/>
          <w:lang w:val="uk-UA"/>
        </w:rPr>
        <w:t xml:space="preserve"> увійшли дівчата-підлітки з ПМФ</w:t>
      </w:r>
      <w:r w:rsidR="00B52E0B" w:rsidRPr="00B52E0B">
        <w:rPr>
          <w:rFonts w:ascii="Times New Roman" w:hAnsi="Times New Roman"/>
          <w:sz w:val="28"/>
          <w:szCs w:val="28"/>
          <w:lang w:val="uk-UA"/>
        </w:rPr>
        <w:t xml:space="preserve"> </w:t>
      </w:r>
      <w:r w:rsidR="00B52E0B">
        <w:rPr>
          <w:rFonts w:ascii="Times New Roman" w:hAnsi="Times New Roman"/>
          <w:sz w:val="28"/>
          <w:szCs w:val="28"/>
          <w:lang w:val="uk-UA"/>
        </w:rPr>
        <w:t>з інтактним пародонтом</w:t>
      </w:r>
      <w:r>
        <w:rPr>
          <w:rFonts w:ascii="Times New Roman" w:hAnsi="Times New Roman"/>
          <w:sz w:val="28"/>
          <w:szCs w:val="28"/>
          <w:lang w:val="uk-UA"/>
        </w:rPr>
        <w:t>.</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Дослідження даних акушерського анамнезу в групах встановило (табл. </w:t>
      </w:r>
      <w:r w:rsidR="00E66D22">
        <w:rPr>
          <w:rFonts w:ascii="Times New Roman" w:hAnsi="Times New Roman"/>
          <w:sz w:val="28"/>
          <w:szCs w:val="28"/>
          <w:lang w:val="uk-UA"/>
        </w:rPr>
        <w:t>5.1</w:t>
      </w:r>
      <w:r>
        <w:rPr>
          <w:rFonts w:ascii="Times New Roman" w:hAnsi="Times New Roman"/>
          <w:sz w:val="28"/>
          <w:szCs w:val="28"/>
          <w:lang w:val="uk-UA"/>
        </w:rPr>
        <w:t xml:space="preserve">), що за рядом показників виявлені достовірні відмінності між групами. При цьому в основній групі (2-га група) у порівнянні з групою </w:t>
      </w:r>
      <w:r w:rsidRPr="00282DED">
        <w:rPr>
          <w:rFonts w:ascii="Times New Roman" w:hAnsi="Times New Roman"/>
          <w:sz w:val="28"/>
          <w:szCs w:val="28"/>
          <w:lang w:val="uk-UA"/>
        </w:rPr>
        <w:t>контролю (1-ю групою) достовірно частіше зустрічалися: перша вагітність (в 1,5 раза; р&lt;0,05); ускладнений перебіг вагітності (в 1,5 рази; р&lt;0,05); загроза переривання вагітності (в 2,1 раза; р&lt;0,05); фетоплацентарна недостатність (в 2,2 раза; р&lt;0,05); гестоз першої половини вагітності (в 2 рази; р&lt;0,05); розродження шляхом кесарева розтину (в 1,8 раза; р&lt;0,05); ургентне проведення кесарева розтину (в 2,7 раза; р&lt;0,01); ускладнені пологи (в 1,8 раза; р&lt;0,05); асфіксія при народженні (в 1,7 раза; р&lt;0,05), а також маса тіла при народженні ≤ 2500 г, тобто недоношеність (в 2,6 раза; р&lt;0,05).</w:t>
      </w:r>
    </w:p>
    <w:p w:rsidR="00B52E0B"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свідчать про те, що цілий ряд негативних пре- та інтранатальних факторів чинять суттєвий вплив на формування в подальшому запальних захворювань пародонту у даній групі підлітків. Із цього випливає, що патогенетична детермінанта захворювань пародонту</w:t>
      </w:r>
      <w:r w:rsidRPr="00B152D1">
        <w:rPr>
          <w:rFonts w:ascii="Times New Roman" w:hAnsi="Times New Roman"/>
          <w:sz w:val="28"/>
          <w:szCs w:val="28"/>
          <w:lang w:val="uk-UA"/>
        </w:rPr>
        <w:t xml:space="preserve"> </w:t>
      </w:r>
      <w:r w:rsidR="00B52E0B">
        <w:rPr>
          <w:rFonts w:ascii="Times New Roman" w:hAnsi="Times New Roman"/>
          <w:sz w:val="28"/>
          <w:szCs w:val="28"/>
          <w:lang w:val="uk-UA"/>
        </w:rPr>
        <w:t>починає формуватися не тільки задовго до підліткового віку, але і до народження дитини.</w:t>
      </w:r>
    </w:p>
    <w:p w:rsidR="000F78D0" w:rsidRDefault="000F78D0" w:rsidP="00AC605C">
      <w:pPr>
        <w:spacing w:line="360" w:lineRule="auto"/>
        <w:ind w:firstLine="426"/>
        <w:jc w:val="both"/>
        <w:rPr>
          <w:rFonts w:ascii="Times New Roman" w:hAnsi="Times New Roman"/>
          <w:sz w:val="28"/>
          <w:szCs w:val="28"/>
          <w:lang w:val="uk-UA"/>
        </w:rPr>
      </w:pPr>
    </w:p>
    <w:p w:rsidR="000F78D0" w:rsidRPr="00BD4FE3" w:rsidRDefault="000F78D0" w:rsidP="00AC605C">
      <w:pPr>
        <w:spacing w:line="360" w:lineRule="auto"/>
        <w:ind w:firstLine="426"/>
        <w:jc w:val="right"/>
        <w:rPr>
          <w:rFonts w:ascii="Times New Roman" w:hAnsi="Times New Roman"/>
          <w:i/>
          <w:sz w:val="28"/>
          <w:szCs w:val="28"/>
          <w:lang w:val="ru-RU"/>
        </w:rPr>
      </w:pPr>
      <w:r w:rsidRPr="004845B5">
        <w:rPr>
          <w:rFonts w:ascii="Times New Roman" w:hAnsi="Times New Roman"/>
          <w:i/>
          <w:sz w:val="28"/>
          <w:szCs w:val="28"/>
          <w:lang w:val="uk-UA"/>
        </w:rPr>
        <w:lastRenderedPageBreak/>
        <w:t>Таблиця</w:t>
      </w:r>
      <w:r>
        <w:rPr>
          <w:rFonts w:ascii="Times New Roman" w:hAnsi="Times New Roman"/>
          <w:i/>
          <w:sz w:val="28"/>
          <w:szCs w:val="28"/>
          <w:lang w:val="uk-UA"/>
        </w:rPr>
        <w:t xml:space="preserve"> 5. 1 </w:t>
      </w:r>
    </w:p>
    <w:p w:rsidR="000F78D0" w:rsidRPr="004845B5" w:rsidRDefault="000F78D0" w:rsidP="002E2C80">
      <w:pPr>
        <w:spacing w:line="360" w:lineRule="auto"/>
        <w:ind w:firstLine="709"/>
        <w:jc w:val="both"/>
        <w:rPr>
          <w:rFonts w:ascii="Times New Roman" w:hAnsi="Times New Roman"/>
          <w:i/>
          <w:sz w:val="28"/>
          <w:szCs w:val="28"/>
          <w:lang w:val="uk-UA"/>
        </w:rPr>
      </w:pPr>
      <w:r w:rsidRPr="004845B5">
        <w:rPr>
          <w:rFonts w:ascii="Times New Roman" w:hAnsi="Times New Roman"/>
          <w:i/>
          <w:sz w:val="28"/>
          <w:szCs w:val="28"/>
          <w:lang w:val="uk-UA"/>
        </w:rPr>
        <w:t>Розподіл хворих в групах в залежності від даних акушерського анамнезу</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682"/>
        <w:gridCol w:w="1861"/>
        <w:gridCol w:w="948"/>
        <w:gridCol w:w="706"/>
        <w:gridCol w:w="865"/>
        <w:gridCol w:w="506"/>
        <w:gridCol w:w="1004"/>
      </w:tblGrid>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Показник</w:t>
            </w:r>
          </w:p>
        </w:tc>
        <w:tc>
          <w:tcPr>
            <w:tcW w:w="1861" w:type="dxa"/>
            <w:vMerge w:val="restart"/>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4"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371"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0" w:type="auto"/>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vMerge/>
          </w:tcPr>
          <w:p w:rsidR="000F78D0" w:rsidRPr="001336DC" w:rsidRDefault="000F78D0" w:rsidP="003D0EAE">
            <w:pPr>
              <w:spacing w:line="276" w:lineRule="auto"/>
              <w:ind w:firstLine="5"/>
              <w:jc w:val="center"/>
              <w:rPr>
                <w:rFonts w:ascii="Times New Roman" w:hAnsi="Times New Roman"/>
                <w:sz w:val="28"/>
                <w:szCs w:val="28"/>
                <w:lang w:val="uk-UA"/>
              </w:rPr>
            </w:pP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вагітностей</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1</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2</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≥3</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Перебіг вагітності</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гладкий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ускладнений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Загроза переривання вагітності</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52</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Фетоплацентарна недостатність</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Гестоз першої половини вагітності</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Гестоз другої половини вагітності</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27</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Розродження</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самостійне</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плановий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ургентний</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Прееклампсія</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Асфіксія при народженні</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Ураження ЦНС  новонародженого</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12.</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Ускладнення пологів</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13.</w:t>
            </w:r>
          </w:p>
        </w:tc>
        <w:tc>
          <w:tcPr>
            <w:tcW w:w="0" w:type="auto"/>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Маса тіла новонародженого, г</w:t>
            </w: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≤1500</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1501-2500</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2501-3500</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53,3</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3501-4000</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26,7</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3D0EAE">
            <w:pPr>
              <w:spacing w:line="276" w:lineRule="auto"/>
              <w:ind w:firstLine="1"/>
              <w:rPr>
                <w:rFonts w:ascii="Times New Roman" w:hAnsi="Times New Roman"/>
                <w:sz w:val="28"/>
                <w:szCs w:val="28"/>
                <w:lang w:val="uk-UA"/>
              </w:rPr>
            </w:pPr>
          </w:p>
        </w:tc>
        <w:tc>
          <w:tcPr>
            <w:tcW w:w="1861" w:type="dxa"/>
          </w:tcPr>
          <w:p w:rsidR="000F78D0" w:rsidRPr="001336DC" w:rsidRDefault="000F78D0" w:rsidP="003D0EAE">
            <w:pPr>
              <w:spacing w:line="276" w:lineRule="auto"/>
              <w:ind w:firstLine="5"/>
              <w:jc w:val="center"/>
              <w:rPr>
                <w:rFonts w:ascii="Times New Roman" w:hAnsi="Times New Roman"/>
                <w:sz w:val="28"/>
                <w:szCs w:val="28"/>
                <w:lang w:val="uk-UA"/>
              </w:rPr>
            </w:pPr>
            <w:r w:rsidRPr="001336DC">
              <w:rPr>
                <w:rFonts w:ascii="Times New Roman" w:hAnsi="Times New Roman"/>
                <w:sz w:val="28"/>
                <w:szCs w:val="28"/>
                <w:lang w:val="uk-UA"/>
              </w:rPr>
              <w:t>≥4001</w:t>
            </w:r>
          </w:p>
        </w:tc>
        <w:tc>
          <w:tcPr>
            <w:tcW w:w="948"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865"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0" w:type="auto"/>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bl>
    <w:p w:rsidR="000F78D0" w:rsidRDefault="000F78D0" w:rsidP="00AC605C">
      <w:pPr>
        <w:spacing w:line="360" w:lineRule="auto"/>
        <w:ind w:firstLine="426"/>
        <w:jc w:val="right"/>
        <w:rPr>
          <w:rFonts w:ascii="Times New Roman" w:hAnsi="Times New Roman"/>
          <w:i/>
          <w:sz w:val="28"/>
          <w:szCs w:val="28"/>
          <w:lang w:val="uk-UA"/>
        </w:rPr>
      </w:pPr>
    </w:p>
    <w:p w:rsidR="000F78D0" w:rsidRDefault="000F78D0" w:rsidP="002E2C80">
      <w:pPr>
        <w:spacing w:line="360" w:lineRule="auto"/>
        <w:ind w:firstLine="709"/>
        <w:jc w:val="both"/>
        <w:rPr>
          <w:rFonts w:ascii="Times New Roman" w:hAnsi="Times New Roman"/>
          <w:sz w:val="28"/>
          <w:szCs w:val="28"/>
          <w:lang w:val="uk-UA"/>
        </w:rPr>
      </w:pPr>
      <w:r w:rsidRPr="00AF7238">
        <w:rPr>
          <w:rFonts w:ascii="Times New Roman" w:hAnsi="Times New Roman"/>
          <w:i/>
          <w:sz w:val="28"/>
          <w:szCs w:val="28"/>
          <w:lang w:val="uk-UA"/>
        </w:rPr>
        <w:t>Примітка</w:t>
      </w:r>
      <w:r>
        <w:rPr>
          <w:rFonts w:ascii="Times New Roman" w:hAnsi="Times New Roman"/>
          <w:sz w:val="28"/>
          <w:szCs w:val="28"/>
          <w:lang w:val="uk-UA"/>
        </w:rPr>
        <w:t>: * - односторонній критерій</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Дослідження впливу спадкових факторів на формування розглядуваної патології показало,</w:t>
      </w:r>
      <w:r w:rsidR="00E66D22">
        <w:rPr>
          <w:rFonts w:ascii="Times New Roman" w:hAnsi="Times New Roman"/>
          <w:sz w:val="28"/>
          <w:szCs w:val="28"/>
          <w:lang w:val="uk-UA"/>
        </w:rPr>
        <w:t xml:space="preserve"> що по лінії матері (табл. 5.</w:t>
      </w:r>
      <w:r w:rsidR="00E66D22" w:rsidRPr="00E66D22">
        <w:rPr>
          <w:rFonts w:ascii="Times New Roman" w:hAnsi="Times New Roman"/>
          <w:sz w:val="28"/>
          <w:szCs w:val="28"/>
          <w:lang w:val="ru-RU"/>
        </w:rPr>
        <w:t>2</w:t>
      </w:r>
      <w:r>
        <w:rPr>
          <w:rFonts w:ascii="Times New Roman" w:hAnsi="Times New Roman"/>
          <w:sz w:val="28"/>
          <w:szCs w:val="28"/>
          <w:lang w:val="uk-UA"/>
        </w:rPr>
        <w:t xml:space="preserve">) в основній групі достовірно частіше, ніж в </w:t>
      </w:r>
      <w:r w:rsidRPr="00282DED">
        <w:rPr>
          <w:rFonts w:ascii="Times New Roman" w:hAnsi="Times New Roman"/>
          <w:sz w:val="28"/>
          <w:szCs w:val="28"/>
          <w:lang w:val="uk-UA"/>
        </w:rPr>
        <w:t>групі контролю визначалося: порушення менструальної функції (в 2 рази; р&lt;0,05); захворювання шлунково-кишкового тракту (в 2,3 раза; р&lt;0,05); прояви алергії (в 4,2 раза; р&lt;0,05); значна (≥ 3) кількість хронічних захворювань (в 6,7 раза; р&lt;0,01); висока (≥ 21) ураженість карієсом (в 2,1 раза; р&lt;0,05) і наявність пародонтиту (в 1,8 раза</w:t>
      </w:r>
      <w:r>
        <w:rPr>
          <w:rFonts w:ascii="Times New Roman" w:hAnsi="Times New Roman"/>
          <w:sz w:val="28"/>
          <w:szCs w:val="28"/>
          <w:lang w:val="uk-UA"/>
        </w:rPr>
        <w:t>; р&lt;0,05).</w:t>
      </w:r>
      <w:r>
        <w:rPr>
          <w:rFonts w:ascii="Times New Roman" w:hAnsi="Times New Roman"/>
          <w:sz w:val="28"/>
          <w:szCs w:val="28"/>
          <w:lang w:val="uk-UA"/>
        </w:rPr>
        <w:tab/>
      </w:r>
      <w:r>
        <w:rPr>
          <w:rFonts w:ascii="Times New Roman" w:hAnsi="Times New Roman"/>
          <w:sz w:val="28"/>
          <w:szCs w:val="28"/>
          <w:lang w:val="uk-UA"/>
        </w:rPr>
        <w:tab/>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Звертає увагу те, що щодо таких патологічних станів, як ожиріння, ендокринні, ЛОР і серцево-судинні захворювання, захворювання сечовидільної системи, а також наявності карієсу і вегето-судинної дистонії достовірних відмінностей між групами не виявлено (р&gt;0,05). Однак у більшості з них (крім захворювань сечовидільної системи) виявлена тенденція до більшої їх частоти в основній групі. В цілому така тенденція має кумулятивний характер, що яскраво виявилося при обліку загальної кількості хронічних захворювань. Якщо в контрольній групі частка матерів, що не мали або мали одне хронічне захворювання, в 2,8 </w:t>
      </w:r>
      <w:r w:rsidRPr="00282DED">
        <w:rPr>
          <w:rFonts w:ascii="Times New Roman" w:hAnsi="Times New Roman"/>
          <w:sz w:val="28"/>
          <w:szCs w:val="28"/>
          <w:lang w:val="uk-UA"/>
        </w:rPr>
        <w:t>раза перевищувала відповідну кількість в основній групі (р&lt;0,01), то наявність трьох і більше захворювань була характерна для хворих основної групи, оскільки зустрічалась в них в 6,7 раза частіше (р&lt;0,01) в порівнянні з контролем</w:t>
      </w:r>
      <w:r>
        <w:rPr>
          <w:rFonts w:ascii="Times New Roman" w:hAnsi="Times New Roman"/>
          <w:sz w:val="28"/>
          <w:szCs w:val="28"/>
          <w:lang w:val="uk-UA"/>
        </w:rPr>
        <w:t>.</w:t>
      </w:r>
    </w:p>
    <w:p w:rsidR="000F78D0"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результати свідчать про те, що генетичний вантаж зі сторони матері відіграє суттєву патогенетичну роль. При цьому варто відзначити, що патогенетична значимість встановлена не тільки по відношенню до специфічного (захворюваність карієсом і пародонтитом), але і неспецифічного (хронічна соматична патологія) генетичного вантажу.</w:t>
      </w:r>
      <w:r w:rsidRPr="00282DED">
        <w:rPr>
          <w:rFonts w:ascii="Times New Roman" w:hAnsi="Times New Roman"/>
          <w:sz w:val="28"/>
          <w:szCs w:val="28"/>
          <w:lang w:val="uk-UA"/>
        </w:rPr>
        <w:t xml:space="preserve"> </w:t>
      </w:r>
    </w:p>
    <w:p w:rsidR="00B52E0B" w:rsidRDefault="000F78D0"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патогенетична матриця досліджуваної патології починає формуватися не тільки до народження дитини, але і до </w:t>
      </w:r>
      <w:r w:rsidRPr="00620226">
        <w:rPr>
          <w:rFonts w:ascii="Times New Roman" w:hAnsi="Times New Roman"/>
          <w:sz w:val="28"/>
          <w:szCs w:val="28"/>
          <w:lang w:val="ru-RU"/>
        </w:rPr>
        <w:t>її</w:t>
      </w:r>
      <w:r>
        <w:rPr>
          <w:rFonts w:ascii="Times New Roman" w:hAnsi="Times New Roman"/>
          <w:sz w:val="28"/>
          <w:szCs w:val="28"/>
          <w:lang w:val="ru-RU"/>
        </w:rPr>
        <w:t xml:space="preserve"> </w:t>
      </w:r>
      <w:r>
        <w:rPr>
          <w:rFonts w:ascii="Times New Roman" w:hAnsi="Times New Roman"/>
          <w:sz w:val="28"/>
          <w:szCs w:val="28"/>
          <w:lang w:val="uk-UA"/>
        </w:rPr>
        <w:t xml:space="preserve"> зачаття.</w:t>
      </w:r>
      <w:r w:rsidR="00B52E0B" w:rsidRPr="00B52E0B">
        <w:rPr>
          <w:rFonts w:ascii="Times New Roman" w:hAnsi="Times New Roman"/>
          <w:sz w:val="28"/>
          <w:szCs w:val="28"/>
          <w:lang w:val="uk-UA"/>
        </w:rPr>
        <w:t xml:space="preserve"> </w:t>
      </w:r>
    </w:p>
    <w:p w:rsidR="000F78D0" w:rsidRDefault="00B52E0B" w:rsidP="002E2C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Характеристику генетичного вантажу з боку батька в групах наведено в табл</w:t>
      </w:r>
      <w:r w:rsidR="00E66D22">
        <w:rPr>
          <w:rFonts w:ascii="Times New Roman" w:hAnsi="Times New Roman"/>
          <w:sz w:val="28"/>
          <w:szCs w:val="28"/>
          <w:lang w:val="uk-UA"/>
        </w:rPr>
        <w:t>. 5.</w:t>
      </w:r>
      <w:r w:rsidRPr="00282DED">
        <w:rPr>
          <w:rFonts w:ascii="Times New Roman" w:hAnsi="Times New Roman"/>
          <w:sz w:val="28"/>
          <w:szCs w:val="28"/>
          <w:lang w:val="uk-UA"/>
        </w:rPr>
        <w:t>3, з якої випливає</w:t>
      </w:r>
      <w:r>
        <w:rPr>
          <w:rFonts w:ascii="Times New Roman" w:hAnsi="Times New Roman"/>
          <w:sz w:val="28"/>
          <w:szCs w:val="28"/>
          <w:lang w:val="uk-UA"/>
        </w:rPr>
        <w:t>, що по відношенню до частоти виявлення соматичної патології достовірних відмінностей між групами не встановлено (р&gt;0,05).</w:t>
      </w:r>
    </w:p>
    <w:p w:rsidR="000F78D0" w:rsidRDefault="000F78D0" w:rsidP="00AC605C">
      <w:pPr>
        <w:spacing w:line="360" w:lineRule="auto"/>
        <w:ind w:firstLine="426"/>
        <w:jc w:val="both"/>
        <w:rPr>
          <w:rFonts w:ascii="Times New Roman" w:hAnsi="Times New Roman"/>
          <w:sz w:val="28"/>
          <w:szCs w:val="28"/>
          <w:lang w:val="uk-UA"/>
        </w:rPr>
      </w:pPr>
    </w:p>
    <w:p w:rsidR="000F78D0" w:rsidRPr="004845B5" w:rsidRDefault="00E66D22"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sidR="000F78D0">
        <w:rPr>
          <w:rFonts w:ascii="Times New Roman" w:hAnsi="Times New Roman"/>
          <w:i/>
          <w:sz w:val="28"/>
          <w:szCs w:val="28"/>
          <w:lang w:val="uk-UA"/>
        </w:rPr>
        <w:t>2</w:t>
      </w:r>
    </w:p>
    <w:p w:rsidR="000F78D0" w:rsidRPr="004845B5" w:rsidRDefault="000F78D0" w:rsidP="00AC605C">
      <w:pPr>
        <w:spacing w:line="360" w:lineRule="auto"/>
        <w:ind w:firstLine="426"/>
        <w:jc w:val="both"/>
        <w:rPr>
          <w:rFonts w:ascii="Times New Roman" w:hAnsi="Times New Roman"/>
          <w:i/>
          <w:sz w:val="28"/>
          <w:szCs w:val="28"/>
          <w:lang w:val="uk-UA"/>
        </w:rPr>
      </w:pPr>
      <w:r>
        <w:rPr>
          <w:rFonts w:ascii="Times New Roman" w:hAnsi="Times New Roman"/>
          <w:i/>
          <w:sz w:val="28"/>
          <w:szCs w:val="28"/>
          <w:lang w:val="uk-UA"/>
        </w:rPr>
        <w:t>Характеристика обтяженої спадковості в групах зі сторони матері</w:t>
      </w:r>
    </w:p>
    <w:tbl>
      <w:tblPr>
        <w:tblW w:w="9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228"/>
        <w:gridCol w:w="1857"/>
        <w:gridCol w:w="953"/>
        <w:gridCol w:w="706"/>
        <w:gridCol w:w="857"/>
        <w:gridCol w:w="706"/>
        <w:gridCol w:w="1004"/>
      </w:tblGrid>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vMerge/>
          </w:tcPr>
          <w:p w:rsidR="000F78D0" w:rsidRPr="001336DC" w:rsidRDefault="000F78D0" w:rsidP="003D0EAE">
            <w:pPr>
              <w:spacing w:line="276" w:lineRule="auto"/>
              <w:jc w:val="center"/>
              <w:rPr>
                <w:rFonts w:ascii="Times New Roman" w:hAnsi="Times New Roman"/>
                <w:sz w:val="28"/>
                <w:szCs w:val="28"/>
                <w:lang w:val="uk-UA"/>
              </w:rPr>
            </w:pP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Порушення менструальної функції</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&lt;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Ожиріння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30,4</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69,6</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Ендокринні захворювання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ЛОР-захворювання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Вегето-судинна дистонія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10.</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12,4</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3</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Наявність карієсу</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12.</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 xml:space="preserve">Інтенсивність карієсу (індекс </w:t>
            </w:r>
            <w:r w:rsidR="00A06011">
              <w:rPr>
                <w:rFonts w:ascii="Times New Roman" w:hAnsi="Times New Roman"/>
                <w:sz w:val="28"/>
                <w:szCs w:val="28"/>
                <w:lang w:val="uk-UA"/>
              </w:rPr>
              <w:t>КПВ</w:t>
            </w:r>
            <w:r w:rsidRPr="001336DC">
              <w:rPr>
                <w:rFonts w:ascii="Times New Roman" w:hAnsi="Times New Roman"/>
                <w:sz w:val="28"/>
                <w:szCs w:val="28"/>
                <w:lang w:val="uk-UA"/>
              </w:rPr>
              <w:t>)</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5</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6-10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11-20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21</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13.</w:t>
            </w:r>
          </w:p>
        </w:tc>
        <w:tc>
          <w:tcPr>
            <w:tcW w:w="3228" w:type="dxa"/>
            <w:vMerge w:val="restart"/>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Пародонтит</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228" w:type="dxa"/>
            <w:vMerge/>
          </w:tcPr>
          <w:p w:rsidR="000F78D0" w:rsidRPr="001336DC" w:rsidRDefault="000F78D0" w:rsidP="003D0EAE">
            <w:pPr>
              <w:spacing w:line="276" w:lineRule="auto"/>
              <w:ind w:firstLine="1"/>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AC605C">
      <w:pPr>
        <w:spacing w:line="360" w:lineRule="auto"/>
        <w:ind w:firstLine="426"/>
        <w:jc w:val="both"/>
        <w:rPr>
          <w:rFonts w:ascii="Times New Roman" w:hAnsi="Times New Roman"/>
          <w:sz w:val="28"/>
          <w:szCs w:val="28"/>
          <w:lang w:val="uk-UA"/>
        </w:rPr>
      </w:pPr>
      <w:r w:rsidRPr="00AF7238">
        <w:rPr>
          <w:rFonts w:ascii="Times New Roman" w:hAnsi="Times New Roman"/>
          <w:i/>
          <w:sz w:val="28"/>
          <w:szCs w:val="28"/>
          <w:lang w:val="uk-UA"/>
        </w:rPr>
        <w:t>Примітка</w:t>
      </w:r>
      <w:r>
        <w:rPr>
          <w:rFonts w:ascii="Times New Roman" w:hAnsi="Times New Roman"/>
          <w:sz w:val="28"/>
          <w:szCs w:val="28"/>
          <w:lang w:val="uk-UA"/>
        </w:rPr>
        <w:t>: * - односторонній критерій</w:t>
      </w:r>
    </w:p>
    <w:p w:rsidR="00B52E0B" w:rsidRDefault="00B52E0B" w:rsidP="00AC605C">
      <w:pPr>
        <w:spacing w:line="360" w:lineRule="auto"/>
        <w:ind w:firstLine="426"/>
        <w:jc w:val="both"/>
        <w:rPr>
          <w:rFonts w:ascii="Times New Roman" w:hAnsi="Times New Roman"/>
          <w:sz w:val="28"/>
          <w:szCs w:val="28"/>
          <w:lang w:val="uk-UA"/>
        </w:rPr>
      </w:pPr>
    </w:p>
    <w:p w:rsidR="000F78D0" w:rsidRPr="00282DED"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Відмічено лише тенденцію до частішого її прояву в основній групі. Така тенденція призводить до адитивного ефекту (сумуванню), у зв’язку з чим достовірні відмінності між групами виявлені по відношенню до числа хронічних захворювань. Так, відсутність або наявність єдиного захворювання виявлялися у 80% батьків групи порівняння і в 2,9 </w:t>
      </w:r>
      <w:r w:rsidRPr="00282DED">
        <w:rPr>
          <w:rFonts w:ascii="Times New Roman" w:hAnsi="Times New Roman"/>
          <w:sz w:val="28"/>
          <w:szCs w:val="28"/>
          <w:lang w:val="uk-UA"/>
        </w:rPr>
        <w:t>раза рідше (р&lt;0,001) в основній групі. І, навпаки, наявність двох і більше захворювань характерно для основної групи, так як зустрічається у 70% батьків і тільки у 20% батьків групи порівняння (р&lt;0,001).</w:t>
      </w:r>
    </w:p>
    <w:p w:rsidR="000F78D0" w:rsidRDefault="000F78D0" w:rsidP="006C7FCC">
      <w:pPr>
        <w:spacing w:line="360" w:lineRule="auto"/>
        <w:ind w:firstLine="709"/>
        <w:jc w:val="both"/>
        <w:rPr>
          <w:rFonts w:ascii="Times New Roman" w:hAnsi="Times New Roman"/>
          <w:sz w:val="28"/>
          <w:szCs w:val="28"/>
          <w:lang w:val="uk-UA"/>
        </w:rPr>
      </w:pPr>
      <w:r w:rsidRPr="00282DED">
        <w:rPr>
          <w:rFonts w:ascii="Times New Roman" w:hAnsi="Times New Roman"/>
          <w:sz w:val="28"/>
          <w:szCs w:val="28"/>
          <w:lang w:val="uk-UA"/>
        </w:rPr>
        <w:t xml:space="preserve">Достовірні відмінності між групами виявлені </w:t>
      </w:r>
      <w:r w:rsidR="006C7FCC">
        <w:rPr>
          <w:rFonts w:ascii="Times New Roman" w:hAnsi="Times New Roman"/>
          <w:sz w:val="28"/>
          <w:szCs w:val="28"/>
          <w:lang w:val="uk-UA"/>
        </w:rPr>
        <w:t>відносно</w:t>
      </w:r>
      <w:r w:rsidRPr="00282DED">
        <w:rPr>
          <w:rFonts w:ascii="Times New Roman" w:hAnsi="Times New Roman"/>
          <w:sz w:val="28"/>
          <w:szCs w:val="28"/>
          <w:lang w:val="uk-UA"/>
        </w:rPr>
        <w:t xml:space="preserve"> проявів алергії, частота якої була в 3,9 раза (р&lt;0,05) вища в</w:t>
      </w:r>
      <w:r>
        <w:rPr>
          <w:rFonts w:ascii="Times New Roman" w:hAnsi="Times New Roman"/>
          <w:sz w:val="28"/>
          <w:szCs w:val="28"/>
          <w:lang w:val="uk-UA"/>
        </w:rPr>
        <w:t xml:space="preserve"> основній, ніж в контрольній групі.</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специфічного генетичного вантажу, то захворюваність карієсом була однаковою у групах (р&gt;0,05), а його інтенсивність виявила лише тенденцію (р&gt;0,05) до більш високих значень у хворих основної групи.</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Патогенетичну значимість виявило захворювання пародонтитом, яке в 1,6 раз</w:t>
      </w:r>
      <w:r w:rsidRPr="00282DED">
        <w:rPr>
          <w:rFonts w:ascii="Times New Roman" w:hAnsi="Times New Roman"/>
          <w:sz w:val="28"/>
          <w:szCs w:val="28"/>
          <w:lang w:val="uk-UA"/>
        </w:rPr>
        <w:t>а</w:t>
      </w:r>
      <w:r>
        <w:rPr>
          <w:rFonts w:ascii="Times New Roman" w:hAnsi="Times New Roman"/>
          <w:sz w:val="28"/>
          <w:szCs w:val="28"/>
          <w:lang w:val="uk-UA"/>
        </w:rPr>
        <w:t xml:space="preserve"> частіше (р&lt;0,05) визначалося серед пацієнтів основної групи.</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суттєву патогенетичну роль у формуванні запальних захворювань пародонта в дівчат-підлітків з ПМФ відіграє як неспецифічний, так і специфічний генетичний вантаж зі сторони батька.</w:t>
      </w:r>
      <w:r w:rsidRPr="00282DED">
        <w:rPr>
          <w:rFonts w:ascii="Times New Roman" w:hAnsi="Times New Roman"/>
          <w:sz w:val="28"/>
          <w:szCs w:val="28"/>
          <w:lang w:val="uk-UA"/>
        </w:rPr>
        <w:t xml:space="preserve"> </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генетичного вантажу у праматерів представлені в у табл. </w:t>
      </w:r>
      <w:r w:rsidR="00E66D22">
        <w:rPr>
          <w:rFonts w:ascii="Times New Roman" w:hAnsi="Times New Roman"/>
          <w:sz w:val="28"/>
          <w:szCs w:val="28"/>
          <w:lang w:val="uk-UA"/>
        </w:rPr>
        <w:t>5.</w:t>
      </w:r>
      <w:r w:rsidRPr="00282DED">
        <w:rPr>
          <w:rFonts w:ascii="Times New Roman" w:hAnsi="Times New Roman"/>
          <w:sz w:val="28"/>
          <w:szCs w:val="28"/>
          <w:lang w:val="uk-UA"/>
        </w:rPr>
        <w:t>4.</w:t>
      </w:r>
      <w:r>
        <w:rPr>
          <w:rFonts w:ascii="Times New Roman" w:hAnsi="Times New Roman"/>
          <w:sz w:val="28"/>
          <w:szCs w:val="28"/>
          <w:lang w:val="uk-UA"/>
        </w:rPr>
        <w:tab/>
      </w:r>
    </w:p>
    <w:p w:rsidR="00B52E0B" w:rsidRPr="00FB24D5" w:rsidRDefault="000F78D0" w:rsidP="006C7FCC">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Із табл. </w:t>
      </w:r>
      <w:r w:rsidR="00E66D22">
        <w:rPr>
          <w:rFonts w:ascii="Times New Roman" w:hAnsi="Times New Roman"/>
          <w:sz w:val="28"/>
          <w:szCs w:val="28"/>
          <w:lang w:val="uk-UA"/>
        </w:rPr>
        <w:t>5.</w:t>
      </w:r>
      <w:r w:rsidRPr="00282DED">
        <w:rPr>
          <w:rFonts w:ascii="Times New Roman" w:hAnsi="Times New Roman"/>
          <w:sz w:val="28"/>
          <w:szCs w:val="28"/>
          <w:lang w:val="uk-UA"/>
        </w:rPr>
        <w:t>4</w:t>
      </w:r>
      <w:r>
        <w:rPr>
          <w:rFonts w:ascii="Times New Roman" w:hAnsi="Times New Roman"/>
          <w:sz w:val="28"/>
          <w:szCs w:val="28"/>
          <w:lang w:val="uk-UA"/>
        </w:rPr>
        <w:t xml:space="preserve"> витікає, що за більшістю соматичних захворювань, крім алергії, достовірних відмінностей між групами не виявлено (р&gt;0,05). Встановлено лише тенденцію (р&gt;0,05) до більшої захворюваності в основній групі. Однак ця тенденція в цілому сприяє кумулятивному ефекту, внаслідок </w:t>
      </w:r>
      <w:r w:rsidR="00B52E0B">
        <w:rPr>
          <w:rFonts w:ascii="Times New Roman" w:hAnsi="Times New Roman"/>
          <w:sz w:val="28"/>
          <w:szCs w:val="28"/>
          <w:lang w:val="uk-UA"/>
        </w:rPr>
        <w:t>чого при аналізі загальної кількості хронічних захворювань встановлено достовірні відмінності між групами. При цьому значна (≥ 5) кількість патологічних станів була характерна для хворих основної (р&lt;0,001), а незначна їх кількість (≤ 2) – для контрольної групи (р&lt;0,01).</w:t>
      </w:r>
    </w:p>
    <w:p w:rsidR="00E3471D" w:rsidRDefault="00B52E0B"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специфічного генетичного вантажу, то ураження пародонту достовірно частіше (р&lt;0,05) реєструвалися в основній групі.</w:t>
      </w:r>
      <w:r w:rsidR="00E3471D" w:rsidRPr="00E3471D">
        <w:rPr>
          <w:rFonts w:ascii="Times New Roman" w:hAnsi="Times New Roman"/>
          <w:sz w:val="28"/>
          <w:szCs w:val="28"/>
          <w:lang w:val="uk-UA"/>
        </w:rPr>
        <w:t xml:space="preserve"> </w:t>
      </w:r>
    </w:p>
    <w:p w:rsidR="00E3471D" w:rsidRDefault="00E3471D"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вивченні генетичного вантажу зі сторони праотців виявлено </w:t>
      </w:r>
      <w:r w:rsidR="00E66D22" w:rsidRPr="00E66D22">
        <w:rPr>
          <w:rFonts w:ascii="Times New Roman" w:hAnsi="Times New Roman"/>
          <w:sz w:val="28"/>
          <w:szCs w:val="28"/>
          <w:lang w:val="ru-RU"/>
        </w:rPr>
        <w:t xml:space="preserve">  </w:t>
      </w:r>
      <w:r>
        <w:rPr>
          <w:rFonts w:ascii="Times New Roman" w:hAnsi="Times New Roman"/>
          <w:sz w:val="28"/>
          <w:szCs w:val="28"/>
          <w:lang w:val="uk-UA"/>
        </w:rPr>
        <w:t xml:space="preserve">(табл. </w:t>
      </w:r>
      <w:r w:rsidR="00E66D22">
        <w:rPr>
          <w:rFonts w:ascii="Times New Roman" w:hAnsi="Times New Roman"/>
          <w:sz w:val="28"/>
          <w:szCs w:val="28"/>
          <w:lang w:val="uk-UA"/>
        </w:rPr>
        <w:t>5.</w:t>
      </w:r>
      <w:r w:rsidRPr="00282DED">
        <w:rPr>
          <w:rFonts w:ascii="Times New Roman" w:hAnsi="Times New Roman"/>
          <w:sz w:val="28"/>
          <w:szCs w:val="28"/>
          <w:lang w:val="uk-UA"/>
        </w:rPr>
        <w:t xml:space="preserve">5), </w:t>
      </w:r>
      <w:r w:rsidR="00E66D22" w:rsidRPr="00BD4FE3">
        <w:rPr>
          <w:rFonts w:ascii="Times New Roman" w:hAnsi="Times New Roman"/>
          <w:sz w:val="28"/>
          <w:szCs w:val="28"/>
          <w:lang w:val="ru-RU"/>
        </w:rPr>
        <w:t xml:space="preserve"> </w:t>
      </w:r>
      <w:r w:rsidRPr="00282DED">
        <w:rPr>
          <w:rFonts w:ascii="Times New Roman" w:hAnsi="Times New Roman"/>
          <w:sz w:val="28"/>
          <w:szCs w:val="28"/>
          <w:lang w:val="uk-UA"/>
        </w:rPr>
        <w:t>що за більшістю соматичної патології достові</w:t>
      </w:r>
      <w:r w:rsidR="006C7FCC">
        <w:rPr>
          <w:rFonts w:ascii="Times New Roman" w:hAnsi="Times New Roman"/>
          <w:sz w:val="28"/>
          <w:szCs w:val="28"/>
          <w:lang w:val="uk-UA"/>
        </w:rPr>
        <w:t>рних відмінностей між</w:t>
      </w:r>
    </w:p>
    <w:p w:rsidR="000F78D0" w:rsidRPr="004845B5" w:rsidRDefault="00E66D22"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sidR="000F78D0">
        <w:rPr>
          <w:rFonts w:ascii="Times New Roman" w:hAnsi="Times New Roman"/>
          <w:i/>
          <w:sz w:val="28"/>
          <w:szCs w:val="28"/>
          <w:lang w:val="uk-UA"/>
        </w:rPr>
        <w:t>3</w:t>
      </w:r>
    </w:p>
    <w:p w:rsidR="000F78D0" w:rsidRPr="004845B5" w:rsidRDefault="000F78D0" w:rsidP="00AC605C">
      <w:pPr>
        <w:spacing w:line="360" w:lineRule="auto"/>
        <w:ind w:firstLine="426"/>
        <w:jc w:val="both"/>
        <w:rPr>
          <w:rFonts w:ascii="Times New Roman" w:hAnsi="Times New Roman"/>
          <w:i/>
          <w:sz w:val="28"/>
          <w:szCs w:val="28"/>
          <w:lang w:val="uk-UA"/>
        </w:rPr>
      </w:pPr>
      <w:r>
        <w:rPr>
          <w:rFonts w:ascii="Times New Roman" w:hAnsi="Times New Roman"/>
          <w:i/>
          <w:sz w:val="28"/>
          <w:szCs w:val="28"/>
          <w:lang w:val="uk-UA"/>
        </w:rPr>
        <w:t>Характеристика обтяженої спадковості в групах зі сторони батька</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489"/>
        <w:gridCol w:w="1857"/>
        <w:gridCol w:w="953"/>
        <w:gridCol w:w="706"/>
        <w:gridCol w:w="857"/>
        <w:gridCol w:w="706"/>
        <w:gridCol w:w="1004"/>
      </w:tblGrid>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vMerge/>
          </w:tcPr>
          <w:p w:rsidR="000F78D0" w:rsidRPr="001336DC" w:rsidRDefault="000F78D0" w:rsidP="003D0EAE">
            <w:pPr>
              <w:spacing w:line="276" w:lineRule="auto"/>
              <w:jc w:val="center"/>
              <w:rPr>
                <w:rFonts w:ascii="Times New Roman" w:hAnsi="Times New Roman"/>
                <w:sz w:val="28"/>
                <w:szCs w:val="28"/>
                <w:lang w:val="uk-UA"/>
              </w:rPr>
            </w:pP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ЛОР-патологія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опорно-рухового апарату</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0" w:type="auto"/>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3</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Карієс зубів</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Інтенсивність карієсу (індекс </w:t>
            </w:r>
            <w:r w:rsidR="00A06011">
              <w:rPr>
                <w:rFonts w:ascii="Times New Roman" w:hAnsi="Times New Roman"/>
                <w:sz w:val="28"/>
                <w:szCs w:val="28"/>
                <w:lang w:val="uk-UA"/>
              </w:rPr>
              <w:t>КПВ</w:t>
            </w:r>
            <w:r w:rsidRPr="001336DC">
              <w:rPr>
                <w:rFonts w:ascii="Times New Roman" w:hAnsi="Times New Roman"/>
                <w:sz w:val="28"/>
                <w:szCs w:val="28"/>
                <w:lang w:val="uk-UA"/>
              </w:rPr>
              <w:t>)</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5</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6-10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11-20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21</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B52E0B">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12.</w:t>
            </w:r>
          </w:p>
        </w:tc>
        <w:tc>
          <w:tcPr>
            <w:tcW w:w="0" w:type="auto"/>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Пародонтит</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B52E0B">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0" w:type="auto"/>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E3471D" w:rsidRDefault="00E3471D" w:rsidP="00E3471D">
      <w:pPr>
        <w:spacing w:line="360" w:lineRule="auto"/>
        <w:jc w:val="both"/>
        <w:rPr>
          <w:rFonts w:ascii="Times New Roman" w:hAnsi="Times New Roman"/>
          <w:sz w:val="28"/>
          <w:szCs w:val="28"/>
          <w:lang w:val="uk-UA"/>
        </w:rPr>
      </w:pPr>
    </w:p>
    <w:p w:rsidR="000F78D0" w:rsidRDefault="006C7FCC" w:rsidP="00E3471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групами не </w:t>
      </w:r>
      <w:r w:rsidR="00E3471D" w:rsidRPr="00282DED">
        <w:rPr>
          <w:rFonts w:ascii="Times New Roman" w:hAnsi="Times New Roman"/>
          <w:sz w:val="28"/>
          <w:szCs w:val="28"/>
          <w:lang w:val="uk-UA"/>
        </w:rPr>
        <w:t>виявлено (р&gt;0,05). Суттєві відмінності виявлені по відношенню до серцево-судинних захворювань і проявів, які частіше діагностувалися в основній групі відповідно в 2,1 раза (р&lt;0,05) і 2,3 раза</w:t>
      </w:r>
      <w:r w:rsidR="00E3471D">
        <w:rPr>
          <w:rFonts w:ascii="Times New Roman" w:hAnsi="Times New Roman"/>
          <w:sz w:val="28"/>
          <w:szCs w:val="28"/>
          <w:lang w:val="uk-UA"/>
        </w:rPr>
        <w:t xml:space="preserve"> (р&lt;0,05).</w:t>
      </w:r>
    </w:p>
    <w:p w:rsidR="000F78D0" w:rsidRPr="004845B5" w:rsidRDefault="00E66D22"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sidR="000F78D0">
        <w:rPr>
          <w:rFonts w:ascii="Times New Roman" w:hAnsi="Times New Roman"/>
          <w:i/>
          <w:sz w:val="28"/>
          <w:szCs w:val="28"/>
          <w:lang w:val="uk-UA"/>
        </w:rPr>
        <w:t>4</w:t>
      </w:r>
    </w:p>
    <w:p w:rsidR="000F78D0" w:rsidRPr="004845B5" w:rsidRDefault="000F78D0" w:rsidP="00AC605C">
      <w:pPr>
        <w:spacing w:line="360" w:lineRule="auto"/>
        <w:ind w:firstLine="426"/>
        <w:jc w:val="both"/>
        <w:rPr>
          <w:rFonts w:ascii="Times New Roman" w:hAnsi="Times New Roman"/>
          <w:i/>
          <w:sz w:val="28"/>
          <w:szCs w:val="28"/>
          <w:lang w:val="uk-UA"/>
        </w:rPr>
      </w:pPr>
      <w:r>
        <w:rPr>
          <w:rFonts w:ascii="Times New Roman" w:hAnsi="Times New Roman"/>
          <w:i/>
          <w:sz w:val="28"/>
          <w:szCs w:val="28"/>
          <w:lang w:val="uk-UA"/>
        </w:rPr>
        <w:t>Характеристика обтяженої спадковості в групах зі сторони праматерів</w:t>
      </w:r>
    </w:p>
    <w:tbl>
      <w:tblPr>
        <w:tblW w:w="9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086"/>
        <w:gridCol w:w="1857"/>
        <w:gridCol w:w="953"/>
        <w:gridCol w:w="876"/>
        <w:gridCol w:w="857"/>
        <w:gridCol w:w="706"/>
        <w:gridCol w:w="1004"/>
      </w:tblGrid>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829" w:type="dxa"/>
            <w:gridSpan w:val="2"/>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vMerge/>
          </w:tcPr>
          <w:p w:rsidR="000F78D0" w:rsidRPr="001336DC" w:rsidRDefault="000F78D0" w:rsidP="003D0EAE">
            <w:pPr>
              <w:spacing w:line="276" w:lineRule="auto"/>
              <w:jc w:val="center"/>
              <w:rPr>
                <w:rFonts w:ascii="Times New Roman" w:hAnsi="Times New Roman"/>
                <w:sz w:val="28"/>
                <w:szCs w:val="28"/>
                <w:lang w:val="uk-UA"/>
              </w:rPr>
            </w:pP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12</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12</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10</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50</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52</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52</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Доброякісні новоутворення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52</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Злоякісні новоутворення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56</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93,3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3086" w:type="dxa"/>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Смерть від соматичних захворювань до 60 років</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стосується</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не стосується</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52</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3086" w:type="dxa"/>
            <w:vMerge w:val="restart"/>
          </w:tcPr>
          <w:p w:rsidR="000F78D0" w:rsidRPr="001336DC" w:rsidRDefault="000F78D0" w:rsidP="00B52E0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Алергія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6</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54</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90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10.</w:t>
            </w:r>
          </w:p>
        </w:tc>
        <w:tc>
          <w:tcPr>
            <w:tcW w:w="3086" w:type="dxa"/>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2</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24</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28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5</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8</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3086" w:type="dxa"/>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Порушення менструальної функції</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20</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40</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val="restart"/>
          </w:tcPr>
          <w:p w:rsidR="000F78D0" w:rsidRPr="001336DC" w:rsidRDefault="000F78D0" w:rsidP="00B52E0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12.</w:t>
            </w:r>
          </w:p>
        </w:tc>
        <w:tc>
          <w:tcPr>
            <w:tcW w:w="3086" w:type="dxa"/>
            <w:vMerge w:val="restart"/>
          </w:tcPr>
          <w:p w:rsidR="000F78D0" w:rsidRPr="001336DC" w:rsidRDefault="000F78D0" w:rsidP="00B52E0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Пародонтит</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44</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73,3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tcPr>
          <w:p w:rsidR="000F78D0" w:rsidRPr="001336DC" w:rsidRDefault="000F78D0" w:rsidP="00B52E0B">
            <w:pPr>
              <w:spacing w:line="276" w:lineRule="auto"/>
              <w:jc w:val="both"/>
              <w:rPr>
                <w:rFonts w:ascii="Times New Roman" w:hAnsi="Times New Roman"/>
                <w:sz w:val="28"/>
                <w:szCs w:val="28"/>
                <w:lang w:val="uk-UA"/>
              </w:rPr>
            </w:pPr>
          </w:p>
        </w:tc>
        <w:tc>
          <w:tcPr>
            <w:tcW w:w="3086" w:type="dxa"/>
            <w:vMerge/>
          </w:tcPr>
          <w:p w:rsidR="000F78D0" w:rsidRPr="001336DC" w:rsidRDefault="000F78D0" w:rsidP="00B52E0B">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16</w:t>
            </w:r>
          </w:p>
        </w:tc>
        <w:tc>
          <w:tcPr>
            <w:tcW w:w="876" w:type="dxa"/>
          </w:tcPr>
          <w:p w:rsidR="000F78D0" w:rsidRPr="001336DC" w:rsidRDefault="000F78D0" w:rsidP="003D0EAE">
            <w:pPr>
              <w:spacing w:line="276" w:lineRule="auto"/>
              <w:ind w:firstLine="28"/>
              <w:jc w:val="center"/>
              <w:rPr>
                <w:rFonts w:ascii="Times New Roman" w:hAnsi="Times New Roman"/>
                <w:sz w:val="28"/>
                <w:szCs w:val="28"/>
                <w:lang w:val="uk-UA"/>
              </w:rPr>
            </w:pPr>
            <w:r w:rsidRPr="001336DC">
              <w:rPr>
                <w:rFonts w:ascii="Times New Roman" w:hAnsi="Times New Roman"/>
                <w:sz w:val="28"/>
                <w:szCs w:val="28"/>
                <w:lang w:val="uk-UA"/>
              </w:rPr>
              <w:t>26,7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Патогенетичну значимість виявила кількість соматичних захворювань. При цьому висока їх частота (≥5) характерна для основної групи (р&lt;0,001), а незначна (≤2) кількість хронічних захворювань в 2,8 ра</w:t>
      </w:r>
      <w:r w:rsidRPr="00282DED">
        <w:rPr>
          <w:rFonts w:ascii="Times New Roman" w:hAnsi="Times New Roman"/>
          <w:sz w:val="28"/>
          <w:szCs w:val="28"/>
          <w:lang w:val="uk-UA"/>
        </w:rPr>
        <w:t>за</w:t>
      </w:r>
      <w:r>
        <w:rPr>
          <w:rFonts w:ascii="Times New Roman" w:hAnsi="Times New Roman"/>
          <w:sz w:val="28"/>
          <w:szCs w:val="28"/>
          <w:lang w:val="uk-UA"/>
        </w:rPr>
        <w:t xml:space="preserve"> частіше (р&lt;0,01) визначалась в групі порівняння.</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Що стосується специфічного генетичного вантажу, то захворювання пародонту достовірно частіше визначалися в основній групі (р&lt;0,01).</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спадковий фактор відіграє суттєву роль в патогенезі запальних захворювань пародонту у дівчат-підлітків з ПМФ. При цьому патогенетичну значимість виявили як специфічна, так і неспецифічна компоненти генетичного вантажу.</w:t>
      </w:r>
      <w:r w:rsidRPr="009E5C5F">
        <w:rPr>
          <w:rFonts w:ascii="Times New Roman" w:hAnsi="Times New Roman"/>
          <w:sz w:val="28"/>
          <w:szCs w:val="28"/>
          <w:lang w:val="uk-UA"/>
        </w:rPr>
        <w:t xml:space="preserve"> </w:t>
      </w:r>
    </w:p>
    <w:p w:rsidR="00E3471D"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даних анамнезу життя в групах представлені в табл. </w:t>
      </w:r>
      <w:r w:rsidR="00E66D22">
        <w:rPr>
          <w:rFonts w:ascii="Times New Roman" w:hAnsi="Times New Roman"/>
          <w:sz w:val="28"/>
          <w:szCs w:val="28"/>
          <w:lang w:val="uk-UA"/>
        </w:rPr>
        <w:t>5.6. Із табл. 5</w:t>
      </w:r>
      <w:r w:rsidRPr="009E5C5F">
        <w:rPr>
          <w:rFonts w:ascii="Times New Roman" w:hAnsi="Times New Roman"/>
          <w:sz w:val="28"/>
          <w:szCs w:val="28"/>
          <w:lang w:val="uk-UA"/>
        </w:rPr>
        <w:t>.6 витікає, що ряд анамнестичних показників викрив патогенетичну</w:t>
      </w:r>
      <w:r>
        <w:rPr>
          <w:rFonts w:ascii="Times New Roman" w:hAnsi="Times New Roman"/>
          <w:sz w:val="28"/>
          <w:szCs w:val="28"/>
          <w:lang w:val="uk-UA"/>
        </w:rPr>
        <w:t xml:space="preserve"> значимість. До них відносяться грудне вигодовування і його тривалість, а також наявність алергії. Відсутність грудного вигодовування відмічалося у 48% хворих основної групи і в 1,8 ра</w:t>
      </w:r>
      <w:r w:rsidRPr="009E5C5F">
        <w:rPr>
          <w:rFonts w:ascii="Times New Roman" w:hAnsi="Times New Roman"/>
          <w:sz w:val="28"/>
          <w:szCs w:val="28"/>
          <w:lang w:val="uk-UA"/>
        </w:rPr>
        <w:t>за</w:t>
      </w:r>
      <w:r>
        <w:rPr>
          <w:rFonts w:ascii="Times New Roman" w:hAnsi="Times New Roman"/>
          <w:sz w:val="28"/>
          <w:szCs w:val="28"/>
          <w:lang w:val="uk-UA"/>
        </w:rPr>
        <w:t xml:space="preserve"> рідше (р&lt;0,05) в групі контролю. Серед дітей, що отримували грудне вигодовування, його короткостроковість (до 6-ти місяців) в 2,3 </w:t>
      </w:r>
      <w:r w:rsidRPr="009E5C5F">
        <w:rPr>
          <w:rFonts w:ascii="Times New Roman" w:hAnsi="Times New Roman"/>
          <w:sz w:val="28"/>
          <w:szCs w:val="28"/>
          <w:lang w:val="uk-UA"/>
        </w:rPr>
        <w:t>раза частіше відмічалася в основній групі (р&lt;0,05). І навпаки, довготривале (≥ 9 ,1 міс.) грудне вигодовування достовірно частіше (в 1,9 раза, р&lt;0,05) зустрічалося</w:t>
      </w:r>
      <w:r>
        <w:rPr>
          <w:rFonts w:ascii="Times New Roman" w:hAnsi="Times New Roman"/>
          <w:sz w:val="28"/>
          <w:szCs w:val="28"/>
          <w:lang w:val="uk-UA"/>
        </w:rPr>
        <w:t xml:space="preserve"> в групі з інтактним пародонтом.</w:t>
      </w:r>
      <w:r w:rsidR="00E3471D" w:rsidRPr="00E3471D">
        <w:rPr>
          <w:rFonts w:ascii="Times New Roman" w:hAnsi="Times New Roman"/>
          <w:sz w:val="28"/>
          <w:szCs w:val="28"/>
          <w:lang w:val="uk-UA"/>
        </w:rPr>
        <w:t xml:space="preserve"> </w:t>
      </w:r>
    </w:p>
    <w:p w:rsidR="00E3471D" w:rsidRDefault="00E3471D"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перенесених дитячих інфекцій, ЛОР  і ендокринних захворювань, частих ГРВІ, то їх частота в групах не мала достовірних відмінностей (р&gt;0,05).</w:t>
      </w:r>
    </w:p>
    <w:p w:rsidR="00E3471D" w:rsidRDefault="00E3471D"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результати демонструють, що сформована до зачаття (генетичний фактор), а також в пре- і інтранатальний періоди патогенетична матриця, в процесі онтогенезу, тобто розвитку дитини, доповнюється новими патогенетичними факторами, що підсилює вірогідність її реалізації в пубертаті.</w:t>
      </w:r>
    </w:p>
    <w:p w:rsidR="00E3471D" w:rsidRDefault="00E3471D"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розгляді способи життя підлітків в групах встановлено (табл. </w:t>
      </w:r>
      <w:r w:rsidR="00E66D22">
        <w:rPr>
          <w:rFonts w:ascii="Times New Roman" w:hAnsi="Times New Roman"/>
          <w:sz w:val="28"/>
          <w:szCs w:val="28"/>
          <w:lang w:val="uk-UA"/>
        </w:rPr>
        <w:t>5.</w:t>
      </w:r>
      <w:r w:rsidRPr="009E5C5F">
        <w:rPr>
          <w:rFonts w:ascii="Times New Roman" w:hAnsi="Times New Roman"/>
          <w:sz w:val="28"/>
          <w:szCs w:val="28"/>
          <w:lang w:val="uk-UA"/>
        </w:rPr>
        <w:t>7</w:t>
      </w:r>
      <w:r>
        <w:rPr>
          <w:rFonts w:ascii="Times New Roman" w:hAnsi="Times New Roman"/>
          <w:sz w:val="28"/>
          <w:szCs w:val="28"/>
          <w:lang w:val="uk-UA"/>
        </w:rPr>
        <w:t>), що ряд факторів суттєво впливає на формування пародонтитів.</w:t>
      </w:r>
    </w:p>
    <w:p w:rsidR="000F78D0" w:rsidRDefault="00E3471D" w:rsidP="006C7FCC">
      <w:pPr>
        <w:spacing w:line="360" w:lineRule="auto"/>
        <w:ind w:firstLine="709"/>
        <w:jc w:val="both"/>
        <w:rPr>
          <w:rFonts w:ascii="Times New Roman" w:hAnsi="Times New Roman"/>
          <w:sz w:val="28"/>
          <w:szCs w:val="28"/>
          <w:lang w:val="uk-UA"/>
        </w:rPr>
      </w:pPr>
      <w:r w:rsidRPr="00E3471D">
        <w:rPr>
          <w:rFonts w:ascii="Times New Roman" w:hAnsi="Times New Roman"/>
          <w:sz w:val="28"/>
          <w:szCs w:val="28"/>
          <w:lang w:val="uk-UA"/>
        </w:rPr>
        <w:t xml:space="preserve"> </w:t>
      </w:r>
      <w:r w:rsidRPr="009E5C5F">
        <w:rPr>
          <w:rFonts w:ascii="Times New Roman" w:hAnsi="Times New Roman"/>
          <w:sz w:val="28"/>
          <w:szCs w:val="28"/>
          <w:lang w:val="uk-UA"/>
        </w:rPr>
        <w:t>До таких факторів відноситься тютюнопаління, яке визначалось в 1,6 раза частіше (р&lt;0,05) в основній групі. Крім того, у хворих з запальними захворюваннями пародонту в порівнянні з контролем достовірно частіше виявлялося: перевага в харчовому раціоні жирних і гострих страв (в 1,9 раза, р&lt;0,05),  а також м’якої їжі (в 3,6 раза; р&lt;0,5); короткострокове (≤ 2 годин) перебування на відкритому повітрі (в 2,4 раза;  р&lt;0,05); травматичне чищення</w:t>
      </w:r>
    </w:p>
    <w:p w:rsidR="000F78D0" w:rsidRPr="004845B5" w:rsidRDefault="00E66D22"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sidR="000F78D0">
        <w:rPr>
          <w:rFonts w:ascii="Times New Roman" w:hAnsi="Times New Roman"/>
          <w:i/>
          <w:sz w:val="28"/>
          <w:szCs w:val="28"/>
          <w:lang w:val="uk-UA"/>
        </w:rPr>
        <w:t>5</w:t>
      </w:r>
    </w:p>
    <w:p w:rsidR="000F78D0" w:rsidRPr="004845B5" w:rsidRDefault="000F78D0" w:rsidP="00AC605C">
      <w:pPr>
        <w:spacing w:line="360" w:lineRule="auto"/>
        <w:ind w:firstLine="426"/>
        <w:jc w:val="both"/>
        <w:rPr>
          <w:rFonts w:ascii="Times New Roman" w:hAnsi="Times New Roman"/>
          <w:i/>
          <w:sz w:val="28"/>
          <w:szCs w:val="28"/>
          <w:lang w:val="uk-UA"/>
        </w:rPr>
      </w:pPr>
      <w:r>
        <w:rPr>
          <w:rFonts w:ascii="Times New Roman" w:hAnsi="Times New Roman"/>
          <w:i/>
          <w:sz w:val="28"/>
          <w:szCs w:val="28"/>
          <w:lang w:val="uk-UA"/>
        </w:rPr>
        <w:t>Характеристика обтяженої спадковості в групах зі сторони праотців</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489"/>
        <w:gridCol w:w="1857"/>
        <w:gridCol w:w="953"/>
        <w:gridCol w:w="706"/>
        <w:gridCol w:w="857"/>
        <w:gridCol w:w="706"/>
        <w:gridCol w:w="1004"/>
      </w:tblGrid>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vMerge/>
          </w:tcPr>
          <w:p w:rsidR="000F78D0" w:rsidRPr="001336DC" w:rsidRDefault="000F78D0" w:rsidP="003D0EAE">
            <w:pPr>
              <w:spacing w:line="276" w:lineRule="auto"/>
              <w:jc w:val="center"/>
              <w:rPr>
                <w:rFonts w:ascii="Times New Roman" w:hAnsi="Times New Roman"/>
                <w:sz w:val="28"/>
                <w:szCs w:val="28"/>
                <w:lang w:val="uk-UA"/>
              </w:rPr>
            </w:pP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ind w:firstLine="426"/>
              <w:jc w:val="center"/>
              <w:rPr>
                <w:rFonts w:ascii="Times New Roman" w:hAnsi="Times New Roman"/>
                <w:sz w:val="28"/>
                <w:szCs w:val="28"/>
                <w:lang w:val="uk-UA"/>
              </w:rPr>
            </w:pP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Ендокринні захворювання</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Доброякісні новоутворення</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0" w:type="auto"/>
            <w:vMerge w:val="restart"/>
          </w:tcPr>
          <w:p w:rsidR="000F78D0" w:rsidRPr="001336DC" w:rsidRDefault="000F78D0" w:rsidP="00E3471D">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Злоякісні новоутворення</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0" w:type="auto"/>
            <w:vMerge w:val="restart"/>
          </w:tcPr>
          <w:p w:rsidR="000F78D0" w:rsidRPr="001336DC" w:rsidRDefault="000F78D0" w:rsidP="00E3471D">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Смерть від соматичних захворювань до 60 років</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стосується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не стосується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Pr>
          <w:p w:rsidR="000F78D0" w:rsidRPr="001336DC" w:rsidRDefault="000F78D0" w:rsidP="00E3471D">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2</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5</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E3471D">
        <w:tc>
          <w:tcPr>
            <w:tcW w:w="566"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val="restart"/>
          </w:tcPr>
          <w:p w:rsidR="000F78D0" w:rsidRPr="001336DC" w:rsidRDefault="000F78D0" w:rsidP="00E3471D">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Захворювання пародонту</w:t>
            </w: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E3471D">
        <w:tc>
          <w:tcPr>
            <w:tcW w:w="566"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ind w:firstLine="1"/>
              <w:jc w:val="both"/>
              <w:rPr>
                <w:rFonts w:ascii="Times New Roman" w:hAnsi="Times New Roman"/>
                <w:sz w:val="28"/>
                <w:szCs w:val="28"/>
                <w:lang w:val="uk-UA"/>
              </w:rPr>
            </w:pPr>
          </w:p>
        </w:tc>
        <w:tc>
          <w:tcPr>
            <w:tcW w:w="1857" w:type="dxa"/>
          </w:tcPr>
          <w:p w:rsidR="000F78D0" w:rsidRPr="001336DC" w:rsidRDefault="00E3471D"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bl>
    <w:p w:rsidR="000F78D0" w:rsidRDefault="000F78D0" w:rsidP="00AC605C">
      <w:pPr>
        <w:spacing w:line="360" w:lineRule="auto"/>
        <w:ind w:firstLine="426"/>
        <w:jc w:val="both"/>
        <w:rPr>
          <w:rFonts w:ascii="Times New Roman" w:hAnsi="Times New Roman"/>
          <w:sz w:val="28"/>
          <w:szCs w:val="28"/>
          <w:lang w:val="uk-UA"/>
        </w:rPr>
      </w:pPr>
    </w:p>
    <w:p w:rsidR="00E3471D" w:rsidRDefault="00E3471D" w:rsidP="006C7FCC">
      <w:pPr>
        <w:tabs>
          <w:tab w:val="left" w:pos="2040"/>
        </w:tabs>
        <w:spacing w:line="360" w:lineRule="auto"/>
        <w:jc w:val="both"/>
        <w:rPr>
          <w:rFonts w:ascii="Times New Roman" w:hAnsi="Times New Roman"/>
          <w:sz w:val="28"/>
          <w:szCs w:val="28"/>
          <w:lang w:val="uk-UA"/>
        </w:rPr>
      </w:pPr>
      <w:r w:rsidRPr="009E5C5F">
        <w:rPr>
          <w:rFonts w:ascii="Times New Roman" w:hAnsi="Times New Roman"/>
          <w:sz w:val="28"/>
          <w:szCs w:val="28"/>
          <w:lang w:val="uk-UA"/>
        </w:rPr>
        <w:t>зубів (в 5,5 рази; р&lt;0,05) і недостатнє (1 раз на добу) чищення зубів (в 2,9 раза; р&lt;0,01).</w:t>
      </w:r>
    </w:p>
    <w:p w:rsidR="00E3471D" w:rsidRDefault="00E3471D"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встановлено відмінностей (р&gt;0,05) між групами по відношенню до зловживання солодощами або фастфудом, малорухомого способу життя, підвищеного учбового навантаження, фізичних перенавантажень, використання дієтичного раціону, а також тривалих або гострих психотравмуючих ситуацій. Відсутність відмінностей між групами за вищезазначеним комплексом факторів, </w:t>
      </w:r>
      <w:r>
        <w:rPr>
          <w:rFonts w:ascii="Times New Roman" w:hAnsi="Times New Roman"/>
          <w:sz w:val="28"/>
          <w:szCs w:val="28"/>
          <w:lang w:val="uk-UA"/>
        </w:rPr>
        <w:lastRenderedPageBreak/>
        <w:t>певно, пов’язано з тим, що вони відіграють патогенетичну роль і по відношенню до формування ПМФ.</w:t>
      </w:r>
    </w:p>
    <w:p w:rsidR="000F78D0" w:rsidRPr="004845B5" w:rsidRDefault="000F78D0" w:rsidP="00AC605C">
      <w:pPr>
        <w:spacing w:line="360" w:lineRule="auto"/>
        <w:ind w:firstLine="426"/>
        <w:jc w:val="right"/>
        <w:rPr>
          <w:rFonts w:ascii="Times New Roman" w:hAnsi="Times New Roman"/>
          <w:i/>
          <w:sz w:val="28"/>
          <w:szCs w:val="28"/>
          <w:lang w:val="uk-UA"/>
        </w:rPr>
      </w:pPr>
      <w:r>
        <w:rPr>
          <w:rFonts w:ascii="Times New Roman" w:hAnsi="Times New Roman"/>
          <w:sz w:val="28"/>
          <w:szCs w:val="28"/>
          <w:lang w:val="uk-UA"/>
        </w:rPr>
        <w:tab/>
      </w:r>
      <w:r w:rsidR="00E66D22">
        <w:rPr>
          <w:rFonts w:ascii="Times New Roman" w:hAnsi="Times New Roman"/>
          <w:i/>
          <w:sz w:val="28"/>
          <w:szCs w:val="28"/>
          <w:lang w:val="uk-UA"/>
        </w:rPr>
        <w:t>Таблиця 5.</w:t>
      </w:r>
      <w:r>
        <w:rPr>
          <w:rFonts w:ascii="Times New Roman" w:hAnsi="Times New Roman"/>
          <w:i/>
          <w:sz w:val="28"/>
          <w:szCs w:val="28"/>
          <w:lang w:val="uk-UA"/>
        </w:rPr>
        <w:t>6</w:t>
      </w:r>
    </w:p>
    <w:p w:rsidR="000F78D0" w:rsidRPr="004845B5" w:rsidRDefault="000F78D0" w:rsidP="006C7FCC">
      <w:pPr>
        <w:spacing w:line="360" w:lineRule="auto"/>
        <w:ind w:firstLine="709"/>
        <w:jc w:val="both"/>
        <w:rPr>
          <w:rFonts w:ascii="Times New Roman" w:hAnsi="Times New Roman"/>
          <w:i/>
          <w:sz w:val="28"/>
          <w:szCs w:val="28"/>
          <w:lang w:val="uk-UA"/>
        </w:rPr>
      </w:pPr>
      <w:r>
        <w:rPr>
          <w:rFonts w:ascii="Times New Roman" w:hAnsi="Times New Roman"/>
          <w:i/>
          <w:sz w:val="28"/>
          <w:szCs w:val="28"/>
          <w:lang w:val="uk-UA"/>
        </w:rPr>
        <w:t>Розподіл хворих в групах в залежності від даних анамнезу життя</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571"/>
        <w:gridCol w:w="1857"/>
        <w:gridCol w:w="953"/>
        <w:gridCol w:w="706"/>
        <w:gridCol w:w="857"/>
        <w:gridCol w:w="706"/>
        <w:gridCol w:w="1004"/>
      </w:tblGrid>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vMerge/>
          </w:tcPr>
          <w:p w:rsidR="000F78D0" w:rsidRPr="001336DC" w:rsidRDefault="000F78D0" w:rsidP="003D0EAE">
            <w:pPr>
              <w:spacing w:line="276" w:lineRule="auto"/>
              <w:ind w:firstLine="6"/>
              <w:jc w:val="center"/>
              <w:rPr>
                <w:rFonts w:ascii="Times New Roman" w:hAnsi="Times New Roman"/>
                <w:sz w:val="28"/>
                <w:szCs w:val="28"/>
                <w:lang w:val="uk-UA"/>
              </w:rPr>
            </w:pP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Грудне вигодовування</w:t>
            </w: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аявне</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ідсутнє</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Тривалість грудного вигодовування</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 6,0 місяців</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18,2</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6,1-9,0 міс.</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31,8</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 9,1 міс.</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50,0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Часті ГРВІ в дитячому віці</w:t>
            </w: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Перенесені дитячі інфекції</w:t>
            </w: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ЛОР-захворювання</w:t>
            </w: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34" w:type="dxa"/>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E3471D">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Ендокринні захворювання</w:t>
            </w: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w:t>
            </w:r>
            <w:r w:rsidR="000F78D0" w:rsidRPr="001336DC">
              <w:rPr>
                <w:rFonts w:ascii="Times New Roman" w:hAnsi="Times New Roman"/>
                <w:sz w:val="28"/>
                <w:szCs w:val="28"/>
                <w:lang w:val="uk-UA"/>
              </w:rPr>
              <w:t>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E3471D">
        <w:tc>
          <w:tcPr>
            <w:tcW w:w="534" w:type="dxa"/>
            <w:vMerge/>
          </w:tcPr>
          <w:p w:rsidR="000F78D0" w:rsidRPr="001336DC" w:rsidRDefault="000F78D0" w:rsidP="00E3471D">
            <w:pPr>
              <w:spacing w:line="276" w:lineRule="auto"/>
              <w:jc w:val="both"/>
              <w:rPr>
                <w:rFonts w:ascii="Times New Roman" w:hAnsi="Times New Roman"/>
                <w:sz w:val="28"/>
                <w:szCs w:val="28"/>
                <w:lang w:val="uk-UA"/>
              </w:rPr>
            </w:pPr>
          </w:p>
        </w:tc>
        <w:tc>
          <w:tcPr>
            <w:tcW w:w="0" w:type="auto"/>
            <w:vMerge/>
          </w:tcPr>
          <w:p w:rsidR="000F78D0" w:rsidRPr="001336DC" w:rsidRDefault="000F78D0" w:rsidP="00E3471D">
            <w:pPr>
              <w:spacing w:line="276" w:lineRule="auto"/>
              <w:jc w:val="both"/>
              <w:rPr>
                <w:rFonts w:ascii="Times New Roman" w:hAnsi="Times New Roman"/>
                <w:sz w:val="28"/>
                <w:szCs w:val="28"/>
                <w:lang w:val="uk-UA"/>
              </w:rPr>
            </w:pPr>
          </w:p>
        </w:tc>
        <w:tc>
          <w:tcPr>
            <w:tcW w:w="1857" w:type="dxa"/>
          </w:tcPr>
          <w:p w:rsidR="000F78D0" w:rsidRPr="001336DC" w:rsidRDefault="00E3471D"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bl>
    <w:p w:rsidR="000F78D0" w:rsidRDefault="000F78D0" w:rsidP="006C7FCC">
      <w:pPr>
        <w:tabs>
          <w:tab w:val="left" w:pos="2040"/>
        </w:tabs>
        <w:ind w:firstLine="709"/>
        <w:rPr>
          <w:rFonts w:ascii="Times New Roman" w:hAnsi="Times New Roman"/>
          <w:i/>
          <w:sz w:val="28"/>
          <w:szCs w:val="28"/>
          <w:lang w:val="uk-UA"/>
        </w:rPr>
      </w:pPr>
      <w:r w:rsidRPr="0027125B">
        <w:rPr>
          <w:rFonts w:ascii="Times New Roman" w:hAnsi="Times New Roman"/>
          <w:i/>
          <w:sz w:val="28"/>
          <w:szCs w:val="28"/>
          <w:lang w:val="uk-UA"/>
        </w:rPr>
        <w:t>Примітка. * - односторонній критерій</w:t>
      </w:r>
    </w:p>
    <w:p w:rsidR="00E3471D" w:rsidRPr="00FB24D5" w:rsidRDefault="000F78D0" w:rsidP="006C7FCC">
      <w:pPr>
        <w:tabs>
          <w:tab w:val="left" w:pos="2040"/>
        </w:tabs>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 </w:t>
      </w:r>
      <w:r w:rsidR="00E3471D">
        <w:rPr>
          <w:rFonts w:ascii="Times New Roman" w:hAnsi="Times New Roman"/>
          <w:sz w:val="28"/>
          <w:szCs w:val="28"/>
          <w:lang w:val="uk-UA"/>
        </w:rPr>
        <w:t>Отримані результати свідчать про те, що порушення здорового способу життя підлітків є складовою частиною патогенетичної детермінанти по розвитку захворювань пародонту у даного контингенту і можуть бути використані для розробки прогностичних критеріїв.</w:t>
      </w:r>
    </w:p>
    <w:p w:rsidR="000F78D0" w:rsidRDefault="00E3471D" w:rsidP="006C7FCC">
      <w:pPr>
        <w:tabs>
          <w:tab w:val="left" w:pos="2040"/>
        </w:tabs>
        <w:spacing w:line="360" w:lineRule="auto"/>
        <w:ind w:firstLine="709"/>
        <w:jc w:val="both"/>
        <w:rPr>
          <w:rFonts w:ascii="Times New Roman" w:hAnsi="Times New Roman"/>
          <w:sz w:val="20"/>
          <w:szCs w:val="20"/>
          <w:lang w:val="uk-UA"/>
        </w:rPr>
      </w:pPr>
      <w:r>
        <w:rPr>
          <w:rFonts w:ascii="Times New Roman" w:hAnsi="Times New Roman"/>
          <w:sz w:val="28"/>
          <w:szCs w:val="28"/>
          <w:lang w:val="uk-UA"/>
        </w:rPr>
        <w:t xml:space="preserve">Дані про розподіл хворих у групах згідно з  соматичною патологією наведені в таблиці </w:t>
      </w:r>
      <w:r w:rsidR="00E66D22">
        <w:rPr>
          <w:rFonts w:ascii="Times New Roman" w:hAnsi="Times New Roman"/>
          <w:sz w:val="28"/>
          <w:szCs w:val="28"/>
          <w:lang w:val="uk-UA"/>
        </w:rPr>
        <w:t>5.</w:t>
      </w:r>
      <w:r w:rsidRPr="009E5C5F">
        <w:rPr>
          <w:rFonts w:ascii="Times New Roman" w:hAnsi="Times New Roman"/>
          <w:sz w:val="28"/>
          <w:szCs w:val="28"/>
          <w:lang w:val="uk-UA"/>
        </w:rPr>
        <w:t>8</w:t>
      </w:r>
      <w:r>
        <w:rPr>
          <w:rFonts w:ascii="Times New Roman" w:hAnsi="Times New Roman"/>
          <w:sz w:val="28"/>
          <w:szCs w:val="28"/>
          <w:lang w:val="uk-UA"/>
        </w:rPr>
        <w:t xml:space="preserve">. </w:t>
      </w:r>
      <w:r w:rsidRPr="009E5C5F">
        <w:rPr>
          <w:rFonts w:ascii="Times New Roman" w:hAnsi="Times New Roman"/>
          <w:sz w:val="28"/>
          <w:szCs w:val="28"/>
          <w:lang w:val="uk-UA"/>
        </w:rPr>
        <w:t>Проведений аналіз даних цієї таблиці свідчить, що за більшістю патологічних станів достовірних відмінностей між</w:t>
      </w:r>
      <w:r>
        <w:rPr>
          <w:rFonts w:ascii="Times New Roman" w:hAnsi="Times New Roman"/>
          <w:sz w:val="28"/>
          <w:szCs w:val="28"/>
          <w:lang w:val="uk-UA"/>
        </w:rPr>
        <w:t xml:space="preserve"> групами не виявлено. Суттєвий вплив на формування запальних захворювань пародонту встановлено по відношенню до захворювань шлунково-кишкового тракту, частка яких в основній групі була в 2,4 </w:t>
      </w:r>
      <w:r w:rsidRPr="009E5C5F">
        <w:rPr>
          <w:rFonts w:ascii="Times New Roman" w:hAnsi="Times New Roman"/>
          <w:sz w:val="28"/>
          <w:szCs w:val="28"/>
          <w:lang w:val="uk-UA"/>
        </w:rPr>
        <w:t>раза вища (р&lt;0,05), ніж в контролі. Подібна закономірність виявлена  і по відношенню до проявів алергії, які в 3,2 раза частіше (р&lt;0,05) визначались в основній</w:t>
      </w:r>
      <w:r>
        <w:rPr>
          <w:rFonts w:ascii="Times New Roman" w:hAnsi="Times New Roman"/>
          <w:sz w:val="28"/>
          <w:szCs w:val="28"/>
          <w:lang w:val="uk-UA"/>
        </w:rPr>
        <w:t xml:space="preserve"> групі.</w:t>
      </w:r>
    </w:p>
    <w:p w:rsidR="000F78D0" w:rsidRPr="004845B5" w:rsidRDefault="00E66D22"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sidR="000F78D0">
        <w:rPr>
          <w:rFonts w:ascii="Times New Roman" w:hAnsi="Times New Roman"/>
          <w:i/>
          <w:sz w:val="28"/>
          <w:szCs w:val="28"/>
          <w:lang w:val="uk-UA"/>
        </w:rPr>
        <w:t>7</w:t>
      </w:r>
    </w:p>
    <w:p w:rsidR="000F78D0" w:rsidRPr="004845B5" w:rsidRDefault="000F78D0" w:rsidP="00AC605C">
      <w:pPr>
        <w:spacing w:line="360" w:lineRule="auto"/>
        <w:ind w:firstLine="426"/>
        <w:jc w:val="center"/>
        <w:rPr>
          <w:rFonts w:ascii="Times New Roman" w:hAnsi="Times New Roman"/>
          <w:i/>
          <w:sz w:val="28"/>
          <w:szCs w:val="28"/>
          <w:lang w:val="uk-UA"/>
        </w:rPr>
      </w:pPr>
      <w:r>
        <w:rPr>
          <w:rFonts w:ascii="Times New Roman" w:hAnsi="Times New Roman"/>
          <w:i/>
          <w:sz w:val="28"/>
          <w:szCs w:val="28"/>
          <w:lang w:val="uk-UA"/>
        </w:rPr>
        <w:t>Характеристика способу життя хворих в групах</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511"/>
        <w:gridCol w:w="1559"/>
        <w:gridCol w:w="953"/>
        <w:gridCol w:w="875"/>
        <w:gridCol w:w="857"/>
        <w:gridCol w:w="706"/>
        <w:gridCol w:w="1004"/>
      </w:tblGrid>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559" w:type="dxa"/>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828" w:type="dxa"/>
            <w:gridSpan w:val="2"/>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vMerge/>
          </w:tcPr>
          <w:p w:rsidR="000F78D0" w:rsidRPr="001336DC" w:rsidRDefault="000F78D0" w:rsidP="003D0EAE">
            <w:pPr>
              <w:jc w:val="center"/>
              <w:rPr>
                <w:rFonts w:ascii="Times New Roman" w:hAnsi="Times New Roman"/>
                <w:sz w:val="28"/>
                <w:szCs w:val="28"/>
                <w:lang w:val="uk-UA"/>
              </w:rPr>
            </w:pP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jc w:val="center"/>
              <w:rPr>
                <w:rFonts w:ascii="Times New Roman" w:hAnsi="Times New Roman"/>
                <w:sz w:val="28"/>
                <w:szCs w:val="28"/>
                <w:lang w:val="uk-UA"/>
              </w:rPr>
            </w:pP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Тютюнопаління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10</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20</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2.</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Зловживання солодощами, фастфудом</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19</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33</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66</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11</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36,7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3.</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7</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23</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4.</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Перевага в дієті жирних і гострих страв</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24</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31</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5.</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Підвищене учбове навантаження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11</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36,7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19</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6.</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Фізичні перенавантаження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40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18</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31</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7.</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Несприятливе родинне оточення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39</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8.</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Конфлікти в колективі і родині</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7</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23</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37</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74</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9.</w:t>
            </w:r>
          </w:p>
        </w:tc>
        <w:tc>
          <w:tcPr>
            <w:tcW w:w="3511" w:type="dxa"/>
            <w:vMerge w:val="restart"/>
          </w:tcPr>
          <w:p w:rsidR="000F78D0" w:rsidRPr="001336DC" w:rsidRDefault="000F78D0" w:rsidP="00CF588A">
            <w:pPr>
              <w:ind w:firstLine="1"/>
              <w:rPr>
                <w:rFonts w:ascii="Times New Roman" w:hAnsi="Times New Roman"/>
                <w:sz w:val="28"/>
                <w:szCs w:val="28"/>
                <w:lang w:val="uk-UA"/>
              </w:rPr>
            </w:pPr>
            <w:r w:rsidRPr="001336DC">
              <w:rPr>
                <w:rFonts w:ascii="Times New Roman" w:hAnsi="Times New Roman"/>
                <w:sz w:val="28"/>
                <w:szCs w:val="28"/>
                <w:lang w:val="uk-UA"/>
              </w:rPr>
              <w:t>Нерозділене або невдале кохання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84</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10.</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Тривала психотравмуюча ситуація</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11.</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Дієтичний раціон</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20</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10</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12.</w:t>
            </w:r>
          </w:p>
        </w:tc>
        <w:tc>
          <w:tcPr>
            <w:tcW w:w="3511" w:type="dxa"/>
            <w:vMerge w:val="restart"/>
          </w:tcPr>
          <w:p w:rsidR="000F78D0" w:rsidRPr="001336DC" w:rsidRDefault="000F78D0" w:rsidP="00CF588A">
            <w:pPr>
              <w:ind w:firstLine="1"/>
              <w:rPr>
                <w:rFonts w:ascii="Times New Roman" w:hAnsi="Times New Roman"/>
                <w:sz w:val="28"/>
                <w:szCs w:val="28"/>
                <w:lang w:val="uk-UA"/>
              </w:rPr>
            </w:pPr>
            <w:r w:rsidRPr="001336DC">
              <w:rPr>
                <w:rFonts w:ascii="Times New Roman" w:hAnsi="Times New Roman"/>
                <w:sz w:val="28"/>
                <w:szCs w:val="28"/>
                <w:lang w:val="uk-UA"/>
              </w:rPr>
              <w:t>Тривалість перебування на свіжому повітрі, годин</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17</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56,7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3</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30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13.</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Пережовування їжі на одному боці</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28</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93,3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35</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70</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14.</w:t>
            </w:r>
          </w:p>
        </w:tc>
        <w:tc>
          <w:tcPr>
            <w:tcW w:w="3511" w:type="dxa"/>
            <w:vMerge w:val="restart"/>
          </w:tcPr>
          <w:p w:rsidR="000F78D0" w:rsidRPr="001336DC" w:rsidRDefault="000F78D0" w:rsidP="00CF588A">
            <w:pPr>
              <w:ind w:firstLine="1"/>
              <w:rPr>
                <w:rFonts w:ascii="Times New Roman" w:hAnsi="Times New Roman"/>
                <w:sz w:val="28"/>
                <w:szCs w:val="28"/>
                <w:lang w:val="uk-UA"/>
              </w:rPr>
            </w:pPr>
            <w:r w:rsidRPr="001336DC">
              <w:rPr>
                <w:rFonts w:ascii="Times New Roman" w:hAnsi="Times New Roman"/>
                <w:sz w:val="28"/>
                <w:szCs w:val="28"/>
                <w:lang w:val="uk-UA"/>
              </w:rPr>
              <w:t>Використання в раціоні м’якої їжі</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24</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28</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93,3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76</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15.</w:t>
            </w:r>
          </w:p>
        </w:tc>
        <w:tc>
          <w:tcPr>
            <w:tcW w:w="3511" w:type="dxa"/>
            <w:vMerge w:val="restart"/>
          </w:tcPr>
          <w:p w:rsidR="000F78D0" w:rsidRPr="001336DC" w:rsidRDefault="000F78D0" w:rsidP="00CF588A">
            <w:pPr>
              <w:ind w:firstLine="1"/>
              <w:jc w:val="both"/>
              <w:rPr>
                <w:rFonts w:ascii="Times New Roman" w:hAnsi="Times New Roman"/>
                <w:sz w:val="28"/>
                <w:szCs w:val="28"/>
                <w:lang w:val="uk-UA"/>
              </w:rPr>
            </w:pPr>
            <w:r w:rsidRPr="001336DC">
              <w:rPr>
                <w:rFonts w:ascii="Times New Roman" w:hAnsi="Times New Roman"/>
                <w:sz w:val="28"/>
                <w:szCs w:val="28"/>
                <w:lang w:val="uk-UA"/>
              </w:rPr>
              <w:t>Травматичне чищення зубів</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29</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96,7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41</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jc w:val="both"/>
              <w:rPr>
                <w:rFonts w:ascii="Times New Roman" w:hAnsi="Times New Roman"/>
                <w:sz w:val="28"/>
                <w:szCs w:val="28"/>
                <w:lang w:val="uk-UA"/>
              </w:rPr>
            </w:pPr>
            <w:r w:rsidRPr="001336DC">
              <w:rPr>
                <w:rFonts w:ascii="Times New Roman" w:hAnsi="Times New Roman"/>
                <w:sz w:val="28"/>
                <w:szCs w:val="28"/>
                <w:lang w:val="uk-UA"/>
              </w:rPr>
              <w:t>16.</w:t>
            </w:r>
          </w:p>
        </w:tc>
        <w:tc>
          <w:tcPr>
            <w:tcW w:w="3511" w:type="dxa"/>
            <w:vMerge w:val="restart"/>
          </w:tcPr>
          <w:p w:rsidR="000F78D0" w:rsidRPr="001336DC" w:rsidRDefault="000F78D0" w:rsidP="00CF588A">
            <w:pPr>
              <w:ind w:firstLine="1"/>
              <w:rPr>
                <w:rFonts w:ascii="Times New Roman" w:hAnsi="Times New Roman"/>
                <w:sz w:val="28"/>
                <w:szCs w:val="28"/>
                <w:lang w:val="uk-UA"/>
              </w:rPr>
            </w:pPr>
            <w:r w:rsidRPr="001336DC">
              <w:rPr>
                <w:rFonts w:ascii="Times New Roman" w:hAnsi="Times New Roman"/>
                <w:sz w:val="28"/>
                <w:szCs w:val="28"/>
                <w:lang w:val="uk-UA"/>
              </w:rPr>
              <w:t>Чищення зубів, кількість разів на добу</w:t>
            </w: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5</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13</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43,3</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66" w:type="dxa"/>
            <w:vMerge/>
          </w:tcPr>
          <w:p w:rsidR="000F78D0" w:rsidRPr="001336DC" w:rsidRDefault="000F78D0" w:rsidP="00CF588A">
            <w:pPr>
              <w:jc w:val="both"/>
              <w:rPr>
                <w:rFonts w:ascii="Times New Roman" w:hAnsi="Times New Roman"/>
                <w:sz w:val="28"/>
                <w:szCs w:val="28"/>
                <w:lang w:val="uk-UA"/>
              </w:rPr>
            </w:pPr>
          </w:p>
        </w:tc>
        <w:tc>
          <w:tcPr>
            <w:tcW w:w="3511" w:type="dxa"/>
            <w:vMerge/>
          </w:tcPr>
          <w:p w:rsidR="000F78D0" w:rsidRPr="001336DC" w:rsidRDefault="000F78D0" w:rsidP="00CF588A">
            <w:pPr>
              <w:ind w:firstLine="1"/>
              <w:jc w:val="both"/>
              <w:rPr>
                <w:rFonts w:ascii="Times New Roman" w:hAnsi="Times New Roman"/>
                <w:sz w:val="28"/>
                <w:szCs w:val="28"/>
                <w:lang w:val="uk-UA"/>
              </w:rPr>
            </w:pPr>
          </w:p>
        </w:tc>
        <w:tc>
          <w:tcPr>
            <w:tcW w:w="1559"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w:t>
            </w:r>
          </w:p>
        </w:tc>
        <w:tc>
          <w:tcPr>
            <w:tcW w:w="953"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40,0</w:t>
            </w:r>
          </w:p>
        </w:tc>
        <w:tc>
          <w:tcPr>
            <w:tcW w:w="85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&lt;0,01</w:t>
            </w:r>
          </w:p>
        </w:tc>
      </w:tr>
    </w:tbl>
    <w:p w:rsidR="000F78D0" w:rsidRDefault="000F78D0" w:rsidP="006C7FCC">
      <w:pPr>
        <w:tabs>
          <w:tab w:val="left" w:pos="2040"/>
        </w:tabs>
        <w:ind w:firstLine="709"/>
        <w:rPr>
          <w:rFonts w:ascii="Times New Roman" w:hAnsi="Times New Roman"/>
          <w:i/>
          <w:sz w:val="28"/>
          <w:szCs w:val="28"/>
          <w:lang w:val="uk-UA"/>
        </w:rPr>
      </w:pPr>
      <w:r w:rsidRPr="0027125B">
        <w:rPr>
          <w:rFonts w:ascii="Times New Roman" w:hAnsi="Times New Roman"/>
          <w:i/>
          <w:sz w:val="28"/>
          <w:szCs w:val="28"/>
          <w:lang w:val="uk-UA"/>
        </w:rPr>
        <w:t>Примітка. * - односторонній критерій</w:t>
      </w:r>
    </w:p>
    <w:p w:rsidR="000F78D0" w:rsidRDefault="000F78D0" w:rsidP="00AC605C">
      <w:pPr>
        <w:tabs>
          <w:tab w:val="left" w:pos="2040"/>
        </w:tabs>
        <w:spacing w:line="360" w:lineRule="auto"/>
        <w:ind w:firstLine="426"/>
        <w:jc w:val="both"/>
        <w:rPr>
          <w:rFonts w:ascii="Times New Roman" w:hAnsi="Times New Roman"/>
          <w:sz w:val="28"/>
          <w:szCs w:val="28"/>
          <w:lang w:val="uk-UA"/>
        </w:rPr>
      </w:pPr>
    </w:p>
    <w:p w:rsidR="000F78D0" w:rsidRDefault="000F78D0" w:rsidP="00AC605C">
      <w:pPr>
        <w:tabs>
          <w:tab w:val="left" w:pos="2040"/>
        </w:tabs>
        <w:spacing w:line="360" w:lineRule="auto"/>
        <w:ind w:firstLine="426"/>
        <w:jc w:val="both"/>
        <w:rPr>
          <w:rFonts w:ascii="Times New Roman" w:hAnsi="Times New Roman"/>
          <w:sz w:val="28"/>
          <w:szCs w:val="28"/>
          <w:lang w:val="uk-UA"/>
        </w:rPr>
      </w:pPr>
      <w:r>
        <w:rPr>
          <w:rFonts w:ascii="Times New Roman" w:hAnsi="Times New Roman"/>
          <w:sz w:val="28"/>
          <w:szCs w:val="28"/>
          <w:lang w:val="uk-UA"/>
        </w:rPr>
        <w:tab/>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Не дивлячись на те, що відносно інших патологічних станів суттєвих відмінностей між групами не було, однак виявлено тенденцію до більш високої їх частоти в основній групі. Це припускає сукупний адитивний патогенетичний їх ефект. Дійсно, при аналізі числа поєднаної патології виявлено, що наявність трьох і більше захворювань зустрічалася у 58%  хворих основної і тільки у 6,7% (р&lt;0,001) контрольної групи.</w:t>
      </w:r>
    </w:p>
    <w:p w:rsidR="000F78D0" w:rsidRPr="004845B5" w:rsidRDefault="00E66D22" w:rsidP="00CF588A">
      <w:pPr>
        <w:tabs>
          <w:tab w:val="left" w:pos="2040"/>
        </w:tabs>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t>Таблиця 5.</w:t>
      </w:r>
      <w:r w:rsidR="000F78D0">
        <w:rPr>
          <w:rFonts w:ascii="Times New Roman" w:hAnsi="Times New Roman"/>
          <w:i/>
          <w:sz w:val="28"/>
          <w:szCs w:val="28"/>
          <w:lang w:val="uk-UA"/>
        </w:rPr>
        <w:t>8</w:t>
      </w:r>
    </w:p>
    <w:p w:rsidR="000F78D0" w:rsidRPr="004845B5" w:rsidRDefault="000F78D0" w:rsidP="00AC605C">
      <w:pPr>
        <w:spacing w:line="360" w:lineRule="auto"/>
        <w:ind w:firstLine="426"/>
        <w:jc w:val="center"/>
        <w:rPr>
          <w:rFonts w:ascii="Times New Roman" w:hAnsi="Times New Roman"/>
          <w:i/>
          <w:sz w:val="28"/>
          <w:szCs w:val="28"/>
          <w:lang w:val="uk-UA"/>
        </w:rPr>
      </w:pPr>
      <w:r>
        <w:rPr>
          <w:rFonts w:ascii="Times New Roman" w:hAnsi="Times New Roman"/>
          <w:i/>
          <w:sz w:val="28"/>
          <w:szCs w:val="28"/>
          <w:lang w:val="uk-UA"/>
        </w:rPr>
        <w:t>Розподіл хворих по групам в залежності від характеру соматичної патології</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489"/>
        <w:gridCol w:w="1857"/>
        <w:gridCol w:w="953"/>
        <w:gridCol w:w="706"/>
        <w:gridCol w:w="857"/>
        <w:gridCol w:w="706"/>
        <w:gridCol w:w="1004"/>
      </w:tblGrid>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vMerge/>
          </w:tcPr>
          <w:p w:rsidR="000F78D0" w:rsidRPr="001336DC" w:rsidRDefault="000F78D0" w:rsidP="003D0EAE">
            <w:pPr>
              <w:spacing w:line="276" w:lineRule="auto"/>
              <w:jc w:val="center"/>
              <w:rPr>
                <w:rFonts w:ascii="Times New Roman" w:hAnsi="Times New Roman"/>
                <w:sz w:val="28"/>
                <w:szCs w:val="28"/>
                <w:lang w:val="uk-UA"/>
              </w:rPr>
            </w:pP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ІМТ, ум.од.</w:t>
            </w:r>
          </w:p>
          <w:p w:rsidR="000F78D0" w:rsidRPr="001336DC" w:rsidRDefault="000F78D0" w:rsidP="00CF588A">
            <w:pPr>
              <w:ind w:firstLine="1"/>
              <w:jc w:val="center"/>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≤18,0</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18,1-25</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≥25,1</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ЛОР-патологія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Алергічні захворювання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нервової системи</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Серцево-судинні захворювання </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0" w:type="auto"/>
            <w:vMerge w:val="restart"/>
          </w:tcPr>
          <w:p w:rsidR="000F78D0" w:rsidRPr="001336DC" w:rsidRDefault="000F78D0" w:rsidP="00CF588A">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Гіпоплазія матки</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Мультифолікулярні яєчники </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val="restart"/>
          </w:tcPr>
          <w:p w:rsidR="000F78D0" w:rsidRPr="001336DC" w:rsidRDefault="000F78D0" w:rsidP="00CF588A">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Хвороба склерокістних яєчників</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hint="eastAsia"/>
                <w:sz w:val="28"/>
                <w:szCs w:val="28"/>
                <w:lang w:val="uk-UA"/>
              </w:rPr>
              <w:t>&gt;</w:t>
            </w:r>
            <w:r w:rsidRPr="001336DC">
              <w:rPr>
                <w:rFonts w:ascii="Times New Roman" w:hAnsi="Times New Roman"/>
                <w:sz w:val="28"/>
                <w:szCs w:val="28"/>
                <w:lang w:val="uk-UA"/>
              </w:rPr>
              <w:t>0,05</w:t>
            </w:r>
          </w:p>
        </w:tc>
      </w:tr>
      <w:tr w:rsidR="000F78D0" w:rsidRPr="001336DC" w:rsidTr="00CF588A">
        <w:tc>
          <w:tcPr>
            <w:tcW w:w="566"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12.</w:t>
            </w:r>
          </w:p>
        </w:tc>
        <w:tc>
          <w:tcPr>
            <w:tcW w:w="0" w:type="auto"/>
            <w:vMerge w:val="restart"/>
          </w:tcPr>
          <w:p w:rsidR="000F78D0" w:rsidRPr="001336DC" w:rsidRDefault="000F78D0" w:rsidP="00CF588A">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Число соматичної хронічної патології</w:t>
            </w: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0-1</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66"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1"/>
              <w:jc w:val="both"/>
              <w:rPr>
                <w:rFonts w:ascii="Times New Roman" w:hAnsi="Times New Roman"/>
                <w:sz w:val="28"/>
                <w:szCs w:val="28"/>
                <w:lang w:val="uk-UA"/>
              </w:rPr>
            </w:pPr>
          </w:p>
        </w:tc>
        <w:tc>
          <w:tcPr>
            <w:tcW w:w="1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3</w:t>
            </w:r>
          </w:p>
        </w:tc>
        <w:tc>
          <w:tcPr>
            <w:tcW w:w="953"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706"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bl>
    <w:p w:rsidR="00CF588A" w:rsidRDefault="00CF588A"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Отже, неспецифічний генетичний вантаж з боку батьків і прабатьків реалізується в пубертаті поєднаною соматичною патологією.</w:t>
      </w:r>
    </w:p>
    <w:p w:rsidR="000F78D0" w:rsidRDefault="00CF588A" w:rsidP="006C7FCC">
      <w:pPr>
        <w:tabs>
          <w:tab w:val="left" w:pos="2040"/>
        </w:tabs>
        <w:spacing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Особливості стоматологічного статусу хворих наведені в таблиці </w:t>
      </w:r>
      <w:r w:rsidR="00E66D22">
        <w:rPr>
          <w:rFonts w:ascii="Times New Roman" w:hAnsi="Times New Roman"/>
          <w:sz w:val="28"/>
          <w:szCs w:val="28"/>
          <w:lang w:val="uk-UA"/>
        </w:rPr>
        <w:t>5</w:t>
      </w:r>
      <w:r w:rsidRPr="009E5C5F">
        <w:rPr>
          <w:rFonts w:ascii="Times New Roman" w:hAnsi="Times New Roman"/>
          <w:sz w:val="28"/>
          <w:szCs w:val="28"/>
          <w:lang w:val="uk-UA"/>
        </w:rPr>
        <w:t xml:space="preserve">.9. </w:t>
      </w:r>
    </w:p>
    <w:p w:rsidR="000F78D0" w:rsidRPr="004845B5" w:rsidRDefault="00E66D22"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t>Таблиця 5.</w:t>
      </w:r>
      <w:r w:rsidR="000F78D0">
        <w:rPr>
          <w:rFonts w:ascii="Times New Roman" w:hAnsi="Times New Roman"/>
          <w:i/>
          <w:sz w:val="28"/>
          <w:szCs w:val="28"/>
          <w:lang w:val="uk-UA"/>
        </w:rPr>
        <w:t>9</w:t>
      </w:r>
    </w:p>
    <w:p w:rsidR="000F78D0" w:rsidRPr="004845B5" w:rsidRDefault="000F78D0" w:rsidP="00AC605C">
      <w:pPr>
        <w:spacing w:line="360" w:lineRule="auto"/>
        <w:ind w:firstLine="426"/>
        <w:jc w:val="center"/>
        <w:rPr>
          <w:rFonts w:ascii="Times New Roman" w:hAnsi="Times New Roman"/>
          <w:i/>
          <w:sz w:val="28"/>
          <w:szCs w:val="28"/>
          <w:lang w:val="uk-UA"/>
        </w:rPr>
      </w:pPr>
      <w:r>
        <w:rPr>
          <w:rFonts w:ascii="Times New Roman" w:hAnsi="Times New Roman"/>
          <w:i/>
          <w:sz w:val="28"/>
          <w:szCs w:val="28"/>
          <w:lang w:val="uk-UA"/>
        </w:rPr>
        <w:t>Характеристика стоматологічного статусу  хворих в групах</w:t>
      </w:r>
    </w:p>
    <w:tbl>
      <w:tblPr>
        <w:tblW w:w="10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571"/>
        <w:gridCol w:w="1673"/>
        <w:gridCol w:w="953"/>
        <w:gridCol w:w="706"/>
        <w:gridCol w:w="857"/>
        <w:gridCol w:w="886"/>
        <w:gridCol w:w="1004"/>
      </w:tblGrid>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Показник</w:t>
            </w:r>
          </w:p>
        </w:tc>
        <w:tc>
          <w:tcPr>
            <w:tcW w:w="1673" w:type="dxa"/>
            <w:vMerge w:val="restart"/>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743" w:type="dxa"/>
            <w:gridSpan w:val="2"/>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vMerge/>
          </w:tcPr>
          <w:p w:rsidR="000F78D0" w:rsidRPr="001336DC" w:rsidRDefault="000F78D0" w:rsidP="003D0EAE">
            <w:pPr>
              <w:spacing w:line="276" w:lineRule="auto"/>
              <w:ind w:firstLine="6"/>
              <w:jc w:val="center"/>
              <w:rPr>
                <w:rFonts w:ascii="Times New Roman" w:hAnsi="Times New Roman"/>
                <w:sz w:val="28"/>
                <w:szCs w:val="28"/>
                <w:lang w:val="uk-UA"/>
              </w:rPr>
            </w:pP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 xml:space="preserve">Індекс </w:t>
            </w:r>
            <w:r w:rsidR="00E71220">
              <w:rPr>
                <w:rFonts w:ascii="Times New Roman" w:hAnsi="Times New Roman"/>
                <w:sz w:val="28"/>
                <w:szCs w:val="28"/>
                <w:lang w:val="uk-UA"/>
              </w:rPr>
              <w:t>Ю.А.Федорова, В.В.Володкіної</w:t>
            </w:r>
            <w:r w:rsidRPr="001336DC">
              <w:rPr>
                <w:rFonts w:ascii="Times New Roman" w:hAnsi="Times New Roman"/>
                <w:sz w:val="28"/>
                <w:szCs w:val="28"/>
                <w:lang w:val="uk-UA"/>
              </w:rPr>
              <w:t>, бали</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63,4</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2,1-2,5</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25</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≥2,6</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16</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Спрощений індекс, бали</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≤1,6</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15</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≥1,7</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35</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 xml:space="preserve">Інтенсивність карієсу, </w:t>
            </w:r>
            <w:r w:rsidR="00A06011">
              <w:rPr>
                <w:rFonts w:ascii="Times New Roman" w:hAnsi="Times New Roman"/>
                <w:sz w:val="28"/>
                <w:szCs w:val="28"/>
                <w:lang w:val="uk-UA"/>
              </w:rPr>
              <w:t>КПВ</w:t>
            </w:r>
            <w:r w:rsidRPr="001336DC">
              <w:rPr>
                <w:rFonts w:ascii="Times New Roman" w:hAnsi="Times New Roman"/>
                <w:sz w:val="28"/>
                <w:szCs w:val="28"/>
                <w:lang w:val="uk-UA"/>
              </w:rPr>
              <w:t>,  ум.од.</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≤2,6</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2,7-4,4</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≥4,5</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28</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Бруксизм</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41</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 xml:space="preserve">Приясенна локалізація карієсу </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3,4</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10</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25,6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28</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96,6</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39</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74,4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Аномалії розвитку зубо-щелепної системи</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32</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Поєднані аномалії розвитку зубо-щелепної системи</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33</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17</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Краї пломб, що нависають</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10,3</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35</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89,7</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0" w:type="auto"/>
            <w:vMerge w:val="restart"/>
          </w:tcPr>
          <w:p w:rsidR="000F78D0" w:rsidRPr="001336DC" w:rsidRDefault="000F78D0" w:rsidP="00CF588A">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Порушення змикання зубних рядів</w:t>
            </w: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6,1</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673"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36</w:t>
            </w:r>
          </w:p>
        </w:tc>
        <w:tc>
          <w:tcPr>
            <w:tcW w:w="88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93,9</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bl>
    <w:p w:rsidR="000F78D0" w:rsidRDefault="000F78D0" w:rsidP="006C7FCC">
      <w:pPr>
        <w:tabs>
          <w:tab w:val="left" w:pos="2040"/>
        </w:tabs>
        <w:ind w:firstLine="709"/>
        <w:rPr>
          <w:rFonts w:ascii="Times New Roman" w:hAnsi="Times New Roman"/>
          <w:i/>
          <w:sz w:val="28"/>
          <w:szCs w:val="28"/>
          <w:lang w:val="uk-UA"/>
        </w:rPr>
      </w:pPr>
      <w:r w:rsidRPr="0027125B">
        <w:rPr>
          <w:rFonts w:ascii="Times New Roman" w:hAnsi="Times New Roman"/>
          <w:i/>
          <w:sz w:val="28"/>
          <w:szCs w:val="28"/>
          <w:lang w:val="uk-UA"/>
        </w:rPr>
        <w:t>Примітка. * - односторонній критерій</w:t>
      </w:r>
    </w:p>
    <w:p w:rsidR="000F78D0" w:rsidRDefault="000F78D0" w:rsidP="006C7FCC">
      <w:pPr>
        <w:tabs>
          <w:tab w:val="left" w:pos="2040"/>
        </w:tabs>
        <w:ind w:firstLine="709"/>
        <w:rPr>
          <w:rFonts w:ascii="Times New Roman" w:hAnsi="Times New Roman"/>
          <w:i/>
          <w:sz w:val="28"/>
          <w:szCs w:val="28"/>
          <w:lang w:val="uk-UA"/>
        </w:rPr>
      </w:pPr>
    </w:p>
    <w:p w:rsidR="00CF588A" w:rsidRDefault="00E66D22"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таблиці 5.</w:t>
      </w:r>
      <w:r w:rsidR="00CF588A" w:rsidRPr="009E5C5F">
        <w:rPr>
          <w:rFonts w:ascii="Times New Roman" w:hAnsi="Times New Roman"/>
          <w:sz w:val="28"/>
          <w:szCs w:val="28"/>
          <w:lang w:val="uk-UA"/>
        </w:rPr>
        <w:t>9 свідчать про те, що порушення гігієни порожнини рота</w:t>
      </w:r>
      <w:r w:rsidR="00CF588A">
        <w:rPr>
          <w:rFonts w:ascii="Times New Roman" w:hAnsi="Times New Roman"/>
          <w:sz w:val="28"/>
          <w:szCs w:val="28"/>
          <w:lang w:val="uk-UA"/>
        </w:rPr>
        <w:t xml:space="preserve"> є важливим патогенетичним фактором. Так, погані або </w:t>
      </w:r>
      <w:r w:rsidR="00CF588A" w:rsidRPr="009E5C5F">
        <w:rPr>
          <w:rFonts w:ascii="Times New Roman" w:hAnsi="Times New Roman"/>
          <w:sz w:val="28"/>
          <w:szCs w:val="28"/>
          <w:lang w:val="uk-UA"/>
        </w:rPr>
        <w:t xml:space="preserve">дуже погані значення індексу Федорова-Володкіної (≥2,6 балів) в 2,4 раза частіше (р&lt;0,05) визначалися в основній групі, а гарні або задовільні його значення (≤2,0 балів) були характерні для контрольної групи, так як виявлялися в них у 3,5 раза частіше (р&lt;0,001). </w:t>
      </w:r>
    </w:p>
    <w:p w:rsidR="00CF588A" w:rsidRDefault="00CF588A"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Подібну закономірність встановлено і відносно спрощеного індексу. Погана або незадовільна гігієна </w:t>
      </w:r>
      <w:r w:rsidR="00713761">
        <w:rPr>
          <w:rFonts w:ascii="Times New Roman" w:hAnsi="Times New Roman"/>
          <w:sz w:val="28"/>
          <w:szCs w:val="28"/>
          <w:lang w:val="uk-UA"/>
        </w:rPr>
        <w:t>ПР</w:t>
      </w:r>
      <w:r>
        <w:rPr>
          <w:rFonts w:ascii="Times New Roman" w:hAnsi="Times New Roman"/>
          <w:sz w:val="28"/>
          <w:szCs w:val="28"/>
          <w:lang w:val="uk-UA"/>
        </w:rPr>
        <w:t xml:space="preserve"> була зареєстрована у 70% хворих основної групи і тільки у 20% пацієнтів з інтактним пародонтом (р&lt;0,001).</w:t>
      </w:r>
    </w:p>
    <w:p w:rsidR="00CF588A" w:rsidRDefault="00CF588A"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Високодостовірним фактором ризику запальних захворювань пародонту була висока інтенсивність карієсу (</w:t>
      </w:r>
      <w:r w:rsidR="00A06011">
        <w:rPr>
          <w:rFonts w:ascii="Times New Roman" w:hAnsi="Times New Roman"/>
          <w:sz w:val="28"/>
          <w:szCs w:val="28"/>
          <w:lang w:val="uk-UA"/>
        </w:rPr>
        <w:t>КПВ</w:t>
      </w:r>
      <w:r>
        <w:rPr>
          <w:rFonts w:ascii="Times New Roman" w:hAnsi="Times New Roman"/>
          <w:sz w:val="28"/>
          <w:szCs w:val="28"/>
          <w:lang w:val="uk-UA"/>
        </w:rPr>
        <w:t xml:space="preserve">). Так, </w:t>
      </w:r>
      <w:r w:rsidRPr="009E5C5F">
        <w:rPr>
          <w:rFonts w:ascii="Times New Roman" w:hAnsi="Times New Roman"/>
          <w:sz w:val="28"/>
          <w:szCs w:val="28"/>
          <w:lang w:val="uk-UA"/>
        </w:rPr>
        <w:t xml:space="preserve">значення </w:t>
      </w:r>
      <w:r w:rsidR="00A06011">
        <w:rPr>
          <w:rFonts w:ascii="Times New Roman" w:hAnsi="Times New Roman"/>
          <w:sz w:val="28"/>
          <w:szCs w:val="28"/>
          <w:lang w:val="uk-UA"/>
        </w:rPr>
        <w:t>КПВ</w:t>
      </w:r>
      <w:r w:rsidRPr="009E5C5F">
        <w:rPr>
          <w:rFonts w:ascii="Times New Roman" w:hAnsi="Times New Roman"/>
          <w:sz w:val="28"/>
          <w:szCs w:val="28"/>
          <w:lang w:val="uk-UA"/>
        </w:rPr>
        <w:t xml:space="preserve"> ≥4,5ум.од. було відносно специфічним для основної групи і в 2,8 раза частіше (р&lt;0,001) реєструвалося в них у порівнянні з контролем. І,  навпаки, відносно низькі значення </w:t>
      </w:r>
      <w:r w:rsidR="00A06011">
        <w:rPr>
          <w:rFonts w:ascii="Times New Roman" w:hAnsi="Times New Roman"/>
          <w:sz w:val="28"/>
          <w:szCs w:val="28"/>
          <w:lang w:val="uk-UA"/>
        </w:rPr>
        <w:t>КПВ</w:t>
      </w:r>
      <w:r w:rsidRPr="009E5C5F">
        <w:rPr>
          <w:rFonts w:ascii="Times New Roman" w:hAnsi="Times New Roman"/>
          <w:sz w:val="28"/>
          <w:szCs w:val="28"/>
          <w:lang w:val="uk-UA"/>
        </w:rPr>
        <w:t xml:space="preserve"> в 4,1 раза частіше (р&lt;0,001) визначалися</w:t>
      </w:r>
      <w:r>
        <w:rPr>
          <w:rFonts w:ascii="Times New Roman" w:hAnsi="Times New Roman"/>
          <w:sz w:val="28"/>
          <w:szCs w:val="28"/>
          <w:lang w:val="uk-UA"/>
        </w:rPr>
        <w:t xml:space="preserve"> в контрольній групі.</w:t>
      </w:r>
    </w:p>
    <w:p w:rsidR="000F78D0" w:rsidRPr="00CF588A" w:rsidRDefault="00CF588A" w:rsidP="006C7FCC">
      <w:pPr>
        <w:spacing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Достовірно частіше в основній групі діагностувалися аномалії зубо-щелепної системи (в 2,1 </w:t>
      </w:r>
      <w:r w:rsidRPr="009E5C5F">
        <w:rPr>
          <w:rFonts w:ascii="Times New Roman" w:hAnsi="Times New Roman"/>
          <w:sz w:val="28"/>
          <w:szCs w:val="28"/>
          <w:lang w:val="uk-UA"/>
        </w:rPr>
        <w:t>раза; р&lt;0,01) і їх поєднання (в 2,9 раза; р&lt;0</w:t>
      </w:r>
      <w:r>
        <w:rPr>
          <w:rFonts w:ascii="Times New Roman" w:hAnsi="Times New Roman"/>
          <w:sz w:val="28"/>
          <w:szCs w:val="28"/>
          <w:lang w:val="uk-UA"/>
        </w:rPr>
        <w:t>,001), а</w:t>
      </w:r>
      <w:r>
        <w:rPr>
          <w:rFonts w:ascii="Times New Roman" w:hAnsi="Times New Roman"/>
          <w:i/>
          <w:sz w:val="28"/>
          <w:szCs w:val="28"/>
          <w:lang w:val="uk-UA"/>
        </w:rPr>
        <w:t xml:space="preserve"> </w:t>
      </w:r>
      <w:r w:rsidR="000F78D0">
        <w:rPr>
          <w:rFonts w:ascii="Times New Roman" w:hAnsi="Times New Roman"/>
          <w:sz w:val="28"/>
          <w:szCs w:val="28"/>
          <w:lang w:val="uk-UA"/>
        </w:rPr>
        <w:t>також дефекти пломбування зубів: краї пломб, що нависають, (р&lt;0,05) і порушення змикання зубних рядів (р&lt;0,05).</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Явища бруксизму також були характерні для хворих основної групи, і в 5,5 </w:t>
      </w:r>
      <w:r w:rsidRPr="009E5C5F">
        <w:rPr>
          <w:rFonts w:ascii="Times New Roman" w:hAnsi="Times New Roman"/>
          <w:sz w:val="28"/>
          <w:szCs w:val="28"/>
          <w:lang w:val="uk-UA"/>
        </w:rPr>
        <w:t>раза частіше</w:t>
      </w:r>
      <w:r>
        <w:rPr>
          <w:rFonts w:ascii="Times New Roman" w:hAnsi="Times New Roman"/>
          <w:sz w:val="28"/>
          <w:szCs w:val="28"/>
          <w:lang w:val="uk-UA"/>
        </w:rPr>
        <w:t xml:space="preserve"> (р&lt;0,05)  відмічалися в них у порівнянні з контролем.</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погана гігієна ротової порожнини в поєднанні з аномаліями зубо-щелепної системи, висока інтенсивність карієсу, приясенна його локалізація, а також дефекти пломбування зубів, є тією останньою «краплиною», яка переповнює патогенетичну «чашу» і запускає патологічний процес в пародонті.</w:t>
      </w:r>
    </w:p>
    <w:p w:rsidR="00CF588A"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параклінічних досліджень </w:t>
      </w:r>
      <w:r w:rsidR="00713761">
        <w:rPr>
          <w:rFonts w:ascii="Times New Roman" w:hAnsi="Times New Roman"/>
          <w:sz w:val="28"/>
          <w:szCs w:val="28"/>
          <w:lang w:val="uk-UA"/>
        </w:rPr>
        <w:t>ПР</w:t>
      </w:r>
      <w:r>
        <w:rPr>
          <w:rFonts w:ascii="Times New Roman" w:hAnsi="Times New Roman"/>
          <w:sz w:val="28"/>
          <w:szCs w:val="28"/>
          <w:lang w:val="uk-UA"/>
        </w:rPr>
        <w:t xml:space="preserve"> в групах наведені в </w:t>
      </w:r>
      <w:r w:rsidR="00E66D22">
        <w:rPr>
          <w:rFonts w:ascii="Times New Roman" w:hAnsi="Times New Roman"/>
          <w:sz w:val="28"/>
          <w:szCs w:val="28"/>
          <w:lang w:val="uk-UA"/>
        </w:rPr>
        <w:t>таблиці 5.</w:t>
      </w:r>
      <w:r w:rsidRPr="009E5C5F">
        <w:rPr>
          <w:rFonts w:ascii="Times New Roman" w:hAnsi="Times New Roman"/>
          <w:sz w:val="28"/>
          <w:szCs w:val="28"/>
          <w:lang w:val="uk-UA"/>
        </w:rPr>
        <w:t>10.</w:t>
      </w:r>
      <w:r>
        <w:rPr>
          <w:rFonts w:ascii="Times New Roman" w:hAnsi="Times New Roman"/>
          <w:sz w:val="28"/>
          <w:szCs w:val="28"/>
          <w:lang w:val="uk-UA"/>
        </w:rPr>
        <w:t xml:space="preserve"> </w:t>
      </w:r>
      <w:r w:rsidR="00E66D22">
        <w:rPr>
          <w:rFonts w:ascii="Times New Roman" w:hAnsi="Times New Roman"/>
          <w:sz w:val="28"/>
          <w:szCs w:val="28"/>
          <w:lang w:val="uk-UA"/>
        </w:rPr>
        <w:t>Із таблиці 5.</w:t>
      </w:r>
      <w:r w:rsidR="00CF588A">
        <w:rPr>
          <w:rFonts w:ascii="Times New Roman" w:hAnsi="Times New Roman"/>
          <w:sz w:val="28"/>
          <w:szCs w:val="28"/>
          <w:lang w:val="uk-UA"/>
        </w:rPr>
        <w:t>10 витікає, що ступінь бактеріальної забрудненості порожнини рота, визначаємої за активністю уреази в слині, грає суттєву роль у формуванні запальних захворювань пародонту. При цьому виражена бактеріальна забрудненість (≥0,14 мккат/л) була характерна для хворих основної групи і визначалася в них в 16 разів частіше  (р&lt;0,001), ніж в контролі. І, навпаки, низька бактеріальна забрудненість порожнини рота відзначалася в 4 рази частіше (р&lt;0,001) в групі з інтактним пародонтом.</w:t>
      </w:r>
    </w:p>
    <w:p w:rsidR="00CF588A" w:rsidRDefault="00CF588A"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Інтервал показника 0,11-0,13 мккат/л виявився неспецифічним, так як зустрічався у приблизно рівної (р&gt;0,05) частини хворих в групах.</w:t>
      </w:r>
    </w:p>
    <w:p w:rsidR="00CF588A" w:rsidRDefault="00CF588A" w:rsidP="006C7FCC">
      <w:pPr>
        <w:tabs>
          <w:tab w:val="left" w:pos="2040"/>
        </w:tabs>
        <w:spacing w:line="360" w:lineRule="auto"/>
        <w:ind w:firstLine="709"/>
        <w:jc w:val="both"/>
        <w:rPr>
          <w:rFonts w:ascii="Times New Roman" w:hAnsi="Times New Roman"/>
          <w:sz w:val="28"/>
          <w:szCs w:val="28"/>
          <w:lang w:val="uk-UA"/>
        </w:rPr>
      </w:pPr>
      <w:r w:rsidRPr="00CF588A">
        <w:rPr>
          <w:rFonts w:ascii="Times New Roman" w:hAnsi="Times New Roman"/>
          <w:sz w:val="28"/>
          <w:szCs w:val="28"/>
          <w:lang w:val="uk-UA"/>
        </w:rPr>
        <w:t xml:space="preserve"> </w:t>
      </w:r>
      <w:r>
        <w:rPr>
          <w:rFonts w:ascii="Times New Roman" w:hAnsi="Times New Roman"/>
          <w:sz w:val="28"/>
          <w:szCs w:val="28"/>
          <w:lang w:val="uk-UA"/>
        </w:rPr>
        <w:t>Бактеріальній забрудненості порожнини рота сприяє зниження активності ферменту лізоциму, що має антибактеріальну дію. Дійсно, в основній групі</w:t>
      </w:r>
    </w:p>
    <w:p w:rsidR="000F78D0" w:rsidRPr="004845B5" w:rsidRDefault="00246013"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sidRPr="00BD4FE3">
        <w:rPr>
          <w:rFonts w:ascii="Times New Roman" w:hAnsi="Times New Roman"/>
          <w:i/>
          <w:sz w:val="28"/>
          <w:szCs w:val="28"/>
          <w:lang w:val="ru-RU"/>
        </w:rPr>
        <w:t>.</w:t>
      </w:r>
      <w:r w:rsidR="000F78D0">
        <w:rPr>
          <w:rFonts w:ascii="Times New Roman" w:hAnsi="Times New Roman"/>
          <w:i/>
          <w:sz w:val="28"/>
          <w:szCs w:val="28"/>
          <w:lang w:val="uk-UA"/>
        </w:rPr>
        <w:t>10</w:t>
      </w:r>
    </w:p>
    <w:p w:rsidR="000F78D0" w:rsidRPr="004845B5" w:rsidRDefault="000F78D0" w:rsidP="00AC605C">
      <w:pPr>
        <w:spacing w:line="360" w:lineRule="auto"/>
        <w:ind w:firstLine="426"/>
        <w:jc w:val="center"/>
        <w:rPr>
          <w:rFonts w:ascii="Times New Roman" w:hAnsi="Times New Roman"/>
          <w:i/>
          <w:sz w:val="28"/>
          <w:szCs w:val="28"/>
          <w:lang w:val="uk-UA"/>
        </w:rPr>
      </w:pPr>
      <w:r>
        <w:rPr>
          <w:rFonts w:ascii="Times New Roman" w:hAnsi="Times New Roman"/>
          <w:i/>
          <w:sz w:val="28"/>
          <w:szCs w:val="28"/>
          <w:lang w:val="uk-UA"/>
        </w:rPr>
        <w:t>Розподіл хворих в групах згідно з даними параклінічного дослідження порожнини рота</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571"/>
        <w:gridCol w:w="1857"/>
        <w:gridCol w:w="953"/>
        <w:gridCol w:w="706"/>
        <w:gridCol w:w="857"/>
        <w:gridCol w:w="706"/>
        <w:gridCol w:w="1004"/>
      </w:tblGrid>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1-а група</w:t>
            </w:r>
          </w:p>
        </w:tc>
        <w:tc>
          <w:tcPr>
            <w:tcW w:w="1563" w:type="dxa"/>
            <w:gridSpan w:val="2"/>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2-а група</w:t>
            </w:r>
          </w:p>
        </w:tc>
        <w:tc>
          <w:tcPr>
            <w:tcW w:w="1004" w:type="dxa"/>
            <w:vMerge w:val="restart"/>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vMerge/>
          </w:tcPr>
          <w:p w:rsidR="000F78D0" w:rsidRPr="001336DC" w:rsidRDefault="000F78D0" w:rsidP="003D0EAE">
            <w:pPr>
              <w:spacing w:line="276" w:lineRule="auto"/>
              <w:ind w:firstLine="6"/>
              <w:jc w:val="center"/>
              <w:rPr>
                <w:rFonts w:ascii="Times New Roman" w:hAnsi="Times New Roman"/>
                <w:sz w:val="28"/>
                <w:szCs w:val="28"/>
                <w:lang w:val="uk-UA"/>
              </w:rPr>
            </w:pP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w:t>
            </w:r>
          </w:p>
        </w:tc>
        <w:tc>
          <w:tcPr>
            <w:tcW w:w="1004" w:type="dxa"/>
            <w:vMerge/>
          </w:tcPr>
          <w:p w:rsidR="000F78D0" w:rsidRPr="001336DC" w:rsidRDefault="000F78D0" w:rsidP="003D0EAE">
            <w:pPr>
              <w:spacing w:line="276" w:lineRule="auto"/>
              <w:jc w:val="center"/>
              <w:rPr>
                <w:rFonts w:ascii="Times New Roman" w:hAnsi="Times New Roman"/>
                <w:sz w:val="28"/>
                <w:szCs w:val="28"/>
                <w:lang w:val="uk-UA"/>
              </w:rPr>
            </w:pP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Уреаза в слині, мккат/л</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≤0,11</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≥0,14</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27</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Лізоцим в слині, од/л</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≤40,0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36</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72</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40,1-60,0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≥60,1</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Ступінь дисбіозу, ум.од.</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1,1-2,0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2,1-3,0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3,1-4,0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≥4,1</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rPr>
              <w:t>S</w:t>
            </w:r>
            <w:r w:rsidRPr="001336DC">
              <w:rPr>
                <w:rFonts w:ascii="Times New Roman" w:hAnsi="Times New Roman"/>
                <w:sz w:val="28"/>
                <w:szCs w:val="28"/>
                <w:lang w:val="ru-RU"/>
              </w:rPr>
              <w:t xml:space="preserve"> </w:t>
            </w:r>
            <w:r w:rsidRPr="001336DC">
              <w:rPr>
                <w:rFonts w:ascii="Times New Roman" w:hAnsi="Times New Roman"/>
                <w:sz w:val="28"/>
                <w:szCs w:val="28"/>
              </w:rPr>
              <w:t>IgA</w:t>
            </w:r>
            <w:r w:rsidRPr="001336DC">
              <w:rPr>
                <w:rFonts w:ascii="Times New Roman" w:hAnsi="Times New Roman"/>
                <w:sz w:val="28"/>
                <w:szCs w:val="28"/>
                <w:lang w:val="uk-UA"/>
              </w:rPr>
              <w:t xml:space="preserve"> в слині, мг/л</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≤0,20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28</w:t>
            </w:r>
          </w:p>
        </w:tc>
        <w:tc>
          <w:tcPr>
            <w:tcW w:w="1004" w:type="dxa"/>
          </w:tcPr>
          <w:p w:rsidR="000F78D0" w:rsidRPr="001336DC" w:rsidRDefault="000F78D0" w:rsidP="003D0EAE">
            <w:pPr>
              <w:jc w:val="cente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0,21-0,30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40</w:t>
            </w:r>
          </w:p>
        </w:tc>
        <w:tc>
          <w:tcPr>
            <w:tcW w:w="1004" w:type="dxa"/>
          </w:tcPr>
          <w:p w:rsidR="000F78D0" w:rsidRPr="001336DC" w:rsidRDefault="000F78D0" w:rsidP="003D0EAE">
            <w:pPr>
              <w:jc w:val="cente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≥0,31</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p w:rsidR="000F78D0" w:rsidRPr="001336DC" w:rsidRDefault="000F78D0" w:rsidP="00CF588A">
            <w:pPr>
              <w:spacing w:line="276" w:lineRule="auto"/>
              <w:jc w:val="both"/>
              <w:rPr>
                <w:rFonts w:ascii="Times New Roman" w:hAnsi="Times New Roman"/>
                <w:sz w:val="28"/>
                <w:szCs w:val="28"/>
                <w:lang w:val="uk-UA"/>
              </w:rPr>
            </w:pP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Електрорухомість ядер букального епітелію, %</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32</w:t>
            </w:r>
          </w:p>
        </w:tc>
        <w:tc>
          <w:tcPr>
            <w:tcW w:w="1004"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rPr>
              <w:t>&lt;</w:t>
            </w:r>
            <w:r w:rsidRPr="001336DC">
              <w:rPr>
                <w:rFonts w:ascii="Times New Roman" w:hAnsi="Times New Roman"/>
                <w:sz w:val="28"/>
                <w:szCs w:val="28"/>
                <w:lang w:val="uk-UA"/>
              </w:rPr>
              <w: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41-50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46</w:t>
            </w:r>
          </w:p>
        </w:tc>
        <w:tc>
          <w:tcPr>
            <w:tcW w:w="1004" w:type="dxa"/>
          </w:tcPr>
          <w:p w:rsidR="000F78D0" w:rsidRPr="001336DC" w:rsidRDefault="000F78D0" w:rsidP="003D0EAE">
            <w:pPr>
              <w:jc w:val="center"/>
            </w:pPr>
            <w:r w:rsidRPr="001336DC">
              <w:rPr>
                <w:rFonts w:ascii="Times New Roman" w:hAnsi="Times New Roman"/>
                <w:sz w:val="28"/>
                <w:szCs w:val="28"/>
              </w:rPr>
              <w:t>&lt;</w:t>
            </w:r>
            <w:r w:rsidRPr="001336DC">
              <w:rPr>
                <w:rFonts w:ascii="Times New Roman" w:hAnsi="Times New Roman"/>
                <w:sz w:val="28"/>
                <w:szCs w:val="28"/>
                <w:lang w:val="uk-UA"/>
              </w:rPr>
              <w: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51-60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1004" w:type="dxa"/>
          </w:tcPr>
          <w:p w:rsidR="000F78D0" w:rsidRPr="001336DC" w:rsidRDefault="000F78D0" w:rsidP="003D0EAE">
            <w:pPr>
              <w:jc w:val="center"/>
            </w:pPr>
            <w:r w:rsidRPr="001336DC">
              <w:rPr>
                <w:rFonts w:ascii="Times New Roman" w:hAnsi="Times New Roman"/>
                <w:sz w:val="28"/>
                <w:szCs w:val="28"/>
              </w:rPr>
              <w:t>&lt;</w:t>
            </w:r>
            <w:r w:rsidRPr="001336DC">
              <w:rPr>
                <w:rFonts w:ascii="Times New Roman" w:hAnsi="Times New Roman"/>
                <w:sz w:val="28"/>
                <w:szCs w:val="28"/>
                <w:lang w:val="uk-UA"/>
              </w:rPr>
              <w: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≥61</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1004" w:type="dxa"/>
          </w:tcPr>
          <w:p w:rsidR="000F78D0" w:rsidRPr="001336DC" w:rsidRDefault="000F78D0" w:rsidP="003D0EAE">
            <w:pPr>
              <w:jc w:val="center"/>
            </w:pPr>
            <w:r w:rsidRPr="001336DC">
              <w:rPr>
                <w:rFonts w:ascii="Times New Roman" w:hAnsi="Times New Roman"/>
                <w:sz w:val="28"/>
                <w:szCs w:val="28"/>
              </w:rPr>
              <w:t>&lt;</w:t>
            </w:r>
            <w:r w:rsidRPr="001336DC">
              <w:rPr>
                <w:rFonts w:ascii="Times New Roman" w:hAnsi="Times New Roman"/>
                <w:sz w:val="28"/>
                <w:szCs w:val="28"/>
                <w:lang w:val="uk-UA"/>
              </w:rPr>
              <w:t>0,05</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Кальцій в слині, ммоль/л</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≤0,70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6,7</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60</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≥0,91</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F588A">
        <w:tc>
          <w:tcPr>
            <w:tcW w:w="534" w:type="dxa"/>
            <w:vMerge w:val="restart"/>
          </w:tcPr>
          <w:p w:rsidR="000F78D0" w:rsidRPr="001336DC" w:rsidRDefault="000F78D0" w:rsidP="00CF588A">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Pr>
          <w:p w:rsidR="000F78D0" w:rsidRPr="001336DC" w:rsidRDefault="000F78D0" w:rsidP="00CF588A">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Оптична щільність кісткових відділів пародонту, Д</w:t>
            </w: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≤125</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w:t>
            </w:r>
          </w:p>
        </w:tc>
        <w:tc>
          <w:tcPr>
            <w:tcW w:w="1004" w:type="dxa"/>
          </w:tcPr>
          <w:p w:rsidR="000F78D0" w:rsidRPr="001336DC" w:rsidRDefault="000F78D0" w:rsidP="003D0EAE">
            <w:pPr>
              <w:jc w:val="cente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13,3</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48</w:t>
            </w:r>
          </w:p>
        </w:tc>
        <w:tc>
          <w:tcPr>
            <w:tcW w:w="1004" w:type="dxa"/>
          </w:tcPr>
          <w:p w:rsidR="000F78D0" w:rsidRPr="001336DC" w:rsidRDefault="000F78D0" w:rsidP="003D0EAE">
            <w:pPr>
              <w:jc w:val="center"/>
            </w:pPr>
            <w:r w:rsidRPr="001336DC">
              <w:rPr>
                <w:rFonts w:ascii="Times New Roman" w:hAnsi="Times New Roman"/>
                <w:sz w:val="28"/>
                <w:szCs w:val="28"/>
                <w:lang w:val="uk-UA"/>
              </w:rPr>
              <w:t>&lt;0,001</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131-135</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33,4</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CF588A">
        <w:tc>
          <w:tcPr>
            <w:tcW w:w="534" w:type="dxa"/>
            <w:vMerge/>
          </w:tcPr>
          <w:p w:rsidR="000F78D0" w:rsidRPr="001336DC" w:rsidRDefault="000F78D0" w:rsidP="00CF588A">
            <w:pPr>
              <w:spacing w:line="276" w:lineRule="auto"/>
              <w:jc w:val="both"/>
              <w:rPr>
                <w:rFonts w:ascii="Times New Roman" w:hAnsi="Times New Roman"/>
                <w:sz w:val="28"/>
                <w:szCs w:val="28"/>
                <w:lang w:val="uk-UA"/>
              </w:rPr>
            </w:pPr>
          </w:p>
        </w:tc>
        <w:tc>
          <w:tcPr>
            <w:tcW w:w="0" w:type="auto"/>
            <w:vMerge/>
          </w:tcPr>
          <w:p w:rsidR="000F78D0" w:rsidRPr="001336DC" w:rsidRDefault="000F78D0" w:rsidP="00CF588A">
            <w:pPr>
              <w:spacing w:line="276" w:lineRule="auto"/>
              <w:ind w:firstLine="33"/>
              <w:jc w:val="both"/>
              <w:rPr>
                <w:rFonts w:ascii="Times New Roman" w:hAnsi="Times New Roman"/>
                <w:sz w:val="28"/>
                <w:szCs w:val="28"/>
                <w:lang w:val="uk-UA"/>
              </w:rPr>
            </w:pPr>
          </w:p>
        </w:tc>
        <w:tc>
          <w:tcPr>
            <w:tcW w:w="1857" w:type="dxa"/>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≥136</w:t>
            </w:r>
          </w:p>
        </w:tc>
        <w:tc>
          <w:tcPr>
            <w:tcW w:w="953"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w:t>
            </w:r>
          </w:p>
        </w:tc>
        <w:tc>
          <w:tcPr>
            <w:tcW w:w="1004" w:type="dxa"/>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r>
    </w:tbl>
    <w:p w:rsidR="000F78D0" w:rsidRDefault="000F78D0" w:rsidP="00AC605C">
      <w:pPr>
        <w:tabs>
          <w:tab w:val="left" w:pos="2040"/>
        </w:tabs>
        <w:spacing w:line="360" w:lineRule="auto"/>
        <w:ind w:firstLine="426"/>
        <w:jc w:val="both"/>
        <w:rPr>
          <w:rFonts w:ascii="Times New Roman" w:hAnsi="Times New Roman"/>
          <w:sz w:val="28"/>
          <w:szCs w:val="28"/>
          <w:lang w:val="uk-UA"/>
        </w:rPr>
      </w:pPr>
    </w:p>
    <w:p w:rsidR="000F78D0" w:rsidRDefault="000F78D0" w:rsidP="00CF588A">
      <w:pPr>
        <w:tabs>
          <w:tab w:val="left" w:pos="2040"/>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зниження активності лізоциму (≤0,40 од/л) мало місце у 72% хворих, а в контрольній в 4,3 </w:t>
      </w:r>
      <w:r w:rsidRPr="009E5C5F">
        <w:rPr>
          <w:rFonts w:ascii="Times New Roman" w:hAnsi="Times New Roman"/>
          <w:sz w:val="28"/>
          <w:szCs w:val="28"/>
          <w:lang w:val="uk-UA"/>
        </w:rPr>
        <w:t>раза рідше</w:t>
      </w:r>
      <w:r>
        <w:rPr>
          <w:rFonts w:ascii="Times New Roman" w:hAnsi="Times New Roman"/>
          <w:sz w:val="28"/>
          <w:szCs w:val="28"/>
          <w:lang w:val="uk-UA"/>
        </w:rPr>
        <w:t xml:space="preserve"> (16,9%; р&lt;0,001). І, навпаки, висока активність (≥60,1 од/л) лізоциму встановлена у 63,3% пацієнтів контрольної групи і тільки у 8% (р&lt;0,001) основної групи.</w:t>
      </w:r>
    </w:p>
    <w:p w:rsidR="000F78D0" w:rsidRPr="00E917BE" w:rsidRDefault="000F78D0" w:rsidP="006C7FCC">
      <w:pPr>
        <w:tabs>
          <w:tab w:val="left" w:pos="2040"/>
        </w:tabs>
        <w:spacing w:line="360" w:lineRule="auto"/>
        <w:ind w:firstLine="709"/>
        <w:jc w:val="both"/>
        <w:rPr>
          <w:rFonts w:ascii="Times New Roman" w:hAnsi="Times New Roman"/>
          <w:sz w:val="28"/>
          <w:szCs w:val="28"/>
          <w:lang w:val="ru-RU"/>
        </w:rPr>
      </w:pPr>
      <w:r>
        <w:rPr>
          <w:rFonts w:ascii="Times New Roman" w:hAnsi="Times New Roman"/>
          <w:sz w:val="28"/>
          <w:szCs w:val="28"/>
          <w:lang w:val="uk-UA"/>
        </w:rPr>
        <w:lastRenderedPageBreak/>
        <w:t xml:space="preserve">Вищевказане співвідношення активності уреази і лізоциму відобразилося і на показнику ступеня дисбіозу ротової  порожнини. При цьому дуже низька (≤1,0 ум.од.) ступінь дисбіозу виявилася специфічною для контролю, так як виявлялася тільки у цій групі (23,3%, р&lt;0,01). Незначна ступінь дисбіозу (1,1-2,0 ум.од.) виявилась відносно специфічною для контрольної групи, так як достовірно частіше ( в 2,9 </w:t>
      </w:r>
      <w:r w:rsidRPr="009E5C5F">
        <w:rPr>
          <w:rFonts w:ascii="Times New Roman" w:hAnsi="Times New Roman"/>
          <w:sz w:val="28"/>
          <w:szCs w:val="28"/>
          <w:lang w:val="uk-UA"/>
        </w:rPr>
        <w:t>раза; р&lt;</w:t>
      </w:r>
      <w:r>
        <w:rPr>
          <w:rFonts w:ascii="Times New Roman" w:hAnsi="Times New Roman"/>
          <w:sz w:val="28"/>
          <w:szCs w:val="28"/>
          <w:lang w:val="uk-UA"/>
        </w:rPr>
        <w:t>0,001) виявлялась в цій групі.</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Помірні прояви дисбіозу (2,1-3,0 ум.од.) виявилися неспецифічними, оскільки вони проявлялися з однаковою частотою в групах (р&gt;0,05), а виражені явища дисбіозу (3,1-4,0 ум.од.) були характерні для хворих основної групи (р&lt;0,001). Дуже значна ступінь дисбіозу (≥4,1 ум.од.) відмічалася тільки в основній групі (18%; р&lt;0,01).</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Ці дані вказують на те, що явища дисбіозу є важливим фактором формування запальних захворювань пародонту в даного контингенту.</w:t>
      </w:r>
    </w:p>
    <w:p w:rsidR="000F78D0" w:rsidRPr="009E5C5F"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Поряд зі зниженням активності лізоциму, розвитку дисбіозу сприяє порушення місцевого імунного захисту у вигляді зниження рівня </w:t>
      </w:r>
      <w:r>
        <w:rPr>
          <w:rFonts w:ascii="Times New Roman" w:hAnsi="Times New Roman"/>
          <w:sz w:val="28"/>
          <w:szCs w:val="28"/>
        </w:rPr>
        <w:t>s</w:t>
      </w:r>
      <w:r w:rsidRPr="00B8561B">
        <w:rPr>
          <w:rFonts w:ascii="Times New Roman" w:hAnsi="Times New Roman"/>
          <w:sz w:val="28"/>
          <w:szCs w:val="28"/>
          <w:lang w:val="uk-UA"/>
        </w:rPr>
        <w:t xml:space="preserve"> </w:t>
      </w:r>
      <w:r>
        <w:rPr>
          <w:rFonts w:ascii="Times New Roman" w:hAnsi="Times New Roman"/>
          <w:sz w:val="28"/>
          <w:szCs w:val="28"/>
        </w:rPr>
        <w:t>IgA</w:t>
      </w:r>
      <w:r>
        <w:rPr>
          <w:rFonts w:ascii="Times New Roman" w:hAnsi="Times New Roman"/>
          <w:sz w:val="28"/>
          <w:szCs w:val="28"/>
          <w:lang w:val="uk-UA"/>
        </w:rPr>
        <w:t xml:space="preserve"> в слині. Як видно із </w:t>
      </w:r>
      <w:r w:rsidR="00246013">
        <w:rPr>
          <w:rFonts w:ascii="Times New Roman" w:hAnsi="Times New Roman"/>
          <w:sz w:val="28"/>
          <w:szCs w:val="28"/>
          <w:lang w:val="uk-UA"/>
        </w:rPr>
        <w:t>таблиці 5.</w:t>
      </w:r>
      <w:r w:rsidRPr="009E5C5F">
        <w:rPr>
          <w:rFonts w:ascii="Times New Roman" w:hAnsi="Times New Roman"/>
          <w:sz w:val="28"/>
          <w:szCs w:val="28"/>
          <w:lang w:val="uk-UA"/>
        </w:rPr>
        <w:t xml:space="preserve">10, зниження рівня </w:t>
      </w:r>
      <w:r w:rsidRPr="009E5C5F">
        <w:rPr>
          <w:rFonts w:ascii="Times New Roman" w:hAnsi="Times New Roman"/>
          <w:sz w:val="28"/>
          <w:szCs w:val="28"/>
        </w:rPr>
        <w:t>s</w:t>
      </w:r>
      <w:r w:rsidRPr="009E5C5F">
        <w:rPr>
          <w:rFonts w:ascii="Times New Roman" w:hAnsi="Times New Roman"/>
          <w:sz w:val="28"/>
          <w:szCs w:val="28"/>
          <w:lang w:val="uk-UA"/>
        </w:rPr>
        <w:t xml:space="preserve"> </w:t>
      </w:r>
      <w:r w:rsidRPr="009E5C5F">
        <w:rPr>
          <w:rFonts w:ascii="Times New Roman" w:hAnsi="Times New Roman"/>
          <w:sz w:val="28"/>
          <w:szCs w:val="28"/>
        </w:rPr>
        <w:t>IgA</w:t>
      </w:r>
      <w:r w:rsidRPr="009E5C5F">
        <w:rPr>
          <w:rFonts w:ascii="Times New Roman" w:hAnsi="Times New Roman"/>
          <w:sz w:val="28"/>
          <w:szCs w:val="28"/>
          <w:lang w:val="uk-UA"/>
        </w:rPr>
        <w:t xml:space="preserve"> (≤0,30 мг/л) відмічено у 68% хворих основної групи, що в 4,1 раза частіше (р&lt;0,001), ніж в контролі.</w:t>
      </w:r>
    </w:p>
    <w:p w:rsidR="000F78D0" w:rsidRDefault="000F78D0" w:rsidP="006C7FCC">
      <w:pPr>
        <w:tabs>
          <w:tab w:val="left" w:pos="2040"/>
        </w:tabs>
        <w:spacing w:line="360" w:lineRule="auto"/>
        <w:ind w:firstLine="709"/>
        <w:jc w:val="both"/>
        <w:rPr>
          <w:rFonts w:ascii="Times New Roman" w:hAnsi="Times New Roman"/>
          <w:sz w:val="28"/>
          <w:szCs w:val="28"/>
          <w:lang w:val="uk-UA"/>
        </w:rPr>
      </w:pPr>
      <w:r w:rsidRPr="009E5C5F">
        <w:rPr>
          <w:rFonts w:ascii="Times New Roman" w:hAnsi="Times New Roman"/>
          <w:sz w:val="28"/>
          <w:szCs w:val="28"/>
          <w:lang w:val="uk-UA"/>
        </w:rPr>
        <w:t>Дослідження електрорухомості ядер букального епітелію показало, що її зниження (≤50%) достовірно частіше (в 2,3 раза, р&lt;0,01) виявлялося в основній групі. Це вказує на суттєве зниження функціональних</w:t>
      </w:r>
      <w:r>
        <w:rPr>
          <w:rFonts w:ascii="Times New Roman" w:hAnsi="Times New Roman"/>
          <w:sz w:val="28"/>
          <w:szCs w:val="28"/>
          <w:lang w:val="uk-UA"/>
        </w:rPr>
        <w:t xml:space="preserve"> резервів, а також порушення гомеостазу на рівні інформаційно-енергетичних процесів організму у пацієнтів з ураженням пародонта.</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результати свідчать про те, що важливими патогенетичними факторами є не тільки зниження місцевої імунної, але і загальної неспецифічної резистентності організму підлітків.</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 рівню кальцію в слині (табл</w:t>
      </w:r>
      <w:r w:rsidR="00246013">
        <w:rPr>
          <w:rFonts w:ascii="Times New Roman" w:hAnsi="Times New Roman"/>
          <w:sz w:val="28"/>
          <w:szCs w:val="28"/>
          <w:lang w:val="uk-UA"/>
        </w:rPr>
        <w:t>. 5.</w:t>
      </w:r>
      <w:r w:rsidRPr="009E5C5F">
        <w:rPr>
          <w:rFonts w:ascii="Times New Roman" w:hAnsi="Times New Roman"/>
          <w:sz w:val="28"/>
          <w:szCs w:val="28"/>
          <w:lang w:val="uk-UA"/>
        </w:rPr>
        <w:t>10</w:t>
      </w:r>
      <w:r>
        <w:rPr>
          <w:rFonts w:ascii="Times New Roman" w:hAnsi="Times New Roman"/>
          <w:sz w:val="28"/>
          <w:szCs w:val="28"/>
          <w:lang w:val="uk-UA"/>
        </w:rPr>
        <w:t>) показало, що помірне  або значне зниження (≤0,70 ммоль/л) рівня Са в слині достовірно частіше  (в 9 разів;</w:t>
      </w:r>
      <w:r w:rsidRPr="0004611D">
        <w:rPr>
          <w:rFonts w:ascii="Times New Roman" w:hAnsi="Times New Roman"/>
          <w:sz w:val="28"/>
          <w:szCs w:val="28"/>
          <w:lang w:val="uk-UA"/>
        </w:rPr>
        <w:t xml:space="preserve"> </w:t>
      </w:r>
      <w:r>
        <w:rPr>
          <w:rFonts w:ascii="Times New Roman" w:hAnsi="Times New Roman"/>
          <w:sz w:val="28"/>
          <w:szCs w:val="28"/>
          <w:lang w:val="uk-UA"/>
        </w:rPr>
        <w:t>р&lt;0,001) діагностувалося в основній групі. Незначне зниження рівня Са (0,71-0,90 ммоль/л) зустрічалося у однакової (в 1/3; р&gt;0,05</w:t>
      </w:r>
      <w:r w:rsidRPr="009E5C5F">
        <w:rPr>
          <w:rFonts w:ascii="Times New Roman" w:hAnsi="Times New Roman"/>
          <w:sz w:val="28"/>
          <w:szCs w:val="28"/>
          <w:lang w:val="uk-UA"/>
        </w:rPr>
        <w:t xml:space="preserve">) кількості пацієнтів, а  нормативне значення Са було характерне для підлітків контрольної групи </w:t>
      </w:r>
      <w:r w:rsidRPr="009E5C5F">
        <w:rPr>
          <w:rFonts w:ascii="Times New Roman" w:hAnsi="Times New Roman"/>
          <w:sz w:val="28"/>
          <w:szCs w:val="28"/>
          <w:lang w:val="uk-UA"/>
        </w:rPr>
        <w:lastRenderedPageBreak/>
        <w:t>(р&lt;0,001). Ці дані вказують на суттєве послаблення мінералізуючої концентрації кальцію  у підлітків з запальними захворюваннями пародонту. Останнє сприяє зниженню мінеральної щільності кісткови</w:t>
      </w:r>
      <w:r w:rsidR="00246013">
        <w:rPr>
          <w:rFonts w:ascii="Times New Roman" w:hAnsi="Times New Roman"/>
          <w:sz w:val="28"/>
          <w:szCs w:val="28"/>
          <w:lang w:val="uk-UA"/>
        </w:rPr>
        <w:t>х відділів пародонту (табл. 5.</w:t>
      </w:r>
      <w:r w:rsidRPr="009E5C5F">
        <w:rPr>
          <w:rFonts w:ascii="Times New Roman" w:hAnsi="Times New Roman"/>
          <w:sz w:val="28"/>
          <w:szCs w:val="28"/>
          <w:lang w:val="uk-UA"/>
        </w:rPr>
        <w:t>10). Дані денсиметрії</w:t>
      </w:r>
      <w:r>
        <w:rPr>
          <w:rFonts w:ascii="Times New Roman" w:hAnsi="Times New Roman"/>
          <w:sz w:val="28"/>
          <w:szCs w:val="28"/>
          <w:lang w:val="uk-UA"/>
        </w:rPr>
        <w:t xml:space="preserve">  підтверджують це і свідчать про те, що зниження оптичної щільності кісткових відділів пародонту (≤130Д) визначалося у 78% хворих основної групи і значно рідше (у 16,6%; р&lt;0,001) у підлітків з інтактним пародонтом.</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Враховуючи, що багато різнопланових факторів задіяно в патогенез досліджуваної патології, було проведено системний аналіз методом кореляційних структур (А.М.Зосімов; 1993). Для цього було відібрано кількісні показники, за якими виявлені високозначимі відмінності між групами. На </w:t>
      </w:r>
      <w:r w:rsidR="00246013">
        <w:rPr>
          <w:rFonts w:ascii="Times New Roman" w:hAnsi="Times New Roman"/>
          <w:sz w:val="28"/>
          <w:szCs w:val="28"/>
          <w:lang w:val="uk-UA"/>
        </w:rPr>
        <w:t>рис. 5</w:t>
      </w:r>
      <w:r w:rsidRPr="009E5C5F">
        <w:rPr>
          <w:rFonts w:ascii="Times New Roman" w:hAnsi="Times New Roman"/>
          <w:sz w:val="28"/>
          <w:szCs w:val="28"/>
          <w:lang w:val="uk-UA"/>
        </w:rPr>
        <w:t>.1.</w:t>
      </w:r>
      <w:r>
        <w:rPr>
          <w:rFonts w:ascii="Times New Roman" w:hAnsi="Times New Roman"/>
          <w:sz w:val="28"/>
          <w:szCs w:val="28"/>
          <w:lang w:val="uk-UA"/>
        </w:rPr>
        <w:t xml:space="preserve"> представлені кореляційні структури, до яких включено достовірні (р&lt;0,05) кореляційні зв’язки.</w:t>
      </w:r>
    </w:p>
    <w:p w:rsidR="000F78D0" w:rsidRPr="00F11108" w:rsidRDefault="00CF588A" w:rsidP="00246013">
      <w:pPr>
        <w:tabs>
          <w:tab w:val="left" w:pos="0"/>
        </w:tabs>
        <w:spacing w:line="360" w:lineRule="auto"/>
        <w:jc w:val="both"/>
        <w:rPr>
          <w:rFonts w:ascii="Times New Roman" w:hAnsi="Times New Roman"/>
          <w:sz w:val="28"/>
          <w:szCs w:val="28"/>
          <w:lang w:val="ru-RU"/>
        </w:rPr>
      </w:pPr>
      <w:r>
        <w:rPr>
          <w:rFonts w:ascii="Times New Roman" w:hAnsi="Times New Roman"/>
          <w:sz w:val="28"/>
          <w:szCs w:val="28"/>
          <w:lang w:val="uk-UA"/>
        </w:rPr>
        <w:t xml:space="preserve">    </w:t>
      </w:r>
      <w:r w:rsidR="00B066D9">
        <w:rPr>
          <w:rFonts w:ascii="Times New Roman" w:hAnsi="Times New Roman"/>
          <w:noProof/>
          <w:sz w:val="28"/>
          <w:szCs w:val="28"/>
          <w:lang w:val="ru-RU" w:eastAsia="ru-RU" w:bidi="ar-SA"/>
        </w:rPr>
        <w:drawing>
          <wp:inline distT="0" distB="0" distL="0" distR="0">
            <wp:extent cx="3009900" cy="2419350"/>
            <wp:effectExtent l="19050" t="0" r="0" b="0"/>
            <wp:docPr id="5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5"/>
                    <a:srcRect l="35240" t="24286" r="21829" b="14000"/>
                    <a:stretch>
                      <a:fillRect/>
                    </a:stretch>
                  </pic:blipFill>
                  <pic:spPr bwMode="auto">
                    <a:xfrm>
                      <a:off x="0" y="0"/>
                      <a:ext cx="3009900" cy="2419350"/>
                    </a:xfrm>
                    <a:prstGeom prst="rect">
                      <a:avLst/>
                    </a:prstGeom>
                    <a:noFill/>
                    <a:ln w="9525">
                      <a:noFill/>
                      <a:miter lim="800000"/>
                      <a:headEnd/>
                      <a:tailEnd/>
                    </a:ln>
                  </pic:spPr>
                </pic:pic>
              </a:graphicData>
            </a:graphic>
          </wp:inline>
        </w:drawing>
      </w:r>
      <w:r w:rsidR="00B066D9">
        <w:rPr>
          <w:rFonts w:ascii="Times New Roman" w:hAnsi="Times New Roman"/>
          <w:noProof/>
          <w:sz w:val="28"/>
          <w:szCs w:val="28"/>
          <w:lang w:val="ru-RU" w:eastAsia="ru-RU" w:bidi="ar-SA"/>
        </w:rPr>
        <w:drawing>
          <wp:inline distT="0" distB="0" distL="0" distR="0">
            <wp:extent cx="2819400" cy="2400300"/>
            <wp:effectExtent l="19050" t="0" r="0" b="0"/>
            <wp:docPr id="5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6"/>
                    <a:srcRect l="36758" t="31429" r="23274" b="7715"/>
                    <a:stretch>
                      <a:fillRect/>
                    </a:stretch>
                  </pic:blipFill>
                  <pic:spPr bwMode="auto">
                    <a:xfrm>
                      <a:off x="0" y="0"/>
                      <a:ext cx="2819400" cy="2400300"/>
                    </a:xfrm>
                    <a:prstGeom prst="rect">
                      <a:avLst/>
                    </a:prstGeom>
                    <a:noFill/>
                    <a:ln w="9525">
                      <a:noFill/>
                      <a:miter lim="800000"/>
                      <a:headEnd/>
                      <a:tailEnd/>
                    </a:ln>
                  </pic:spPr>
                </pic:pic>
              </a:graphicData>
            </a:graphic>
          </wp:inline>
        </w:drawing>
      </w:r>
    </w:p>
    <w:p w:rsidR="000F78D0" w:rsidRDefault="000F78D0" w:rsidP="00AC605C">
      <w:pPr>
        <w:tabs>
          <w:tab w:val="left" w:pos="2040"/>
        </w:tabs>
        <w:spacing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          Контрольна група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Основна група</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246013">
        <w:rPr>
          <w:rFonts w:ascii="Times New Roman" w:hAnsi="Times New Roman"/>
          <w:i/>
          <w:sz w:val="28"/>
          <w:szCs w:val="28"/>
          <w:lang w:val="uk-UA"/>
        </w:rPr>
        <w:t>Рис.5.</w:t>
      </w:r>
      <w:r w:rsidRPr="00CF588A">
        <w:rPr>
          <w:rFonts w:ascii="Times New Roman" w:hAnsi="Times New Roman"/>
          <w:i/>
          <w:sz w:val="28"/>
          <w:szCs w:val="28"/>
          <w:lang w:val="uk-UA"/>
        </w:rPr>
        <w:t>1</w:t>
      </w:r>
      <w:r w:rsidRPr="009E5C5F">
        <w:rPr>
          <w:rFonts w:ascii="Times New Roman" w:hAnsi="Times New Roman"/>
          <w:sz w:val="28"/>
          <w:szCs w:val="28"/>
          <w:lang w:val="uk-UA"/>
        </w:rPr>
        <w:t>.</w:t>
      </w:r>
      <w:r>
        <w:rPr>
          <w:rFonts w:ascii="Times New Roman" w:hAnsi="Times New Roman"/>
          <w:sz w:val="28"/>
          <w:szCs w:val="28"/>
          <w:lang w:val="uk-UA"/>
        </w:rPr>
        <w:t xml:space="preserve"> Кореляційні структури патогенетичних показників.</w:t>
      </w:r>
    </w:p>
    <w:p w:rsidR="000F78D0" w:rsidRDefault="000F78D0" w:rsidP="006C7FCC">
      <w:pPr>
        <w:tabs>
          <w:tab w:val="left" w:pos="148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______   Прямий зв'язок</w:t>
      </w:r>
      <w:r w:rsidR="00CF588A">
        <w:rPr>
          <w:rFonts w:ascii="Times New Roman" w:hAnsi="Times New Roman"/>
          <w:sz w:val="28"/>
          <w:szCs w:val="28"/>
          <w:lang w:val="uk-UA"/>
        </w:rPr>
        <w:t xml:space="preserve">;    </w:t>
      </w:r>
      <w:r>
        <w:rPr>
          <w:rFonts w:ascii="Times New Roman" w:hAnsi="Times New Roman"/>
          <w:sz w:val="28"/>
          <w:szCs w:val="28"/>
          <w:lang w:val="uk-UA"/>
        </w:rPr>
        <w:t>- - - - -    зворотній зв'язок</w:t>
      </w:r>
    </w:p>
    <w:p w:rsidR="000F78D0" w:rsidRPr="00E917BE" w:rsidRDefault="000F78D0" w:rsidP="006C7FCC">
      <w:pPr>
        <w:tabs>
          <w:tab w:val="left" w:pos="1485"/>
        </w:tabs>
        <w:spacing w:line="360" w:lineRule="auto"/>
        <w:ind w:firstLine="709"/>
        <w:jc w:val="both"/>
        <w:rPr>
          <w:rFonts w:ascii="Times New Roman" w:hAnsi="Times New Roman"/>
          <w:sz w:val="20"/>
          <w:szCs w:val="20"/>
          <w:lang w:val="uk-UA"/>
        </w:rPr>
      </w:pPr>
      <w:r>
        <w:rPr>
          <w:rFonts w:ascii="Times New Roman" w:hAnsi="Times New Roman"/>
          <w:sz w:val="28"/>
          <w:szCs w:val="28"/>
          <w:lang w:val="uk-UA"/>
        </w:rPr>
        <w:t xml:space="preserve">ГВ – тривалість грудного вигодовування; МТ – маса тіла при народженні; ХЗм – кількість соматичних захворювань матері; ІКм – інтенсивність карієсу у матері; ХЗб – кількість соматичних захворювань батька; ІКб – інтенсивність карієсу у батька; ХЗх – кількість соматичних захворювань у підлітка; КПВ – інтенсивність карієсу у підлітка; ІФ – індекс </w:t>
      </w:r>
      <w:r w:rsidR="00E71220">
        <w:rPr>
          <w:rFonts w:ascii="Times New Roman" w:hAnsi="Times New Roman"/>
          <w:sz w:val="28"/>
          <w:szCs w:val="28"/>
          <w:lang w:val="uk-UA"/>
        </w:rPr>
        <w:t>Ю.А.Федорова, В.В.Володкіної</w:t>
      </w:r>
      <w:r>
        <w:rPr>
          <w:rFonts w:ascii="Times New Roman" w:hAnsi="Times New Roman"/>
          <w:sz w:val="28"/>
          <w:szCs w:val="28"/>
          <w:lang w:val="uk-UA"/>
        </w:rPr>
        <w:t xml:space="preserve">; Са – рівень кальцію в слині; УР- рівень уреази в слині; Ліз – рівень лізоциму с слині; </w:t>
      </w:r>
      <w:r>
        <w:rPr>
          <w:rFonts w:ascii="Times New Roman" w:hAnsi="Times New Roman"/>
          <w:sz w:val="28"/>
          <w:szCs w:val="28"/>
        </w:rPr>
        <w:t>sIgA</w:t>
      </w:r>
      <w:r w:rsidRPr="00282384">
        <w:rPr>
          <w:rFonts w:ascii="Times New Roman" w:hAnsi="Times New Roman"/>
          <w:sz w:val="28"/>
          <w:szCs w:val="28"/>
          <w:lang w:val="uk-UA"/>
        </w:rPr>
        <w:t xml:space="preserve"> </w:t>
      </w:r>
      <w:r>
        <w:rPr>
          <w:rFonts w:ascii="Times New Roman" w:hAnsi="Times New Roman"/>
          <w:sz w:val="28"/>
          <w:szCs w:val="28"/>
          <w:lang w:val="uk-UA"/>
        </w:rPr>
        <w:t xml:space="preserve">– рівень </w:t>
      </w:r>
      <w:r>
        <w:rPr>
          <w:rFonts w:ascii="Times New Roman" w:hAnsi="Times New Roman"/>
          <w:sz w:val="28"/>
          <w:szCs w:val="28"/>
        </w:rPr>
        <w:t>sIgA</w:t>
      </w:r>
      <w:r>
        <w:rPr>
          <w:rFonts w:ascii="Times New Roman" w:hAnsi="Times New Roman"/>
          <w:sz w:val="28"/>
          <w:szCs w:val="28"/>
          <w:lang w:val="uk-UA"/>
        </w:rPr>
        <w:t xml:space="preserve">в слині; Д – оптична щільність кісткової тканини пародонта. </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 </w:t>
      </w:r>
      <w:r w:rsidR="00246013">
        <w:rPr>
          <w:rFonts w:ascii="Times New Roman" w:hAnsi="Times New Roman"/>
          <w:sz w:val="28"/>
          <w:szCs w:val="28"/>
          <w:lang w:val="uk-UA"/>
        </w:rPr>
        <w:t>рис. 5</w:t>
      </w:r>
      <w:r w:rsidRPr="009E5C5F">
        <w:rPr>
          <w:rFonts w:ascii="Times New Roman" w:hAnsi="Times New Roman"/>
          <w:sz w:val="28"/>
          <w:szCs w:val="28"/>
          <w:lang w:val="uk-UA"/>
        </w:rPr>
        <w:t>.1 видно, що кореляційні структури відрізняються одна від одної за кількістю зв’язків</w:t>
      </w:r>
      <w:r>
        <w:rPr>
          <w:rFonts w:ascii="Times New Roman" w:hAnsi="Times New Roman"/>
          <w:sz w:val="28"/>
          <w:szCs w:val="28"/>
          <w:lang w:val="uk-UA"/>
        </w:rPr>
        <w:t>, тобто інтеграції. Кількісним показником ступеня інтеграції кореляційної структури є коефіцієнт лабілізації (КЛ), який мав невисокі значення (КЛ=8,8%) в контрольній групі. Кореляційна структура хворих основної групи виявилася високоінтегрованою (КЛ=25,3%), що виявилося в 3 рази вище (р&lt;0,001), ніж в контролі. Звертає увагу, що якщо кореляційна структура основної групи представлена однією плеядою, то структура контрольної групи не монолітна і складається з трьох плеяд. Перша з них містить пряму кореляцію між рівнем Са в слині і щільністю кісткових відділів пародонту (</w:t>
      </w:r>
      <w:r>
        <w:rPr>
          <w:rFonts w:ascii="Times New Roman" w:hAnsi="Times New Roman"/>
          <w:sz w:val="28"/>
          <w:szCs w:val="28"/>
        </w:rPr>
        <w:t>r</w:t>
      </w:r>
      <w:r>
        <w:rPr>
          <w:rFonts w:ascii="Times New Roman" w:hAnsi="Times New Roman"/>
          <w:sz w:val="28"/>
          <w:szCs w:val="28"/>
          <w:lang w:val="uk-UA"/>
        </w:rPr>
        <w:t>=0,37; р&lt;0,05). Друга утворює пряму кореляцію між інтенсивністю карієсу і кількістю хронічних захворювань у батьків (</w:t>
      </w:r>
      <w:r>
        <w:rPr>
          <w:rFonts w:ascii="Times New Roman" w:hAnsi="Times New Roman"/>
          <w:sz w:val="28"/>
          <w:szCs w:val="28"/>
        </w:rPr>
        <w:t>r</w:t>
      </w:r>
      <w:r>
        <w:rPr>
          <w:rFonts w:ascii="Times New Roman" w:hAnsi="Times New Roman"/>
          <w:sz w:val="28"/>
          <w:szCs w:val="28"/>
          <w:lang w:val="uk-UA"/>
        </w:rPr>
        <w:t>=0,41; р&lt;0,05). Третя плеяда містить численні прямі кореляції між інтенсивністю карієсу і кількістю хронічної соматичної патології у підлітка (</w:t>
      </w:r>
      <w:r>
        <w:rPr>
          <w:rFonts w:ascii="Times New Roman" w:hAnsi="Times New Roman"/>
          <w:sz w:val="28"/>
          <w:szCs w:val="28"/>
        </w:rPr>
        <w:t>r</w:t>
      </w:r>
      <w:r>
        <w:rPr>
          <w:rFonts w:ascii="Times New Roman" w:hAnsi="Times New Roman"/>
          <w:sz w:val="28"/>
          <w:szCs w:val="28"/>
          <w:lang w:val="uk-UA"/>
        </w:rPr>
        <w:t xml:space="preserve">=0,36; р&lt;0,05), індексом гігієни </w:t>
      </w:r>
      <w:r w:rsidR="00713761">
        <w:rPr>
          <w:rFonts w:ascii="Times New Roman" w:hAnsi="Times New Roman"/>
          <w:sz w:val="28"/>
          <w:szCs w:val="28"/>
          <w:lang w:val="uk-UA"/>
        </w:rPr>
        <w:t>ПР</w:t>
      </w:r>
      <w:r>
        <w:rPr>
          <w:rFonts w:ascii="Times New Roman" w:hAnsi="Times New Roman"/>
          <w:sz w:val="28"/>
          <w:szCs w:val="28"/>
          <w:lang w:val="uk-UA"/>
        </w:rPr>
        <w:t xml:space="preserve"> (</w:t>
      </w:r>
      <w:r>
        <w:rPr>
          <w:rFonts w:ascii="Times New Roman" w:hAnsi="Times New Roman"/>
          <w:sz w:val="28"/>
          <w:szCs w:val="28"/>
        </w:rPr>
        <w:t>r</w:t>
      </w:r>
      <w:r>
        <w:rPr>
          <w:rFonts w:ascii="Times New Roman" w:hAnsi="Times New Roman"/>
          <w:sz w:val="28"/>
          <w:szCs w:val="28"/>
          <w:lang w:val="uk-UA"/>
        </w:rPr>
        <w:t>=0,51; р&lt;0,05) і кількістю хронічних захворювань у матері (</w:t>
      </w:r>
      <w:r>
        <w:rPr>
          <w:rFonts w:ascii="Times New Roman" w:hAnsi="Times New Roman"/>
          <w:sz w:val="28"/>
          <w:szCs w:val="28"/>
        </w:rPr>
        <w:t>r</w:t>
      </w:r>
      <w:r>
        <w:rPr>
          <w:rFonts w:ascii="Times New Roman" w:hAnsi="Times New Roman"/>
          <w:sz w:val="28"/>
          <w:szCs w:val="28"/>
          <w:lang w:val="uk-UA"/>
        </w:rPr>
        <w:t>=0,37; р&lt;0,05). Останнє прямо корелює з інтенсивністю карієсу (</w:t>
      </w:r>
      <w:r>
        <w:rPr>
          <w:rFonts w:ascii="Times New Roman" w:hAnsi="Times New Roman"/>
          <w:sz w:val="28"/>
          <w:szCs w:val="28"/>
        </w:rPr>
        <w:t>r</w:t>
      </w:r>
      <w:r>
        <w:rPr>
          <w:rFonts w:ascii="Times New Roman" w:hAnsi="Times New Roman"/>
          <w:sz w:val="28"/>
          <w:szCs w:val="28"/>
          <w:lang w:val="uk-UA"/>
        </w:rPr>
        <w:t>=0,33; р&lt;0,05).</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основній групі найбільша кількість зв’язків утворює показник інтенсивності карієсу підлітків , що утворює прямі зв’язки з індексом гігієни </w:t>
      </w:r>
      <w:r w:rsidR="00713761">
        <w:rPr>
          <w:rFonts w:ascii="Times New Roman" w:hAnsi="Times New Roman"/>
          <w:sz w:val="28"/>
          <w:szCs w:val="28"/>
          <w:lang w:val="uk-UA"/>
        </w:rPr>
        <w:t>ПР</w:t>
      </w:r>
      <w:r>
        <w:rPr>
          <w:rFonts w:ascii="Times New Roman" w:hAnsi="Times New Roman"/>
          <w:sz w:val="28"/>
          <w:szCs w:val="28"/>
          <w:lang w:val="uk-UA"/>
        </w:rPr>
        <w:t xml:space="preserve"> (</w:t>
      </w:r>
      <w:r>
        <w:rPr>
          <w:rFonts w:ascii="Times New Roman" w:hAnsi="Times New Roman"/>
          <w:sz w:val="28"/>
          <w:szCs w:val="28"/>
        </w:rPr>
        <w:t>r</w:t>
      </w:r>
      <w:r>
        <w:rPr>
          <w:rFonts w:ascii="Times New Roman" w:hAnsi="Times New Roman"/>
          <w:sz w:val="28"/>
          <w:szCs w:val="28"/>
          <w:lang w:val="uk-UA"/>
        </w:rPr>
        <w:t>=0,45; р&lt;0,05), активністю уреази (</w:t>
      </w:r>
      <w:r>
        <w:rPr>
          <w:rFonts w:ascii="Times New Roman" w:hAnsi="Times New Roman"/>
          <w:sz w:val="28"/>
          <w:szCs w:val="28"/>
        </w:rPr>
        <w:t>r</w:t>
      </w:r>
      <w:r>
        <w:rPr>
          <w:rFonts w:ascii="Times New Roman" w:hAnsi="Times New Roman"/>
          <w:sz w:val="28"/>
          <w:szCs w:val="28"/>
          <w:lang w:val="uk-UA"/>
        </w:rPr>
        <w:t>=0,37; р&lt;0,05), кількістю хронічних захворювань (</w:t>
      </w:r>
      <w:r>
        <w:rPr>
          <w:rFonts w:ascii="Times New Roman" w:hAnsi="Times New Roman"/>
          <w:sz w:val="28"/>
          <w:szCs w:val="28"/>
        </w:rPr>
        <w:t>r</w:t>
      </w:r>
      <w:r>
        <w:rPr>
          <w:rFonts w:ascii="Times New Roman" w:hAnsi="Times New Roman"/>
          <w:sz w:val="28"/>
          <w:szCs w:val="28"/>
          <w:lang w:val="uk-UA"/>
        </w:rPr>
        <w:t>=0,44; р&lt;0,05), інтенсивністю карієсу у матері (</w:t>
      </w:r>
      <w:r>
        <w:rPr>
          <w:rFonts w:ascii="Times New Roman" w:hAnsi="Times New Roman"/>
          <w:sz w:val="28"/>
          <w:szCs w:val="28"/>
        </w:rPr>
        <w:t>r</w:t>
      </w:r>
      <w:r>
        <w:rPr>
          <w:rFonts w:ascii="Times New Roman" w:hAnsi="Times New Roman"/>
          <w:sz w:val="28"/>
          <w:szCs w:val="28"/>
          <w:lang w:val="uk-UA"/>
        </w:rPr>
        <w:t>=0,39; р&lt;0,05) і батька (</w:t>
      </w:r>
      <w:r>
        <w:rPr>
          <w:rFonts w:ascii="Times New Roman" w:hAnsi="Times New Roman"/>
          <w:sz w:val="28"/>
          <w:szCs w:val="28"/>
        </w:rPr>
        <w:t>r</w:t>
      </w:r>
      <w:r>
        <w:rPr>
          <w:rFonts w:ascii="Times New Roman" w:hAnsi="Times New Roman"/>
          <w:sz w:val="28"/>
          <w:szCs w:val="28"/>
          <w:lang w:val="uk-UA"/>
        </w:rPr>
        <w:t>=0,31; р&lt;0,05), а також зворотні кореляції з щільністю кісткових відділів пародонту (</w:t>
      </w:r>
      <w:r>
        <w:rPr>
          <w:rFonts w:ascii="Times New Roman" w:hAnsi="Times New Roman"/>
          <w:sz w:val="28"/>
          <w:szCs w:val="28"/>
        </w:rPr>
        <w:t>r</w:t>
      </w:r>
      <w:r>
        <w:rPr>
          <w:rFonts w:ascii="Times New Roman" w:hAnsi="Times New Roman"/>
          <w:sz w:val="28"/>
          <w:szCs w:val="28"/>
          <w:lang w:val="uk-UA"/>
        </w:rPr>
        <w:t>= - 0,36; р&lt;0,05), активністю лізоциму (</w:t>
      </w:r>
      <w:r>
        <w:rPr>
          <w:rFonts w:ascii="Times New Roman" w:hAnsi="Times New Roman"/>
          <w:sz w:val="28"/>
          <w:szCs w:val="28"/>
        </w:rPr>
        <w:t>r</w:t>
      </w:r>
      <w:r>
        <w:rPr>
          <w:rFonts w:ascii="Times New Roman" w:hAnsi="Times New Roman"/>
          <w:sz w:val="28"/>
          <w:szCs w:val="28"/>
          <w:lang w:val="uk-UA"/>
        </w:rPr>
        <w:t>= - 0,29; р&lt;0,05) і рівнем Са в слині (</w:t>
      </w:r>
      <w:r>
        <w:rPr>
          <w:rFonts w:ascii="Times New Roman" w:hAnsi="Times New Roman"/>
          <w:sz w:val="28"/>
          <w:szCs w:val="28"/>
        </w:rPr>
        <w:t>r</w:t>
      </w:r>
      <w:r>
        <w:rPr>
          <w:rFonts w:ascii="Times New Roman" w:hAnsi="Times New Roman"/>
          <w:sz w:val="28"/>
          <w:szCs w:val="28"/>
          <w:lang w:val="uk-UA"/>
        </w:rPr>
        <w:t>= - 0,31; р&lt;0,05).</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Слід відмітити, що показник денсиметрії прямо корелює з тривалістю грудного вигодовування (</w:t>
      </w:r>
      <w:r>
        <w:rPr>
          <w:rFonts w:ascii="Times New Roman" w:hAnsi="Times New Roman"/>
          <w:sz w:val="28"/>
          <w:szCs w:val="28"/>
        </w:rPr>
        <w:t>r</w:t>
      </w:r>
      <w:r>
        <w:rPr>
          <w:rFonts w:ascii="Times New Roman" w:hAnsi="Times New Roman"/>
          <w:sz w:val="28"/>
          <w:szCs w:val="28"/>
          <w:lang w:val="uk-UA"/>
        </w:rPr>
        <w:t>=0,29; р&lt;0,05), рівнем Са в слині (</w:t>
      </w:r>
      <w:r>
        <w:rPr>
          <w:rFonts w:ascii="Times New Roman" w:hAnsi="Times New Roman"/>
          <w:sz w:val="28"/>
          <w:szCs w:val="28"/>
        </w:rPr>
        <w:t>r</w:t>
      </w:r>
      <w:r>
        <w:rPr>
          <w:rFonts w:ascii="Times New Roman" w:hAnsi="Times New Roman"/>
          <w:sz w:val="28"/>
          <w:szCs w:val="28"/>
          <w:lang w:val="uk-UA"/>
        </w:rPr>
        <w:t>=0,59; р&lt;0,05) і зворотньо з кількістю хронічних захворювань у матері (</w:t>
      </w:r>
      <w:r>
        <w:rPr>
          <w:rFonts w:ascii="Times New Roman" w:hAnsi="Times New Roman"/>
          <w:sz w:val="28"/>
          <w:szCs w:val="28"/>
        </w:rPr>
        <w:t>r</w:t>
      </w:r>
      <w:r>
        <w:rPr>
          <w:rFonts w:ascii="Times New Roman" w:hAnsi="Times New Roman"/>
          <w:sz w:val="28"/>
          <w:szCs w:val="28"/>
          <w:lang w:val="uk-UA"/>
        </w:rPr>
        <w:t>= - 0,30; р&lt;0,05) і підлітків (</w:t>
      </w:r>
      <w:r>
        <w:rPr>
          <w:rFonts w:ascii="Times New Roman" w:hAnsi="Times New Roman"/>
          <w:sz w:val="28"/>
          <w:szCs w:val="28"/>
        </w:rPr>
        <w:t>r</w:t>
      </w:r>
      <w:r>
        <w:rPr>
          <w:rFonts w:ascii="Times New Roman" w:hAnsi="Times New Roman"/>
          <w:sz w:val="28"/>
          <w:szCs w:val="28"/>
          <w:lang w:val="uk-UA"/>
        </w:rPr>
        <w:t>= - 0,44; р&lt;0,05), інтенсивністю карієсу підлітків (</w:t>
      </w:r>
      <w:r>
        <w:rPr>
          <w:rFonts w:ascii="Times New Roman" w:hAnsi="Times New Roman"/>
          <w:sz w:val="28"/>
          <w:szCs w:val="28"/>
        </w:rPr>
        <w:t>r</w:t>
      </w:r>
      <w:r>
        <w:rPr>
          <w:rFonts w:ascii="Times New Roman" w:hAnsi="Times New Roman"/>
          <w:sz w:val="28"/>
          <w:szCs w:val="28"/>
          <w:lang w:val="uk-UA"/>
        </w:rPr>
        <w:t>= - 0,47; р&lt;0,05) і індексу гігієни порожнини рота (</w:t>
      </w:r>
      <w:r>
        <w:rPr>
          <w:rFonts w:ascii="Times New Roman" w:hAnsi="Times New Roman"/>
          <w:sz w:val="28"/>
          <w:szCs w:val="28"/>
        </w:rPr>
        <w:t>r</w:t>
      </w:r>
      <w:r>
        <w:rPr>
          <w:rFonts w:ascii="Times New Roman" w:hAnsi="Times New Roman"/>
          <w:sz w:val="28"/>
          <w:szCs w:val="28"/>
          <w:lang w:val="uk-UA"/>
        </w:rPr>
        <w:t>= - 0,31; р&lt;0,05).</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Вищенаведені дані свідчать про те, що патогенетичний паттерн запальних захворювань пародонту у дівчат-підлітків з ПМФ включає багато взаємопов’язаних, різночасових патогенетичних факторів. Така монолітність </w:t>
      </w:r>
      <w:r>
        <w:rPr>
          <w:rFonts w:ascii="Times New Roman" w:hAnsi="Times New Roman"/>
          <w:sz w:val="28"/>
          <w:szCs w:val="28"/>
          <w:lang w:val="uk-UA"/>
        </w:rPr>
        <w:lastRenderedPageBreak/>
        <w:t>патогенетичної матриці робить її стійкою до зростаючих в процесі онтогенезу дитини компенсаторних механізмів, а також профілактичних мір.</w:t>
      </w:r>
    </w:p>
    <w:p w:rsidR="000F78D0" w:rsidRDefault="000F78D0" w:rsidP="006C7FCC">
      <w:pPr>
        <w:tabs>
          <w:tab w:val="left" w:pos="204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 порівнянням кількості зв’язків у порівнюваних кореляційних структурах було визначено якісні відмінності кореляцій за допомогою показника кореляційних відмінностей (ПКВ). Встановлено, що відмінності кореляційних «портретів» в групах були значними і склали ПКВ=66,7%. Звідси випливає, що основу формування запальних захворювань пародонту в дівчат-підлітків з ПМФ складає патогенетична детермінанта, яка суттєво відрізняється від такої у підлітків з інтактним пародонтом як за функціональними, так і за архітектонічними властивостями.</w:t>
      </w:r>
    </w:p>
    <w:p w:rsidR="000F78D0" w:rsidRDefault="000F78D0" w:rsidP="006C7FCC">
      <w:pPr>
        <w:tabs>
          <w:tab w:val="left" w:pos="2040"/>
        </w:tabs>
        <w:spacing w:line="360" w:lineRule="auto"/>
        <w:ind w:firstLine="709"/>
        <w:jc w:val="both"/>
        <w:rPr>
          <w:rFonts w:ascii="Times New Roman" w:hAnsi="Times New Roman"/>
          <w:sz w:val="28"/>
          <w:szCs w:val="28"/>
          <w:lang w:val="uk-UA"/>
        </w:rPr>
      </w:pPr>
    </w:p>
    <w:p w:rsidR="000F78D0" w:rsidRDefault="00C530B3"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с</w:t>
      </w:r>
      <w:r w:rsidR="000F78D0">
        <w:rPr>
          <w:rFonts w:ascii="Times New Roman" w:hAnsi="Times New Roman"/>
          <w:sz w:val="28"/>
          <w:szCs w:val="28"/>
          <w:lang w:val="uk-UA"/>
        </w:rPr>
        <w:t>падковий фактор відіграє суттєву роль в патогенезі запальних захворювань пародонту у дівчат-підлітків з ПМФ. При цьому патогенетичну значимість виявляє не тільки специфічний (захворювання карієсом і пародонтитом), але і неспецифічний (хронічна соматична патологія) компоненти генетичного вантажу.</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формування запальних захворювань пародонту  суттєвий вплив здійснює комплекс пре- і постнатальних факторів, </w:t>
      </w:r>
      <w:r w:rsidR="006C7FCC">
        <w:rPr>
          <w:rFonts w:ascii="Times New Roman" w:hAnsi="Times New Roman"/>
          <w:sz w:val="28"/>
          <w:szCs w:val="28"/>
          <w:lang w:val="uk-UA"/>
        </w:rPr>
        <w:t>таких як</w:t>
      </w:r>
      <w:r>
        <w:rPr>
          <w:rFonts w:ascii="Times New Roman" w:hAnsi="Times New Roman"/>
          <w:sz w:val="28"/>
          <w:szCs w:val="28"/>
          <w:lang w:val="uk-UA"/>
        </w:rPr>
        <w:t xml:space="preserve"> несприятливий перебіг вагітності і пологів, соматична патологія в дитячому і підлітковому віці, порушення здорового способу життя і гігієни ротової порожнини, аномалії розвитку зубо-щелепної системи, інтенсивність карієсу зубів, зниження місцевої і загальної резистентності організму і висока бактеріальна забрудненість ротової порожнини.</w:t>
      </w:r>
    </w:p>
    <w:p w:rsidR="000F78D0"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Патогенетичний паттерн запальних захворювань пародонта дівчат-підлітків з ПМФ включає монолітну кореляційну структуру з численними зв’язками різночасових факторів, що робить її стійкою до зростаючих в процесі онтогенези дитини компенсаторних механізмів і профілактичних мір.</w:t>
      </w:r>
    </w:p>
    <w:p w:rsidR="000F78D0" w:rsidRPr="009C1D9D" w:rsidRDefault="000F78D0" w:rsidP="006C7F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Встановлений суттєвий патогенетичний вплив спадкових, пре-, інтра- , і постнатальних факторів є науковим обґрунтуванням для розробки критеріїв прогнозування розвитку </w:t>
      </w:r>
      <w:r w:rsidR="006C7FCC">
        <w:rPr>
          <w:rFonts w:ascii="Times New Roman" w:hAnsi="Times New Roman"/>
          <w:sz w:val="28"/>
          <w:szCs w:val="28"/>
          <w:lang w:val="uk-UA"/>
        </w:rPr>
        <w:t>ЗЗП</w:t>
      </w:r>
      <w:r>
        <w:rPr>
          <w:rFonts w:ascii="Times New Roman" w:hAnsi="Times New Roman"/>
          <w:sz w:val="28"/>
          <w:szCs w:val="28"/>
          <w:lang w:val="uk-UA"/>
        </w:rPr>
        <w:t xml:space="preserve"> у дівчат-підлітків з ПМФ.</w:t>
      </w:r>
    </w:p>
    <w:p w:rsidR="000F78D0" w:rsidRPr="003428CE" w:rsidRDefault="000F78D0" w:rsidP="00DE610E">
      <w:pPr>
        <w:spacing w:line="360" w:lineRule="auto"/>
        <w:ind w:firstLine="709"/>
        <w:jc w:val="both"/>
        <w:rPr>
          <w:rFonts w:ascii="Times New Roman" w:hAnsi="Times New Roman"/>
          <w:b/>
          <w:sz w:val="28"/>
          <w:szCs w:val="28"/>
          <w:lang w:val="uk-UA"/>
        </w:rPr>
      </w:pPr>
      <w:r w:rsidRPr="003428CE">
        <w:rPr>
          <w:rFonts w:ascii="Times New Roman" w:hAnsi="Times New Roman"/>
          <w:b/>
          <w:sz w:val="28"/>
          <w:szCs w:val="28"/>
          <w:lang w:val="uk-UA"/>
        </w:rPr>
        <w:lastRenderedPageBreak/>
        <w:t>5.2. Критерії прогнозування розвитку запальних захворювань пародонта в дівчат-підлітків з ПМФ</w:t>
      </w:r>
    </w:p>
    <w:p w:rsidR="000F78D0" w:rsidRDefault="000F78D0" w:rsidP="00DE610E">
      <w:pPr>
        <w:spacing w:line="360" w:lineRule="auto"/>
        <w:ind w:firstLine="709"/>
        <w:jc w:val="both"/>
        <w:rPr>
          <w:rFonts w:ascii="Times New Roman" w:hAnsi="Times New Roman"/>
          <w:sz w:val="28"/>
          <w:szCs w:val="28"/>
          <w:lang w:val="uk-UA"/>
        </w:rPr>
      </w:pP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основі створення ефективної програми профілактики запальних захворювань пародонта  у дівчат-підлітків з ПМФ лежить оптимізація лікувально-профілактичної допомоги таким пацієнтам, яка неможлива без розробки предикторів  розвитку даної патології. Наявність таких предикторів дозволить клініцисту індивідуалізувати лікувально-профілактичні заходи, напрямлені на часткову або повну нейтралізацію несприятливого прогностичного сценарію і переведення його до розряду сприятливого.</w:t>
      </w: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в розділі 4 результати доли основу для розробки прогностичних критеріїв. Предиктори виникнення запальних захворювань пародонта у досліджуваного контингенту визначені за допомогою неоднорідної послідовної процедури Вальда-Генкіна (Є.В.Гублер, 1978). При цьому хворі були розподілені на альтернативні групи (див. розділ 4), а потім вираховувалися прогностичні коефіцієнти (ПК) і інформативність ознаки (І).</w:t>
      </w:r>
    </w:p>
    <w:p w:rsidR="00355E22" w:rsidRPr="00BE7C02" w:rsidRDefault="000F78D0" w:rsidP="00DE610E">
      <w:pPr>
        <w:spacing w:line="360" w:lineRule="auto"/>
        <w:ind w:firstLine="709"/>
        <w:jc w:val="both"/>
        <w:rPr>
          <w:rFonts w:ascii="Times New Roman" w:hAnsi="Times New Roman"/>
          <w:sz w:val="20"/>
          <w:szCs w:val="20"/>
          <w:lang w:val="uk-UA"/>
        </w:rPr>
      </w:pPr>
      <w:r>
        <w:rPr>
          <w:rFonts w:ascii="Times New Roman" w:hAnsi="Times New Roman"/>
          <w:sz w:val="28"/>
          <w:szCs w:val="28"/>
          <w:lang w:val="uk-UA"/>
        </w:rPr>
        <w:t>Прогностична значимість спадкових факторів наведена в табл</w:t>
      </w:r>
      <w:r w:rsidR="00246013">
        <w:rPr>
          <w:rFonts w:ascii="Times New Roman" w:hAnsi="Times New Roman"/>
          <w:sz w:val="28"/>
          <w:szCs w:val="28"/>
          <w:lang w:val="uk-UA"/>
        </w:rPr>
        <w:t>. 5.</w:t>
      </w:r>
      <w:r w:rsidR="00246013" w:rsidRPr="00246013">
        <w:rPr>
          <w:rFonts w:ascii="Times New Roman" w:hAnsi="Times New Roman"/>
          <w:sz w:val="28"/>
          <w:szCs w:val="28"/>
          <w:lang w:val="uk-UA"/>
        </w:rPr>
        <w:t>1</w:t>
      </w:r>
      <w:r w:rsidR="00246013">
        <w:rPr>
          <w:rFonts w:ascii="Times New Roman" w:hAnsi="Times New Roman"/>
          <w:sz w:val="28"/>
          <w:szCs w:val="28"/>
          <w:lang w:val="uk-UA"/>
        </w:rPr>
        <w:t>1. Як витікає із табл.5.</w:t>
      </w:r>
      <w:r w:rsidR="00246013" w:rsidRPr="00246013">
        <w:rPr>
          <w:rFonts w:ascii="Times New Roman" w:hAnsi="Times New Roman"/>
          <w:sz w:val="28"/>
          <w:szCs w:val="28"/>
          <w:lang w:val="uk-UA"/>
        </w:rPr>
        <w:t>1</w:t>
      </w:r>
      <w:r w:rsidRPr="00D43FE2">
        <w:rPr>
          <w:rFonts w:ascii="Times New Roman" w:hAnsi="Times New Roman"/>
          <w:sz w:val="28"/>
          <w:szCs w:val="28"/>
          <w:lang w:val="uk-UA"/>
        </w:rPr>
        <w:t>1, високу інформативність (І</w:t>
      </w:r>
      <w:r w:rsidRPr="00D43FE2">
        <w:rPr>
          <w:sz w:val="28"/>
          <w:szCs w:val="28"/>
          <w:lang w:val="uk-UA"/>
        </w:rPr>
        <w:t>≥</w:t>
      </w:r>
      <w:r w:rsidRPr="00D43FE2">
        <w:rPr>
          <w:rFonts w:ascii="Times New Roman" w:hAnsi="Times New Roman"/>
          <w:sz w:val="28"/>
          <w:szCs w:val="28"/>
          <w:lang w:val="uk-UA"/>
        </w:rPr>
        <w:t>1,0) виявили кількість</w:t>
      </w:r>
      <w:r>
        <w:rPr>
          <w:rFonts w:ascii="Times New Roman" w:hAnsi="Times New Roman"/>
          <w:sz w:val="28"/>
          <w:szCs w:val="28"/>
          <w:lang w:val="uk-UA"/>
        </w:rPr>
        <w:t xml:space="preserve"> хронічних захворювань у батька (І=2,66), у матері (І=1,80), у праматерів (І=1,37)  і прабатьків (І=1,0</w:t>
      </w:r>
      <w:r w:rsidRPr="00B201E8">
        <w:rPr>
          <w:rFonts w:ascii="Times New Roman" w:hAnsi="Times New Roman"/>
          <w:sz w:val="20"/>
          <w:szCs w:val="20"/>
          <w:lang w:val="uk-UA"/>
        </w:rPr>
        <w:t xml:space="preserve">). </w:t>
      </w:r>
    </w:p>
    <w:p w:rsidR="00355E22" w:rsidRDefault="00355E22"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Помірна прогностична значимість (1,0&gt;І</w:t>
      </w:r>
      <w:r>
        <w:rPr>
          <w:sz w:val="28"/>
          <w:szCs w:val="28"/>
          <w:lang w:val="uk-UA"/>
        </w:rPr>
        <w:t>≥</w:t>
      </w:r>
      <w:r>
        <w:rPr>
          <w:rFonts w:ascii="Times New Roman" w:hAnsi="Times New Roman"/>
          <w:sz w:val="28"/>
          <w:szCs w:val="28"/>
          <w:lang w:val="uk-UA"/>
        </w:rPr>
        <w:t>0,50) була характерна для захворювань пародонта у прабатьків (І=0,78), захворювань серцево-судинної системи  у прабатьків (І=0,76), проявів алергії у матері (І=0,74), захворювань пародонта у матері (І=0,74), інтенсивності карієсу зубів у батька (І=0,72), проявів алергії у батька (І=0,64),захворювань пародонта у праматерів (І=0,59) і батька (І=0,52), проявів алергії у праматерів (І=0,52).</w:t>
      </w:r>
    </w:p>
    <w:p w:rsidR="000F78D0" w:rsidRPr="00B201E8" w:rsidRDefault="00355E22" w:rsidP="00DE610E">
      <w:pPr>
        <w:spacing w:line="360" w:lineRule="auto"/>
        <w:ind w:firstLine="709"/>
        <w:jc w:val="both"/>
        <w:rPr>
          <w:rFonts w:ascii="Times New Roman" w:hAnsi="Times New Roman"/>
          <w:sz w:val="20"/>
          <w:szCs w:val="20"/>
          <w:lang w:val="uk-UA"/>
        </w:rPr>
      </w:pPr>
      <w:r>
        <w:rPr>
          <w:rFonts w:ascii="Times New Roman" w:hAnsi="Times New Roman"/>
          <w:sz w:val="28"/>
          <w:szCs w:val="28"/>
          <w:lang w:val="uk-UA"/>
        </w:rPr>
        <w:t>Низька прогностична інформативність (0,50&gt;І</w:t>
      </w:r>
      <w:r>
        <w:rPr>
          <w:sz w:val="28"/>
          <w:szCs w:val="28"/>
          <w:lang w:val="uk-UA"/>
        </w:rPr>
        <w:t>≥</w:t>
      </w:r>
      <w:r>
        <w:rPr>
          <w:rFonts w:ascii="Times New Roman" w:hAnsi="Times New Roman"/>
          <w:sz w:val="28"/>
          <w:szCs w:val="28"/>
          <w:lang w:val="uk-UA"/>
        </w:rPr>
        <w:t>0,25) встановлена по відношенню до порушень менструальної функції у матерів (І=0,41), проявів</w:t>
      </w:r>
      <w:r w:rsidRPr="00355E22">
        <w:rPr>
          <w:rFonts w:ascii="Times New Roman" w:hAnsi="Times New Roman"/>
          <w:sz w:val="28"/>
          <w:szCs w:val="28"/>
          <w:lang w:val="uk-UA"/>
        </w:rPr>
        <w:t xml:space="preserve"> </w:t>
      </w:r>
      <w:r>
        <w:rPr>
          <w:rFonts w:ascii="Times New Roman" w:hAnsi="Times New Roman"/>
          <w:sz w:val="28"/>
          <w:szCs w:val="28"/>
          <w:lang w:val="uk-UA"/>
        </w:rPr>
        <w:t>алергії у прабатьків (І=0,40), захворювань шлунково-кишкового тракту у матері (І=0,39), кількості вражених карієсом зубів у батька (І=0,34), захворювань</w:t>
      </w:r>
    </w:p>
    <w:p w:rsidR="000F78D0" w:rsidRDefault="000F78D0" w:rsidP="00AC605C">
      <w:pPr>
        <w:spacing w:line="360" w:lineRule="auto"/>
        <w:ind w:firstLine="426"/>
        <w:jc w:val="right"/>
        <w:rPr>
          <w:rFonts w:ascii="Times New Roman" w:hAnsi="Times New Roman"/>
          <w:sz w:val="28"/>
          <w:szCs w:val="28"/>
          <w:lang w:val="uk-UA"/>
        </w:rPr>
      </w:pPr>
      <w:r w:rsidRPr="00533E4C">
        <w:rPr>
          <w:rFonts w:ascii="Times New Roman" w:hAnsi="Times New Roman"/>
          <w:i/>
          <w:sz w:val="28"/>
          <w:szCs w:val="28"/>
          <w:lang w:val="uk-UA"/>
        </w:rPr>
        <w:lastRenderedPageBreak/>
        <w:t>Таблиця</w:t>
      </w:r>
      <w:r w:rsidR="00246013">
        <w:rPr>
          <w:rFonts w:ascii="Times New Roman" w:hAnsi="Times New Roman"/>
          <w:sz w:val="28"/>
          <w:szCs w:val="28"/>
          <w:lang w:val="uk-UA"/>
        </w:rPr>
        <w:t xml:space="preserve"> 5.</w:t>
      </w:r>
      <w:r w:rsidR="00246013">
        <w:rPr>
          <w:rFonts w:ascii="Times New Roman" w:hAnsi="Times New Roman"/>
          <w:sz w:val="28"/>
          <w:szCs w:val="28"/>
        </w:rPr>
        <w:t>1</w:t>
      </w:r>
      <w:r>
        <w:rPr>
          <w:rFonts w:ascii="Times New Roman" w:hAnsi="Times New Roman"/>
          <w:sz w:val="28"/>
          <w:szCs w:val="28"/>
          <w:lang w:val="uk-UA"/>
        </w:rPr>
        <w:t>1</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спадкових факторів</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3544"/>
        <w:gridCol w:w="1777"/>
        <w:gridCol w:w="65"/>
        <w:gridCol w:w="2127"/>
        <w:gridCol w:w="1701"/>
      </w:tblGrid>
      <w:tr w:rsidR="000F78D0" w:rsidRPr="001336DC" w:rsidTr="00355E22">
        <w:tc>
          <w:tcPr>
            <w:tcW w:w="675" w:type="dxa"/>
          </w:tcPr>
          <w:p w:rsidR="000F78D0" w:rsidRPr="001336DC" w:rsidRDefault="000F78D0" w:rsidP="003428CE">
            <w:pPr>
              <w:jc w:val="both"/>
              <w:rPr>
                <w:rFonts w:ascii="Times New Roman" w:hAnsi="Times New Roman"/>
                <w:sz w:val="28"/>
                <w:szCs w:val="28"/>
                <w:lang w:val="uk-UA"/>
              </w:rPr>
            </w:pPr>
            <w:r w:rsidRPr="001336DC">
              <w:rPr>
                <w:rFonts w:ascii="Times New Roman" w:hAnsi="Times New Roman"/>
                <w:sz w:val="28"/>
                <w:szCs w:val="28"/>
                <w:lang w:val="uk-UA"/>
              </w:rPr>
              <w:t>№</w:t>
            </w:r>
          </w:p>
        </w:tc>
        <w:tc>
          <w:tcPr>
            <w:tcW w:w="3544" w:type="dxa"/>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Показники</w:t>
            </w: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1701" w:type="dxa"/>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355E22">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батька </w:t>
            </w: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2,66</w:t>
            </w:r>
          </w:p>
        </w:tc>
      </w:tr>
      <w:tr w:rsidR="000F78D0" w:rsidRPr="001336DC" w:rsidTr="00355E22">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355E22">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матері</w:t>
            </w: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1,80</w:t>
            </w:r>
          </w:p>
        </w:tc>
      </w:tr>
      <w:tr w:rsidR="000F78D0" w:rsidRPr="001336DC" w:rsidTr="00355E22">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355E22">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праматерів</w:t>
            </w: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1,37</w:t>
            </w:r>
          </w:p>
        </w:tc>
      </w:tr>
      <w:tr w:rsidR="000F78D0" w:rsidRPr="001336DC" w:rsidTr="00355E22">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355E22">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77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5</w:t>
            </w:r>
          </w:p>
        </w:tc>
        <w:tc>
          <w:tcPr>
            <w:tcW w:w="219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-5,4</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прабатьків</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1,00</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пародонту у прабатьків</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0,78</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+7,2</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матері</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0,76</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6-10</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прабатьків</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0,76</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+1,9</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Прояви алергії у матері</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0,74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пародонта у матері</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0,74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батька</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0,72</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6-10</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Прояви алергії у батька</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-5,7</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0,64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пародонта у праматерів</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0,59</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пародонта у батька</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0,52</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Прояви алергії у праматерів</w:t>
            </w: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0,52</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Default="000F78D0" w:rsidP="003428CE">
            <w:pPr>
              <w:rPr>
                <w:rFonts w:ascii="Times New Roman" w:hAnsi="Times New Roman"/>
                <w:sz w:val="28"/>
                <w:szCs w:val="28"/>
              </w:rPr>
            </w:pPr>
            <w:r w:rsidRPr="001336DC">
              <w:rPr>
                <w:rFonts w:ascii="Times New Roman" w:hAnsi="Times New Roman"/>
                <w:sz w:val="28"/>
                <w:szCs w:val="28"/>
                <w:lang w:val="uk-UA"/>
              </w:rPr>
              <w:t>Порушення менструальної функції у матері</w:t>
            </w:r>
          </w:p>
          <w:p w:rsidR="00355E22" w:rsidRDefault="00355E22" w:rsidP="003428CE">
            <w:pPr>
              <w:rPr>
                <w:rFonts w:ascii="Times New Roman" w:hAnsi="Times New Roman"/>
                <w:sz w:val="28"/>
                <w:szCs w:val="28"/>
              </w:rPr>
            </w:pPr>
          </w:p>
          <w:p w:rsidR="00355E22" w:rsidRPr="00355E22" w:rsidRDefault="00355E22" w:rsidP="003428CE">
            <w:pPr>
              <w:rPr>
                <w:rFonts w:ascii="Times New Roman" w:hAnsi="Times New Roman"/>
                <w:sz w:val="28"/>
                <w:szCs w:val="28"/>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0,41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gridSpan w:val="2"/>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bl>
    <w:p w:rsidR="00355E22" w:rsidRPr="00AE69AA" w:rsidRDefault="00355E22" w:rsidP="00355E22">
      <w:pPr>
        <w:jc w:val="right"/>
        <w:rPr>
          <w:lang w:val="uk-UA"/>
        </w:rPr>
      </w:pPr>
      <w:r>
        <w:br w:type="page"/>
      </w:r>
      <w:r w:rsidR="00246013">
        <w:rPr>
          <w:rFonts w:ascii="Times New Roman" w:hAnsi="Times New Roman"/>
          <w:i/>
          <w:sz w:val="28"/>
          <w:szCs w:val="28"/>
          <w:lang w:val="uk-UA"/>
        </w:rPr>
        <w:lastRenderedPageBreak/>
        <w:t>Продовження табл. 5.</w:t>
      </w:r>
      <w:r w:rsidR="00246013">
        <w:rPr>
          <w:rFonts w:ascii="Times New Roman" w:hAnsi="Times New Roman"/>
          <w:i/>
          <w:sz w:val="28"/>
          <w:szCs w:val="28"/>
        </w:rPr>
        <w:t>1</w:t>
      </w:r>
      <w:r w:rsidRPr="00AE69AA">
        <w:rPr>
          <w:rFonts w:ascii="Times New Roman" w:hAnsi="Times New Roman"/>
          <w:i/>
          <w:sz w:val="28"/>
          <w:szCs w:val="28"/>
          <w:lang w:val="uk-UA"/>
        </w:rPr>
        <w:t>1</w:t>
      </w:r>
    </w:p>
    <w:p w:rsidR="00355E22" w:rsidRDefault="00355E22"/>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3544"/>
        <w:gridCol w:w="1842"/>
        <w:gridCol w:w="2127"/>
        <w:gridCol w:w="1701"/>
      </w:tblGrid>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Прояви алергії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0,39</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батька</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0,34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6-20</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0,29</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Злоякісні новоутворення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0,25</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+0,8</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Доброякісні новоутворення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0,19</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Смерть від соматичної патології у прабатьків до 60 років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Ендокринна патологія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-0,7</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0,13</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ЛОР-хвороби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Ожиріння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Смерть від соматичної патології у праматерів до 60 років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Злоякісні новоутворення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Наявність карієсу зубів у 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Ендокринні захворювання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-0,8</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0,08</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Шлунково-кишкові захворювання у батька</w:t>
            </w:r>
          </w:p>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0,08</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 у батька</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0,08</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bl>
    <w:p w:rsidR="00355E22" w:rsidRDefault="00355E22" w:rsidP="00355E22">
      <w:pPr>
        <w:jc w:val="right"/>
      </w:pPr>
      <w:r>
        <w:br w:type="page"/>
      </w:r>
      <w:r w:rsidR="00246013">
        <w:rPr>
          <w:rFonts w:ascii="Times New Roman" w:hAnsi="Times New Roman"/>
          <w:i/>
          <w:sz w:val="28"/>
          <w:szCs w:val="28"/>
          <w:lang w:val="uk-UA"/>
        </w:rPr>
        <w:lastRenderedPageBreak/>
        <w:t>Продовження табл. 5.</w:t>
      </w:r>
      <w:r w:rsidR="00246013">
        <w:rPr>
          <w:rFonts w:ascii="Times New Roman" w:hAnsi="Times New Roman"/>
          <w:i/>
          <w:sz w:val="28"/>
          <w:szCs w:val="28"/>
        </w:rPr>
        <w:t>1</w:t>
      </w:r>
      <w:r w:rsidRPr="00AE69AA">
        <w:rPr>
          <w:rFonts w:ascii="Times New Roman" w:hAnsi="Times New Roman"/>
          <w:i/>
          <w:sz w:val="28"/>
          <w:szCs w:val="28"/>
          <w:lang w:val="uk-UA"/>
        </w:rPr>
        <w:t>1</w:t>
      </w:r>
    </w:p>
    <w:p w:rsidR="00355E22" w:rsidRDefault="00355E22"/>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3544"/>
        <w:gridCol w:w="1842"/>
        <w:gridCol w:w="2127"/>
        <w:gridCol w:w="1701"/>
      </w:tblGrid>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 у батька</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0,06</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ЛОР-патологія у батька</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0,05</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0,05</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 у праматерів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+0,8</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0,05</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Ендокринна патологія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0,05</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Доброякісні новоутворення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0,05</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0,04</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Вегето-судинна дистонія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0,03</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Алергія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0,02</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 у матері</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val="restart"/>
          </w:tcPr>
          <w:p w:rsidR="000F78D0" w:rsidRPr="001336DC" w:rsidRDefault="000F78D0" w:rsidP="003D0EAE">
            <w:pPr>
              <w:ind w:firstLine="43"/>
              <w:jc w:val="center"/>
              <w:rPr>
                <w:rFonts w:ascii="Times New Roman" w:hAnsi="Times New Roman"/>
                <w:sz w:val="28"/>
                <w:szCs w:val="28"/>
                <w:lang w:val="uk-UA"/>
              </w:rPr>
            </w:pPr>
            <w:r w:rsidRPr="001336DC">
              <w:rPr>
                <w:rFonts w:ascii="Times New Roman" w:hAnsi="Times New Roman"/>
                <w:sz w:val="28"/>
                <w:szCs w:val="28"/>
                <w:lang w:val="uk-UA"/>
              </w:rPr>
              <w:t>0,01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 у прабатьків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r w:rsidR="000F78D0" w:rsidRPr="001336DC" w:rsidTr="00AE69AA">
        <w:tc>
          <w:tcPr>
            <w:tcW w:w="675" w:type="dxa"/>
            <w:vMerge w:val="restart"/>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val="restart"/>
          </w:tcPr>
          <w:p w:rsidR="000F78D0" w:rsidRPr="001336DC" w:rsidRDefault="000F78D0" w:rsidP="003428CE">
            <w:pPr>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 у батьків</w:t>
            </w: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val="restart"/>
          </w:tcPr>
          <w:p w:rsidR="000F78D0" w:rsidRPr="001336DC" w:rsidRDefault="000F78D0" w:rsidP="003D0EAE">
            <w:pPr>
              <w:ind w:firstLine="43"/>
              <w:jc w:val="center"/>
            </w:pPr>
            <w:r w:rsidRPr="001336DC">
              <w:rPr>
                <w:rFonts w:ascii="Times New Roman" w:hAnsi="Times New Roman"/>
                <w:sz w:val="28"/>
                <w:szCs w:val="28"/>
                <w:lang w:val="uk-UA"/>
              </w:rPr>
              <w:t>0,01</w:t>
            </w:r>
          </w:p>
        </w:tc>
      </w:tr>
      <w:tr w:rsidR="000F78D0" w:rsidRPr="001336DC" w:rsidTr="00AE69AA">
        <w:tc>
          <w:tcPr>
            <w:tcW w:w="675" w:type="dxa"/>
            <w:vMerge/>
          </w:tcPr>
          <w:p w:rsidR="000F78D0" w:rsidRPr="001336DC" w:rsidRDefault="000F78D0" w:rsidP="003428CE">
            <w:pPr>
              <w:numPr>
                <w:ilvl w:val="0"/>
                <w:numId w:val="9"/>
              </w:numPr>
              <w:ind w:left="0" w:firstLine="0"/>
              <w:jc w:val="both"/>
              <w:rPr>
                <w:rFonts w:ascii="Times New Roman" w:hAnsi="Times New Roman"/>
                <w:sz w:val="28"/>
                <w:szCs w:val="28"/>
                <w:lang w:val="uk-UA"/>
              </w:rPr>
            </w:pPr>
          </w:p>
        </w:tc>
        <w:tc>
          <w:tcPr>
            <w:tcW w:w="3544" w:type="dxa"/>
            <w:vMerge/>
          </w:tcPr>
          <w:p w:rsidR="000F78D0" w:rsidRPr="001336DC" w:rsidRDefault="000F78D0" w:rsidP="003428CE">
            <w:pPr>
              <w:rPr>
                <w:rFonts w:ascii="Times New Roman" w:hAnsi="Times New Roman"/>
                <w:sz w:val="28"/>
                <w:szCs w:val="28"/>
                <w:lang w:val="uk-UA"/>
              </w:rPr>
            </w:pPr>
          </w:p>
        </w:tc>
        <w:tc>
          <w:tcPr>
            <w:tcW w:w="1842"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27" w:type="dxa"/>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vMerge/>
          </w:tcPr>
          <w:p w:rsidR="000F78D0" w:rsidRPr="001336DC" w:rsidRDefault="000F78D0" w:rsidP="003D0EAE">
            <w:pPr>
              <w:ind w:firstLine="43"/>
              <w:jc w:val="center"/>
              <w:rPr>
                <w:rFonts w:ascii="Times New Roman" w:hAnsi="Times New Roman"/>
                <w:sz w:val="28"/>
                <w:szCs w:val="28"/>
                <w:lang w:val="uk-UA"/>
              </w:rPr>
            </w:pPr>
          </w:p>
        </w:tc>
      </w:tr>
    </w:tbl>
    <w:p w:rsidR="000F78D0" w:rsidRPr="002D0915" w:rsidRDefault="000F78D0" w:rsidP="00DE610E">
      <w:pPr>
        <w:spacing w:line="360" w:lineRule="auto"/>
        <w:ind w:firstLine="709"/>
        <w:jc w:val="both"/>
        <w:rPr>
          <w:rFonts w:ascii="Times New Roman" w:hAnsi="Times New Roman"/>
          <w:sz w:val="28"/>
          <w:szCs w:val="28"/>
          <w:lang w:val="uk-UA"/>
        </w:rPr>
      </w:pPr>
      <w:r w:rsidRPr="007B7B42">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розвитку запальних захворювань пародонту, а знак (+)  відкидає таку вірогідність.</w:t>
      </w:r>
    </w:p>
    <w:p w:rsidR="00355E22" w:rsidRPr="00BE7C02" w:rsidRDefault="00355E22" w:rsidP="00DE610E">
      <w:pPr>
        <w:spacing w:line="360" w:lineRule="auto"/>
        <w:ind w:firstLine="709"/>
        <w:jc w:val="both"/>
        <w:rPr>
          <w:rFonts w:ascii="Times New Roman" w:hAnsi="Times New Roman"/>
          <w:sz w:val="28"/>
          <w:szCs w:val="28"/>
          <w:lang w:val="ru-RU"/>
        </w:rPr>
      </w:pPr>
    </w:p>
    <w:p w:rsidR="000F78D0" w:rsidRDefault="000F78D0" w:rsidP="00DE610E">
      <w:pPr>
        <w:spacing w:line="360" w:lineRule="auto"/>
        <w:jc w:val="both"/>
        <w:rPr>
          <w:rFonts w:ascii="Times New Roman" w:hAnsi="Times New Roman"/>
          <w:sz w:val="28"/>
          <w:szCs w:val="28"/>
          <w:lang w:val="uk-UA"/>
        </w:rPr>
      </w:pPr>
      <w:r>
        <w:rPr>
          <w:rFonts w:ascii="Times New Roman" w:hAnsi="Times New Roman"/>
          <w:sz w:val="28"/>
          <w:szCs w:val="28"/>
          <w:lang w:val="uk-UA"/>
        </w:rPr>
        <w:t>серцево-судинної системи у матері (І=0,29) і наявності новоутворень у прабатьків (І=0,25).</w:t>
      </w: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зі значеннями ПК </w:t>
      </w:r>
      <w:r w:rsidRPr="00D43FE2">
        <w:rPr>
          <w:rFonts w:ascii="Times New Roman" w:hAnsi="Times New Roman"/>
          <w:sz w:val="28"/>
          <w:szCs w:val="28"/>
          <w:lang w:val="uk-UA"/>
        </w:rPr>
        <w:t xml:space="preserve">(табл. </w:t>
      </w:r>
      <w:r w:rsidR="00246013">
        <w:rPr>
          <w:rFonts w:ascii="Times New Roman" w:hAnsi="Times New Roman"/>
          <w:sz w:val="28"/>
          <w:szCs w:val="28"/>
          <w:lang w:val="uk-UA"/>
        </w:rPr>
        <w:t>5.</w:t>
      </w:r>
      <w:r w:rsidR="00246013" w:rsidRPr="00246013">
        <w:rPr>
          <w:rFonts w:ascii="Times New Roman" w:hAnsi="Times New Roman"/>
          <w:sz w:val="28"/>
          <w:szCs w:val="28"/>
          <w:lang w:val="uk-UA"/>
        </w:rPr>
        <w:t>1</w:t>
      </w:r>
      <w:r w:rsidRPr="00D43FE2">
        <w:rPr>
          <w:rFonts w:ascii="Times New Roman" w:hAnsi="Times New Roman"/>
          <w:sz w:val="28"/>
          <w:szCs w:val="28"/>
          <w:lang w:val="uk-UA"/>
        </w:rPr>
        <w:t>1)</w:t>
      </w:r>
      <w:r>
        <w:rPr>
          <w:rFonts w:ascii="Times New Roman" w:hAnsi="Times New Roman"/>
          <w:sz w:val="28"/>
          <w:szCs w:val="28"/>
          <w:lang w:val="uk-UA"/>
        </w:rPr>
        <w:t xml:space="preserve"> предикторами розвитку запальних захворювань стали:кількість хронічних захворювань у батька </w:t>
      </w:r>
      <w:r>
        <w:rPr>
          <w:sz w:val="28"/>
          <w:szCs w:val="28"/>
          <w:lang w:val="uk-UA"/>
        </w:rPr>
        <w:t>≥</w:t>
      </w:r>
      <w:r>
        <w:rPr>
          <w:rFonts w:ascii="Times New Roman" w:hAnsi="Times New Roman"/>
          <w:sz w:val="28"/>
          <w:szCs w:val="28"/>
          <w:lang w:val="uk-UA"/>
        </w:rPr>
        <w:t xml:space="preserve">2, в матері </w:t>
      </w:r>
      <w:r>
        <w:rPr>
          <w:sz w:val="28"/>
          <w:szCs w:val="28"/>
          <w:lang w:val="uk-UA"/>
        </w:rPr>
        <w:t>≥</w:t>
      </w:r>
      <w:r>
        <w:rPr>
          <w:rFonts w:ascii="Times New Roman" w:hAnsi="Times New Roman"/>
          <w:sz w:val="28"/>
          <w:szCs w:val="28"/>
          <w:lang w:val="uk-UA"/>
        </w:rPr>
        <w:t xml:space="preserve">2, у </w:t>
      </w:r>
      <w:r>
        <w:rPr>
          <w:rFonts w:ascii="Times New Roman" w:hAnsi="Times New Roman"/>
          <w:sz w:val="28"/>
          <w:szCs w:val="28"/>
          <w:lang w:val="uk-UA"/>
        </w:rPr>
        <w:lastRenderedPageBreak/>
        <w:t xml:space="preserve">праматерів і прабатьків </w:t>
      </w:r>
      <w:r>
        <w:rPr>
          <w:sz w:val="28"/>
          <w:szCs w:val="28"/>
          <w:lang w:val="uk-UA"/>
        </w:rPr>
        <w:t>≥</w:t>
      </w:r>
      <w:r>
        <w:rPr>
          <w:rFonts w:ascii="Times New Roman" w:hAnsi="Times New Roman"/>
          <w:sz w:val="28"/>
          <w:szCs w:val="28"/>
          <w:lang w:val="uk-UA"/>
        </w:rPr>
        <w:t xml:space="preserve">5; наявність захворювань пародонта у прабатьків, матері, батька і праматерів; наявність захворювань серцево-судинної системи у прабатьків, проявів алергії у матері, батька, праматерів і прабатьків; кількість вражених карієсом зубів у батька і матері </w:t>
      </w:r>
      <w:r>
        <w:rPr>
          <w:sz w:val="28"/>
          <w:szCs w:val="28"/>
          <w:lang w:val="uk-UA"/>
        </w:rPr>
        <w:t>≥</w:t>
      </w:r>
      <w:r>
        <w:rPr>
          <w:rFonts w:ascii="Times New Roman" w:hAnsi="Times New Roman"/>
          <w:sz w:val="28"/>
          <w:szCs w:val="28"/>
          <w:lang w:val="uk-UA"/>
        </w:rPr>
        <w:t>21; порушення менструальної функції у матері; наявність захворювань серцево-судинної системи у матері і злоякісних новоутворень у прабатьків.</w:t>
      </w:r>
    </w:p>
    <w:p w:rsidR="00AE69AA"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Прогностичні властивості даних акушерського анамнезу наведені в табл. </w:t>
      </w:r>
      <w:r w:rsidR="00246013">
        <w:rPr>
          <w:rFonts w:ascii="Times New Roman" w:hAnsi="Times New Roman"/>
          <w:sz w:val="28"/>
          <w:szCs w:val="28"/>
          <w:lang w:val="uk-UA"/>
        </w:rPr>
        <w:t>5.</w:t>
      </w:r>
      <w:r w:rsidR="00246013" w:rsidRPr="00BD4FE3">
        <w:rPr>
          <w:rFonts w:ascii="Times New Roman" w:hAnsi="Times New Roman"/>
          <w:sz w:val="28"/>
          <w:szCs w:val="28"/>
          <w:lang w:val="uk-UA"/>
        </w:rPr>
        <w:t>1</w:t>
      </w:r>
      <w:r w:rsidRPr="00D43FE2">
        <w:rPr>
          <w:rFonts w:ascii="Times New Roman" w:hAnsi="Times New Roman"/>
          <w:sz w:val="28"/>
          <w:szCs w:val="28"/>
          <w:lang w:val="uk-UA"/>
        </w:rPr>
        <w:t>2.</w:t>
      </w:r>
    </w:p>
    <w:p w:rsidR="000F78D0" w:rsidRPr="00D43FE2"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табл. </w:t>
      </w:r>
      <w:r w:rsidR="00246013">
        <w:rPr>
          <w:rFonts w:ascii="Times New Roman" w:hAnsi="Times New Roman"/>
          <w:sz w:val="28"/>
          <w:szCs w:val="28"/>
          <w:lang w:val="uk-UA"/>
        </w:rPr>
        <w:t>5.</w:t>
      </w:r>
      <w:r w:rsidR="00246013" w:rsidRPr="00246013">
        <w:rPr>
          <w:rFonts w:ascii="Times New Roman" w:hAnsi="Times New Roman"/>
          <w:sz w:val="28"/>
          <w:szCs w:val="28"/>
          <w:lang w:val="uk-UA"/>
        </w:rPr>
        <w:t>1</w:t>
      </w:r>
      <w:r w:rsidRPr="00D43FE2">
        <w:rPr>
          <w:rFonts w:ascii="Times New Roman" w:hAnsi="Times New Roman"/>
          <w:sz w:val="28"/>
          <w:szCs w:val="28"/>
          <w:lang w:val="uk-UA"/>
        </w:rPr>
        <w:t>2 витікає, що висока прогностична значимість характерна для показань до проведення Кесареву розтину (І=2,42), а помірна – для маси тіла новонародженого (І=0,95), характеру перебігу пологів (І=0,95), самостійності розродження (І=0,65), кількості вагітностей (І=0,64) і загрози переривання вагітності (І=0,54).</w:t>
      </w:r>
    </w:p>
    <w:p w:rsidR="00A56120" w:rsidRDefault="000F78D0" w:rsidP="00DE610E">
      <w:pPr>
        <w:spacing w:line="360" w:lineRule="auto"/>
        <w:ind w:firstLine="709"/>
        <w:jc w:val="both"/>
        <w:rPr>
          <w:rFonts w:ascii="Times New Roman" w:hAnsi="Times New Roman"/>
          <w:sz w:val="28"/>
          <w:szCs w:val="28"/>
          <w:lang w:val="uk-UA"/>
        </w:rPr>
      </w:pPr>
      <w:r w:rsidRPr="00D43FE2">
        <w:rPr>
          <w:rFonts w:ascii="Times New Roman" w:hAnsi="Times New Roman"/>
          <w:sz w:val="28"/>
          <w:szCs w:val="28"/>
          <w:lang w:val="uk-UA"/>
        </w:rPr>
        <w:t xml:space="preserve"> Низькі предикторські властивості встановлені по відношенню до наявності гестозу 1-ої половини вагітності (І=0,45), фетоплацентарної недостатності (І=0,40), асфіксій новонародженого (І=0,38), пре еклампсії (І=0,31) і ускладненого перебігу вагітності (І=0,30).</w:t>
      </w:r>
      <w:r w:rsidR="00A56120" w:rsidRPr="00A56120">
        <w:rPr>
          <w:rFonts w:ascii="Times New Roman" w:hAnsi="Times New Roman"/>
          <w:sz w:val="28"/>
          <w:szCs w:val="28"/>
          <w:lang w:val="uk-UA"/>
        </w:rPr>
        <w:t xml:space="preserve"> </w:t>
      </w:r>
    </w:p>
    <w:p w:rsidR="00A56120" w:rsidRDefault="00A56120" w:rsidP="00DE610E">
      <w:pPr>
        <w:spacing w:line="360" w:lineRule="auto"/>
        <w:ind w:firstLine="709"/>
        <w:jc w:val="both"/>
        <w:rPr>
          <w:rFonts w:ascii="Times New Roman" w:hAnsi="Times New Roman"/>
          <w:sz w:val="28"/>
          <w:szCs w:val="28"/>
          <w:lang w:val="uk-UA"/>
        </w:rPr>
      </w:pPr>
      <w:r w:rsidRPr="00D43FE2">
        <w:rPr>
          <w:rFonts w:ascii="Times New Roman" w:hAnsi="Times New Roman"/>
          <w:sz w:val="28"/>
          <w:szCs w:val="28"/>
          <w:lang w:val="uk-UA"/>
        </w:rPr>
        <w:t>З</w:t>
      </w:r>
      <w:r w:rsidR="00246013">
        <w:rPr>
          <w:rFonts w:ascii="Times New Roman" w:hAnsi="Times New Roman"/>
          <w:sz w:val="28"/>
          <w:szCs w:val="28"/>
          <w:lang w:val="uk-UA"/>
        </w:rPr>
        <w:t>гідно зі значеннями ПК табл. 5</w:t>
      </w:r>
      <w:r w:rsidRPr="00D43FE2">
        <w:rPr>
          <w:rFonts w:ascii="Times New Roman" w:hAnsi="Times New Roman"/>
          <w:sz w:val="28"/>
          <w:szCs w:val="28"/>
          <w:lang w:val="uk-UA"/>
        </w:rPr>
        <w:t>.</w:t>
      </w:r>
      <w:r w:rsidR="00246013" w:rsidRPr="00246013">
        <w:rPr>
          <w:rFonts w:ascii="Times New Roman" w:hAnsi="Times New Roman"/>
          <w:sz w:val="28"/>
          <w:szCs w:val="28"/>
          <w:lang w:val="ru-RU"/>
        </w:rPr>
        <w:t>1</w:t>
      </w:r>
      <w:r w:rsidRPr="00D43FE2">
        <w:rPr>
          <w:rFonts w:ascii="Times New Roman" w:hAnsi="Times New Roman"/>
          <w:sz w:val="28"/>
          <w:szCs w:val="28"/>
          <w:lang w:val="uk-UA"/>
        </w:rPr>
        <w:t>2 на користь</w:t>
      </w:r>
      <w:r>
        <w:rPr>
          <w:rFonts w:ascii="Times New Roman" w:hAnsi="Times New Roman"/>
          <w:sz w:val="28"/>
          <w:szCs w:val="28"/>
          <w:lang w:val="uk-UA"/>
        </w:rPr>
        <w:t xml:space="preserve"> розвитку захворювань пародонту свідчать: розродження за допомогою Кесареву розтину і його проведення в ургентному порядку, маса тіла новонародженого ≤2500г; перша вагітність; наявність ускладнених пологів, гестоза 1-ої половини вагітності; загрози переривання вагітності; фетоплацентарної недостатності, асфіксії новонародженого, прееклампсії  і ускладненого перебігу вагітності.</w:t>
      </w:r>
    </w:p>
    <w:p w:rsidR="00A56120" w:rsidRDefault="00A5612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Вирахування середньоарифметичних значень показника інформативності показників дозволяє провести комплексну оцінку прогностичної значимості окремих видів обстеження хворих (</w:t>
      </w:r>
      <w:r w:rsidR="00246013">
        <w:rPr>
          <w:rFonts w:ascii="Times New Roman" w:hAnsi="Times New Roman"/>
          <w:sz w:val="28"/>
          <w:szCs w:val="28"/>
          <w:lang w:val="uk-UA"/>
        </w:rPr>
        <w:t>рис. 5.2</w:t>
      </w:r>
      <w:r w:rsidRPr="00D43FE2">
        <w:rPr>
          <w:rFonts w:ascii="Times New Roman" w:hAnsi="Times New Roman"/>
          <w:sz w:val="28"/>
          <w:szCs w:val="28"/>
          <w:lang w:val="uk-UA"/>
        </w:rPr>
        <w:t>).</w:t>
      </w:r>
      <w:r w:rsidRPr="00A56120">
        <w:rPr>
          <w:rFonts w:ascii="Times New Roman" w:hAnsi="Times New Roman"/>
          <w:sz w:val="28"/>
          <w:szCs w:val="28"/>
          <w:lang w:val="uk-UA"/>
        </w:rPr>
        <w:t xml:space="preserve"> </w:t>
      </w:r>
    </w:p>
    <w:p w:rsidR="00A56120" w:rsidRDefault="00246013"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рис.5.</w:t>
      </w:r>
      <w:r w:rsidRPr="00246013">
        <w:rPr>
          <w:rFonts w:ascii="Times New Roman" w:hAnsi="Times New Roman"/>
          <w:sz w:val="28"/>
          <w:szCs w:val="28"/>
          <w:lang w:val="ru-RU"/>
        </w:rPr>
        <w:t>2</w:t>
      </w:r>
      <w:r w:rsidR="00A56120">
        <w:rPr>
          <w:rFonts w:ascii="Times New Roman" w:hAnsi="Times New Roman"/>
          <w:sz w:val="28"/>
          <w:szCs w:val="28"/>
          <w:lang w:val="uk-UA"/>
        </w:rPr>
        <w:t xml:space="preserve"> свідчать, що прогностична цінність спадкового фактора  була</w:t>
      </w:r>
      <w:r w:rsidR="00DE610E">
        <w:rPr>
          <w:rFonts w:ascii="Times New Roman" w:hAnsi="Times New Roman"/>
          <w:sz w:val="28"/>
          <w:szCs w:val="28"/>
          <w:lang w:val="uk-UA"/>
        </w:rPr>
        <w:t xml:space="preserve"> помірна (І=0,71) і </w:t>
      </w:r>
      <w:r w:rsidR="00A56120">
        <w:rPr>
          <w:rFonts w:ascii="Times New Roman" w:hAnsi="Times New Roman"/>
          <w:sz w:val="28"/>
          <w:szCs w:val="28"/>
          <w:lang w:val="uk-UA"/>
        </w:rPr>
        <w:t>відповідала такій даних акушерського анамнезу (І=0,71).</w:t>
      </w:r>
    </w:p>
    <w:p w:rsidR="00A56120" w:rsidRDefault="00A5612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прогностичних властивостей даних анамнезу життя (табл. </w:t>
      </w:r>
      <w:r w:rsidR="00246013">
        <w:rPr>
          <w:rFonts w:ascii="Times New Roman" w:hAnsi="Times New Roman"/>
          <w:sz w:val="28"/>
          <w:szCs w:val="28"/>
          <w:lang w:val="uk-UA"/>
        </w:rPr>
        <w:t>5</w:t>
      </w:r>
      <w:r w:rsidRPr="00D43FE2">
        <w:rPr>
          <w:rFonts w:ascii="Times New Roman" w:hAnsi="Times New Roman"/>
          <w:sz w:val="28"/>
          <w:szCs w:val="28"/>
          <w:lang w:val="uk-UA"/>
        </w:rPr>
        <w:t>.</w:t>
      </w:r>
      <w:r w:rsidR="00246013">
        <w:rPr>
          <w:rFonts w:ascii="Times New Roman" w:hAnsi="Times New Roman"/>
          <w:sz w:val="28"/>
          <w:szCs w:val="28"/>
        </w:rPr>
        <w:t>1</w:t>
      </w:r>
      <w:r w:rsidRPr="00D43FE2">
        <w:rPr>
          <w:rFonts w:ascii="Times New Roman" w:hAnsi="Times New Roman"/>
          <w:sz w:val="28"/>
          <w:szCs w:val="28"/>
          <w:lang w:val="uk-UA"/>
        </w:rPr>
        <w:t>3).</w:t>
      </w:r>
    </w:p>
    <w:p w:rsidR="000F78D0" w:rsidRPr="000A1787" w:rsidRDefault="00246013" w:rsidP="00AC605C">
      <w:pPr>
        <w:spacing w:line="360" w:lineRule="auto"/>
        <w:ind w:firstLine="426"/>
        <w:jc w:val="right"/>
        <w:rPr>
          <w:rFonts w:ascii="Times New Roman" w:hAnsi="Times New Roman"/>
          <w:i/>
          <w:sz w:val="28"/>
          <w:szCs w:val="28"/>
          <w:lang w:val="uk-UA"/>
        </w:rPr>
      </w:pPr>
      <w:r>
        <w:rPr>
          <w:rFonts w:ascii="Times New Roman" w:hAnsi="Times New Roman"/>
          <w:i/>
          <w:sz w:val="28"/>
          <w:szCs w:val="28"/>
          <w:lang w:val="uk-UA"/>
        </w:rPr>
        <w:lastRenderedPageBreak/>
        <w:t>Таблиця 5.</w:t>
      </w:r>
      <w:r>
        <w:rPr>
          <w:rFonts w:ascii="Times New Roman" w:hAnsi="Times New Roman"/>
          <w:i/>
          <w:sz w:val="28"/>
          <w:szCs w:val="28"/>
        </w:rPr>
        <w:t>1</w:t>
      </w:r>
      <w:r w:rsidR="000F78D0">
        <w:rPr>
          <w:rFonts w:ascii="Times New Roman" w:hAnsi="Times New Roman"/>
          <w:i/>
          <w:sz w:val="28"/>
          <w:szCs w:val="28"/>
          <w:lang w:val="uk-UA"/>
        </w:rPr>
        <w:t>2</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даних акушерського анамнезу</w:t>
      </w:r>
    </w:p>
    <w:tbl>
      <w:tblPr>
        <w:tblW w:w="10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909"/>
        <w:gridCol w:w="1757"/>
        <w:gridCol w:w="2418"/>
        <w:gridCol w:w="2287"/>
      </w:tblGrid>
      <w:tr w:rsidR="000F78D0" w:rsidRPr="001336DC" w:rsidTr="00A56120">
        <w:tc>
          <w:tcPr>
            <w:tcW w:w="675" w:type="dxa"/>
          </w:tcPr>
          <w:p w:rsidR="000F78D0" w:rsidRPr="001336DC" w:rsidRDefault="000F78D0" w:rsidP="00A56120">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Плановий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+5,4</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2,42</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ургентний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-4,3</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Маса тіла при народженні, г</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≤2500</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0,95</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2501-3500</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3501-4000</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≥4001</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-3,8</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Ускладнені пологи</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0,66</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Розродження</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Самостійне</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0,65</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Кількість вагітностей</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0,64</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+4,8</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Загроза переривання вагітності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0,54</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Гестоз 1-ої половини вагітності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0,45</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Фетоплацентарна недостатність при вагітності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Асфіксія при народженні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0,38</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Прееклампсія</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0,31</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Ускладнений перебіг вагітності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0,30</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Ураження ЦНС у новонародженого</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0,17</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Гестоз 2-ої половини вагітності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0,17</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відсутій</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675" w:type="dxa"/>
            <w:vMerge w:val="restart"/>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val="restart"/>
          </w:tcPr>
          <w:p w:rsidR="000F78D0" w:rsidRPr="001336DC" w:rsidRDefault="000F78D0" w:rsidP="00A56120">
            <w:pPr>
              <w:ind w:firstLine="34"/>
              <w:rPr>
                <w:rFonts w:ascii="Times New Roman" w:hAnsi="Times New Roman"/>
                <w:sz w:val="28"/>
                <w:szCs w:val="28"/>
                <w:lang w:val="uk-UA"/>
              </w:rPr>
            </w:pPr>
            <w:r w:rsidRPr="001336DC">
              <w:rPr>
                <w:rFonts w:ascii="Times New Roman" w:hAnsi="Times New Roman"/>
                <w:sz w:val="28"/>
                <w:szCs w:val="28"/>
                <w:lang w:val="uk-UA"/>
              </w:rPr>
              <w:t>Анемія вагітності</w:t>
            </w: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val="restart"/>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0,02</w:t>
            </w:r>
          </w:p>
        </w:tc>
      </w:tr>
      <w:tr w:rsidR="000F78D0" w:rsidRPr="001336DC" w:rsidTr="00A56120">
        <w:tc>
          <w:tcPr>
            <w:tcW w:w="675" w:type="dxa"/>
            <w:vMerge/>
          </w:tcPr>
          <w:p w:rsidR="000F78D0" w:rsidRPr="001336DC" w:rsidRDefault="000F78D0" w:rsidP="00A56120">
            <w:pPr>
              <w:numPr>
                <w:ilvl w:val="0"/>
                <w:numId w:val="10"/>
              </w:numPr>
              <w:ind w:left="0" w:firstLine="0"/>
              <w:jc w:val="both"/>
              <w:rPr>
                <w:rFonts w:ascii="Times New Roman" w:hAnsi="Times New Roman"/>
                <w:sz w:val="28"/>
                <w:szCs w:val="28"/>
                <w:lang w:val="uk-UA"/>
              </w:rPr>
            </w:pPr>
          </w:p>
        </w:tc>
        <w:tc>
          <w:tcPr>
            <w:tcW w:w="0" w:type="auto"/>
            <w:vMerge/>
          </w:tcPr>
          <w:p w:rsidR="000F78D0" w:rsidRPr="001336DC" w:rsidRDefault="000F78D0" w:rsidP="00A56120">
            <w:pPr>
              <w:ind w:firstLine="34"/>
              <w:rPr>
                <w:rFonts w:ascii="Times New Roman" w:hAnsi="Times New Roman"/>
                <w:sz w:val="28"/>
                <w:szCs w:val="28"/>
                <w:lang w:val="uk-UA"/>
              </w:rPr>
            </w:pPr>
          </w:p>
        </w:tc>
        <w:tc>
          <w:tcPr>
            <w:tcW w:w="0" w:type="auto"/>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tcPr>
          <w:p w:rsidR="000F78D0" w:rsidRPr="001336DC" w:rsidRDefault="000F78D0" w:rsidP="003D0EAE">
            <w:pPr>
              <w:jc w:val="center"/>
              <w:rPr>
                <w:rFonts w:ascii="Times New Roman" w:hAnsi="Times New Roman"/>
                <w:sz w:val="28"/>
                <w:szCs w:val="28"/>
                <w:lang w:val="uk-UA"/>
              </w:rPr>
            </w:pPr>
          </w:p>
        </w:tc>
      </w:tr>
    </w:tbl>
    <w:p w:rsidR="00A56120" w:rsidRDefault="00A56120" w:rsidP="00AC605C">
      <w:pPr>
        <w:spacing w:line="360" w:lineRule="auto"/>
        <w:ind w:firstLine="426"/>
        <w:jc w:val="both"/>
        <w:rPr>
          <w:rFonts w:ascii="Times New Roman" w:hAnsi="Times New Roman"/>
          <w:i/>
          <w:sz w:val="28"/>
          <w:szCs w:val="28"/>
          <w:lang w:val="uk-UA"/>
        </w:rPr>
      </w:pP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розвитку запальних захворювань пародонта, а знак (+) – відкидає таку вірогідність.</w:t>
      </w:r>
    </w:p>
    <w:p w:rsidR="000F78D0" w:rsidRDefault="000F78D0" w:rsidP="00AC605C">
      <w:pPr>
        <w:spacing w:line="360" w:lineRule="auto"/>
        <w:ind w:firstLine="426"/>
        <w:jc w:val="both"/>
        <w:rPr>
          <w:rFonts w:ascii="Times New Roman" w:hAnsi="Times New Roman"/>
          <w:sz w:val="28"/>
          <w:szCs w:val="28"/>
          <w:lang w:val="uk-UA"/>
        </w:rPr>
      </w:pP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619750" cy="3238500"/>
            <wp:effectExtent l="0" t="0" r="0" b="0"/>
            <wp:docPr id="54" name="Объект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F78D0" w:rsidRDefault="00246013"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Рис.5.2</w:t>
      </w:r>
      <w:r w:rsidR="000F78D0" w:rsidRPr="00D43FE2">
        <w:rPr>
          <w:rFonts w:ascii="Times New Roman" w:hAnsi="Times New Roman"/>
          <w:sz w:val="28"/>
          <w:szCs w:val="28"/>
          <w:lang w:val="uk-UA"/>
        </w:rPr>
        <w:t>.</w:t>
      </w:r>
      <w:r w:rsidR="000F78D0">
        <w:rPr>
          <w:rFonts w:ascii="Times New Roman" w:hAnsi="Times New Roman"/>
          <w:sz w:val="28"/>
          <w:szCs w:val="28"/>
          <w:lang w:val="uk-UA"/>
        </w:rPr>
        <w:t xml:space="preserve"> Комплексна оцінка прогностичної значимості акушерського анамнезу і спадкового фактора.  </w:t>
      </w:r>
    </w:p>
    <w:p w:rsidR="000F78D0" w:rsidRDefault="000F78D0" w:rsidP="00AC605C">
      <w:pPr>
        <w:spacing w:line="360" w:lineRule="auto"/>
        <w:ind w:firstLine="426"/>
        <w:jc w:val="right"/>
        <w:rPr>
          <w:rFonts w:ascii="Times New Roman" w:hAnsi="Times New Roman"/>
          <w:sz w:val="28"/>
          <w:szCs w:val="28"/>
          <w:lang w:val="uk-UA"/>
        </w:rPr>
      </w:pPr>
      <w:r w:rsidRPr="004B17AD">
        <w:rPr>
          <w:rFonts w:ascii="Times New Roman" w:hAnsi="Times New Roman"/>
          <w:i/>
          <w:sz w:val="28"/>
          <w:szCs w:val="28"/>
          <w:lang w:val="uk-UA"/>
        </w:rPr>
        <w:t>Таблиця</w:t>
      </w:r>
      <w:r w:rsidR="00246013">
        <w:rPr>
          <w:rFonts w:ascii="Times New Roman" w:hAnsi="Times New Roman"/>
          <w:sz w:val="28"/>
          <w:szCs w:val="28"/>
          <w:lang w:val="uk-UA"/>
        </w:rPr>
        <w:t xml:space="preserve"> 5.</w:t>
      </w:r>
      <w:r w:rsidR="00246013" w:rsidRPr="00BD4FE3">
        <w:rPr>
          <w:rFonts w:ascii="Times New Roman" w:hAnsi="Times New Roman"/>
          <w:sz w:val="28"/>
          <w:szCs w:val="28"/>
          <w:lang w:val="ru-RU"/>
        </w:rPr>
        <w:t>1</w:t>
      </w:r>
      <w:r>
        <w:rPr>
          <w:rFonts w:ascii="Times New Roman" w:hAnsi="Times New Roman"/>
          <w:sz w:val="28"/>
          <w:szCs w:val="28"/>
          <w:lang w:val="uk-UA"/>
        </w:rPr>
        <w:t>3</w:t>
      </w:r>
    </w:p>
    <w:p w:rsidR="000F78D0" w:rsidRDefault="000F78D0" w:rsidP="00A56120">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даних анамнезу життя.</w:t>
      </w:r>
    </w:p>
    <w:tbl>
      <w:tblPr>
        <w:tblW w:w="9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3118"/>
        <w:gridCol w:w="1758"/>
        <w:gridCol w:w="2530"/>
        <w:gridCol w:w="1724"/>
      </w:tblGrid>
      <w:tr w:rsidR="000F78D0" w:rsidRPr="001336DC" w:rsidTr="00A56120">
        <w:tc>
          <w:tcPr>
            <w:tcW w:w="5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jc w:val="both"/>
              <w:rPr>
                <w:rFonts w:ascii="Times New Roman" w:hAnsi="Times New Roman"/>
                <w:sz w:val="28"/>
                <w:szCs w:val="28"/>
                <w:lang w:val="uk-UA"/>
              </w:rPr>
            </w:pPr>
            <w:r w:rsidRPr="001336DC">
              <w:rPr>
                <w:rFonts w:ascii="Times New Roman" w:hAnsi="Times New Roman"/>
                <w:sz w:val="28"/>
                <w:szCs w:val="28"/>
                <w:lang w:val="uk-UA"/>
              </w:rPr>
              <w:t>№</w:t>
            </w:r>
          </w:p>
        </w:tc>
        <w:tc>
          <w:tcPr>
            <w:tcW w:w="311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Показники</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172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Тривалість грудного вигодовування, міс.</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0,75</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6,1-9,0</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Грудне вигодовування</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0,54</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Прояви алергії у дитячому віці</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0,50</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Часті ГРВІ в дитячому віці</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0,10</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Ендокринні захворювання в дитячому віці</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0,04</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ЛОР-захворювання в дитячому віці</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r w:rsidR="000F78D0" w:rsidRPr="001336DC" w:rsidTr="00A56120">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A56120">
            <w:pPr>
              <w:numPr>
                <w:ilvl w:val="0"/>
                <w:numId w:val="11"/>
              </w:numPr>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56120">
            <w:pPr>
              <w:rPr>
                <w:rFonts w:ascii="Times New Roman" w:hAnsi="Times New Roman"/>
                <w:sz w:val="28"/>
                <w:szCs w:val="28"/>
                <w:lang w:val="uk-UA"/>
              </w:rPr>
            </w:pPr>
            <w:r w:rsidRPr="001336DC">
              <w:rPr>
                <w:rFonts w:ascii="Times New Roman" w:hAnsi="Times New Roman"/>
                <w:sz w:val="28"/>
                <w:szCs w:val="28"/>
                <w:lang w:val="uk-UA"/>
              </w:rPr>
              <w:t>Перенесені дитячі інфекції</w:t>
            </w: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2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0,01</w:t>
            </w:r>
          </w:p>
        </w:tc>
      </w:tr>
      <w:tr w:rsidR="000F78D0" w:rsidRPr="001336DC" w:rsidTr="00A56120">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56120">
            <w:pPr>
              <w:rPr>
                <w:rFonts w:ascii="Times New Roman" w:hAnsi="Times New Roman"/>
                <w:sz w:val="28"/>
                <w:szCs w:val="28"/>
                <w:lang w:val="uk-UA"/>
              </w:rPr>
            </w:pPr>
          </w:p>
        </w:tc>
        <w:tc>
          <w:tcPr>
            <w:tcW w:w="1758"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2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r>
    </w:tbl>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розвитку запальних захворювань пародонта, а знак (+) відкидає таку вірогідність.</w:t>
      </w:r>
    </w:p>
    <w:p w:rsidR="000F78D0" w:rsidRDefault="000F78D0" w:rsidP="00AC605C">
      <w:pPr>
        <w:spacing w:line="360" w:lineRule="auto"/>
        <w:ind w:firstLine="426"/>
        <w:jc w:val="both"/>
        <w:rPr>
          <w:rFonts w:ascii="Times New Roman" w:hAnsi="Times New Roman"/>
          <w:sz w:val="28"/>
          <w:szCs w:val="28"/>
          <w:lang w:val="uk-UA"/>
        </w:rPr>
      </w:pPr>
    </w:p>
    <w:p w:rsidR="000F78D0" w:rsidRDefault="00246013"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Наведені у табл. 5.</w:t>
      </w:r>
      <w:r w:rsidRPr="00246013">
        <w:rPr>
          <w:rFonts w:ascii="Times New Roman" w:hAnsi="Times New Roman"/>
          <w:sz w:val="28"/>
          <w:szCs w:val="28"/>
          <w:lang w:val="ru-RU"/>
        </w:rPr>
        <w:t>1</w:t>
      </w:r>
      <w:r w:rsidR="000F78D0" w:rsidRPr="00D43FE2">
        <w:rPr>
          <w:rFonts w:ascii="Times New Roman" w:hAnsi="Times New Roman"/>
          <w:sz w:val="28"/>
          <w:szCs w:val="28"/>
          <w:lang w:val="uk-UA"/>
        </w:rPr>
        <w:t>3 данні демонструють відсутність</w:t>
      </w:r>
      <w:r w:rsidR="000F78D0">
        <w:rPr>
          <w:rFonts w:ascii="Times New Roman" w:hAnsi="Times New Roman"/>
          <w:sz w:val="28"/>
          <w:szCs w:val="28"/>
          <w:lang w:val="uk-UA"/>
        </w:rPr>
        <w:t xml:space="preserve"> ознак з високою інформативністю не виявлено. Помірні предикторські властивості  виявили наявність грудного вигодовування (І=0,54) і особливо його тривалість (І=0,75) і прояви алергії (І=0,50). Інші показники не мали прогностичної цінності. При цьому розвиток запальних захворювань пародонта прогнозують: нетривале (≤6 міс) грудне вигодовування або його відсутність і наявність алергії в дитячому віці.</w:t>
      </w: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Комплексна оцінка прогностичної цінності даних анамнезу життя показала (</w:t>
      </w:r>
      <w:r w:rsidRPr="00D43FE2">
        <w:rPr>
          <w:rFonts w:ascii="Times New Roman" w:hAnsi="Times New Roman"/>
          <w:sz w:val="28"/>
          <w:szCs w:val="28"/>
          <w:lang w:val="uk-UA"/>
        </w:rPr>
        <w:t>рис. 5</w:t>
      </w:r>
      <w:r w:rsidR="00237240">
        <w:rPr>
          <w:rFonts w:ascii="Times New Roman" w:hAnsi="Times New Roman"/>
          <w:sz w:val="28"/>
          <w:szCs w:val="28"/>
          <w:lang w:val="uk-UA"/>
        </w:rPr>
        <w:t>.</w:t>
      </w:r>
      <w:r w:rsidR="00237240" w:rsidRPr="00237240">
        <w:rPr>
          <w:rFonts w:ascii="Times New Roman" w:hAnsi="Times New Roman"/>
          <w:sz w:val="28"/>
          <w:szCs w:val="28"/>
          <w:lang w:val="ru-RU"/>
        </w:rPr>
        <w:t>3</w:t>
      </w:r>
      <w:r w:rsidRPr="00D43FE2">
        <w:rPr>
          <w:rFonts w:ascii="Times New Roman" w:hAnsi="Times New Roman"/>
          <w:sz w:val="28"/>
          <w:szCs w:val="28"/>
          <w:lang w:val="uk-UA"/>
        </w:rPr>
        <w:t>), що вона була помірною (І=0,56) і поступалася в 1,3 раза  такій акушерського анамнезу і спадковості (І=0,71).</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334000" cy="3124200"/>
            <wp:effectExtent l="0" t="0" r="0" b="0"/>
            <wp:docPr id="53" name="Объект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F78D0" w:rsidRDefault="0023724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237240">
        <w:rPr>
          <w:rFonts w:ascii="Times New Roman" w:hAnsi="Times New Roman"/>
          <w:sz w:val="28"/>
          <w:szCs w:val="28"/>
          <w:lang w:val="ru-RU"/>
        </w:rPr>
        <w:t>3</w:t>
      </w:r>
      <w:r w:rsidR="000F78D0">
        <w:rPr>
          <w:rFonts w:ascii="Times New Roman" w:hAnsi="Times New Roman"/>
          <w:sz w:val="28"/>
          <w:szCs w:val="28"/>
          <w:lang w:val="uk-UA"/>
        </w:rPr>
        <w:t xml:space="preserve"> Комплексна оцінка прогностичної значимості даних анамнезу життя та інших видів обстеження хворих. </w:t>
      </w: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визначенні прогностичних характеристик показників способу життя хворих встановлено (табл</w:t>
      </w:r>
      <w:r w:rsidR="00237240">
        <w:rPr>
          <w:rFonts w:ascii="Times New Roman" w:hAnsi="Times New Roman"/>
          <w:sz w:val="28"/>
          <w:szCs w:val="28"/>
          <w:lang w:val="uk-UA"/>
        </w:rPr>
        <w:t>.5.</w:t>
      </w:r>
      <w:r w:rsidR="00237240" w:rsidRPr="00237240">
        <w:rPr>
          <w:rFonts w:ascii="Times New Roman" w:hAnsi="Times New Roman"/>
          <w:sz w:val="28"/>
          <w:szCs w:val="28"/>
          <w:lang w:val="uk-UA"/>
        </w:rPr>
        <w:t>1</w:t>
      </w:r>
      <w:r w:rsidRPr="00D43FE2">
        <w:rPr>
          <w:rFonts w:ascii="Times New Roman" w:hAnsi="Times New Roman"/>
          <w:sz w:val="28"/>
          <w:szCs w:val="28"/>
          <w:lang w:val="uk-UA"/>
        </w:rPr>
        <w:t>4),</w:t>
      </w:r>
      <w:r>
        <w:rPr>
          <w:rFonts w:ascii="Times New Roman" w:hAnsi="Times New Roman"/>
          <w:sz w:val="28"/>
          <w:szCs w:val="28"/>
          <w:lang w:val="uk-UA"/>
        </w:rPr>
        <w:t xml:space="preserve"> що помірні предикторські властивості характерні для таких шкідливих звичок, як пережовування їжі на одному боці (І=0,83), травматичне чищення зубів (І=0,62) і тривалість перебування на свіжому повітрі (І=0,61).</w:t>
      </w:r>
      <w:r>
        <w:rPr>
          <w:rFonts w:ascii="Times New Roman" w:hAnsi="Times New Roman"/>
          <w:sz w:val="28"/>
          <w:szCs w:val="28"/>
          <w:lang w:val="uk-UA"/>
        </w:rPr>
        <w:tab/>
      </w: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Низька прогностична інформативність встановлена по відношенню до тютюнопаління (І=0,35), переважання в дієті жирних і гострих страв (І=0,34) і малорухомого способу життя (І=0,29).</w:t>
      </w:r>
    </w:p>
    <w:p w:rsidR="000F78D0" w:rsidRDefault="000F78D0" w:rsidP="00AC605C">
      <w:pPr>
        <w:spacing w:line="360" w:lineRule="auto"/>
        <w:ind w:firstLine="426"/>
        <w:jc w:val="right"/>
        <w:rPr>
          <w:rFonts w:ascii="Times New Roman" w:hAnsi="Times New Roman"/>
          <w:sz w:val="28"/>
          <w:szCs w:val="28"/>
          <w:lang w:val="uk-UA"/>
        </w:rPr>
      </w:pPr>
      <w:r w:rsidRPr="006F1C76">
        <w:rPr>
          <w:rFonts w:ascii="Times New Roman" w:hAnsi="Times New Roman"/>
          <w:i/>
          <w:sz w:val="28"/>
          <w:szCs w:val="28"/>
          <w:lang w:val="uk-UA"/>
        </w:rPr>
        <w:lastRenderedPageBreak/>
        <w:t>Таблиця</w:t>
      </w:r>
      <w:r w:rsidR="00237240">
        <w:rPr>
          <w:rFonts w:ascii="Times New Roman" w:hAnsi="Times New Roman"/>
          <w:sz w:val="28"/>
          <w:szCs w:val="28"/>
          <w:lang w:val="uk-UA"/>
        </w:rPr>
        <w:t xml:space="preserve"> 5</w:t>
      </w:r>
      <w:r>
        <w:rPr>
          <w:rFonts w:ascii="Times New Roman" w:hAnsi="Times New Roman"/>
          <w:sz w:val="28"/>
          <w:szCs w:val="28"/>
          <w:lang w:val="uk-UA"/>
        </w:rPr>
        <w:t>.</w:t>
      </w:r>
      <w:r w:rsidR="00237240" w:rsidRPr="00BD4FE3">
        <w:rPr>
          <w:rFonts w:ascii="Times New Roman" w:hAnsi="Times New Roman"/>
          <w:sz w:val="28"/>
          <w:szCs w:val="28"/>
          <w:lang w:val="ru-RU"/>
        </w:rPr>
        <w:t>1</w:t>
      </w:r>
      <w:r>
        <w:rPr>
          <w:rFonts w:ascii="Times New Roman" w:hAnsi="Times New Roman"/>
          <w:sz w:val="28"/>
          <w:szCs w:val="28"/>
          <w:lang w:val="uk-UA"/>
        </w:rPr>
        <w:t>4</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показників способу життя</w:t>
      </w:r>
    </w:p>
    <w:tbl>
      <w:tblPr>
        <w:tblW w:w="100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901"/>
        <w:gridCol w:w="1719"/>
        <w:gridCol w:w="2456"/>
        <w:gridCol w:w="2293"/>
      </w:tblGrid>
      <w:tr w:rsidR="000F78D0" w:rsidRPr="001336DC" w:rsidTr="008D512C">
        <w:tc>
          <w:tcPr>
            <w:tcW w:w="6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Пережовування їжі на одному боці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0,83</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Травматичне чищення зубів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0,62</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Тривалість перебування на  свіжому повітрі, год.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0,61</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2,1-3,0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≥3,1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Тютюнопаління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0,35</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Переважання в дієті жирних і гострих страв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0,34</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0,29</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Тривалі психотравмуючі ситуації</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0,10</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Дієтичний раціон</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0,09</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 xml:space="preserve">М’яка їжа в раціоні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0,10</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Несприятливе психологічне оточення в родині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0,07</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Конфлікти в колективі або родині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Зловживання солодощами, фастфудом</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0,02</w:t>
            </w:r>
          </w:p>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rPr>
          <w:trHeight w:val="654"/>
        </w:trPr>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p w:rsidR="000F78D0" w:rsidRPr="001336DC" w:rsidRDefault="000F78D0" w:rsidP="003D0EAE">
            <w:pPr>
              <w:jc w:val="cente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Підвищені учбові навантаження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0,02</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Фізичні перевантаження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0,01</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r w:rsidR="000F78D0" w:rsidRPr="001336DC" w:rsidTr="008D512C">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2"/>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Невдала або нещаслива любов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0,01</w:t>
            </w:r>
          </w:p>
        </w:tc>
      </w:tr>
      <w:tr w:rsidR="000F78D0" w:rsidRPr="001336DC" w:rsidTr="008D512C">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94"/>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6"/>
              <w:jc w:val="center"/>
              <w:rPr>
                <w:rFonts w:ascii="Times New Roman" w:hAnsi="Times New Roman"/>
                <w:sz w:val="28"/>
                <w:szCs w:val="28"/>
                <w:lang w:val="uk-UA"/>
              </w:rPr>
            </w:pPr>
          </w:p>
        </w:tc>
      </w:tr>
    </w:tbl>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розвитку запальних захворювань пародонта, а знак (+) відкидає таку вірогідність.</w:t>
      </w:r>
    </w:p>
    <w:p w:rsidR="008D512C" w:rsidRDefault="008D512C" w:rsidP="00DE610E">
      <w:pPr>
        <w:tabs>
          <w:tab w:val="left" w:pos="851"/>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Що стосується таких показників як наявність тривалих психотравмуючих ситуацій (І=0,10), дієтичного режиму (І=0,09), м’якої їжі в раціоні (І=0,10), несприятливого психологічного оточення в родині (І=0,07), конфліктів в колективі або родині (І=0,03), зловживання солодощами або фастфудом (І=0,02), підвищених учбових (І=0,02) або фізичних (І=0,01) навантажень, невдалої або нещасливої любові (І=0,01), то вони не виявили предикторських властивостей.</w:t>
      </w:r>
    </w:p>
    <w:p w:rsidR="000F78D0" w:rsidRPr="00D43FE2" w:rsidRDefault="000F78D0" w:rsidP="00DE610E">
      <w:pPr>
        <w:tabs>
          <w:tab w:val="left" w:pos="851"/>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зі значеннями </w:t>
      </w:r>
      <w:r w:rsidR="00237240">
        <w:rPr>
          <w:rFonts w:ascii="Times New Roman" w:hAnsi="Times New Roman"/>
          <w:sz w:val="28"/>
          <w:szCs w:val="28"/>
          <w:lang w:val="uk-UA"/>
        </w:rPr>
        <w:t>ПК табл.5.</w:t>
      </w:r>
      <w:r w:rsidR="00237240" w:rsidRPr="00237240">
        <w:rPr>
          <w:rFonts w:ascii="Times New Roman" w:hAnsi="Times New Roman"/>
          <w:sz w:val="28"/>
          <w:szCs w:val="28"/>
          <w:lang w:val="uk-UA"/>
        </w:rPr>
        <w:t>1</w:t>
      </w:r>
      <w:r w:rsidRPr="00D43FE2">
        <w:rPr>
          <w:rFonts w:ascii="Times New Roman" w:hAnsi="Times New Roman"/>
          <w:sz w:val="28"/>
          <w:szCs w:val="28"/>
          <w:lang w:val="uk-UA"/>
        </w:rPr>
        <w:t>4 на користь несприятливого прогнозу (розвитку захворювань пародонта) свідчать: пережовування їжі на одному боці, наявність травматичного чищення зубів і тютюнопаління, нетривале (≤2 годин) перебування на свіжому повітрі, а також малорухомий спосіб життя.</w:t>
      </w:r>
    </w:p>
    <w:p w:rsidR="000F78D0" w:rsidRDefault="00237240" w:rsidP="00DE610E">
      <w:pPr>
        <w:tabs>
          <w:tab w:val="left" w:pos="851"/>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цілому (рис.</w:t>
      </w:r>
      <w:r w:rsidRPr="00237240">
        <w:rPr>
          <w:rFonts w:ascii="Times New Roman" w:hAnsi="Times New Roman"/>
          <w:sz w:val="28"/>
          <w:szCs w:val="28"/>
          <w:lang w:val="ru-RU"/>
        </w:rPr>
        <w:t xml:space="preserve"> </w:t>
      </w:r>
      <w:r>
        <w:rPr>
          <w:rFonts w:ascii="Times New Roman" w:hAnsi="Times New Roman"/>
          <w:sz w:val="28"/>
          <w:szCs w:val="28"/>
          <w:lang w:val="uk-UA"/>
        </w:rPr>
        <w:t>5.</w:t>
      </w:r>
      <w:r w:rsidRPr="00237240">
        <w:rPr>
          <w:rFonts w:ascii="Times New Roman" w:hAnsi="Times New Roman"/>
          <w:sz w:val="28"/>
          <w:szCs w:val="28"/>
          <w:lang w:val="ru-RU"/>
        </w:rPr>
        <w:t>4</w:t>
      </w:r>
      <w:r w:rsidR="000F78D0" w:rsidRPr="00D43FE2">
        <w:rPr>
          <w:rFonts w:ascii="Times New Roman" w:hAnsi="Times New Roman"/>
          <w:sz w:val="28"/>
          <w:szCs w:val="28"/>
          <w:lang w:val="uk-UA"/>
        </w:rPr>
        <w:t>) прогностична</w:t>
      </w:r>
      <w:r w:rsidR="000F78D0">
        <w:rPr>
          <w:rFonts w:ascii="Times New Roman" w:hAnsi="Times New Roman"/>
          <w:sz w:val="28"/>
          <w:szCs w:val="28"/>
          <w:lang w:val="uk-UA"/>
        </w:rPr>
        <w:t xml:space="preserve"> цінність показників способу життя (І=0,56) виявилася помірною і відповідала такій даних анамнезу життя.</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4991100" cy="3333750"/>
            <wp:effectExtent l="0" t="0" r="0" b="0"/>
            <wp:docPr id="52" name="Объект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F78D0" w:rsidRPr="00D43FE2" w:rsidRDefault="0023724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4</w:t>
      </w:r>
      <w:r w:rsidR="000F78D0" w:rsidRPr="00D43FE2">
        <w:rPr>
          <w:rFonts w:ascii="Times New Roman" w:hAnsi="Times New Roman"/>
          <w:sz w:val="28"/>
          <w:szCs w:val="28"/>
          <w:lang w:val="uk-UA"/>
        </w:rPr>
        <w:t>. Комплексна оцінка прогностичної значимості показників способу життя хворих та інших видів обстеження хворих.</w:t>
      </w:r>
    </w:p>
    <w:p w:rsidR="000F78D0" w:rsidRDefault="000F78D0" w:rsidP="00DE610E">
      <w:pPr>
        <w:spacing w:line="360" w:lineRule="auto"/>
        <w:ind w:firstLine="709"/>
        <w:jc w:val="both"/>
        <w:rPr>
          <w:rFonts w:ascii="Times New Roman" w:hAnsi="Times New Roman"/>
          <w:sz w:val="28"/>
          <w:szCs w:val="28"/>
          <w:lang w:val="uk-UA"/>
        </w:rPr>
      </w:pPr>
      <w:r w:rsidRPr="00D43FE2">
        <w:rPr>
          <w:rFonts w:ascii="Times New Roman" w:hAnsi="Times New Roman"/>
          <w:sz w:val="28"/>
          <w:szCs w:val="28"/>
          <w:lang w:val="uk-UA"/>
        </w:rPr>
        <w:t>Предикторські властивості стану здор</w:t>
      </w:r>
      <w:r w:rsidR="00237240">
        <w:rPr>
          <w:rFonts w:ascii="Times New Roman" w:hAnsi="Times New Roman"/>
          <w:sz w:val="28"/>
          <w:szCs w:val="28"/>
          <w:lang w:val="uk-UA"/>
        </w:rPr>
        <w:t>ов’я хворих наведені в табл. 5.</w:t>
      </w:r>
      <w:r w:rsidR="00237240" w:rsidRPr="00BD4FE3">
        <w:rPr>
          <w:rFonts w:ascii="Times New Roman" w:hAnsi="Times New Roman"/>
          <w:sz w:val="28"/>
          <w:szCs w:val="28"/>
          <w:lang w:val="uk-UA"/>
        </w:rPr>
        <w:t>1</w:t>
      </w:r>
      <w:r w:rsidRPr="00D43FE2">
        <w:rPr>
          <w:rFonts w:ascii="Times New Roman" w:hAnsi="Times New Roman"/>
          <w:sz w:val="28"/>
          <w:szCs w:val="28"/>
          <w:lang w:val="uk-UA"/>
        </w:rPr>
        <w:t>5.</w:t>
      </w:r>
    </w:p>
    <w:p w:rsidR="000F78D0" w:rsidRPr="00D43FE2"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табл. </w:t>
      </w:r>
      <w:r w:rsidR="00237240">
        <w:rPr>
          <w:rFonts w:ascii="Times New Roman" w:hAnsi="Times New Roman"/>
          <w:sz w:val="28"/>
          <w:szCs w:val="28"/>
          <w:lang w:val="uk-UA"/>
        </w:rPr>
        <w:t>5.</w:t>
      </w:r>
      <w:r w:rsidR="00237240" w:rsidRPr="00BD4FE3">
        <w:rPr>
          <w:rFonts w:ascii="Times New Roman" w:hAnsi="Times New Roman"/>
          <w:sz w:val="28"/>
          <w:szCs w:val="28"/>
          <w:lang w:val="uk-UA"/>
        </w:rPr>
        <w:t>1</w:t>
      </w:r>
      <w:r w:rsidRPr="00D43FE2">
        <w:rPr>
          <w:rFonts w:ascii="Times New Roman" w:hAnsi="Times New Roman"/>
          <w:sz w:val="28"/>
          <w:szCs w:val="28"/>
          <w:lang w:val="uk-UA"/>
        </w:rPr>
        <w:t xml:space="preserve">5 вказують, що висока інформативність виявлена по відношенню до кількості хронічної патології (І=3,13). Помірні пре дикторські властивості виявили такі показники як бруксизм і алергічні захворювання (відповідно І=0,61 та І=0,58), а низька інформативність була характерна для </w:t>
      </w:r>
      <w:r w:rsidRPr="00D43FE2">
        <w:rPr>
          <w:rFonts w:ascii="Times New Roman" w:hAnsi="Times New Roman"/>
          <w:sz w:val="28"/>
          <w:szCs w:val="28"/>
          <w:lang w:val="uk-UA"/>
        </w:rPr>
        <w:lastRenderedPageBreak/>
        <w:t>захворювань шлунково-кишкового тракту (І=0,40), індексу маси тіла (І=0,39) і захворювань серцево-судинної системи (І=0,27).</w:t>
      </w:r>
    </w:p>
    <w:p w:rsidR="000F78D0" w:rsidRDefault="000F78D0" w:rsidP="00AC605C">
      <w:pPr>
        <w:spacing w:line="360" w:lineRule="auto"/>
        <w:ind w:firstLine="426"/>
        <w:jc w:val="right"/>
        <w:rPr>
          <w:rFonts w:ascii="Times New Roman" w:hAnsi="Times New Roman"/>
          <w:sz w:val="28"/>
          <w:szCs w:val="28"/>
          <w:lang w:val="uk-UA"/>
        </w:rPr>
      </w:pPr>
      <w:r w:rsidRPr="00D43FE2">
        <w:rPr>
          <w:rFonts w:ascii="Times New Roman" w:hAnsi="Times New Roman"/>
          <w:i/>
          <w:sz w:val="28"/>
          <w:szCs w:val="28"/>
          <w:lang w:val="uk-UA"/>
        </w:rPr>
        <w:t>Таблиця</w:t>
      </w:r>
      <w:r w:rsidR="00237240">
        <w:rPr>
          <w:rFonts w:ascii="Times New Roman" w:hAnsi="Times New Roman"/>
          <w:sz w:val="28"/>
          <w:szCs w:val="28"/>
          <w:lang w:val="uk-UA"/>
        </w:rPr>
        <w:t xml:space="preserve"> 5.</w:t>
      </w:r>
      <w:r w:rsidR="00237240" w:rsidRPr="00BD4FE3">
        <w:rPr>
          <w:rFonts w:ascii="Times New Roman" w:hAnsi="Times New Roman"/>
          <w:sz w:val="28"/>
          <w:szCs w:val="28"/>
          <w:lang w:val="ru-RU"/>
        </w:rPr>
        <w:t>1</w:t>
      </w:r>
      <w:r w:rsidRPr="00D43FE2">
        <w:rPr>
          <w:rFonts w:ascii="Times New Roman" w:hAnsi="Times New Roman"/>
          <w:sz w:val="28"/>
          <w:szCs w:val="28"/>
          <w:lang w:val="uk-UA"/>
        </w:rPr>
        <w:t>5</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 xml:space="preserve">Прогностична значимість стану здоров’я хворих   </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6"/>
        <w:gridCol w:w="3685"/>
        <w:gridCol w:w="1575"/>
        <w:gridCol w:w="2187"/>
        <w:gridCol w:w="1625"/>
      </w:tblGrid>
      <w:tr w:rsidR="000F78D0" w:rsidRPr="001336DC" w:rsidTr="008D512C">
        <w:trPr>
          <w:trHeight w:val="181"/>
        </w:trPr>
        <w:tc>
          <w:tcPr>
            <w:tcW w:w="67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jc w:val="both"/>
              <w:rPr>
                <w:rFonts w:ascii="Times New Roman" w:hAnsi="Times New Roman"/>
                <w:sz w:val="28"/>
                <w:szCs w:val="28"/>
                <w:lang w:val="uk-UA"/>
              </w:rPr>
            </w:pPr>
            <w:r w:rsidRPr="001336DC">
              <w:rPr>
                <w:rFonts w:ascii="Times New Roman" w:hAnsi="Times New Roman"/>
                <w:sz w:val="28"/>
                <w:szCs w:val="28"/>
                <w:lang w:val="uk-UA"/>
              </w:rPr>
              <w:t>№</w:t>
            </w:r>
          </w:p>
        </w:tc>
        <w:tc>
          <w:tcPr>
            <w:tcW w:w="368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Показники</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162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8D512C">
        <w:trPr>
          <w:trHeight w:val="181"/>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підлітка </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+5,8</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3,13</w:t>
            </w:r>
          </w:p>
        </w:tc>
      </w:tr>
      <w:tr w:rsidR="000F78D0" w:rsidRPr="001336DC" w:rsidTr="008D512C">
        <w:trPr>
          <w:trHeight w:val="181"/>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181"/>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181"/>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Бруксизм</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-7,0</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0,61</w:t>
            </w:r>
          </w:p>
        </w:tc>
      </w:tr>
      <w:tr w:rsidR="000F78D0" w:rsidRPr="001336DC" w:rsidTr="008D512C">
        <w:trPr>
          <w:trHeight w:val="181"/>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181"/>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Алергічні захворювання у підлітка</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0,58</w:t>
            </w:r>
          </w:p>
        </w:tc>
      </w:tr>
      <w:tr w:rsidR="000F78D0" w:rsidRPr="001336DC" w:rsidTr="008D512C">
        <w:trPr>
          <w:trHeight w:val="181"/>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396"/>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підлітка</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8D512C">
        <w:trPr>
          <w:trHeight w:val="271"/>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Індекс маси тіла підлітка, ум.од.</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62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0,39</w:t>
            </w:r>
          </w:p>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21-25</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≥25,1</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0,27</w:t>
            </w:r>
          </w:p>
        </w:tc>
      </w:tr>
      <w:tr w:rsidR="000F78D0" w:rsidRPr="001336DC" w:rsidTr="008D512C">
        <w:trPr>
          <w:trHeight w:val="372"/>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396"/>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Захворювання нервової системи</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8D512C">
        <w:trPr>
          <w:trHeight w:val="415"/>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396"/>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Гіпоплазія матки</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0,10</w:t>
            </w:r>
          </w:p>
        </w:tc>
      </w:tr>
      <w:tr w:rsidR="000F78D0" w:rsidRPr="001336DC" w:rsidTr="008D512C">
        <w:trPr>
          <w:trHeight w:val="434"/>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396"/>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ЛОР-захворювання</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0,09</w:t>
            </w:r>
          </w:p>
        </w:tc>
      </w:tr>
      <w:tr w:rsidR="000F78D0" w:rsidRPr="001336DC" w:rsidTr="008D512C">
        <w:trPr>
          <w:trHeight w:val="415"/>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0,05</w:t>
            </w:r>
          </w:p>
        </w:tc>
      </w:tr>
      <w:tr w:rsidR="000F78D0" w:rsidRPr="001336DC" w:rsidTr="008D512C">
        <w:trPr>
          <w:trHeight w:val="415"/>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396"/>
        </w:trPr>
        <w:tc>
          <w:tcPr>
            <w:tcW w:w="676"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3"/>
              </w:numPr>
              <w:ind w:left="0" w:firstLine="0"/>
              <w:jc w:val="both"/>
              <w:rPr>
                <w:rFonts w:ascii="Times New Roman" w:hAnsi="Times New Roman"/>
                <w:sz w:val="28"/>
                <w:szCs w:val="28"/>
                <w:lang w:val="uk-UA"/>
              </w:rPr>
            </w:pPr>
          </w:p>
        </w:tc>
        <w:tc>
          <w:tcPr>
            <w:tcW w:w="368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62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0,04</w:t>
            </w:r>
          </w:p>
        </w:tc>
      </w:tr>
      <w:tr w:rsidR="000F78D0" w:rsidRPr="001336DC" w:rsidTr="008D512C">
        <w:trPr>
          <w:trHeight w:val="415"/>
        </w:trPr>
        <w:tc>
          <w:tcPr>
            <w:tcW w:w="67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val="restart"/>
            <w:tcBorders>
              <w:top w:val="single" w:sz="4" w:space="0" w:color="auto"/>
              <w:left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r w:rsidRPr="001336DC">
              <w:rPr>
                <w:rFonts w:ascii="Times New Roman" w:hAnsi="Times New Roman"/>
                <w:sz w:val="28"/>
                <w:szCs w:val="28"/>
                <w:lang w:val="uk-UA"/>
              </w:rPr>
              <w:t>12.</w:t>
            </w:r>
          </w:p>
        </w:tc>
        <w:tc>
          <w:tcPr>
            <w:tcW w:w="3685" w:type="dxa"/>
            <w:vMerge w:val="restart"/>
            <w:tcBorders>
              <w:top w:val="single" w:sz="4" w:space="0" w:color="auto"/>
              <w:left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Мультифолікулярні яєчники</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625"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0,01</w:t>
            </w:r>
          </w:p>
        </w:tc>
      </w:tr>
      <w:tr w:rsidR="000F78D0" w:rsidRPr="001336DC" w:rsidTr="008D512C">
        <w:trPr>
          <w:trHeight w:val="415"/>
        </w:trPr>
        <w:tc>
          <w:tcPr>
            <w:tcW w:w="676" w:type="dxa"/>
            <w:vMerge/>
            <w:tcBorders>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625"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r w:rsidR="000F78D0" w:rsidRPr="001336DC" w:rsidTr="008D512C">
        <w:trPr>
          <w:trHeight w:val="415"/>
        </w:trPr>
        <w:tc>
          <w:tcPr>
            <w:tcW w:w="676" w:type="dxa"/>
            <w:vMerge w:val="restart"/>
            <w:tcBorders>
              <w:top w:val="single" w:sz="4" w:space="0" w:color="auto"/>
              <w:left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r w:rsidRPr="001336DC">
              <w:rPr>
                <w:rFonts w:ascii="Times New Roman" w:hAnsi="Times New Roman"/>
                <w:sz w:val="28"/>
                <w:szCs w:val="28"/>
                <w:lang w:val="uk-UA"/>
              </w:rPr>
              <w:t>13.</w:t>
            </w:r>
          </w:p>
        </w:tc>
        <w:tc>
          <w:tcPr>
            <w:tcW w:w="3685" w:type="dxa"/>
            <w:vMerge w:val="restart"/>
            <w:tcBorders>
              <w:top w:val="single" w:sz="4" w:space="0" w:color="auto"/>
              <w:left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r w:rsidRPr="001336DC">
              <w:rPr>
                <w:rFonts w:ascii="Times New Roman" w:hAnsi="Times New Roman"/>
                <w:sz w:val="28"/>
                <w:szCs w:val="28"/>
                <w:lang w:val="uk-UA"/>
              </w:rPr>
              <w:t>Хвороба склерокістних яєчників</w:t>
            </w: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625"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r w:rsidRPr="001336DC">
              <w:rPr>
                <w:rFonts w:ascii="Times New Roman" w:hAnsi="Times New Roman"/>
                <w:sz w:val="28"/>
                <w:szCs w:val="28"/>
                <w:lang w:val="uk-UA"/>
              </w:rPr>
              <w:t>0,01</w:t>
            </w:r>
          </w:p>
        </w:tc>
      </w:tr>
      <w:tr w:rsidR="000F78D0" w:rsidRPr="001336DC" w:rsidTr="008D512C">
        <w:trPr>
          <w:trHeight w:val="415"/>
        </w:trPr>
        <w:tc>
          <w:tcPr>
            <w:tcW w:w="676" w:type="dxa"/>
            <w:vMerge/>
            <w:tcBorders>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3685" w:type="dxa"/>
            <w:vMerge/>
            <w:tcBorders>
              <w:left w:val="single" w:sz="4" w:space="0" w:color="auto"/>
              <w:bottom w:val="single" w:sz="4" w:space="0" w:color="auto"/>
              <w:right w:val="single" w:sz="4" w:space="0" w:color="auto"/>
            </w:tcBorders>
            <w:vAlign w:val="center"/>
            <w:hideMark/>
          </w:tcPr>
          <w:p w:rsidR="000F78D0" w:rsidRPr="001336DC" w:rsidRDefault="000F78D0" w:rsidP="008D512C">
            <w:pPr>
              <w:ind w:firstLine="34"/>
              <w:rPr>
                <w:rFonts w:ascii="Times New Roman" w:hAnsi="Times New Roman"/>
                <w:sz w:val="28"/>
                <w:szCs w:val="28"/>
                <w:lang w:val="uk-UA"/>
              </w:rPr>
            </w:pPr>
          </w:p>
        </w:tc>
        <w:tc>
          <w:tcPr>
            <w:tcW w:w="15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18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625"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hanging="2"/>
              <w:jc w:val="center"/>
              <w:rPr>
                <w:rFonts w:ascii="Times New Roman" w:hAnsi="Times New Roman"/>
                <w:sz w:val="28"/>
                <w:szCs w:val="28"/>
                <w:lang w:val="uk-UA"/>
              </w:rPr>
            </w:pPr>
          </w:p>
        </w:tc>
      </w:tr>
    </w:tbl>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розвитку запальних захворювань пародонта, а знак (+) відкидає таку вірогідність.</w:t>
      </w:r>
    </w:p>
    <w:p w:rsidR="008D512C" w:rsidRPr="00D43FE2" w:rsidRDefault="00DE610E"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Відносно</w:t>
      </w:r>
      <w:r w:rsidR="008D512C" w:rsidRPr="00D43FE2">
        <w:rPr>
          <w:rFonts w:ascii="Times New Roman" w:hAnsi="Times New Roman"/>
          <w:sz w:val="28"/>
          <w:szCs w:val="28"/>
          <w:lang w:val="uk-UA"/>
        </w:rPr>
        <w:t xml:space="preserve"> іншої патології </w:t>
      </w:r>
      <w:r w:rsidR="008D512C">
        <w:rPr>
          <w:rFonts w:ascii="Times New Roman" w:hAnsi="Times New Roman"/>
          <w:sz w:val="28"/>
          <w:szCs w:val="28"/>
          <w:lang w:val="uk-UA"/>
        </w:rPr>
        <w:t>пре</w:t>
      </w:r>
      <w:r w:rsidR="008D512C" w:rsidRPr="00D43FE2">
        <w:rPr>
          <w:rFonts w:ascii="Times New Roman" w:hAnsi="Times New Roman"/>
          <w:sz w:val="28"/>
          <w:szCs w:val="28"/>
          <w:lang w:val="uk-UA"/>
        </w:rPr>
        <w:t>дикторської значимості не встановлено.</w:t>
      </w:r>
    </w:p>
    <w:p w:rsidR="000F78D0" w:rsidRDefault="000F78D0" w:rsidP="00DE610E">
      <w:pPr>
        <w:spacing w:line="360" w:lineRule="auto"/>
        <w:ind w:firstLine="709"/>
        <w:jc w:val="both"/>
        <w:rPr>
          <w:rFonts w:ascii="Times New Roman" w:hAnsi="Times New Roman"/>
          <w:sz w:val="28"/>
          <w:szCs w:val="28"/>
          <w:lang w:val="uk-UA"/>
        </w:rPr>
      </w:pPr>
      <w:r w:rsidRPr="00D43FE2">
        <w:rPr>
          <w:rFonts w:ascii="Times New Roman" w:hAnsi="Times New Roman"/>
          <w:sz w:val="28"/>
          <w:szCs w:val="28"/>
          <w:lang w:val="uk-UA"/>
        </w:rPr>
        <w:t xml:space="preserve">Як </w:t>
      </w:r>
      <w:r w:rsidR="00237240">
        <w:rPr>
          <w:rFonts w:ascii="Times New Roman" w:hAnsi="Times New Roman"/>
          <w:sz w:val="28"/>
          <w:szCs w:val="28"/>
          <w:lang w:val="uk-UA"/>
        </w:rPr>
        <w:t>свідчать значення ПК (табл. 5.</w:t>
      </w:r>
      <w:r w:rsidR="00237240" w:rsidRPr="00237240">
        <w:rPr>
          <w:rFonts w:ascii="Times New Roman" w:hAnsi="Times New Roman"/>
          <w:sz w:val="28"/>
          <w:szCs w:val="28"/>
          <w:lang w:val="ru-RU"/>
        </w:rPr>
        <w:t>1</w:t>
      </w:r>
      <w:r w:rsidRPr="00D43FE2">
        <w:rPr>
          <w:rFonts w:ascii="Times New Roman" w:hAnsi="Times New Roman"/>
          <w:sz w:val="28"/>
          <w:szCs w:val="28"/>
          <w:lang w:val="uk-UA"/>
        </w:rPr>
        <w:t>5), предикторами</w:t>
      </w:r>
      <w:r>
        <w:rPr>
          <w:rFonts w:ascii="Times New Roman" w:hAnsi="Times New Roman"/>
          <w:sz w:val="28"/>
          <w:szCs w:val="28"/>
          <w:lang w:val="uk-UA"/>
        </w:rPr>
        <w:t xml:space="preserve"> розвитку запальних захворювань пародонта  виявлено: значна (</w:t>
      </w:r>
      <w:r>
        <w:rPr>
          <w:sz w:val="28"/>
          <w:szCs w:val="28"/>
          <w:lang w:val="uk-UA"/>
        </w:rPr>
        <w:t>≥</w:t>
      </w:r>
      <w:r>
        <w:rPr>
          <w:rFonts w:ascii="Times New Roman" w:hAnsi="Times New Roman"/>
          <w:sz w:val="28"/>
          <w:szCs w:val="28"/>
          <w:lang w:val="uk-UA"/>
        </w:rPr>
        <w:t>3) кількість хронічних захворювань; високий (</w:t>
      </w:r>
      <w:r>
        <w:rPr>
          <w:sz w:val="28"/>
          <w:szCs w:val="28"/>
          <w:lang w:val="uk-UA"/>
        </w:rPr>
        <w:t>≥</w:t>
      </w:r>
      <w:r>
        <w:rPr>
          <w:rFonts w:ascii="Times New Roman" w:hAnsi="Times New Roman"/>
          <w:sz w:val="28"/>
          <w:szCs w:val="28"/>
          <w:lang w:val="uk-UA"/>
        </w:rPr>
        <w:t>25,1 ум.од.) ІМТ, а також наявність у підлітків явищ бруксизму, алергічних і серцево-судинних захворювань.</w:t>
      </w:r>
    </w:p>
    <w:p w:rsidR="000F78D0"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цілому (</w:t>
      </w:r>
      <w:r w:rsidR="00237240">
        <w:rPr>
          <w:rFonts w:ascii="Times New Roman" w:hAnsi="Times New Roman"/>
          <w:sz w:val="28"/>
          <w:szCs w:val="28"/>
          <w:lang w:val="uk-UA"/>
        </w:rPr>
        <w:t>рис. 5.</w:t>
      </w:r>
      <w:r w:rsidR="00237240" w:rsidRPr="00237240">
        <w:rPr>
          <w:rFonts w:ascii="Times New Roman" w:hAnsi="Times New Roman"/>
          <w:sz w:val="28"/>
          <w:szCs w:val="28"/>
          <w:lang w:val="ru-RU"/>
        </w:rPr>
        <w:t>5</w:t>
      </w:r>
      <w:r w:rsidRPr="00D43FE2">
        <w:rPr>
          <w:rFonts w:ascii="Times New Roman" w:hAnsi="Times New Roman"/>
          <w:sz w:val="28"/>
          <w:szCs w:val="28"/>
          <w:lang w:val="uk-UA"/>
        </w:rPr>
        <w:t>)</w:t>
      </w:r>
      <w:r>
        <w:rPr>
          <w:rFonts w:ascii="Times New Roman" w:hAnsi="Times New Roman"/>
          <w:sz w:val="28"/>
          <w:szCs w:val="28"/>
          <w:lang w:val="uk-UA"/>
        </w:rPr>
        <w:t xml:space="preserve"> прогностична цінність стану здоров’я хворих виявилася високою (І=1,0) і перевищувала таку акушерського анамнезу і спадковості в 1,4 </w:t>
      </w:r>
      <w:r w:rsidRPr="00D43FE2">
        <w:rPr>
          <w:rFonts w:ascii="Times New Roman" w:hAnsi="Times New Roman"/>
          <w:sz w:val="28"/>
          <w:szCs w:val="28"/>
          <w:lang w:val="uk-UA"/>
        </w:rPr>
        <w:t>раза, а анамнезу і способу життя в 1,8 раза.</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581650" cy="3219450"/>
            <wp:effectExtent l="0" t="0" r="0" b="0"/>
            <wp:docPr id="51" name="Объект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F78D0" w:rsidRDefault="0023724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5</w:t>
      </w:r>
      <w:r w:rsidR="000F78D0" w:rsidRPr="00D43FE2">
        <w:rPr>
          <w:rFonts w:ascii="Times New Roman" w:hAnsi="Times New Roman"/>
          <w:sz w:val="28"/>
          <w:szCs w:val="28"/>
          <w:lang w:val="uk-UA"/>
        </w:rPr>
        <w:t>.</w:t>
      </w:r>
      <w:r w:rsidR="000F78D0">
        <w:rPr>
          <w:rFonts w:ascii="Times New Roman" w:hAnsi="Times New Roman"/>
          <w:sz w:val="28"/>
          <w:szCs w:val="28"/>
          <w:lang w:val="uk-UA"/>
        </w:rPr>
        <w:t xml:space="preserve"> Комплексна оцінка прогностичної значимості стану соматичного здоров’я хворих та інших видів обстеження. </w:t>
      </w:r>
    </w:p>
    <w:p w:rsidR="008D512C"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Прогностична характеристика показників стоматологічного статусу наведена в табл</w:t>
      </w:r>
      <w:r w:rsidR="00237240">
        <w:rPr>
          <w:rFonts w:ascii="Times New Roman" w:hAnsi="Times New Roman"/>
          <w:sz w:val="28"/>
          <w:szCs w:val="28"/>
          <w:lang w:val="uk-UA"/>
        </w:rPr>
        <w:t>. 5.</w:t>
      </w:r>
      <w:r w:rsidR="00237240" w:rsidRPr="00BD4FE3">
        <w:rPr>
          <w:rFonts w:ascii="Times New Roman" w:hAnsi="Times New Roman"/>
          <w:sz w:val="28"/>
          <w:szCs w:val="28"/>
          <w:lang w:val="uk-UA"/>
        </w:rPr>
        <w:t>1</w:t>
      </w:r>
      <w:r w:rsidRPr="00D43FE2">
        <w:rPr>
          <w:rFonts w:ascii="Times New Roman" w:hAnsi="Times New Roman"/>
          <w:sz w:val="28"/>
          <w:szCs w:val="28"/>
          <w:lang w:val="uk-UA"/>
        </w:rPr>
        <w:t>6.</w:t>
      </w:r>
      <w:r w:rsidR="008D512C" w:rsidRPr="008D512C">
        <w:rPr>
          <w:rFonts w:ascii="Times New Roman" w:hAnsi="Times New Roman"/>
          <w:sz w:val="28"/>
          <w:szCs w:val="28"/>
          <w:lang w:val="uk-UA"/>
        </w:rPr>
        <w:t xml:space="preserve"> </w:t>
      </w:r>
      <w:r w:rsidR="008D512C">
        <w:rPr>
          <w:rFonts w:ascii="Times New Roman" w:hAnsi="Times New Roman"/>
          <w:sz w:val="28"/>
          <w:szCs w:val="28"/>
          <w:lang w:val="uk-UA"/>
        </w:rPr>
        <w:t>З табл</w:t>
      </w:r>
      <w:r w:rsidR="00237240">
        <w:rPr>
          <w:rFonts w:ascii="Times New Roman" w:hAnsi="Times New Roman"/>
          <w:sz w:val="28"/>
          <w:szCs w:val="28"/>
          <w:lang w:val="uk-UA"/>
        </w:rPr>
        <w:t>. 5.</w:t>
      </w:r>
      <w:r w:rsidR="00237240" w:rsidRPr="00237240">
        <w:rPr>
          <w:rFonts w:ascii="Times New Roman" w:hAnsi="Times New Roman"/>
          <w:sz w:val="28"/>
          <w:szCs w:val="28"/>
          <w:lang w:val="uk-UA"/>
        </w:rPr>
        <w:t>1</w:t>
      </w:r>
      <w:r w:rsidR="008D512C" w:rsidRPr="00D43FE2">
        <w:rPr>
          <w:rFonts w:ascii="Times New Roman" w:hAnsi="Times New Roman"/>
          <w:sz w:val="28"/>
          <w:szCs w:val="28"/>
          <w:lang w:val="uk-UA"/>
        </w:rPr>
        <w:t xml:space="preserve">6 витікає, що високу інформативність виявили індекси гігієни порожнини рота </w:t>
      </w:r>
      <w:r w:rsidR="00E71220">
        <w:rPr>
          <w:rFonts w:ascii="Times New Roman" w:hAnsi="Times New Roman"/>
          <w:sz w:val="28"/>
          <w:szCs w:val="28"/>
          <w:lang w:val="uk-UA"/>
        </w:rPr>
        <w:t xml:space="preserve">Ю.А.Федорова, В.В.Володкіної </w:t>
      </w:r>
      <w:r w:rsidR="008D512C">
        <w:rPr>
          <w:rFonts w:ascii="Times New Roman" w:hAnsi="Times New Roman"/>
          <w:sz w:val="28"/>
          <w:szCs w:val="28"/>
          <w:lang w:val="uk-UA"/>
        </w:rPr>
        <w:t>(І=3,91) і спрощений індекс (І=2,18), наявність аномалій розвитку зубо-щелепної системи (І=1,05) і їх поєднання (І=1,93), висока інтенсивність (</w:t>
      </w:r>
      <w:r w:rsidR="008D512C">
        <w:rPr>
          <w:sz w:val="28"/>
          <w:szCs w:val="28"/>
          <w:lang w:val="uk-UA"/>
        </w:rPr>
        <w:t>≥</w:t>
      </w:r>
      <w:r w:rsidR="008D512C">
        <w:rPr>
          <w:rFonts w:ascii="Times New Roman" w:hAnsi="Times New Roman"/>
          <w:sz w:val="28"/>
          <w:szCs w:val="28"/>
          <w:lang w:val="uk-UA"/>
        </w:rPr>
        <w:t>4,5 ум.од.) карієсу зубів (І=1,67), приясенна локалізація карієсу (І=1,05).</w:t>
      </w:r>
    </w:p>
    <w:p w:rsidR="000F78D0" w:rsidRDefault="008D512C" w:rsidP="00DE610E">
      <w:pPr>
        <w:spacing w:line="360" w:lineRule="auto"/>
        <w:ind w:firstLine="709"/>
        <w:jc w:val="both"/>
        <w:rPr>
          <w:rFonts w:ascii="Times New Roman" w:hAnsi="Times New Roman"/>
          <w:i/>
          <w:sz w:val="28"/>
          <w:szCs w:val="28"/>
          <w:lang w:val="uk-UA"/>
        </w:rPr>
      </w:pPr>
      <w:r>
        <w:rPr>
          <w:rFonts w:ascii="Times New Roman" w:hAnsi="Times New Roman"/>
          <w:sz w:val="28"/>
          <w:szCs w:val="28"/>
          <w:lang w:val="uk-UA"/>
        </w:rPr>
        <w:t>Низька інформативність виявлена по відношенню до дефектів пломбування зубів: країв пломб, що нависають (І=0,26) і порушення змикання зубних рядів (І=0,25).</w:t>
      </w:r>
    </w:p>
    <w:p w:rsidR="000F78D0" w:rsidRDefault="000F78D0" w:rsidP="00AC605C">
      <w:pPr>
        <w:spacing w:line="360" w:lineRule="auto"/>
        <w:ind w:firstLine="426"/>
        <w:jc w:val="right"/>
        <w:rPr>
          <w:rFonts w:ascii="Times New Roman" w:hAnsi="Times New Roman"/>
          <w:sz w:val="28"/>
          <w:szCs w:val="28"/>
          <w:lang w:val="uk-UA"/>
        </w:rPr>
      </w:pPr>
      <w:r w:rsidRPr="00F92141">
        <w:rPr>
          <w:rFonts w:ascii="Times New Roman" w:hAnsi="Times New Roman"/>
          <w:i/>
          <w:sz w:val="28"/>
          <w:szCs w:val="28"/>
          <w:lang w:val="uk-UA"/>
        </w:rPr>
        <w:lastRenderedPageBreak/>
        <w:t>Таблиця</w:t>
      </w:r>
      <w:r w:rsidR="00237240">
        <w:rPr>
          <w:rFonts w:ascii="Times New Roman" w:hAnsi="Times New Roman"/>
          <w:sz w:val="28"/>
          <w:szCs w:val="28"/>
          <w:lang w:val="uk-UA"/>
        </w:rPr>
        <w:t xml:space="preserve"> 5.</w:t>
      </w:r>
      <w:r w:rsidR="00237240" w:rsidRPr="00BD4FE3">
        <w:rPr>
          <w:rFonts w:ascii="Times New Roman" w:hAnsi="Times New Roman"/>
          <w:sz w:val="28"/>
          <w:szCs w:val="28"/>
          <w:lang w:val="ru-RU"/>
        </w:rPr>
        <w:t>1</w:t>
      </w:r>
      <w:r>
        <w:rPr>
          <w:rFonts w:ascii="Times New Roman" w:hAnsi="Times New Roman"/>
          <w:sz w:val="28"/>
          <w:szCs w:val="28"/>
          <w:lang w:val="uk-UA"/>
        </w:rPr>
        <w:t>6</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стоматологічного статусу хворих</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912"/>
        <w:gridCol w:w="1716"/>
        <w:gridCol w:w="2450"/>
        <w:gridCol w:w="2292"/>
      </w:tblGrid>
      <w:tr w:rsidR="000F78D0" w:rsidRPr="001336DC" w:rsidTr="008D512C">
        <w:tc>
          <w:tcPr>
            <w:tcW w:w="5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 xml:space="preserve">Індекс </w:t>
            </w:r>
            <w:r w:rsidR="00E71220">
              <w:rPr>
                <w:rFonts w:ascii="Times New Roman" w:hAnsi="Times New Roman"/>
                <w:sz w:val="28"/>
                <w:szCs w:val="28"/>
                <w:lang w:val="uk-UA"/>
              </w:rPr>
              <w:t>Ю.А.Федорова, В.В.Володкіної</w:t>
            </w:r>
            <w:r w:rsidRPr="001336DC">
              <w:rPr>
                <w:rFonts w:ascii="Times New Roman" w:hAnsi="Times New Roman"/>
                <w:sz w:val="28"/>
                <w:szCs w:val="28"/>
                <w:lang w:val="uk-UA"/>
              </w:rPr>
              <w:t>,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3,91</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2,1-2,5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Спрощений індекс гігієни порожнини рота,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2,18</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≥1,7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Поєднані аномалії розвитку зубощелепної системи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1,93</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Інтенсивність карієсу у підлітка (</w:t>
            </w:r>
            <w:r w:rsidR="00A06011">
              <w:rPr>
                <w:rFonts w:ascii="Times New Roman" w:hAnsi="Times New Roman"/>
                <w:sz w:val="28"/>
                <w:szCs w:val="28"/>
                <w:lang w:val="uk-UA"/>
              </w:rPr>
              <w:t>КПВ</w:t>
            </w:r>
            <w:r w:rsidRPr="001336DC">
              <w:rPr>
                <w:rFonts w:ascii="Times New Roman" w:hAnsi="Times New Roman"/>
                <w:sz w:val="28"/>
                <w:szCs w:val="28"/>
                <w:lang w:val="uk-UA"/>
              </w:rPr>
              <w:t>),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1,67</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2,7-4,4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4,5-6,5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≥6,6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Аномалії розвитку зубощелепної системи у підлітка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1,05</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Приясенна локалізація карієса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1,05</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Краї пломб, що нависають</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0,26</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r w:rsidR="000F78D0" w:rsidRPr="001336DC" w:rsidTr="008D512C">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8D512C">
            <w:pPr>
              <w:numPr>
                <w:ilvl w:val="0"/>
                <w:numId w:val="1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D512C">
            <w:pPr>
              <w:ind w:firstLine="33"/>
              <w:rPr>
                <w:rFonts w:ascii="Times New Roman" w:hAnsi="Times New Roman"/>
                <w:sz w:val="28"/>
                <w:szCs w:val="28"/>
                <w:lang w:val="uk-UA"/>
              </w:rPr>
            </w:pPr>
            <w:r w:rsidRPr="001336DC">
              <w:rPr>
                <w:rFonts w:ascii="Times New Roman" w:hAnsi="Times New Roman"/>
                <w:sz w:val="28"/>
                <w:szCs w:val="28"/>
                <w:lang w:val="uk-UA"/>
              </w:rPr>
              <w:t>Порушення змикання зубних рядів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52"/>
              <w:jc w:val="center"/>
              <w:rPr>
                <w:rFonts w:ascii="Times New Roman" w:hAnsi="Times New Roman"/>
                <w:sz w:val="28"/>
                <w:szCs w:val="28"/>
                <w:lang w:val="uk-UA"/>
              </w:rPr>
            </w:pPr>
            <w:r w:rsidRPr="001336DC">
              <w:rPr>
                <w:rFonts w:ascii="Times New Roman" w:hAnsi="Times New Roman"/>
                <w:sz w:val="28"/>
                <w:szCs w:val="28"/>
                <w:lang w:val="uk-UA"/>
              </w:rPr>
              <w:t>0,25</w:t>
            </w:r>
          </w:p>
        </w:tc>
      </w:tr>
      <w:tr w:rsidR="000F78D0" w:rsidRPr="001336DC" w:rsidTr="008D512C">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D512C">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6"/>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2"/>
              <w:jc w:val="center"/>
              <w:rPr>
                <w:rFonts w:ascii="Times New Roman" w:hAnsi="Times New Roman"/>
                <w:sz w:val="28"/>
                <w:szCs w:val="28"/>
                <w:lang w:val="uk-UA"/>
              </w:rPr>
            </w:pPr>
          </w:p>
        </w:tc>
      </w:tr>
    </w:tbl>
    <w:p w:rsidR="000F78D0" w:rsidRDefault="000F78D0" w:rsidP="00AC605C">
      <w:pPr>
        <w:spacing w:line="360" w:lineRule="auto"/>
        <w:ind w:firstLine="426"/>
        <w:jc w:val="both"/>
        <w:rPr>
          <w:rFonts w:ascii="Times New Roman" w:hAnsi="Times New Roman"/>
          <w:sz w:val="28"/>
          <w:szCs w:val="28"/>
          <w:lang w:val="uk-UA"/>
        </w:rPr>
      </w:pPr>
    </w:p>
    <w:p w:rsidR="000F78D0" w:rsidRPr="00D43FE2" w:rsidRDefault="000F78D0" w:rsidP="00DE61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Значення </w:t>
      </w:r>
      <w:r w:rsidR="00237240">
        <w:rPr>
          <w:rFonts w:ascii="Times New Roman" w:hAnsi="Times New Roman"/>
          <w:sz w:val="28"/>
          <w:szCs w:val="28"/>
          <w:lang w:val="uk-UA"/>
        </w:rPr>
        <w:t>ПК (табл. 5.</w:t>
      </w:r>
      <w:r w:rsidR="00237240" w:rsidRPr="00237240">
        <w:rPr>
          <w:rFonts w:ascii="Times New Roman" w:hAnsi="Times New Roman"/>
          <w:sz w:val="28"/>
          <w:szCs w:val="28"/>
          <w:lang w:val="uk-UA"/>
        </w:rPr>
        <w:t>1</w:t>
      </w:r>
      <w:r w:rsidRPr="00D43FE2">
        <w:rPr>
          <w:rFonts w:ascii="Times New Roman" w:hAnsi="Times New Roman"/>
          <w:sz w:val="28"/>
          <w:szCs w:val="28"/>
          <w:lang w:val="uk-UA"/>
        </w:rPr>
        <w:t>6) вказують, що на користь розвитку запальних захворювань пародонта свідчать</w:t>
      </w:r>
      <w:r>
        <w:rPr>
          <w:rFonts w:ascii="Times New Roman" w:hAnsi="Times New Roman"/>
          <w:sz w:val="28"/>
          <w:szCs w:val="28"/>
          <w:lang w:val="uk-UA"/>
        </w:rPr>
        <w:t>: погане і дуже погане (</w:t>
      </w:r>
      <w:r>
        <w:rPr>
          <w:sz w:val="28"/>
          <w:szCs w:val="28"/>
          <w:lang w:val="uk-UA"/>
        </w:rPr>
        <w:t>≥</w:t>
      </w:r>
      <w:r>
        <w:rPr>
          <w:rFonts w:ascii="Times New Roman" w:hAnsi="Times New Roman"/>
          <w:sz w:val="28"/>
          <w:szCs w:val="28"/>
          <w:lang w:val="uk-UA"/>
        </w:rPr>
        <w:t xml:space="preserve">2,6 ум.од.) значення індексу </w:t>
      </w:r>
      <w:r w:rsidR="00E71220">
        <w:rPr>
          <w:rFonts w:ascii="Times New Roman" w:hAnsi="Times New Roman"/>
          <w:sz w:val="28"/>
          <w:szCs w:val="28"/>
          <w:lang w:val="uk-UA"/>
        </w:rPr>
        <w:t>Ю.А.Федорова, В.В.Володкіної</w:t>
      </w:r>
      <w:r>
        <w:rPr>
          <w:rFonts w:ascii="Times New Roman" w:hAnsi="Times New Roman"/>
          <w:sz w:val="28"/>
          <w:szCs w:val="28"/>
          <w:lang w:val="uk-UA"/>
        </w:rPr>
        <w:t xml:space="preserve">; незадовільна </w:t>
      </w:r>
      <w:r w:rsidRPr="00D43FE2">
        <w:rPr>
          <w:rFonts w:ascii="Times New Roman" w:hAnsi="Times New Roman"/>
          <w:sz w:val="28"/>
          <w:szCs w:val="28"/>
          <w:lang w:val="uk-UA"/>
        </w:rPr>
        <w:t>або погана гігієна порожнин рота (</w:t>
      </w:r>
      <w:r w:rsidRPr="00D43FE2">
        <w:rPr>
          <w:sz w:val="28"/>
          <w:szCs w:val="28"/>
          <w:lang w:val="uk-UA"/>
        </w:rPr>
        <w:t>≥</w:t>
      </w:r>
      <w:r w:rsidRPr="00D43FE2">
        <w:rPr>
          <w:rFonts w:ascii="Times New Roman" w:hAnsi="Times New Roman"/>
          <w:sz w:val="28"/>
          <w:szCs w:val="28"/>
          <w:lang w:val="uk-UA"/>
        </w:rPr>
        <w:t xml:space="preserve">1,7 ум.од.) згідно з даними спрощеного індексу </w:t>
      </w:r>
      <w:r w:rsidRPr="00D43FE2">
        <w:rPr>
          <w:rFonts w:ascii="Times New Roman" w:hAnsi="Times New Roman"/>
          <w:sz w:val="28"/>
          <w:szCs w:val="28"/>
        </w:rPr>
        <w:t>OHI</w:t>
      </w:r>
      <w:r w:rsidRPr="00D43FE2">
        <w:rPr>
          <w:rFonts w:ascii="Times New Roman" w:hAnsi="Times New Roman"/>
          <w:sz w:val="28"/>
          <w:szCs w:val="28"/>
          <w:lang w:val="uk-UA"/>
        </w:rPr>
        <w:t>-</w:t>
      </w:r>
      <w:r w:rsidRPr="00D43FE2">
        <w:rPr>
          <w:rFonts w:ascii="Times New Roman" w:hAnsi="Times New Roman"/>
          <w:sz w:val="28"/>
          <w:szCs w:val="28"/>
        </w:rPr>
        <w:t>S</w:t>
      </w:r>
      <w:r w:rsidRPr="00D43FE2">
        <w:rPr>
          <w:rFonts w:ascii="Times New Roman" w:hAnsi="Times New Roman"/>
          <w:sz w:val="28"/>
          <w:szCs w:val="28"/>
          <w:lang w:val="uk-UA"/>
        </w:rPr>
        <w:t>; наявність аномалій розвитку зубо-щелепної системи і їх поєднань, при ясенної локалізації карієсу, а також дефектів пломбування зубів у вигляді країв пломб, що нависають і порушення змикання зубних рядів.</w:t>
      </w:r>
    </w:p>
    <w:p w:rsidR="000F78D0" w:rsidRDefault="000F78D0" w:rsidP="00DE610E">
      <w:pPr>
        <w:spacing w:line="360" w:lineRule="auto"/>
        <w:ind w:firstLine="709"/>
        <w:jc w:val="both"/>
        <w:rPr>
          <w:rFonts w:ascii="Times New Roman" w:hAnsi="Times New Roman"/>
          <w:sz w:val="28"/>
          <w:szCs w:val="28"/>
          <w:lang w:val="uk-UA"/>
        </w:rPr>
      </w:pPr>
      <w:r w:rsidRPr="00D43FE2">
        <w:rPr>
          <w:rFonts w:ascii="Times New Roman" w:hAnsi="Times New Roman"/>
          <w:sz w:val="28"/>
          <w:szCs w:val="28"/>
          <w:lang w:val="uk-UA"/>
        </w:rPr>
        <w:t>Комплексна оцінка прогностичної інформативності стоматологічного ста</w:t>
      </w:r>
      <w:r w:rsidR="00237240">
        <w:rPr>
          <w:rFonts w:ascii="Times New Roman" w:hAnsi="Times New Roman"/>
          <w:sz w:val="28"/>
          <w:szCs w:val="28"/>
          <w:lang w:val="uk-UA"/>
        </w:rPr>
        <w:t>тусу хворих показала (рис. 5.</w:t>
      </w:r>
      <w:r w:rsidR="00237240" w:rsidRPr="00237240">
        <w:rPr>
          <w:rFonts w:ascii="Times New Roman" w:hAnsi="Times New Roman"/>
          <w:sz w:val="28"/>
          <w:szCs w:val="28"/>
          <w:lang w:val="ru-RU"/>
        </w:rPr>
        <w:t>6</w:t>
      </w:r>
      <w:r w:rsidRPr="00D43FE2">
        <w:rPr>
          <w:rFonts w:ascii="Times New Roman" w:hAnsi="Times New Roman"/>
          <w:sz w:val="28"/>
          <w:szCs w:val="28"/>
          <w:lang w:val="uk-UA"/>
        </w:rPr>
        <w:t>), що вона була високою</w:t>
      </w:r>
      <w:r>
        <w:rPr>
          <w:rFonts w:ascii="Times New Roman" w:hAnsi="Times New Roman"/>
          <w:sz w:val="28"/>
          <w:szCs w:val="28"/>
          <w:lang w:val="uk-UA"/>
        </w:rPr>
        <w:t xml:space="preserve"> (І=1,82), і в 1,8 раза </w:t>
      </w:r>
      <w:r>
        <w:rPr>
          <w:rFonts w:ascii="Times New Roman" w:hAnsi="Times New Roman"/>
          <w:sz w:val="28"/>
          <w:szCs w:val="28"/>
          <w:lang w:val="uk-UA"/>
        </w:rPr>
        <w:lastRenderedPageBreak/>
        <w:t>перевищила таку даних соматичної патології, в 2,6 разів показників акушерського анамнезу і спадковості,  і в 3,3 раза способу і анамнезу життя хворого.</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581650" cy="3219450"/>
            <wp:effectExtent l="0" t="0" r="0" b="0"/>
            <wp:docPr id="50" name="Объект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F78D0" w:rsidRPr="007270E8" w:rsidRDefault="00237240" w:rsidP="00DE610E">
      <w:pPr>
        <w:tabs>
          <w:tab w:val="left" w:pos="1230"/>
          <w:tab w:val="left" w:pos="1560"/>
        </w:tabs>
        <w:spacing w:line="360" w:lineRule="auto"/>
        <w:ind w:firstLine="709"/>
        <w:jc w:val="both"/>
        <w:rPr>
          <w:rFonts w:ascii="Times New Roman" w:hAnsi="Times New Roman"/>
          <w:sz w:val="20"/>
          <w:szCs w:val="20"/>
          <w:lang w:val="uk-UA"/>
        </w:rPr>
      </w:pPr>
      <w:r>
        <w:rPr>
          <w:rFonts w:ascii="Times New Roman" w:hAnsi="Times New Roman"/>
          <w:sz w:val="28"/>
          <w:szCs w:val="28"/>
          <w:lang w:val="uk-UA"/>
        </w:rPr>
        <w:t>Рис. 5.</w:t>
      </w:r>
      <w:r w:rsidRPr="00BD4FE3">
        <w:rPr>
          <w:rFonts w:ascii="Times New Roman" w:hAnsi="Times New Roman"/>
          <w:sz w:val="28"/>
          <w:szCs w:val="28"/>
          <w:lang w:val="ru-RU"/>
        </w:rPr>
        <w:t>6</w:t>
      </w:r>
      <w:r w:rsidR="000F78D0" w:rsidRPr="00D43FE2">
        <w:rPr>
          <w:rFonts w:ascii="Times New Roman" w:hAnsi="Times New Roman"/>
          <w:sz w:val="28"/>
          <w:szCs w:val="28"/>
          <w:lang w:val="uk-UA"/>
        </w:rPr>
        <w:t>. Комплексна</w:t>
      </w:r>
      <w:r w:rsidR="000F78D0">
        <w:rPr>
          <w:rFonts w:ascii="Times New Roman" w:hAnsi="Times New Roman"/>
          <w:sz w:val="28"/>
          <w:szCs w:val="28"/>
          <w:lang w:val="uk-UA"/>
        </w:rPr>
        <w:t xml:space="preserve"> оцінка прогностичної значимості стоматологічного статусу хворих та інших видів обстеження. </w:t>
      </w:r>
    </w:p>
    <w:p w:rsidR="002518E6" w:rsidRDefault="002518E6" w:rsidP="00DE610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пара</w:t>
      </w:r>
      <w:r w:rsidR="000F78D0">
        <w:rPr>
          <w:rFonts w:ascii="Times New Roman" w:hAnsi="Times New Roman"/>
          <w:sz w:val="28"/>
          <w:szCs w:val="28"/>
          <w:lang w:val="uk-UA"/>
        </w:rPr>
        <w:t xml:space="preserve">клінічних показників (табл. </w:t>
      </w:r>
      <w:r w:rsidR="00237240">
        <w:rPr>
          <w:rFonts w:ascii="Times New Roman" w:hAnsi="Times New Roman"/>
          <w:sz w:val="28"/>
          <w:szCs w:val="28"/>
          <w:lang w:val="uk-UA"/>
        </w:rPr>
        <w:t>5.</w:t>
      </w:r>
      <w:r w:rsidR="00237240" w:rsidRPr="00237240">
        <w:rPr>
          <w:rFonts w:ascii="Times New Roman" w:hAnsi="Times New Roman"/>
          <w:sz w:val="28"/>
          <w:szCs w:val="28"/>
          <w:lang w:val="uk-UA"/>
        </w:rPr>
        <w:t>1</w:t>
      </w:r>
      <w:r w:rsidR="000F78D0" w:rsidRPr="00D43FE2">
        <w:rPr>
          <w:rFonts w:ascii="Times New Roman" w:hAnsi="Times New Roman"/>
          <w:sz w:val="28"/>
          <w:szCs w:val="28"/>
          <w:lang w:val="uk-UA"/>
        </w:rPr>
        <w:t>7)</w:t>
      </w:r>
      <w:r w:rsidR="000F78D0">
        <w:rPr>
          <w:rFonts w:ascii="Times New Roman" w:hAnsi="Times New Roman"/>
          <w:sz w:val="28"/>
          <w:szCs w:val="28"/>
          <w:lang w:val="uk-UA"/>
        </w:rPr>
        <w:t xml:space="preserve"> </w:t>
      </w:r>
      <w:r w:rsidR="000F78D0" w:rsidRPr="00D43FE2">
        <w:rPr>
          <w:rFonts w:ascii="Times New Roman" w:hAnsi="Times New Roman"/>
          <w:sz w:val="28"/>
          <w:szCs w:val="28"/>
          <w:lang w:val="uk-UA"/>
        </w:rPr>
        <w:t>дуже</w:t>
      </w:r>
      <w:r w:rsidR="000F78D0">
        <w:rPr>
          <w:rFonts w:ascii="Times New Roman" w:hAnsi="Times New Roman"/>
          <w:sz w:val="28"/>
          <w:szCs w:val="28"/>
          <w:lang w:val="uk-UA"/>
        </w:rPr>
        <w:t xml:space="preserve"> висока інформативність була характерна для ступеню дисбіозу (І=5,12), активності уреази (І=4,44) і лізоциму (І=3,99), оптичної щільності кісткових відділів пародонта (І=4,33), і вмісту Са в слині (І=4,16). Вміст </w:t>
      </w:r>
      <w:r w:rsidR="000F78D0">
        <w:rPr>
          <w:rFonts w:ascii="Times New Roman" w:hAnsi="Times New Roman"/>
          <w:sz w:val="28"/>
          <w:szCs w:val="28"/>
        </w:rPr>
        <w:t>sIgA</w:t>
      </w:r>
      <w:r w:rsidR="000F78D0">
        <w:rPr>
          <w:rFonts w:ascii="Times New Roman" w:hAnsi="Times New Roman"/>
          <w:sz w:val="28"/>
          <w:szCs w:val="28"/>
          <w:lang w:val="uk-UA"/>
        </w:rPr>
        <w:t xml:space="preserve"> в слині і електрофоретична рухомість ядер букального епітелію виявили високі (відповідно І=3,02 і І=2,20) предикторські властивості.</w:t>
      </w:r>
      <w:r w:rsidRPr="002518E6">
        <w:rPr>
          <w:rFonts w:ascii="Times New Roman" w:hAnsi="Times New Roman"/>
          <w:sz w:val="28"/>
          <w:szCs w:val="28"/>
          <w:lang w:val="uk-UA"/>
        </w:rPr>
        <w:t xml:space="preserve"> </w:t>
      </w:r>
    </w:p>
    <w:p w:rsidR="002518E6" w:rsidRDefault="002518E6" w:rsidP="00DE610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видно із табл</w:t>
      </w:r>
      <w:r w:rsidR="00237240">
        <w:rPr>
          <w:rFonts w:ascii="Times New Roman" w:hAnsi="Times New Roman"/>
          <w:sz w:val="28"/>
          <w:szCs w:val="28"/>
          <w:lang w:val="uk-UA"/>
        </w:rPr>
        <w:t>. 5.</w:t>
      </w:r>
      <w:r w:rsidR="00237240" w:rsidRPr="00237240">
        <w:rPr>
          <w:rFonts w:ascii="Times New Roman" w:hAnsi="Times New Roman"/>
          <w:sz w:val="28"/>
          <w:szCs w:val="28"/>
          <w:lang w:val="uk-UA"/>
        </w:rPr>
        <w:t>1</w:t>
      </w:r>
      <w:r w:rsidR="00237240">
        <w:rPr>
          <w:rFonts w:ascii="Times New Roman" w:hAnsi="Times New Roman"/>
          <w:sz w:val="28"/>
          <w:szCs w:val="28"/>
          <w:lang w:val="uk-UA"/>
        </w:rPr>
        <w:t>7, пре</w:t>
      </w:r>
      <w:r w:rsidRPr="00D43FE2">
        <w:rPr>
          <w:rFonts w:ascii="Times New Roman" w:hAnsi="Times New Roman"/>
          <w:sz w:val="28"/>
          <w:szCs w:val="28"/>
          <w:lang w:val="uk-UA"/>
        </w:rPr>
        <w:t>дикторами виникнення запальних захворювань пародонта стали: високий</w:t>
      </w:r>
      <w:r>
        <w:rPr>
          <w:rFonts w:ascii="Times New Roman" w:hAnsi="Times New Roman"/>
          <w:sz w:val="28"/>
          <w:szCs w:val="28"/>
          <w:lang w:val="uk-UA"/>
        </w:rPr>
        <w:t xml:space="preserve"> (</w:t>
      </w:r>
      <w:r>
        <w:rPr>
          <w:sz w:val="28"/>
          <w:szCs w:val="28"/>
          <w:lang w:val="uk-UA"/>
        </w:rPr>
        <w:t>≥</w:t>
      </w:r>
      <w:r>
        <w:rPr>
          <w:rFonts w:ascii="Times New Roman" w:hAnsi="Times New Roman"/>
          <w:sz w:val="28"/>
          <w:szCs w:val="28"/>
          <w:lang w:val="uk-UA"/>
        </w:rPr>
        <w:t>2,1 ум.од) ступінь дисбіозу ротової порожнини, що виникає на фоні високої (</w:t>
      </w:r>
      <w:r>
        <w:rPr>
          <w:sz w:val="28"/>
          <w:szCs w:val="28"/>
          <w:lang w:val="uk-UA"/>
        </w:rPr>
        <w:t>≥</w:t>
      </w:r>
      <w:r>
        <w:rPr>
          <w:rFonts w:ascii="Times New Roman" w:hAnsi="Times New Roman"/>
          <w:sz w:val="28"/>
          <w:szCs w:val="28"/>
          <w:lang w:val="uk-UA"/>
        </w:rPr>
        <w:t>0,14 мккат/) активності уреази і зниження активності (≤61 од/л) лізоциму і sIgA (≤0,30 мг/л); зниження електрофоретичної рухомості ядер букального епітелію (≤50%) і зниження (≤0,70 ммоль/л) вмісту кальцію в слині.</w:t>
      </w:r>
    </w:p>
    <w:p w:rsidR="000F78D0" w:rsidRDefault="002518E6" w:rsidP="00DE610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цілому </w:t>
      </w:r>
      <w:r w:rsidR="00237240">
        <w:rPr>
          <w:rFonts w:ascii="Times New Roman" w:hAnsi="Times New Roman"/>
          <w:sz w:val="28"/>
          <w:szCs w:val="28"/>
          <w:lang w:val="uk-UA"/>
        </w:rPr>
        <w:t>(рис.5.</w:t>
      </w:r>
      <w:r w:rsidR="00237240" w:rsidRPr="00374439">
        <w:rPr>
          <w:rFonts w:ascii="Times New Roman" w:hAnsi="Times New Roman"/>
          <w:sz w:val="28"/>
          <w:szCs w:val="28"/>
          <w:lang w:val="uk-UA"/>
        </w:rPr>
        <w:t>7</w:t>
      </w:r>
      <w:r w:rsidRPr="00BD4B6D">
        <w:rPr>
          <w:rFonts w:ascii="Times New Roman" w:hAnsi="Times New Roman"/>
          <w:sz w:val="28"/>
          <w:szCs w:val="28"/>
          <w:lang w:val="uk-UA"/>
        </w:rPr>
        <w:t>) прогностична цінність пара клінічних показників виявилася дуже високою (І</w:t>
      </w:r>
      <w:r>
        <w:rPr>
          <w:rFonts w:ascii="Times New Roman" w:hAnsi="Times New Roman"/>
          <w:sz w:val="28"/>
          <w:szCs w:val="28"/>
          <w:lang w:val="uk-UA"/>
        </w:rPr>
        <w:t xml:space="preserve">=3,58) і в 2 рази перевищувала таку даних: </w:t>
      </w:r>
      <w:r>
        <w:rPr>
          <w:rFonts w:ascii="Times New Roman" w:hAnsi="Times New Roman"/>
          <w:sz w:val="28"/>
          <w:szCs w:val="28"/>
          <w:lang w:val="uk-UA"/>
        </w:rPr>
        <w:lastRenderedPageBreak/>
        <w:t>стоматологічного статусу, в 3,6 раза соматичної патології, в 5 разів акушерського анамнезу і спадковості і в 4 рази способу і анамнезу життя.</w:t>
      </w:r>
    </w:p>
    <w:p w:rsidR="000F78D0" w:rsidRDefault="000F78D0" w:rsidP="00AC605C">
      <w:pPr>
        <w:tabs>
          <w:tab w:val="left" w:pos="1230"/>
        </w:tabs>
        <w:spacing w:line="360" w:lineRule="auto"/>
        <w:ind w:firstLine="426"/>
        <w:jc w:val="right"/>
        <w:rPr>
          <w:rFonts w:ascii="Times New Roman" w:hAnsi="Times New Roman"/>
          <w:sz w:val="28"/>
          <w:szCs w:val="28"/>
          <w:lang w:val="uk-UA"/>
        </w:rPr>
      </w:pPr>
      <w:r w:rsidRPr="00274476">
        <w:rPr>
          <w:rFonts w:ascii="Times New Roman" w:hAnsi="Times New Roman"/>
          <w:i/>
          <w:sz w:val="28"/>
          <w:szCs w:val="28"/>
          <w:lang w:val="uk-UA"/>
        </w:rPr>
        <w:t>Таблиця</w:t>
      </w:r>
      <w:r w:rsidR="00237240">
        <w:rPr>
          <w:rFonts w:ascii="Times New Roman" w:hAnsi="Times New Roman"/>
          <w:sz w:val="28"/>
          <w:szCs w:val="28"/>
          <w:lang w:val="uk-UA"/>
        </w:rPr>
        <w:t xml:space="preserve"> 5.</w:t>
      </w:r>
      <w:r w:rsidR="00237240">
        <w:rPr>
          <w:rFonts w:ascii="Times New Roman" w:hAnsi="Times New Roman"/>
          <w:sz w:val="28"/>
          <w:szCs w:val="28"/>
        </w:rPr>
        <w:t>1</w:t>
      </w:r>
      <w:r>
        <w:rPr>
          <w:rFonts w:ascii="Times New Roman" w:hAnsi="Times New Roman"/>
          <w:sz w:val="28"/>
          <w:szCs w:val="28"/>
          <w:lang w:val="uk-UA"/>
        </w:rPr>
        <w:t>7</w:t>
      </w:r>
    </w:p>
    <w:p w:rsidR="000F78D0" w:rsidRDefault="000F78D0" w:rsidP="00AC605C">
      <w:pPr>
        <w:tabs>
          <w:tab w:val="left" w:pos="1230"/>
        </w:tabs>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параклінічних показників</w:t>
      </w:r>
    </w:p>
    <w:tbl>
      <w:tblPr>
        <w:tblW w:w="9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916"/>
        <w:gridCol w:w="1626"/>
        <w:gridCol w:w="2283"/>
        <w:gridCol w:w="2263"/>
      </w:tblGrid>
      <w:tr w:rsidR="000F78D0" w:rsidRPr="001336DC" w:rsidTr="002518E6">
        <w:tc>
          <w:tcPr>
            <w:tcW w:w="6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2518E6">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18"/>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Ступінь дисбіозу ротової порожнини,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+ 10,8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5,12</w:t>
            </w: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3,1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Уреаза, мккат/л</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+9,0</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4,44</w:t>
            </w:r>
          </w:p>
        </w:tc>
      </w:tr>
      <w:tr w:rsidR="000F78D0" w:rsidRPr="001336DC" w:rsidTr="002518E6">
        <w:tc>
          <w:tcPr>
            <w:tcW w:w="675" w:type="dxa"/>
            <w:vMerge/>
            <w:tcBorders>
              <w:left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0,09-0,10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0" w:type="auto"/>
            <w:vMerge/>
            <w:tcBorders>
              <w:left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left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left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0,14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-10,0</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18"/>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Оптична щільність кісткових відділів пародонта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125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-9,5</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4,33</w:t>
            </w: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131-135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136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18"/>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Кальцій в слині, ммоль/л</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0,70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-9,5</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4,16</w:t>
            </w: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0,91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val="restart"/>
            <w:tcBorders>
              <w:top w:val="single" w:sz="4" w:space="0" w:color="auto"/>
              <w:left w:val="single" w:sz="4" w:space="0" w:color="auto"/>
              <w:right w:val="single" w:sz="4" w:space="0" w:color="auto"/>
            </w:tcBorders>
          </w:tcPr>
          <w:p w:rsidR="000F78D0" w:rsidRPr="001336DC" w:rsidRDefault="000F78D0" w:rsidP="002518E6">
            <w:pPr>
              <w:numPr>
                <w:ilvl w:val="0"/>
                <w:numId w:val="18"/>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 xml:space="preserve">Лізоцим в слині,од/л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-8,9</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3,99</w:t>
            </w:r>
          </w:p>
        </w:tc>
      </w:tr>
      <w:tr w:rsidR="000F78D0" w:rsidRPr="001336DC" w:rsidTr="002518E6">
        <w:tc>
          <w:tcPr>
            <w:tcW w:w="675" w:type="dxa"/>
            <w:vMerge/>
            <w:tcBorders>
              <w:left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0" w:type="auto"/>
            <w:vMerge/>
            <w:tcBorders>
              <w:left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left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41-60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left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left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61-80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+6,2</w:t>
            </w:r>
          </w:p>
        </w:tc>
        <w:tc>
          <w:tcPr>
            <w:tcW w:w="0" w:type="auto"/>
            <w:vMerge/>
            <w:tcBorders>
              <w:left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81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+10,4</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18"/>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rPr>
              <w:t>sIgA</w:t>
            </w:r>
            <w:r w:rsidRPr="001336DC">
              <w:rPr>
                <w:rFonts w:ascii="Times New Roman" w:hAnsi="Times New Roman"/>
                <w:sz w:val="28"/>
                <w:szCs w:val="28"/>
                <w:lang w:val="uk-UA"/>
              </w:rPr>
              <w:t xml:space="preserve"> в слині, мг/л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3,02</w:t>
            </w: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0,21-0,30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0,31-0,40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0,41-0,50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18"/>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0,51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18"/>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ind w:firstLine="34"/>
              <w:rPr>
                <w:rFonts w:ascii="Times New Roman" w:hAnsi="Times New Roman"/>
                <w:sz w:val="28"/>
                <w:szCs w:val="28"/>
                <w:lang w:val="uk-UA"/>
              </w:rPr>
            </w:pPr>
            <w:r w:rsidRPr="001336DC">
              <w:rPr>
                <w:rFonts w:ascii="Times New Roman" w:hAnsi="Times New Roman"/>
                <w:sz w:val="28"/>
                <w:szCs w:val="28"/>
                <w:lang w:val="uk-UA"/>
              </w:rPr>
              <w:t>Електрофоретична рухомість ядер букального епітелію,%</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13"/>
              <w:jc w:val="center"/>
              <w:rPr>
                <w:rFonts w:ascii="Times New Roman" w:hAnsi="Times New Roman"/>
                <w:sz w:val="28"/>
                <w:szCs w:val="28"/>
                <w:lang w:val="uk-UA"/>
              </w:rPr>
            </w:pPr>
            <w:r w:rsidRPr="001336DC">
              <w:rPr>
                <w:rFonts w:ascii="Times New Roman" w:hAnsi="Times New Roman"/>
                <w:sz w:val="28"/>
                <w:szCs w:val="28"/>
                <w:lang w:val="uk-UA"/>
              </w:rPr>
              <w:t>2,20</w:t>
            </w: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41-50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51-60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r w:rsidR="000F78D0" w:rsidRPr="001336DC" w:rsidTr="002518E6">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61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3"/>
              <w:jc w:val="center"/>
              <w:rPr>
                <w:rFonts w:ascii="Times New Roman" w:hAnsi="Times New Roman"/>
                <w:sz w:val="28"/>
                <w:szCs w:val="28"/>
                <w:lang w:val="uk-UA"/>
              </w:rPr>
            </w:pPr>
          </w:p>
        </w:tc>
      </w:tr>
    </w:tbl>
    <w:p w:rsidR="002518E6" w:rsidRDefault="002518E6" w:rsidP="002518E6">
      <w:pPr>
        <w:tabs>
          <w:tab w:val="left" w:pos="1230"/>
        </w:tabs>
        <w:spacing w:line="360" w:lineRule="auto"/>
        <w:ind w:firstLine="426"/>
        <w:jc w:val="both"/>
        <w:rPr>
          <w:rFonts w:ascii="Times New Roman" w:hAnsi="Times New Roman"/>
          <w:sz w:val="28"/>
          <w:szCs w:val="28"/>
          <w:lang w:val="uk-UA"/>
        </w:rPr>
      </w:pPr>
    </w:p>
    <w:p w:rsidR="002518E6" w:rsidRDefault="002518E6" w:rsidP="00DE610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зв’язку з тим (</w:t>
      </w:r>
      <w:r w:rsidR="00237240">
        <w:rPr>
          <w:rFonts w:ascii="Times New Roman" w:hAnsi="Times New Roman"/>
          <w:sz w:val="28"/>
          <w:szCs w:val="28"/>
          <w:lang w:val="uk-UA"/>
        </w:rPr>
        <w:t>рис.5.</w:t>
      </w:r>
      <w:r w:rsidR="00237240" w:rsidRPr="00237240">
        <w:rPr>
          <w:rFonts w:ascii="Times New Roman" w:hAnsi="Times New Roman"/>
          <w:sz w:val="28"/>
          <w:szCs w:val="28"/>
          <w:lang w:val="ru-RU"/>
        </w:rPr>
        <w:t>7</w:t>
      </w:r>
      <w:r w:rsidRPr="00BD4B6D">
        <w:rPr>
          <w:rFonts w:ascii="Times New Roman" w:hAnsi="Times New Roman"/>
          <w:sz w:val="28"/>
          <w:szCs w:val="28"/>
          <w:lang w:val="uk-UA"/>
        </w:rPr>
        <w:t>), що всі види обстеження хворих виявили прогностичну значимість, це дає підстави для формування узагальненого прог</w:t>
      </w:r>
      <w:r w:rsidR="00237240">
        <w:rPr>
          <w:rFonts w:ascii="Times New Roman" w:hAnsi="Times New Roman"/>
          <w:sz w:val="28"/>
          <w:szCs w:val="28"/>
          <w:lang w:val="uk-UA"/>
        </w:rPr>
        <w:t>ностичного алгоритму (табл. 5.</w:t>
      </w:r>
      <w:r w:rsidR="00237240">
        <w:rPr>
          <w:rFonts w:ascii="Times New Roman" w:hAnsi="Times New Roman"/>
          <w:sz w:val="28"/>
          <w:szCs w:val="28"/>
        </w:rPr>
        <w:t>1</w:t>
      </w:r>
      <w:r w:rsidRPr="00BD4B6D">
        <w:rPr>
          <w:rFonts w:ascii="Times New Roman" w:hAnsi="Times New Roman"/>
          <w:sz w:val="28"/>
          <w:szCs w:val="28"/>
          <w:lang w:val="uk-UA"/>
        </w:rPr>
        <w:t>8).</w:t>
      </w:r>
    </w:p>
    <w:p w:rsidR="000F78D0" w:rsidRDefault="000F78D0" w:rsidP="00AC605C">
      <w:pPr>
        <w:tabs>
          <w:tab w:val="left" w:pos="1230"/>
        </w:tabs>
        <w:spacing w:line="360" w:lineRule="auto"/>
        <w:ind w:firstLine="426"/>
        <w:jc w:val="both"/>
        <w:rPr>
          <w:rFonts w:ascii="Times New Roman" w:hAnsi="Times New Roman"/>
          <w:sz w:val="28"/>
          <w:szCs w:val="28"/>
          <w:lang w:val="uk-UA"/>
        </w:rPr>
      </w:pPr>
    </w:p>
    <w:p w:rsidR="000F78D0" w:rsidRDefault="00B066D9" w:rsidP="00AC605C">
      <w:pPr>
        <w:tabs>
          <w:tab w:val="left" w:pos="1230"/>
        </w:tabs>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581650" cy="3219450"/>
            <wp:effectExtent l="0" t="0" r="0" b="0"/>
            <wp:docPr id="49" name="Объект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F78D0" w:rsidRDefault="00237240" w:rsidP="00DE610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7</w:t>
      </w:r>
      <w:r w:rsidR="000F78D0" w:rsidRPr="00BD4B6D">
        <w:rPr>
          <w:rFonts w:ascii="Times New Roman" w:hAnsi="Times New Roman"/>
          <w:sz w:val="28"/>
          <w:szCs w:val="28"/>
          <w:lang w:val="uk-UA"/>
        </w:rPr>
        <w:t>.</w:t>
      </w:r>
      <w:r w:rsidR="000F78D0">
        <w:rPr>
          <w:rFonts w:ascii="Times New Roman" w:hAnsi="Times New Roman"/>
          <w:sz w:val="28"/>
          <w:szCs w:val="28"/>
          <w:lang w:val="uk-UA"/>
        </w:rPr>
        <w:t xml:space="preserve"> Комплексна оцінка прогностичної значимості параклінічних показників та інших видів обстеження.  </w:t>
      </w:r>
    </w:p>
    <w:p w:rsidR="000F78D0" w:rsidRDefault="000F78D0" w:rsidP="00AC605C">
      <w:pPr>
        <w:tabs>
          <w:tab w:val="left" w:pos="1230"/>
        </w:tabs>
        <w:spacing w:line="360" w:lineRule="auto"/>
        <w:ind w:firstLine="426"/>
        <w:jc w:val="right"/>
        <w:rPr>
          <w:rFonts w:ascii="Times New Roman" w:hAnsi="Times New Roman"/>
          <w:sz w:val="28"/>
          <w:szCs w:val="28"/>
          <w:lang w:val="uk-UA"/>
        </w:rPr>
      </w:pPr>
      <w:r w:rsidRPr="00A53673">
        <w:rPr>
          <w:rFonts w:ascii="Times New Roman" w:hAnsi="Times New Roman"/>
          <w:i/>
          <w:sz w:val="28"/>
          <w:szCs w:val="28"/>
          <w:lang w:val="uk-UA"/>
        </w:rPr>
        <w:t>Таблиця</w:t>
      </w:r>
      <w:r w:rsidR="00237240">
        <w:rPr>
          <w:rFonts w:ascii="Times New Roman" w:hAnsi="Times New Roman"/>
          <w:sz w:val="28"/>
          <w:szCs w:val="28"/>
          <w:lang w:val="uk-UA"/>
        </w:rPr>
        <w:t xml:space="preserve"> 5.</w:t>
      </w:r>
      <w:r w:rsidR="00237240" w:rsidRPr="00BD4FE3">
        <w:rPr>
          <w:rFonts w:ascii="Times New Roman" w:hAnsi="Times New Roman"/>
          <w:sz w:val="28"/>
          <w:szCs w:val="28"/>
          <w:lang w:val="ru-RU"/>
        </w:rPr>
        <w:t>1</w:t>
      </w:r>
      <w:r>
        <w:rPr>
          <w:rFonts w:ascii="Times New Roman" w:hAnsi="Times New Roman"/>
          <w:sz w:val="28"/>
          <w:szCs w:val="28"/>
          <w:lang w:val="uk-UA"/>
        </w:rPr>
        <w:t>8</w:t>
      </w:r>
    </w:p>
    <w:p w:rsidR="000F78D0" w:rsidRDefault="000F78D0" w:rsidP="00AC605C">
      <w:pPr>
        <w:tabs>
          <w:tab w:val="left" w:pos="1230"/>
        </w:tabs>
        <w:spacing w:line="360" w:lineRule="auto"/>
        <w:ind w:firstLine="426"/>
        <w:jc w:val="center"/>
        <w:rPr>
          <w:rFonts w:ascii="Times New Roman" w:hAnsi="Times New Roman"/>
          <w:sz w:val="28"/>
          <w:szCs w:val="28"/>
          <w:lang w:val="uk-UA"/>
        </w:rPr>
      </w:pPr>
      <w:r>
        <w:rPr>
          <w:rFonts w:ascii="Times New Roman" w:hAnsi="Times New Roman"/>
          <w:sz w:val="28"/>
          <w:szCs w:val="28"/>
          <w:lang w:val="uk-UA"/>
        </w:rPr>
        <w:t xml:space="preserve">Алгоритм прогнозу запальних захворювань пародонта у дівчат-підлітків з ПМФ.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6"/>
        <w:gridCol w:w="11"/>
        <w:gridCol w:w="3732"/>
        <w:gridCol w:w="2126"/>
        <w:gridCol w:w="1701"/>
        <w:gridCol w:w="1843"/>
      </w:tblGrid>
      <w:tr w:rsidR="000F78D0" w:rsidRPr="001336DC" w:rsidTr="002518E6">
        <w:tc>
          <w:tcPr>
            <w:tcW w:w="476" w:type="dxa"/>
            <w:tcBorders>
              <w:top w:val="single" w:sz="4" w:space="0" w:color="auto"/>
              <w:left w:val="single" w:sz="4" w:space="0" w:color="auto"/>
              <w:bottom w:val="single" w:sz="4" w:space="0" w:color="auto"/>
              <w:right w:val="single" w:sz="4" w:space="0" w:color="auto"/>
            </w:tcBorders>
            <w:hideMark/>
          </w:tcPr>
          <w:p w:rsidR="000F78D0" w:rsidRPr="001336DC" w:rsidRDefault="002518E6" w:rsidP="002518E6">
            <w:pPr>
              <w:jc w:val="both"/>
              <w:rPr>
                <w:rFonts w:ascii="Times New Roman" w:hAnsi="Times New Roman"/>
                <w:sz w:val="28"/>
                <w:szCs w:val="28"/>
                <w:lang w:val="uk-UA"/>
              </w:rPr>
            </w:pPr>
            <w:r w:rsidRPr="001336DC">
              <w:rPr>
                <w:rFonts w:ascii="Times New Roman" w:hAnsi="Times New Roman"/>
                <w:sz w:val="28"/>
                <w:szCs w:val="28"/>
                <w:lang w:val="uk-UA"/>
              </w:rPr>
              <w:t>№</w:t>
            </w:r>
          </w:p>
        </w:tc>
        <w:tc>
          <w:tcPr>
            <w:tcW w:w="374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Показники</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184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24"/>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2518E6" w:rsidRPr="001336DC" w:rsidTr="002518E6">
        <w:tc>
          <w:tcPr>
            <w:tcW w:w="487" w:type="dxa"/>
            <w:gridSpan w:val="2"/>
            <w:vMerge w:val="restart"/>
            <w:tcBorders>
              <w:top w:val="single" w:sz="4" w:space="0" w:color="auto"/>
              <w:left w:val="single" w:sz="4" w:space="0" w:color="auto"/>
              <w:bottom w:val="single" w:sz="4" w:space="0" w:color="auto"/>
              <w:right w:val="single" w:sz="4" w:space="0" w:color="auto"/>
            </w:tcBorders>
          </w:tcPr>
          <w:p w:rsidR="002518E6" w:rsidRPr="001336DC" w:rsidRDefault="002518E6" w:rsidP="002518E6">
            <w:pPr>
              <w:numPr>
                <w:ilvl w:val="0"/>
                <w:numId w:val="31"/>
              </w:numPr>
              <w:ind w:right="562"/>
              <w:jc w:val="both"/>
              <w:rPr>
                <w:rFonts w:ascii="Times New Roman" w:hAnsi="Times New Roman"/>
                <w:sz w:val="28"/>
                <w:szCs w:val="28"/>
                <w:lang w:val="uk-UA"/>
              </w:rPr>
            </w:pPr>
          </w:p>
          <w:p w:rsidR="000F78D0" w:rsidRPr="001336DC" w:rsidRDefault="002518E6" w:rsidP="002518E6">
            <w:pPr>
              <w:rPr>
                <w:rFonts w:ascii="Times New Roman" w:hAnsi="Times New Roman"/>
                <w:sz w:val="28"/>
                <w:szCs w:val="28"/>
                <w:lang w:val="uk-UA"/>
              </w:rPr>
            </w:pPr>
            <w:r w:rsidRPr="001336DC">
              <w:rPr>
                <w:rFonts w:ascii="Times New Roman" w:hAnsi="Times New Roman"/>
                <w:sz w:val="28"/>
                <w:szCs w:val="28"/>
                <w:lang w:val="uk-UA"/>
              </w:rPr>
              <w:t>1.</w:t>
            </w: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Ступінь дисбіозу ротової порожнини, ум.од.</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+ 10,8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5,12</w:t>
            </w: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2,1-3,0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3,1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Уреаза, мккат/л</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≤0,08</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+9,0</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4,44</w:t>
            </w:r>
          </w:p>
        </w:tc>
      </w:tr>
      <w:tr w:rsidR="002518E6" w:rsidRPr="001336DC" w:rsidTr="002518E6">
        <w:tc>
          <w:tcPr>
            <w:tcW w:w="487" w:type="dxa"/>
            <w:gridSpan w:val="2"/>
            <w:vMerge/>
            <w:tcBorders>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0,09-0,10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843" w:type="dxa"/>
            <w:vMerge/>
            <w:tcBorders>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0,14</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-10,0</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Оптична щільність кісткових відділів пародонта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125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4,33</w:t>
            </w: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131-135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136</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Кальцій в слині, ммоль/л</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0,70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4,16</w:t>
            </w: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gridSpan w:val="2"/>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0,91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bl>
    <w:p w:rsidR="002518E6" w:rsidRDefault="002518E6">
      <w:pPr>
        <w:rPr>
          <w:lang w:val="uk-UA"/>
        </w:rPr>
      </w:pPr>
    </w:p>
    <w:p w:rsidR="002518E6" w:rsidRDefault="002518E6">
      <w:pPr>
        <w:rPr>
          <w:lang w:val="uk-UA"/>
        </w:rPr>
      </w:pPr>
    </w:p>
    <w:p w:rsidR="002518E6" w:rsidRPr="002518E6" w:rsidRDefault="00237240" w:rsidP="002518E6">
      <w:pPr>
        <w:jc w:val="right"/>
        <w:rPr>
          <w:rFonts w:ascii="Times New Roman" w:hAnsi="Times New Roman"/>
          <w:i/>
          <w:sz w:val="28"/>
          <w:szCs w:val="28"/>
          <w:lang w:val="uk-UA"/>
        </w:rPr>
      </w:pPr>
      <w:r>
        <w:rPr>
          <w:rFonts w:ascii="Times New Roman" w:hAnsi="Times New Roman"/>
          <w:i/>
          <w:sz w:val="28"/>
          <w:szCs w:val="28"/>
          <w:lang w:val="uk-UA"/>
        </w:rPr>
        <w:lastRenderedPageBreak/>
        <w:t>Продовження табл.5.</w:t>
      </w:r>
      <w:r>
        <w:rPr>
          <w:rFonts w:ascii="Times New Roman" w:hAnsi="Times New Roman"/>
          <w:i/>
          <w:sz w:val="28"/>
          <w:szCs w:val="28"/>
        </w:rPr>
        <w:t>1</w:t>
      </w:r>
      <w:r w:rsidR="002518E6" w:rsidRPr="002518E6">
        <w:rPr>
          <w:rFonts w:ascii="Times New Roman" w:hAnsi="Times New Roman"/>
          <w:i/>
          <w:sz w:val="28"/>
          <w:szCs w:val="28"/>
          <w:lang w:val="uk-UA"/>
        </w:rPr>
        <w:t>8</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7"/>
        <w:gridCol w:w="3732"/>
        <w:gridCol w:w="2126"/>
        <w:gridCol w:w="1701"/>
        <w:gridCol w:w="1843"/>
      </w:tblGrid>
      <w:tr w:rsidR="002518E6" w:rsidRPr="001336DC" w:rsidTr="002518E6">
        <w:tc>
          <w:tcPr>
            <w:tcW w:w="487"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 xml:space="preserve">Лізоцим в слині,од/л </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-8,9</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3,99</w:t>
            </w:r>
          </w:p>
        </w:tc>
      </w:tr>
      <w:tr w:rsidR="002518E6" w:rsidRPr="001336DC" w:rsidTr="002518E6">
        <w:tc>
          <w:tcPr>
            <w:tcW w:w="487" w:type="dxa"/>
            <w:vMerge/>
            <w:tcBorders>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21-40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1843" w:type="dxa"/>
            <w:vMerge/>
            <w:tcBorders>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41-60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61-80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+6,2</w:t>
            </w:r>
          </w:p>
        </w:tc>
        <w:tc>
          <w:tcPr>
            <w:tcW w:w="1843" w:type="dxa"/>
            <w:vMerge/>
            <w:tcBorders>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81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+10,4</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 xml:space="preserve">Індекс </w:t>
            </w:r>
            <w:r w:rsidR="00E71220">
              <w:rPr>
                <w:rFonts w:ascii="Times New Roman" w:hAnsi="Times New Roman"/>
                <w:sz w:val="28"/>
                <w:szCs w:val="28"/>
                <w:lang w:val="uk-UA"/>
              </w:rPr>
              <w:t>Ю.А.Федорова, В.В.Володкіної</w:t>
            </w:r>
            <w:r w:rsidRPr="001336DC">
              <w:rPr>
                <w:rFonts w:ascii="Times New Roman" w:hAnsi="Times New Roman"/>
                <w:sz w:val="28"/>
                <w:szCs w:val="28"/>
                <w:lang w:val="uk-UA"/>
              </w:rPr>
              <w:t>, ум.од.</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3,91</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2,1-2,5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-8,2</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підлітка </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3,13</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rPr>
              <w:t>sIgA</w:t>
            </w:r>
            <w:r w:rsidRPr="001336DC">
              <w:rPr>
                <w:rFonts w:ascii="Times New Roman" w:hAnsi="Times New Roman"/>
                <w:sz w:val="28"/>
                <w:szCs w:val="28"/>
                <w:lang w:val="uk-UA"/>
              </w:rPr>
              <w:t xml:space="preserve"> в слині, мг/л </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3,02</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0,21-0,30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0,31-0,40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0,41-0,50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0,51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батька </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2,66</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Плановий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2,42</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ургентний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Електрофоретична рухомість ядер букального епітелію,%</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40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2,20</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41-50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51-60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61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Спрощений індекс гігієни порожнини рота, ум.од.</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≤1,6</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2,18</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≥1,7</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-6,7</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Поєднані аномалії розвитку зубощелепної системи</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1,93</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матері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1,80</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-8,5</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Інтенсивність карієсу у підлітка (</w:t>
            </w:r>
            <w:r w:rsidR="00A06011">
              <w:rPr>
                <w:rFonts w:ascii="Times New Roman" w:hAnsi="Times New Roman"/>
                <w:sz w:val="28"/>
                <w:szCs w:val="28"/>
                <w:lang w:val="uk-UA"/>
              </w:rPr>
              <w:t>КПВ</w:t>
            </w:r>
            <w:r w:rsidRPr="001336DC">
              <w:rPr>
                <w:rFonts w:ascii="Times New Roman" w:hAnsi="Times New Roman"/>
                <w:sz w:val="28"/>
                <w:szCs w:val="28"/>
                <w:lang w:val="uk-UA"/>
              </w:rPr>
              <w:t>), ум.од.</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1,67</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2,7-4,4</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4,5-6,5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≥6,6</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праматерів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1,37</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 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Аномалії розвитку зубощелепної системи у підлітка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1,05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Приясенна локалізація карієса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1,05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bl>
    <w:p w:rsidR="002518E6" w:rsidRDefault="00237240" w:rsidP="002518E6">
      <w:pPr>
        <w:jc w:val="right"/>
      </w:pPr>
      <w:r>
        <w:rPr>
          <w:rFonts w:ascii="Times New Roman" w:hAnsi="Times New Roman"/>
          <w:i/>
          <w:sz w:val="28"/>
          <w:szCs w:val="28"/>
          <w:lang w:val="uk-UA"/>
        </w:rPr>
        <w:lastRenderedPageBreak/>
        <w:t>Продовження табл.5.</w:t>
      </w:r>
      <w:r>
        <w:rPr>
          <w:rFonts w:ascii="Times New Roman" w:hAnsi="Times New Roman"/>
          <w:i/>
          <w:sz w:val="28"/>
          <w:szCs w:val="28"/>
        </w:rPr>
        <w:t>1</w:t>
      </w:r>
      <w:r w:rsidR="002518E6" w:rsidRPr="002518E6">
        <w:rPr>
          <w:rFonts w:ascii="Times New Roman" w:hAnsi="Times New Roman"/>
          <w:i/>
          <w:sz w:val="28"/>
          <w:szCs w:val="28"/>
          <w:lang w:val="uk-UA"/>
        </w:rPr>
        <w:t>8</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7"/>
        <w:gridCol w:w="3732"/>
        <w:gridCol w:w="2126"/>
        <w:gridCol w:w="1701"/>
        <w:gridCol w:w="1843"/>
      </w:tblGrid>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прабатьків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1,00</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Маса тіла при народженні, г</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≤2500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0,95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2501-3500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3501-4000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≥4001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Пережовування їжі на одному боці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0,83</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пародонту у прабатьків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0,78</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+7,2</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матері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0,76</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прабатьків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0,76</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+1,9</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Тривалість грудного вигодовування, міс.</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6,1-9,0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Прояви алергії у матері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0,74</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пародонта у матері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0,74</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батька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0,72</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6-10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Ускладнені пологи</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0,66</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Розродження</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Самостійне</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0,65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Прояви алергії у батька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-5,7</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0,64</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Тривалість перебування на  свіжому повітрі, год.</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0,61</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2,1-3,0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Алергічні захворювання у підлітка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0,58</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 xml:space="preserve"> Захворювання пародонта у праматерів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0,59</w:t>
            </w:r>
          </w:p>
        </w:tc>
      </w:tr>
      <w:tr w:rsidR="002518E6" w:rsidRPr="001336DC" w:rsidTr="002518E6">
        <w:tc>
          <w:tcPr>
            <w:tcW w:w="487"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+5,3</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bl>
    <w:p w:rsidR="002518E6" w:rsidRDefault="002518E6">
      <w:pPr>
        <w:rPr>
          <w:lang w:val="uk-UA"/>
        </w:rPr>
      </w:pPr>
    </w:p>
    <w:p w:rsidR="002518E6" w:rsidRPr="002518E6" w:rsidRDefault="00237240" w:rsidP="002518E6">
      <w:pPr>
        <w:jc w:val="right"/>
        <w:rPr>
          <w:lang w:val="uk-UA"/>
        </w:rPr>
      </w:pPr>
      <w:r>
        <w:rPr>
          <w:rFonts w:ascii="Times New Roman" w:hAnsi="Times New Roman"/>
          <w:i/>
          <w:sz w:val="28"/>
          <w:szCs w:val="28"/>
          <w:lang w:val="uk-UA"/>
        </w:rPr>
        <w:lastRenderedPageBreak/>
        <w:t>Продовження табл.5.</w:t>
      </w:r>
      <w:r>
        <w:rPr>
          <w:rFonts w:ascii="Times New Roman" w:hAnsi="Times New Roman"/>
          <w:i/>
          <w:sz w:val="28"/>
          <w:szCs w:val="28"/>
        </w:rPr>
        <w:t>1</w:t>
      </w:r>
      <w:r w:rsidR="002518E6" w:rsidRPr="002518E6">
        <w:rPr>
          <w:rFonts w:ascii="Times New Roman" w:hAnsi="Times New Roman"/>
          <w:i/>
          <w:sz w:val="28"/>
          <w:szCs w:val="28"/>
          <w:lang w:val="uk-UA"/>
        </w:rPr>
        <w:t>8</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7"/>
        <w:gridCol w:w="3732"/>
        <w:gridCol w:w="2126"/>
        <w:gridCol w:w="1701"/>
        <w:gridCol w:w="1843"/>
      </w:tblGrid>
      <w:tr w:rsidR="002518E6" w:rsidRPr="001336DC" w:rsidTr="002518E6">
        <w:tc>
          <w:tcPr>
            <w:tcW w:w="487"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Грудне вигодовування</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0,54</w:t>
            </w:r>
          </w:p>
        </w:tc>
      </w:tr>
      <w:tr w:rsidR="002518E6" w:rsidRPr="001336DC" w:rsidTr="002518E6">
        <w:tc>
          <w:tcPr>
            <w:tcW w:w="487"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Загроза переривання вагітності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0,54</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пародонта у батька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0,52</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Прояви алергії у праматерів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0,52</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Прояви алергії в дитячому віці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0,50</w:t>
            </w:r>
          </w:p>
        </w:tc>
      </w:tr>
      <w:tr w:rsidR="002518E6" w:rsidRPr="001336DC" w:rsidTr="002518E6">
        <w:tc>
          <w:tcPr>
            <w:tcW w:w="487"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Гестоз 1-ої половини вагітності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0,45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Прояви алергії у прабатьків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0,40</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Фетоплацентарна недостатність при вагітності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0,40</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підлітка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0,40</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Індекс маси тіла підлітка, ум.од.</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1843"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0,39</w:t>
            </w:r>
          </w:p>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21-25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≥25,1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матері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0,39</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Асфіксія при народженні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0,38</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батька</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0,34</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6-20</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Прееклампсія</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0,31</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Ускладнений перебіг вагітності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0,30</w:t>
            </w:r>
          </w:p>
        </w:tc>
      </w:tr>
      <w:tr w:rsidR="002518E6" w:rsidRPr="001336DC" w:rsidTr="002518E6">
        <w:tc>
          <w:tcPr>
            <w:tcW w:w="487"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0,29</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val="restart"/>
            <w:tcBorders>
              <w:top w:val="single" w:sz="4" w:space="0" w:color="auto"/>
              <w:left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матері</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843"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0,29</w:t>
            </w:r>
          </w:p>
        </w:tc>
      </w:tr>
      <w:tr w:rsidR="002518E6" w:rsidRPr="001336DC" w:rsidTr="002518E6">
        <w:tc>
          <w:tcPr>
            <w:tcW w:w="487" w:type="dxa"/>
            <w:vMerge/>
            <w:tcBorders>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Краї пломб, що нависають</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0,26</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numPr>
                <w:ilvl w:val="0"/>
                <w:numId w:val="31"/>
              </w:numPr>
              <w:ind w:left="426" w:right="562" w:hanging="426"/>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r w:rsidR="002518E6" w:rsidRPr="001336DC" w:rsidTr="002518E6">
        <w:tc>
          <w:tcPr>
            <w:tcW w:w="487"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2518E6">
            <w:pPr>
              <w:numPr>
                <w:ilvl w:val="0"/>
                <w:numId w:val="31"/>
              </w:numPr>
              <w:ind w:left="426" w:right="562" w:hanging="426"/>
              <w:jc w:val="both"/>
              <w:rPr>
                <w:rFonts w:ascii="Times New Roman" w:hAnsi="Times New Roman"/>
                <w:sz w:val="28"/>
                <w:szCs w:val="28"/>
                <w:lang w:val="uk-UA"/>
              </w:rPr>
            </w:pPr>
          </w:p>
        </w:tc>
        <w:tc>
          <w:tcPr>
            <w:tcW w:w="373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2518E6">
            <w:pPr>
              <w:rPr>
                <w:rFonts w:ascii="Times New Roman" w:hAnsi="Times New Roman"/>
                <w:sz w:val="28"/>
                <w:szCs w:val="28"/>
                <w:lang w:val="uk-UA"/>
              </w:rPr>
            </w:pPr>
            <w:r w:rsidRPr="001336DC">
              <w:rPr>
                <w:rFonts w:ascii="Times New Roman" w:hAnsi="Times New Roman"/>
                <w:sz w:val="28"/>
                <w:szCs w:val="28"/>
                <w:lang w:val="uk-UA"/>
              </w:rPr>
              <w:t>Порушення змикання зубних рядів</w:t>
            </w: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6"/>
              <w:jc w:val="center"/>
              <w:rPr>
                <w:rFonts w:ascii="Times New Roman" w:hAnsi="Times New Roman"/>
                <w:sz w:val="28"/>
                <w:szCs w:val="28"/>
                <w:lang w:val="uk-UA"/>
              </w:rPr>
            </w:pPr>
            <w:r w:rsidRPr="001336DC">
              <w:rPr>
                <w:rFonts w:ascii="Times New Roman" w:hAnsi="Times New Roman"/>
                <w:sz w:val="28"/>
                <w:szCs w:val="28"/>
                <w:lang w:val="uk-UA"/>
              </w:rPr>
              <w:t>0,25</w:t>
            </w:r>
          </w:p>
        </w:tc>
      </w:tr>
      <w:tr w:rsidR="002518E6" w:rsidRPr="001336DC" w:rsidTr="002518E6">
        <w:tc>
          <w:tcPr>
            <w:tcW w:w="487"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373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2518E6">
            <w:pPr>
              <w:rPr>
                <w:rFonts w:ascii="Times New Roman" w:hAnsi="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426"/>
              <w:jc w:val="center"/>
              <w:rPr>
                <w:rFonts w:ascii="Times New Roman" w:hAnsi="Times New Roman"/>
                <w:sz w:val="28"/>
                <w:szCs w:val="28"/>
                <w:lang w:val="uk-UA"/>
              </w:rPr>
            </w:pPr>
          </w:p>
        </w:tc>
      </w:tr>
    </w:tbl>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розвитку запальних захворювань пародонта, а знак (+) відкидає таку вірогідність.</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Прогнозування за допомогою алгоритму здійснюють шляхом алгебраїчного підсумовування прогностичних коефіцієнтів (ПК) до моменту досягнення прогностичного порогу, який для 95% рівня надійності (р&lt;0,05) становить Σ ПК ≥13,0. Якщо біля суми ПК знак (+) , прогнозують відсутність розвитку захворювань пародонта, а якщо знак (-), прогнозують розвиток захворювань пародонта. У випадку, якщо після підсумовування ПК всіх показників алгоритму прогностичного порогу не досягнуто, то прогноз невизначений.</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приклад використання алгоритму наводимо дані хворої М., 14 років. Обстеження хворої згідно алгоритму дало наступні результати:</w:t>
      </w:r>
    </w:p>
    <w:p w:rsidR="000F78D0"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Ступінь дисбіозу ротової порожнини -3,4 ум.од. (-9,1);</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Уреаза- 0,16 мккат/л (-10,0);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Оптична щільність кісткових відділів пародонта- 132 Д (+3,2);</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Кальцій в слині  -0,86 ммоль/л (0);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 xml:space="preserve">Індекс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-3,0  ум.од. (-8,2);</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sidRPr="00744E6B">
        <w:rPr>
          <w:rFonts w:ascii="Times New Roman" w:hAnsi="Times New Roman"/>
          <w:sz w:val="28"/>
          <w:szCs w:val="28"/>
          <w:lang w:val="uk-UA"/>
        </w:rPr>
        <w:t xml:space="preserve">Кількість хронічних захворювань у підлітка </w:t>
      </w:r>
      <w:r>
        <w:rPr>
          <w:rFonts w:ascii="Times New Roman" w:hAnsi="Times New Roman"/>
          <w:sz w:val="28"/>
          <w:szCs w:val="28"/>
          <w:lang w:val="uk-UA"/>
        </w:rPr>
        <w:t>– 3 (-9,1);</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sidRPr="00744E6B">
        <w:rPr>
          <w:rFonts w:ascii="Times New Roman" w:hAnsi="Times New Roman"/>
          <w:sz w:val="28"/>
          <w:szCs w:val="28"/>
        </w:rPr>
        <w:t>sIgA</w:t>
      </w:r>
      <w:r>
        <w:rPr>
          <w:rFonts w:ascii="Times New Roman" w:hAnsi="Times New Roman"/>
          <w:sz w:val="28"/>
          <w:szCs w:val="28"/>
          <w:lang w:val="uk-UA"/>
        </w:rPr>
        <w:t xml:space="preserve"> в слині – 0,19</w:t>
      </w:r>
      <w:r w:rsidRPr="00744E6B">
        <w:rPr>
          <w:rFonts w:ascii="Times New Roman" w:hAnsi="Times New Roman"/>
          <w:sz w:val="28"/>
          <w:szCs w:val="28"/>
          <w:lang w:val="uk-UA"/>
        </w:rPr>
        <w:t xml:space="preserve"> мг/л </w:t>
      </w:r>
      <w:r>
        <w:rPr>
          <w:rFonts w:ascii="Times New Roman" w:hAnsi="Times New Roman"/>
          <w:sz w:val="28"/>
          <w:szCs w:val="28"/>
          <w:lang w:val="uk-UA"/>
        </w:rPr>
        <w:t>(-9,2);</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Кількість хронічних захворювань у батька</w:t>
      </w:r>
      <w:r w:rsidRPr="00744E6B">
        <w:rPr>
          <w:rFonts w:ascii="Times New Roman" w:hAnsi="Times New Roman"/>
          <w:sz w:val="28"/>
          <w:szCs w:val="28"/>
          <w:lang w:val="uk-UA"/>
        </w:rPr>
        <w:t xml:space="preserve"> </w:t>
      </w:r>
      <w:r>
        <w:rPr>
          <w:rFonts w:ascii="Times New Roman" w:hAnsi="Times New Roman"/>
          <w:sz w:val="28"/>
          <w:szCs w:val="28"/>
          <w:lang w:val="uk-UA"/>
        </w:rPr>
        <w:t>-4 (-5,6);</w:t>
      </w:r>
    </w:p>
    <w:p w:rsidR="000F78D0" w:rsidRPr="00364F5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 xml:space="preserve">Електрофоретична </w:t>
      </w:r>
      <w:r w:rsidRPr="00744E6B">
        <w:rPr>
          <w:rFonts w:ascii="Times New Roman" w:hAnsi="Times New Roman"/>
          <w:sz w:val="28"/>
          <w:szCs w:val="28"/>
          <w:lang w:val="uk-UA"/>
        </w:rPr>
        <w:t>рухомі</w:t>
      </w:r>
      <w:r>
        <w:rPr>
          <w:rFonts w:ascii="Times New Roman" w:hAnsi="Times New Roman"/>
          <w:sz w:val="28"/>
          <w:szCs w:val="28"/>
          <w:lang w:val="uk-UA"/>
        </w:rPr>
        <w:t>сть ядер букального епітелію -40</w:t>
      </w:r>
      <w:r w:rsidRPr="00744E6B">
        <w:rPr>
          <w:rFonts w:ascii="Times New Roman" w:hAnsi="Times New Roman"/>
          <w:sz w:val="28"/>
          <w:szCs w:val="28"/>
          <w:lang w:val="uk-UA"/>
        </w:rPr>
        <w:t>%</w:t>
      </w:r>
      <w:r>
        <w:rPr>
          <w:rFonts w:ascii="Times New Roman" w:hAnsi="Times New Roman"/>
          <w:sz w:val="28"/>
          <w:szCs w:val="28"/>
          <w:lang w:val="uk-UA"/>
        </w:rPr>
        <w:t>(-3,8);</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Поєднані а</w:t>
      </w:r>
      <w:r w:rsidRPr="00744E6B">
        <w:rPr>
          <w:rFonts w:ascii="Times New Roman" w:hAnsi="Times New Roman"/>
          <w:sz w:val="28"/>
          <w:szCs w:val="28"/>
          <w:lang w:val="uk-UA"/>
        </w:rPr>
        <w:t xml:space="preserve">номалії розвитку зубощелепної </w:t>
      </w:r>
      <w:r>
        <w:rPr>
          <w:rFonts w:ascii="Times New Roman" w:hAnsi="Times New Roman"/>
          <w:sz w:val="28"/>
          <w:szCs w:val="28"/>
          <w:lang w:val="uk-UA"/>
        </w:rPr>
        <w:t>системи – наявні (-5,4);</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sidRPr="00744E6B">
        <w:rPr>
          <w:rFonts w:ascii="Times New Roman" w:hAnsi="Times New Roman"/>
          <w:sz w:val="28"/>
          <w:szCs w:val="28"/>
          <w:lang w:val="uk-UA"/>
        </w:rPr>
        <w:t xml:space="preserve">Кількість </w:t>
      </w:r>
      <w:r>
        <w:rPr>
          <w:rFonts w:ascii="Times New Roman" w:hAnsi="Times New Roman"/>
          <w:sz w:val="28"/>
          <w:szCs w:val="28"/>
          <w:lang w:val="uk-UA"/>
        </w:rPr>
        <w:t>хронічних захворювань</w:t>
      </w:r>
      <w:r w:rsidRPr="00744E6B">
        <w:rPr>
          <w:rFonts w:ascii="Times New Roman" w:hAnsi="Times New Roman"/>
          <w:sz w:val="28"/>
          <w:szCs w:val="28"/>
          <w:lang w:val="uk-UA"/>
        </w:rPr>
        <w:t xml:space="preserve"> у матері</w:t>
      </w:r>
      <w:r>
        <w:rPr>
          <w:rFonts w:ascii="Times New Roman" w:hAnsi="Times New Roman"/>
          <w:sz w:val="28"/>
          <w:szCs w:val="28"/>
          <w:lang w:val="uk-UA"/>
        </w:rPr>
        <w:t xml:space="preserve"> – 3 (+1,0);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sidRPr="00744E6B">
        <w:rPr>
          <w:rFonts w:ascii="Times New Roman" w:hAnsi="Times New Roman"/>
          <w:sz w:val="28"/>
          <w:szCs w:val="28"/>
          <w:lang w:val="uk-UA"/>
        </w:rPr>
        <w:t xml:space="preserve">Аномалії розвитку зубощелепної </w:t>
      </w:r>
      <w:r>
        <w:rPr>
          <w:rFonts w:ascii="Times New Roman" w:hAnsi="Times New Roman"/>
          <w:sz w:val="28"/>
          <w:szCs w:val="28"/>
          <w:lang w:val="uk-UA"/>
        </w:rPr>
        <w:t>системи у підлітка – наявні (-3,2);</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Приясенна локалізація карієса – наявна (-8,8);</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Кількість хронічних захворювань у прабатьків – 4 (+1,0);</w:t>
      </w:r>
    </w:p>
    <w:p w:rsidR="000F78D0" w:rsidRPr="000E0711"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Маса тіла при народженні - 3400 г (0)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Пережовування їжі на одному боці – наявне (-6,1)</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 xml:space="preserve">Захворювання пародонту у прабатьків – наявні (-1,0)  </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Кількість вражених карієсом зубів у матері – 17 (0)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Захворювання серцево-судинної системи у прабатьків – наявні (-3,8)</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Тривалість грудного вигодовування - 8міс. (0)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lastRenderedPageBreak/>
        <w:t>Прояви алергії у матері – наявні (-6,0)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Захворювання пародонта у матері – відсутні (+2,3)</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Кількість вражених карієсом зубів у батька – 19 (0)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Ускладнені пологи – відсутні (+2,3)</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Розродження – самостійне (+2,3)</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Прояви алергії у батька   - наявні (-5,7)</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Тривалість перебування на  свіжому повітрі - 2 год. (-4,0)</w:t>
      </w:r>
    </w:p>
    <w:p w:rsidR="000F78D0"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Алергічні захворювання у підлітка – наявні (-4,8)</w:t>
      </w:r>
    </w:p>
    <w:p w:rsidR="000F78D0"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Захворювання пародонта у праматерів – наявні (-1,0)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Грудне вигодовування – наявне (+1,5)</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Загроза переривання вагітності – немає (+1,1)</w:t>
      </w:r>
    </w:p>
    <w:p w:rsidR="000F78D0"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Прояви алергії у праматерів – наявні (-4,5)</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Прояви алергії в дитячому віці – наявні (-3,0)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Гестоз 1-ої половини вагітності – наявний (-2,8)</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Прояви алергії у прабатьків – відсутні (+1,0)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Фетоплацентарна недостатність при вагітності – відсутня (+1,1)</w:t>
      </w:r>
    </w:p>
    <w:p w:rsidR="000F78D0" w:rsidRPr="00B66CDF"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Захворювання шлунково-кишкового тракту у підлітка – відсутні (+2,0)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Асфіксія при народженні – відсутня (+1,5)</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Кількість вражених карієсом зубів у батька – 24 (-2,0)</w:t>
      </w:r>
    </w:p>
    <w:p w:rsidR="000F78D0"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Прееклампсія вагітності – відсутня (+1,0)</w:t>
      </w:r>
    </w:p>
    <w:p w:rsidR="000F78D0" w:rsidRPr="00744E6B" w:rsidRDefault="000F78D0" w:rsidP="00AC605C">
      <w:pPr>
        <w:numPr>
          <w:ilvl w:val="0"/>
          <w:numId w:val="20"/>
        </w:numPr>
        <w:spacing w:line="360" w:lineRule="auto"/>
        <w:ind w:firstLine="426"/>
        <w:rPr>
          <w:rFonts w:ascii="Times New Roman" w:hAnsi="Times New Roman"/>
          <w:sz w:val="28"/>
          <w:szCs w:val="28"/>
          <w:lang w:val="uk-UA"/>
        </w:rPr>
      </w:pPr>
      <w:r>
        <w:rPr>
          <w:rFonts w:ascii="Times New Roman" w:hAnsi="Times New Roman"/>
          <w:sz w:val="28"/>
          <w:szCs w:val="28"/>
          <w:lang w:val="uk-UA"/>
        </w:rPr>
        <w:t>Ускладнений перебіг вагітності – наявний (-1,8)</w:t>
      </w:r>
    </w:p>
    <w:p w:rsidR="000F78D0" w:rsidRDefault="000F78D0" w:rsidP="00AC605C">
      <w:pPr>
        <w:numPr>
          <w:ilvl w:val="0"/>
          <w:numId w:val="20"/>
        </w:numPr>
        <w:spacing w:line="360" w:lineRule="auto"/>
        <w:ind w:firstLine="426"/>
        <w:jc w:val="both"/>
        <w:rPr>
          <w:rFonts w:ascii="Times New Roman" w:hAnsi="Times New Roman"/>
          <w:sz w:val="28"/>
          <w:szCs w:val="28"/>
          <w:lang w:val="uk-UA"/>
        </w:rPr>
      </w:pPr>
      <w:r>
        <w:rPr>
          <w:rFonts w:ascii="Times New Roman" w:hAnsi="Times New Roman"/>
          <w:sz w:val="28"/>
          <w:szCs w:val="28"/>
          <w:lang w:val="uk-UA"/>
        </w:rPr>
        <w:t>Малорухомий спосіб життя – наявний (-2,3)</w:t>
      </w:r>
    </w:p>
    <w:p w:rsidR="000F78D0" w:rsidRDefault="000F78D0" w:rsidP="00AC605C">
      <w:pPr>
        <w:numPr>
          <w:ilvl w:val="0"/>
          <w:numId w:val="20"/>
        </w:numPr>
        <w:spacing w:line="360" w:lineRule="auto"/>
        <w:ind w:firstLine="426"/>
        <w:jc w:val="both"/>
        <w:rPr>
          <w:rFonts w:ascii="Times New Roman" w:hAnsi="Times New Roman"/>
          <w:sz w:val="28"/>
          <w:szCs w:val="28"/>
          <w:lang w:val="uk-UA"/>
        </w:rPr>
      </w:pPr>
      <w:r>
        <w:rPr>
          <w:rFonts w:ascii="Times New Roman" w:hAnsi="Times New Roman"/>
          <w:sz w:val="28"/>
          <w:szCs w:val="28"/>
          <w:lang w:val="uk-UA"/>
        </w:rPr>
        <w:t>Захворювання серцево-судинної системи у матері - наявні (-4,0)</w:t>
      </w:r>
    </w:p>
    <w:p w:rsidR="000F78D0" w:rsidRDefault="000F78D0" w:rsidP="00AC605C">
      <w:pPr>
        <w:numPr>
          <w:ilvl w:val="0"/>
          <w:numId w:val="20"/>
        </w:numPr>
        <w:spacing w:line="360" w:lineRule="auto"/>
        <w:ind w:firstLine="426"/>
        <w:jc w:val="both"/>
        <w:rPr>
          <w:rFonts w:ascii="Times New Roman" w:hAnsi="Times New Roman"/>
          <w:sz w:val="28"/>
          <w:szCs w:val="28"/>
          <w:lang w:val="uk-UA"/>
        </w:rPr>
      </w:pPr>
      <w:r w:rsidRPr="00B66CDF">
        <w:rPr>
          <w:rFonts w:ascii="Times New Roman" w:hAnsi="Times New Roman"/>
          <w:sz w:val="28"/>
          <w:szCs w:val="28"/>
          <w:lang w:val="uk-UA"/>
        </w:rPr>
        <w:t>Краї пломб, що нависають – відсутні (+0,5)</w:t>
      </w:r>
    </w:p>
    <w:p w:rsidR="000F78D0" w:rsidRPr="00B66CDF" w:rsidRDefault="000F78D0" w:rsidP="00AC605C">
      <w:pPr>
        <w:numPr>
          <w:ilvl w:val="0"/>
          <w:numId w:val="20"/>
        </w:numPr>
        <w:spacing w:line="360" w:lineRule="auto"/>
        <w:ind w:firstLine="426"/>
        <w:jc w:val="both"/>
        <w:rPr>
          <w:rFonts w:ascii="Times New Roman" w:hAnsi="Times New Roman"/>
          <w:sz w:val="28"/>
          <w:szCs w:val="28"/>
          <w:lang w:val="uk-UA"/>
        </w:rPr>
      </w:pPr>
      <w:r>
        <w:rPr>
          <w:rFonts w:ascii="Times New Roman" w:hAnsi="Times New Roman"/>
          <w:sz w:val="28"/>
          <w:szCs w:val="28"/>
          <w:lang w:val="uk-UA"/>
        </w:rPr>
        <w:t>Порушення змикання зубних рядів – відсутнє (+1,0)</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Алгебраїчне  підсумовування прогностичних коефіцієнтів (вони наведені в дужках) перших двох ознак алгоритму дозволило досягти прогностичного порогу (Σ ПК= - 19,1) з надійністю ≥95%. Знак (-) біля суми ПК свідчить на користь розвитку запальних захворювань пародонта. Підсумовування п’яти  показників </w:t>
      </w:r>
      <w:r>
        <w:rPr>
          <w:rFonts w:ascii="Times New Roman" w:hAnsi="Times New Roman"/>
          <w:sz w:val="28"/>
          <w:szCs w:val="28"/>
          <w:lang w:val="uk-UA"/>
        </w:rPr>
        <w:lastRenderedPageBreak/>
        <w:t>алгоритму підвищує надійність даного прогнозу до 99% (Σ ПК= -33,3). Спостереження за підлітком підтвердило даний прогноз. У віці 16 років в неї діагностовано хронічний катаральний гінгівіт.</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Рангування значень ПК показників зі знаком (-), виявлених у конкретного підлітка, дозволяє скласти індивідуальний патогенетичний профіль даного підлітка з метою індивідуалізації профілактичних заходів. В табл. </w:t>
      </w:r>
      <w:r w:rsidR="00237240">
        <w:rPr>
          <w:rFonts w:ascii="Times New Roman" w:hAnsi="Times New Roman"/>
          <w:sz w:val="28"/>
          <w:szCs w:val="28"/>
          <w:lang w:val="uk-UA"/>
        </w:rPr>
        <w:t>5.</w:t>
      </w:r>
      <w:r w:rsidR="00237240" w:rsidRPr="00237240">
        <w:rPr>
          <w:rFonts w:ascii="Times New Roman" w:hAnsi="Times New Roman"/>
          <w:sz w:val="28"/>
          <w:szCs w:val="28"/>
          <w:lang w:val="uk-UA"/>
        </w:rPr>
        <w:t>1</w:t>
      </w:r>
      <w:r w:rsidRPr="00BD4B6D">
        <w:rPr>
          <w:rFonts w:ascii="Times New Roman" w:hAnsi="Times New Roman"/>
          <w:sz w:val="28"/>
          <w:szCs w:val="28"/>
          <w:lang w:val="uk-UA"/>
        </w:rPr>
        <w:t>9</w:t>
      </w:r>
      <w:r>
        <w:rPr>
          <w:rFonts w:ascii="Times New Roman" w:hAnsi="Times New Roman"/>
          <w:sz w:val="28"/>
          <w:szCs w:val="28"/>
          <w:lang w:val="uk-UA"/>
        </w:rPr>
        <w:t xml:space="preserve"> наведені рангові значення керованих (тих, що підлягають корекції) патогенетичних факторів вищенаведеної хворої М.</w:t>
      </w:r>
    </w:p>
    <w:p w:rsidR="000F78D0" w:rsidRPr="002518E6" w:rsidRDefault="00237240" w:rsidP="00472525">
      <w:pPr>
        <w:spacing w:line="36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5.</w:t>
      </w:r>
      <w:r w:rsidRPr="00BD4FE3">
        <w:rPr>
          <w:rFonts w:ascii="Times New Roman" w:hAnsi="Times New Roman"/>
          <w:i/>
          <w:sz w:val="28"/>
          <w:szCs w:val="28"/>
          <w:lang w:val="ru-RU"/>
        </w:rPr>
        <w:t>1</w:t>
      </w:r>
      <w:r w:rsidR="000F78D0" w:rsidRPr="002518E6">
        <w:rPr>
          <w:rFonts w:ascii="Times New Roman" w:hAnsi="Times New Roman"/>
          <w:i/>
          <w:sz w:val="28"/>
          <w:szCs w:val="28"/>
          <w:lang w:val="uk-UA"/>
        </w:rPr>
        <w:t>9</w:t>
      </w:r>
    </w:p>
    <w:p w:rsidR="000F78D0" w:rsidRDefault="000F78D0" w:rsidP="00472525">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Рангова характеристика керованих патогенетичних факторів у хворої М., 14 років</w:t>
      </w:r>
    </w:p>
    <w:tbl>
      <w:tblPr>
        <w:tblW w:w="9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7087"/>
        <w:gridCol w:w="851"/>
        <w:gridCol w:w="911"/>
      </w:tblGrid>
      <w:tr w:rsidR="000F78D0" w:rsidRPr="001336DC" w:rsidTr="002518E6">
        <w:tc>
          <w:tcPr>
            <w:tcW w:w="534" w:type="dxa"/>
          </w:tcPr>
          <w:p w:rsidR="000F78D0" w:rsidRPr="001336DC" w:rsidRDefault="000F78D0" w:rsidP="002518E6">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Патогенетичні фактори</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ПК</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Ранги</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ru-RU"/>
              </w:rPr>
            </w:pPr>
            <w:r w:rsidRPr="001336DC">
              <w:rPr>
                <w:rFonts w:ascii="Times New Roman" w:hAnsi="Times New Roman"/>
                <w:sz w:val="28"/>
                <w:szCs w:val="28"/>
                <w:lang w:val="uk-UA"/>
              </w:rPr>
              <w:t>Зниження рівня s</w:t>
            </w:r>
            <w:r w:rsidRPr="001336DC">
              <w:rPr>
                <w:rFonts w:ascii="Times New Roman" w:hAnsi="Times New Roman"/>
                <w:sz w:val="28"/>
                <w:szCs w:val="28"/>
              </w:rPr>
              <w:t>IgA</w:t>
            </w:r>
            <w:r w:rsidRPr="001336DC">
              <w:rPr>
                <w:rFonts w:ascii="Times New Roman" w:hAnsi="Times New Roman"/>
                <w:sz w:val="28"/>
                <w:szCs w:val="28"/>
                <w:lang w:val="ru-RU"/>
              </w:rPr>
              <w:t xml:space="preserve"> в слині</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-9,2</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1</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Високий ступінь дисбіозу ротової порожнини</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-9,1</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2-3</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хронічної патології</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-9,1</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2-3</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Гігієна порожнини рота</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-8,8</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4</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Пережовування їжі на одному боці</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-6,1</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5</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Наявність алергії у підлітка</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-4,8</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6</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Короткотривале (до 2-х годин) перебування на свіжому повітрі</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7</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-3,8</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8-9</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Низька рухомість ядер букального епітелію</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-3,8</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8-9</w:t>
            </w:r>
          </w:p>
        </w:tc>
      </w:tr>
      <w:tr w:rsidR="000F78D0" w:rsidRPr="001336DC" w:rsidTr="002518E6">
        <w:tc>
          <w:tcPr>
            <w:tcW w:w="534" w:type="dxa"/>
          </w:tcPr>
          <w:p w:rsidR="000F78D0" w:rsidRPr="001336DC" w:rsidRDefault="000F78D0" w:rsidP="002518E6">
            <w:pPr>
              <w:numPr>
                <w:ilvl w:val="0"/>
                <w:numId w:val="21"/>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2518E6">
            <w:pPr>
              <w:spacing w:line="360" w:lineRule="auto"/>
              <w:ind w:firstLine="33"/>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851" w:type="dxa"/>
          </w:tcPr>
          <w:p w:rsidR="000F78D0" w:rsidRPr="001336DC" w:rsidRDefault="000F78D0" w:rsidP="003D0EAE">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tcPr>
          <w:p w:rsidR="000F78D0" w:rsidRPr="001336DC" w:rsidRDefault="000F78D0" w:rsidP="003D0EAE">
            <w:pPr>
              <w:spacing w:line="360" w:lineRule="auto"/>
              <w:ind w:firstLine="33"/>
              <w:jc w:val="center"/>
              <w:rPr>
                <w:rFonts w:ascii="Times New Roman" w:hAnsi="Times New Roman"/>
                <w:sz w:val="28"/>
                <w:szCs w:val="28"/>
                <w:lang w:val="uk-UA"/>
              </w:rPr>
            </w:pPr>
            <w:r w:rsidRPr="001336DC">
              <w:rPr>
                <w:rFonts w:ascii="Times New Roman" w:hAnsi="Times New Roman"/>
                <w:sz w:val="28"/>
                <w:szCs w:val="28"/>
                <w:lang w:val="uk-UA"/>
              </w:rPr>
              <w:t>10</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табл. </w:t>
      </w:r>
      <w:r w:rsidR="00237240">
        <w:rPr>
          <w:rFonts w:ascii="Times New Roman" w:hAnsi="Times New Roman"/>
          <w:sz w:val="28"/>
          <w:szCs w:val="28"/>
          <w:lang w:val="uk-UA"/>
        </w:rPr>
        <w:t>5.</w:t>
      </w:r>
      <w:r w:rsidR="00237240" w:rsidRPr="00237240">
        <w:rPr>
          <w:rFonts w:ascii="Times New Roman" w:hAnsi="Times New Roman"/>
          <w:sz w:val="28"/>
          <w:szCs w:val="28"/>
          <w:lang w:val="uk-UA"/>
        </w:rPr>
        <w:t>1</w:t>
      </w:r>
      <w:r w:rsidRPr="00BD4B6D">
        <w:rPr>
          <w:rFonts w:ascii="Times New Roman" w:hAnsi="Times New Roman"/>
          <w:sz w:val="28"/>
          <w:szCs w:val="28"/>
          <w:lang w:val="uk-UA"/>
        </w:rPr>
        <w:t>9</w:t>
      </w:r>
      <w:r>
        <w:rPr>
          <w:rFonts w:ascii="Times New Roman" w:hAnsi="Times New Roman"/>
          <w:sz w:val="28"/>
          <w:szCs w:val="28"/>
          <w:lang w:val="uk-UA"/>
        </w:rPr>
        <w:t xml:space="preserve"> свідчать, що у даного підлітка першу четвірку патогенетичних факторів склали: зниження місцевого імунного захисту (перше рангове місце), високий ступінь дисбіозу порожнини рота і наявність комбінованої хронічної патології (2-ий-3-й- ранги), а також погана гігієна ротової порожнини (4-й ранг).</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Наступну за рангом трійку факторів склали: пережовування їжі на одному боці (5-й ранг), наявність алергії (6-й ранг) і нетривале перебування на свіжому повітрі (7-й ранг). Замикають рангову ієрархію наявність серцево-судинної патології і зниження загальної резистентності організму (8й-9й ранги) і малорухомий спосіб життя (10-й ранг).</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вказаного патогенетичного профілю витікає, що головні профілактичні зусилля в даному випадку повинні бути напрямлені на усунення дисбіозу ротової порожнини за рахунок правильної гігієни </w:t>
      </w:r>
      <w:r w:rsidR="00713761">
        <w:rPr>
          <w:rFonts w:ascii="Times New Roman" w:hAnsi="Times New Roman"/>
          <w:sz w:val="28"/>
          <w:szCs w:val="28"/>
          <w:lang w:val="uk-UA"/>
        </w:rPr>
        <w:t>ПР</w:t>
      </w:r>
      <w:r>
        <w:rPr>
          <w:rFonts w:ascii="Times New Roman" w:hAnsi="Times New Roman"/>
          <w:sz w:val="28"/>
          <w:szCs w:val="28"/>
          <w:lang w:val="uk-UA"/>
        </w:rPr>
        <w:t>, лікування хронічної патології, особливо алергії, і призначення заходів, що підвищують рівень місцевого імунного захисту.</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Додатковими заходами, що дозволяють нейтралізувати несприятливий прогноз, є виключення звички несиметричного пережовування їжі і малорухомого способу життя, а також збільшення тривалості перебування підлітка на відкритому повітрі до 3-х годин на добу.</w:t>
      </w:r>
    </w:p>
    <w:p w:rsidR="00E6561F" w:rsidRDefault="000F78D0" w:rsidP="00472525">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прогностичного алгоритму, наведеного в табл</w:t>
      </w:r>
      <w:r w:rsidR="00237240">
        <w:rPr>
          <w:rFonts w:ascii="Times New Roman" w:hAnsi="Times New Roman"/>
          <w:sz w:val="28"/>
          <w:szCs w:val="28"/>
          <w:lang w:val="uk-UA"/>
        </w:rPr>
        <w:t>. 5.</w:t>
      </w:r>
      <w:r w:rsidR="00237240" w:rsidRPr="00237240">
        <w:rPr>
          <w:rFonts w:ascii="Times New Roman" w:hAnsi="Times New Roman"/>
          <w:sz w:val="28"/>
          <w:szCs w:val="28"/>
          <w:lang w:val="ru-RU"/>
        </w:rPr>
        <w:t>1</w:t>
      </w:r>
      <w:r w:rsidR="00237240">
        <w:rPr>
          <w:rFonts w:ascii="Times New Roman" w:hAnsi="Times New Roman"/>
          <w:sz w:val="28"/>
          <w:szCs w:val="28"/>
          <w:lang w:val="uk-UA"/>
        </w:rPr>
        <w:t>8, показав (рис. 5.</w:t>
      </w:r>
      <w:r w:rsidR="00237240" w:rsidRPr="00237240">
        <w:rPr>
          <w:rFonts w:ascii="Times New Roman" w:hAnsi="Times New Roman"/>
          <w:sz w:val="28"/>
          <w:szCs w:val="28"/>
          <w:lang w:val="ru-RU"/>
        </w:rPr>
        <w:t>8</w:t>
      </w:r>
      <w:r w:rsidRPr="00BD4B6D">
        <w:rPr>
          <w:rFonts w:ascii="Times New Roman" w:hAnsi="Times New Roman"/>
          <w:sz w:val="28"/>
          <w:szCs w:val="28"/>
          <w:lang w:val="uk-UA"/>
        </w:rPr>
        <w:t>), що частка показників з високою і помірною інформативністю</w:t>
      </w:r>
      <w:r>
        <w:rPr>
          <w:rFonts w:ascii="Times New Roman" w:hAnsi="Times New Roman"/>
          <w:sz w:val="28"/>
          <w:szCs w:val="28"/>
          <w:lang w:val="uk-UA"/>
        </w:rPr>
        <w:t xml:space="preserve"> склала 73,1%, а частка показників з низькою інформативністю була незначною – 26,9%. Ці дані вказують на високий прогностичний потенціал розробленого алгоритму. Апробація алгоритму на групі навчання (</w:t>
      </w:r>
      <w:r>
        <w:rPr>
          <w:rFonts w:ascii="Times New Roman" w:hAnsi="Times New Roman"/>
          <w:sz w:val="28"/>
          <w:szCs w:val="28"/>
        </w:rPr>
        <w:t>n</w:t>
      </w:r>
      <w:r w:rsidRPr="009E6248">
        <w:rPr>
          <w:rFonts w:ascii="Times New Roman" w:hAnsi="Times New Roman"/>
          <w:sz w:val="28"/>
          <w:szCs w:val="28"/>
          <w:lang w:val="ru-RU"/>
        </w:rPr>
        <w:t>=</w:t>
      </w:r>
      <w:r>
        <w:rPr>
          <w:rFonts w:ascii="Times New Roman" w:hAnsi="Times New Roman"/>
          <w:sz w:val="28"/>
          <w:szCs w:val="28"/>
          <w:lang w:val="uk-UA"/>
        </w:rPr>
        <w:t>80) показала, що правильні прогнози склали 92,5%, невизначені – 6,25%, а помилкові – 1,25%.</w:t>
      </w:r>
      <w:r w:rsidR="00E6561F" w:rsidRPr="00E6561F">
        <w:rPr>
          <w:rFonts w:ascii="Times New Roman" w:hAnsi="Times New Roman"/>
          <w:sz w:val="28"/>
          <w:szCs w:val="28"/>
          <w:lang w:val="uk-UA"/>
        </w:rPr>
        <w:t xml:space="preserve"> </w:t>
      </w:r>
    </w:p>
    <w:p w:rsidR="00E6561F" w:rsidRDefault="00E6561F" w:rsidP="00472525">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Апробація спрощеного алгоритму, тобто з виключенням з нього параклінічних показників, показала, що правильні прогнози встановлені у 88,8%, невизначені – у 8,7%, а помилкові – в 2,5% випадків.</w:t>
      </w:r>
    </w:p>
    <w:p w:rsidR="000F78D0" w:rsidRDefault="00E6561F"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апробація алгоритмів підтверджує високу їх надійність, так як помилкові прогнози не перевищують 5% (надійність </w:t>
      </w:r>
      <w:r>
        <w:rPr>
          <w:sz w:val="28"/>
          <w:szCs w:val="28"/>
          <w:lang w:val="uk-UA"/>
        </w:rPr>
        <w:t>≥</w:t>
      </w:r>
      <w:r>
        <w:rPr>
          <w:rFonts w:ascii="Times New Roman" w:hAnsi="Times New Roman"/>
          <w:sz w:val="28"/>
          <w:szCs w:val="28"/>
          <w:lang w:val="uk-UA"/>
        </w:rPr>
        <w:t>95%, р&lt;0,05). Це дає основу для рекомендації до їх клінічного застосування.</w:t>
      </w:r>
    </w:p>
    <w:p w:rsidR="000F78D0" w:rsidRPr="009E6248"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429250" cy="3009900"/>
            <wp:effectExtent l="0" t="0" r="0" b="0"/>
            <wp:docPr id="48" name="Объект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F78D0" w:rsidRDefault="00237240" w:rsidP="00472525">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8</w:t>
      </w:r>
      <w:r w:rsidR="000F78D0">
        <w:rPr>
          <w:rFonts w:ascii="Times New Roman" w:hAnsi="Times New Roman"/>
          <w:sz w:val="28"/>
          <w:szCs w:val="28"/>
          <w:lang w:val="uk-UA"/>
        </w:rPr>
        <w:t xml:space="preserve">. Розподіл показників прогностичного алгоритму в залежності від їх інформативності. </w:t>
      </w:r>
    </w:p>
    <w:p w:rsidR="000F78D0" w:rsidRDefault="000F78D0" w:rsidP="00472525">
      <w:pPr>
        <w:tabs>
          <w:tab w:val="left" w:pos="1230"/>
        </w:tabs>
        <w:spacing w:line="360" w:lineRule="auto"/>
        <w:ind w:firstLine="709"/>
        <w:jc w:val="both"/>
        <w:rPr>
          <w:rFonts w:ascii="Times New Roman" w:hAnsi="Times New Roman"/>
          <w:sz w:val="28"/>
          <w:szCs w:val="28"/>
          <w:lang w:val="uk-UA"/>
        </w:rPr>
      </w:pPr>
    </w:p>
    <w:p w:rsidR="00EE3129" w:rsidRDefault="00EE3129" w:rsidP="00472525">
      <w:pPr>
        <w:tabs>
          <w:tab w:val="left" w:pos="1230"/>
        </w:tabs>
        <w:spacing w:line="360" w:lineRule="auto"/>
        <w:ind w:firstLine="709"/>
        <w:jc w:val="both"/>
        <w:rPr>
          <w:rFonts w:ascii="Times New Roman" w:hAnsi="Times New Roman"/>
          <w:sz w:val="28"/>
          <w:szCs w:val="28"/>
          <w:lang w:val="uk-UA"/>
        </w:rPr>
      </w:pPr>
    </w:p>
    <w:p w:rsidR="000F78D0" w:rsidRDefault="00EE3129" w:rsidP="00472525">
      <w:pPr>
        <w:tabs>
          <w:tab w:val="left" w:pos="1230"/>
        </w:tabs>
        <w:spacing w:line="360" w:lineRule="auto"/>
        <w:ind w:firstLine="709"/>
        <w:jc w:val="both"/>
        <w:rPr>
          <w:rFonts w:ascii="Times New Roman" w:hAnsi="Times New Roman"/>
          <w:sz w:val="28"/>
          <w:szCs w:val="28"/>
          <w:lang w:val="uk-UA"/>
        </w:rPr>
      </w:pPr>
      <w:r w:rsidRPr="00EE3129">
        <w:rPr>
          <w:rFonts w:ascii="Times New Roman" w:hAnsi="Times New Roman"/>
          <w:sz w:val="28"/>
          <w:szCs w:val="28"/>
          <w:lang w:val="uk-UA"/>
        </w:rPr>
        <w:t>Таким чином, н</w:t>
      </w:r>
      <w:r w:rsidR="000F78D0" w:rsidRPr="00EE3129">
        <w:rPr>
          <w:rFonts w:ascii="Times New Roman" w:hAnsi="Times New Roman"/>
          <w:sz w:val="28"/>
          <w:szCs w:val="28"/>
          <w:lang w:val="uk-UA"/>
        </w:rPr>
        <w:t>айбільш</w:t>
      </w:r>
      <w:r w:rsidR="000F78D0">
        <w:rPr>
          <w:rFonts w:ascii="Times New Roman" w:hAnsi="Times New Roman"/>
          <w:sz w:val="28"/>
          <w:szCs w:val="28"/>
          <w:lang w:val="uk-UA"/>
        </w:rPr>
        <w:t xml:space="preserve"> високу прогностичну інформативність  для прогнозу розвитку запальних захворювань пародонта  у дівчат-підлітків з ПМФ мають дані ступеня дисбіозу ротової порожнини , стан щільності кісткових відділів пародонту, порушення мінералізації кісткової тканини, індексів гігієни </w:t>
      </w:r>
      <w:r w:rsidR="00713761">
        <w:rPr>
          <w:rFonts w:ascii="Times New Roman" w:hAnsi="Times New Roman"/>
          <w:sz w:val="28"/>
          <w:szCs w:val="28"/>
          <w:lang w:val="uk-UA"/>
        </w:rPr>
        <w:t>ПР</w:t>
      </w:r>
      <w:r w:rsidR="000F78D0">
        <w:rPr>
          <w:rFonts w:ascii="Times New Roman" w:hAnsi="Times New Roman"/>
          <w:sz w:val="28"/>
          <w:szCs w:val="28"/>
          <w:lang w:val="uk-UA"/>
        </w:rPr>
        <w:t xml:space="preserve"> і ступінь комбінації соматичної патології у підлітка.</w:t>
      </w:r>
    </w:p>
    <w:p w:rsidR="000F78D0" w:rsidRDefault="000F78D0" w:rsidP="00472525">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Розроблений прогностичний алгоритм має високу (</w:t>
      </w:r>
      <w:r>
        <w:rPr>
          <w:sz w:val="28"/>
          <w:szCs w:val="28"/>
          <w:lang w:val="uk-UA"/>
        </w:rPr>
        <w:t>≥</w:t>
      </w:r>
      <w:r>
        <w:rPr>
          <w:rFonts w:ascii="Times New Roman" w:hAnsi="Times New Roman"/>
          <w:sz w:val="28"/>
          <w:szCs w:val="28"/>
          <w:lang w:val="uk-UA"/>
        </w:rPr>
        <w:t>95%) надійність і дозволяє клініцисту здійснити прогноз розвитку запальних захворювань пародонта у дівчат-підлітків з ПМФ.</w:t>
      </w:r>
    </w:p>
    <w:p w:rsidR="000F78D0" w:rsidRDefault="000F78D0" w:rsidP="00472525">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Складання на основі прогностичного алгоритму індивідуального рангового патогенетичного профілю підлітка дозволяє індивідуалізувати акценти профілактичних заходів і, таким чином, підвищити їх ефективність.</w:t>
      </w:r>
    </w:p>
    <w:p w:rsidR="000F78D0" w:rsidRDefault="000F78D0" w:rsidP="00AC605C">
      <w:pPr>
        <w:tabs>
          <w:tab w:val="left" w:pos="1230"/>
        </w:tabs>
        <w:spacing w:line="360" w:lineRule="auto"/>
        <w:ind w:firstLine="426"/>
        <w:jc w:val="both"/>
        <w:rPr>
          <w:rFonts w:ascii="Times New Roman" w:hAnsi="Times New Roman"/>
          <w:sz w:val="28"/>
          <w:szCs w:val="28"/>
          <w:lang w:val="uk-UA"/>
        </w:rPr>
      </w:pPr>
    </w:p>
    <w:p w:rsidR="00E6561F" w:rsidRDefault="00E6561F" w:rsidP="00AC605C">
      <w:pPr>
        <w:tabs>
          <w:tab w:val="left" w:pos="1230"/>
        </w:tabs>
        <w:spacing w:line="360" w:lineRule="auto"/>
        <w:ind w:firstLine="426"/>
        <w:jc w:val="both"/>
        <w:rPr>
          <w:rFonts w:ascii="Times New Roman" w:hAnsi="Times New Roman"/>
          <w:sz w:val="28"/>
          <w:szCs w:val="28"/>
          <w:lang w:val="uk-UA"/>
        </w:rPr>
      </w:pPr>
    </w:p>
    <w:p w:rsidR="00E6561F" w:rsidRDefault="00E6561F" w:rsidP="00AC605C">
      <w:pPr>
        <w:tabs>
          <w:tab w:val="left" w:pos="1230"/>
        </w:tabs>
        <w:spacing w:line="360" w:lineRule="auto"/>
        <w:ind w:firstLine="426"/>
        <w:jc w:val="both"/>
        <w:rPr>
          <w:rFonts w:ascii="Times New Roman" w:hAnsi="Times New Roman"/>
          <w:sz w:val="28"/>
          <w:szCs w:val="28"/>
          <w:lang w:val="uk-UA"/>
        </w:rPr>
      </w:pPr>
    </w:p>
    <w:p w:rsidR="00E6561F" w:rsidRPr="00025039" w:rsidRDefault="00E6561F" w:rsidP="00AC605C">
      <w:pPr>
        <w:tabs>
          <w:tab w:val="left" w:pos="1230"/>
        </w:tabs>
        <w:spacing w:line="360" w:lineRule="auto"/>
        <w:ind w:firstLine="426"/>
        <w:jc w:val="both"/>
        <w:rPr>
          <w:rFonts w:ascii="Times New Roman" w:hAnsi="Times New Roman"/>
          <w:sz w:val="28"/>
          <w:szCs w:val="28"/>
          <w:lang w:val="uk-UA"/>
        </w:rPr>
      </w:pPr>
    </w:p>
    <w:p w:rsidR="000F78D0" w:rsidRPr="008D35E4" w:rsidRDefault="000F78D0" w:rsidP="00472525">
      <w:pPr>
        <w:spacing w:line="360" w:lineRule="auto"/>
        <w:ind w:firstLine="709"/>
        <w:jc w:val="both"/>
        <w:rPr>
          <w:rFonts w:ascii="Times New Roman" w:hAnsi="Times New Roman"/>
          <w:b/>
          <w:sz w:val="28"/>
          <w:szCs w:val="28"/>
          <w:lang w:val="uk-UA"/>
        </w:rPr>
      </w:pPr>
      <w:r w:rsidRPr="00843152">
        <w:rPr>
          <w:rFonts w:ascii="Times New Roman" w:hAnsi="Times New Roman"/>
          <w:b/>
          <w:sz w:val="28"/>
          <w:szCs w:val="28"/>
          <w:lang w:val="uk-UA"/>
        </w:rPr>
        <w:lastRenderedPageBreak/>
        <w:t>5.3. Фактори, що детермінують тяжкість запальних захворювань пародонта у дівчат-підлітків з ПМФ</w:t>
      </w:r>
    </w:p>
    <w:p w:rsidR="000F78D0" w:rsidRPr="008D35E4"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вирішення вказаної задачі із загальної кількості хворих з ПМФ (n=50) було сформовано альтернативні групи: А) хворі з хронічним катаральним гінгівітом легкого ступеню тяжкості (n=24); Б) хворі з хронічним катаральним гінгівітом середнього ступеню тяжкості, гіпертрофічним гінгівітом  і хронічним пародонтитом </w:t>
      </w:r>
      <w:r w:rsidRPr="00694F45">
        <w:rPr>
          <w:rFonts w:ascii="Times New Roman" w:hAnsi="Times New Roman"/>
          <w:sz w:val="28"/>
          <w:szCs w:val="28"/>
          <w:lang w:val="uk-UA"/>
        </w:rPr>
        <w:t>(</w:t>
      </w:r>
      <w:r w:rsidRPr="00694F45">
        <w:rPr>
          <w:rFonts w:ascii="Times New Roman" w:hAnsi="Times New Roman"/>
          <w:sz w:val="28"/>
          <w:szCs w:val="28"/>
        </w:rPr>
        <w:t>n</w:t>
      </w:r>
      <w:r w:rsidRPr="00694F45">
        <w:rPr>
          <w:rFonts w:ascii="Times New Roman" w:hAnsi="Times New Roman"/>
          <w:sz w:val="28"/>
          <w:szCs w:val="28"/>
          <w:lang w:val="uk-UA"/>
        </w:rPr>
        <w:t>=26).</w:t>
      </w:r>
    </w:p>
    <w:p w:rsidR="00E6561F" w:rsidRDefault="000F78D0" w:rsidP="00472525">
      <w:pPr>
        <w:spacing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 xml:space="preserve">Порівняння даних акушерського анамнезу в групах наведено в табл. </w:t>
      </w:r>
      <w:r w:rsidR="00237240">
        <w:rPr>
          <w:rFonts w:ascii="Times New Roman" w:hAnsi="Times New Roman"/>
          <w:color w:val="000000"/>
          <w:sz w:val="28"/>
          <w:szCs w:val="28"/>
          <w:lang w:val="uk-UA"/>
        </w:rPr>
        <w:t>5.</w:t>
      </w:r>
      <w:r w:rsidR="00237240" w:rsidRPr="00BD4FE3">
        <w:rPr>
          <w:rFonts w:ascii="Times New Roman" w:hAnsi="Times New Roman"/>
          <w:color w:val="000000"/>
          <w:sz w:val="28"/>
          <w:szCs w:val="28"/>
          <w:lang w:val="uk-UA"/>
        </w:rPr>
        <w:t>20</w:t>
      </w:r>
      <w:r w:rsidRPr="00843152">
        <w:rPr>
          <w:rFonts w:ascii="Times New Roman" w:hAnsi="Times New Roman"/>
          <w:color w:val="000000"/>
          <w:sz w:val="28"/>
          <w:szCs w:val="28"/>
          <w:lang w:val="uk-UA"/>
        </w:rPr>
        <w:t>.</w:t>
      </w:r>
    </w:p>
    <w:p w:rsidR="000F78D0" w:rsidRPr="00843152" w:rsidRDefault="0023724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табл. 5.</w:t>
      </w:r>
      <w:r w:rsidRPr="00BD4FE3">
        <w:rPr>
          <w:rFonts w:ascii="Times New Roman" w:hAnsi="Times New Roman"/>
          <w:sz w:val="28"/>
          <w:szCs w:val="28"/>
          <w:lang w:val="uk-UA"/>
        </w:rPr>
        <w:t>20</w:t>
      </w:r>
      <w:r w:rsidR="000F78D0" w:rsidRPr="00843152">
        <w:rPr>
          <w:rFonts w:ascii="Times New Roman" w:hAnsi="Times New Roman"/>
          <w:sz w:val="28"/>
          <w:szCs w:val="28"/>
          <w:lang w:val="uk-UA"/>
        </w:rPr>
        <w:t xml:space="preserve"> свідчать, що за рядом показників виявлені достовірні відмінності між групами. Так, у хворих з більш тяжким перебігом запальних захворювань пародонта (група Б) достовірно частіше виявлялися: ускладнений перебіг вагітності (в 1,4 раза; р&lt;0,05); загроза переривання вагітності (в 1,9 раза; р&lt;0,05); гестоз 1-ої половини вагітності  (в 1,6 раза, р&lt;0,05).</w:t>
      </w:r>
    </w:p>
    <w:p w:rsidR="000F78D0" w:rsidRDefault="000F78D0" w:rsidP="00472525">
      <w:pPr>
        <w:spacing w:line="360" w:lineRule="auto"/>
        <w:ind w:firstLine="709"/>
        <w:jc w:val="both"/>
        <w:rPr>
          <w:rFonts w:ascii="Times New Roman" w:hAnsi="Times New Roman"/>
          <w:sz w:val="28"/>
          <w:szCs w:val="28"/>
          <w:lang w:val="uk-UA"/>
        </w:rPr>
      </w:pPr>
      <w:r w:rsidRPr="00843152">
        <w:rPr>
          <w:rFonts w:ascii="Times New Roman" w:hAnsi="Times New Roman"/>
          <w:sz w:val="28"/>
          <w:szCs w:val="28"/>
          <w:lang w:val="uk-UA"/>
        </w:rPr>
        <w:t xml:space="preserve">Крім того, за рядом ознак встановлена тенденція (р&gt;0,05) у вигляді частішої виявленості в групі Б у порівнянні з групою А фетоплацентарної недостатності (в 1,8 раза; р&gt;0,05), гестоза 2-ї половини вагітності (в 1,2 раза; р&gt;0,05), розродження у вигляді Кесареву розтину (в 1,4 раза; р&gt;0,05), прееклампсії (в 1,2 раза; р&gt;0,05); асфіксії при народженні (в 1,1 раза; р&gt;0,05), ураження ЦНС новонародженого (в 1,3 раза; р&gt;0,05), ускладнених  пологів (в 1,4 рази; р&gt;0,05), зниженої (в 2,1 раза; р&gt;0,05) або підвищеної (в 1,6 раза; р&gt;0,05) маси тіла новонародженого. </w:t>
      </w:r>
    </w:p>
    <w:p w:rsidR="00E6561F"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тяжкість запальних захворювань пародонта починає формуватися до народження дитини, а також в ранньому постнатальному періоді. При цьому різноманітні ускладнення перебігу вагітності  і пологів є негативним фактором, що робить перебіг запальних захворювань пародонту більш тяжким.</w:t>
      </w:r>
    </w:p>
    <w:p w:rsidR="000F78D0" w:rsidRDefault="00E6561F" w:rsidP="00472525">
      <w:pPr>
        <w:spacing w:line="360" w:lineRule="auto"/>
        <w:ind w:firstLine="709"/>
        <w:jc w:val="both"/>
        <w:rPr>
          <w:rFonts w:ascii="Times New Roman" w:hAnsi="Times New Roman"/>
          <w:sz w:val="28"/>
          <w:szCs w:val="28"/>
          <w:lang w:val="uk-UA"/>
        </w:rPr>
      </w:pPr>
      <w:r w:rsidRPr="00E6561F">
        <w:rPr>
          <w:rFonts w:ascii="Times New Roman" w:hAnsi="Times New Roman"/>
          <w:sz w:val="28"/>
          <w:szCs w:val="28"/>
          <w:lang w:val="uk-UA"/>
        </w:rPr>
        <w:t xml:space="preserve"> </w:t>
      </w:r>
      <w:r>
        <w:rPr>
          <w:rFonts w:ascii="Times New Roman" w:hAnsi="Times New Roman"/>
          <w:sz w:val="28"/>
          <w:szCs w:val="28"/>
          <w:lang w:val="uk-UA"/>
        </w:rPr>
        <w:t>Що стосується обтяженої спадковості з боку матері (табл</w:t>
      </w:r>
      <w:r w:rsidR="00237240">
        <w:rPr>
          <w:rFonts w:ascii="Times New Roman" w:hAnsi="Times New Roman"/>
          <w:sz w:val="28"/>
          <w:szCs w:val="28"/>
          <w:lang w:val="uk-UA"/>
        </w:rPr>
        <w:t>. 5.</w:t>
      </w:r>
      <w:r w:rsidR="00237240" w:rsidRPr="00237240">
        <w:rPr>
          <w:rFonts w:ascii="Times New Roman" w:hAnsi="Times New Roman"/>
          <w:sz w:val="28"/>
          <w:szCs w:val="28"/>
          <w:lang w:val="uk-UA"/>
        </w:rPr>
        <w:t>21</w:t>
      </w:r>
      <w:r w:rsidRPr="00843152">
        <w:rPr>
          <w:rFonts w:ascii="Times New Roman" w:hAnsi="Times New Roman"/>
          <w:sz w:val="28"/>
          <w:szCs w:val="28"/>
          <w:lang w:val="uk-UA"/>
        </w:rPr>
        <w:t>), то</w:t>
      </w:r>
      <w:r>
        <w:rPr>
          <w:rFonts w:ascii="Times New Roman" w:hAnsi="Times New Roman"/>
          <w:sz w:val="28"/>
          <w:szCs w:val="28"/>
          <w:lang w:val="uk-UA"/>
        </w:rPr>
        <w:t xml:space="preserve"> у матерів хворих з більш тяжким перебігом запальних захворювань пародонта у порівнянні з групою з легким перебігом захворювання достовірно частіше виявилися захворювання шлунково-кишкового тракту (в 2,5 разів; р&lt;0,05), ЛОР-захворювання (в 1,6 </w:t>
      </w:r>
      <w:r w:rsidRPr="00843152">
        <w:rPr>
          <w:rFonts w:ascii="Times New Roman" w:hAnsi="Times New Roman"/>
          <w:sz w:val="28"/>
          <w:szCs w:val="28"/>
          <w:lang w:val="uk-UA"/>
        </w:rPr>
        <w:t>раза; р&lt;0,01), серцево-судинні захворювання (в 2 раза; р&lt;0,05), прояви алергії (в 3,4 рази; р&lt;0,05), пародонтит (в 1,8 раза; р&lt;0,01).</w:t>
      </w:r>
    </w:p>
    <w:p w:rsidR="000F78D0" w:rsidRPr="00BD4FE3" w:rsidRDefault="000F78D0" w:rsidP="00AC605C">
      <w:pPr>
        <w:spacing w:line="360" w:lineRule="auto"/>
        <w:ind w:firstLine="426"/>
        <w:jc w:val="right"/>
        <w:rPr>
          <w:rFonts w:ascii="Times New Roman" w:hAnsi="Times New Roman"/>
          <w:sz w:val="28"/>
          <w:szCs w:val="28"/>
          <w:lang w:val="ru-RU"/>
        </w:rPr>
      </w:pPr>
      <w:r w:rsidRPr="00812ECF">
        <w:rPr>
          <w:rFonts w:ascii="Times New Roman" w:hAnsi="Times New Roman"/>
          <w:i/>
          <w:sz w:val="28"/>
          <w:szCs w:val="28"/>
          <w:lang w:val="uk-UA"/>
        </w:rPr>
        <w:lastRenderedPageBreak/>
        <w:t>Таблиця</w:t>
      </w:r>
      <w:r>
        <w:rPr>
          <w:rFonts w:ascii="Times New Roman" w:hAnsi="Times New Roman"/>
          <w:sz w:val="28"/>
          <w:szCs w:val="28"/>
          <w:lang w:val="uk-UA"/>
        </w:rPr>
        <w:t xml:space="preserve"> 5</w:t>
      </w:r>
      <w:r w:rsidR="00B52653">
        <w:rPr>
          <w:rFonts w:ascii="Times New Roman" w:hAnsi="Times New Roman"/>
          <w:sz w:val="28"/>
          <w:szCs w:val="28"/>
          <w:lang w:val="uk-UA"/>
        </w:rPr>
        <w:t>.</w:t>
      </w:r>
      <w:r w:rsidR="00B52653" w:rsidRPr="00BD4FE3">
        <w:rPr>
          <w:rFonts w:ascii="Times New Roman" w:hAnsi="Times New Roman"/>
          <w:sz w:val="28"/>
          <w:szCs w:val="28"/>
          <w:lang w:val="ru-RU"/>
        </w:rPr>
        <w:t>20</w:t>
      </w:r>
    </w:p>
    <w:p w:rsidR="000F78D0" w:rsidRDefault="000F78D0" w:rsidP="00472525">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даних акушерського анамнезу.</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086"/>
        <w:gridCol w:w="1857"/>
        <w:gridCol w:w="953"/>
        <w:gridCol w:w="875"/>
        <w:gridCol w:w="857"/>
        <w:gridCol w:w="706"/>
        <w:gridCol w:w="1131"/>
      </w:tblGrid>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828"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5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131"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131"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84"/>
              <w:jc w:val="center"/>
              <w:rPr>
                <w:rFonts w:ascii="Times New Roman" w:hAnsi="Times New Roman"/>
                <w:sz w:val="28"/>
                <w:szCs w:val="28"/>
                <w:lang w:val="uk-UA"/>
              </w:rPr>
            </w:pP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Перебіг вагітності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Нормальний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11</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23,1</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Ускладнений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13</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76,9</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Загроза переривання вагітності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61,5</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38,5</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Фетоплацентарна недостатність</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46,2</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18</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53,8</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Гестоз 1-ї половини вагітності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61,5</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38,5</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Гестоз 2-ї половини вагітності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Розродження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69,2</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самостійне</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30,8</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Прееклампсія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30,8</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18</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69,2</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Асфіксія при народженні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Ураження ЦНС при народженні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19</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73,1</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10.</w:t>
            </w:r>
          </w:p>
        </w:tc>
        <w:tc>
          <w:tcPr>
            <w:tcW w:w="3086"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r w:rsidRPr="001336DC">
              <w:rPr>
                <w:rFonts w:ascii="Times New Roman" w:hAnsi="Times New Roman"/>
                <w:sz w:val="28"/>
                <w:szCs w:val="28"/>
                <w:lang w:val="uk-UA"/>
              </w:rPr>
              <w:t>Ускладнені пологи</w:t>
            </w:r>
          </w:p>
          <w:p w:rsidR="000F78D0" w:rsidRPr="001336DC" w:rsidRDefault="000F78D0" w:rsidP="003D0EAE">
            <w:pPr>
              <w:ind w:firstLine="1"/>
              <w:rPr>
                <w:rFonts w:ascii="Times New Roman" w:hAnsi="Times New Roman"/>
                <w:sz w:val="28"/>
                <w:szCs w:val="28"/>
                <w:lang w:val="uk-UA"/>
              </w:rPr>
            </w:pPr>
            <w:r w:rsidRPr="001336DC">
              <w:rPr>
                <w:rFonts w:ascii="Times New Roman" w:hAnsi="Times New Roman"/>
                <w:sz w:val="28"/>
                <w:szCs w:val="28"/>
                <w:lang w:val="uk-UA"/>
              </w:rPr>
              <w:t xml:space="preserve">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69,2</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30,8</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11.</w:t>
            </w:r>
          </w:p>
        </w:tc>
        <w:tc>
          <w:tcPr>
            <w:tcW w:w="3086" w:type="dxa"/>
            <w:vMerge w:val="restart"/>
            <w:tcBorders>
              <w:top w:val="single" w:sz="4" w:space="0" w:color="auto"/>
              <w:left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r w:rsidRPr="001336DC">
              <w:rPr>
                <w:rFonts w:ascii="Times New Roman" w:hAnsi="Times New Roman"/>
                <w:sz w:val="28"/>
                <w:szCs w:val="28"/>
                <w:lang w:val="uk-UA"/>
              </w:rPr>
              <w:t>Маса тіла при народженні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≤2500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34,6</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E6561F">
        <w:tc>
          <w:tcPr>
            <w:tcW w:w="566" w:type="dxa"/>
            <w:vMerge/>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left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2501-4000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66,6</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38,4</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6561F">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left w:val="single" w:sz="4" w:space="0" w:color="auto"/>
              <w:bottom w:val="single" w:sz="4" w:space="0" w:color="auto"/>
              <w:right w:val="single" w:sz="4" w:space="0" w:color="auto"/>
            </w:tcBorders>
            <w:vAlign w:val="center"/>
            <w:hideMark/>
          </w:tcPr>
          <w:p w:rsidR="000F78D0" w:rsidRPr="001336DC" w:rsidRDefault="000F78D0" w:rsidP="003D0EAE">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4001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13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&gt;0,05</w:t>
            </w:r>
          </w:p>
        </w:tc>
      </w:tr>
    </w:tbl>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Примітка. * - однобічний критерій.</w:t>
      </w:r>
    </w:p>
    <w:p w:rsidR="00E6561F" w:rsidRPr="00843152" w:rsidRDefault="00E6561F"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інтенсивності карієсу, то висока його інтенсивність (</w:t>
      </w:r>
      <w:r>
        <w:rPr>
          <w:sz w:val="28"/>
          <w:szCs w:val="28"/>
          <w:lang w:val="uk-UA"/>
        </w:rPr>
        <w:t>≥</w:t>
      </w:r>
      <w:r w:rsidRPr="009268EC">
        <w:rPr>
          <w:rFonts w:ascii="Times New Roman" w:hAnsi="Times New Roman"/>
          <w:sz w:val="28"/>
          <w:szCs w:val="28"/>
          <w:lang w:val="uk-UA"/>
        </w:rPr>
        <w:t xml:space="preserve">21 </w:t>
      </w:r>
      <w:r>
        <w:rPr>
          <w:rFonts w:ascii="Times New Roman" w:hAnsi="Times New Roman"/>
          <w:sz w:val="28"/>
          <w:szCs w:val="28"/>
          <w:lang w:val="uk-UA"/>
        </w:rPr>
        <w:t xml:space="preserve">балів) була характерною для групи Б і в 3,5 </w:t>
      </w:r>
      <w:r w:rsidRPr="00843152">
        <w:rPr>
          <w:rFonts w:ascii="Times New Roman" w:hAnsi="Times New Roman"/>
          <w:sz w:val="28"/>
          <w:szCs w:val="28"/>
          <w:lang w:val="uk-UA"/>
        </w:rPr>
        <w:t>раза частіше (р&lt;0,01) діагностувалася, ніж в групі А.</w:t>
      </w:r>
    </w:p>
    <w:p w:rsidR="000F78D0" w:rsidRDefault="00E6561F" w:rsidP="00472525">
      <w:pPr>
        <w:spacing w:line="360" w:lineRule="auto"/>
        <w:ind w:firstLine="709"/>
        <w:jc w:val="both"/>
        <w:rPr>
          <w:rFonts w:ascii="Times New Roman" w:hAnsi="Times New Roman"/>
          <w:sz w:val="28"/>
          <w:szCs w:val="28"/>
          <w:lang w:val="uk-UA"/>
        </w:rPr>
      </w:pPr>
      <w:r w:rsidRPr="00843152">
        <w:rPr>
          <w:rFonts w:ascii="Times New Roman" w:hAnsi="Times New Roman"/>
          <w:sz w:val="28"/>
          <w:szCs w:val="28"/>
          <w:lang w:val="uk-UA"/>
        </w:rPr>
        <w:t xml:space="preserve">Не дивлячись на те, що по відношенню до ожиріння, порушення менструальної функції, захворювань сечовидільної системи встановлено лише </w:t>
      </w:r>
    </w:p>
    <w:p w:rsidR="000F78D0" w:rsidRPr="00843152" w:rsidRDefault="000F78D0" w:rsidP="00AC605C">
      <w:pPr>
        <w:spacing w:line="360" w:lineRule="auto"/>
        <w:ind w:firstLine="426"/>
        <w:jc w:val="both"/>
        <w:rPr>
          <w:rFonts w:ascii="Times New Roman" w:hAnsi="Times New Roman"/>
          <w:sz w:val="28"/>
          <w:szCs w:val="28"/>
          <w:lang w:val="uk-UA"/>
        </w:rPr>
      </w:pPr>
    </w:p>
    <w:p w:rsidR="000F78D0" w:rsidRPr="00BD4FE3" w:rsidRDefault="000F78D0" w:rsidP="00AC605C">
      <w:pPr>
        <w:spacing w:line="360" w:lineRule="auto"/>
        <w:ind w:firstLine="426"/>
        <w:jc w:val="right"/>
        <w:rPr>
          <w:rFonts w:ascii="Times New Roman" w:hAnsi="Times New Roman"/>
          <w:sz w:val="28"/>
          <w:szCs w:val="28"/>
          <w:lang w:val="ru-RU"/>
        </w:rPr>
      </w:pPr>
      <w:r w:rsidRPr="00843152">
        <w:rPr>
          <w:rFonts w:ascii="Times New Roman" w:hAnsi="Times New Roman"/>
          <w:i/>
          <w:sz w:val="28"/>
          <w:szCs w:val="28"/>
          <w:lang w:val="uk-UA"/>
        </w:rPr>
        <w:lastRenderedPageBreak/>
        <w:t>Таблиця</w:t>
      </w:r>
      <w:r w:rsidR="00B52653">
        <w:rPr>
          <w:rFonts w:ascii="Times New Roman" w:hAnsi="Times New Roman"/>
          <w:sz w:val="28"/>
          <w:szCs w:val="28"/>
          <w:lang w:val="uk-UA"/>
        </w:rPr>
        <w:t xml:space="preserve"> 5.</w:t>
      </w:r>
      <w:r w:rsidR="00B52653" w:rsidRPr="00BD4FE3">
        <w:rPr>
          <w:rFonts w:ascii="Times New Roman" w:hAnsi="Times New Roman"/>
          <w:sz w:val="28"/>
          <w:szCs w:val="28"/>
          <w:lang w:val="ru-RU"/>
        </w:rPr>
        <w:t>21</w:t>
      </w:r>
    </w:p>
    <w:p w:rsidR="000F78D0" w:rsidRDefault="000F78D0" w:rsidP="00472525">
      <w:pPr>
        <w:spacing w:line="360" w:lineRule="auto"/>
        <w:ind w:firstLine="709"/>
        <w:jc w:val="center"/>
        <w:rPr>
          <w:rFonts w:ascii="Times New Roman" w:hAnsi="Times New Roman"/>
          <w:sz w:val="28"/>
          <w:szCs w:val="28"/>
          <w:lang w:val="uk-UA"/>
        </w:rPr>
      </w:pPr>
      <w:r w:rsidRPr="00843152">
        <w:rPr>
          <w:rFonts w:ascii="Times New Roman" w:hAnsi="Times New Roman"/>
          <w:sz w:val="28"/>
          <w:szCs w:val="28"/>
          <w:lang w:val="uk-UA"/>
        </w:rPr>
        <w:t>Розподіл  хворих в групах в залежності від обтяженої спадковості з боку матері.</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6"/>
        <w:gridCol w:w="2944"/>
        <w:gridCol w:w="1560"/>
        <w:gridCol w:w="850"/>
        <w:gridCol w:w="851"/>
        <w:gridCol w:w="857"/>
        <w:gridCol w:w="706"/>
        <w:gridCol w:w="1130"/>
      </w:tblGrid>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5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701"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5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13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56"/>
              <w:jc w:val="center"/>
              <w:rPr>
                <w:rFonts w:ascii="Times New Roman" w:hAnsi="Times New Roman"/>
                <w:sz w:val="28"/>
                <w:szCs w:val="28"/>
                <w:lang w:val="uk-UA"/>
              </w:rPr>
            </w:pP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113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64"/>
              <w:jc w:val="center"/>
              <w:rPr>
                <w:rFonts w:ascii="Times New Roman" w:hAnsi="Times New Roman"/>
                <w:sz w:val="28"/>
                <w:szCs w:val="28"/>
                <w:lang w:val="uk-UA"/>
              </w:rPr>
            </w:pP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Порушення менструальної функції</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Ожиріння</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ЛОР-захворювання</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61,5</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4"/>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38,5</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4"/>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19</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19,2</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80,8</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21</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294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Вегетосудинна дистонія</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19,2</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21</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80,8</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2944" w:type="dxa"/>
            <w:vMerge w:val="restart"/>
            <w:tcBorders>
              <w:top w:val="single" w:sz="4" w:space="0" w:color="auto"/>
              <w:left w:val="single" w:sz="4" w:space="0" w:color="auto"/>
              <w:right w:val="single" w:sz="4" w:space="0" w:color="auto"/>
            </w:tcBorders>
            <w:hideMark/>
          </w:tcPr>
          <w:p w:rsidR="000F78D0" w:rsidRPr="001336DC" w:rsidRDefault="000F78D0" w:rsidP="00E6561F">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0-1</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11,5</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2</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53,8</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34,6</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10.</w:t>
            </w:r>
          </w:p>
        </w:tc>
        <w:tc>
          <w:tcPr>
            <w:tcW w:w="2944"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КПВ, бали</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≤10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&gt;0,05</w:t>
            </w:r>
          </w:p>
        </w:tc>
      </w:tr>
      <w:tr w:rsidR="000F78D0" w:rsidRPr="001336DC" w:rsidTr="00E6561F">
        <w:tc>
          <w:tcPr>
            <w:tcW w:w="566" w:type="dxa"/>
            <w:vMerge/>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11-20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34,6</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&lt;0,05</w:t>
            </w:r>
          </w:p>
        </w:tc>
      </w:tr>
      <w:tr w:rsidR="000F78D0" w:rsidRPr="001336DC" w:rsidTr="00E6561F">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21</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&lt;0,01</w:t>
            </w:r>
          </w:p>
        </w:tc>
      </w:tr>
      <w:tr w:rsidR="000F78D0" w:rsidRPr="001336DC" w:rsidTr="00E6561F">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11.</w:t>
            </w:r>
          </w:p>
        </w:tc>
        <w:tc>
          <w:tcPr>
            <w:tcW w:w="2944"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Пародонтити</w:t>
            </w: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10</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76,9</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64"/>
              <w:jc w:val="center"/>
            </w:pPr>
            <w:r w:rsidRPr="001336DC">
              <w:rPr>
                <w:rFonts w:ascii="Times New Roman" w:hAnsi="Times New Roman"/>
                <w:sz w:val="28"/>
                <w:szCs w:val="28"/>
                <w:lang w:val="uk-UA"/>
              </w:rPr>
              <w:t>&lt;0,01</w:t>
            </w:r>
          </w:p>
        </w:tc>
      </w:tr>
      <w:tr w:rsidR="000F78D0" w:rsidRPr="001336DC" w:rsidTr="00E6561F">
        <w:tc>
          <w:tcPr>
            <w:tcW w:w="566" w:type="dxa"/>
            <w:vMerge/>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2944" w:type="dxa"/>
            <w:vMerge/>
            <w:tcBorders>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56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5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14</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23,1</w:t>
            </w:r>
          </w:p>
        </w:tc>
        <w:tc>
          <w:tcPr>
            <w:tcW w:w="113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4"/>
              <w:jc w:val="center"/>
              <w:rPr>
                <w:rFonts w:ascii="Times New Roman" w:hAnsi="Times New Roman"/>
                <w:sz w:val="28"/>
                <w:szCs w:val="28"/>
                <w:lang w:val="uk-UA"/>
              </w:rPr>
            </w:pPr>
            <w:r w:rsidRPr="001336DC">
              <w:rPr>
                <w:rFonts w:ascii="Times New Roman" w:hAnsi="Times New Roman"/>
                <w:sz w:val="28"/>
                <w:szCs w:val="28"/>
                <w:lang w:val="uk-UA"/>
              </w:rPr>
              <w:t>&lt;0,01</w:t>
            </w:r>
          </w:p>
        </w:tc>
      </w:tr>
    </w:tbl>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Примітка. * - однобічний критерій.</w:t>
      </w:r>
    </w:p>
    <w:p w:rsidR="000F78D0" w:rsidRDefault="000F78D0" w:rsidP="00472525">
      <w:pPr>
        <w:spacing w:line="360" w:lineRule="auto"/>
        <w:ind w:firstLine="709"/>
        <w:jc w:val="both"/>
        <w:rPr>
          <w:rFonts w:ascii="Times New Roman" w:hAnsi="Times New Roman"/>
          <w:sz w:val="28"/>
          <w:szCs w:val="28"/>
          <w:lang w:val="uk-UA"/>
        </w:rPr>
      </w:pPr>
    </w:p>
    <w:p w:rsidR="000F78D0" w:rsidRPr="00843152" w:rsidRDefault="00E6561F" w:rsidP="00472525">
      <w:pPr>
        <w:spacing w:line="360" w:lineRule="auto"/>
        <w:jc w:val="both"/>
        <w:rPr>
          <w:rFonts w:ascii="Times New Roman" w:hAnsi="Times New Roman"/>
          <w:sz w:val="28"/>
          <w:szCs w:val="28"/>
          <w:lang w:val="uk-UA"/>
        </w:rPr>
      </w:pPr>
      <w:r w:rsidRPr="00843152">
        <w:rPr>
          <w:rFonts w:ascii="Times New Roman" w:hAnsi="Times New Roman"/>
          <w:sz w:val="28"/>
          <w:szCs w:val="28"/>
          <w:lang w:val="uk-UA"/>
        </w:rPr>
        <w:t xml:space="preserve">тенденцію (р&gt;0,05) до частіших їх проявів в групі Б, однак в цілому виявлено патогенетичне підсумовування їх впливу, у зв’язку з чим наявність трьох і більше </w:t>
      </w:r>
      <w:r w:rsidR="000F78D0" w:rsidRPr="00843152">
        <w:rPr>
          <w:rFonts w:ascii="Times New Roman" w:hAnsi="Times New Roman"/>
          <w:sz w:val="28"/>
          <w:szCs w:val="28"/>
          <w:lang w:val="uk-UA"/>
        </w:rPr>
        <w:t xml:space="preserve">хронічних захворювань була відносно специфічною для хворих групи Б, оскільки </w:t>
      </w:r>
      <w:r w:rsidR="000F78D0" w:rsidRPr="00843152">
        <w:rPr>
          <w:rFonts w:ascii="Times New Roman" w:hAnsi="Times New Roman"/>
          <w:sz w:val="28"/>
          <w:szCs w:val="28"/>
          <w:lang w:val="uk-UA"/>
        </w:rPr>
        <w:lastRenderedPageBreak/>
        <w:t xml:space="preserve">в 2,8 раза частіше (р&lt;0,01) зустрічалась у них у порівнянні з хворими з легким перебігом захворювання. </w:t>
      </w:r>
    </w:p>
    <w:p w:rsidR="000F78D0" w:rsidRDefault="00B52653"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боку батька (табл. 5.</w:t>
      </w:r>
      <w:r w:rsidRPr="00B52653">
        <w:rPr>
          <w:rFonts w:ascii="Times New Roman" w:hAnsi="Times New Roman"/>
          <w:sz w:val="28"/>
          <w:szCs w:val="28"/>
          <w:lang w:val="ru-RU"/>
        </w:rPr>
        <w:t>22</w:t>
      </w:r>
      <w:r w:rsidR="000F78D0" w:rsidRPr="00843152">
        <w:rPr>
          <w:rFonts w:ascii="Times New Roman" w:hAnsi="Times New Roman"/>
          <w:sz w:val="28"/>
          <w:szCs w:val="28"/>
          <w:lang w:val="uk-UA"/>
        </w:rPr>
        <w:t>) в групі Б у порівнянні з групою А частіше виявлялися прояви алергії (в 3,1 раза; р&lt;0,05). По відношенню до іншої</w:t>
      </w:r>
      <w:r w:rsidR="000F78D0">
        <w:rPr>
          <w:rFonts w:ascii="Times New Roman" w:hAnsi="Times New Roman"/>
          <w:sz w:val="28"/>
          <w:szCs w:val="28"/>
          <w:lang w:val="uk-UA"/>
        </w:rPr>
        <w:t xml:space="preserve"> соматичної патології встановлена тенденція до більшої її частоти (р&gt;0,05) в групі Б. Вказана тенденція викликає адитивний патогенетичний ефект, що проявився тим, що значна (</w:t>
      </w:r>
      <w:r w:rsidR="000F78D0">
        <w:rPr>
          <w:sz w:val="28"/>
          <w:szCs w:val="28"/>
          <w:lang w:val="uk-UA"/>
        </w:rPr>
        <w:t>≥</w:t>
      </w:r>
      <w:r w:rsidR="000F78D0">
        <w:rPr>
          <w:rFonts w:ascii="Times New Roman" w:hAnsi="Times New Roman"/>
          <w:sz w:val="28"/>
          <w:szCs w:val="28"/>
          <w:lang w:val="uk-UA"/>
        </w:rPr>
        <w:t xml:space="preserve">3-х) кількість хронічних захворювань була характерною для хворих групи Б і в 5,5 </w:t>
      </w:r>
      <w:r w:rsidR="000F78D0" w:rsidRPr="00843152">
        <w:rPr>
          <w:rFonts w:ascii="Times New Roman" w:hAnsi="Times New Roman"/>
          <w:sz w:val="28"/>
          <w:szCs w:val="28"/>
          <w:lang w:val="uk-UA"/>
        </w:rPr>
        <w:t xml:space="preserve">раза частіше (р&lt;0,05) виявлялася у них, аніж в групі А. І, навпаки, незначна (1-2) кількість хронічних захворювань була характерна (р&lt;0,05) для хворих групи А. </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специфічного генетичного вантажу, то висока інтенсивність карієсу </w:t>
      </w:r>
      <w:r w:rsidRPr="009268EC">
        <w:rPr>
          <w:rFonts w:ascii="Times New Roman" w:hAnsi="Times New Roman"/>
          <w:sz w:val="28"/>
          <w:szCs w:val="28"/>
          <w:lang w:val="uk-UA"/>
        </w:rPr>
        <w:t>(</w:t>
      </w:r>
      <w:r w:rsidRPr="009268EC">
        <w:rPr>
          <w:sz w:val="28"/>
          <w:szCs w:val="28"/>
          <w:lang w:val="uk-UA"/>
        </w:rPr>
        <w:t>≥</w:t>
      </w:r>
      <w:r w:rsidRPr="009268EC">
        <w:rPr>
          <w:rFonts w:ascii="Times New Roman" w:hAnsi="Times New Roman"/>
          <w:sz w:val="28"/>
          <w:szCs w:val="28"/>
          <w:lang w:val="uk-UA"/>
        </w:rPr>
        <w:t>21 балів</w:t>
      </w:r>
      <w:r>
        <w:rPr>
          <w:rFonts w:ascii="Times New Roman" w:hAnsi="Times New Roman"/>
          <w:sz w:val="28"/>
          <w:szCs w:val="28"/>
          <w:lang w:val="uk-UA"/>
        </w:rPr>
        <w:t xml:space="preserve">) відмічалася в 2 рази частіше (р&lt;0,05), а захворювання пародонтитом в 1,8 </w:t>
      </w:r>
      <w:r w:rsidRPr="00843152">
        <w:rPr>
          <w:rFonts w:ascii="Times New Roman" w:hAnsi="Times New Roman"/>
          <w:sz w:val="28"/>
          <w:szCs w:val="28"/>
          <w:lang w:val="uk-UA"/>
        </w:rPr>
        <w:t>раза частіше</w:t>
      </w:r>
      <w:r>
        <w:rPr>
          <w:rFonts w:ascii="Times New Roman" w:hAnsi="Times New Roman"/>
          <w:sz w:val="28"/>
          <w:szCs w:val="28"/>
          <w:lang w:val="uk-UA"/>
        </w:rPr>
        <w:t xml:space="preserve"> (р&lt;0,01) в групі Б, ніж в групі А.</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боку матері і батька патогенетичну значимість по відношенню до тяжкості запальних захворювань пародонта виявили як неспецифічний, так і специфічний генетичний вантаж.</w:t>
      </w:r>
    </w:p>
    <w:p w:rsidR="00E6561F" w:rsidRDefault="00E6561F"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Зі сторони праматерів (табл. </w:t>
      </w:r>
      <w:r w:rsidR="00B52653">
        <w:rPr>
          <w:rFonts w:ascii="Times New Roman" w:hAnsi="Times New Roman"/>
          <w:sz w:val="28"/>
          <w:szCs w:val="28"/>
          <w:lang w:val="uk-UA"/>
        </w:rPr>
        <w:t>5.</w:t>
      </w:r>
      <w:r w:rsidR="00B52653" w:rsidRPr="00B52653">
        <w:rPr>
          <w:rFonts w:ascii="Times New Roman" w:hAnsi="Times New Roman"/>
          <w:sz w:val="28"/>
          <w:szCs w:val="28"/>
          <w:lang w:val="ru-RU"/>
        </w:rPr>
        <w:t>23</w:t>
      </w:r>
      <w:r w:rsidRPr="00843152">
        <w:rPr>
          <w:rFonts w:ascii="Times New Roman" w:hAnsi="Times New Roman"/>
          <w:sz w:val="28"/>
          <w:szCs w:val="28"/>
          <w:lang w:val="uk-UA"/>
        </w:rPr>
        <w:t>) достовірно частіше в групі Б відмічалися захворювання серцево-судинної системи (в 1,7 раза; р&lt;0,001) і прояви алергії (в 5,6 раза; р&lt;0,001). По відношенню до іншої патології встановлено тенденцію (р&gt;0,05) у вигляді більшої їх частки в групі Б. Однак ця тенденція дає загально сумарний патогенетичний ефект, у зв’язку з чим частка хворих групи Б зі значною (</w:t>
      </w:r>
      <w:r w:rsidRPr="00843152">
        <w:rPr>
          <w:sz w:val="28"/>
          <w:szCs w:val="28"/>
          <w:lang w:val="uk-UA"/>
        </w:rPr>
        <w:t>≥</w:t>
      </w:r>
      <w:r w:rsidRPr="00843152">
        <w:rPr>
          <w:rFonts w:ascii="Times New Roman" w:hAnsi="Times New Roman"/>
          <w:sz w:val="28"/>
          <w:szCs w:val="28"/>
          <w:lang w:val="uk-UA"/>
        </w:rPr>
        <w:t>5) обтяженістю хронічною патологією в 4,4 раза (р &lt;0,001) перевищувала таку групи А.</w:t>
      </w:r>
      <w:r w:rsidRPr="00E6561F">
        <w:rPr>
          <w:rFonts w:ascii="Times New Roman" w:hAnsi="Times New Roman"/>
          <w:sz w:val="28"/>
          <w:szCs w:val="28"/>
          <w:lang w:val="uk-UA"/>
        </w:rPr>
        <w:t xml:space="preserve"> </w:t>
      </w:r>
    </w:p>
    <w:p w:rsidR="00E6561F" w:rsidRPr="00BD4FE3" w:rsidRDefault="00E6561F"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Особливості обтяженої спадковості в групах зі сторони прабатьків наведені в табл</w:t>
      </w:r>
      <w:r w:rsidR="00B52653">
        <w:rPr>
          <w:rFonts w:ascii="Times New Roman" w:hAnsi="Times New Roman"/>
          <w:sz w:val="28"/>
          <w:szCs w:val="28"/>
          <w:lang w:val="uk-UA"/>
        </w:rPr>
        <w:t>. 5.</w:t>
      </w:r>
      <w:r w:rsidR="00B52653" w:rsidRPr="00BD4FE3">
        <w:rPr>
          <w:rFonts w:ascii="Times New Roman" w:hAnsi="Times New Roman"/>
          <w:sz w:val="28"/>
          <w:szCs w:val="28"/>
          <w:lang w:val="uk-UA"/>
        </w:rPr>
        <w:t>24.</w:t>
      </w:r>
    </w:p>
    <w:p w:rsidR="00E6561F" w:rsidRDefault="00E6561F" w:rsidP="00472525">
      <w:pPr>
        <w:spacing w:line="360" w:lineRule="auto"/>
        <w:ind w:firstLine="709"/>
        <w:jc w:val="both"/>
        <w:rPr>
          <w:rFonts w:ascii="Times New Roman" w:hAnsi="Times New Roman"/>
          <w:sz w:val="28"/>
          <w:szCs w:val="28"/>
          <w:lang w:val="uk-UA"/>
        </w:rPr>
      </w:pPr>
      <w:r w:rsidRPr="00E6561F">
        <w:rPr>
          <w:rFonts w:ascii="Times New Roman" w:hAnsi="Times New Roman"/>
          <w:sz w:val="28"/>
          <w:szCs w:val="28"/>
          <w:lang w:val="uk-UA"/>
        </w:rPr>
        <w:t xml:space="preserve"> </w:t>
      </w:r>
      <w:r>
        <w:rPr>
          <w:rFonts w:ascii="Times New Roman" w:hAnsi="Times New Roman"/>
          <w:sz w:val="28"/>
          <w:szCs w:val="28"/>
          <w:lang w:val="uk-UA"/>
        </w:rPr>
        <w:t>Із табл</w:t>
      </w:r>
      <w:r w:rsidR="00B52653">
        <w:rPr>
          <w:rFonts w:ascii="Times New Roman" w:hAnsi="Times New Roman"/>
          <w:sz w:val="28"/>
          <w:szCs w:val="28"/>
          <w:lang w:val="uk-UA"/>
        </w:rPr>
        <w:t>. 5.</w:t>
      </w:r>
      <w:r w:rsidR="00B52653" w:rsidRPr="00BD4FE3">
        <w:rPr>
          <w:rFonts w:ascii="Times New Roman" w:hAnsi="Times New Roman"/>
          <w:sz w:val="28"/>
          <w:szCs w:val="28"/>
          <w:lang w:val="uk-UA"/>
        </w:rPr>
        <w:t>24</w:t>
      </w:r>
      <w:r w:rsidRPr="00843152">
        <w:rPr>
          <w:rFonts w:ascii="Times New Roman" w:hAnsi="Times New Roman"/>
          <w:sz w:val="28"/>
          <w:szCs w:val="28"/>
          <w:lang w:val="uk-UA"/>
        </w:rPr>
        <w:t xml:space="preserve"> витікає, що у прабатьків групи Б достовірно частіше ніж в групі А виявлені серцево-судинні захворювання (в 1,6 раза; р&lt;0,05), прояви алергії (в 2,5 раза; р&lt;0,05), смертність від соматичної патології до 60 років (в 1,7 раза; р &lt;0,05).</w:t>
      </w:r>
    </w:p>
    <w:p w:rsidR="00E6561F" w:rsidRPr="00843152" w:rsidRDefault="00E6561F" w:rsidP="00E6561F">
      <w:pPr>
        <w:spacing w:line="360" w:lineRule="auto"/>
        <w:ind w:firstLine="426"/>
        <w:jc w:val="both"/>
        <w:rPr>
          <w:rFonts w:ascii="Times New Roman" w:hAnsi="Times New Roman"/>
          <w:sz w:val="28"/>
          <w:szCs w:val="28"/>
          <w:lang w:val="uk-UA"/>
        </w:rPr>
      </w:pPr>
    </w:p>
    <w:p w:rsidR="000F78D0" w:rsidRPr="00BD4FE3" w:rsidRDefault="00B52653" w:rsidP="00AC605C">
      <w:pPr>
        <w:spacing w:line="360" w:lineRule="auto"/>
        <w:ind w:firstLine="426"/>
        <w:jc w:val="right"/>
        <w:rPr>
          <w:rFonts w:ascii="Times New Roman" w:hAnsi="Times New Roman"/>
          <w:i/>
          <w:sz w:val="28"/>
          <w:szCs w:val="28"/>
          <w:lang w:val="ru-RU"/>
        </w:rPr>
      </w:pPr>
      <w:r>
        <w:rPr>
          <w:rFonts w:ascii="Times New Roman" w:hAnsi="Times New Roman"/>
          <w:i/>
          <w:sz w:val="28"/>
          <w:szCs w:val="28"/>
          <w:lang w:val="uk-UA"/>
        </w:rPr>
        <w:lastRenderedPageBreak/>
        <w:t>Таблиця 5.</w:t>
      </w:r>
      <w:r w:rsidRPr="00BD4FE3">
        <w:rPr>
          <w:rFonts w:ascii="Times New Roman" w:hAnsi="Times New Roman"/>
          <w:i/>
          <w:sz w:val="28"/>
          <w:szCs w:val="28"/>
          <w:lang w:val="ru-RU"/>
        </w:rPr>
        <w:t>22</w:t>
      </w:r>
    </w:p>
    <w:p w:rsidR="000F78D0" w:rsidRDefault="000F78D0" w:rsidP="00472525">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обтяженої спадковості з боку батька.</w:t>
      </w:r>
    </w:p>
    <w:tbl>
      <w:tblPr>
        <w:tblW w:w="9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228"/>
        <w:gridCol w:w="1857"/>
        <w:gridCol w:w="836"/>
        <w:gridCol w:w="706"/>
        <w:gridCol w:w="857"/>
        <w:gridCol w:w="706"/>
        <w:gridCol w:w="1004"/>
      </w:tblGrid>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542"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5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00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7"/>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34"/>
              <w:jc w:val="center"/>
              <w:rPr>
                <w:rFonts w:ascii="Times New Roman" w:hAnsi="Times New Roman"/>
                <w:sz w:val="28"/>
                <w:szCs w:val="28"/>
                <w:lang w:val="uk-UA"/>
              </w:rPr>
            </w:pP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37"/>
              <w:jc w:val="center"/>
              <w:rPr>
                <w:rFonts w:ascii="Times New Roman" w:hAnsi="Times New Roman"/>
                <w:sz w:val="28"/>
                <w:szCs w:val="28"/>
                <w:lang w:val="uk-UA"/>
              </w:rPr>
            </w:pP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ЛОР-захворювання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ідсутня</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Серцево-судинні захворювання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38,5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61,5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91,7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88,5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val="restart"/>
            <w:tcBorders>
              <w:top w:val="single" w:sz="4" w:space="0" w:color="auto"/>
              <w:left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3228" w:type="dxa"/>
            <w:vMerge w:val="restart"/>
            <w:tcBorders>
              <w:top w:val="single" w:sz="4" w:space="0" w:color="auto"/>
              <w:left w:val="single" w:sz="4" w:space="0" w:color="auto"/>
              <w:right w:val="single" w:sz="4" w:space="0" w:color="auto"/>
            </w:tcBorders>
            <w:hideMark/>
          </w:tcPr>
          <w:p w:rsidR="000F78D0" w:rsidRPr="001336DC" w:rsidRDefault="000F78D0" w:rsidP="00E6561F">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1-2</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23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95,8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&lt;0,05</w:t>
            </w:r>
          </w:p>
        </w:tc>
      </w:tr>
      <w:tr w:rsidR="000F78D0" w:rsidRPr="001336DC" w:rsidTr="00E6561F">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9.</w:t>
            </w:r>
          </w:p>
        </w:tc>
        <w:tc>
          <w:tcPr>
            <w:tcW w:w="3228"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КПВ, бали</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≤10</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22"/>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&lt;0,05</w:t>
            </w:r>
          </w:p>
        </w:tc>
      </w:tr>
      <w:tr w:rsidR="000F78D0" w:rsidRPr="001336DC" w:rsidTr="00E6561F">
        <w:tc>
          <w:tcPr>
            <w:tcW w:w="566" w:type="dxa"/>
            <w:vMerge/>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11-20</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22"/>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&gt;0,05</w:t>
            </w:r>
          </w:p>
        </w:tc>
      </w:tr>
      <w:tr w:rsidR="000F78D0" w:rsidRPr="001336DC" w:rsidTr="00E6561F">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21</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122"/>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&lt;0,05</w:t>
            </w:r>
          </w:p>
        </w:tc>
      </w:tr>
      <w:tr w:rsidR="000F78D0" w:rsidRPr="001336DC" w:rsidTr="00E6561F">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10.</w:t>
            </w:r>
          </w:p>
        </w:tc>
        <w:tc>
          <w:tcPr>
            <w:tcW w:w="3228"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Пародонтити</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45,8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7"/>
              <w:jc w:val="center"/>
            </w:pPr>
            <w:r w:rsidRPr="001336DC">
              <w:rPr>
                <w:rFonts w:ascii="Times New Roman" w:hAnsi="Times New Roman"/>
                <w:sz w:val="28"/>
                <w:szCs w:val="28"/>
                <w:lang w:val="uk-UA"/>
              </w:rPr>
              <w:t>&lt;0,01</w:t>
            </w:r>
          </w:p>
        </w:tc>
      </w:tr>
      <w:tr w:rsidR="000F78D0" w:rsidRPr="001336DC" w:rsidTr="00E6561F">
        <w:tc>
          <w:tcPr>
            <w:tcW w:w="566" w:type="dxa"/>
            <w:vMerge/>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E6561F"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В</w:t>
            </w:r>
            <w:r w:rsidR="000F78D0" w:rsidRPr="001336DC">
              <w:rPr>
                <w:rFonts w:ascii="Times New Roman" w:hAnsi="Times New Roman"/>
                <w:sz w:val="28"/>
                <w:szCs w:val="28"/>
                <w:lang w:val="uk-UA"/>
              </w:rPr>
              <w:t>ідсутні</w:t>
            </w:r>
          </w:p>
        </w:tc>
        <w:tc>
          <w:tcPr>
            <w:tcW w:w="83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122"/>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7"/>
              <w:jc w:val="center"/>
              <w:rPr>
                <w:rFonts w:ascii="Times New Roman" w:hAnsi="Times New Roman"/>
                <w:sz w:val="28"/>
                <w:szCs w:val="28"/>
                <w:lang w:val="uk-UA"/>
              </w:rPr>
            </w:pPr>
            <w:r w:rsidRPr="001336DC">
              <w:rPr>
                <w:rFonts w:ascii="Times New Roman" w:hAnsi="Times New Roman"/>
                <w:sz w:val="28"/>
                <w:szCs w:val="28"/>
                <w:lang w:val="uk-UA"/>
              </w:rPr>
              <w:t>&lt;0,01</w:t>
            </w:r>
          </w:p>
        </w:tc>
      </w:tr>
    </w:tbl>
    <w:p w:rsidR="008B0F8B" w:rsidRDefault="008B0F8B" w:rsidP="008B0F8B">
      <w:pPr>
        <w:spacing w:line="360" w:lineRule="auto"/>
        <w:ind w:firstLine="426"/>
        <w:jc w:val="both"/>
        <w:rPr>
          <w:rFonts w:ascii="Times New Roman" w:hAnsi="Times New Roman"/>
          <w:sz w:val="28"/>
          <w:szCs w:val="28"/>
          <w:lang w:val="uk-UA"/>
        </w:rPr>
      </w:pPr>
    </w:p>
    <w:p w:rsidR="008B0F8B"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Найбільш показною виявилась різниця в групах по відношенню до числа хронічної патології. Так, незначна (≤2) кількість захворювань  в 5,5 </w:t>
      </w:r>
      <w:r w:rsidRPr="00843152">
        <w:rPr>
          <w:rFonts w:ascii="Times New Roman" w:hAnsi="Times New Roman"/>
          <w:sz w:val="28"/>
          <w:szCs w:val="28"/>
          <w:lang w:val="uk-UA"/>
        </w:rPr>
        <w:t>раза частіше (р&lt;0,05) виявлялася в групі А, а виражена коморбідність   (</w:t>
      </w:r>
      <w:r w:rsidRPr="00843152">
        <w:rPr>
          <w:sz w:val="28"/>
          <w:szCs w:val="28"/>
          <w:lang w:val="uk-UA"/>
        </w:rPr>
        <w:t>≥5</w:t>
      </w:r>
      <w:r w:rsidRPr="00843152">
        <w:rPr>
          <w:rFonts w:ascii="Times New Roman" w:hAnsi="Times New Roman"/>
          <w:sz w:val="28"/>
          <w:szCs w:val="28"/>
          <w:lang w:val="uk-UA"/>
        </w:rPr>
        <w:t>) була характерною для хворих групи Б і в 4,6 раза частіше (р&lt;0,001) виявлялася</w:t>
      </w:r>
      <w:r>
        <w:rPr>
          <w:rFonts w:ascii="Times New Roman" w:hAnsi="Times New Roman"/>
          <w:sz w:val="28"/>
          <w:szCs w:val="28"/>
          <w:lang w:val="uk-UA"/>
        </w:rPr>
        <w:t xml:space="preserve"> в них, ніж в групі А.</w:t>
      </w:r>
    </w:p>
    <w:p w:rsidR="000F78D0"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вказують, що спадковий фактор відіграє значну роль у формуванні тяжкості запальних захворювань пародонта. При цьому патогенетичну значимість виявляє як специфічна (захворювання карієсом і</w:t>
      </w:r>
    </w:p>
    <w:p w:rsidR="000F78D0" w:rsidRPr="00BD4FE3" w:rsidRDefault="000F78D0" w:rsidP="00AC605C">
      <w:pPr>
        <w:spacing w:line="360" w:lineRule="auto"/>
        <w:ind w:firstLine="426"/>
        <w:jc w:val="right"/>
        <w:rPr>
          <w:rFonts w:ascii="Times New Roman" w:hAnsi="Times New Roman"/>
          <w:sz w:val="28"/>
          <w:szCs w:val="28"/>
          <w:lang w:val="uk-UA"/>
        </w:rPr>
      </w:pPr>
      <w:r w:rsidRPr="00843152">
        <w:rPr>
          <w:rFonts w:ascii="Times New Roman" w:hAnsi="Times New Roman"/>
          <w:i/>
          <w:sz w:val="28"/>
          <w:szCs w:val="28"/>
          <w:lang w:val="uk-UA"/>
        </w:rPr>
        <w:lastRenderedPageBreak/>
        <w:t>Таблиця</w:t>
      </w:r>
      <w:r w:rsidR="00B52653">
        <w:rPr>
          <w:rFonts w:ascii="Times New Roman" w:hAnsi="Times New Roman"/>
          <w:sz w:val="28"/>
          <w:szCs w:val="28"/>
          <w:lang w:val="uk-UA"/>
        </w:rPr>
        <w:t xml:space="preserve"> 5</w:t>
      </w:r>
      <w:r w:rsidR="00B52653" w:rsidRPr="00BD4FE3">
        <w:rPr>
          <w:rFonts w:ascii="Times New Roman" w:hAnsi="Times New Roman"/>
          <w:sz w:val="28"/>
          <w:szCs w:val="28"/>
          <w:lang w:val="uk-UA"/>
        </w:rPr>
        <w:t>.23</w:t>
      </w:r>
    </w:p>
    <w:p w:rsidR="000F78D0" w:rsidRDefault="000F78D0" w:rsidP="00472525">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обтяженої спадковості з боку праматерів.</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086"/>
        <w:gridCol w:w="1701"/>
        <w:gridCol w:w="851"/>
        <w:gridCol w:w="850"/>
        <w:gridCol w:w="857"/>
        <w:gridCol w:w="844"/>
        <w:gridCol w:w="1134"/>
      </w:tblGrid>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701"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701"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701"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1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84"/>
              <w:jc w:val="center"/>
              <w:rPr>
                <w:rFonts w:ascii="Times New Roman" w:hAnsi="Times New Roman"/>
                <w:sz w:val="28"/>
                <w:szCs w:val="28"/>
                <w:lang w:val="uk-UA"/>
              </w:rPr>
            </w:pP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Порушення менструальної функції</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34,6</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32</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65,4</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44,7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40</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76,9</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28</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55,3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30,8</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36</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69.2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Захворювання шлунково-кишкового тракту </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30,8</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38</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69,2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38</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40</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76,9</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11,5</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44</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46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88,5</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46,2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44</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91,7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53,8</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Доброякісні новоутворення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26,9</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38</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73,1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9.</w:t>
            </w:r>
          </w:p>
        </w:tc>
        <w:tc>
          <w:tcPr>
            <w:tcW w:w="3086" w:type="dxa"/>
            <w:vMerge w:val="restart"/>
            <w:tcBorders>
              <w:top w:val="single" w:sz="4" w:space="0" w:color="auto"/>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Злоякісні новоутворення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15,4</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41</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44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84,6</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left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10.</w:t>
            </w:r>
          </w:p>
        </w:tc>
        <w:tc>
          <w:tcPr>
            <w:tcW w:w="3086" w:type="dxa"/>
            <w:vMerge w:val="restart"/>
            <w:tcBorders>
              <w:left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Смерть від соматичної патології до 60 років</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26,9</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40</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73,1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11.</w:t>
            </w:r>
          </w:p>
        </w:tc>
        <w:tc>
          <w:tcPr>
            <w:tcW w:w="308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6561F">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14</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1,6</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26</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16,6</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73,2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&lt;0,001</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r w:rsidRPr="001336DC">
              <w:rPr>
                <w:rFonts w:ascii="Times New Roman" w:hAnsi="Times New Roman"/>
                <w:sz w:val="28"/>
                <w:szCs w:val="28"/>
                <w:lang w:val="uk-UA"/>
              </w:rPr>
              <w:t>12.</w:t>
            </w:r>
          </w:p>
        </w:tc>
        <w:tc>
          <w:tcPr>
            <w:tcW w:w="3086" w:type="dxa"/>
            <w:vMerge w:val="restart"/>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r w:rsidRPr="001336DC">
              <w:rPr>
                <w:rFonts w:ascii="Times New Roman" w:hAnsi="Times New Roman"/>
                <w:sz w:val="28"/>
                <w:szCs w:val="28"/>
                <w:lang w:val="uk-UA"/>
              </w:rPr>
              <w:t>Ураження пародонта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42</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50</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96,2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rPr>
                <w:rFonts w:ascii="Times New Roman" w:hAnsi="Times New Roman"/>
                <w:sz w:val="28"/>
                <w:szCs w:val="28"/>
                <w:lang w:val="uk-UA"/>
              </w:rPr>
            </w:pPr>
          </w:p>
        </w:tc>
        <w:tc>
          <w:tcPr>
            <w:tcW w:w="308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6561F">
            <w:pPr>
              <w:ind w:firstLine="1"/>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6</w:t>
            </w:r>
          </w:p>
        </w:tc>
        <w:tc>
          <w:tcPr>
            <w:tcW w:w="850"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42"/>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81"/>
              <w:jc w:val="center"/>
              <w:rPr>
                <w:rFonts w:ascii="Times New Roman" w:hAnsi="Times New Roman"/>
                <w:sz w:val="28"/>
                <w:szCs w:val="28"/>
                <w:lang w:val="uk-UA"/>
              </w:rPr>
            </w:pPr>
            <w:r w:rsidRPr="001336DC">
              <w:rPr>
                <w:rFonts w:ascii="Times New Roman" w:hAnsi="Times New Roman"/>
                <w:sz w:val="28"/>
                <w:szCs w:val="28"/>
                <w:lang w:val="uk-UA"/>
              </w:rPr>
              <w:t>3,8</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84"/>
              <w:jc w:val="center"/>
            </w:pPr>
            <w:r w:rsidRPr="001336DC">
              <w:rPr>
                <w:rFonts w:ascii="Times New Roman" w:hAnsi="Times New Roman"/>
                <w:sz w:val="28"/>
                <w:szCs w:val="28"/>
                <w:lang w:val="uk-UA"/>
              </w:rPr>
              <w:t>&gt;0,05</w:t>
            </w:r>
          </w:p>
        </w:tc>
      </w:tr>
    </w:tbl>
    <w:p w:rsidR="008B0F8B" w:rsidRDefault="008B0F8B" w:rsidP="008B0F8B">
      <w:pPr>
        <w:spacing w:line="360" w:lineRule="auto"/>
        <w:ind w:firstLine="426"/>
        <w:jc w:val="both"/>
        <w:rPr>
          <w:rFonts w:ascii="Times New Roman" w:hAnsi="Times New Roman"/>
          <w:sz w:val="28"/>
          <w:szCs w:val="28"/>
          <w:lang w:val="uk-UA"/>
        </w:rPr>
      </w:pPr>
    </w:p>
    <w:p w:rsidR="008B0F8B" w:rsidRDefault="008B0F8B" w:rsidP="008B0F8B">
      <w:pPr>
        <w:spacing w:line="360" w:lineRule="auto"/>
        <w:jc w:val="both"/>
        <w:rPr>
          <w:rFonts w:ascii="Times New Roman" w:hAnsi="Times New Roman"/>
          <w:sz w:val="28"/>
          <w:szCs w:val="28"/>
          <w:lang w:val="uk-UA"/>
        </w:rPr>
      </w:pPr>
      <w:r>
        <w:rPr>
          <w:rFonts w:ascii="Times New Roman" w:hAnsi="Times New Roman"/>
          <w:sz w:val="28"/>
          <w:szCs w:val="28"/>
          <w:lang w:val="uk-UA"/>
        </w:rPr>
        <w:t>пародонтитом), так і неспецифічна (хронічна соматична патологія) компоненти генетичного вантажу.</w:t>
      </w:r>
    </w:p>
    <w:p w:rsidR="000F78D0"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впливу характеру </w:t>
      </w:r>
      <w:r w:rsidRPr="00843152">
        <w:rPr>
          <w:rFonts w:ascii="Times New Roman" w:hAnsi="Times New Roman"/>
          <w:sz w:val="28"/>
          <w:szCs w:val="28"/>
          <w:lang w:val="uk-UA"/>
        </w:rPr>
        <w:t>анамнезу життя підлітків на тяжкість запальних захворювань п</w:t>
      </w:r>
      <w:r w:rsidR="00B52653">
        <w:rPr>
          <w:rFonts w:ascii="Times New Roman" w:hAnsi="Times New Roman"/>
          <w:sz w:val="28"/>
          <w:szCs w:val="28"/>
          <w:lang w:val="uk-UA"/>
        </w:rPr>
        <w:t>ародонта  наведені в табл. 5.</w:t>
      </w:r>
      <w:r w:rsidR="00B52653" w:rsidRPr="00BD4FE3">
        <w:rPr>
          <w:rFonts w:ascii="Times New Roman" w:hAnsi="Times New Roman"/>
          <w:sz w:val="28"/>
          <w:szCs w:val="28"/>
          <w:lang w:val="ru-RU"/>
        </w:rPr>
        <w:t>25</w:t>
      </w:r>
      <w:r w:rsidRPr="00843152">
        <w:rPr>
          <w:rFonts w:ascii="Times New Roman" w:hAnsi="Times New Roman"/>
          <w:sz w:val="28"/>
          <w:szCs w:val="28"/>
          <w:lang w:val="uk-UA"/>
        </w:rPr>
        <w:t>.</w:t>
      </w:r>
    </w:p>
    <w:p w:rsidR="000F78D0" w:rsidRPr="00BD4FE3" w:rsidRDefault="000F78D0" w:rsidP="00AC605C">
      <w:pPr>
        <w:spacing w:line="360" w:lineRule="auto"/>
        <w:ind w:firstLine="426"/>
        <w:jc w:val="right"/>
        <w:rPr>
          <w:rFonts w:ascii="Times New Roman" w:hAnsi="Times New Roman"/>
          <w:sz w:val="28"/>
          <w:szCs w:val="28"/>
          <w:lang w:val="ru-RU"/>
        </w:rPr>
      </w:pPr>
      <w:r w:rsidRPr="00843152">
        <w:rPr>
          <w:rFonts w:ascii="Times New Roman" w:hAnsi="Times New Roman"/>
          <w:i/>
          <w:sz w:val="28"/>
          <w:szCs w:val="28"/>
          <w:lang w:val="uk-UA"/>
        </w:rPr>
        <w:lastRenderedPageBreak/>
        <w:t>Таблиця</w:t>
      </w:r>
      <w:r w:rsidR="00B52653">
        <w:rPr>
          <w:rFonts w:ascii="Times New Roman" w:hAnsi="Times New Roman"/>
          <w:sz w:val="28"/>
          <w:szCs w:val="28"/>
          <w:lang w:val="uk-UA"/>
        </w:rPr>
        <w:t xml:space="preserve"> 5.</w:t>
      </w:r>
      <w:r w:rsidR="00B52653" w:rsidRPr="00BD4FE3">
        <w:rPr>
          <w:rFonts w:ascii="Times New Roman" w:hAnsi="Times New Roman"/>
          <w:sz w:val="28"/>
          <w:szCs w:val="28"/>
          <w:lang w:val="ru-RU"/>
        </w:rPr>
        <w:t>24</w:t>
      </w:r>
    </w:p>
    <w:p w:rsidR="000F78D0" w:rsidRDefault="000F78D0" w:rsidP="00AC605C">
      <w:pPr>
        <w:spacing w:line="360" w:lineRule="auto"/>
        <w:ind w:firstLine="426"/>
        <w:jc w:val="center"/>
        <w:rPr>
          <w:rFonts w:ascii="Times New Roman" w:hAnsi="Times New Roman"/>
          <w:sz w:val="28"/>
          <w:szCs w:val="28"/>
          <w:lang w:val="uk-UA"/>
        </w:rPr>
      </w:pPr>
      <w:r w:rsidRPr="00843152">
        <w:rPr>
          <w:rFonts w:ascii="Times New Roman" w:hAnsi="Times New Roman"/>
          <w:sz w:val="28"/>
          <w:szCs w:val="28"/>
          <w:lang w:val="uk-UA"/>
        </w:rPr>
        <w:t>Розподіл  хворих в групах в залежності від обтяженої спадковості з боку прабатьків.</w:t>
      </w:r>
    </w:p>
    <w:tbl>
      <w:tblPr>
        <w:tblW w:w="9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118"/>
        <w:gridCol w:w="1701"/>
        <w:gridCol w:w="953"/>
        <w:gridCol w:w="706"/>
        <w:gridCol w:w="857"/>
        <w:gridCol w:w="886"/>
        <w:gridCol w:w="1004"/>
      </w:tblGrid>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701"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74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00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tabs>
                <w:tab w:val="left" w:pos="1475"/>
              </w:tabs>
              <w:ind w:firstLine="6"/>
              <w:jc w:val="center"/>
              <w:rPr>
                <w:rFonts w:ascii="Times New Roman" w:hAnsi="Times New Roman"/>
                <w:sz w:val="28"/>
                <w:szCs w:val="28"/>
                <w:lang w:val="uk-UA"/>
              </w:rPr>
            </w:pP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34"/>
              <w:jc w:val="center"/>
              <w:rPr>
                <w:rFonts w:ascii="Times New Roman" w:hAnsi="Times New Roman"/>
                <w:sz w:val="28"/>
                <w:szCs w:val="28"/>
                <w:lang w:val="uk-UA"/>
              </w:rPr>
            </w:pP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32</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61,5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20</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38,5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12</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40</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 xml:space="preserve">Захворювання шлунково-кишкового тракту </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14</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38</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 xml:space="preserve">Прояви алергії </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22</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 xml:space="preserve">Захворювання органів дихання </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14</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38</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16</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36</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Доброякісні новоутворення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r w:rsidRPr="001336DC">
              <w:rPr>
                <w:rFonts w:ascii="Times New Roman" w:hAnsi="Times New Roman"/>
                <w:sz w:val="28"/>
                <w:szCs w:val="28"/>
                <w:lang w:val="uk-UA"/>
              </w:rPr>
              <w:t>Злоякісні новоутворення</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left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val="restart"/>
            <w:tcBorders>
              <w:left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r w:rsidRPr="001336DC">
              <w:rPr>
                <w:rFonts w:ascii="Times New Roman" w:hAnsi="Times New Roman"/>
                <w:sz w:val="28"/>
                <w:szCs w:val="28"/>
                <w:lang w:val="uk-UA"/>
              </w:rPr>
              <w:t>Смерть від соматичної патології до 60 років</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numPr>
                <w:ilvl w:val="0"/>
                <w:numId w:val="22"/>
              </w:numPr>
              <w:spacing w:line="276" w:lineRule="auto"/>
              <w:ind w:left="0" w:firstLine="0"/>
              <w:jc w:val="both"/>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≤2</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3-4</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10</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&lt;0,001</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5</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40</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&lt;0,001</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numPr>
                <w:ilvl w:val="0"/>
                <w:numId w:val="22"/>
              </w:numPr>
              <w:ind w:left="0" w:firstLine="0"/>
              <w:rPr>
                <w:rFonts w:ascii="Times New Roman" w:hAnsi="Times New Roman"/>
                <w:sz w:val="28"/>
                <w:szCs w:val="28"/>
                <w:lang w:val="uk-UA"/>
              </w:rPr>
            </w:pPr>
          </w:p>
        </w:tc>
        <w:tc>
          <w:tcPr>
            <w:tcW w:w="3118" w:type="dxa"/>
            <w:vMerge w:val="restart"/>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r w:rsidRPr="001336DC">
              <w:rPr>
                <w:rFonts w:ascii="Times New Roman" w:hAnsi="Times New Roman"/>
                <w:sz w:val="28"/>
                <w:szCs w:val="28"/>
                <w:lang w:val="uk-UA"/>
              </w:rPr>
              <w:t>Ураження пародонта</w:t>
            </w: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52</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100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tabs>
                <w:tab w:val="left" w:pos="1475"/>
              </w:tabs>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0</w:t>
            </w:r>
          </w:p>
        </w:tc>
        <w:tc>
          <w:tcPr>
            <w:tcW w:w="88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bl>
    <w:p w:rsidR="000F78D0" w:rsidRDefault="000F78D0" w:rsidP="00AC605C">
      <w:pPr>
        <w:spacing w:line="360" w:lineRule="auto"/>
        <w:ind w:firstLine="426"/>
        <w:jc w:val="both"/>
        <w:rPr>
          <w:rFonts w:ascii="Times New Roman" w:hAnsi="Times New Roman"/>
          <w:sz w:val="28"/>
          <w:szCs w:val="28"/>
          <w:lang w:val="uk-UA"/>
        </w:rPr>
      </w:pPr>
    </w:p>
    <w:p w:rsidR="000F78D0" w:rsidRPr="00843152"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Із табл</w:t>
      </w:r>
      <w:r w:rsidR="00B52653">
        <w:rPr>
          <w:rFonts w:ascii="Times New Roman" w:hAnsi="Times New Roman"/>
          <w:sz w:val="28"/>
          <w:szCs w:val="28"/>
          <w:lang w:val="uk-UA"/>
        </w:rPr>
        <w:t>. 5.</w:t>
      </w:r>
      <w:r w:rsidR="00B52653" w:rsidRPr="00B52653">
        <w:rPr>
          <w:rFonts w:ascii="Times New Roman" w:hAnsi="Times New Roman"/>
          <w:sz w:val="28"/>
          <w:szCs w:val="28"/>
          <w:lang w:val="uk-UA"/>
        </w:rPr>
        <w:t>25</w:t>
      </w:r>
      <w:r w:rsidRPr="00843152">
        <w:rPr>
          <w:rFonts w:ascii="Times New Roman" w:hAnsi="Times New Roman"/>
          <w:sz w:val="28"/>
          <w:szCs w:val="28"/>
          <w:lang w:val="uk-UA"/>
        </w:rPr>
        <w:t xml:space="preserve"> витікає, що на тяжкість запальних захворювань пародонта у даного контингенту суттєвий вплив здійснюють перенесені дитячі інфекції і прояви алергії в дитячому віці, які відповідно частіше (в 2,3; р&lt;0,05 і в 2,6 раза р&lt;0,01) визначалися в групі з більш тяжким перебігом захворювання.</w:t>
      </w:r>
    </w:p>
    <w:p w:rsidR="000F78D0" w:rsidRPr="00BD4FE3" w:rsidRDefault="000F78D0" w:rsidP="00AC605C">
      <w:pPr>
        <w:spacing w:line="360" w:lineRule="auto"/>
        <w:ind w:firstLine="426"/>
        <w:jc w:val="right"/>
        <w:rPr>
          <w:rFonts w:ascii="Times New Roman" w:hAnsi="Times New Roman"/>
          <w:sz w:val="28"/>
          <w:szCs w:val="28"/>
          <w:lang w:val="ru-RU"/>
        </w:rPr>
      </w:pPr>
      <w:r w:rsidRPr="00843152">
        <w:rPr>
          <w:rFonts w:ascii="Times New Roman" w:hAnsi="Times New Roman"/>
          <w:i/>
          <w:sz w:val="28"/>
          <w:szCs w:val="28"/>
          <w:lang w:val="uk-UA"/>
        </w:rPr>
        <w:lastRenderedPageBreak/>
        <w:t>Таблиця</w:t>
      </w:r>
      <w:r w:rsidR="00B52653">
        <w:rPr>
          <w:rFonts w:ascii="Times New Roman" w:hAnsi="Times New Roman"/>
          <w:sz w:val="28"/>
          <w:szCs w:val="28"/>
          <w:lang w:val="uk-UA"/>
        </w:rPr>
        <w:t xml:space="preserve"> 5.</w:t>
      </w:r>
      <w:r w:rsidR="00B52653" w:rsidRPr="00BD4FE3">
        <w:rPr>
          <w:rFonts w:ascii="Times New Roman" w:hAnsi="Times New Roman"/>
          <w:sz w:val="28"/>
          <w:szCs w:val="28"/>
          <w:lang w:val="ru-RU"/>
        </w:rPr>
        <w:t>25</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особливостей їх анамнезу життя.</w:t>
      </w:r>
    </w:p>
    <w:tbl>
      <w:tblPr>
        <w:tblW w:w="10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260"/>
        <w:gridCol w:w="1857"/>
        <w:gridCol w:w="953"/>
        <w:gridCol w:w="706"/>
        <w:gridCol w:w="857"/>
        <w:gridCol w:w="872"/>
        <w:gridCol w:w="1004"/>
      </w:tblGrid>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729"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00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6"/>
              <w:jc w:val="center"/>
              <w:rPr>
                <w:rFonts w:ascii="Times New Roman" w:hAnsi="Times New Roman"/>
                <w:sz w:val="28"/>
                <w:szCs w:val="28"/>
                <w:lang w:val="uk-UA"/>
              </w:rPr>
            </w:pP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34"/>
              <w:jc w:val="center"/>
              <w:rPr>
                <w:rFonts w:ascii="Times New Roman" w:hAnsi="Times New Roman"/>
                <w:sz w:val="28"/>
                <w:szCs w:val="28"/>
                <w:lang w:val="uk-UA"/>
              </w:rPr>
            </w:pP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Часті ГРВІ в дитячому віці</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17</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Перенесені дитячі інфекції</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15</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11</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17</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&lt;0,01</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&lt;0,01</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ЛОР-патологія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13</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13</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Ендокринні захворювання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19</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260"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33"/>
              <w:jc w:val="both"/>
              <w:rPr>
                <w:rFonts w:ascii="Times New Roman" w:hAnsi="Times New Roman"/>
                <w:sz w:val="28"/>
                <w:szCs w:val="28"/>
                <w:lang w:val="uk-UA"/>
              </w:rPr>
            </w:pPr>
            <w:r w:rsidRPr="001336DC">
              <w:rPr>
                <w:rFonts w:ascii="Times New Roman" w:hAnsi="Times New Roman"/>
                <w:sz w:val="28"/>
                <w:szCs w:val="28"/>
                <w:lang w:val="uk-UA"/>
              </w:rPr>
              <w:t>Грудне вигодовування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11</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15</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7.</w:t>
            </w:r>
          </w:p>
        </w:tc>
        <w:tc>
          <w:tcPr>
            <w:tcW w:w="3260"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r w:rsidRPr="001336DC">
              <w:rPr>
                <w:rFonts w:ascii="Times New Roman" w:hAnsi="Times New Roman"/>
                <w:sz w:val="28"/>
                <w:szCs w:val="28"/>
                <w:lang w:val="uk-UA"/>
              </w:rPr>
              <w:t>Тривалість грудного вигодовування, міс.</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≤6,0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8"/>
              <w:jc w:val="center"/>
              <w:rPr>
                <w:rFonts w:ascii="Times New Roman" w:hAnsi="Times New Roman"/>
                <w:sz w:val="28"/>
                <w:szCs w:val="28"/>
                <w:lang w:val="uk-UA"/>
              </w:rPr>
            </w:pPr>
            <w:r w:rsidRPr="001336DC">
              <w:rPr>
                <w:rFonts w:ascii="Times New Roman" w:hAnsi="Times New Roman"/>
                <w:sz w:val="28"/>
                <w:szCs w:val="28"/>
                <w:lang w:val="uk-UA"/>
              </w:rPr>
              <w:t>18,2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64,3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&lt;0,01</w:t>
            </w:r>
          </w:p>
        </w:tc>
      </w:tr>
      <w:tr w:rsidR="000F78D0" w:rsidRPr="001336DC" w:rsidTr="008B0F8B">
        <w:tc>
          <w:tcPr>
            <w:tcW w:w="534"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left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6,1-9,0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8"/>
              <w:jc w:val="center"/>
              <w:rPr>
                <w:rFonts w:ascii="Times New Roman" w:hAnsi="Times New Roman"/>
                <w:sz w:val="28"/>
                <w:szCs w:val="28"/>
                <w:lang w:val="uk-UA"/>
              </w:rPr>
            </w:pPr>
            <w:r w:rsidRPr="001336DC">
              <w:rPr>
                <w:rFonts w:ascii="Times New Roman" w:hAnsi="Times New Roman"/>
                <w:sz w:val="28"/>
                <w:szCs w:val="28"/>
                <w:lang w:val="uk-UA"/>
              </w:rPr>
              <w:t>27,3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28,6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60" w:type="dxa"/>
            <w:vMerge/>
            <w:tcBorders>
              <w:left w:val="single" w:sz="4" w:space="0" w:color="auto"/>
              <w:bottom w:val="single" w:sz="4" w:space="0" w:color="auto"/>
              <w:right w:val="single" w:sz="4" w:space="0" w:color="auto"/>
            </w:tcBorders>
            <w:vAlign w:val="center"/>
            <w:hideMark/>
          </w:tcPr>
          <w:p w:rsidR="000F78D0" w:rsidRPr="001336DC" w:rsidRDefault="000F78D0" w:rsidP="008B0F8B">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9,1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hanging="8"/>
              <w:jc w:val="center"/>
              <w:rPr>
                <w:rFonts w:ascii="Times New Roman" w:hAnsi="Times New Roman"/>
                <w:sz w:val="28"/>
                <w:szCs w:val="28"/>
                <w:lang w:val="uk-UA"/>
              </w:rPr>
            </w:pPr>
            <w:r w:rsidRPr="001336DC">
              <w:rPr>
                <w:rFonts w:ascii="Times New Roman" w:hAnsi="Times New Roman"/>
                <w:sz w:val="28"/>
                <w:szCs w:val="28"/>
                <w:lang w:val="uk-UA"/>
              </w:rPr>
              <w:t>54,5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w:t>
            </w:r>
          </w:p>
        </w:tc>
        <w:tc>
          <w:tcPr>
            <w:tcW w:w="87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&lt;0,01</w:t>
            </w:r>
          </w:p>
        </w:tc>
      </w:tr>
    </w:tbl>
    <w:p w:rsidR="000F78D0" w:rsidRPr="00843152" w:rsidRDefault="000F78D0" w:rsidP="00AC605C">
      <w:pPr>
        <w:spacing w:line="360" w:lineRule="auto"/>
        <w:ind w:firstLine="426"/>
        <w:jc w:val="both"/>
        <w:rPr>
          <w:rFonts w:ascii="Times New Roman" w:hAnsi="Times New Roman"/>
          <w:sz w:val="28"/>
          <w:szCs w:val="28"/>
          <w:lang w:val="uk-UA"/>
        </w:rPr>
      </w:pPr>
    </w:p>
    <w:p w:rsidR="000F78D0" w:rsidRDefault="000F78D0" w:rsidP="00472525">
      <w:pPr>
        <w:spacing w:line="360" w:lineRule="auto"/>
        <w:ind w:firstLine="709"/>
        <w:jc w:val="both"/>
        <w:rPr>
          <w:rFonts w:ascii="Times New Roman" w:hAnsi="Times New Roman"/>
          <w:sz w:val="28"/>
          <w:szCs w:val="28"/>
          <w:lang w:val="uk-UA"/>
        </w:rPr>
      </w:pPr>
      <w:r w:rsidRPr="00843152">
        <w:rPr>
          <w:rFonts w:ascii="Times New Roman" w:hAnsi="Times New Roman"/>
          <w:sz w:val="28"/>
          <w:szCs w:val="28"/>
          <w:lang w:val="uk-UA"/>
        </w:rPr>
        <w:t>Достовірний вплив також встановлено і по відношенню до тривалості грудного вигодовування. При цьому нетривале (≤6,0 міс) вигодовування виявилося відносно специфічним для хворих групи Б, так як в 3,5 раза частіше (р&lt;0,01) виявлялося у них, а більш тривале (</w:t>
      </w:r>
      <w:r w:rsidRPr="00843152">
        <w:rPr>
          <w:sz w:val="28"/>
          <w:szCs w:val="28"/>
          <w:lang w:val="uk-UA"/>
        </w:rPr>
        <w:t>≥</w:t>
      </w:r>
      <w:r w:rsidRPr="00843152">
        <w:rPr>
          <w:rFonts w:ascii="Times New Roman" w:hAnsi="Times New Roman"/>
          <w:sz w:val="28"/>
          <w:szCs w:val="28"/>
          <w:lang w:val="uk-UA"/>
        </w:rPr>
        <w:t>9,1 міс.) грудне вигодовування було характерне для групи А і в 7,7 раза</w:t>
      </w:r>
      <w:r>
        <w:rPr>
          <w:rFonts w:ascii="Times New Roman" w:hAnsi="Times New Roman"/>
          <w:sz w:val="28"/>
          <w:szCs w:val="28"/>
          <w:lang w:val="uk-UA"/>
        </w:rPr>
        <w:t xml:space="preserve"> частіше (р&lt;0,01) реєструвалося в цій групі.</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Діапазон показника 6,1-9,0 місяців виявився неспецифічним, оскільки виявлявся з однаковою частотою (р&gt;0,05) в групах.</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свідчать, що на тяжкість запальних захворювань пародонта впливає характер перебігу різноманітних часових періодів онтогенезу дитини , особливо дитячого віку.</w:t>
      </w:r>
    </w:p>
    <w:p w:rsidR="008B0F8B"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Характер відмінностей способу життя підлітків в групах наведено в </w:t>
      </w:r>
      <w:r w:rsidR="00B52653">
        <w:rPr>
          <w:rFonts w:ascii="Times New Roman" w:hAnsi="Times New Roman"/>
          <w:sz w:val="28"/>
          <w:szCs w:val="28"/>
          <w:lang w:val="uk-UA"/>
        </w:rPr>
        <w:t>табл. 5.</w:t>
      </w:r>
      <w:r w:rsidR="00B52653" w:rsidRPr="00BD4FE3">
        <w:rPr>
          <w:rFonts w:ascii="Times New Roman" w:hAnsi="Times New Roman"/>
          <w:sz w:val="28"/>
          <w:szCs w:val="28"/>
          <w:lang w:val="ru-RU"/>
        </w:rPr>
        <w:t>26</w:t>
      </w:r>
      <w:r w:rsidRPr="00843152">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p>
    <w:p w:rsidR="008B0F8B" w:rsidRDefault="008B0F8B" w:rsidP="00AC605C">
      <w:pPr>
        <w:spacing w:line="360" w:lineRule="auto"/>
        <w:ind w:firstLine="426"/>
        <w:jc w:val="right"/>
        <w:rPr>
          <w:rFonts w:ascii="Times New Roman" w:hAnsi="Times New Roman"/>
          <w:i/>
          <w:sz w:val="28"/>
          <w:szCs w:val="28"/>
          <w:lang w:val="uk-UA"/>
        </w:rPr>
      </w:pPr>
    </w:p>
    <w:p w:rsidR="000F78D0" w:rsidRPr="00BD4FE3" w:rsidRDefault="000F78D0" w:rsidP="00AC605C">
      <w:pPr>
        <w:spacing w:line="360" w:lineRule="auto"/>
        <w:ind w:firstLine="426"/>
        <w:jc w:val="right"/>
        <w:rPr>
          <w:rFonts w:ascii="Times New Roman" w:hAnsi="Times New Roman"/>
          <w:sz w:val="28"/>
          <w:szCs w:val="28"/>
          <w:lang w:val="ru-RU"/>
        </w:rPr>
      </w:pPr>
      <w:r w:rsidRPr="00843152">
        <w:rPr>
          <w:rFonts w:ascii="Times New Roman" w:hAnsi="Times New Roman"/>
          <w:i/>
          <w:sz w:val="28"/>
          <w:szCs w:val="28"/>
          <w:lang w:val="uk-UA"/>
        </w:rPr>
        <w:lastRenderedPageBreak/>
        <w:t>Таблиця</w:t>
      </w:r>
      <w:r w:rsidR="00B52653">
        <w:rPr>
          <w:rFonts w:ascii="Times New Roman" w:hAnsi="Times New Roman"/>
          <w:sz w:val="28"/>
          <w:szCs w:val="28"/>
          <w:lang w:val="uk-UA"/>
        </w:rPr>
        <w:t xml:space="preserve"> 5.</w:t>
      </w:r>
      <w:r w:rsidR="00B52653" w:rsidRPr="00BD4FE3">
        <w:rPr>
          <w:rFonts w:ascii="Times New Roman" w:hAnsi="Times New Roman"/>
          <w:sz w:val="28"/>
          <w:szCs w:val="28"/>
          <w:lang w:val="ru-RU"/>
        </w:rPr>
        <w:t>26</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способу життя підлітків.</w:t>
      </w:r>
    </w:p>
    <w:tbl>
      <w:tblPr>
        <w:tblW w:w="9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228"/>
        <w:gridCol w:w="1559"/>
        <w:gridCol w:w="859"/>
        <w:gridCol w:w="842"/>
        <w:gridCol w:w="857"/>
        <w:gridCol w:w="844"/>
        <w:gridCol w:w="1004"/>
      </w:tblGrid>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559"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701"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701"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00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jc w:val="center"/>
              <w:rPr>
                <w:rFonts w:ascii="Times New Roman" w:hAnsi="Times New Roman"/>
                <w:sz w:val="28"/>
                <w:szCs w:val="28"/>
                <w:lang w:val="uk-UA"/>
              </w:rPr>
            </w:pP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3D0EAE">
            <w:pPr>
              <w:ind w:firstLine="34"/>
              <w:jc w:val="center"/>
              <w:rPr>
                <w:rFonts w:ascii="Times New Roman" w:hAnsi="Times New Roman"/>
                <w:sz w:val="28"/>
                <w:szCs w:val="28"/>
                <w:lang w:val="uk-UA"/>
              </w:rPr>
            </w:pP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Тютюнопаління</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9</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17</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15</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9</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Зловживання солодощами, фастфудом</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12</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21</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80,8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12</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6</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18</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46,2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Переважання в дієти жирних, гострих страв</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46,2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17</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Підвищене учбове навантаження</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6</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18</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46,2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Несприятлива обстановка в родині</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4</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7</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20</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19</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Фізичне перенавантаження</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6</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18</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46,2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&lt;0,05</w:t>
            </w:r>
          </w:p>
        </w:tc>
      </w:tr>
      <w:tr w:rsidR="000F78D0" w:rsidRPr="001336DC" w:rsidTr="008B0F8B">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3228"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8B0F8B">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Конфлікти підлітка в родині або колективі</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30,8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19</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18</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69,2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right w:val="single" w:sz="4" w:space="0" w:color="auto"/>
            </w:tcBorders>
            <w:hideMark/>
          </w:tcPr>
          <w:p w:rsidR="000F78D0" w:rsidRPr="001336DC" w:rsidRDefault="000F78D0" w:rsidP="008B0F8B">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9.</w:t>
            </w:r>
          </w:p>
        </w:tc>
        <w:tc>
          <w:tcPr>
            <w:tcW w:w="3228" w:type="dxa"/>
            <w:vMerge w:val="restart"/>
            <w:tcBorders>
              <w:top w:val="single" w:sz="4" w:space="0" w:color="auto"/>
              <w:left w:val="single" w:sz="4" w:space="0" w:color="auto"/>
              <w:right w:val="single" w:sz="4" w:space="0" w:color="auto"/>
            </w:tcBorders>
            <w:hideMark/>
          </w:tcPr>
          <w:p w:rsidR="000F78D0" w:rsidRPr="001336DC" w:rsidRDefault="000F78D0" w:rsidP="008B0F8B">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Невдала любов або любов без відповіді</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4</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20</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84,6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10.</w:t>
            </w:r>
          </w:p>
        </w:tc>
        <w:tc>
          <w:tcPr>
            <w:tcW w:w="3228"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r w:rsidRPr="001336DC">
              <w:rPr>
                <w:rFonts w:ascii="Times New Roman" w:hAnsi="Times New Roman"/>
                <w:sz w:val="28"/>
                <w:szCs w:val="28"/>
                <w:lang w:val="uk-UA"/>
              </w:rPr>
              <w:t>Тривала психотравмуюча ситуація</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3</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21</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21</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80,8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11.</w:t>
            </w:r>
          </w:p>
        </w:tc>
        <w:tc>
          <w:tcPr>
            <w:tcW w:w="3228" w:type="dxa"/>
            <w:vMerge w:val="restart"/>
            <w:tcBorders>
              <w:top w:val="single" w:sz="4" w:space="0" w:color="auto"/>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r w:rsidRPr="001336DC">
              <w:rPr>
                <w:rFonts w:ascii="Times New Roman" w:hAnsi="Times New Roman"/>
                <w:sz w:val="28"/>
                <w:szCs w:val="28"/>
                <w:lang w:val="uk-UA"/>
              </w:rPr>
              <w:t>Дієтичний раціон</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10</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20</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76,9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&lt;0,01</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14</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8B0F8B">
        <w:tc>
          <w:tcPr>
            <w:tcW w:w="566" w:type="dxa"/>
            <w:vMerge w:val="restart"/>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12.</w:t>
            </w:r>
          </w:p>
        </w:tc>
        <w:tc>
          <w:tcPr>
            <w:tcW w:w="3228" w:type="dxa"/>
            <w:vMerge w:val="restart"/>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r w:rsidRPr="001336DC">
              <w:rPr>
                <w:rFonts w:ascii="Times New Roman" w:hAnsi="Times New Roman"/>
                <w:sz w:val="28"/>
                <w:szCs w:val="28"/>
                <w:lang w:val="uk-UA"/>
              </w:rPr>
              <w:t xml:space="preserve">Тривалість перебування на свіжому повітрі  </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11</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14</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58,4</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16</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8B0F8B">
        <w:trPr>
          <w:trHeight w:val="341"/>
        </w:trPr>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0</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8B0F8B">
        <w:tc>
          <w:tcPr>
            <w:tcW w:w="566" w:type="dxa"/>
            <w:vMerge w:val="restart"/>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13.</w:t>
            </w:r>
          </w:p>
        </w:tc>
        <w:tc>
          <w:tcPr>
            <w:tcW w:w="3228" w:type="dxa"/>
            <w:vMerge w:val="restart"/>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r w:rsidRPr="001336DC">
              <w:rPr>
                <w:rFonts w:ascii="Times New Roman" w:hAnsi="Times New Roman"/>
                <w:sz w:val="28"/>
                <w:szCs w:val="28"/>
                <w:lang w:val="uk-UA"/>
              </w:rPr>
              <w:t xml:space="preserve">Пережовування їжі на одному боці </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6</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9</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18</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17</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14.</w:t>
            </w:r>
          </w:p>
        </w:tc>
        <w:tc>
          <w:tcPr>
            <w:tcW w:w="3228" w:type="dxa"/>
            <w:vMerge w:val="restart"/>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r w:rsidRPr="001336DC">
              <w:rPr>
                <w:rFonts w:ascii="Times New Roman" w:hAnsi="Times New Roman"/>
                <w:sz w:val="28"/>
                <w:szCs w:val="28"/>
                <w:lang w:val="uk-UA"/>
              </w:rPr>
              <w:t xml:space="preserve">Вживання м’якої їжі  </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5</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7</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19</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19</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val="restart"/>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15.</w:t>
            </w:r>
          </w:p>
        </w:tc>
        <w:tc>
          <w:tcPr>
            <w:tcW w:w="3228" w:type="dxa"/>
            <w:vMerge w:val="restart"/>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r w:rsidRPr="001336DC">
              <w:rPr>
                <w:rFonts w:ascii="Times New Roman" w:hAnsi="Times New Roman"/>
                <w:sz w:val="28"/>
                <w:szCs w:val="28"/>
                <w:lang w:val="uk-UA"/>
              </w:rPr>
              <w:t xml:space="preserve">Травматичне чищення зубів </w:t>
            </w: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4</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r w:rsidR="000F78D0" w:rsidRPr="001336DC" w:rsidTr="008B0F8B">
        <w:tc>
          <w:tcPr>
            <w:tcW w:w="566" w:type="dxa"/>
            <w:vMerge/>
            <w:tcBorders>
              <w:left w:val="single" w:sz="4" w:space="0" w:color="auto"/>
              <w:right w:val="single" w:sz="4" w:space="0" w:color="auto"/>
            </w:tcBorders>
            <w:vAlign w:val="center"/>
            <w:hideMark/>
          </w:tcPr>
          <w:p w:rsidR="000F78D0" w:rsidRPr="001336DC" w:rsidRDefault="000F78D0" w:rsidP="008B0F8B">
            <w:pPr>
              <w:rPr>
                <w:rFonts w:ascii="Times New Roman" w:hAnsi="Times New Roman"/>
                <w:sz w:val="28"/>
                <w:szCs w:val="28"/>
                <w:lang w:val="uk-UA"/>
              </w:rPr>
            </w:pPr>
          </w:p>
        </w:tc>
        <w:tc>
          <w:tcPr>
            <w:tcW w:w="3228" w:type="dxa"/>
            <w:vMerge/>
            <w:tcBorders>
              <w:left w:val="single" w:sz="4" w:space="0" w:color="auto"/>
              <w:right w:val="single" w:sz="4" w:space="0" w:color="auto"/>
            </w:tcBorders>
            <w:vAlign w:val="center"/>
            <w:hideMark/>
          </w:tcPr>
          <w:p w:rsidR="000F78D0" w:rsidRPr="001336DC" w:rsidRDefault="000F78D0" w:rsidP="008B0F8B">
            <w:pPr>
              <w:ind w:firstLine="1"/>
              <w:rPr>
                <w:rFonts w:ascii="Times New Roman" w:hAnsi="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859"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22</w:t>
            </w:r>
          </w:p>
        </w:tc>
        <w:tc>
          <w:tcPr>
            <w:tcW w:w="842"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13"/>
              <w:jc w:val="center"/>
              <w:rPr>
                <w:rFonts w:ascii="Times New Roman" w:hAnsi="Times New Roman"/>
                <w:sz w:val="28"/>
                <w:szCs w:val="28"/>
                <w:lang w:val="uk-UA"/>
              </w:rPr>
            </w:pPr>
            <w:r w:rsidRPr="001336DC">
              <w:rPr>
                <w:rFonts w:ascii="Times New Roman" w:hAnsi="Times New Roman"/>
                <w:sz w:val="28"/>
                <w:szCs w:val="28"/>
                <w:lang w:val="uk-UA"/>
              </w:rPr>
              <w:t>91,7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22</w:t>
            </w:r>
          </w:p>
        </w:tc>
        <w:tc>
          <w:tcPr>
            <w:tcW w:w="84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spacing w:line="276" w:lineRule="auto"/>
              <w:ind w:firstLine="25"/>
              <w:jc w:val="center"/>
              <w:rPr>
                <w:rFonts w:ascii="Times New Roman" w:hAnsi="Times New Roman"/>
                <w:sz w:val="28"/>
                <w:szCs w:val="28"/>
                <w:lang w:val="uk-UA"/>
              </w:rPr>
            </w:pPr>
            <w:r w:rsidRPr="001336DC">
              <w:rPr>
                <w:rFonts w:ascii="Times New Roman" w:hAnsi="Times New Roman"/>
                <w:sz w:val="28"/>
                <w:szCs w:val="28"/>
                <w:lang w:val="uk-UA"/>
              </w:rPr>
              <w:t>84,6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3D0EAE">
            <w:pPr>
              <w:ind w:firstLine="34"/>
              <w:jc w:val="center"/>
            </w:pPr>
            <w:r w:rsidRPr="001336DC">
              <w:rPr>
                <w:rFonts w:ascii="Times New Roman" w:hAnsi="Times New Roman"/>
                <w:sz w:val="28"/>
                <w:szCs w:val="28"/>
                <w:lang w:val="uk-UA"/>
              </w:rPr>
              <w:t>&gt;0,05</w:t>
            </w:r>
          </w:p>
        </w:tc>
      </w:tr>
    </w:tbl>
    <w:p w:rsidR="000F78D0" w:rsidRDefault="000F78D0" w:rsidP="00AC605C">
      <w:pPr>
        <w:spacing w:line="360" w:lineRule="auto"/>
        <w:ind w:firstLine="426"/>
        <w:jc w:val="both"/>
        <w:rPr>
          <w:rFonts w:ascii="Times New Roman" w:hAnsi="Times New Roman"/>
          <w:sz w:val="28"/>
          <w:szCs w:val="28"/>
          <w:lang w:val="uk-UA"/>
        </w:rPr>
      </w:pPr>
    </w:p>
    <w:p w:rsidR="008B0F8B" w:rsidRDefault="00B52653"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Із табл. 5.</w:t>
      </w:r>
      <w:r w:rsidRPr="00B52653">
        <w:rPr>
          <w:rFonts w:ascii="Times New Roman" w:hAnsi="Times New Roman"/>
          <w:sz w:val="28"/>
          <w:szCs w:val="28"/>
          <w:lang w:val="ru-RU"/>
        </w:rPr>
        <w:t>26</w:t>
      </w:r>
      <w:r w:rsidR="008B0F8B" w:rsidRPr="00843152">
        <w:rPr>
          <w:rFonts w:ascii="Times New Roman" w:hAnsi="Times New Roman"/>
          <w:sz w:val="28"/>
          <w:szCs w:val="28"/>
          <w:lang w:val="uk-UA"/>
        </w:rPr>
        <w:t xml:space="preserve"> витікає, що за рядом показників виявлено достовірні відмінності між </w:t>
      </w:r>
      <w:r w:rsidR="00472525">
        <w:rPr>
          <w:rFonts w:ascii="Times New Roman" w:hAnsi="Times New Roman"/>
          <w:sz w:val="28"/>
          <w:szCs w:val="28"/>
          <w:lang w:val="uk-UA"/>
        </w:rPr>
        <w:t>групами. Так, у хворих групи Б порівняно</w:t>
      </w:r>
      <w:r w:rsidR="008B0F8B" w:rsidRPr="00843152">
        <w:rPr>
          <w:rFonts w:ascii="Times New Roman" w:hAnsi="Times New Roman"/>
          <w:sz w:val="28"/>
          <w:szCs w:val="28"/>
          <w:lang w:val="uk-UA"/>
        </w:rPr>
        <w:t xml:space="preserve"> з групою А достовірно частіше реєструвалися: тютюнопаління (в 1,7 раза; р&lt;0,05), зловживання солодощами, фастфудом (в 1,6 раза; р&lt;0,05), малорухомий спосіб життя (в 2,2 раза; р&lt;0,05), підвищене учбове навантаження (в 2,2 раза; р&lt;0,05), фізичне перенавантаження (в 2,2 раза; р&lt;0,05), дієтичний раціон (в 1,8 раза; р&lt;0,01) і нетривале (≤2 –х годин) перебування на свіжому повітрі (в 2 рази; р&lt;0,05).</w:t>
      </w:r>
    </w:p>
    <w:p w:rsidR="000F78D0" w:rsidRDefault="008B0F8B" w:rsidP="00472525">
      <w:pPr>
        <w:spacing w:line="360" w:lineRule="auto"/>
        <w:ind w:firstLine="709"/>
        <w:jc w:val="both"/>
        <w:rPr>
          <w:rFonts w:ascii="Times New Roman" w:hAnsi="Times New Roman"/>
          <w:sz w:val="28"/>
          <w:szCs w:val="28"/>
          <w:lang w:val="uk-UA"/>
        </w:rPr>
      </w:pPr>
      <w:r w:rsidRPr="00843152">
        <w:rPr>
          <w:rFonts w:ascii="Times New Roman" w:hAnsi="Times New Roman"/>
          <w:sz w:val="28"/>
          <w:szCs w:val="28"/>
          <w:lang w:val="uk-UA"/>
        </w:rPr>
        <w:t xml:space="preserve"> </w:t>
      </w:r>
      <w:r>
        <w:rPr>
          <w:rFonts w:ascii="Times New Roman" w:hAnsi="Times New Roman"/>
          <w:sz w:val="28"/>
          <w:szCs w:val="28"/>
          <w:lang w:val="uk-UA"/>
        </w:rPr>
        <w:t>По відношенню до інших показників способу життя підлітків, а саме: переважання в дієті жирних і гострих страв, несприятливої психологічної обстановки в родині, конфліктів підлітка в родині або колективі, невдалої</w:t>
      </w:r>
      <w:r w:rsidRPr="00843152">
        <w:rPr>
          <w:rFonts w:ascii="Times New Roman" w:hAnsi="Times New Roman"/>
          <w:sz w:val="28"/>
          <w:szCs w:val="28"/>
          <w:lang w:val="uk-UA"/>
        </w:rPr>
        <w:t xml:space="preserve"> </w:t>
      </w:r>
      <w:r>
        <w:rPr>
          <w:rFonts w:ascii="Times New Roman" w:hAnsi="Times New Roman"/>
          <w:sz w:val="28"/>
          <w:szCs w:val="28"/>
          <w:lang w:val="uk-UA"/>
        </w:rPr>
        <w:t xml:space="preserve">любові або любові без відповіді, тривалої психотравмуючої ситуації, пережовування їжі на одному боці, вживання м’якої їжі і травматичного </w:t>
      </w:r>
      <w:r w:rsidR="000F78D0">
        <w:rPr>
          <w:rFonts w:ascii="Times New Roman" w:hAnsi="Times New Roman"/>
          <w:sz w:val="28"/>
          <w:szCs w:val="28"/>
          <w:lang w:val="uk-UA"/>
        </w:rPr>
        <w:t>чищення зубів, виявлено тенденцію до більшої частки таких пацієнтів в групі Б (р&gt;0,05).</w:t>
      </w:r>
    </w:p>
    <w:p w:rsidR="008B0F8B"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вказаної тенденції за допомогою критерію знаків показав (табл. </w:t>
      </w:r>
      <w:r w:rsidR="00B52653">
        <w:rPr>
          <w:rFonts w:ascii="Times New Roman" w:hAnsi="Times New Roman"/>
          <w:sz w:val="28"/>
          <w:szCs w:val="28"/>
          <w:lang w:val="uk-UA"/>
        </w:rPr>
        <w:t>5.</w:t>
      </w:r>
      <w:r w:rsidR="00B52653" w:rsidRPr="00B52653">
        <w:rPr>
          <w:rFonts w:ascii="Times New Roman" w:hAnsi="Times New Roman"/>
          <w:sz w:val="28"/>
          <w:szCs w:val="28"/>
          <w:lang w:val="ru-RU"/>
        </w:rPr>
        <w:t>27</w:t>
      </w:r>
      <w:r w:rsidRPr="00883B07">
        <w:rPr>
          <w:rFonts w:ascii="Times New Roman" w:hAnsi="Times New Roman"/>
          <w:sz w:val="28"/>
          <w:szCs w:val="28"/>
          <w:lang w:val="uk-UA"/>
        </w:rPr>
        <w:t>), що за більшістю  (сім з восьми) показників відмічено перевищення частки хворих в групі Б, ніж в групі А. В цілому така тенденція перетворюється на достовірну (р&lt;0,05). Отже, вказані фактори в своєму комплексі вказують загально сумарну патогенетичну дію, що обтяжує перебіг досліджуваної патології.</w:t>
      </w:r>
      <w:r w:rsidR="008B0F8B" w:rsidRPr="008B0F8B">
        <w:rPr>
          <w:rFonts w:ascii="Times New Roman" w:hAnsi="Times New Roman"/>
          <w:sz w:val="28"/>
          <w:szCs w:val="28"/>
          <w:lang w:val="uk-UA"/>
        </w:rPr>
        <w:t xml:space="preserve"> </w:t>
      </w:r>
    </w:p>
    <w:p w:rsidR="008B0F8B"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порушення здорового способу життя підлітків </w:t>
      </w:r>
      <w:r w:rsidRPr="00883B07">
        <w:rPr>
          <w:rFonts w:ascii="Times New Roman" w:hAnsi="Times New Roman"/>
          <w:sz w:val="28"/>
          <w:szCs w:val="28"/>
          <w:lang w:val="uk-UA"/>
        </w:rPr>
        <w:t>спричиняють</w:t>
      </w:r>
      <w:r>
        <w:rPr>
          <w:rFonts w:ascii="Times New Roman" w:hAnsi="Times New Roman"/>
          <w:sz w:val="28"/>
          <w:szCs w:val="28"/>
          <w:lang w:val="uk-UA"/>
        </w:rPr>
        <w:t xml:space="preserve"> суттєвий вплив на характер перебігу запальних захворювань пародонта, у зв’язку з чим можуть бути використані для розробки критеріїв прогнозу тяжкості досліджуваної патології.</w:t>
      </w:r>
    </w:p>
    <w:p w:rsidR="008B0F8B"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стану здоров’я підлітків в групах (табл. </w:t>
      </w:r>
      <w:r w:rsidR="00B52653">
        <w:rPr>
          <w:rFonts w:ascii="Times New Roman" w:hAnsi="Times New Roman"/>
          <w:sz w:val="28"/>
          <w:szCs w:val="28"/>
          <w:lang w:val="uk-UA"/>
        </w:rPr>
        <w:t>5.</w:t>
      </w:r>
      <w:r w:rsidR="00B52653" w:rsidRPr="00B52653">
        <w:rPr>
          <w:rFonts w:ascii="Times New Roman" w:hAnsi="Times New Roman"/>
          <w:sz w:val="28"/>
          <w:szCs w:val="28"/>
          <w:lang w:val="ru-RU"/>
        </w:rPr>
        <w:t>28</w:t>
      </w:r>
      <w:r w:rsidRPr="00883B07">
        <w:rPr>
          <w:rFonts w:ascii="Times New Roman" w:hAnsi="Times New Roman"/>
          <w:sz w:val="28"/>
          <w:szCs w:val="28"/>
          <w:lang w:val="uk-UA"/>
        </w:rPr>
        <w:t>),</w:t>
      </w:r>
      <w:r>
        <w:rPr>
          <w:rFonts w:ascii="Times New Roman" w:hAnsi="Times New Roman"/>
          <w:sz w:val="28"/>
          <w:szCs w:val="28"/>
          <w:lang w:val="uk-UA"/>
        </w:rPr>
        <w:t xml:space="preserve"> то у хворих групи Б у порівнянні з групою А достовірно частіше діагностувалися захворювання шлунково-кишкового тракту (в 2 </w:t>
      </w:r>
      <w:r w:rsidRPr="00883B07">
        <w:rPr>
          <w:rFonts w:ascii="Times New Roman" w:hAnsi="Times New Roman"/>
          <w:sz w:val="28"/>
          <w:szCs w:val="28"/>
          <w:lang w:val="uk-UA"/>
        </w:rPr>
        <w:t>рази; р&lt;0,05),  ЛОР-захворювання (в 1,7 раза; р&lt;0,05), алергічна патологія (в 2,5 раза; р&lt;0,05), ендокринна патологія (в 1,8 раза; р&lt;0,05), гіпоплазія матки  (в 1,5 раза; р&lt;0,05).</w:t>
      </w:r>
      <w:r w:rsidRPr="00883B07">
        <w:rPr>
          <w:rFonts w:ascii="Times New Roman" w:hAnsi="Times New Roman"/>
          <w:sz w:val="28"/>
          <w:szCs w:val="28"/>
          <w:lang w:val="uk-UA"/>
        </w:rPr>
        <w:tab/>
      </w:r>
    </w:p>
    <w:p w:rsidR="008B0F8B" w:rsidRPr="00883B07" w:rsidRDefault="008B0F8B"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у хворих групи Б достовірно частіше (в 1,7 </w:t>
      </w:r>
      <w:r w:rsidRPr="00883B07">
        <w:rPr>
          <w:rFonts w:ascii="Times New Roman" w:hAnsi="Times New Roman"/>
          <w:sz w:val="28"/>
          <w:szCs w:val="28"/>
          <w:lang w:val="uk-UA"/>
        </w:rPr>
        <w:t>раза; р&lt;0,001), діагностувалася низька маса тіла, що стало наслідком схильності хворих цієї групи до дієтичного раціону.</w:t>
      </w:r>
    </w:p>
    <w:p w:rsidR="000F78D0" w:rsidRPr="00BD4FE3" w:rsidRDefault="000F78D0" w:rsidP="00AC605C">
      <w:pPr>
        <w:spacing w:line="360" w:lineRule="auto"/>
        <w:ind w:firstLine="426"/>
        <w:jc w:val="right"/>
        <w:rPr>
          <w:rFonts w:ascii="Times New Roman" w:hAnsi="Times New Roman"/>
          <w:sz w:val="28"/>
          <w:szCs w:val="28"/>
          <w:lang w:val="ru-RU"/>
        </w:rPr>
      </w:pPr>
      <w:r w:rsidRPr="00883B07">
        <w:rPr>
          <w:rFonts w:ascii="Times New Roman" w:hAnsi="Times New Roman"/>
          <w:i/>
          <w:sz w:val="28"/>
          <w:szCs w:val="28"/>
          <w:lang w:val="uk-UA"/>
        </w:rPr>
        <w:lastRenderedPageBreak/>
        <w:t>Таблиця</w:t>
      </w:r>
      <w:r w:rsidR="00B52653">
        <w:rPr>
          <w:rFonts w:ascii="Times New Roman" w:hAnsi="Times New Roman"/>
          <w:sz w:val="28"/>
          <w:szCs w:val="28"/>
          <w:lang w:val="uk-UA"/>
        </w:rPr>
        <w:t xml:space="preserve"> 5.</w:t>
      </w:r>
      <w:r w:rsidR="00B52653" w:rsidRPr="00BD4FE3">
        <w:rPr>
          <w:rFonts w:ascii="Times New Roman" w:hAnsi="Times New Roman"/>
          <w:sz w:val="28"/>
          <w:szCs w:val="28"/>
          <w:lang w:val="ru-RU"/>
        </w:rPr>
        <w:t>27</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Характер домінування частки хворих в групах в залежності від виду порушень способу життя.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5478"/>
        <w:gridCol w:w="2349"/>
      </w:tblGrid>
      <w:tr w:rsidR="000F78D0" w:rsidRPr="001336DC" w:rsidTr="000F78D0">
        <w:tc>
          <w:tcPr>
            <w:tcW w:w="817" w:type="dxa"/>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8B0F8B">
            <w:pPr>
              <w:spacing w:line="360" w:lineRule="auto"/>
              <w:rPr>
                <w:rFonts w:ascii="Times New Roman" w:hAnsi="Times New Roman"/>
                <w:sz w:val="28"/>
                <w:szCs w:val="28"/>
                <w:lang w:val="uk-UA"/>
              </w:rPr>
            </w:pPr>
            <w:r w:rsidRPr="001336DC">
              <w:rPr>
                <w:rFonts w:ascii="Times New Roman" w:hAnsi="Times New Roman"/>
                <w:sz w:val="28"/>
                <w:szCs w:val="28"/>
                <w:lang w:val="uk-UA"/>
              </w:rPr>
              <w:t>Вид порушень способу життя підлітка</w:t>
            </w:r>
          </w:p>
        </w:tc>
        <w:tc>
          <w:tcPr>
            <w:tcW w:w="0" w:type="auto"/>
          </w:tcPr>
          <w:p w:rsidR="000F78D0" w:rsidRPr="001336DC" w:rsidRDefault="000F78D0" w:rsidP="008B0F8B">
            <w:pPr>
              <w:spacing w:line="360" w:lineRule="auto"/>
              <w:rPr>
                <w:rFonts w:ascii="Times New Roman" w:hAnsi="Times New Roman"/>
                <w:sz w:val="28"/>
                <w:szCs w:val="28"/>
                <w:lang w:val="uk-UA"/>
              </w:rPr>
            </w:pPr>
            <w:r w:rsidRPr="001336DC">
              <w:rPr>
                <w:rFonts w:ascii="Times New Roman" w:hAnsi="Times New Roman"/>
                <w:sz w:val="28"/>
                <w:szCs w:val="28"/>
                <w:lang w:val="uk-UA"/>
              </w:rPr>
              <w:t>Знак домінування</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360" w:lineRule="auto"/>
              <w:rPr>
                <w:rFonts w:ascii="Times New Roman" w:hAnsi="Times New Roman"/>
                <w:sz w:val="28"/>
                <w:szCs w:val="28"/>
                <w:lang w:val="uk-UA"/>
              </w:rPr>
            </w:pPr>
            <w:r w:rsidRPr="001336DC">
              <w:rPr>
                <w:rFonts w:ascii="Times New Roman" w:hAnsi="Times New Roman"/>
                <w:sz w:val="28"/>
                <w:szCs w:val="28"/>
                <w:lang w:val="uk-UA"/>
              </w:rPr>
              <w:t>Переважання в дієті гострих і жирних страв</w:t>
            </w:r>
          </w:p>
        </w:tc>
        <w:tc>
          <w:tcPr>
            <w:tcW w:w="0" w:type="auto"/>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360" w:lineRule="auto"/>
              <w:rPr>
                <w:rFonts w:ascii="Times New Roman" w:hAnsi="Times New Roman"/>
                <w:sz w:val="28"/>
                <w:szCs w:val="28"/>
                <w:lang w:val="uk-UA"/>
              </w:rPr>
            </w:pPr>
            <w:r w:rsidRPr="001336DC">
              <w:rPr>
                <w:rFonts w:ascii="Times New Roman" w:hAnsi="Times New Roman"/>
                <w:sz w:val="28"/>
                <w:szCs w:val="28"/>
                <w:lang w:val="uk-UA"/>
              </w:rPr>
              <w:t>Несприятлива обстановка в родині</w:t>
            </w:r>
          </w:p>
        </w:tc>
        <w:tc>
          <w:tcPr>
            <w:tcW w:w="0" w:type="auto"/>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360" w:lineRule="auto"/>
              <w:rPr>
                <w:rFonts w:ascii="Times New Roman" w:hAnsi="Times New Roman"/>
                <w:sz w:val="28"/>
                <w:szCs w:val="28"/>
                <w:lang w:val="uk-UA"/>
              </w:rPr>
            </w:pPr>
            <w:r w:rsidRPr="001336DC">
              <w:rPr>
                <w:rFonts w:ascii="Times New Roman" w:hAnsi="Times New Roman"/>
                <w:sz w:val="28"/>
                <w:szCs w:val="28"/>
                <w:lang w:val="uk-UA"/>
              </w:rPr>
              <w:t>Конфлікти в родині і колективі</w:t>
            </w:r>
          </w:p>
        </w:tc>
        <w:tc>
          <w:tcPr>
            <w:tcW w:w="0" w:type="auto"/>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276" w:lineRule="auto"/>
              <w:rPr>
                <w:rFonts w:ascii="Times New Roman" w:hAnsi="Times New Roman"/>
                <w:sz w:val="28"/>
                <w:szCs w:val="28"/>
                <w:lang w:val="uk-UA"/>
              </w:rPr>
            </w:pPr>
            <w:r w:rsidRPr="001336DC">
              <w:rPr>
                <w:rFonts w:ascii="Times New Roman" w:hAnsi="Times New Roman"/>
                <w:sz w:val="28"/>
                <w:szCs w:val="28"/>
                <w:lang w:val="uk-UA"/>
              </w:rPr>
              <w:t>Невдала любов або любов без відповіді</w:t>
            </w:r>
          </w:p>
        </w:tc>
        <w:tc>
          <w:tcPr>
            <w:tcW w:w="0" w:type="auto"/>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vAlign w:val="center"/>
          </w:tcPr>
          <w:p w:rsidR="000F78D0" w:rsidRPr="001336DC" w:rsidRDefault="000F78D0" w:rsidP="008B0F8B">
            <w:pPr>
              <w:rPr>
                <w:rFonts w:ascii="Times New Roman" w:hAnsi="Times New Roman"/>
                <w:sz w:val="28"/>
                <w:szCs w:val="28"/>
                <w:lang w:val="uk-UA"/>
              </w:rPr>
            </w:pPr>
            <w:r w:rsidRPr="001336DC">
              <w:rPr>
                <w:rFonts w:ascii="Times New Roman" w:hAnsi="Times New Roman"/>
                <w:sz w:val="28"/>
                <w:szCs w:val="28"/>
                <w:lang w:val="uk-UA"/>
              </w:rPr>
              <w:t>Тривала психотравмуюча ситуація</w:t>
            </w:r>
          </w:p>
        </w:tc>
        <w:tc>
          <w:tcPr>
            <w:tcW w:w="0" w:type="auto"/>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360" w:lineRule="auto"/>
              <w:rPr>
                <w:rFonts w:ascii="Times New Roman" w:hAnsi="Times New Roman"/>
                <w:sz w:val="28"/>
                <w:szCs w:val="28"/>
                <w:lang w:val="uk-UA"/>
              </w:rPr>
            </w:pPr>
            <w:r w:rsidRPr="001336DC">
              <w:rPr>
                <w:rFonts w:ascii="Times New Roman" w:hAnsi="Times New Roman"/>
                <w:sz w:val="28"/>
                <w:szCs w:val="28"/>
                <w:lang w:val="uk-UA"/>
              </w:rPr>
              <w:t>Пережовування їжі на одному боці</w:t>
            </w:r>
          </w:p>
        </w:tc>
        <w:tc>
          <w:tcPr>
            <w:tcW w:w="0" w:type="auto"/>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 xml:space="preserve">Вживання м’якої їжі </w:t>
            </w:r>
          </w:p>
        </w:tc>
        <w:tc>
          <w:tcPr>
            <w:tcW w:w="0" w:type="auto"/>
          </w:tcPr>
          <w:p w:rsidR="000F78D0" w:rsidRPr="001336DC" w:rsidRDefault="000F78D0" w:rsidP="008B0F8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17" w:type="dxa"/>
          </w:tcPr>
          <w:p w:rsidR="000F78D0" w:rsidRPr="001336DC" w:rsidRDefault="000F78D0" w:rsidP="008B0F8B">
            <w:pPr>
              <w:numPr>
                <w:ilvl w:val="0"/>
                <w:numId w:val="24"/>
              </w:numPr>
              <w:spacing w:line="360" w:lineRule="auto"/>
              <w:ind w:left="0" w:firstLine="0"/>
              <w:jc w:val="center"/>
              <w:rPr>
                <w:rFonts w:ascii="Times New Roman" w:hAnsi="Times New Roman"/>
                <w:sz w:val="28"/>
                <w:szCs w:val="28"/>
                <w:lang w:val="uk-UA"/>
              </w:rPr>
            </w:pPr>
          </w:p>
        </w:tc>
        <w:tc>
          <w:tcPr>
            <w:tcW w:w="0" w:type="auto"/>
          </w:tcPr>
          <w:p w:rsidR="000F78D0" w:rsidRPr="001336DC" w:rsidRDefault="000F78D0" w:rsidP="008B0F8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Травматичне чищення зубів</w:t>
            </w:r>
          </w:p>
        </w:tc>
        <w:tc>
          <w:tcPr>
            <w:tcW w:w="0" w:type="auto"/>
          </w:tcPr>
          <w:p w:rsidR="000F78D0" w:rsidRPr="001336DC" w:rsidRDefault="000F78D0" w:rsidP="008B0F8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8644" w:type="dxa"/>
            <w:gridSpan w:val="3"/>
          </w:tcPr>
          <w:p w:rsidR="000F78D0" w:rsidRPr="001336DC" w:rsidRDefault="000F78D0" w:rsidP="008B0F8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Р : &lt;0,05</w:t>
            </w:r>
          </w:p>
        </w:tc>
      </w:tr>
    </w:tbl>
    <w:p w:rsidR="000F78D0" w:rsidRDefault="000F78D0" w:rsidP="00472525">
      <w:pPr>
        <w:spacing w:line="360" w:lineRule="auto"/>
        <w:ind w:firstLine="709"/>
        <w:jc w:val="both"/>
        <w:rPr>
          <w:rFonts w:ascii="Times New Roman" w:hAnsi="Times New Roman"/>
          <w:sz w:val="28"/>
          <w:szCs w:val="28"/>
          <w:lang w:val="uk-UA"/>
        </w:rPr>
      </w:pPr>
      <w:r w:rsidRPr="00B20D51">
        <w:rPr>
          <w:rFonts w:ascii="Times New Roman" w:hAnsi="Times New Roman"/>
          <w:i/>
          <w:sz w:val="28"/>
          <w:szCs w:val="28"/>
          <w:lang w:val="uk-UA"/>
        </w:rPr>
        <w:t>Примітка</w:t>
      </w:r>
      <w:r>
        <w:rPr>
          <w:rFonts w:ascii="Times New Roman" w:hAnsi="Times New Roman"/>
          <w:sz w:val="28"/>
          <w:szCs w:val="28"/>
          <w:lang w:val="uk-UA"/>
        </w:rPr>
        <w:t>. Знак (+) свідчить про більшу частку хворих в групі Б, а знак  (-)  - в групі А.</w:t>
      </w:r>
    </w:p>
    <w:p w:rsidR="000F78D0" w:rsidRPr="00883B07" w:rsidRDefault="000F78D0" w:rsidP="00472525">
      <w:pPr>
        <w:spacing w:line="360" w:lineRule="auto"/>
        <w:ind w:firstLine="709"/>
        <w:jc w:val="both"/>
        <w:rPr>
          <w:rFonts w:ascii="Times New Roman" w:hAnsi="Times New Roman"/>
          <w:sz w:val="28"/>
          <w:szCs w:val="28"/>
          <w:lang w:val="uk-UA"/>
        </w:rPr>
      </w:pPr>
      <w:r w:rsidRPr="00883B07">
        <w:rPr>
          <w:rFonts w:ascii="Times New Roman" w:hAnsi="Times New Roman"/>
          <w:sz w:val="28"/>
          <w:szCs w:val="28"/>
          <w:lang w:val="uk-UA"/>
        </w:rPr>
        <w:t>З іншого боку, у хворих групи А частіше (в 2,7 раза; р&lt;0,001) відзначалася надмірна маса тіла.</w:t>
      </w:r>
    </w:p>
    <w:p w:rsidR="000F78D0" w:rsidRPr="00883B07" w:rsidRDefault="000F78D0" w:rsidP="00472525">
      <w:pPr>
        <w:spacing w:line="360" w:lineRule="auto"/>
        <w:ind w:firstLine="709"/>
        <w:jc w:val="both"/>
        <w:rPr>
          <w:rFonts w:ascii="Times New Roman" w:hAnsi="Times New Roman"/>
          <w:sz w:val="28"/>
          <w:szCs w:val="28"/>
          <w:lang w:val="uk-UA"/>
        </w:rPr>
      </w:pPr>
      <w:r w:rsidRPr="00883B07">
        <w:rPr>
          <w:rFonts w:ascii="Times New Roman" w:hAnsi="Times New Roman"/>
          <w:sz w:val="28"/>
          <w:szCs w:val="28"/>
          <w:lang w:val="uk-UA"/>
        </w:rPr>
        <w:t>Важливим патогенетичним фактором  виявлена ступінь коморбідності (поєд</w:t>
      </w:r>
      <w:r>
        <w:rPr>
          <w:rFonts w:ascii="Times New Roman" w:hAnsi="Times New Roman"/>
          <w:sz w:val="28"/>
          <w:szCs w:val="28"/>
          <w:lang w:val="uk-UA"/>
        </w:rPr>
        <w:t>наної хронічної патології). Так</w:t>
      </w:r>
      <w:r w:rsidRPr="00883B07">
        <w:rPr>
          <w:rFonts w:ascii="Times New Roman" w:hAnsi="Times New Roman"/>
          <w:sz w:val="28"/>
          <w:szCs w:val="28"/>
          <w:lang w:val="uk-UA"/>
        </w:rPr>
        <w:t>, відсутність або монопатологія зустрічалися тільки у хворих групи А (12,5%; р&lt;0,05). Поєднання двох захворювань виявлено у 70,8% хворих групи А і тільки у 5,4% хворих групи Б (р&lt;0,001).</w:t>
      </w:r>
    </w:p>
    <w:p w:rsidR="000F78D0" w:rsidRDefault="000F78D0" w:rsidP="00472525">
      <w:pPr>
        <w:spacing w:line="360" w:lineRule="auto"/>
        <w:ind w:firstLine="709"/>
        <w:jc w:val="both"/>
        <w:rPr>
          <w:rFonts w:ascii="Times New Roman" w:hAnsi="Times New Roman"/>
          <w:sz w:val="28"/>
          <w:szCs w:val="28"/>
          <w:lang w:val="uk-UA"/>
        </w:rPr>
      </w:pPr>
      <w:r w:rsidRPr="00883B07">
        <w:rPr>
          <w:rFonts w:ascii="Times New Roman" w:hAnsi="Times New Roman"/>
          <w:sz w:val="28"/>
          <w:szCs w:val="28"/>
          <w:lang w:val="uk-UA"/>
        </w:rPr>
        <w:t>Наявність вираженої коморбідності  (трьох і більше захворювань) було характерним для підлітків групи Б і в 5,1 раза частіше (р&lt;0,001) відмічалося</w:t>
      </w:r>
      <w:r>
        <w:rPr>
          <w:rFonts w:ascii="Times New Roman" w:hAnsi="Times New Roman"/>
          <w:sz w:val="28"/>
          <w:szCs w:val="28"/>
          <w:lang w:val="uk-UA"/>
        </w:rPr>
        <w:t xml:space="preserve"> у них.</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наявність у підлітків хронічних захворювань і вираженої їх коморбідності  суттєвим чином обтяжує перебіг запальних захворювань пародонта у дівчат-підлітків з ПМФ.</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показників стоматологічного статусу хворих (табл</w:t>
      </w:r>
      <w:r w:rsidR="00B52653">
        <w:rPr>
          <w:rFonts w:ascii="Times New Roman" w:hAnsi="Times New Roman"/>
          <w:sz w:val="28"/>
          <w:szCs w:val="28"/>
          <w:lang w:val="uk-UA"/>
        </w:rPr>
        <w:t>. 5.</w:t>
      </w:r>
      <w:r w:rsidR="00B52653" w:rsidRPr="00B52653">
        <w:rPr>
          <w:rFonts w:ascii="Times New Roman" w:hAnsi="Times New Roman"/>
          <w:sz w:val="28"/>
          <w:szCs w:val="28"/>
          <w:lang w:val="uk-UA"/>
        </w:rPr>
        <w:t>29</w:t>
      </w:r>
      <w:r w:rsidRPr="00883B07">
        <w:rPr>
          <w:rFonts w:ascii="Times New Roman" w:hAnsi="Times New Roman"/>
          <w:sz w:val="28"/>
          <w:szCs w:val="28"/>
          <w:lang w:val="uk-UA"/>
        </w:rPr>
        <w:t>)</w:t>
      </w:r>
      <w:r>
        <w:rPr>
          <w:rFonts w:ascii="Times New Roman" w:hAnsi="Times New Roman"/>
          <w:sz w:val="28"/>
          <w:szCs w:val="28"/>
          <w:lang w:val="uk-UA"/>
        </w:rPr>
        <w:t xml:space="preserve"> міцний зв'язок з тяжкістю запальних захворювань пародонта виявив показник інтенсивності карієсу зубів (КПВ). При цьому дуже низькі, низькі або помірні його значення (≤4,4 ум.од) були характерні для хворих групи А і визначалися у </w:t>
      </w:r>
      <w:r>
        <w:rPr>
          <w:rFonts w:ascii="Times New Roman" w:hAnsi="Times New Roman"/>
          <w:sz w:val="28"/>
          <w:szCs w:val="28"/>
          <w:lang w:val="uk-UA"/>
        </w:rPr>
        <w:lastRenderedPageBreak/>
        <w:t xml:space="preserve">них в 2,9 </w:t>
      </w:r>
      <w:r w:rsidRPr="00883B07">
        <w:rPr>
          <w:rFonts w:ascii="Times New Roman" w:hAnsi="Times New Roman"/>
          <w:sz w:val="28"/>
          <w:szCs w:val="28"/>
          <w:lang w:val="uk-UA"/>
        </w:rPr>
        <w:t>раза частіше (р&lt;0,001), ніж в групі Б. А високі і дуже високі значення інтенсивності карієсу в 3,4 раза частіше (р&lt;0,001) виявлялися в групі Б.</w:t>
      </w:r>
    </w:p>
    <w:p w:rsidR="000F78D0" w:rsidRPr="00883B07" w:rsidRDefault="000F78D0" w:rsidP="00472525">
      <w:pPr>
        <w:spacing w:line="360" w:lineRule="auto"/>
        <w:ind w:firstLine="709"/>
        <w:jc w:val="both"/>
        <w:rPr>
          <w:rFonts w:ascii="Times New Roman" w:hAnsi="Times New Roman"/>
          <w:sz w:val="28"/>
          <w:szCs w:val="28"/>
          <w:lang w:val="uk-UA"/>
        </w:rPr>
      </w:pPr>
    </w:p>
    <w:p w:rsidR="000F78D0" w:rsidRPr="00BD4FE3" w:rsidRDefault="000F78D0" w:rsidP="00AC605C">
      <w:pPr>
        <w:spacing w:line="360" w:lineRule="auto"/>
        <w:ind w:firstLine="426"/>
        <w:jc w:val="right"/>
        <w:rPr>
          <w:rFonts w:ascii="Times New Roman" w:hAnsi="Times New Roman"/>
          <w:sz w:val="28"/>
          <w:szCs w:val="28"/>
          <w:lang w:val="ru-RU"/>
        </w:rPr>
      </w:pPr>
      <w:r w:rsidRPr="00883B07">
        <w:rPr>
          <w:rFonts w:ascii="Times New Roman" w:hAnsi="Times New Roman"/>
          <w:i/>
          <w:sz w:val="28"/>
          <w:szCs w:val="28"/>
          <w:lang w:val="uk-UA"/>
        </w:rPr>
        <w:t>Таблиця</w:t>
      </w:r>
      <w:r w:rsidRPr="00883B07">
        <w:rPr>
          <w:rFonts w:ascii="Times New Roman" w:hAnsi="Times New Roman"/>
          <w:sz w:val="28"/>
          <w:szCs w:val="28"/>
          <w:lang w:val="uk-UA"/>
        </w:rPr>
        <w:t xml:space="preserve"> </w:t>
      </w:r>
      <w:r w:rsidRPr="00883B07">
        <w:rPr>
          <w:rFonts w:ascii="Times New Roman" w:hAnsi="Times New Roman"/>
          <w:i/>
          <w:sz w:val="28"/>
          <w:szCs w:val="28"/>
          <w:lang w:val="uk-UA"/>
        </w:rPr>
        <w:t>5.</w:t>
      </w:r>
      <w:r w:rsidR="00B52653" w:rsidRPr="00BD4FE3">
        <w:rPr>
          <w:rFonts w:ascii="Times New Roman" w:hAnsi="Times New Roman"/>
          <w:i/>
          <w:sz w:val="28"/>
          <w:szCs w:val="28"/>
          <w:lang w:val="ru-RU"/>
        </w:rPr>
        <w:t>28</w:t>
      </w:r>
    </w:p>
    <w:p w:rsidR="000F78D0" w:rsidRDefault="000F78D0" w:rsidP="00AC605C">
      <w:pPr>
        <w:spacing w:line="360" w:lineRule="auto"/>
        <w:ind w:firstLine="426"/>
        <w:jc w:val="center"/>
        <w:rPr>
          <w:rFonts w:ascii="Times New Roman" w:hAnsi="Times New Roman"/>
          <w:sz w:val="28"/>
          <w:szCs w:val="28"/>
          <w:lang w:val="uk-UA"/>
        </w:rPr>
      </w:pPr>
      <w:r w:rsidRPr="00883B07">
        <w:rPr>
          <w:rFonts w:ascii="Times New Roman" w:hAnsi="Times New Roman"/>
          <w:sz w:val="28"/>
          <w:szCs w:val="28"/>
          <w:lang w:val="uk-UA"/>
        </w:rPr>
        <w:t>Розподіл  хворих в групах в залежності від стану їх здоров’я.</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3489"/>
        <w:gridCol w:w="1857"/>
        <w:gridCol w:w="953"/>
        <w:gridCol w:w="706"/>
        <w:gridCol w:w="857"/>
        <w:gridCol w:w="706"/>
        <w:gridCol w:w="1004"/>
      </w:tblGrid>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563"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00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Захворювання шлунково-кишкового тракту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ІМТ, ум.од.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&lt;0,001</w:t>
            </w:r>
          </w:p>
        </w:tc>
      </w:tr>
      <w:tr w:rsidR="000F78D0" w:rsidRPr="001336DC" w:rsidTr="00C151C8">
        <w:tc>
          <w:tcPr>
            <w:tcW w:w="566"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18,1-25,0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25,1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&lt;0,001</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ЛОР-захворювання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 xml:space="preserve">Прояви алергії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Захворювання нервової системи, включно ВСД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33,4</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66,6</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jc w:val="both"/>
              <w:rPr>
                <w:rFonts w:ascii="Times New Roman" w:hAnsi="Times New Roman"/>
                <w:sz w:val="28"/>
                <w:szCs w:val="28"/>
                <w:lang w:val="uk-UA"/>
              </w:rPr>
            </w:pPr>
            <w:r w:rsidRPr="001336DC">
              <w:rPr>
                <w:rFonts w:ascii="Times New Roman" w:hAnsi="Times New Roman"/>
                <w:sz w:val="28"/>
                <w:szCs w:val="28"/>
                <w:lang w:val="uk-UA"/>
              </w:rPr>
              <w:t>Ендокринна патологія</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46,2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r w:rsidRPr="001336DC">
              <w:rPr>
                <w:rFonts w:ascii="Times New Roman" w:hAnsi="Times New Roman"/>
                <w:sz w:val="28"/>
                <w:szCs w:val="28"/>
                <w:lang w:val="uk-UA"/>
              </w:rPr>
              <w:t>9.</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Гіпоплазія матки</w:t>
            </w:r>
          </w:p>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 xml:space="preserve">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Мультифолікулярні яєчники</w:t>
            </w:r>
          </w:p>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 xml:space="preserve">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 xml:space="preserve">Хвороба склерокістних яєчників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val="restart"/>
            <w:tcBorders>
              <w:top w:val="single" w:sz="4" w:space="0" w:color="auto"/>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r w:rsidRPr="001336DC">
              <w:rPr>
                <w:rFonts w:ascii="Times New Roman" w:hAnsi="Times New Roman"/>
                <w:sz w:val="28"/>
                <w:szCs w:val="28"/>
                <w:lang w:val="uk-UA"/>
              </w:rPr>
              <w:t>12.</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Бруксизм</w:t>
            </w:r>
          </w:p>
          <w:p w:rsidR="000F78D0" w:rsidRPr="001336DC" w:rsidRDefault="000F78D0" w:rsidP="00C151C8">
            <w:pPr>
              <w:ind w:firstLine="1"/>
              <w:rPr>
                <w:rFonts w:ascii="Times New Roman" w:hAnsi="Times New Roman"/>
                <w:sz w:val="28"/>
                <w:szCs w:val="28"/>
                <w:lang w:val="uk-UA"/>
              </w:rPr>
            </w:pPr>
            <w:r w:rsidRPr="001336DC">
              <w:rPr>
                <w:rFonts w:ascii="Times New Roman" w:hAnsi="Times New Roman"/>
                <w:sz w:val="28"/>
                <w:szCs w:val="28"/>
                <w:lang w:val="uk-UA"/>
              </w:rPr>
              <w:t xml:space="preserve">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76,9</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66"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ind w:firstLine="1"/>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&lt;0,001</w:t>
            </w:r>
          </w:p>
        </w:tc>
      </w:tr>
      <w:tr w:rsidR="000F78D0" w:rsidRPr="001336DC" w:rsidTr="00C151C8">
        <w:tc>
          <w:tcPr>
            <w:tcW w:w="566"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ind w:firstLine="1"/>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84,6</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&lt;0,001</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Pr="00B52653" w:rsidRDefault="000F78D0" w:rsidP="00AC605C">
      <w:pPr>
        <w:spacing w:line="360" w:lineRule="auto"/>
        <w:ind w:firstLine="426"/>
        <w:jc w:val="right"/>
        <w:rPr>
          <w:rFonts w:ascii="Times New Roman" w:hAnsi="Times New Roman"/>
          <w:i/>
          <w:sz w:val="28"/>
          <w:szCs w:val="28"/>
        </w:rPr>
      </w:pPr>
      <w:r w:rsidRPr="00883B07">
        <w:rPr>
          <w:rFonts w:ascii="Times New Roman" w:hAnsi="Times New Roman"/>
          <w:i/>
          <w:sz w:val="28"/>
          <w:szCs w:val="28"/>
          <w:lang w:val="uk-UA"/>
        </w:rPr>
        <w:lastRenderedPageBreak/>
        <w:t>Таблиця</w:t>
      </w:r>
      <w:r w:rsidRPr="00883B07">
        <w:rPr>
          <w:rFonts w:ascii="Times New Roman" w:hAnsi="Times New Roman"/>
          <w:sz w:val="28"/>
          <w:szCs w:val="28"/>
          <w:lang w:val="uk-UA"/>
        </w:rPr>
        <w:t xml:space="preserve"> </w:t>
      </w:r>
      <w:r w:rsidR="00B52653">
        <w:rPr>
          <w:rFonts w:ascii="Times New Roman" w:hAnsi="Times New Roman"/>
          <w:i/>
          <w:sz w:val="28"/>
          <w:szCs w:val="28"/>
          <w:lang w:val="uk-UA"/>
        </w:rPr>
        <w:t>5.</w:t>
      </w:r>
      <w:r w:rsidR="00B52653">
        <w:rPr>
          <w:rFonts w:ascii="Times New Roman" w:hAnsi="Times New Roman"/>
          <w:i/>
          <w:sz w:val="28"/>
          <w:szCs w:val="28"/>
        </w:rPr>
        <w:t>29</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стану їх стоматологічного статусу.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835"/>
        <w:gridCol w:w="1857"/>
        <w:gridCol w:w="953"/>
        <w:gridCol w:w="706"/>
        <w:gridCol w:w="857"/>
        <w:gridCol w:w="871"/>
        <w:gridCol w:w="1134"/>
      </w:tblGrid>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728"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1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4"/>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34"/>
              <w:jc w:val="center"/>
              <w:rPr>
                <w:rFonts w:ascii="Times New Roman" w:hAnsi="Times New Roman"/>
                <w:sz w:val="28"/>
                <w:szCs w:val="28"/>
                <w:lang w:val="uk-UA"/>
              </w:rPr>
            </w:pP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A06011" w:rsidP="00E03819">
            <w:pPr>
              <w:spacing w:line="276" w:lineRule="auto"/>
              <w:rPr>
                <w:rFonts w:ascii="Times New Roman" w:hAnsi="Times New Roman"/>
                <w:sz w:val="28"/>
                <w:szCs w:val="28"/>
                <w:lang w:val="uk-UA"/>
              </w:rPr>
            </w:pPr>
            <w:r>
              <w:rPr>
                <w:rFonts w:ascii="Times New Roman" w:hAnsi="Times New Roman"/>
                <w:sz w:val="28"/>
                <w:szCs w:val="28"/>
                <w:lang w:val="uk-UA"/>
              </w:rPr>
              <w:t>КПВ</w:t>
            </w:r>
            <w:r w:rsidR="000F78D0" w:rsidRPr="001336DC">
              <w:rPr>
                <w:rFonts w:ascii="Times New Roman" w:hAnsi="Times New Roman"/>
                <w:sz w:val="28"/>
                <w:szCs w:val="28"/>
                <w:lang w:val="uk-UA"/>
              </w:rPr>
              <w:t>, ум.од.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≤4,4</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&lt;0,001</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4,5</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20</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66,9</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&lt;0,001</w:t>
            </w: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Аномалії розвитку зубо-щелепної системи</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21</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80,8</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&lt;0,001</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19,2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&lt;0,001</w:t>
            </w: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Поєднання аномалій зубощелепної системи</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92,3</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&lt;0,001</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&lt;0,001</w:t>
            </w: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Приясенна локалізація карієсу</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26,9</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&gt;0,05</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19</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73,1</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&gt;0,05</w:t>
            </w: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Нависаючі краї пломб</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8,3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&gt;0,05</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91,7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92,3</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&gt;0,05</w:t>
            </w: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Індекс </w:t>
            </w:r>
            <w:r w:rsidR="00E71220">
              <w:rPr>
                <w:rFonts w:ascii="Times New Roman" w:hAnsi="Times New Roman"/>
                <w:sz w:val="28"/>
                <w:szCs w:val="28"/>
                <w:lang w:val="uk-UA"/>
              </w:rPr>
              <w:t>Ю.А.Федорова, В.В.Володкіної</w:t>
            </w:r>
            <w:r w:rsidRPr="001336DC">
              <w:rPr>
                <w:rFonts w:ascii="Times New Roman" w:hAnsi="Times New Roman"/>
                <w:sz w:val="28"/>
                <w:szCs w:val="28"/>
                <w:lang w:val="uk-UA"/>
              </w:rPr>
              <w:t>, ум.од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&lt;0,05</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left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2,1-2,5</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46,2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&gt;0,05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numPr>
                <w:ilvl w:val="0"/>
                <w:numId w:val="25"/>
              </w:numPr>
              <w:ind w:left="0" w:firstLine="0"/>
              <w:rPr>
                <w:rFonts w:ascii="Times New Roman" w:hAnsi="Times New Roman"/>
                <w:sz w:val="28"/>
                <w:szCs w:val="28"/>
                <w:lang w:val="uk-UA"/>
              </w:rPr>
            </w:pPr>
          </w:p>
        </w:tc>
        <w:tc>
          <w:tcPr>
            <w:tcW w:w="2835" w:type="dxa"/>
            <w:vMerge/>
            <w:tcBorders>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2,6</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46,2</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numPr>
                <w:ilvl w:val="0"/>
                <w:numId w:val="25"/>
              </w:numPr>
              <w:spacing w:line="276" w:lineRule="auto"/>
              <w:ind w:left="0" w:firstLine="0"/>
              <w:jc w:val="both"/>
              <w:rPr>
                <w:rFonts w:ascii="Times New Roman" w:hAnsi="Times New Roman"/>
                <w:sz w:val="28"/>
                <w:szCs w:val="28"/>
                <w:lang w:val="uk-U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rPr>
                <w:rFonts w:ascii="Times New Roman" w:hAnsi="Times New Roman"/>
                <w:sz w:val="28"/>
                <w:szCs w:val="28"/>
                <w:lang w:val="uk-UA"/>
              </w:rPr>
            </w:pPr>
            <w:r w:rsidRPr="001336DC">
              <w:rPr>
                <w:rFonts w:ascii="Times New Roman" w:hAnsi="Times New Roman"/>
                <w:sz w:val="28"/>
                <w:szCs w:val="28"/>
                <w:lang w:val="uk-UA"/>
              </w:rPr>
              <w:t>Спрощений індекс, ум.од.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≤1,6</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15,4</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&lt;0,01</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1,7</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84,6</w:t>
            </w:r>
          </w:p>
        </w:tc>
        <w:tc>
          <w:tcPr>
            <w:tcW w:w="11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34"/>
              <w:jc w:val="center"/>
            </w:pPr>
            <w:r w:rsidRPr="001336DC">
              <w:rPr>
                <w:rFonts w:ascii="Times New Roman" w:hAnsi="Times New Roman"/>
                <w:sz w:val="28"/>
                <w:szCs w:val="28"/>
                <w:lang w:val="uk-UA"/>
              </w:rPr>
              <w:t>&lt;0,01</w:t>
            </w:r>
          </w:p>
        </w:tc>
      </w:tr>
    </w:tbl>
    <w:p w:rsidR="00C151C8" w:rsidRDefault="00C151C8" w:rsidP="00C151C8">
      <w:pPr>
        <w:spacing w:line="360" w:lineRule="auto"/>
        <w:ind w:firstLine="426"/>
        <w:jc w:val="both"/>
        <w:rPr>
          <w:rFonts w:ascii="Times New Roman" w:hAnsi="Times New Roman"/>
          <w:sz w:val="28"/>
          <w:szCs w:val="28"/>
          <w:lang w:val="uk-UA"/>
        </w:rPr>
      </w:pPr>
    </w:p>
    <w:p w:rsidR="00C151C8" w:rsidRPr="00883B07" w:rsidRDefault="00472525"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Негативну роль</w:t>
      </w:r>
      <w:r w:rsidR="00C151C8">
        <w:rPr>
          <w:rFonts w:ascii="Times New Roman" w:hAnsi="Times New Roman"/>
          <w:sz w:val="28"/>
          <w:szCs w:val="28"/>
          <w:lang w:val="uk-UA"/>
        </w:rPr>
        <w:t xml:space="preserve"> в плані впливу на формування тяжкості </w:t>
      </w:r>
      <w:r>
        <w:rPr>
          <w:rFonts w:ascii="Times New Roman" w:hAnsi="Times New Roman"/>
          <w:sz w:val="28"/>
          <w:szCs w:val="28"/>
          <w:lang w:val="uk-UA"/>
        </w:rPr>
        <w:t>ЗЗП</w:t>
      </w:r>
      <w:r w:rsidR="00C151C8">
        <w:rPr>
          <w:rFonts w:ascii="Times New Roman" w:hAnsi="Times New Roman"/>
          <w:sz w:val="28"/>
          <w:szCs w:val="28"/>
          <w:lang w:val="uk-UA"/>
        </w:rPr>
        <w:t xml:space="preserve"> здійснюють аномалії розвитку зубо-щелепної системи. Так, їх наявність встановлена у 80,8% хворих групи Б і в 1,8  </w:t>
      </w:r>
      <w:r w:rsidR="00C151C8" w:rsidRPr="00883B07">
        <w:rPr>
          <w:rFonts w:ascii="Times New Roman" w:hAnsi="Times New Roman"/>
          <w:sz w:val="28"/>
          <w:szCs w:val="28"/>
          <w:lang w:val="uk-UA"/>
        </w:rPr>
        <w:t>раза рідше (у 45,8%; р&lt;0,001).</w:t>
      </w:r>
    </w:p>
    <w:p w:rsidR="000F78D0" w:rsidRPr="00883B07"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Високу патогенетичну значимість виявило поєднання аномалій зубо-щелепної системи, яке діагностувалося у 92,3% хворих групи Б і в 2,5 </w:t>
      </w:r>
      <w:r w:rsidRPr="00883B07">
        <w:rPr>
          <w:rFonts w:ascii="Times New Roman" w:hAnsi="Times New Roman"/>
          <w:sz w:val="28"/>
          <w:szCs w:val="28"/>
          <w:lang w:val="uk-UA"/>
        </w:rPr>
        <w:t>раза рідше  (у 37,5%; р&lt;0,001) серед пацієнтів групи А.</w:t>
      </w:r>
    </w:p>
    <w:p w:rsidR="000F78D0" w:rsidRDefault="000F78D0" w:rsidP="00472525">
      <w:pPr>
        <w:spacing w:line="360" w:lineRule="auto"/>
        <w:ind w:firstLine="709"/>
        <w:jc w:val="both"/>
        <w:rPr>
          <w:rFonts w:ascii="Times New Roman" w:hAnsi="Times New Roman"/>
          <w:sz w:val="28"/>
          <w:szCs w:val="28"/>
          <w:lang w:val="uk-UA"/>
        </w:rPr>
      </w:pPr>
      <w:r w:rsidRPr="00883B07">
        <w:rPr>
          <w:rFonts w:ascii="Times New Roman" w:hAnsi="Times New Roman"/>
          <w:sz w:val="28"/>
          <w:szCs w:val="28"/>
          <w:lang w:val="uk-UA"/>
        </w:rPr>
        <w:t xml:space="preserve">Суттєвий вплив на формування тяжкості запальних захворювань пародонта  виявляє ступінь гігієни </w:t>
      </w:r>
      <w:r w:rsidR="00713761">
        <w:rPr>
          <w:rFonts w:ascii="Times New Roman" w:hAnsi="Times New Roman"/>
          <w:sz w:val="28"/>
          <w:szCs w:val="28"/>
          <w:lang w:val="uk-UA"/>
        </w:rPr>
        <w:t>ПР</w:t>
      </w:r>
      <w:r w:rsidRPr="00883B07">
        <w:rPr>
          <w:rFonts w:ascii="Times New Roman" w:hAnsi="Times New Roman"/>
          <w:sz w:val="28"/>
          <w:szCs w:val="28"/>
          <w:lang w:val="uk-UA"/>
        </w:rPr>
        <w:t xml:space="preserve">. При цьому гарний або задовільний стан </w:t>
      </w:r>
      <w:r w:rsidR="00713761">
        <w:rPr>
          <w:rFonts w:ascii="Times New Roman" w:hAnsi="Times New Roman"/>
          <w:sz w:val="28"/>
          <w:szCs w:val="28"/>
          <w:lang w:val="uk-UA"/>
        </w:rPr>
        <w:t>ПР</w:t>
      </w:r>
      <w:r w:rsidRPr="00883B07">
        <w:rPr>
          <w:rFonts w:ascii="Times New Roman" w:hAnsi="Times New Roman"/>
          <w:sz w:val="28"/>
          <w:szCs w:val="28"/>
          <w:lang w:val="uk-UA"/>
        </w:rPr>
        <w:t xml:space="preserve">  згідно індексу </w:t>
      </w:r>
      <w:r w:rsidR="00E71220">
        <w:rPr>
          <w:rFonts w:ascii="Times New Roman" w:hAnsi="Times New Roman"/>
          <w:sz w:val="28"/>
          <w:szCs w:val="28"/>
          <w:lang w:val="uk-UA"/>
        </w:rPr>
        <w:t>Ю.А.Федорова, В.В.Володкіної</w:t>
      </w:r>
      <w:r w:rsidR="00E71220" w:rsidRPr="00883B07">
        <w:rPr>
          <w:rFonts w:ascii="Times New Roman" w:hAnsi="Times New Roman"/>
          <w:sz w:val="28"/>
          <w:szCs w:val="28"/>
          <w:lang w:val="uk-UA"/>
        </w:rPr>
        <w:t xml:space="preserve"> </w:t>
      </w:r>
      <w:r w:rsidRPr="00883B07">
        <w:rPr>
          <w:rFonts w:ascii="Times New Roman" w:hAnsi="Times New Roman"/>
          <w:sz w:val="28"/>
          <w:szCs w:val="28"/>
          <w:lang w:val="uk-UA"/>
        </w:rPr>
        <w:t>(≤2,0 балів) в 3,8 раза частіше (р&lt;0,05) виявлявся в групі А, а поганий стан</w:t>
      </w:r>
      <w:r>
        <w:rPr>
          <w:rFonts w:ascii="Times New Roman" w:hAnsi="Times New Roman"/>
          <w:sz w:val="28"/>
          <w:szCs w:val="28"/>
          <w:lang w:val="uk-UA"/>
        </w:rPr>
        <w:t xml:space="preserve"> </w:t>
      </w:r>
      <w:r w:rsidR="00713761">
        <w:rPr>
          <w:rFonts w:ascii="Times New Roman" w:hAnsi="Times New Roman"/>
          <w:sz w:val="28"/>
          <w:szCs w:val="28"/>
          <w:lang w:val="uk-UA"/>
        </w:rPr>
        <w:t>ПР</w:t>
      </w:r>
      <w:r>
        <w:rPr>
          <w:rFonts w:ascii="Times New Roman" w:hAnsi="Times New Roman"/>
          <w:sz w:val="28"/>
          <w:szCs w:val="28"/>
          <w:lang w:val="uk-UA"/>
        </w:rPr>
        <w:t xml:space="preserve"> був характерним для групи Б, так як в 2,8 р</w:t>
      </w:r>
      <w:r w:rsidRPr="00883B07">
        <w:rPr>
          <w:rFonts w:ascii="Times New Roman" w:hAnsi="Times New Roman"/>
          <w:sz w:val="28"/>
          <w:szCs w:val="28"/>
          <w:lang w:val="uk-UA"/>
        </w:rPr>
        <w:t>аза</w:t>
      </w:r>
      <w:r>
        <w:rPr>
          <w:rFonts w:ascii="Times New Roman" w:hAnsi="Times New Roman"/>
          <w:sz w:val="28"/>
          <w:szCs w:val="28"/>
          <w:lang w:val="uk-UA"/>
        </w:rPr>
        <w:t xml:space="preserve"> частіше (р&lt;0,01) діагностувався у хворих цієї групи.</w:t>
      </w:r>
    </w:p>
    <w:p w:rsidR="000F78D0" w:rsidRPr="00883B07"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З індексом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 xml:space="preserve">тісно корелюють значення спрощеного індексу гігієни </w:t>
      </w:r>
      <w:r w:rsidR="00713761">
        <w:rPr>
          <w:rFonts w:ascii="Times New Roman" w:hAnsi="Times New Roman"/>
          <w:sz w:val="28"/>
          <w:szCs w:val="28"/>
          <w:lang w:val="uk-UA"/>
        </w:rPr>
        <w:t>ПР</w:t>
      </w:r>
      <w:r>
        <w:rPr>
          <w:rFonts w:ascii="Times New Roman" w:hAnsi="Times New Roman"/>
          <w:sz w:val="28"/>
          <w:szCs w:val="28"/>
          <w:lang w:val="uk-UA"/>
        </w:rPr>
        <w:t xml:space="preserve">. Добрий або задовільний стан гігієни </w:t>
      </w:r>
      <w:r w:rsidR="00713761">
        <w:rPr>
          <w:rFonts w:ascii="Times New Roman" w:hAnsi="Times New Roman"/>
          <w:sz w:val="28"/>
          <w:szCs w:val="28"/>
          <w:lang w:val="uk-UA"/>
        </w:rPr>
        <w:t>ПР</w:t>
      </w:r>
      <w:r>
        <w:rPr>
          <w:rFonts w:ascii="Times New Roman" w:hAnsi="Times New Roman"/>
          <w:sz w:val="28"/>
          <w:szCs w:val="28"/>
          <w:lang w:val="uk-UA"/>
        </w:rPr>
        <w:t xml:space="preserve"> згідно з даними цього індексу  (≤1,</w:t>
      </w:r>
      <w:r w:rsidRPr="00883B07">
        <w:rPr>
          <w:rFonts w:ascii="Times New Roman" w:hAnsi="Times New Roman"/>
          <w:sz w:val="28"/>
          <w:szCs w:val="28"/>
          <w:lang w:val="uk-UA"/>
        </w:rPr>
        <w:t xml:space="preserve">6  бала) в 3 рази частіше (р&lt;0,001) визначалися в групі А, а незадовільний і поганий стан гігієни </w:t>
      </w:r>
      <w:r w:rsidR="00713761">
        <w:rPr>
          <w:rFonts w:ascii="Times New Roman" w:hAnsi="Times New Roman"/>
          <w:sz w:val="28"/>
          <w:szCs w:val="28"/>
          <w:lang w:val="uk-UA"/>
        </w:rPr>
        <w:t>ПР</w:t>
      </w:r>
      <w:r w:rsidRPr="00883B07">
        <w:rPr>
          <w:rFonts w:ascii="Times New Roman" w:hAnsi="Times New Roman"/>
          <w:sz w:val="28"/>
          <w:szCs w:val="28"/>
          <w:lang w:val="uk-UA"/>
        </w:rPr>
        <w:t xml:space="preserve">  (</w:t>
      </w:r>
      <w:r w:rsidRPr="00883B07">
        <w:rPr>
          <w:sz w:val="28"/>
          <w:szCs w:val="28"/>
          <w:lang w:val="uk-UA"/>
        </w:rPr>
        <w:t>≥</w:t>
      </w:r>
      <w:r w:rsidRPr="00883B07">
        <w:rPr>
          <w:rFonts w:ascii="Times New Roman" w:hAnsi="Times New Roman"/>
          <w:sz w:val="28"/>
          <w:szCs w:val="28"/>
          <w:lang w:val="uk-UA"/>
        </w:rPr>
        <w:t>1,7 бала) був характерним для хворих групи Б.</w:t>
      </w:r>
    </w:p>
    <w:p w:rsidR="000F78D0" w:rsidRPr="00883B07" w:rsidRDefault="000F78D0" w:rsidP="00472525">
      <w:pPr>
        <w:spacing w:line="360" w:lineRule="auto"/>
        <w:ind w:firstLine="709"/>
        <w:jc w:val="both"/>
        <w:rPr>
          <w:rFonts w:ascii="Times New Roman" w:hAnsi="Times New Roman"/>
          <w:sz w:val="28"/>
          <w:szCs w:val="28"/>
          <w:lang w:val="uk-UA"/>
        </w:rPr>
      </w:pPr>
      <w:r w:rsidRPr="00883B07">
        <w:rPr>
          <w:rFonts w:ascii="Times New Roman" w:hAnsi="Times New Roman"/>
          <w:sz w:val="28"/>
          <w:szCs w:val="28"/>
          <w:lang w:val="uk-UA"/>
        </w:rPr>
        <w:t>Таким чином, характер стоматологічного статусу дівчат-пі</w:t>
      </w:r>
      <w:r>
        <w:rPr>
          <w:rFonts w:ascii="Times New Roman" w:hAnsi="Times New Roman"/>
          <w:sz w:val="28"/>
          <w:szCs w:val="28"/>
          <w:lang w:val="uk-UA"/>
        </w:rPr>
        <w:t>длітків з ПМФ виявив високі пре</w:t>
      </w:r>
      <w:r w:rsidRPr="00883B07">
        <w:rPr>
          <w:rFonts w:ascii="Times New Roman" w:hAnsi="Times New Roman"/>
          <w:sz w:val="28"/>
          <w:szCs w:val="28"/>
          <w:lang w:val="uk-UA"/>
        </w:rPr>
        <w:t>дикторські властивості по відношенню до тяжкості запальних захворювань пародонта. Це пов’язано з тим, що він кумулює в собі всі характеристики спадковості, пре- і постнатального стану  і онтогенетичного розвитку дитини і підлітка.</w:t>
      </w:r>
    </w:p>
    <w:p w:rsidR="000F78D0" w:rsidRDefault="00C151C8"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Дані пара</w:t>
      </w:r>
      <w:r w:rsidR="000F78D0" w:rsidRPr="00883B07">
        <w:rPr>
          <w:rFonts w:ascii="Times New Roman" w:hAnsi="Times New Roman"/>
          <w:sz w:val="28"/>
          <w:szCs w:val="28"/>
          <w:lang w:val="uk-UA"/>
        </w:rPr>
        <w:t xml:space="preserve">клінічного обстеження хворих </w:t>
      </w:r>
      <w:r w:rsidR="00B52653">
        <w:rPr>
          <w:rFonts w:ascii="Times New Roman" w:hAnsi="Times New Roman"/>
          <w:sz w:val="28"/>
          <w:szCs w:val="28"/>
          <w:lang w:val="uk-UA"/>
        </w:rPr>
        <w:t>в групах наведено в табл. 5.3</w:t>
      </w:r>
      <w:r w:rsidR="00B52653" w:rsidRPr="00BD4FE3">
        <w:rPr>
          <w:rFonts w:ascii="Times New Roman" w:hAnsi="Times New Roman"/>
          <w:sz w:val="28"/>
          <w:szCs w:val="28"/>
          <w:lang w:val="uk-UA"/>
        </w:rPr>
        <w:t>0</w:t>
      </w:r>
      <w:r w:rsidR="00B52653">
        <w:rPr>
          <w:rFonts w:ascii="Times New Roman" w:hAnsi="Times New Roman"/>
          <w:sz w:val="28"/>
          <w:szCs w:val="28"/>
          <w:lang w:val="uk-UA"/>
        </w:rPr>
        <w:t>. Із табл. 5.3</w:t>
      </w:r>
      <w:r w:rsidR="00B52653" w:rsidRPr="00B52653">
        <w:rPr>
          <w:rFonts w:ascii="Times New Roman" w:hAnsi="Times New Roman"/>
          <w:sz w:val="28"/>
          <w:szCs w:val="28"/>
          <w:lang w:val="uk-UA"/>
        </w:rPr>
        <w:t>0</w:t>
      </w:r>
      <w:r w:rsidR="000F78D0" w:rsidRPr="00883B07">
        <w:rPr>
          <w:rFonts w:ascii="Times New Roman" w:hAnsi="Times New Roman"/>
          <w:sz w:val="28"/>
          <w:szCs w:val="28"/>
          <w:lang w:val="uk-UA"/>
        </w:rPr>
        <w:t xml:space="preserve"> витікає, що активність уреази</w:t>
      </w:r>
      <w:r w:rsidR="000F78D0">
        <w:rPr>
          <w:rFonts w:ascii="Times New Roman" w:hAnsi="Times New Roman"/>
          <w:sz w:val="28"/>
          <w:szCs w:val="28"/>
          <w:lang w:val="uk-UA"/>
        </w:rPr>
        <w:t xml:space="preserve"> в слині, що визначає мікробну забрудненість </w:t>
      </w:r>
      <w:r w:rsidR="00713761">
        <w:rPr>
          <w:rFonts w:ascii="Times New Roman" w:hAnsi="Times New Roman"/>
          <w:sz w:val="28"/>
          <w:szCs w:val="28"/>
          <w:lang w:val="uk-UA"/>
        </w:rPr>
        <w:t>ПР</w:t>
      </w:r>
      <w:r w:rsidR="000F78D0">
        <w:rPr>
          <w:rFonts w:ascii="Times New Roman" w:hAnsi="Times New Roman"/>
          <w:sz w:val="28"/>
          <w:szCs w:val="28"/>
          <w:lang w:val="uk-UA"/>
        </w:rPr>
        <w:t xml:space="preserve">, суттєво відрізнялася в групах. Нормативні її значення (≤0,10мккат/л) достовірно частіше (в 4,3 </w:t>
      </w:r>
      <w:r w:rsidR="000F78D0" w:rsidRPr="00883B07">
        <w:rPr>
          <w:rFonts w:ascii="Times New Roman" w:hAnsi="Times New Roman"/>
          <w:sz w:val="28"/>
          <w:szCs w:val="28"/>
          <w:lang w:val="uk-UA"/>
        </w:rPr>
        <w:t>раза; р&lt;0,05) виявлялися в групі А, а помірна або висока (</w:t>
      </w:r>
      <w:r w:rsidR="000F78D0" w:rsidRPr="00883B07">
        <w:rPr>
          <w:sz w:val="28"/>
          <w:szCs w:val="28"/>
          <w:lang w:val="uk-UA"/>
        </w:rPr>
        <w:t>≥</w:t>
      </w:r>
      <w:r w:rsidR="000F78D0" w:rsidRPr="00883B07">
        <w:rPr>
          <w:rFonts w:ascii="Times New Roman" w:hAnsi="Times New Roman"/>
          <w:sz w:val="28"/>
          <w:szCs w:val="28"/>
          <w:lang w:val="uk-UA"/>
        </w:rPr>
        <w:t xml:space="preserve">0,14 мккат/л) активність уреази частіше (в 1,8 раза; р&lt;0,01) визначалася в групі Б. </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іншого боку, активність лізоциму, що має антибактеріальні властивості, у більшої частки (92,3%) хворих групи була зниженою, в той час як серед пацієнтів групи А така активність ферменту мала місце у 50% (р&lt;0,001).</w:t>
      </w:r>
    </w:p>
    <w:p w:rsidR="00C151C8"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Внаслідок такого співвідношення рівнів уреази і лізоциму суттєві відмінності відмічено і по відношенню до показнику ступеню дисбіозу. Так, незначні або помірні прояви дисбіозу (0,30 ум.од.) були характерні для хворих групи А і в 3,5 </w:t>
      </w:r>
      <w:r w:rsidRPr="00883B07">
        <w:rPr>
          <w:rFonts w:ascii="Times New Roman" w:hAnsi="Times New Roman"/>
          <w:sz w:val="28"/>
          <w:szCs w:val="28"/>
          <w:lang w:val="uk-UA"/>
        </w:rPr>
        <w:t>раза частіше (р&lt;0,01) діагностувалися у них , ніж в групі Б. А дуже високий сту</w:t>
      </w:r>
      <w:r>
        <w:rPr>
          <w:rFonts w:ascii="Times New Roman" w:hAnsi="Times New Roman"/>
          <w:sz w:val="28"/>
          <w:szCs w:val="28"/>
          <w:lang w:val="uk-UA"/>
        </w:rPr>
        <w:t>пінь дисбіозу  (</w:t>
      </w:r>
      <w:r>
        <w:rPr>
          <w:sz w:val="28"/>
          <w:szCs w:val="28"/>
          <w:lang w:val="uk-UA"/>
        </w:rPr>
        <w:t>≥</w:t>
      </w:r>
      <w:r>
        <w:rPr>
          <w:rFonts w:ascii="Times New Roman" w:hAnsi="Times New Roman"/>
          <w:sz w:val="28"/>
          <w:szCs w:val="28"/>
          <w:lang w:val="uk-UA"/>
        </w:rPr>
        <w:t>4,1 ум.од.), навпаки, частіше (в 7,3 раза; р&lt;0,01) визначався у хворих групи Б.</w:t>
      </w:r>
      <w:r w:rsidR="00C151C8" w:rsidRPr="00C151C8">
        <w:rPr>
          <w:rFonts w:ascii="Times New Roman" w:hAnsi="Times New Roman"/>
          <w:sz w:val="28"/>
          <w:szCs w:val="28"/>
          <w:lang w:val="uk-UA"/>
        </w:rPr>
        <w:t xml:space="preserve"> </w:t>
      </w:r>
    </w:p>
    <w:p w:rsidR="000F78D0" w:rsidRDefault="00C151C8"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Бактеріальній контамінації порожнини рота сприяє зниження як місцевої, так і системної імунної резистентності організму підлітків. Це підтверджує рівень sI</w:t>
      </w:r>
      <w:r>
        <w:rPr>
          <w:rFonts w:ascii="Times New Roman" w:hAnsi="Times New Roman"/>
          <w:sz w:val="28"/>
          <w:szCs w:val="28"/>
        </w:rPr>
        <w:t>gA</w:t>
      </w:r>
      <w:r w:rsidRPr="00AB2EAF">
        <w:rPr>
          <w:rFonts w:ascii="Times New Roman" w:hAnsi="Times New Roman"/>
          <w:sz w:val="28"/>
          <w:szCs w:val="28"/>
          <w:lang w:val="uk-UA"/>
        </w:rPr>
        <w:t xml:space="preserve"> в сл</w:t>
      </w:r>
      <w:r>
        <w:rPr>
          <w:rFonts w:ascii="Times New Roman" w:hAnsi="Times New Roman"/>
          <w:sz w:val="28"/>
          <w:szCs w:val="28"/>
          <w:lang w:val="uk-UA"/>
        </w:rPr>
        <w:t>ині і електрофоретична рухомість ядер букального епітелію. Знижений вміст</w:t>
      </w:r>
    </w:p>
    <w:p w:rsidR="00472525" w:rsidRDefault="00472525" w:rsidP="00AC605C">
      <w:pPr>
        <w:spacing w:line="360" w:lineRule="auto"/>
        <w:ind w:firstLine="426"/>
        <w:jc w:val="right"/>
        <w:rPr>
          <w:rFonts w:ascii="Times New Roman" w:hAnsi="Times New Roman"/>
          <w:i/>
          <w:sz w:val="28"/>
          <w:szCs w:val="28"/>
          <w:lang w:val="uk-UA"/>
        </w:rPr>
      </w:pPr>
    </w:p>
    <w:p w:rsidR="000F78D0" w:rsidRPr="00BD4FE3" w:rsidRDefault="000F78D0" w:rsidP="00AC605C">
      <w:pPr>
        <w:spacing w:line="360" w:lineRule="auto"/>
        <w:ind w:firstLine="426"/>
        <w:jc w:val="right"/>
        <w:rPr>
          <w:rFonts w:ascii="Times New Roman" w:hAnsi="Times New Roman"/>
          <w:sz w:val="28"/>
          <w:szCs w:val="28"/>
          <w:lang w:val="ru-RU"/>
        </w:rPr>
      </w:pPr>
      <w:r w:rsidRPr="00883B07">
        <w:rPr>
          <w:rFonts w:ascii="Times New Roman" w:hAnsi="Times New Roman"/>
          <w:i/>
          <w:sz w:val="28"/>
          <w:szCs w:val="28"/>
          <w:lang w:val="uk-UA"/>
        </w:rPr>
        <w:lastRenderedPageBreak/>
        <w:t>Таблиця</w:t>
      </w:r>
      <w:r w:rsidRPr="00883B07">
        <w:rPr>
          <w:rFonts w:ascii="Times New Roman" w:hAnsi="Times New Roman"/>
          <w:sz w:val="28"/>
          <w:szCs w:val="28"/>
          <w:lang w:val="uk-UA"/>
        </w:rPr>
        <w:t xml:space="preserve"> </w:t>
      </w:r>
      <w:r w:rsidRPr="00883B07">
        <w:rPr>
          <w:rFonts w:ascii="Times New Roman" w:hAnsi="Times New Roman"/>
          <w:i/>
          <w:sz w:val="28"/>
          <w:szCs w:val="28"/>
          <w:lang w:val="uk-UA"/>
        </w:rPr>
        <w:t>5.3</w:t>
      </w:r>
      <w:r w:rsidR="00B52653" w:rsidRPr="00BD4FE3">
        <w:rPr>
          <w:rFonts w:ascii="Times New Roman" w:hAnsi="Times New Roman"/>
          <w:i/>
          <w:sz w:val="28"/>
          <w:szCs w:val="28"/>
          <w:lang w:val="ru-RU"/>
        </w:rPr>
        <w:t>0</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Розподіл  хворих в групах в залежності від даних пара клінічного обстеження.</w:t>
      </w:r>
    </w:p>
    <w:tbl>
      <w:tblPr>
        <w:tblW w:w="10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402"/>
        <w:gridCol w:w="1857"/>
        <w:gridCol w:w="953"/>
        <w:gridCol w:w="706"/>
        <w:gridCol w:w="857"/>
        <w:gridCol w:w="871"/>
        <w:gridCol w:w="1004"/>
      </w:tblGrid>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w:t>
            </w:r>
          </w:p>
        </w:tc>
        <w:tc>
          <w:tcPr>
            <w:tcW w:w="340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Показник</w:t>
            </w:r>
          </w:p>
        </w:tc>
        <w:tc>
          <w:tcPr>
            <w:tcW w:w="1857"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Градації показника</w:t>
            </w:r>
          </w:p>
        </w:tc>
        <w:tc>
          <w:tcPr>
            <w:tcW w:w="1659"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Група А</w:t>
            </w:r>
          </w:p>
        </w:tc>
        <w:tc>
          <w:tcPr>
            <w:tcW w:w="1728" w:type="dxa"/>
            <w:gridSpan w:val="2"/>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Група Б</w:t>
            </w:r>
          </w:p>
        </w:tc>
        <w:tc>
          <w:tcPr>
            <w:tcW w:w="100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6"/>
              <w:jc w:val="center"/>
              <w:rPr>
                <w:rFonts w:ascii="Times New Roman" w:hAnsi="Times New Roman"/>
                <w:sz w:val="28"/>
                <w:szCs w:val="28"/>
                <w:lang w:val="uk-UA"/>
              </w:rPr>
            </w:pP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1.</w:t>
            </w:r>
          </w:p>
        </w:tc>
        <w:tc>
          <w:tcPr>
            <w:tcW w:w="3402"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Уреаза, мккат/л</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≤0,10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7</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29,2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23,1</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0,14</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151C8">
        <w:tc>
          <w:tcPr>
            <w:tcW w:w="534"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2.</w:t>
            </w:r>
          </w:p>
        </w:tc>
        <w:tc>
          <w:tcPr>
            <w:tcW w:w="3402" w:type="dxa"/>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Лізоцим, од/л</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92,3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&lt;0,001</w:t>
            </w:r>
          </w:p>
        </w:tc>
      </w:tr>
      <w:tr w:rsidR="000F78D0" w:rsidRPr="001336DC" w:rsidTr="00C151C8">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41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12</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50</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&lt;0,001</w:t>
            </w: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3.</w:t>
            </w:r>
          </w:p>
        </w:tc>
        <w:tc>
          <w:tcPr>
            <w:tcW w:w="3402"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Ступінь дисбіозу, ум.од.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≤3,0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15,4</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&lt;0,01</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3,1-4,0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4,1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4,2</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4.</w:t>
            </w:r>
          </w:p>
        </w:tc>
        <w:tc>
          <w:tcPr>
            <w:tcW w:w="3402"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rPr>
              <w:t>sIgA</w:t>
            </w:r>
            <w:r w:rsidRPr="001336DC">
              <w:rPr>
                <w:rFonts w:ascii="Times New Roman" w:hAnsi="Times New Roman"/>
                <w:sz w:val="28"/>
                <w:szCs w:val="28"/>
                <w:lang w:val="uk-UA"/>
              </w:rPr>
              <w:t xml:space="preserve"> в слині, мг/л</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≤0,30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23</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88,5</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&lt;0,01</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0,31-0,40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8</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33,3</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0,41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20,9</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5.</w:t>
            </w:r>
          </w:p>
        </w:tc>
        <w:tc>
          <w:tcPr>
            <w:tcW w:w="3402"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Електрофоретично рухомі ядра букального епітелію, %</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5</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20,8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11</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41-50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13</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51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9</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37,5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2</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7,7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&lt;0,01</w:t>
            </w: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6.</w:t>
            </w:r>
          </w:p>
        </w:tc>
        <w:tc>
          <w:tcPr>
            <w:tcW w:w="3402"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Са в слині, ммоль/л</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≤0,70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18</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69,2</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11</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45,8</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8</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30,8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0,91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3</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12,5</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0</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0</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C151C8">
        <w:tc>
          <w:tcPr>
            <w:tcW w:w="534" w:type="dxa"/>
            <w:vMerge w:val="restart"/>
            <w:tcBorders>
              <w:top w:val="single" w:sz="4" w:space="0" w:color="auto"/>
              <w:left w:val="single" w:sz="4" w:space="0" w:color="auto"/>
              <w:right w:val="single" w:sz="4" w:space="0" w:color="auto"/>
            </w:tcBorders>
            <w:hideMark/>
          </w:tcPr>
          <w:p w:rsidR="000F78D0" w:rsidRPr="001336DC" w:rsidRDefault="000F78D0" w:rsidP="00C151C8">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7.</w:t>
            </w:r>
          </w:p>
        </w:tc>
        <w:tc>
          <w:tcPr>
            <w:tcW w:w="3402" w:type="dxa"/>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ind w:firstLine="33"/>
              <w:rPr>
                <w:rFonts w:ascii="Times New Roman" w:hAnsi="Times New Roman"/>
                <w:sz w:val="28"/>
                <w:szCs w:val="28"/>
                <w:lang w:val="uk-UA"/>
              </w:rPr>
            </w:pPr>
            <w:r w:rsidRPr="001336DC">
              <w:rPr>
                <w:rFonts w:ascii="Times New Roman" w:hAnsi="Times New Roman"/>
                <w:sz w:val="28"/>
                <w:szCs w:val="28"/>
                <w:lang w:val="uk-UA"/>
              </w:rPr>
              <w:t>Оптична щільність кісткових відділів пародонта, Д</w:t>
            </w: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≤125</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16,6</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11</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42,3</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&lt;0,05</w:t>
            </w:r>
          </w:p>
        </w:tc>
      </w:tr>
      <w:tr w:rsidR="000F78D0" w:rsidRPr="001336DC" w:rsidTr="00C151C8">
        <w:tc>
          <w:tcPr>
            <w:tcW w:w="534" w:type="dxa"/>
            <w:vMerge/>
            <w:tcBorders>
              <w:left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14</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53,8</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pPr>
            <w:r w:rsidRPr="001336DC">
              <w:rPr>
                <w:rFonts w:ascii="Times New Roman" w:hAnsi="Times New Roman"/>
                <w:sz w:val="28"/>
                <w:szCs w:val="28"/>
                <w:lang w:val="uk-UA"/>
              </w:rPr>
              <w:t>&gt;0,05</w:t>
            </w:r>
          </w:p>
        </w:tc>
      </w:tr>
      <w:tr w:rsidR="000F78D0" w:rsidRPr="001336DC" w:rsidTr="00C151C8">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C151C8">
            <w:pPr>
              <w:rPr>
                <w:rFonts w:ascii="Times New Roman" w:hAnsi="Times New Roman"/>
                <w:sz w:val="28"/>
                <w:szCs w:val="28"/>
                <w:lang w:val="uk-UA"/>
              </w:rPr>
            </w:pPr>
          </w:p>
        </w:tc>
        <w:tc>
          <w:tcPr>
            <w:tcW w:w="3402" w:type="dxa"/>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33"/>
              <w:rPr>
                <w:rFonts w:ascii="Times New Roman" w:hAnsi="Times New Roman"/>
                <w:sz w:val="28"/>
                <w:szCs w:val="28"/>
                <w:lang w:val="uk-UA"/>
              </w:rPr>
            </w:pPr>
          </w:p>
        </w:tc>
        <w:tc>
          <w:tcPr>
            <w:tcW w:w="1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6"/>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131</w:t>
            </w:r>
          </w:p>
        </w:tc>
        <w:tc>
          <w:tcPr>
            <w:tcW w:w="953"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10</w:t>
            </w:r>
          </w:p>
        </w:tc>
        <w:tc>
          <w:tcPr>
            <w:tcW w:w="706"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hanging="8"/>
              <w:jc w:val="center"/>
              <w:rPr>
                <w:rFonts w:ascii="Times New Roman" w:hAnsi="Times New Roman"/>
                <w:sz w:val="28"/>
                <w:szCs w:val="28"/>
                <w:lang w:val="uk-UA"/>
              </w:rPr>
            </w:pPr>
            <w:r w:rsidRPr="001336DC">
              <w:rPr>
                <w:rFonts w:ascii="Times New Roman" w:hAnsi="Times New Roman"/>
                <w:sz w:val="28"/>
                <w:szCs w:val="28"/>
                <w:lang w:val="uk-UA"/>
              </w:rPr>
              <w:t>41,7</w:t>
            </w:r>
          </w:p>
        </w:tc>
        <w:tc>
          <w:tcPr>
            <w:tcW w:w="857"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1</w:t>
            </w:r>
          </w:p>
        </w:tc>
        <w:tc>
          <w:tcPr>
            <w:tcW w:w="871"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ind w:firstLine="31"/>
              <w:jc w:val="center"/>
              <w:rPr>
                <w:rFonts w:ascii="Times New Roman" w:hAnsi="Times New Roman"/>
                <w:sz w:val="28"/>
                <w:szCs w:val="28"/>
                <w:lang w:val="uk-UA"/>
              </w:rPr>
            </w:pPr>
            <w:r w:rsidRPr="001336DC">
              <w:rPr>
                <w:rFonts w:ascii="Times New Roman" w:hAnsi="Times New Roman"/>
                <w:sz w:val="28"/>
                <w:szCs w:val="28"/>
                <w:lang w:val="uk-UA"/>
              </w:rPr>
              <w:t>3,7</w:t>
            </w:r>
          </w:p>
        </w:tc>
        <w:tc>
          <w:tcPr>
            <w:tcW w:w="100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&lt;0,01</w:t>
            </w:r>
          </w:p>
        </w:tc>
      </w:tr>
    </w:tbl>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C151C8">
      <w:pPr>
        <w:spacing w:line="360" w:lineRule="auto"/>
        <w:jc w:val="both"/>
        <w:rPr>
          <w:rFonts w:ascii="Times New Roman" w:hAnsi="Times New Roman"/>
          <w:sz w:val="28"/>
          <w:szCs w:val="28"/>
          <w:lang w:val="uk-UA"/>
        </w:rPr>
      </w:pPr>
      <w:r>
        <w:rPr>
          <w:rFonts w:ascii="Times New Roman" w:hAnsi="Times New Roman"/>
          <w:sz w:val="28"/>
          <w:szCs w:val="28"/>
          <w:lang w:val="uk-UA"/>
        </w:rPr>
        <w:t>s</w:t>
      </w:r>
      <w:r>
        <w:rPr>
          <w:rFonts w:ascii="Times New Roman" w:hAnsi="Times New Roman"/>
          <w:sz w:val="28"/>
          <w:szCs w:val="28"/>
        </w:rPr>
        <w:t>IgA</w:t>
      </w:r>
      <w:r>
        <w:rPr>
          <w:rFonts w:ascii="Times New Roman" w:hAnsi="Times New Roman"/>
          <w:sz w:val="28"/>
          <w:szCs w:val="28"/>
          <w:lang w:val="uk-UA"/>
        </w:rPr>
        <w:t xml:space="preserve"> в слині (≤0,30 мг/л) відмічено у 88,5% хворих групи Б і майже в 2 рази рідше (у 45,8%, р&lt;0,01) в групі А, а незначне зниження його рівня або нормативний вміст імуноглобуліну в 4,7  раз</w:t>
      </w:r>
      <w:r w:rsidRPr="00883B07">
        <w:rPr>
          <w:rFonts w:ascii="Times New Roman" w:hAnsi="Times New Roman"/>
          <w:sz w:val="28"/>
          <w:szCs w:val="28"/>
          <w:lang w:val="uk-UA"/>
        </w:rPr>
        <w:t>а</w:t>
      </w:r>
      <w:r>
        <w:rPr>
          <w:rFonts w:ascii="Times New Roman" w:hAnsi="Times New Roman"/>
          <w:sz w:val="28"/>
          <w:szCs w:val="28"/>
          <w:lang w:val="uk-UA"/>
        </w:rPr>
        <w:t xml:space="preserve"> частіше (р&lt;0,01) виявлялися в групі А.</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свою чергу, у хворих групи Б в 2 рази частіше (р&lt;0,05) діагностувалося зниження загальної резистентності організму, що визначається за часткою електрофоретично рухомих ядер букального епітелію. Нормальні значення цього показника відмічено лише  37,5% хворих групи А і в 4,8 </w:t>
      </w:r>
      <w:r w:rsidRPr="00883B07">
        <w:rPr>
          <w:rFonts w:ascii="Times New Roman" w:hAnsi="Times New Roman"/>
          <w:sz w:val="28"/>
          <w:szCs w:val="28"/>
          <w:lang w:val="uk-UA"/>
        </w:rPr>
        <w:t>раза р</w:t>
      </w:r>
      <w:r>
        <w:rPr>
          <w:rFonts w:ascii="Times New Roman" w:hAnsi="Times New Roman"/>
          <w:sz w:val="28"/>
          <w:szCs w:val="28"/>
          <w:lang w:val="uk-UA"/>
        </w:rPr>
        <w:t>ідше (у 7,7%, р&lt;0,01) в групі Б.</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Отримані результати свідчать, що важливим патогенетичним фактором тяжкості запальних захворювань пародонта є дисбіоз порожнини рота, викликаний порушенням як місцевої, так і загальної імунорезистентності і порушенням гігієни </w:t>
      </w:r>
      <w:r w:rsidR="00713761">
        <w:rPr>
          <w:rFonts w:ascii="Times New Roman" w:hAnsi="Times New Roman"/>
          <w:sz w:val="28"/>
          <w:szCs w:val="28"/>
          <w:lang w:val="uk-UA"/>
        </w:rPr>
        <w:t>ПР</w:t>
      </w:r>
      <w:r>
        <w:rPr>
          <w:rFonts w:ascii="Times New Roman" w:hAnsi="Times New Roman"/>
          <w:sz w:val="28"/>
          <w:szCs w:val="28"/>
          <w:lang w:val="uk-UA"/>
        </w:rPr>
        <w:t>.</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Зниження імунного захисту, в свою чергу, де термінується хронічною соматичною патологією у підлітка і відхиленнями від здорового способу життя.</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ланцюгу часових причинно-наслідкових зв’язків слідує захворюваність дитини  в дитячому віці, патологія вагітності і пологів і спадковий фактор.</w:t>
      </w:r>
    </w:p>
    <w:p w:rsidR="000F78D0" w:rsidRPr="00883B07"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Визначення рівню Са в слині показало, що виражене його зниження (≤0,70 ммоль/л) в 1,7 </w:t>
      </w:r>
      <w:r w:rsidRPr="00883B07">
        <w:rPr>
          <w:rFonts w:ascii="Times New Roman" w:hAnsi="Times New Roman"/>
          <w:sz w:val="28"/>
          <w:szCs w:val="28"/>
          <w:lang w:val="uk-UA"/>
        </w:rPr>
        <w:t>раза частіше (р&lt;0,05) відмічалося в групі Б, а нормативне його значення виявлено тільки у підлітків групи А (12,5%,р&lt;0,05).</w:t>
      </w:r>
    </w:p>
    <w:p w:rsidR="000F78D0" w:rsidRDefault="000F78D0" w:rsidP="00472525">
      <w:pPr>
        <w:spacing w:line="360" w:lineRule="auto"/>
        <w:ind w:firstLine="709"/>
        <w:jc w:val="both"/>
        <w:rPr>
          <w:rFonts w:ascii="Times New Roman" w:hAnsi="Times New Roman"/>
          <w:sz w:val="28"/>
          <w:szCs w:val="28"/>
          <w:lang w:val="uk-UA"/>
        </w:rPr>
      </w:pPr>
      <w:r w:rsidRPr="00883B07">
        <w:rPr>
          <w:rFonts w:ascii="Times New Roman" w:hAnsi="Times New Roman"/>
          <w:sz w:val="28"/>
          <w:szCs w:val="28"/>
          <w:lang w:val="uk-UA"/>
        </w:rPr>
        <w:t>Порушення мінерального обміну слини виявило пряму кореляцію зі змінами мінеральної щільності кісткових відділів парод</w:t>
      </w:r>
      <w:r w:rsidR="00B52653">
        <w:rPr>
          <w:rFonts w:ascii="Times New Roman" w:hAnsi="Times New Roman"/>
          <w:sz w:val="28"/>
          <w:szCs w:val="28"/>
          <w:lang w:val="uk-UA"/>
        </w:rPr>
        <w:t>онта. Як витікає із табл. 5.3</w:t>
      </w:r>
      <w:r w:rsidR="00B52653" w:rsidRPr="00B52653">
        <w:rPr>
          <w:rFonts w:ascii="Times New Roman" w:hAnsi="Times New Roman"/>
          <w:sz w:val="28"/>
          <w:szCs w:val="28"/>
          <w:lang w:val="uk-UA"/>
        </w:rPr>
        <w:t>0</w:t>
      </w:r>
      <w:r w:rsidRPr="00883B07">
        <w:rPr>
          <w:rFonts w:ascii="Times New Roman" w:hAnsi="Times New Roman"/>
          <w:sz w:val="28"/>
          <w:szCs w:val="28"/>
          <w:lang w:val="uk-UA"/>
        </w:rPr>
        <w:t>, помірне зниження оптичної щільності кісткової тканини (≤125 Д) виявлено у 42,3% хворих групи Б, і в 2,5 раза рідше</w:t>
      </w:r>
      <w:r>
        <w:rPr>
          <w:rFonts w:ascii="Times New Roman" w:hAnsi="Times New Roman"/>
          <w:sz w:val="28"/>
          <w:szCs w:val="28"/>
          <w:lang w:val="uk-UA"/>
        </w:rPr>
        <w:t xml:space="preserve"> (р&lt;0,05) у пацієнтів групи А. Незначне зниження мінеральної щільності кісткової тканини (126-130Д) зустрічалося з однаковою частотою в групах (р&gt;0,05) у половини обстежуваних. А нормативні значення показника (</w:t>
      </w:r>
      <w:r>
        <w:rPr>
          <w:sz w:val="28"/>
          <w:szCs w:val="28"/>
          <w:lang w:val="uk-UA"/>
        </w:rPr>
        <w:t>≥</w:t>
      </w:r>
      <w:r>
        <w:rPr>
          <w:rFonts w:ascii="Times New Roman" w:hAnsi="Times New Roman"/>
          <w:sz w:val="28"/>
          <w:szCs w:val="28"/>
          <w:lang w:val="uk-UA"/>
        </w:rPr>
        <w:t>131Д) відмічалися у 41,7% хворих групи А і в 11,2 ра</w:t>
      </w:r>
      <w:r w:rsidRPr="00883B07">
        <w:rPr>
          <w:rFonts w:ascii="Times New Roman" w:hAnsi="Times New Roman"/>
          <w:sz w:val="28"/>
          <w:szCs w:val="28"/>
          <w:lang w:val="uk-UA"/>
        </w:rPr>
        <w:t>за</w:t>
      </w:r>
      <w:r>
        <w:rPr>
          <w:rFonts w:ascii="Times New Roman" w:hAnsi="Times New Roman"/>
          <w:sz w:val="28"/>
          <w:szCs w:val="28"/>
          <w:lang w:val="uk-UA"/>
        </w:rPr>
        <w:t xml:space="preserve"> рідше (3,7%, р&lt;0,01) в групі Б.</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отримані результати свідчать, що цілий комплекс показників суттєвим чином впливає на формування тяжкості запальних захворювань пародонта у дівчат-підлітків з ПМФ, що дозволяє використовувати при розробці прогностичних критеріїв.</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Враховуючи, що між досліджуваними показниками можливі взаємозв’язки, було проведено системний аналіз результативних кількісних ознак методом кореляційних структур (</w:t>
      </w:r>
      <w:r w:rsidRPr="00883B07">
        <w:rPr>
          <w:rFonts w:ascii="Times New Roman" w:hAnsi="Times New Roman"/>
          <w:sz w:val="28"/>
          <w:szCs w:val="28"/>
          <w:lang w:val="uk-UA"/>
        </w:rPr>
        <w:t>рис. 5.</w:t>
      </w:r>
      <w:r w:rsidR="00B52653" w:rsidRPr="00B52653">
        <w:rPr>
          <w:rFonts w:ascii="Times New Roman" w:hAnsi="Times New Roman"/>
          <w:sz w:val="28"/>
          <w:szCs w:val="28"/>
          <w:lang w:val="ru-RU"/>
        </w:rPr>
        <w:t>9</w:t>
      </w:r>
      <w:r w:rsidRPr="006864F1">
        <w:rPr>
          <w:rFonts w:ascii="Times New Roman" w:hAnsi="Times New Roman"/>
          <w:sz w:val="22"/>
          <w:szCs w:val="22"/>
          <w:lang w:val="uk-UA"/>
        </w:rPr>
        <w:t xml:space="preserve">). </w:t>
      </w:r>
    </w:p>
    <w:p w:rsidR="000F78D0" w:rsidRDefault="00B066D9" w:rsidP="00AC605C">
      <w:pPr>
        <w:spacing w:line="360" w:lineRule="auto"/>
        <w:ind w:right="-284"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3200400" cy="2495550"/>
            <wp:effectExtent l="19050" t="0" r="0" b="0"/>
            <wp:docPr id="4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4"/>
                    <a:srcRect l="34189" t="24571" r="21671" b="14000"/>
                    <a:stretch>
                      <a:fillRect/>
                    </a:stretch>
                  </pic:blipFill>
                  <pic:spPr bwMode="auto">
                    <a:xfrm>
                      <a:off x="0" y="0"/>
                      <a:ext cx="3200400" cy="2495550"/>
                    </a:xfrm>
                    <a:prstGeom prst="rect">
                      <a:avLst/>
                    </a:prstGeom>
                    <a:noFill/>
                    <a:ln w="9525">
                      <a:noFill/>
                      <a:miter lim="800000"/>
                      <a:headEnd/>
                      <a:tailEnd/>
                    </a:ln>
                  </pic:spPr>
                </pic:pic>
              </a:graphicData>
            </a:graphic>
          </wp:inline>
        </w:drawing>
      </w:r>
      <w:r>
        <w:rPr>
          <w:rFonts w:ascii="Times New Roman" w:hAnsi="Times New Roman"/>
          <w:noProof/>
          <w:sz w:val="28"/>
          <w:szCs w:val="28"/>
          <w:lang w:val="ru-RU" w:eastAsia="ru-RU" w:bidi="ar-SA"/>
        </w:rPr>
        <w:drawing>
          <wp:inline distT="0" distB="0" distL="0" distR="0">
            <wp:extent cx="2971800" cy="2514600"/>
            <wp:effectExtent l="19050" t="0" r="0" b="0"/>
            <wp:docPr id="4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5"/>
                    <a:srcRect l="35153" t="24001" r="22311" b="11714"/>
                    <a:stretch>
                      <a:fillRect/>
                    </a:stretch>
                  </pic:blipFill>
                  <pic:spPr bwMode="auto">
                    <a:xfrm>
                      <a:off x="0" y="0"/>
                      <a:ext cx="2971800" cy="2514600"/>
                    </a:xfrm>
                    <a:prstGeom prst="rect">
                      <a:avLst/>
                    </a:prstGeom>
                    <a:noFill/>
                    <a:ln w="9525">
                      <a:noFill/>
                      <a:miter lim="800000"/>
                      <a:headEnd/>
                      <a:tailEnd/>
                    </a:ln>
                  </pic:spPr>
                </pic:pic>
              </a:graphicData>
            </a:graphic>
          </wp:inline>
        </w:drawing>
      </w:r>
    </w:p>
    <w:p w:rsidR="000F78D0" w:rsidRDefault="000F78D0" w:rsidP="00AC605C">
      <w:pPr>
        <w:spacing w:line="360" w:lineRule="auto"/>
        <w:ind w:left="1416" w:firstLine="426"/>
        <w:rPr>
          <w:rFonts w:ascii="Times New Roman" w:hAnsi="Times New Roman"/>
          <w:sz w:val="28"/>
          <w:szCs w:val="28"/>
          <w:lang w:val="uk-UA"/>
        </w:rPr>
      </w:pPr>
      <w:r>
        <w:rPr>
          <w:rFonts w:ascii="Times New Roman" w:hAnsi="Times New Roman"/>
          <w:sz w:val="28"/>
          <w:szCs w:val="28"/>
          <w:lang w:val="uk-UA"/>
        </w:rPr>
        <w:t>Група 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Група Б</w:t>
      </w:r>
    </w:p>
    <w:p w:rsidR="000F78D0" w:rsidRDefault="00B52653"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9</w:t>
      </w:r>
      <w:r w:rsidR="000F78D0" w:rsidRPr="00883B07">
        <w:rPr>
          <w:rFonts w:ascii="Times New Roman" w:hAnsi="Times New Roman"/>
          <w:sz w:val="28"/>
          <w:szCs w:val="28"/>
          <w:lang w:val="uk-UA"/>
        </w:rPr>
        <w:t>.</w:t>
      </w:r>
      <w:r w:rsidR="000F78D0">
        <w:rPr>
          <w:rFonts w:ascii="Times New Roman" w:hAnsi="Times New Roman"/>
          <w:sz w:val="28"/>
          <w:szCs w:val="28"/>
          <w:lang w:val="uk-UA"/>
        </w:rPr>
        <w:t xml:space="preserve"> Кореляційні структури порівнюваних груп хворих.</w:t>
      </w:r>
    </w:p>
    <w:p w:rsidR="000F78D0" w:rsidRDefault="000F78D0" w:rsidP="00472525">
      <w:pPr>
        <w:tabs>
          <w:tab w:val="left" w:pos="148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______   Прямий зв'язок</w:t>
      </w:r>
    </w:p>
    <w:p w:rsidR="000F78D0" w:rsidRDefault="000F78D0" w:rsidP="00472525">
      <w:pPr>
        <w:tabs>
          <w:tab w:val="left" w:pos="148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 - - -    зворотній зв'язок</w:t>
      </w:r>
    </w:p>
    <w:p w:rsidR="000F78D0" w:rsidRDefault="000F78D0" w:rsidP="00472525">
      <w:pPr>
        <w:tabs>
          <w:tab w:val="left" w:pos="148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ГВ – тривалість грудного вигодовування; МТ – маса тіла при народженні; ХЗм – кількість хронічних захворювань матері; ІКм – інтенсивність карієсу у матері; ХЗб – кількість хронічних захворювань батька; ІКб – інтенсивність карієсу у батька; ХЗх – кількість хронічних захворювань хворого; КПВ – інтенсивність карієсу хворого; ІФ – індекс </w:t>
      </w:r>
      <w:r w:rsidR="00E71220">
        <w:rPr>
          <w:rFonts w:ascii="Times New Roman" w:hAnsi="Times New Roman"/>
          <w:sz w:val="28"/>
          <w:szCs w:val="28"/>
          <w:lang w:val="uk-UA"/>
        </w:rPr>
        <w:t>Ю.А.Федорова, В.В.Володкіної</w:t>
      </w:r>
      <w:r>
        <w:rPr>
          <w:rFonts w:ascii="Times New Roman" w:hAnsi="Times New Roman"/>
          <w:sz w:val="28"/>
          <w:szCs w:val="28"/>
          <w:lang w:val="uk-UA"/>
        </w:rPr>
        <w:t xml:space="preserve">; Са – рівень кальцію в слині; УР- рівень уреази в слині; Ліз – рівень лізоциму с слині; </w:t>
      </w:r>
      <w:r>
        <w:rPr>
          <w:rFonts w:ascii="Times New Roman" w:hAnsi="Times New Roman"/>
          <w:sz w:val="28"/>
          <w:szCs w:val="28"/>
        </w:rPr>
        <w:t>sIgA</w:t>
      </w:r>
      <w:r w:rsidRPr="00282384">
        <w:rPr>
          <w:rFonts w:ascii="Times New Roman" w:hAnsi="Times New Roman"/>
          <w:sz w:val="28"/>
          <w:szCs w:val="28"/>
          <w:lang w:val="uk-UA"/>
        </w:rPr>
        <w:t xml:space="preserve"> </w:t>
      </w:r>
      <w:r>
        <w:rPr>
          <w:rFonts w:ascii="Times New Roman" w:hAnsi="Times New Roman"/>
          <w:sz w:val="28"/>
          <w:szCs w:val="28"/>
          <w:lang w:val="uk-UA"/>
        </w:rPr>
        <w:t xml:space="preserve">– рівень </w:t>
      </w:r>
      <w:r>
        <w:rPr>
          <w:rFonts w:ascii="Times New Roman" w:hAnsi="Times New Roman"/>
          <w:sz w:val="28"/>
          <w:szCs w:val="28"/>
        </w:rPr>
        <w:t>sIgA</w:t>
      </w:r>
      <w:r>
        <w:rPr>
          <w:rFonts w:ascii="Times New Roman" w:hAnsi="Times New Roman"/>
          <w:sz w:val="28"/>
          <w:szCs w:val="28"/>
          <w:lang w:val="uk-UA"/>
        </w:rPr>
        <w:t xml:space="preserve">в слині; Д – оптична щільність кісткової тканини пародонта. </w:t>
      </w:r>
    </w:p>
    <w:p w:rsidR="000F78D0" w:rsidRDefault="000F78D0" w:rsidP="00472525">
      <w:pPr>
        <w:spacing w:line="360" w:lineRule="auto"/>
        <w:ind w:firstLine="709"/>
        <w:jc w:val="both"/>
        <w:rPr>
          <w:rFonts w:ascii="Times New Roman" w:hAnsi="Times New Roman"/>
          <w:sz w:val="28"/>
          <w:szCs w:val="28"/>
          <w:lang w:val="uk-UA"/>
        </w:rPr>
      </w:pPr>
    </w:p>
    <w:p w:rsidR="000F78D0" w:rsidRDefault="00B52653"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52653">
        <w:rPr>
          <w:rFonts w:ascii="Times New Roman" w:hAnsi="Times New Roman"/>
          <w:sz w:val="28"/>
          <w:szCs w:val="28"/>
          <w:lang w:val="ru-RU"/>
        </w:rPr>
        <w:t xml:space="preserve">9 </w:t>
      </w:r>
      <w:r w:rsidR="000F78D0" w:rsidRPr="00B46993">
        <w:rPr>
          <w:rFonts w:ascii="Times New Roman" w:hAnsi="Times New Roman"/>
          <w:sz w:val="28"/>
          <w:szCs w:val="28"/>
          <w:lang w:val="uk-UA"/>
        </w:rPr>
        <w:t xml:space="preserve"> наочно демонструє</w:t>
      </w:r>
      <w:r w:rsidR="000F78D0">
        <w:rPr>
          <w:rFonts w:ascii="Times New Roman" w:hAnsi="Times New Roman"/>
          <w:sz w:val="28"/>
          <w:szCs w:val="28"/>
          <w:lang w:val="uk-UA"/>
        </w:rPr>
        <w:t xml:space="preserve">, що кореляційні структури значно відрізняються за кількістю кореляції.  При цьому кореляційна структура групи Б більш інтегрована, ніж така групи А, у зв’язку з чим показник, що відображає інтегрованість показників (КЛ), в групі Б (КЛ=28,6%) достовірно перевищував (в 1,7 </w:t>
      </w:r>
      <w:r w:rsidR="000F78D0" w:rsidRPr="00B46993">
        <w:rPr>
          <w:rFonts w:ascii="Times New Roman" w:hAnsi="Times New Roman"/>
          <w:sz w:val="28"/>
          <w:szCs w:val="28"/>
          <w:lang w:val="uk-UA"/>
        </w:rPr>
        <w:t>раза;</w:t>
      </w:r>
      <w:r w:rsidR="000F78D0">
        <w:rPr>
          <w:rFonts w:ascii="Times New Roman" w:hAnsi="Times New Roman"/>
          <w:sz w:val="28"/>
          <w:szCs w:val="28"/>
          <w:lang w:val="uk-UA"/>
        </w:rPr>
        <w:t xml:space="preserve"> р&lt;0,01) такий групи А (КЛ=16,5%). Відмінності в кількості зв’язків кореляційних структур відобразилися і на їх монолітності. Якщо структура групи Б була монолітною і складалася з однієї плеяди ознак, то структура групи А містила дві, незалежні одна від одної, плеяди ознак. Висока монолітність зв’язків ознак кореляційної структури групи Б є несприятливою патогенетичною її </w:t>
      </w:r>
      <w:r w:rsidR="000F78D0">
        <w:rPr>
          <w:rFonts w:ascii="Times New Roman" w:hAnsi="Times New Roman"/>
          <w:sz w:val="28"/>
          <w:szCs w:val="28"/>
          <w:lang w:val="uk-UA"/>
        </w:rPr>
        <w:lastRenderedPageBreak/>
        <w:t>ознакою, так як створює передвісники для її стійкості під впливом лікувально-профілактичних заходів.</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Звертає увагу, що найбільша кількість зв’язків в обох структурах встановлена для індексу інтенсивності карієсу і кількості  хронічних захворювань у хворого.</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групі А КПВ виявив прямі зв’язки зі ступенем коморбідності хворого (</w:t>
      </w:r>
      <w:r>
        <w:rPr>
          <w:rFonts w:ascii="Times New Roman" w:hAnsi="Times New Roman"/>
          <w:sz w:val="28"/>
          <w:szCs w:val="28"/>
        </w:rPr>
        <w:t>r</w:t>
      </w:r>
      <w:r w:rsidRPr="00CE4CDF">
        <w:rPr>
          <w:rFonts w:ascii="Times New Roman" w:hAnsi="Times New Roman"/>
          <w:sz w:val="28"/>
          <w:szCs w:val="28"/>
          <w:lang w:val="uk-UA"/>
        </w:rPr>
        <w:t>=0,33; р</w:t>
      </w:r>
      <w:r>
        <w:rPr>
          <w:rFonts w:ascii="Times New Roman" w:hAnsi="Times New Roman"/>
          <w:sz w:val="28"/>
          <w:szCs w:val="28"/>
          <w:lang w:val="uk-UA"/>
        </w:rPr>
        <w:t xml:space="preserve">&lt;0,05), індексом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w:t>
      </w:r>
      <w:r>
        <w:rPr>
          <w:rFonts w:ascii="Times New Roman" w:hAnsi="Times New Roman"/>
          <w:sz w:val="28"/>
          <w:szCs w:val="28"/>
        </w:rPr>
        <w:t>r</w:t>
      </w:r>
      <w:r w:rsidRPr="00CE4CDF">
        <w:rPr>
          <w:rFonts w:ascii="Times New Roman" w:hAnsi="Times New Roman"/>
          <w:sz w:val="28"/>
          <w:szCs w:val="28"/>
          <w:lang w:val="uk-UA"/>
        </w:rPr>
        <w:t>=0,52; р</w:t>
      </w:r>
      <w:r>
        <w:rPr>
          <w:rFonts w:ascii="Times New Roman" w:hAnsi="Times New Roman"/>
          <w:sz w:val="28"/>
          <w:szCs w:val="28"/>
          <w:lang w:val="uk-UA"/>
        </w:rPr>
        <w:t>&lt;0,05), активністю уреази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0,39</w:t>
      </w:r>
      <w:r w:rsidRPr="00CE4CDF">
        <w:rPr>
          <w:rFonts w:ascii="Times New Roman" w:hAnsi="Times New Roman"/>
          <w:sz w:val="28"/>
          <w:szCs w:val="28"/>
          <w:lang w:val="uk-UA"/>
        </w:rPr>
        <w:t>; р</w:t>
      </w:r>
      <w:r>
        <w:rPr>
          <w:rFonts w:ascii="Times New Roman" w:hAnsi="Times New Roman"/>
          <w:sz w:val="28"/>
          <w:szCs w:val="28"/>
          <w:lang w:val="uk-UA"/>
        </w:rPr>
        <w:t>&lt;0,05) і зворотні кореляції з рівнем Са і sI</w:t>
      </w:r>
      <w:r>
        <w:rPr>
          <w:rFonts w:ascii="Times New Roman" w:hAnsi="Times New Roman"/>
          <w:sz w:val="28"/>
          <w:szCs w:val="28"/>
        </w:rPr>
        <w:t>gA</w:t>
      </w:r>
      <w:r w:rsidRPr="00CE4CDF">
        <w:rPr>
          <w:rFonts w:ascii="Times New Roman" w:hAnsi="Times New Roman"/>
          <w:sz w:val="28"/>
          <w:szCs w:val="28"/>
          <w:lang w:val="uk-UA"/>
        </w:rPr>
        <w:t xml:space="preserve"> в слин</w:t>
      </w:r>
      <w:r>
        <w:rPr>
          <w:rFonts w:ascii="Times New Roman" w:hAnsi="Times New Roman"/>
          <w:sz w:val="28"/>
          <w:szCs w:val="28"/>
          <w:lang w:val="uk-UA"/>
        </w:rPr>
        <w:t>і.</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групі Б КПВ утворює прямі кореляції з індексом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w:t>
      </w:r>
      <w:r>
        <w:rPr>
          <w:rFonts w:ascii="Times New Roman" w:hAnsi="Times New Roman"/>
          <w:sz w:val="28"/>
          <w:szCs w:val="28"/>
        </w:rPr>
        <w:t>r</w:t>
      </w:r>
      <w:r w:rsidRPr="00CE4CDF">
        <w:rPr>
          <w:rFonts w:ascii="Times New Roman" w:hAnsi="Times New Roman"/>
          <w:sz w:val="28"/>
          <w:szCs w:val="28"/>
          <w:lang w:val="uk-UA"/>
        </w:rPr>
        <w:t>=0,57; р</w:t>
      </w:r>
      <w:r>
        <w:rPr>
          <w:rFonts w:ascii="Times New Roman" w:hAnsi="Times New Roman"/>
          <w:sz w:val="28"/>
          <w:szCs w:val="28"/>
          <w:lang w:val="uk-UA"/>
        </w:rPr>
        <w:t>&lt;0,05), рівнем уреази в слині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0,61</w:t>
      </w:r>
      <w:r w:rsidRPr="00CE4CDF">
        <w:rPr>
          <w:rFonts w:ascii="Times New Roman" w:hAnsi="Times New Roman"/>
          <w:sz w:val="28"/>
          <w:szCs w:val="28"/>
          <w:lang w:val="uk-UA"/>
        </w:rPr>
        <w:t>; р</w:t>
      </w:r>
      <w:r>
        <w:rPr>
          <w:rFonts w:ascii="Times New Roman" w:hAnsi="Times New Roman"/>
          <w:sz w:val="28"/>
          <w:szCs w:val="28"/>
          <w:lang w:val="uk-UA"/>
        </w:rPr>
        <w:t>&lt;0,05), інтенсивністю карієсу у матері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0,40</w:t>
      </w:r>
      <w:r w:rsidRPr="00CE4CDF">
        <w:rPr>
          <w:rFonts w:ascii="Times New Roman" w:hAnsi="Times New Roman"/>
          <w:sz w:val="28"/>
          <w:szCs w:val="28"/>
          <w:lang w:val="uk-UA"/>
        </w:rPr>
        <w:t>; р</w:t>
      </w:r>
      <w:r>
        <w:rPr>
          <w:rFonts w:ascii="Times New Roman" w:hAnsi="Times New Roman"/>
          <w:sz w:val="28"/>
          <w:szCs w:val="28"/>
          <w:lang w:val="uk-UA"/>
        </w:rPr>
        <w:t>&lt;0,05), кількістю хронічних захворювань у підлітка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0,46</w:t>
      </w:r>
      <w:r w:rsidRPr="00CE4CDF">
        <w:rPr>
          <w:rFonts w:ascii="Times New Roman" w:hAnsi="Times New Roman"/>
          <w:sz w:val="28"/>
          <w:szCs w:val="28"/>
          <w:lang w:val="uk-UA"/>
        </w:rPr>
        <w:t>; р</w:t>
      </w:r>
      <w:r>
        <w:rPr>
          <w:rFonts w:ascii="Times New Roman" w:hAnsi="Times New Roman"/>
          <w:sz w:val="28"/>
          <w:szCs w:val="28"/>
          <w:lang w:val="uk-UA"/>
        </w:rPr>
        <w:t>&lt;0,05) і зворотні зв’язки з рівнем Са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-0,39</w:t>
      </w:r>
      <w:r w:rsidRPr="00CE4CDF">
        <w:rPr>
          <w:rFonts w:ascii="Times New Roman" w:hAnsi="Times New Roman"/>
          <w:sz w:val="28"/>
          <w:szCs w:val="28"/>
          <w:lang w:val="uk-UA"/>
        </w:rPr>
        <w:t>; р</w:t>
      </w:r>
      <w:r>
        <w:rPr>
          <w:rFonts w:ascii="Times New Roman" w:hAnsi="Times New Roman"/>
          <w:sz w:val="28"/>
          <w:szCs w:val="28"/>
          <w:lang w:val="uk-UA"/>
        </w:rPr>
        <w:t>&lt;0,05) і лізоциму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 xml:space="preserve"> - 0,37</w:t>
      </w:r>
      <w:r w:rsidRPr="00CE4CDF">
        <w:rPr>
          <w:rFonts w:ascii="Times New Roman" w:hAnsi="Times New Roman"/>
          <w:sz w:val="28"/>
          <w:szCs w:val="28"/>
          <w:lang w:val="uk-UA"/>
        </w:rPr>
        <w:t>; р</w:t>
      </w:r>
      <w:r>
        <w:rPr>
          <w:rFonts w:ascii="Times New Roman" w:hAnsi="Times New Roman"/>
          <w:sz w:val="28"/>
          <w:szCs w:val="28"/>
          <w:lang w:val="uk-UA"/>
        </w:rPr>
        <w:t>&lt;0,05) в слині і мінеральної щільності кісткової тканини пародонта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 xml:space="preserve"> -0,40</w:t>
      </w:r>
      <w:r w:rsidRPr="00CE4CDF">
        <w:rPr>
          <w:rFonts w:ascii="Times New Roman" w:hAnsi="Times New Roman"/>
          <w:sz w:val="28"/>
          <w:szCs w:val="28"/>
          <w:lang w:val="uk-UA"/>
        </w:rPr>
        <w:t>; р</w:t>
      </w:r>
      <w:r>
        <w:rPr>
          <w:rFonts w:ascii="Times New Roman" w:hAnsi="Times New Roman"/>
          <w:sz w:val="28"/>
          <w:szCs w:val="28"/>
          <w:lang w:val="uk-UA"/>
        </w:rPr>
        <w:t>&lt;0,05).</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свою чергу, ступінь коморбідності хворого виявила прямі кореляції з рівнем уреази в слині (</w:t>
      </w:r>
      <w:r>
        <w:rPr>
          <w:rFonts w:ascii="Times New Roman" w:hAnsi="Times New Roman"/>
          <w:sz w:val="28"/>
          <w:szCs w:val="28"/>
        </w:rPr>
        <w:t>r</w:t>
      </w:r>
      <w:r w:rsidRPr="00CE4CDF">
        <w:rPr>
          <w:rFonts w:ascii="Times New Roman" w:hAnsi="Times New Roman"/>
          <w:sz w:val="28"/>
          <w:szCs w:val="28"/>
          <w:lang w:val="uk-UA"/>
        </w:rPr>
        <w:t>=0,35; р</w:t>
      </w:r>
      <w:r>
        <w:rPr>
          <w:rFonts w:ascii="Times New Roman" w:hAnsi="Times New Roman"/>
          <w:sz w:val="28"/>
          <w:szCs w:val="28"/>
          <w:lang w:val="uk-UA"/>
        </w:rPr>
        <w:t>&lt;0,05), ступенем коморбідності батька (</w:t>
      </w:r>
      <w:r>
        <w:rPr>
          <w:rFonts w:ascii="Times New Roman" w:hAnsi="Times New Roman"/>
          <w:sz w:val="28"/>
          <w:szCs w:val="28"/>
        </w:rPr>
        <w:t>r</w:t>
      </w:r>
      <w:r w:rsidRPr="00CE4CDF">
        <w:rPr>
          <w:rFonts w:ascii="Times New Roman" w:hAnsi="Times New Roman"/>
          <w:sz w:val="28"/>
          <w:szCs w:val="28"/>
          <w:lang w:val="uk-UA"/>
        </w:rPr>
        <w:t>=0,33; р</w:t>
      </w:r>
      <w:r>
        <w:rPr>
          <w:rFonts w:ascii="Times New Roman" w:hAnsi="Times New Roman"/>
          <w:sz w:val="28"/>
          <w:szCs w:val="28"/>
          <w:lang w:val="uk-UA"/>
        </w:rPr>
        <w:t>&lt;0,05) і матері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0,37</w:t>
      </w:r>
      <w:r w:rsidRPr="00CE4CDF">
        <w:rPr>
          <w:rFonts w:ascii="Times New Roman" w:hAnsi="Times New Roman"/>
          <w:sz w:val="28"/>
          <w:szCs w:val="28"/>
          <w:lang w:val="uk-UA"/>
        </w:rPr>
        <w:t>; р</w:t>
      </w:r>
      <w:r>
        <w:rPr>
          <w:rFonts w:ascii="Times New Roman" w:hAnsi="Times New Roman"/>
          <w:sz w:val="28"/>
          <w:szCs w:val="28"/>
          <w:lang w:val="uk-UA"/>
        </w:rPr>
        <w:t>&lt;0,05) і зворотні зв’язки з рівнем лізоциму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 xml:space="preserve"> - </w:t>
      </w:r>
      <w:r w:rsidRPr="00CE4CDF">
        <w:rPr>
          <w:rFonts w:ascii="Times New Roman" w:hAnsi="Times New Roman"/>
          <w:sz w:val="28"/>
          <w:szCs w:val="28"/>
          <w:lang w:val="uk-UA"/>
        </w:rPr>
        <w:t>0,33; р</w:t>
      </w:r>
      <w:r>
        <w:rPr>
          <w:rFonts w:ascii="Times New Roman" w:hAnsi="Times New Roman"/>
          <w:sz w:val="28"/>
          <w:szCs w:val="28"/>
          <w:lang w:val="uk-UA"/>
        </w:rPr>
        <w:t>&lt;0,05) і sIgA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 xml:space="preserve"> - </w:t>
      </w:r>
      <w:r w:rsidRPr="00CE4CDF">
        <w:rPr>
          <w:rFonts w:ascii="Times New Roman" w:hAnsi="Times New Roman"/>
          <w:sz w:val="28"/>
          <w:szCs w:val="28"/>
          <w:lang w:val="uk-UA"/>
        </w:rPr>
        <w:t>0,3</w:t>
      </w:r>
      <w:r>
        <w:rPr>
          <w:rFonts w:ascii="Times New Roman" w:hAnsi="Times New Roman"/>
          <w:sz w:val="28"/>
          <w:szCs w:val="28"/>
          <w:lang w:val="uk-UA"/>
        </w:rPr>
        <w:t>5</w:t>
      </w:r>
      <w:r w:rsidRPr="00CE4CDF">
        <w:rPr>
          <w:rFonts w:ascii="Times New Roman" w:hAnsi="Times New Roman"/>
          <w:sz w:val="28"/>
          <w:szCs w:val="28"/>
          <w:lang w:val="uk-UA"/>
        </w:rPr>
        <w:t>; р</w:t>
      </w:r>
      <w:r>
        <w:rPr>
          <w:rFonts w:ascii="Times New Roman" w:hAnsi="Times New Roman"/>
          <w:sz w:val="28"/>
          <w:szCs w:val="28"/>
          <w:lang w:val="uk-UA"/>
        </w:rPr>
        <w:t>&lt;0,05) в слині, тривалістю грудного вигодовування (</w:t>
      </w:r>
      <w:r>
        <w:rPr>
          <w:rFonts w:ascii="Times New Roman" w:hAnsi="Times New Roman"/>
          <w:sz w:val="28"/>
          <w:szCs w:val="28"/>
        </w:rPr>
        <w:t>r</w:t>
      </w:r>
      <w:r w:rsidRPr="00CE4CDF">
        <w:rPr>
          <w:rFonts w:ascii="Times New Roman" w:hAnsi="Times New Roman"/>
          <w:sz w:val="28"/>
          <w:szCs w:val="28"/>
          <w:lang w:val="uk-UA"/>
        </w:rPr>
        <w:t>=</w:t>
      </w:r>
      <w:r>
        <w:rPr>
          <w:rFonts w:ascii="Times New Roman" w:hAnsi="Times New Roman"/>
          <w:sz w:val="28"/>
          <w:szCs w:val="28"/>
          <w:lang w:val="uk-UA"/>
        </w:rPr>
        <w:t xml:space="preserve"> -0,39</w:t>
      </w:r>
      <w:r w:rsidRPr="00CE4CDF">
        <w:rPr>
          <w:rFonts w:ascii="Times New Roman" w:hAnsi="Times New Roman"/>
          <w:sz w:val="28"/>
          <w:szCs w:val="28"/>
          <w:lang w:val="uk-UA"/>
        </w:rPr>
        <w:t>; р</w:t>
      </w:r>
      <w:r>
        <w:rPr>
          <w:rFonts w:ascii="Times New Roman" w:hAnsi="Times New Roman"/>
          <w:sz w:val="28"/>
          <w:szCs w:val="28"/>
          <w:lang w:val="uk-UA"/>
        </w:rPr>
        <w:t>&lt;0,05) і масою тіла новонародженого (</w:t>
      </w:r>
      <w:r>
        <w:rPr>
          <w:rFonts w:ascii="Times New Roman" w:hAnsi="Times New Roman"/>
          <w:sz w:val="28"/>
          <w:szCs w:val="28"/>
        </w:rPr>
        <w:t>r</w:t>
      </w:r>
      <w:r w:rsidRPr="008071A1">
        <w:rPr>
          <w:rFonts w:ascii="Times New Roman" w:hAnsi="Times New Roman"/>
          <w:sz w:val="28"/>
          <w:szCs w:val="28"/>
          <w:lang w:val="uk-UA"/>
        </w:rPr>
        <w:t>=</w:t>
      </w:r>
      <w:r>
        <w:rPr>
          <w:rFonts w:ascii="Times New Roman" w:hAnsi="Times New Roman"/>
          <w:sz w:val="28"/>
          <w:szCs w:val="28"/>
          <w:lang w:val="uk-UA"/>
        </w:rPr>
        <w:t xml:space="preserve"> -0,37</w:t>
      </w:r>
      <w:r w:rsidRPr="008071A1">
        <w:rPr>
          <w:rFonts w:ascii="Times New Roman" w:hAnsi="Times New Roman"/>
          <w:sz w:val="28"/>
          <w:szCs w:val="28"/>
          <w:lang w:val="uk-UA"/>
        </w:rPr>
        <w:t>; р</w:t>
      </w:r>
      <w:r>
        <w:rPr>
          <w:rFonts w:ascii="Times New Roman" w:hAnsi="Times New Roman"/>
          <w:sz w:val="28"/>
          <w:szCs w:val="28"/>
          <w:lang w:val="uk-UA"/>
        </w:rPr>
        <w:t>&lt;0,05).</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системного аналізу вказують, що патогенетична матриця, що визначає тяжкість запальних захворювань пародонта, включає зв’язки між різночасовими показниками. На кожному з послідуючих етапів онтогенезу вмикаються нові патогенетичні фактори, що підтримують післядію відділених за часом факторів і потенціюють кумулятивну дію патогенетичної матриці.</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 кількісними, встановлено і якісні, тобто «портретні» відмінності кореляційних структур. Вони склали – ПКВ=50%.</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варіанти тяжкості запальних захворювань пародонта у дівчат-підлітків з ПМФ визначають різноманітні патогенетичні паттерни, що відрізняються один від одного як за кількістю кореляційних взаємодій факторів, </w:t>
      </w:r>
      <w:r>
        <w:rPr>
          <w:rFonts w:ascii="Times New Roman" w:hAnsi="Times New Roman"/>
          <w:sz w:val="28"/>
          <w:szCs w:val="28"/>
          <w:lang w:val="uk-UA"/>
        </w:rPr>
        <w:lastRenderedPageBreak/>
        <w:t>так і за їх архітектонікою. Це є теоретичним обґрунтуванням можливості розробки надійних прогностичних критеріїв.</w:t>
      </w:r>
    </w:p>
    <w:p w:rsidR="00472525" w:rsidRDefault="00472525" w:rsidP="00472525">
      <w:pPr>
        <w:spacing w:line="360" w:lineRule="auto"/>
        <w:ind w:firstLine="709"/>
        <w:jc w:val="both"/>
        <w:rPr>
          <w:rFonts w:ascii="Times New Roman" w:hAnsi="Times New Roman"/>
          <w:sz w:val="28"/>
          <w:szCs w:val="28"/>
          <w:lang w:val="uk-UA"/>
        </w:rPr>
      </w:pPr>
    </w:p>
    <w:p w:rsidR="000F78D0" w:rsidRDefault="00C530B3" w:rsidP="00472525">
      <w:pPr>
        <w:spacing w:line="360" w:lineRule="auto"/>
        <w:ind w:firstLine="709"/>
        <w:jc w:val="both"/>
        <w:rPr>
          <w:rFonts w:ascii="Times New Roman" w:hAnsi="Times New Roman"/>
          <w:sz w:val="28"/>
          <w:szCs w:val="28"/>
          <w:lang w:val="uk-UA"/>
        </w:rPr>
      </w:pPr>
      <w:r w:rsidRPr="00C530B3">
        <w:rPr>
          <w:rFonts w:ascii="Times New Roman" w:hAnsi="Times New Roman"/>
          <w:sz w:val="28"/>
          <w:szCs w:val="28"/>
          <w:lang w:val="uk-UA"/>
        </w:rPr>
        <w:t>Таким чином,</w:t>
      </w:r>
      <w:r>
        <w:rPr>
          <w:rFonts w:ascii="Times New Roman" w:hAnsi="Times New Roman"/>
          <w:b/>
          <w:sz w:val="28"/>
          <w:szCs w:val="28"/>
          <w:lang w:val="uk-UA"/>
        </w:rPr>
        <w:t xml:space="preserve"> о</w:t>
      </w:r>
      <w:r w:rsidR="000F78D0">
        <w:rPr>
          <w:rFonts w:ascii="Times New Roman" w:hAnsi="Times New Roman"/>
          <w:sz w:val="28"/>
          <w:szCs w:val="28"/>
          <w:lang w:val="uk-UA"/>
        </w:rPr>
        <w:t>бтяжена спадковість чинить суттєвий вплив на формування тяжкості запальних захворювань пародонта у дівчат-підлітків з ПМФ. При цьому патогенетичну роль виявляє не тільки специфічна (хронічна стоматологічна патологія), але і неспецифічна (хронічна соматична патологія) компоненти генетичного вантажу.</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формуванні тяжкості запальних захворювань пародонта суттєву роль відіграє комплекс пре- і постнатальних факторів: обтяжений акушерський анамнез, соматична патологія в дитячому і підлітковому віці, порушення здорового способу життя і гігієни порожнини рота, аномалії розвитку зубо-щелепної системи, інтенсивність карієсу зубів, зниження місцевої і загальної імунорезистентності організму і ступінь бактеріальної контамінації порожнини рота.</w:t>
      </w:r>
    </w:p>
    <w:p w:rsidR="00C530B3" w:rsidRDefault="000F78D0" w:rsidP="00C530B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Більш високий ступінь тяжкості запальних захворювань пародонта визначає монолітний кореляційний паттерн з великою кількістю різночасових зв’язків, що робить його більш стійким до зростаючих в процесі онтогенезу дитини компенсаторних механізмів і лікувально-профілактичних заходів.</w:t>
      </w:r>
    </w:p>
    <w:p w:rsidR="000F78D0" w:rsidRPr="00CE4CDF" w:rsidRDefault="000F78D0" w:rsidP="00C530B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Відмінність патогенетичних паттернів, що визначають тяжкість перебігу запальних захворювань пародонта, як за кількістю зв’язків між факторами, так і за їх архітектонікою, є теоретичним обґрунтуванням для можливості надійних критеріїв прогнозування тяжкості запальних захворювань пародонта у дівчат-підлітків з ПМФ.</w:t>
      </w:r>
    </w:p>
    <w:p w:rsidR="000F78D0" w:rsidRDefault="000F78D0" w:rsidP="00AC605C">
      <w:pPr>
        <w:spacing w:line="360" w:lineRule="auto"/>
        <w:ind w:firstLine="426"/>
        <w:jc w:val="both"/>
        <w:rPr>
          <w:rFonts w:ascii="Times New Roman" w:hAnsi="Times New Roman"/>
          <w:sz w:val="28"/>
          <w:szCs w:val="28"/>
          <w:lang w:val="uk-UA"/>
        </w:rPr>
      </w:pPr>
    </w:p>
    <w:p w:rsidR="00C151C8" w:rsidRDefault="00C151C8" w:rsidP="00AC605C">
      <w:pPr>
        <w:spacing w:line="360" w:lineRule="auto"/>
        <w:ind w:firstLine="426"/>
        <w:jc w:val="both"/>
        <w:rPr>
          <w:rFonts w:ascii="Times New Roman" w:hAnsi="Times New Roman"/>
          <w:sz w:val="28"/>
          <w:szCs w:val="28"/>
          <w:lang w:val="uk-UA"/>
        </w:rPr>
      </w:pPr>
    </w:p>
    <w:p w:rsidR="00C151C8" w:rsidRDefault="00C151C8" w:rsidP="00AC605C">
      <w:pPr>
        <w:spacing w:line="360" w:lineRule="auto"/>
        <w:ind w:firstLine="426"/>
        <w:jc w:val="both"/>
        <w:rPr>
          <w:rFonts w:ascii="Times New Roman" w:hAnsi="Times New Roman"/>
          <w:sz w:val="28"/>
          <w:szCs w:val="28"/>
          <w:lang w:val="uk-UA"/>
        </w:rPr>
      </w:pPr>
    </w:p>
    <w:p w:rsidR="00C151C8" w:rsidRDefault="00C151C8" w:rsidP="00AC605C">
      <w:pPr>
        <w:spacing w:line="360" w:lineRule="auto"/>
        <w:ind w:firstLine="426"/>
        <w:jc w:val="both"/>
        <w:rPr>
          <w:rFonts w:ascii="Times New Roman" w:hAnsi="Times New Roman"/>
          <w:sz w:val="28"/>
          <w:szCs w:val="28"/>
          <w:lang w:val="uk-UA"/>
        </w:rPr>
      </w:pPr>
    </w:p>
    <w:p w:rsidR="00C151C8" w:rsidRDefault="00C151C8" w:rsidP="00AC605C">
      <w:pPr>
        <w:spacing w:line="360" w:lineRule="auto"/>
        <w:ind w:firstLine="426"/>
        <w:jc w:val="both"/>
        <w:rPr>
          <w:rFonts w:ascii="Times New Roman" w:hAnsi="Times New Roman"/>
          <w:sz w:val="28"/>
          <w:szCs w:val="28"/>
          <w:lang w:val="uk-UA"/>
        </w:rPr>
      </w:pPr>
    </w:p>
    <w:p w:rsidR="000F78D0" w:rsidRDefault="000F78D0" w:rsidP="00472525">
      <w:pPr>
        <w:spacing w:line="360" w:lineRule="auto"/>
        <w:ind w:firstLine="709"/>
        <w:jc w:val="both"/>
        <w:rPr>
          <w:rFonts w:ascii="Times New Roman" w:hAnsi="Times New Roman"/>
          <w:b/>
          <w:sz w:val="28"/>
          <w:szCs w:val="28"/>
          <w:lang w:val="uk-UA"/>
        </w:rPr>
      </w:pPr>
      <w:r w:rsidRPr="00A23320">
        <w:rPr>
          <w:rFonts w:ascii="Times New Roman" w:hAnsi="Times New Roman"/>
          <w:b/>
          <w:sz w:val="28"/>
          <w:szCs w:val="28"/>
          <w:lang w:val="uk-UA"/>
        </w:rPr>
        <w:lastRenderedPageBreak/>
        <w:t>5.4.  Предиктори тяжкості перебігу запальних захворювань пар</w:t>
      </w:r>
      <w:r>
        <w:rPr>
          <w:rFonts w:ascii="Times New Roman" w:hAnsi="Times New Roman"/>
          <w:b/>
          <w:sz w:val="28"/>
          <w:szCs w:val="28"/>
          <w:lang w:val="uk-UA"/>
        </w:rPr>
        <w:t>одонта у дівчат-підлітків з ПМФ</w:t>
      </w:r>
    </w:p>
    <w:p w:rsidR="000F78D0" w:rsidRDefault="000F78D0" w:rsidP="00472525">
      <w:pPr>
        <w:spacing w:line="360" w:lineRule="auto"/>
        <w:ind w:firstLine="709"/>
        <w:jc w:val="both"/>
        <w:rPr>
          <w:rFonts w:ascii="Times New Roman" w:hAnsi="Times New Roman"/>
          <w:sz w:val="28"/>
          <w:szCs w:val="28"/>
          <w:lang w:val="uk-UA"/>
        </w:rPr>
      </w:pP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w:t>
      </w:r>
      <w:r w:rsidRPr="004A2D58">
        <w:rPr>
          <w:rFonts w:ascii="Times New Roman" w:hAnsi="Times New Roman"/>
          <w:sz w:val="28"/>
          <w:szCs w:val="28"/>
          <w:lang w:val="uk-UA"/>
        </w:rPr>
        <w:t>(підрозділ 5.3) д</w:t>
      </w:r>
      <w:r>
        <w:rPr>
          <w:rFonts w:ascii="Times New Roman" w:hAnsi="Times New Roman"/>
          <w:sz w:val="28"/>
          <w:szCs w:val="28"/>
          <w:lang w:val="uk-UA"/>
        </w:rPr>
        <w:t>али підставу для розробки предикторів тяжкості запальних захворювань пародонта у даного контингенту хворих.</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вирішення цієї задачі хворих було розподілено на альтернативні групи </w:t>
      </w:r>
      <w:r w:rsidRPr="004A2D58">
        <w:rPr>
          <w:rFonts w:ascii="Times New Roman" w:hAnsi="Times New Roman"/>
          <w:sz w:val="28"/>
          <w:szCs w:val="28"/>
          <w:lang w:val="uk-UA"/>
        </w:rPr>
        <w:t>(підрозділ 5.3),</w:t>
      </w:r>
      <w:r>
        <w:rPr>
          <w:rFonts w:ascii="Times New Roman" w:hAnsi="Times New Roman"/>
          <w:sz w:val="28"/>
          <w:szCs w:val="28"/>
          <w:lang w:val="uk-UA"/>
        </w:rPr>
        <w:t xml:space="preserve"> а потім за допомогою неоднорідної послідовної процедури Вальда – Генкіна визначали прогностичні коефіцієнти градацій ознак і їх інформативність.</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табл. </w:t>
      </w:r>
      <w:r w:rsidR="00B52653">
        <w:rPr>
          <w:rFonts w:ascii="Times New Roman" w:hAnsi="Times New Roman"/>
          <w:sz w:val="28"/>
          <w:szCs w:val="28"/>
          <w:lang w:val="uk-UA"/>
        </w:rPr>
        <w:t>5.</w:t>
      </w:r>
      <w:r w:rsidR="00B52653" w:rsidRPr="00B52653">
        <w:rPr>
          <w:rFonts w:ascii="Times New Roman" w:hAnsi="Times New Roman"/>
          <w:sz w:val="28"/>
          <w:szCs w:val="28"/>
          <w:lang w:val="ru-RU"/>
        </w:rPr>
        <w:t>3</w:t>
      </w:r>
      <w:r w:rsidRPr="004A2D58">
        <w:rPr>
          <w:rFonts w:ascii="Times New Roman" w:hAnsi="Times New Roman"/>
          <w:sz w:val="28"/>
          <w:szCs w:val="28"/>
          <w:lang w:val="uk-UA"/>
        </w:rPr>
        <w:t xml:space="preserve">1 наведено прогностичну характеристику даних акушерського анамнезу. </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табл. </w:t>
      </w:r>
      <w:r w:rsidR="00B52653">
        <w:rPr>
          <w:rFonts w:ascii="Times New Roman" w:hAnsi="Times New Roman"/>
          <w:sz w:val="28"/>
          <w:szCs w:val="28"/>
          <w:lang w:val="uk-UA"/>
        </w:rPr>
        <w:t>5.</w:t>
      </w:r>
      <w:r w:rsidR="00B52653" w:rsidRPr="00B52653">
        <w:rPr>
          <w:rFonts w:ascii="Times New Roman" w:hAnsi="Times New Roman"/>
          <w:sz w:val="28"/>
          <w:szCs w:val="28"/>
          <w:lang w:val="ru-RU"/>
        </w:rPr>
        <w:t>3</w:t>
      </w:r>
      <w:r w:rsidRPr="004A2D58">
        <w:rPr>
          <w:rFonts w:ascii="Times New Roman" w:hAnsi="Times New Roman"/>
          <w:sz w:val="28"/>
          <w:szCs w:val="28"/>
          <w:lang w:val="uk-UA"/>
        </w:rPr>
        <w:t>1</w:t>
      </w:r>
      <w:r>
        <w:rPr>
          <w:rFonts w:ascii="Times New Roman" w:hAnsi="Times New Roman"/>
          <w:sz w:val="28"/>
          <w:szCs w:val="28"/>
          <w:lang w:val="uk-UA"/>
        </w:rPr>
        <w:t xml:space="preserve"> витікає, що ознак з високою прогностичною інформативністю не встановлено. Помірна прогностична цінність виявлена по відношенню до маси тіла при народженні (І=0,80), загрози переривання вагітності (І=0,74) і ускладненого перебігу вагітності (І=0,50). Низька прогностична значимість була характерною для гестозу 1-ої половини вагітності (І=0,48), фетоплацентарної недостатності (І=0,43), характеру розродження (І=0,41) і ускладнених пологів (І=0,33).</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Виходячи зі значень ПК (табл</w:t>
      </w:r>
      <w:r w:rsidR="00CD18DE">
        <w:rPr>
          <w:rFonts w:ascii="Times New Roman" w:hAnsi="Times New Roman"/>
          <w:sz w:val="28"/>
          <w:szCs w:val="28"/>
          <w:lang w:val="uk-UA"/>
        </w:rPr>
        <w:t>. 5.</w:t>
      </w:r>
      <w:r w:rsidR="00CD18DE" w:rsidRPr="00CD18DE">
        <w:rPr>
          <w:rFonts w:ascii="Times New Roman" w:hAnsi="Times New Roman"/>
          <w:sz w:val="28"/>
          <w:szCs w:val="28"/>
          <w:lang w:val="uk-UA"/>
        </w:rPr>
        <w:t>3</w:t>
      </w:r>
      <w:r w:rsidRPr="004A2D58">
        <w:rPr>
          <w:rFonts w:ascii="Times New Roman" w:hAnsi="Times New Roman"/>
          <w:sz w:val="28"/>
          <w:szCs w:val="28"/>
          <w:lang w:val="uk-UA"/>
        </w:rPr>
        <w:t>1),</w:t>
      </w:r>
      <w:r>
        <w:rPr>
          <w:rFonts w:ascii="Times New Roman" w:hAnsi="Times New Roman"/>
          <w:sz w:val="28"/>
          <w:szCs w:val="28"/>
          <w:lang w:val="uk-UA"/>
        </w:rPr>
        <w:t xml:space="preserve"> сприятливий прогноз (розвиток легкого ступеню гінгівіту) визначають: нормальна (2500-4000 г) маса тіла новонародженого; відсутність загрози переривання вагітності, ускладненого її перебігу, гестозу 1-ої половини вагітності, ускладнених пологів, фетоплацентарної недостатності і самостійне розродження.</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користь менш сприятливого прогнозу (більш тяжкий перебіг запальних захворювань пародонта) свідчать: недоношеність (≤2500г) або крупний плід (</w:t>
      </w:r>
      <w:r>
        <w:rPr>
          <w:sz w:val="28"/>
          <w:szCs w:val="28"/>
          <w:lang w:val="uk-UA"/>
        </w:rPr>
        <w:t>≥</w:t>
      </w:r>
      <w:r>
        <w:rPr>
          <w:rFonts w:ascii="Times New Roman" w:hAnsi="Times New Roman"/>
          <w:sz w:val="28"/>
          <w:szCs w:val="28"/>
          <w:lang w:val="uk-UA"/>
        </w:rPr>
        <w:t>4001г); наявність в анамнезі загрози переривання вагітності, ускладненого її перебігу, гестозу 1-ої половини вагітності, ускладнених пологів, фетоплацентарної недостатності і розродження за допомогою Кесареву розтину.</w:t>
      </w:r>
    </w:p>
    <w:p w:rsidR="00C151C8" w:rsidRDefault="00C151C8" w:rsidP="00AC605C">
      <w:pPr>
        <w:spacing w:line="360" w:lineRule="auto"/>
        <w:ind w:firstLine="426"/>
        <w:jc w:val="right"/>
        <w:rPr>
          <w:rFonts w:ascii="Times New Roman" w:hAnsi="Times New Roman"/>
          <w:i/>
          <w:sz w:val="28"/>
          <w:szCs w:val="28"/>
          <w:lang w:val="uk-UA"/>
        </w:rPr>
      </w:pPr>
    </w:p>
    <w:p w:rsidR="00C151C8" w:rsidRDefault="00C151C8" w:rsidP="00AC605C">
      <w:pPr>
        <w:spacing w:line="360" w:lineRule="auto"/>
        <w:ind w:firstLine="426"/>
        <w:jc w:val="right"/>
        <w:rPr>
          <w:rFonts w:ascii="Times New Roman" w:hAnsi="Times New Roman"/>
          <w:i/>
          <w:sz w:val="28"/>
          <w:szCs w:val="28"/>
          <w:lang w:val="uk-UA"/>
        </w:rPr>
      </w:pPr>
    </w:p>
    <w:p w:rsidR="000F78D0" w:rsidRDefault="000F78D0" w:rsidP="00AC605C">
      <w:pPr>
        <w:spacing w:line="360" w:lineRule="auto"/>
        <w:ind w:firstLine="426"/>
        <w:jc w:val="right"/>
        <w:rPr>
          <w:rFonts w:ascii="Times New Roman" w:hAnsi="Times New Roman"/>
          <w:sz w:val="28"/>
          <w:szCs w:val="28"/>
          <w:lang w:val="uk-UA"/>
        </w:rPr>
      </w:pPr>
      <w:r w:rsidRPr="004A2D58">
        <w:rPr>
          <w:rFonts w:ascii="Times New Roman" w:hAnsi="Times New Roman"/>
          <w:i/>
          <w:sz w:val="28"/>
          <w:szCs w:val="28"/>
          <w:lang w:val="uk-UA"/>
        </w:rPr>
        <w:lastRenderedPageBreak/>
        <w:t>Таблиця</w:t>
      </w:r>
      <w:r w:rsidRPr="004A2D58">
        <w:rPr>
          <w:rFonts w:ascii="Times New Roman" w:hAnsi="Times New Roman"/>
          <w:sz w:val="28"/>
          <w:szCs w:val="28"/>
          <w:lang w:val="uk-UA"/>
        </w:rPr>
        <w:t xml:space="preserve"> </w:t>
      </w:r>
      <w:r w:rsidR="00CD18DE">
        <w:rPr>
          <w:rFonts w:ascii="Times New Roman" w:hAnsi="Times New Roman"/>
          <w:i/>
          <w:sz w:val="28"/>
          <w:szCs w:val="28"/>
          <w:lang w:val="uk-UA"/>
        </w:rPr>
        <w:t>5.</w:t>
      </w:r>
      <w:r w:rsidR="00CD18DE">
        <w:rPr>
          <w:rFonts w:ascii="Times New Roman" w:hAnsi="Times New Roman"/>
          <w:i/>
          <w:sz w:val="28"/>
          <w:szCs w:val="28"/>
        </w:rPr>
        <w:t>3</w:t>
      </w:r>
      <w:r w:rsidRPr="004A2D58">
        <w:rPr>
          <w:rFonts w:ascii="Times New Roman" w:hAnsi="Times New Roman"/>
          <w:i/>
          <w:sz w:val="28"/>
          <w:szCs w:val="28"/>
          <w:lang w:val="uk-UA"/>
        </w:rPr>
        <w:t>1</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даних акушерського анамнезу</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732"/>
        <w:gridCol w:w="1810"/>
        <w:gridCol w:w="2523"/>
        <w:gridCol w:w="2305"/>
      </w:tblGrid>
      <w:tr w:rsidR="000F78D0" w:rsidRPr="001336DC" w:rsidTr="00C151C8">
        <w:tc>
          <w:tcPr>
            <w:tcW w:w="534" w:type="dxa"/>
          </w:tcPr>
          <w:p w:rsidR="000F78D0" w:rsidRPr="001336DC" w:rsidRDefault="000F78D0" w:rsidP="00C151C8">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C151C8">
        <w:tc>
          <w:tcPr>
            <w:tcW w:w="534" w:type="dxa"/>
            <w:vMerge w:val="restart"/>
          </w:tcPr>
          <w:p w:rsidR="000F78D0" w:rsidRPr="001336DC" w:rsidRDefault="000F78D0" w:rsidP="00C151C8">
            <w:pPr>
              <w:numPr>
                <w:ilvl w:val="0"/>
                <w:numId w:val="32"/>
              </w:numPr>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Маса тіла при народженні, г</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≤2500</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0,80</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2501-4000</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≥4001</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Загроза переривання вагітності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0,74</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Ускладнений перебіг вагітності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0,50</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Гестоз 1-ої половини вагітності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0,48</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rPr>
          <w:trHeight w:val="70"/>
        </w:trPr>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Фетоплацентарна недостатність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0,43</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Характер розродження</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Самостійне</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0,41</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Ускладнені пологи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0,33</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Асфіксія при народженні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-0,8</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+0,5</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Гестоз 2-ої половини вагітності</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0,09</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+0,7</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Ураження ЦНС при народженнні</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-0,5</w:t>
            </w:r>
          </w:p>
        </w:tc>
        <w:tc>
          <w:tcPr>
            <w:tcW w:w="0" w:type="auto"/>
            <w:vMerge w:val="restart"/>
          </w:tcPr>
          <w:p w:rsidR="000F78D0" w:rsidRPr="001336DC" w:rsidRDefault="000F78D0" w:rsidP="00E03819">
            <w:pPr>
              <w:ind w:firstLine="56"/>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C151C8">
        <w:tc>
          <w:tcPr>
            <w:tcW w:w="534" w:type="dxa"/>
            <w:vMerge/>
          </w:tcPr>
          <w:p w:rsidR="000F78D0" w:rsidRPr="001336DC" w:rsidRDefault="000F78D0" w:rsidP="00C151C8">
            <w:pPr>
              <w:numPr>
                <w:ilvl w:val="0"/>
                <w:numId w:val="32"/>
              </w:numPr>
              <w:ind w:left="0" w:firstLine="0"/>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tcPr>
          <w:p w:rsidR="000F78D0" w:rsidRPr="001336DC" w:rsidRDefault="000F78D0" w:rsidP="00E03819">
            <w:pPr>
              <w:ind w:firstLine="56"/>
              <w:jc w:val="center"/>
              <w:rPr>
                <w:rFonts w:ascii="Times New Roman" w:hAnsi="Times New Roman"/>
                <w:sz w:val="28"/>
                <w:szCs w:val="28"/>
                <w:lang w:val="uk-UA"/>
              </w:rPr>
            </w:pPr>
          </w:p>
        </w:tc>
      </w:tr>
    </w:tbl>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легкого ступеню гінгівіту, а знак (-) – на користь більш тяжкого перебігу запальних захворювань пародонта.</w:t>
      </w:r>
    </w:p>
    <w:p w:rsidR="000F78D0" w:rsidRDefault="000F78D0" w:rsidP="00472525">
      <w:pPr>
        <w:spacing w:line="360" w:lineRule="auto"/>
        <w:ind w:firstLine="709"/>
        <w:jc w:val="both"/>
        <w:rPr>
          <w:rFonts w:ascii="Times New Roman" w:hAnsi="Times New Roman"/>
          <w:sz w:val="28"/>
          <w:szCs w:val="28"/>
          <w:lang w:val="uk-UA"/>
        </w:rPr>
      </w:pPr>
    </w:p>
    <w:p w:rsidR="000F78D0" w:rsidRPr="004A2D58"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Прогностична характеристика спадкового фактору наведена в табл. </w:t>
      </w:r>
      <w:r w:rsidR="00CD18DE">
        <w:rPr>
          <w:rFonts w:ascii="Times New Roman" w:hAnsi="Times New Roman"/>
          <w:sz w:val="28"/>
          <w:szCs w:val="28"/>
          <w:lang w:val="uk-UA"/>
        </w:rPr>
        <w:t>5.</w:t>
      </w:r>
      <w:r w:rsidR="00CD18DE">
        <w:rPr>
          <w:rFonts w:ascii="Times New Roman" w:hAnsi="Times New Roman"/>
          <w:sz w:val="28"/>
          <w:szCs w:val="28"/>
        </w:rPr>
        <w:t>3</w:t>
      </w:r>
      <w:r w:rsidRPr="004A2D58">
        <w:rPr>
          <w:rFonts w:ascii="Times New Roman" w:hAnsi="Times New Roman"/>
          <w:sz w:val="28"/>
          <w:szCs w:val="28"/>
          <w:lang w:val="uk-UA"/>
        </w:rPr>
        <w:t>2.</w:t>
      </w:r>
      <w:r w:rsidRPr="004A2D58">
        <w:rPr>
          <w:rFonts w:ascii="Times New Roman" w:hAnsi="Times New Roman"/>
          <w:sz w:val="28"/>
          <w:szCs w:val="28"/>
          <w:lang w:val="uk-UA"/>
        </w:rPr>
        <w:tab/>
      </w:r>
    </w:p>
    <w:p w:rsidR="000F78D0" w:rsidRPr="004A2D58" w:rsidRDefault="000F78D0" w:rsidP="00AC605C">
      <w:pPr>
        <w:spacing w:line="360" w:lineRule="auto"/>
        <w:ind w:firstLine="426"/>
        <w:jc w:val="right"/>
        <w:rPr>
          <w:rFonts w:ascii="Times New Roman" w:hAnsi="Times New Roman"/>
          <w:sz w:val="28"/>
          <w:szCs w:val="28"/>
          <w:lang w:val="uk-UA"/>
        </w:rPr>
      </w:pPr>
      <w:r w:rsidRPr="004A2D58">
        <w:rPr>
          <w:rFonts w:ascii="Times New Roman" w:hAnsi="Times New Roman"/>
          <w:i/>
          <w:sz w:val="28"/>
          <w:szCs w:val="28"/>
          <w:lang w:val="uk-UA"/>
        </w:rPr>
        <w:t>Таблиця</w:t>
      </w:r>
      <w:r w:rsidRPr="004A2D58">
        <w:rPr>
          <w:rFonts w:ascii="Times New Roman" w:hAnsi="Times New Roman"/>
          <w:sz w:val="28"/>
          <w:szCs w:val="28"/>
          <w:lang w:val="uk-UA"/>
        </w:rPr>
        <w:t xml:space="preserve"> </w:t>
      </w:r>
      <w:r w:rsidR="00CD18DE">
        <w:rPr>
          <w:rFonts w:ascii="Times New Roman" w:hAnsi="Times New Roman"/>
          <w:i/>
          <w:sz w:val="28"/>
          <w:szCs w:val="28"/>
          <w:lang w:val="uk-UA"/>
        </w:rPr>
        <w:t>5.</w:t>
      </w:r>
      <w:r w:rsidR="00CD18DE">
        <w:rPr>
          <w:rFonts w:ascii="Times New Roman" w:hAnsi="Times New Roman"/>
          <w:i/>
          <w:sz w:val="28"/>
          <w:szCs w:val="28"/>
        </w:rPr>
        <w:t>3</w:t>
      </w:r>
      <w:r w:rsidRPr="004A2D58">
        <w:rPr>
          <w:rFonts w:ascii="Times New Roman" w:hAnsi="Times New Roman"/>
          <w:i/>
          <w:sz w:val="28"/>
          <w:szCs w:val="28"/>
          <w:lang w:val="uk-UA"/>
        </w:rPr>
        <w:t>2</w:t>
      </w:r>
    </w:p>
    <w:p w:rsidR="000F78D0" w:rsidRDefault="000F78D0" w:rsidP="00AC605C">
      <w:pPr>
        <w:spacing w:line="360" w:lineRule="auto"/>
        <w:ind w:firstLine="426"/>
        <w:jc w:val="center"/>
        <w:rPr>
          <w:rFonts w:ascii="Times New Roman" w:hAnsi="Times New Roman"/>
          <w:sz w:val="28"/>
          <w:szCs w:val="28"/>
          <w:lang w:val="uk-UA"/>
        </w:rPr>
      </w:pPr>
      <w:r w:rsidRPr="004A2D58">
        <w:rPr>
          <w:rFonts w:ascii="Times New Roman" w:hAnsi="Times New Roman"/>
          <w:sz w:val="28"/>
          <w:szCs w:val="28"/>
          <w:lang w:val="uk-UA"/>
        </w:rPr>
        <w:t>Прогностична значимість спадкового фактору</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717"/>
        <w:gridCol w:w="1777"/>
        <w:gridCol w:w="2564"/>
        <w:gridCol w:w="2312"/>
      </w:tblGrid>
      <w:tr w:rsidR="000F78D0" w:rsidRPr="001336DC" w:rsidTr="00C151C8">
        <w:tc>
          <w:tcPr>
            <w:tcW w:w="534" w:type="dxa"/>
          </w:tcPr>
          <w:p w:rsidR="000F78D0" w:rsidRPr="001336DC" w:rsidRDefault="000F78D0" w:rsidP="00C151C8">
            <w:pPr>
              <w:ind w:left="-142" w:firstLine="142"/>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C151C8">
        <w:tc>
          <w:tcPr>
            <w:tcW w:w="534" w:type="dxa"/>
            <w:vMerge w:val="restart"/>
          </w:tcPr>
          <w:p w:rsidR="000F78D0" w:rsidRPr="001336DC" w:rsidRDefault="000F78D0" w:rsidP="00C151C8">
            <w:pPr>
              <w:numPr>
                <w:ilvl w:val="0"/>
                <w:numId w:val="33"/>
              </w:numPr>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праматерів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+11,5</w:t>
            </w:r>
          </w:p>
        </w:tc>
        <w:tc>
          <w:tcPr>
            <w:tcW w:w="0" w:type="auto"/>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3,84</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-6,2</w:t>
            </w:r>
          </w:p>
        </w:tc>
        <w:tc>
          <w:tcPr>
            <w:tcW w:w="0" w:type="auto"/>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0" w:type="auto"/>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прабатьків </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+7,2</w:t>
            </w:r>
          </w:p>
        </w:tc>
        <w:tc>
          <w:tcPr>
            <w:tcW w:w="0" w:type="auto"/>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3,70</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0" w:type="auto"/>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0" w:type="auto"/>
            <w:vMerge/>
          </w:tcPr>
          <w:p w:rsidR="000F78D0" w:rsidRPr="001336DC" w:rsidRDefault="000F78D0" w:rsidP="00C151C8">
            <w:pPr>
              <w:ind w:firstLine="33"/>
              <w:rPr>
                <w:rFonts w:ascii="Times New Roman" w:hAnsi="Times New Roman"/>
                <w:sz w:val="28"/>
                <w:szCs w:val="28"/>
                <w:lang w:val="uk-UA"/>
              </w:rPr>
            </w:pP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5</w:t>
            </w:r>
          </w:p>
        </w:tc>
        <w:tc>
          <w:tcPr>
            <w:tcW w:w="0" w:type="auto"/>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-6,4</w:t>
            </w:r>
          </w:p>
        </w:tc>
        <w:tc>
          <w:tcPr>
            <w:tcW w:w="0" w:type="auto"/>
            <w:vMerge/>
          </w:tcPr>
          <w:p w:rsidR="000F78D0" w:rsidRPr="001336DC" w:rsidRDefault="000F78D0" w:rsidP="00E03819">
            <w:pPr>
              <w:jc w:val="center"/>
              <w:rPr>
                <w:rFonts w:ascii="Times New Roman" w:hAnsi="Times New Roman"/>
                <w:sz w:val="28"/>
                <w:szCs w:val="28"/>
                <w:lang w:val="uk-UA"/>
              </w:rPr>
            </w:pPr>
          </w:p>
        </w:tc>
      </w:tr>
    </w:tbl>
    <w:p w:rsidR="00C151C8" w:rsidRDefault="00C151C8" w:rsidP="00C151C8">
      <w:pPr>
        <w:jc w:val="right"/>
      </w:pPr>
      <w:r w:rsidRPr="002518E6">
        <w:rPr>
          <w:rFonts w:ascii="Times New Roman" w:hAnsi="Times New Roman"/>
          <w:i/>
          <w:sz w:val="28"/>
          <w:szCs w:val="28"/>
          <w:lang w:val="uk-UA"/>
        </w:rPr>
        <w:lastRenderedPageBreak/>
        <w:t>Продовження табл.5</w:t>
      </w:r>
      <w:r>
        <w:rPr>
          <w:rFonts w:ascii="Times New Roman" w:hAnsi="Times New Roman"/>
          <w:i/>
          <w:sz w:val="28"/>
          <w:szCs w:val="28"/>
          <w:lang w:val="uk-UA"/>
        </w:rPr>
        <w:t>.</w:t>
      </w:r>
      <w:r w:rsidR="00CD18DE">
        <w:rPr>
          <w:rFonts w:ascii="Times New Roman" w:hAnsi="Times New Roman"/>
          <w:i/>
          <w:sz w:val="28"/>
          <w:szCs w:val="28"/>
        </w:rPr>
        <w:t>3</w:t>
      </w:r>
      <w:r>
        <w:rPr>
          <w:rFonts w:ascii="Times New Roman" w:hAnsi="Times New Roman"/>
          <w:i/>
          <w:sz w:val="28"/>
          <w:szCs w:val="28"/>
          <w:lang w:val="uk-UA"/>
        </w:rPr>
        <w:t>2</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693"/>
        <w:gridCol w:w="1843"/>
        <w:gridCol w:w="2551"/>
        <w:gridCol w:w="2283"/>
      </w:tblGrid>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Прояви алергії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-7,5</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1,85</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1,72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Пародонтит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1,25</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Кількість вражених карієсом зубів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1,20</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Пародонтит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1,16</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1,16</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у матері </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1,13</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3</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Прояви алергії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1,04</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Прояви алергії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0,82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0,80</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-7,4</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0,69</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Прояви алергії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0,69</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0,53</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0,48</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ЛОР-хвороби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0,48</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tcPr>
          <w:p w:rsidR="000F78D0" w:rsidRPr="001336DC" w:rsidRDefault="000F78D0" w:rsidP="00E03819">
            <w:pPr>
              <w:jc w:val="center"/>
              <w:rPr>
                <w:rFonts w:ascii="Times New Roman" w:hAnsi="Times New Roman"/>
                <w:sz w:val="28"/>
                <w:szCs w:val="28"/>
                <w:lang w:val="uk-UA"/>
              </w:rPr>
            </w:pPr>
          </w:p>
        </w:tc>
      </w:tr>
    </w:tbl>
    <w:p w:rsidR="00C151C8" w:rsidRDefault="00C151C8">
      <w:pPr>
        <w:rPr>
          <w:lang w:val="uk-UA"/>
        </w:rPr>
      </w:pPr>
    </w:p>
    <w:p w:rsidR="00C151C8" w:rsidRDefault="00C151C8">
      <w:pPr>
        <w:rPr>
          <w:lang w:val="uk-UA"/>
        </w:rPr>
      </w:pPr>
    </w:p>
    <w:p w:rsidR="00C151C8" w:rsidRDefault="00C151C8" w:rsidP="00C151C8">
      <w:pPr>
        <w:jc w:val="right"/>
      </w:pPr>
      <w:r w:rsidRPr="002518E6">
        <w:rPr>
          <w:rFonts w:ascii="Times New Roman" w:hAnsi="Times New Roman"/>
          <w:i/>
          <w:sz w:val="28"/>
          <w:szCs w:val="28"/>
          <w:lang w:val="uk-UA"/>
        </w:rPr>
        <w:lastRenderedPageBreak/>
        <w:t>Продовження табл.5</w:t>
      </w:r>
      <w:r w:rsidR="00CD18DE">
        <w:rPr>
          <w:rFonts w:ascii="Times New Roman" w:hAnsi="Times New Roman"/>
          <w:i/>
          <w:sz w:val="28"/>
          <w:szCs w:val="28"/>
          <w:lang w:val="uk-UA"/>
        </w:rPr>
        <w:t>.</w:t>
      </w:r>
      <w:r w:rsidR="00CD18DE">
        <w:rPr>
          <w:rFonts w:ascii="Times New Roman" w:hAnsi="Times New Roman"/>
          <w:i/>
          <w:sz w:val="28"/>
          <w:szCs w:val="28"/>
        </w:rPr>
        <w:t>3</w:t>
      </w:r>
      <w:r>
        <w:rPr>
          <w:rFonts w:ascii="Times New Roman" w:hAnsi="Times New Roman"/>
          <w:i/>
          <w:sz w:val="28"/>
          <w:szCs w:val="28"/>
          <w:lang w:val="uk-UA"/>
        </w:rPr>
        <w:t>2</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693"/>
        <w:gridCol w:w="1843"/>
        <w:gridCol w:w="2551"/>
        <w:gridCol w:w="2283"/>
      </w:tblGrid>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Смерть від соматичної патології до 60 років серед прабатьків </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Злоякісні новоутворення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0,38</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Ендокринні захворювання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ЛОР-патологія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+0,6</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Ураження пародонта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0,17</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0,10</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0,09</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0,08</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Доброякісні новоутворення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-1,4</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0,07</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0,07</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Ендокринна патологія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0,05</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органів дихання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0,05</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Порушення менструальної функції у матері </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0,04</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tcPr>
          <w:p w:rsidR="000F78D0" w:rsidRPr="001336DC" w:rsidRDefault="000F78D0" w:rsidP="00E03819">
            <w:pPr>
              <w:jc w:val="center"/>
              <w:rPr>
                <w:rFonts w:ascii="Times New Roman" w:hAnsi="Times New Roman"/>
                <w:sz w:val="28"/>
                <w:szCs w:val="28"/>
                <w:lang w:val="uk-UA"/>
              </w:rPr>
            </w:pPr>
          </w:p>
        </w:tc>
      </w:tr>
    </w:tbl>
    <w:p w:rsidR="006A163F" w:rsidRDefault="006A163F">
      <w:pPr>
        <w:rPr>
          <w:lang w:val="uk-UA"/>
        </w:rPr>
      </w:pPr>
    </w:p>
    <w:p w:rsidR="006A163F" w:rsidRDefault="006A163F" w:rsidP="006A163F">
      <w:pPr>
        <w:jc w:val="right"/>
      </w:pPr>
      <w:r w:rsidRPr="002518E6">
        <w:rPr>
          <w:rFonts w:ascii="Times New Roman" w:hAnsi="Times New Roman"/>
          <w:i/>
          <w:sz w:val="28"/>
          <w:szCs w:val="28"/>
          <w:lang w:val="uk-UA"/>
        </w:rPr>
        <w:lastRenderedPageBreak/>
        <w:t>Продовження табл.5</w:t>
      </w:r>
      <w:r w:rsidR="00CD18DE">
        <w:rPr>
          <w:rFonts w:ascii="Times New Roman" w:hAnsi="Times New Roman"/>
          <w:i/>
          <w:sz w:val="28"/>
          <w:szCs w:val="28"/>
          <w:lang w:val="uk-UA"/>
        </w:rPr>
        <w:t>.</w:t>
      </w:r>
      <w:r w:rsidR="00CD18DE">
        <w:rPr>
          <w:rFonts w:ascii="Times New Roman" w:hAnsi="Times New Roman"/>
          <w:i/>
          <w:sz w:val="28"/>
          <w:szCs w:val="28"/>
        </w:rPr>
        <w:t>3</w:t>
      </w:r>
      <w:r>
        <w:rPr>
          <w:rFonts w:ascii="Times New Roman" w:hAnsi="Times New Roman"/>
          <w:i/>
          <w:sz w:val="28"/>
          <w:szCs w:val="28"/>
          <w:lang w:val="uk-UA"/>
        </w:rPr>
        <w:t>2</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693"/>
        <w:gridCol w:w="1843"/>
        <w:gridCol w:w="2551"/>
        <w:gridCol w:w="2283"/>
      </w:tblGrid>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Ожиріння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0,04</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Доброякісні новоутворення у праматерів </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0,04</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Смерть від соматичної патології до 60 років серед праматерів </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 xml:space="preserve">Вегето-судинна дистонія у матері </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сечовидільної системи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2283" w:type="dxa"/>
            <w:vMerge w:val="restart"/>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Злоякісні захворювання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val="restart"/>
          </w:tcPr>
          <w:p w:rsidR="000F78D0" w:rsidRPr="001336DC" w:rsidRDefault="000F78D0" w:rsidP="00E03819">
            <w:pPr>
              <w:jc w:val="center"/>
            </w:pPr>
            <w:r w:rsidRPr="001336DC">
              <w:rPr>
                <w:rFonts w:ascii="Times New Roman" w:hAnsi="Times New Roman"/>
                <w:sz w:val="28"/>
                <w:szCs w:val="28"/>
                <w:lang w:val="uk-UA"/>
              </w:rPr>
              <w:t>0,02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val="restart"/>
          </w:tcPr>
          <w:p w:rsidR="000F78D0" w:rsidRPr="001336DC" w:rsidRDefault="000F78D0" w:rsidP="00E03819">
            <w:pPr>
              <w:jc w:val="center"/>
            </w:pPr>
            <w:r w:rsidRPr="001336DC">
              <w:rPr>
                <w:rFonts w:ascii="Times New Roman" w:hAnsi="Times New Roman"/>
                <w:sz w:val="28"/>
                <w:szCs w:val="28"/>
                <w:lang w:val="uk-UA"/>
              </w:rPr>
              <w:t>0,02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Ендокринна патологія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w:t>
            </w:r>
          </w:p>
        </w:tc>
        <w:tc>
          <w:tcPr>
            <w:tcW w:w="2283" w:type="dxa"/>
            <w:vMerge w:val="restart"/>
          </w:tcPr>
          <w:p w:rsidR="000F78D0" w:rsidRPr="001336DC" w:rsidRDefault="000F78D0" w:rsidP="00E03819">
            <w:pPr>
              <w:jc w:val="center"/>
            </w:pPr>
            <w:r w:rsidRPr="001336DC">
              <w:rPr>
                <w:rFonts w:ascii="Times New Roman" w:hAnsi="Times New Roman"/>
                <w:sz w:val="28"/>
                <w:szCs w:val="28"/>
                <w:lang w:val="uk-UA"/>
              </w:rPr>
              <w:t>0,02</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w:t>
            </w:r>
          </w:p>
        </w:tc>
        <w:tc>
          <w:tcPr>
            <w:tcW w:w="2283" w:type="dxa"/>
            <w:vMerge/>
          </w:tcPr>
          <w:p w:rsidR="000F78D0" w:rsidRPr="001336DC" w:rsidRDefault="000F78D0" w:rsidP="00E03819">
            <w:pPr>
              <w:jc w:val="center"/>
              <w:rPr>
                <w:rFonts w:ascii="Times New Roman" w:hAnsi="Times New Roman"/>
                <w:sz w:val="28"/>
                <w:szCs w:val="28"/>
                <w:lang w:val="uk-UA"/>
              </w:rPr>
            </w:pPr>
          </w:p>
        </w:tc>
      </w:tr>
      <w:tr w:rsidR="000F78D0" w:rsidRPr="001336DC" w:rsidTr="00C151C8">
        <w:tc>
          <w:tcPr>
            <w:tcW w:w="534" w:type="dxa"/>
            <w:vMerge w:val="restart"/>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val="restart"/>
          </w:tcPr>
          <w:p w:rsidR="000F78D0" w:rsidRPr="001336DC" w:rsidRDefault="000F78D0" w:rsidP="00C151C8">
            <w:pPr>
              <w:ind w:firstLine="33"/>
              <w:rPr>
                <w:rFonts w:ascii="Times New Roman" w:hAnsi="Times New Roman"/>
                <w:sz w:val="28"/>
                <w:szCs w:val="28"/>
                <w:lang w:val="uk-UA"/>
              </w:rPr>
            </w:pPr>
            <w:r w:rsidRPr="001336DC">
              <w:rPr>
                <w:rFonts w:ascii="Times New Roman" w:hAnsi="Times New Roman"/>
                <w:sz w:val="28"/>
                <w:szCs w:val="28"/>
                <w:lang w:val="uk-UA"/>
              </w:rPr>
              <w:t>Захворювання серцево-судинної системи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2283" w:type="dxa"/>
            <w:vMerge w:val="restart"/>
          </w:tcPr>
          <w:p w:rsidR="000F78D0" w:rsidRPr="001336DC" w:rsidRDefault="000F78D0" w:rsidP="00E03819">
            <w:pPr>
              <w:jc w:val="center"/>
            </w:pPr>
            <w:r w:rsidRPr="001336DC">
              <w:rPr>
                <w:rFonts w:ascii="Times New Roman" w:hAnsi="Times New Roman"/>
                <w:sz w:val="28"/>
                <w:szCs w:val="28"/>
                <w:lang w:val="uk-UA"/>
              </w:rPr>
              <w:t>0,01</w:t>
            </w:r>
          </w:p>
        </w:tc>
      </w:tr>
      <w:tr w:rsidR="000F78D0" w:rsidRPr="001336DC" w:rsidTr="00C151C8">
        <w:tc>
          <w:tcPr>
            <w:tcW w:w="534" w:type="dxa"/>
            <w:vMerge/>
          </w:tcPr>
          <w:p w:rsidR="000F78D0" w:rsidRPr="001336DC" w:rsidRDefault="000F78D0" w:rsidP="00C151C8">
            <w:pPr>
              <w:numPr>
                <w:ilvl w:val="0"/>
                <w:numId w:val="33"/>
              </w:numPr>
              <w:ind w:left="-142" w:firstLine="142"/>
              <w:jc w:val="both"/>
              <w:rPr>
                <w:rFonts w:ascii="Times New Roman" w:hAnsi="Times New Roman"/>
                <w:sz w:val="28"/>
                <w:szCs w:val="28"/>
                <w:lang w:val="uk-UA"/>
              </w:rPr>
            </w:pPr>
          </w:p>
        </w:tc>
        <w:tc>
          <w:tcPr>
            <w:tcW w:w="2693" w:type="dxa"/>
            <w:vMerge/>
          </w:tcPr>
          <w:p w:rsidR="000F78D0" w:rsidRPr="001336DC" w:rsidRDefault="000F78D0" w:rsidP="00C151C8">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2283" w:type="dxa"/>
            <w:vMerge/>
          </w:tcPr>
          <w:p w:rsidR="000F78D0" w:rsidRPr="001336DC" w:rsidRDefault="000F78D0" w:rsidP="00E03819">
            <w:pPr>
              <w:jc w:val="center"/>
              <w:rPr>
                <w:rFonts w:ascii="Times New Roman" w:hAnsi="Times New Roman"/>
                <w:sz w:val="28"/>
                <w:szCs w:val="28"/>
                <w:lang w:val="uk-UA"/>
              </w:rPr>
            </w:pPr>
          </w:p>
        </w:tc>
      </w:tr>
    </w:tbl>
    <w:p w:rsidR="000F78D0" w:rsidRDefault="000F78D0" w:rsidP="00AC605C">
      <w:pPr>
        <w:spacing w:line="360" w:lineRule="auto"/>
        <w:ind w:firstLine="426"/>
        <w:jc w:val="both"/>
        <w:rPr>
          <w:rFonts w:ascii="Times New Roman" w:hAnsi="Times New Roman"/>
          <w:i/>
          <w:sz w:val="28"/>
          <w:szCs w:val="28"/>
          <w:lang w:val="uk-UA"/>
        </w:rPr>
      </w:pP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табл. </w:t>
      </w:r>
      <w:r w:rsidR="00CD18DE">
        <w:rPr>
          <w:rFonts w:ascii="Times New Roman" w:hAnsi="Times New Roman"/>
          <w:sz w:val="28"/>
          <w:szCs w:val="28"/>
          <w:lang w:val="uk-UA"/>
        </w:rPr>
        <w:t>5.</w:t>
      </w:r>
      <w:r w:rsidR="00CD18DE" w:rsidRPr="00CD18DE">
        <w:rPr>
          <w:rFonts w:ascii="Times New Roman" w:hAnsi="Times New Roman"/>
          <w:sz w:val="28"/>
          <w:szCs w:val="28"/>
          <w:lang w:val="uk-UA"/>
        </w:rPr>
        <w:t>3</w:t>
      </w:r>
      <w:r w:rsidRPr="004A2D58">
        <w:rPr>
          <w:rFonts w:ascii="Times New Roman" w:hAnsi="Times New Roman"/>
          <w:sz w:val="28"/>
          <w:szCs w:val="28"/>
          <w:lang w:val="uk-UA"/>
        </w:rPr>
        <w:t>2 витікає</w:t>
      </w:r>
      <w:r>
        <w:rPr>
          <w:rFonts w:ascii="Times New Roman" w:hAnsi="Times New Roman"/>
          <w:sz w:val="28"/>
          <w:szCs w:val="28"/>
          <w:lang w:val="uk-UA"/>
        </w:rPr>
        <w:t>, що високу інформативність виявили: кількість хронічних захворювань у праматерів (І=3,84) і прабатьків (І=3,70), прояви алергії у праматерів (І=1,85), інтенсивність карієсу у матері (І=1,72) і батька (І=1,20), пародонтит у батька (І=1,25) і матері (І=1,16), серцево-судинні захворювання у праматерів (І=1,16), кількість хронічних захворювань у матері (І=1,13) і прояви алергії у матері (І=1,04).</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Помірна прогностична значимість встановлена по відношенню до проявів алергії у батька (І=0,82), інтенсивності карієсу у батька (І=0,80), захворювань кишково-шлункового тракту у матері (І=0,69), алергії у прабатьків (І=0,69) і серцево-судинних захворювань у матері (І=0,53).</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Низькі предикторні властивості виявили серцево-судинні захворювання у прабатьків (І=0,48), ЛОР-захворювання у матері (І=0,48), наявність смерті від соматичної патології до 60-ти років серед прабатьків (І=0,40), злоякісні новоутворення у прабатьків (І=0,38) і ендокринна патологія у матері (І=0,32).</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зі значеннями ПК (табл</w:t>
      </w:r>
      <w:r w:rsidR="00CD18DE">
        <w:rPr>
          <w:rFonts w:ascii="Times New Roman" w:hAnsi="Times New Roman"/>
          <w:sz w:val="28"/>
          <w:szCs w:val="28"/>
          <w:lang w:val="uk-UA"/>
        </w:rPr>
        <w:t>. 5.</w:t>
      </w:r>
      <w:r w:rsidR="00CD18DE" w:rsidRPr="00CD18DE">
        <w:rPr>
          <w:rFonts w:ascii="Times New Roman" w:hAnsi="Times New Roman"/>
          <w:sz w:val="28"/>
          <w:szCs w:val="28"/>
          <w:lang w:val="uk-UA"/>
        </w:rPr>
        <w:t>3</w:t>
      </w:r>
      <w:r w:rsidRPr="004A2D58">
        <w:rPr>
          <w:rFonts w:ascii="Times New Roman" w:hAnsi="Times New Roman"/>
          <w:sz w:val="28"/>
          <w:szCs w:val="28"/>
          <w:lang w:val="uk-UA"/>
        </w:rPr>
        <w:t>2) на</w:t>
      </w:r>
      <w:r>
        <w:rPr>
          <w:rFonts w:ascii="Times New Roman" w:hAnsi="Times New Roman"/>
          <w:sz w:val="28"/>
          <w:szCs w:val="28"/>
          <w:lang w:val="uk-UA"/>
        </w:rPr>
        <w:t xml:space="preserve"> користь сприятливого прогнозу свідчать: кількість хронічних захворювань у праматерів ≤4-х, у прабатьків ≤4-х, у матері ≤1-го, у батька ≤2-х; відсутність проявів алергії у праматерів і прабатьків, у батька і у матері, серцево-судинних захворювань у праматерів і матері, пародонтиту у батька і матері, захворювань шлунково-кишкового тракту у матері, ЛОР-патології у матері, смерті від соматичної патології до 60-ти років серед прабатьків, злоякісних новоутворень у прабатьків та ендокринної патології у матері; кількість каріозних зубів у матері ≤20, у батька ≤10.</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Відносно несприятливий прогноз визначають: кількість хронічних захворювань у праматерів </w:t>
      </w:r>
      <w:r>
        <w:rPr>
          <w:sz w:val="28"/>
          <w:szCs w:val="28"/>
          <w:lang w:val="uk-UA"/>
        </w:rPr>
        <w:t>≥</w:t>
      </w:r>
      <w:r>
        <w:rPr>
          <w:rFonts w:ascii="Times New Roman" w:hAnsi="Times New Roman"/>
          <w:sz w:val="28"/>
          <w:szCs w:val="28"/>
          <w:lang w:val="uk-UA"/>
        </w:rPr>
        <w:t xml:space="preserve">5, у прабатьків </w:t>
      </w:r>
      <w:r>
        <w:rPr>
          <w:sz w:val="28"/>
          <w:szCs w:val="28"/>
          <w:lang w:val="uk-UA"/>
        </w:rPr>
        <w:t>≥</w:t>
      </w:r>
      <w:r>
        <w:rPr>
          <w:rFonts w:ascii="Times New Roman" w:hAnsi="Times New Roman"/>
          <w:sz w:val="28"/>
          <w:szCs w:val="28"/>
          <w:lang w:val="uk-UA"/>
        </w:rPr>
        <w:t xml:space="preserve">5, у матері і батька </w:t>
      </w:r>
      <w:r>
        <w:rPr>
          <w:sz w:val="28"/>
          <w:szCs w:val="28"/>
          <w:lang w:val="uk-UA"/>
        </w:rPr>
        <w:t>≥</w:t>
      </w:r>
      <w:r>
        <w:rPr>
          <w:rFonts w:ascii="Times New Roman" w:hAnsi="Times New Roman"/>
          <w:sz w:val="28"/>
          <w:szCs w:val="28"/>
          <w:lang w:val="uk-UA"/>
        </w:rPr>
        <w:t xml:space="preserve">3-х; наявність проявів алергії у батька, матері, праматерів і прабатьків, серцево-судинних захворювань у матерів і праматерів, пародонтиту у батька і матері, захворювань шлунково-кишкового тракту і ЛОР-патології у матері, смерті від соматичної патології до 60-ти років серед прабатьків, злоякісних новоутворень у прабатьків та ендокринної патології у матері; кількість каріозних зубів у матері та  батька </w:t>
      </w:r>
      <w:r>
        <w:rPr>
          <w:sz w:val="28"/>
          <w:szCs w:val="28"/>
          <w:lang w:val="uk-UA"/>
        </w:rPr>
        <w:t>≥</w:t>
      </w:r>
      <w:r>
        <w:rPr>
          <w:rFonts w:ascii="Times New Roman" w:hAnsi="Times New Roman"/>
          <w:sz w:val="28"/>
          <w:szCs w:val="28"/>
          <w:lang w:val="uk-UA"/>
        </w:rPr>
        <w:t xml:space="preserve">21. </w:t>
      </w:r>
    </w:p>
    <w:p w:rsidR="000F78D0" w:rsidRPr="004A2D58"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Комплексна оцінка прогностичної інформативності даних акушерського анамнезу і спадкового фактора показала (</w:t>
      </w:r>
      <w:r w:rsidR="00CD18DE">
        <w:rPr>
          <w:rFonts w:ascii="Times New Roman" w:hAnsi="Times New Roman"/>
          <w:sz w:val="28"/>
          <w:szCs w:val="28"/>
          <w:lang w:val="uk-UA"/>
        </w:rPr>
        <w:t>рис. 5.</w:t>
      </w:r>
      <w:r w:rsidR="00CD18DE" w:rsidRPr="00CD18DE">
        <w:rPr>
          <w:rFonts w:ascii="Times New Roman" w:hAnsi="Times New Roman"/>
          <w:sz w:val="28"/>
          <w:szCs w:val="28"/>
          <w:lang w:val="ru-RU"/>
        </w:rPr>
        <w:t>10</w:t>
      </w:r>
      <w:r w:rsidRPr="004A2D58">
        <w:rPr>
          <w:rFonts w:ascii="Times New Roman" w:hAnsi="Times New Roman"/>
          <w:sz w:val="28"/>
          <w:szCs w:val="28"/>
          <w:lang w:val="uk-UA"/>
        </w:rPr>
        <w:t>), що вона була високою для спадковості (І=1,32) і помірною (І=0,53) для акушерського анамнезу.</w:t>
      </w:r>
    </w:p>
    <w:p w:rsidR="000F78D0" w:rsidRDefault="000F78D0" w:rsidP="00472525">
      <w:pPr>
        <w:spacing w:line="360" w:lineRule="auto"/>
        <w:ind w:firstLine="709"/>
        <w:jc w:val="both"/>
        <w:rPr>
          <w:rFonts w:ascii="Times New Roman" w:hAnsi="Times New Roman"/>
          <w:sz w:val="28"/>
          <w:szCs w:val="28"/>
          <w:lang w:val="uk-UA"/>
        </w:rPr>
      </w:pPr>
      <w:r w:rsidRPr="004A2D58">
        <w:rPr>
          <w:rFonts w:ascii="Times New Roman" w:hAnsi="Times New Roman"/>
          <w:sz w:val="28"/>
          <w:szCs w:val="28"/>
          <w:lang w:val="uk-UA"/>
        </w:rPr>
        <w:t>Серед показників а</w:t>
      </w:r>
      <w:r w:rsidR="00CD18DE">
        <w:rPr>
          <w:rFonts w:ascii="Times New Roman" w:hAnsi="Times New Roman"/>
          <w:sz w:val="28"/>
          <w:szCs w:val="28"/>
          <w:lang w:val="uk-UA"/>
        </w:rPr>
        <w:t>намнезу життя хворих (табл. 5.</w:t>
      </w:r>
      <w:r w:rsidR="00CD18DE" w:rsidRPr="00CD18DE">
        <w:rPr>
          <w:rFonts w:ascii="Times New Roman" w:hAnsi="Times New Roman"/>
          <w:sz w:val="28"/>
          <w:szCs w:val="28"/>
          <w:lang w:val="ru-RU"/>
        </w:rPr>
        <w:t>3</w:t>
      </w:r>
      <w:r w:rsidRPr="004A2D58">
        <w:rPr>
          <w:rFonts w:ascii="Times New Roman" w:hAnsi="Times New Roman"/>
          <w:sz w:val="28"/>
          <w:szCs w:val="28"/>
          <w:lang w:val="uk-UA"/>
        </w:rPr>
        <w:t>3) високу</w:t>
      </w:r>
      <w:r>
        <w:rPr>
          <w:rFonts w:ascii="Times New Roman" w:hAnsi="Times New Roman"/>
          <w:sz w:val="28"/>
          <w:szCs w:val="28"/>
          <w:lang w:val="uk-UA"/>
        </w:rPr>
        <w:t xml:space="preserve"> інформативність виявили  тривалість грудного вигодовування (І=2,54), прояви алергії (І=1,48) і перенесені дитячі інфекції (І=1,02).</w:t>
      </w:r>
    </w:p>
    <w:p w:rsidR="000F78D0" w:rsidRDefault="000F78D0"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Ознак з помірною прогностичною значимістю не виявлено , а низькі предикторські властивості були характерні для ЛОР-патології (І=0,40), частих ГРВІ (І=0,38), наявності грудного вигодовування (І=0,36) і ендокринних захворювань (І=0,29).</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524500" cy="3276600"/>
            <wp:effectExtent l="0" t="0" r="0" b="0"/>
            <wp:docPr id="4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F78D0" w:rsidRPr="004A2D58" w:rsidRDefault="00CD18DE" w:rsidP="004725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10</w:t>
      </w:r>
      <w:r w:rsidR="000F78D0" w:rsidRPr="004A2D58">
        <w:rPr>
          <w:rFonts w:ascii="Times New Roman" w:hAnsi="Times New Roman"/>
          <w:sz w:val="28"/>
          <w:szCs w:val="28"/>
          <w:lang w:val="uk-UA"/>
        </w:rPr>
        <w:t xml:space="preserve">. Комплексна оцінка прогностичної значимості акушерського анамнезу і спадкового фактора. </w:t>
      </w:r>
    </w:p>
    <w:p w:rsidR="000F78D0" w:rsidRPr="004A2D58" w:rsidRDefault="000F78D0" w:rsidP="00AC605C">
      <w:pPr>
        <w:spacing w:line="360" w:lineRule="auto"/>
        <w:ind w:firstLine="426"/>
        <w:jc w:val="both"/>
        <w:rPr>
          <w:rFonts w:ascii="Times New Roman" w:hAnsi="Times New Roman"/>
          <w:sz w:val="28"/>
          <w:szCs w:val="28"/>
          <w:lang w:val="uk-UA"/>
        </w:rPr>
      </w:pPr>
    </w:p>
    <w:p w:rsidR="000F78D0" w:rsidRPr="004A2D58" w:rsidRDefault="000F78D0" w:rsidP="00AC605C">
      <w:pPr>
        <w:spacing w:line="360" w:lineRule="auto"/>
        <w:ind w:firstLine="426"/>
        <w:jc w:val="right"/>
        <w:rPr>
          <w:rFonts w:ascii="Times New Roman" w:hAnsi="Times New Roman"/>
          <w:i/>
          <w:sz w:val="28"/>
          <w:szCs w:val="28"/>
          <w:lang w:val="uk-UA"/>
        </w:rPr>
      </w:pPr>
      <w:r w:rsidRPr="004A2D58">
        <w:rPr>
          <w:rFonts w:ascii="Times New Roman" w:hAnsi="Times New Roman"/>
          <w:i/>
          <w:sz w:val="28"/>
          <w:szCs w:val="28"/>
          <w:lang w:val="uk-UA"/>
        </w:rPr>
        <w:t>Таблиця</w:t>
      </w:r>
      <w:r w:rsidRPr="004A2D58">
        <w:rPr>
          <w:rFonts w:ascii="Times New Roman" w:hAnsi="Times New Roman"/>
          <w:sz w:val="28"/>
          <w:szCs w:val="28"/>
          <w:lang w:val="uk-UA"/>
        </w:rPr>
        <w:t xml:space="preserve"> </w:t>
      </w:r>
      <w:r w:rsidR="00CD18DE">
        <w:rPr>
          <w:rFonts w:ascii="Times New Roman" w:hAnsi="Times New Roman"/>
          <w:i/>
          <w:sz w:val="28"/>
          <w:szCs w:val="28"/>
          <w:lang w:val="uk-UA"/>
        </w:rPr>
        <w:t>5.</w:t>
      </w:r>
      <w:r w:rsidR="00CD18DE" w:rsidRPr="00BD4FE3">
        <w:rPr>
          <w:rFonts w:ascii="Times New Roman" w:hAnsi="Times New Roman"/>
          <w:i/>
          <w:sz w:val="28"/>
          <w:szCs w:val="28"/>
          <w:lang w:val="ru-RU"/>
        </w:rPr>
        <w:t>3</w:t>
      </w:r>
      <w:r w:rsidRPr="004A2D58">
        <w:rPr>
          <w:rFonts w:ascii="Times New Roman" w:hAnsi="Times New Roman"/>
          <w:i/>
          <w:sz w:val="28"/>
          <w:szCs w:val="28"/>
          <w:lang w:val="uk-UA"/>
        </w:rPr>
        <w:t>3</w:t>
      </w:r>
    </w:p>
    <w:p w:rsidR="000F78D0" w:rsidRDefault="000F78D0" w:rsidP="00AC605C">
      <w:pPr>
        <w:spacing w:line="360" w:lineRule="auto"/>
        <w:ind w:firstLine="426"/>
        <w:jc w:val="center"/>
        <w:rPr>
          <w:rFonts w:ascii="Times New Roman" w:hAnsi="Times New Roman"/>
          <w:sz w:val="28"/>
          <w:szCs w:val="28"/>
          <w:lang w:val="uk-UA"/>
        </w:rPr>
      </w:pPr>
      <w:r w:rsidRPr="004A2D58">
        <w:rPr>
          <w:rFonts w:ascii="Times New Roman" w:hAnsi="Times New Roman"/>
          <w:sz w:val="28"/>
          <w:szCs w:val="28"/>
          <w:lang w:val="uk-UA"/>
        </w:rPr>
        <w:t>Прогностична значимість даних анамнезу життя.</w:t>
      </w:r>
    </w:p>
    <w:tbl>
      <w:tblPr>
        <w:tblW w:w="10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845"/>
        <w:gridCol w:w="1781"/>
        <w:gridCol w:w="2572"/>
        <w:gridCol w:w="2314"/>
      </w:tblGrid>
      <w:tr w:rsidR="000F78D0" w:rsidRPr="001336DC" w:rsidTr="00633A7E">
        <w:tc>
          <w:tcPr>
            <w:tcW w:w="6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633A7E">
            <w:pPr>
              <w:ind w:left="142"/>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Тривалість грудного вигодовування, міс.</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-5,6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2,51</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6,1-9,0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≥9,1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+7,8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ind w:left="142"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 xml:space="preserve">Прояви алергії у дитячому віці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-4,2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1,48</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ind w:left="142"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 xml:space="preserve">Перенесені дитячі інфекції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1,02</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ind w:left="142"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 xml:space="preserve">ЛОР-захворювання в дитячому віці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ind w:left="142"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 xml:space="preserve">Часті ГРВІ в дитячому віці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0,38</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ind w:left="142"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 xml:space="preserve">Грудне вигодовування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0,36</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r w:rsidR="000F78D0" w:rsidRPr="001336DC" w:rsidTr="00633A7E">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33A7E">
            <w:pPr>
              <w:numPr>
                <w:ilvl w:val="0"/>
                <w:numId w:val="40"/>
              </w:numPr>
              <w:ind w:left="142"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AC605C">
            <w:pPr>
              <w:ind w:firstLine="426"/>
              <w:rPr>
                <w:rFonts w:ascii="Times New Roman" w:hAnsi="Times New Roman"/>
                <w:sz w:val="28"/>
                <w:szCs w:val="28"/>
                <w:lang w:val="uk-UA"/>
              </w:rPr>
            </w:pPr>
            <w:r w:rsidRPr="001336DC">
              <w:rPr>
                <w:rFonts w:ascii="Times New Roman" w:hAnsi="Times New Roman"/>
                <w:sz w:val="28"/>
                <w:szCs w:val="28"/>
                <w:lang w:val="uk-UA"/>
              </w:rPr>
              <w:t>Ендокринні захворювання в дитячому віці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0,29</w:t>
            </w:r>
          </w:p>
        </w:tc>
      </w:tr>
      <w:tr w:rsidR="000F78D0" w:rsidRPr="001336DC" w:rsidTr="00633A7E">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33A7E">
            <w:pPr>
              <w:ind w:left="142"/>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AC605C">
            <w:pPr>
              <w:ind w:firstLine="426"/>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26"/>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26"/>
              <w:jc w:val="center"/>
              <w:rPr>
                <w:rFonts w:ascii="Times New Roman" w:hAnsi="Times New Roman"/>
                <w:sz w:val="28"/>
                <w:szCs w:val="28"/>
                <w:lang w:val="uk-UA"/>
              </w:rPr>
            </w:pPr>
          </w:p>
        </w:tc>
      </w:tr>
    </w:tbl>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Предикторами сприятливого прогнозу виявилися відсутність  в дитячому віці проявів алергії, ЛОР-патології, дитячих інфекцій, частих ГРВІ, ендокринних захворювань, а також наявність грудного вигодовування і його тривалість </w:t>
      </w:r>
      <w:r>
        <w:rPr>
          <w:sz w:val="28"/>
          <w:szCs w:val="28"/>
          <w:lang w:val="uk-UA"/>
        </w:rPr>
        <w:t>≥</w:t>
      </w:r>
      <w:r>
        <w:rPr>
          <w:rFonts w:ascii="Times New Roman" w:hAnsi="Times New Roman"/>
          <w:sz w:val="28"/>
          <w:szCs w:val="28"/>
          <w:lang w:val="uk-UA"/>
        </w:rPr>
        <w:t>9,1 міс.</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користь відносно несприятливого прогнозу свідчать наявність в дитячому віці проявів  алергії, ЛОР-патології, дитячих інфекцій, частих ГРВІ, ендокринних захворювань, відсутність грудного вигодовування або незначна його тривалість (</w:t>
      </w:r>
      <w:r>
        <w:rPr>
          <w:sz w:val="28"/>
          <w:szCs w:val="28"/>
          <w:lang w:val="uk-UA"/>
        </w:rPr>
        <w:t>≤6,0</w:t>
      </w:r>
      <w:r>
        <w:rPr>
          <w:rFonts w:ascii="Times New Roman" w:hAnsi="Times New Roman"/>
          <w:sz w:val="28"/>
          <w:szCs w:val="28"/>
          <w:lang w:val="uk-UA"/>
        </w:rPr>
        <w:t xml:space="preserve"> міс.).</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комплексній оцінці прогностичної значимості даних анамнезу життя встановлено </w:t>
      </w:r>
      <w:r w:rsidR="00CD18DE">
        <w:rPr>
          <w:rFonts w:ascii="Times New Roman" w:hAnsi="Times New Roman"/>
          <w:sz w:val="28"/>
          <w:szCs w:val="28"/>
          <w:lang w:val="uk-UA"/>
        </w:rPr>
        <w:t>(рис.5.</w:t>
      </w:r>
      <w:r w:rsidR="00CD18DE" w:rsidRPr="00CD18DE">
        <w:rPr>
          <w:rFonts w:ascii="Times New Roman" w:hAnsi="Times New Roman"/>
          <w:sz w:val="28"/>
          <w:szCs w:val="28"/>
          <w:lang w:val="ru-RU"/>
        </w:rPr>
        <w:t>11</w:t>
      </w:r>
      <w:r w:rsidRPr="004A2D58">
        <w:rPr>
          <w:rFonts w:ascii="Times New Roman" w:hAnsi="Times New Roman"/>
          <w:sz w:val="28"/>
          <w:szCs w:val="28"/>
          <w:lang w:val="uk-UA"/>
        </w:rPr>
        <w:t>), що вона наближується до високої (І=0,92) і поступається такій спадкового фактора в 1,4 раза і перевищує дані акушерського анамнезу в 1,7 раза.</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619750" cy="3238500"/>
            <wp:effectExtent l="0" t="0" r="0" b="0"/>
            <wp:docPr id="44" name="Объект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F78D0" w:rsidRPr="004A2D58" w:rsidRDefault="00CD18DE"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CD18DE">
        <w:rPr>
          <w:rFonts w:ascii="Times New Roman" w:hAnsi="Times New Roman"/>
          <w:sz w:val="28"/>
          <w:szCs w:val="28"/>
          <w:lang w:val="uk-UA"/>
        </w:rPr>
        <w:t>11.</w:t>
      </w:r>
      <w:r w:rsidR="000F78D0" w:rsidRPr="004A2D58">
        <w:rPr>
          <w:rFonts w:ascii="Times New Roman" w:hAnsi="Times New Roman"/>
          <w:sz w:val="28"/>
          <w:szCs w:val="28"/>
          <w:lang w:val="uk-UA"/>
        </w:rPr>
        <w:t xml:space="preserve"> Комплексна оцінка прогностичної цінності даних анамнезу життя та інших видів обстеження хворих. </w:t>
      </w:r>
    </w:p>
    <w:p w:rsidR="000F78D0"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sidRPr="004A2D58">
        <w:rPr>
          <w:rFonts w:ascii="Times New Roman" w:hAnsi="Times New Roman"/>
          <w:sz w:val="28"/>
          <w:szCs w:val="28"/>
          <w:lang w:val="uk-UA"/>
        </w:rPr>
        <w:t>Що стосується показників, що характеризують спо</w:t>
      </w:r>
      <w:r w:rsidR="00CD18DE">
        <w:rPr>
          <w:rFonts w:ascii="Times New Roman" w:hAnsi="Times New Roman"/>
          <w:sz w:val="28"/>
          <w:szCs w:val="28"/>
          <w:lang w:val="uk-UA"/>
        </w:rPr>
        <w:t>сіб життя підлітків (табл. 5.</w:t>
      </w:r>
      <w:r w:rsidR="00CD18DE" w:rsidRPr="00CD18DE">
        <w:rPr>
          <w:rFonts w:ascii="Times New Roman" w:hAnsi="Times New Roman"/>
          <w:sz w:val="28"/>
          <w:szCs w:val="28"/>
          <w:lang w:val="ru-RU"/>
        </w:rPr>
        <w:t>34</w:t>
      </w:r>
      <w:r w:rsidRPr="004A2D58">
        <w:rPr>
          <w:rFonts w:ascii="Times New Roman" w:hAnsi="Times New Roman"/>
          <w:sz w:val="28"/>
          <w:szCs w:val="28"/>
          <w:lang w:val="uk-UA"/>
        </w:rPr>
        <w:t>), то висока інформативність встановлена по відношенню до дієтичного режиму (І=1,16). Помірна прогностична значимість характерна для зловживання</w:t>
      </w:r>
      <w:r>
        <w:rPr>
          <w:rFonts w:ascii="Times New Roman" w:hAnsi="Times New Roman"/>
          <w:sz w:val="28"/>
          <w:szCs w:val="28"/>
          <w:lang w:val="uk-UA"/>
        </w:rPr>
        <w:t xml:space="preserve"> солодощами, фастфудом (І=0,96), підвищеного учбового </w:t>
      </w:r>
    </w:p>
    <w:p w:rsidR="000F78D0" w:rsidRDefault="000F78D0" w:rsidP="00AC605C">
      <w:pPr>
        <w:spacing w:line="360" w:lineRule="auto"/>
        <w:ind w:firstLine="426"/>
        <w:jc w:val="right"/>
        <w:rPr>
          <w:rFonts w:ascii="Times New Roman" w:hAnsi="Times New Roman"/>
          <w:sz w:val="28"/>
          <w:szCs w:val="28"/>
          <w:lang w:val="uk-UA"/>
        </w:rPr>
      </w:pPr>
      <w:r w:rsidRPr="004A2D58">
        <w:rPr>
          <w:rFonts w:ascii="Times New Roman" w:hAnsi="Times New Roman"/>
          <w:i/>
          <w:sz w:val="28"/>
          <w:szCs w:val="28"/>
          <w:lang w:val="uk-UA"/>
        </w:rPr>
        <w:lastRenderedPageBreak/>
        <w:t>Таблиця</w:t>
      </w:r>
      <w:r w:rsidRPr="004A2D58">
        <w:rPr>
          <w:rFonts w:ascii="Times New Roman" w:hAnsi="Times New Roman"/>
          <w:sz w:val="28"/>
          <w:szCs w:val="28"/>
          <w:lang w:val="uk-UA"/>
        </w:rPr>
        <w:t xml:space="preserve"> </w:t>
      </w:r>
      <w:r w:rsidR="00CD18DE">
        <w:rPr>
          <w:rFonts w:ascii="Times New Roman" w:hAnsi="Times New Roman"/>
          <w:i/>
          <w:sz w:val="28"/>
          <w:szCs w:val="28"/>
          <w:lang w:val="uk-UA"/>
        </w:rPr>
        <w:t>5.</w:t>
      </w:r>
      <w:r w:rsidR="00CD18DE" w:rsidRPr="00BD4FE3">
        <w:rPr>
          <w:rFonts w:ascii="Times New Roman" w:hAnsi="Times New Roman"/>
          <w:i/>
          <w:sz w:val="28"/>
          <w:szCs w:val="28"/>
          <w:lang w:val="ru-RU"/>
        </w:rPr>
        <w:t>3</w:t>
      </w:r>
      <w:r w:rsidRPr="004A2D58">
        <w:rPr>
          <w:rFonts w:ascii="Times New Roman" w:hAnsi="Times New Roman"/>
          <w:i/>
          <w:sz w:val="28"/>
          <w:szCs w:val="28"/>
          <w:lang w:val="uk-UA"/>
        </w:rPr>
        <w:t>4</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показників способу життя підлітків</w:t>
      </w:r>
    </w:p>
    <w:tbl>
      <w:tblPr>
        <w:tblW w:w="100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901"/>
        <w:gridCol w:w="1719"/>
        <w:gridCol w:w="2456"/>
        <w:gridCol w:w="2293"/>
      </w:tblGrid>
      <w:tr w:rsidR="000F78D0" w:rsidRPr="001336DC" w:rsidTr="006A163F">
        <w:tc>
          <w:tcPr>
            <w:tcW w:w="6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Дієтичний режим</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1,16</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Зловживання солодощами, фастфудом</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0,96</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Підвищені учбові навантаження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0,81</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Фізичні перевантаження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0,81</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Малорухомий спосіб життя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0,78</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Тривалість перебування на  свіжому повітрі, год.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0,74</w:t>
            </w:r>
          </w:p>
        </w:tc>
      </w:tr>
      <w:tr w:rsidR="000F78D0" w:rsidRPr="001336DC" w:rsidTr="006A163F">
        <w:tc>
          <w:tcPr>
            <w:tcW w:w="675" w:type="dxa"/>
            <w:vMerge/>
            <w:tcBorders>
              <w:left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left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tcBorders>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Тютюнопаління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0,64</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Переважання в дієті жирних і гострих страв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Пережовування їжі на одному боці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0,15</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Несприятливе психологічне оточення в родині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0,13</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Конфлікти в колективі або родині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0,11</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Травматичне чищення зубів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0,10</w:t>
            </w:r>
          </w:p>
        </w:tc>
      </w:tr>
      <w:tr w:rsidR="000F78D0" w:rsidRPr="001336DC" w:rsidTr="006A163F">
        <w:trPr>
          <w:trHeight w:val="421"/>
        </w:trPr>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0" w:type="auto"/>
            <w:tcBorders>
              <w:top w:val="single" w:sz="4" w:space="0" w:color="auto"/>
              <w:left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Невдала або нещаслива любов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0,09</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Тривалі психотравмуючі ситуації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0,08</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4"/>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М’яка їжа в раціоні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-0,7</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46"/>
              <w:jc w:val="center"/>
              <w:rPr>
                <w:rFonts w:ascii="Times New Roman" w:hAnsi="Times New Roman"/>
                <w:sz w:val="28"/>
                <w:szCs w:val="28"/>
                <w:lang w:val="uk-UA"/>
              </w:rPr>
            </w:pPr>
            <w:r w:rsidRPr="001336DC">
              <w:rPr>
                <w:rFonts w:ascii="Times New Roman" w:hAnsi="Times New Roman"/>
                <w:sz w:val="28"/>
                <w:szCs w:val="28"/>
                <w:lang w:val="uk-UA"/>
              </w:rPr>
              <w:t>0,04</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46"/>
              <w:jc w:val="center"/>
              <w:rPr>
                <w:rFonts w:ascii="Times New Roman" w:hAnsi="Times New Roman"/>
                <w:sz w:val="28"/>
                <w:szCs w:val="28"/>
                <w:lang w:val="uk-UA"/>
              </w:rPr>
            </w:pPr>
          </w:p>
        </w:tc>
      </w:tr>
    </w:tbl>
    <w:p w:rsidR="006A163F" w:rsidRDefault="006A163F" w:rsidP="006A163F">
      <w:pPr>
        <w:spacing w:line="360" w:lineRule="auto"/>
        <w:jc w:val="both"/>
        <w:rPr>
          <w:rFonts w:ascii="Times New Roman" w:hAnsi="Times New Roman"/>
          <w:sz w:val="28"/>
          <w:szCs w:val="28"/>
          <w:lang w:val="uk-UA"/>
        </w:rPr>
      </w:pPr>
    </w:p>
    <w:p w:rsidR="000F78D0" w:rsidRDefault="000F78D0" w:rsidP="006A163F">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або фізичного навантаження (І=0,81), малорухомого способу життя (І=0,78), тривалості перебування на відкритому повітрі (І=0,74) і тютюнопаління (І=0,64), а низькі предикторські властивості виявлені по відношенню до переважання в дієті жирних і гострих страв (І=0,40).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зі значеннями ПК (табл. </w:t>
      </w:r>
      <w:r w:rsidR="00CD18DE">
        <w:rPr>
          <w:rFonts w:ascii="Times New Roman" w:hAnsi="Times New Roman"/>
          <w:sz w:val="28"/>
          <w:szCs w:val="28"/>
          <w:lang w:val="uk-UA"/>
        </w:rPr>
        <w:t>5.</w:t>
      </w:r>
      <w:r w:rsidR="00CD18DE" w:rsidRPr="00CD18DE">
        <w:rPr>
          <w:rFonts w:ascii="Times New Roman" w:hAnsi="Times New Roman"/>
          <w:sz w:val="28"/>
          <w:szCs w:val="28"/>
          <w:lang w:val="uk-UA"/>
        </w:rPr>
        <w:t>3</w:t>
      </w:r>
      <w:r w:rsidRPr="004A2D58">
        <w:rPr>
          <w:rFonts w:ascii="Times New Roman" w:hAnsi="Times New Roman"/>
          <w:sz w:val="28"/>
          <w:szCs w:val="28"/>
          <w:lang w:val="uk-UA"/>
        </w:rPr>
        <w:t>4)</w:t>
      </w:r>
      <w:r>
        <w:rPr>
          <w:rFonts w:ascii="Times New Roman" w:hAnsi="Times New Roman"/>
          <w:sz w:val="28"/>
          <w:szCs w:val="28"/>
          <w:lang w:val="uk-UA"/>
        </w:rPr>
        <w:t xml:space="preserve"> сприятливий прогноз формують: невикористання підлітком дієтичного режиму; відсутність підвищеного учбового і фізичного навантаження, малорухомого способу життя, тютюнопаління, переважання в дієті жирних і гострих став і перебування на відкритому повітрі </w:t>
      </w:r>
      <w:r>
        <w:rPr>
          <w:sz w:val="28"/>
          <w:szCs w:val="28"/>
          <w:lang w:val="uk-UA"/>
        </w:rPr>
        <w:t>≥</w:t>
      </w:r>
      <w:r>
        <w:rPr>
          <w:rFonts w:ascii="Times New Roman" w:hAnsi="Times New Roman"/>
          <w:sz w:val="28"/>
          <w:szCs w:val="28"/>
          <w:lang w:val="uk-UA"/>
        </w:rPr>
        <w:t>3-х годин на добу.</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Предикторами відносно несприятливого прогнозу стали: наявність дієтичного режиму, зловживання солодощами, фастфудом, підвищеного учбового навантаження, фізичних перевантажень, малорухомого способу життя і тютбнопаління, а також нетривале (≤2-х годин) перебування на відкритому повітрі.</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цілому (</w:t>
      </w:r>
      <w:r w:rsidR="00CD18DE">
        <w:rPr>
          <w:rFonts w:ascii="Times New Roman" w:hAnsi="Times New Roman"/>
          <w:sz w:val="28"/>
          <w:szCs w:val="28"/>
          <w:lang w:val="uk-UA"/>
        </w:rPr>
        <w:t>рис. 5.</w:t>
      </w:r>
      <w:r w:rsidR="00CD18DE" w:rsidRPr="00CD18DE">
        <w:rPr>
          <w:rFonts w:ascii="Times New Roman" w:hAnsi="Times New Roman"/>
          <w:sz w:val="28"/>
          <w:szCs w:val="28"/>
          <w:lang w:val="ru-RU"/>
        </w:rPr>
        <w:t>12</w:t>
      </w:r>
      <w:r w:rsidRPr="004A2D58">
        <w:rPr>
          <w:rFonts w:ascii="Times New Roman" w:hAnsi="Times New Roman"/>
          <w:sz w:val="28"/>
          <w:szCs w:val="28"/>
          <w:lang w:val="uk-UA"/>
        </w:rPr>
        <w:t>)</w:t>
      </w:r>
      <w:r>
        <w:rPr>
          <w:rFonts w:ascii="Times New Roman" w:hAnsi="Times New Roman"/>
          <w:sz w:val="28"/>
          <w:szCs w:val="28"/>
          <w:lang w:val="uk-UA"/>
        </w:rPr>
        <w:t xml:space="preserve"> прогностична інформативність способу життя підлітків (І=0,90) виявилася  співставимою з такою анамнезу життя (І=0,92).</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600700" cy="3238500"/>
            <wp:effectExtent l="0" t="0" r="0" b="0"/>
            <wp:docPr id="43" name="Объект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F78D0" w:rsidRPr="004A2D58" w:rsidRDefault="00CD18DE"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uk-UA"/>
        </w:rPr>
        <w:t>12</w:t>
      </w:r>
      <w:r w:rsidR="000F78D0" w:rsidRPr="004A2D58">
        <w:rPr>
          <w:rFonts w:ascii="Times New Roman" w:hAnsi="Times New Roman"/>
          <w:sz w:val="28"/>
          <w:szCs w:val="28"/>
          <w:lang w:val="uk-UA"/>
        </w:rPr>
        <w:t xml:space="preserve">. Комплексна оцінка прогностичної значимості показників способу життя підлітків та інших видів обстеження хворих. </w:t>
      </w:r>
    </w:p>
    <w:p w:rsidR="000F78D0" w:rsidRDefault="000F78D0" w:rsidP="00633A7E">
      <w:pPr>
        <w:spacing w:line="360" w:lineRule="auto"/>
        <w:ind w:firstLine="709"/>
        <w:jc w:val="both"/>
        <w:rPr>
          <w:rFonts w:ascii="Times New Roman" w:hAnsi="Times New Roman"/>
          <w:sz w:val="28"/>
          <w:szCs w:val="28"/>
          <w:lang w:val="uk-UA"/>
        </w:rPr>
      </w:pPr>
      <w:r w:rsidRPr="004A2D58">
        <w:rPr>
          <w:rFonts w:ascii="Times New Roman" w:hAnsi="Times New Roman"/>
          <w:sz w:val="28"/>
          <w:szCs w:val="28"/>
          <w:lang w:val="uk-UA"/>
        </w:rPr>
        <w:t>Прогностичні властивості стану здоров’я</w:t>
      </w:r>
      <w:r w:rsidR="00CD18DE">
        <w:rPr>
          <w:rFonts w:ascii="Times New Roman" w:hAnsi="Times New Roman"/>
          <w:sz w:val="28"/>
          <w:szCs w:val="28"/>
          <w:lang w:val="uk-UA"/>
        </w:rPr>
        <w:t xml:space="preserve"> підлітків наведені в табл. 5.</w:t>
      </w:r>
      <w:r w:rsidR="00CD18DE">
        <w:rPr>
          <w:rFonts w:ascii="Times New Roman" w:hAnsi="Times New Roman"/>
          <w:sz w:val="28"/>
          <w:szCs w:val="28"/>
        </w:rPr>
        <w:t>3</w:t>
      </w:r>
      <w:r w:rsidRPr="004A2D58">
        <w:rPr>
          <w:rFonts w:ascii="Times New Roman" w:hAnsi="Times New Roman"/>
          <w:sz w:val="28"/>
          <w:szCs w:val="28"/>
          <w:lang w:val="uk-UA"/>
        </w:rPr>
        <w:t>5.</w:t>
      </w:r>
    </w:p>
    <w:p w:rsidR="000F78D0" w:rsidRDefault="000F78D0" w:rsidP="00AC605C">
      <w:pPr>
        <w:spacing w:line="360" w:lineRule="auto"/>
        <w:ind w:firstLine="426"/>
        <w:jc w:val="right"/>
        <w:rPr>
          <w:rFonts w:ascii="Times New Roman" w:hAnsi="Times New Roman"/>
          <w:sz w:val="28"/>
          <w:szCs w:val="28"/>
          <w:lang w:val="uk-UA"/>
        </w:rPr>
      </w:pPr>
      <w:r w:rsidRPr="00F35F74">
        <w:rPr>
          <w:rFonts w:ascii="Times New Roman" w:hAnsi="Times New Roman"/>
          <w:i/>
          <w:sz w:val="28"/>
          <w:szCs w:val="28"/>
          <w:lang w:val="uk-UA"/>
        </w:rPr>
        <w:lastRenderedPageBreak/>
        <w:t>Таблиця</w:t>
      </w:r>
      <w:r>
        <w:rPr>
          <w:rFonts w:ascii="Times New Roman" w:hAnsi="Times New Roman"/>
          <w:sz w:val="28"/>
          <w:szCs w:val="28"/>
          <w:lang w:val="uk-UA"/>
        </w:rPr>
        <w:t xml:space="preserve"> </w:t>
      </w:r>
      <w:r w:rsidR="00CD18DE">
        <w:rPr>
          <w:rFonts w:ascii="Times New Roman" w:hAnsi="Times New Roman"/>
          <w:i/>
          <w:sz w:val="28"/>
          <w:szCs w:val="28"/>
          <w:lang w:val="uk-UA"/>
        </w:rPr>
        <w:t>5.</w:t>
      </w:r>
      <w:r w:rsidR="00CD18DE">
        <w:rPr>
          <w:rFonts w:ascii="Times New Roman" w:hAnsi="Times New Roman"/>
          <w:i/>
          <w:sz w:val="28"/>
          <w:szCs w:val="28"/>
        </w:rPr>
        <w:t>3</w:t>
      </w:r>
      <w:r w:rsidRPr="004A2D58">
        <w:rPr>
          <w:rFonts w:ascii="Times New Roman" w:hAnsi="Times New Roman"/>
          <w:i/>
          <w:sz w:val="28"/>
          <w:szCs w:val="28"/>
          <w:lang w:val="uk-UA"/>
        </w:rPr>
        <w:t>5</w:t>
      </w:r>
    </w:p>
    <w:p w:rsidR="000F78D0" w:rsidRPr="004A2D58" w:rsidRDefault="000F78D0" w:rsidP="00AC605C">
      <w:pPr>
        <w:spacing w:line="360" w:lineRule="auto"/>
        <w:ind w:firstLine="426"/>
        <w:jc w:val="center"/>
        <w:rPr>
          <w:rFonts w:ascii="Times New Roman" w:hAnsi="Times New Roman"/>
          <w:sz w:val="28"/>
          <w:szCs w:val="28"/>
          <w:lang w:val="uk-UA"/>
        </w:rPr>
      </w:pPr>
      <w:r w:rsidRPr="004A2D58">
        <w:rPr>
          <w:rFonts w:ascii="Times New Roman" w:hAnsi="Times New Roman"/>
          <w:sz w:val="28"/>
          <w:szCs w:val="28"/>
          <w:lang w:val="uk-UA"/>
        </w:rPr>
        <w:t>Прогностична значимість стану здоров’я підлітків</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762"/>
        <w:gridCol w:w="1585"/>
        <w:gridCol w:w="2206"/>
        <w:gridCol w:w="2249"/>
      </w:tblGrid>
      <w:tr w:rsidR="000F78D0" w:rsidRPr="001336DC" w:rsidTr="006A163F">
        <w:trPr>
          <w:trHeight w:val="181"/>
        </w:trPr>
        <w:tc>
          <w:tcPr>
            <w:tcW w:w="5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left="284" w:hanging="284"/>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360" w:lineRule="auto"/>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6A163F">
        <w:trPr>
          <w:trHeight w:val="181"/>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Кількість хронічних захворювань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+11,8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6,39</w:t>
            </w:r>
          </w:p>
        </w:tc>
      </w:tr>
      <w:tr w:rsidR="000F78D0" w:rsidRPr="001336DC" w:rsidTr="006A163F">
        <w:trPr>
          <w:trHeight w:val="181"/>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181"/>
        </w:trPr>
        <w:tc>
          <w:tcPr>
            <w:tcW w:w="534" w:type="dxa"/>
            <w:vMerge w:val="restart"/>
            <w:tcBorders>
              <w:top w:val="single" w:sz="4" w:space="0" w:color="auto"/>
              <w:left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Індекс маси тіла підлітка,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1,09</w:t>
            </w:r>
          </w:p>
        </w:tc>
      </w:tr>
      <w:tr w:rsidR="000F78D0" w:rsidRPr="001336DC" w:rsidTr="006A163F">
        <w:trPr>
          <w:trHeight w:val="181"/>
        </w:trPr>
        <w:tc>
          <w:tcPr>
            <w:tcW w:w="534" w:type="dxa"/>
            <w:vMerge/>
            <w:tcBorders>
              <w:left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18,1-25,0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Borders>
              <w:left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181"/>
        </w:trPr>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25,1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+4,5</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181"/>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Ендокринна патологія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-3,5</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0,96</w:t>
            </w:r>
          </w:p>
        </w:tc>
      </w:tr>
      <w:tr w:rsidR="000F78D0" w:rsidRPr="001336DC" w:rsidTr="006A163F">
        <w:trPr>
          <w:trHeight w:val="181"/>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rPr>
          <w:trHeight w:val="396"/>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rPr>
                <w:rFonts w:ascii="Times New Roman" w:hAnsi="Times New Roman"/>
                <w:sz w:val="28"/>
                <w:szCs w:val="28"/>
                <w:lang w:val="uk-UA"/>
              </w:rPr>
            </w:pPr>
            <w:r w:rsidRPr="001336DC">
              <w:rPr>
                <w:rFonts w:ascii="Times New Roman" w:hAnsi="Times New Roman"/>
                <w:sz w:val="28"/>
                <w:szCs w:val="28"/>
                <w:lang w:val="uk-UA"/>
              </w:rPr>
              <w:t xml:space="preserve">Гіпоплазія матки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0,96</w:t>
            </w:r>
          </w:p>
        </w:tc>
      </w:tr>
      <w:tr w:rsidR="000F78D0" w:rsidRPr="001336DC" w:rsidTr="006A163F">
        <w:trPr>
          <w:trHeight w:val="433"/>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rPr>
          <w:trHeight w:val="415"/>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rPr>
                <w:rFonts w:ascii="Times New Roman" w:hAnsi="Times New Roman"/>
                <w:sz w:val="28"/>
                <w:szCs w:val="28"/>
                <w:lang w:val="uk-UA"/>
              </w:rPr>
            </w:pPr>
            <w:r w:rsidRPr="001336DC">
              <w:rPr>
                <w:rFonts w:ascii="Times New Roman" w:hAnsi="Times New Roman"/>
                <w:sz w:val="28"/>
                <w:szCs w:val="28"/>
                <w:lang w:val="uk-UA"/>
              </w:rPr>
              <w:t>Прояви алергії</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0,75</w:t>
            </w:r>
          </w:p>
          <w:p w:rsidR="000F78D0" w:rsidRPr="001336DC" w:rsidRDefault="000F78D0" w:rsidP="00E03819">
            <w:pPr>
              <w:jc w:val="center"/>
              <w:rPr>
                <w:rFonts w:ascii="Times New Roman" w:hAnsi="Times New Roman"/>
                <w:sz w:val="28"/>
                <w:szCs w:val="28"/>
                <w:lang w:val="uk-UA"/>
              </w:rPr>
            </w:pPr>
          </w:p>
        </w:tc>
      </w:tr>
      <w:tr w:rsidR="000F78D0" w:rsidRPr="001336DC" w:rsidTr="006A163F">
        <w:trPr>
          <w:trHeight w:val="415"/>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rPr>
          <w:trHeight w:val="415"/>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rPr>
                <w:rFonts w:ascii="Times New Roman" w:hAnsi="Times New Roman"/>
                <w:sz w:val="28"/>
                <w:szCs w:val="28"/>
                <w:lang w:val="uk-UA"/>
              </w:rPr>
            </w:pPr>
            <w:r w:rsidRPr="001336DC">
              <w:rPr>
                <w:rFonts w:ascii="Times New Roman" w:hAnsi="Times New Roman"/>
                <w:sz w:val="28"/>
                <w:szCs w:val="28"/>
                <w:lang w:val="uk-UA"/>
              </w:rPr>
              <w:t xml:space="preserve">ЛОР-захворювання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0,66</w:t>
            </w:r>
          </w:p>
        </w:tc>
      </w:tr>
      <w:tr w:rsidR="000F78D0" w:rsidRPr="001336DC" w:rsidTr="006A163F">
        <w:trPr>
          <w:trHeight w:val="429"/>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rPr>
          <w:trHeight w:val="396"/>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Захворювання шлунково-кишкового тракту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0,48</w:t>
            </w:r>
          </w:p>
        </w:tc>
      </w:tr>
      <w:tr w:rsidR="000F78D0" w:rsidRPr="001336DC" w:rsidTr="006A163F">
        <w:trPr>
          <w:trHeight w:val="415"/>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396"/>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Мультифолікулярні яєчники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0,23</w:t>
            </w:r>
          </w:p>
        </w:tc>
      </w:tr>
      <w:tr w:rsidR="000F78D0" w:rsidRPr="001336DC" w:rsidTr="006A163F">
        <w:trPr>
          <w:trHeight w:val="43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396"/>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Бруксизм</w:t>
            </w:r>
          </w:p>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0,15</w:t>
            </w:r>
          </w:p>
        </w:tc>
      </w:tr>
      <w:tr w:rsidR="000F78D0" w:rsidRPr="001336DC" w:rsidTr="006A163F">
        <w:trPr>
          <w:trHeight w:val="415"/>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415"/>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Захворювання серцево-судинної системи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0,13</w:t>
            </w:r>
          </w:p>
        </w:tc>
      </w:tr>
      <w:tr w:rsidR="000F78D0" w:rsidRPr="001336DC" w:rsidTr="006A163F">
        <w:trPr>
          <w:trHeight w:val="415"/>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396"/>
        </w:trPr>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5"/>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Захворювання нервової системи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0,09</w:t>
            </w:r>
          </w:p>
        </w:tc>
      </w:tr>
      <w:tr w:rsidR="000F78D0" w:rsidRPr="001336DC" w:rsidTr="006A163F">
        <w:trPr>
          <w:trHeight w:val="415"/>
        </w:trPr>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6A163F">
        <w:trPr>
          <w:trHeight w:val="415"/>
        </w:trPr>
        <w:tc>
          <w:tcPr>
            <w:tcW w:w="534" w:type="dxa"/>
            <w:vMerge w:val="restart"/>
            <w:tcBorders>
              <w:top w:val="single" w:sz="4" w:space="0" w:color="auto"/>
              <w:left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r w:rsidRPr="001336DC">
              <w:rPr>
                <w:rFonts w:ascii="Times New Roman" w:hAnsi="Times New Roman"/>
                <w:sz w:val="28"/>
                <w:szCs w:val="28"/>
                <w:lang w:val="uk-UA"/>
              </w:rPr>
              <w:t>12.</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6A163F">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Захворювання органів дихання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0,02</w:t>
            </w:r>
          </w:p>
        </w:tc>
      </w:tr>
      <w:tr w:rsidR="000F78D0" w:rsidRPr="001336DC" w:rsidTr="006A163F">
        <w:trPr>
          <w:trHeight w:val="415"/>
        </w:trPr>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bl>
    <w:p w:rsidR="000F78D0" w:rsidRDefault="000F78D0" w:rsidP="00AC605C">
      <w:pPr>
        <w:spacing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 </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витікає із табл</w:t>
      </w:r>
      <w:r w:rsidR="00CD18DE">
        <w:rPr>
          <w:rFonts w:ascii="Times New Roman" w:hAnsi="Times New Roman"/>
          <w:sz w:val="28"/>
          <w:szCs w:val="28"/>
          <w:lang w:val="uk-UA"/>
        </w:rPr>
        <w:t>. 5.</w:t>
      </w:r>
      <w:r w:rsidR="00CD18DE" w:rsidRPr="00BD4FE3">
        <w:rPr>
          <w:rFonts w:ascii="Times New Roman" w:hAnsi="Times New Roman"/>
          <w:sz w:val="28"/>
          <w:szCs w:val="28"/>
          <w:lang w:val="uk-UA"/>
        </w:rPr>
        <w:t>3</w:t>
      </w:r>
      <w:r w:rsidRPr="00D950D3">
        <w:rPr>
          <w:rFonts w:ascii="Times New Roman" w:hAnsi="Times New Roman"/>
          <w:sz w:val="28"/>
          <w:szCs w:val="28"/>
          <w:lang w:val="uk-UA"/>
        </w:rPr>
        <w:t>5</w:t>
      </w:r>
      <w:r>
        <w:rPr>
          <w:rFonts w:ascii="Times New Roman" w:hAnsi="Times New Roman"/>
          <w:sz w:val="28"/>
          <w:szCs w:val="28"/>
          <w:lang w:val="uk-UA"/>
        </w:rPr>
        <w:t xml:space="preserve">, висока інформативність встановлена по відношенню до кількості хронічних захворювань (І=6,39) та ІМТ (І=1,09). Помірні </w:t>
      </w:r>
      <w:r>
        <w:rPr>
          <w:rFonts w:ascii="Times New Roman" w:hAnsi="Times New Roman"/>
          <w:sz w:val="28"/>
          <w:szCs w:val="28"/>
          <w:lang w:val="uk-UA"/>
        </w:rPr>
        <w:lastRenderedPageBreak/>
        <w:t>прогностичні властивості були характерні для ендокринної патології (І=0,96), гіпоплазії матки (І=0,96), проявів алергії (І=0,75) і ЛОР-патології (І=0,66), а низькі – для захворювань шлунково-кишкового тракту (І=0,48).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Виходячи зі значень ПК (табл</w:t>
      </w:r>
      <w:r w:rsidR="00CD18DE">
        <w:rPr>
          <w:rFonts w:ascii="Times New Roman" w:hAnsi="Times New Roman"/>
          <w:sz w:val="28"/>
          <w:szCs w:val="28"/>
          <w:lang w:val="uk-UA"/>
        </w:rPr>
        <w:t>. 5.</w:t>
      </w:r>
      <w:r w:rsidR="00CD18DE" w:rsidRPr="00CD18DE">
        <w:rPr>
          <w:rFonts w:ascii="Times New Roman" w:hAnsi="Times New Roman"/>
          <w:sz w:val="28"/>
          <w:szCs w:val="28"/>
          <w:lang w:val="uk-UA"/>
        </w:rPr>
        <w:t>3</w:t>
      </w:r>
      <w:r w:rsidRPr="00D950D3">
        <w:rPr>
          <w:rFonts w:ascii="Times New Roman" w:hAnsi="Times New Roman"/>
          <w:sz w:val="28"/>
          <w:szCs w:val="28"/>
          <w:lang w:val="uk-UA"/>
        </w:rPr>
        <w:t>5), на</w:t>
      </w:r>
      <w:r>
        <w:rPr>
          <w:rFonts w:ascii="Times New Roman" w:hAnsi="Times New Roman"/>
          <w:sz w:val="28"/>
          <w:szCs w:val="28"/>
          <w:lang w:val="uk-UA"/>
        </w:rPr>
        <w:t xml:space="preserve"> користь сприятливого прогнозу свідчать: відсутність ендокринної і ЛОР-патології, проявів алергії, захворювань шлунково-кишкового тракту, гіпоплазії матки, низька коморбідність (≤2) хронічної патології і нормальний фізичний розвиток.</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Відносно несприятливий прогноз маркують: наявність у підлітка ендокринної і ЛОР-патології, проявів алергії, захворювань шлунково-кишкового тракту, гіпоплазії матки, висока коморбідність (</w:t>
      </w:r>
      <w:r>
        <w:rPr>
          <w:sz w:val="28"/>
          <w:szCs w:val="28"/>
          <w:lang w:val="uk-UA"/>
        </w:rPr>
        <w:t>≥</w:t>
      </w:r>
      <w:r>
        <w:rPr>
          <w:rFonts w:ascii="Times New Roman" w:hAnsi="Times New Roman"/>
          <w:sz w:val="28"/>
          <w:szCs w:val="28"/>
          <w:lang w:val="uk-UA"/>
        </w:rPr>
        <w:t>3) хронічної патології, а також недостатня (≤18,0 ум.од.) або надлишкова (</w:t>
      </w:r>
      <w:r>
        <w:rPr>
          <w:sz w:val="28"/>
          <w:szCs w:val="28"/>
          <w:lang w:val="uk-UA"/>
        </w:rPr>
        <w:t>≥</w:t>
      </w:r>
      <w:r>
        <w:rPr>
          <w:rFonts w:ascii="Times New Roman" w:hAnsi="Times New Roman"/>
          <w:sz w:val="28"/>
          <w:szCs w:val="28"/>
          <w:lang w:val="uk-UA"/>
        </w:rPr>
        <w:t>25,1 ум.од.) маса тіла.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цілому </w:t>
      </w:r>
      <w:r w:rsidR="00CD18DE">
        <w:rPr>
          <w:rFonts w:ascii="Times New Roman" w:hAnsi="Times New Roman"/>
          <w:sz w:val="28"/>
          <w:szCs w:val="28"/>
          <w:lang w:val="uk-UA"/>
        </w:rPr>
        <w:t>(рис. 5.</w:t>
      </w:r>
      <w:r w:rsidR="00CD18DE" w:rsidRPr="00CD18DE">
        <w:rPr>
          <w:rFonts w:ascii="Times New Roman" w:hAnsi="Times New Roman"/>
          <w:sz w:val="28"/>
          <w:szCs w:val="28"/>
          <w:lang w:val="ru-RU"/>
        </w:rPr>
        <w:t>13</w:t>
      </w:r>
      <w:r w:rsidRPr="00D950D3">
        <w:rPr>
          <w:rFonts w:ascii="Times New Roman" w:hAnsi="Times New Roman"/>
          <w:sz w:val="28"/>
          <w:szCs w:val="28"/>
          <w:lang w:val="uk-UA"/>
        </w:rPr>
        <w:t>) прогностична</w:t>
      </w:r>
      <w:r>
        <w:rPr>
          <w:rFonts w:ascii="Times New Roman" w:hAnsi="Times New Roman"/>
          <w:sz w:val="28"/>
          <w:szCs w:val="28"/>
          <w:lang w:val="uk-UA"/>
        </w:rPr>
        <w:t xml:space="preserve"> інформативність стану здоров’я підлітків  виявилася високою (І=1,50) і переважала над такою фактора спадковості в 1,1 раза, анамнезу життя в 1,6 </w:t>
      </w:r>
      <w:r w:rsidRPr="00D950D3">
        <w:rPr>
          <w:rFonts w:ascii="Times New Roman" w:hAnsi="Times New Roman"/>
          <w:sz w:val="28"/>
          <w:szCs w:val="28"/>
          <w:lang w:val="uk-UA"/>
        </w:rPr>
        <w:t>раза, способу життя в 1,7 раза, акушерського анамнезу в 2,8 раза.</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600700" cy="3238500"/>
            <wp:effectExtent l="0" t="0" r="0" b="0"/>
            <wp:docPr id="42" name="Объект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F78D0" w:rsidRDefault="00CD18DE"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uk-UA"/>
        </w:rPr>
        <w:t>13</w:t>
      </w:r>
      <w:r w:rsidR="000F78D0" w:rsidRPr="00D950D3">
        <w:rPr>
          <w:rFonts w:ascii="Times New Roman" w:hAnsi="Times New Roman"/>
          <w:sz w:val="28"/>
          <w:szCs w:val="28"/>
          <w:lang w:val="uk-UA"/>
        </w:rPr>
        <w:t>. Комплексна</w:t>
      </w:r>
      <w:r w:rsidR="000F78D0">
        <w:rPr>
          <w:rFonts w:ascii="Times New Roman" w:hAnsi="Times New Roman"/>
          <w:sz w:val="28"/>
          <w:szCs w:val="28"/>
          <w:lang w:val="uk-UA"/>
        </w:rPr>
        <w:t xml:space="preserve"> оцінка прогностичної значимості стану здоров’я підлітків та інших видів обстеження. </w:t>
      </w:r>
    </w:p>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Серед показників стоматологічного статусу (табл. </w:t>
      </w:r>
      <w:r w:rsidR="00CD18DE">
        <w:rPr>
          <w:rFonts w:ascii="Times New Roman" w:hAnsi="Times New Roman"/>
          <w:sz w:val="28"/>
          <w:szCs w:val="28"/>
          <w:lang w:val="uk-UA"/>
        </w:rPr>
        <w:t>5.</w:t>
      </w:r>
      <w:r w:rsidR="00CD18DE" w:rsidRPr="00CD18DE">
        <w:rPr>
          <w:rFonts w:ascii="Times New Roman" w:hAnsi="Times New Roman"/>
          <w:sz w:val="28"/>
          <w:szCs w:val="28"/>
          <w:lang w:val="uk-UA"/>
        </w:rPr>
        <w:t>3</w:t>
      </w:r>
      <w:r w:rsidRPr="00D950D3">
        <w:rPr>
          <w:rFonts w:ascii="Times New Roman" w:hAnsi="Times New Roman"/>
          <w:sz w:val="28"/>
          <w:szCs w:val="28"/>
          <w:lang w:val="uk-UA"/>
        </w:rPr>
        <w:t>6)</w:t>
      </w:r>
      <w:r>
        <w:rPr>
          <w:rFonts w:ascii="Times New Roman" w:hAnsi="Times New Roman"/>
          <w:sz w:val="28"/>
          <w:szCs w:val="28"/>
          <w:lang w:val="uk-UA"/>
        </w:rPr>
        <w:t xml:space="preserve"> високу інформативність виявили поєднані аномалії розвитку зубо-щелепної системи (І=3,46), інтенсивність карієсу (І=2,03), наявність аномалій розвитку зубо-щелепної системи, індекси гігієни порожнини рота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(І=1,21) і спрощений індекс (І=1,09).</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Низька прогностична значимість встановлена по відношенню до при ясенної локалізації карієсу.</w:t>
      </w:r>
    </w:p>
    <w:p w:rsidR="000F78D0" w:rsidRPr="00D950D3" w:rsidRDefault="000F78D0" w:rsidP="00AC605C">
      <w:pPr>
        <w:spacing w:line="360" w:lineRule="auto"/>
        <w:ind w:firstLine="426"/>
        <w:jc w:val="right"/>
        <w:rPr>
          <w:rFonts w:ascii="Times New Roman" w:hAnsi="Times New Roman"/>
          <w:sz w:val="28"/>
          <w:szCs w:val="28"/>
          <w:lang w:val="uk-UA"/>
        </w:rPr>
      </w:pPr>
      <w:r w:rsidRPr="00D950D3">
        <w:rPr>
          <w:rFonts w:ascii="Times New Roman" w:hAnsi="Times New Roman"/>
          <w:i/>
          <w:sz w:val="28"/>
          <w:szCs w:val="28"/>
          <w:lang w:val="uk-UA"/>
        </w:rPr>
        <w:t>Таблиця</w:t>
      </w:r>
      <w:r w:rsidRPr="00D950D3">
        <w:rPr>
          <w:rFonts w:ascii="Times New Roman" w:hAnsi="Times New Roman"/>
          <w:sz w:val="28"/>
          <w:szCs w:val="28"/>
          <w:lang w:val="uk-UA"/>
        </w:rPr>
        <w:t xml:space="preserve"> </w:t>
      </w:r>
      <w:r w:rsidR="00CD18DE">
        <w:rPr>
          <w:rFonts w:ascii="Times New Roman" w:hAnsi="Times New Roman"/>
          <w:i/>
          <w:sz w:val="28"/>
          <w:szCs w:val="28"/>
          <w:lang w:val="uk-UA"/>
        </w:rPr>
        <w:t>5.</w:t>
      </w:r>
      <w:r w:rsidR="00CD18DE" w:rsidRPr="00BD4FE3">
        <w:rPr>
          <w:rFonts w:ascii="Times New Roman" w:hAnsi="Times New Roman"/>
          <w:i/>
          <w:sz w:val="28"/>
          <w:szCs w:val="28"/>
          <w:lang w:val="ru-RU"/>
        </w:rPr>
        <w:t>3</w:t>
      </w:r>
      <w:r w:rsidRPr="00D950D3">
        <w:rPr>
          <w:rFonts w:ascii="Times New Roman" w:hAnsi="Times New Roman"/>
          <w:i/>
          <w:sz w:val="28"/>
          <w:szCs w:val="28"/>
          <w:lang w:val="uk-UA"/>
        </w:rPr>
        <w:t>6</w:t>
      </w:r>
    </w:p>
    <w:p w:rsidR="000F78D0" w:rsidRPr="00616883" w:rsidRDefault="000F78D0" w:rsidP="00AC605C">
      <w:pPr>
        <w:spacing w:line="360" w:lineRule="auto"/>
        <w:ind w:firstLine="426"/>
        <w:jc w:val="center"/>
        <w:rPr>
          <w:rFonts w:ascii="Times New Roman" w:hAnsi="Times New Roman"/>
          <w:b/>
          <w:sz w:val="28"/>
          <w:szCs w:val="28"/>
          <w:lang w:val="uk-UA"/>
        </w:rPr>
      </w:pPr>
      <w:r w:rsidRPr="00D950D3">
        <w:rPr>
          <w:rFonts w:ascii="Times New Roman" w:hAnsi="Times New Roman"/>
          <w:b/>
          <w:sz w:val="28"/>
          <w:szCs w:val="28"/>
          <w:lang w:val="uk-UA"/>
        </w:rPr>
        <w:t>Прогностична значимість показників стоматологічного статусу</w:t>
      </w:r>
    </w:p>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808"/>
        <w:gridCol w:w="1748"/>
        <w:gridCol w:w="2511"/>
        <w:gridCol w:w="2303"/>
      </w:tblGrid>
      <w:tr w:rsidR="000F78D0" w:rsidRPr="001336DC" w:rsidTr="006A163F">
        <w:tc>
          <w:tcPr>
            <w:tcW w:w="675" w:type="dxa"/>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left="284" w:hanging="284"/>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6"/>
              </w:numPr>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Поєднані аномалії розвитку зубощелепної системи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-3,8</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3,46</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+8,8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right w:val="single" w:sz="4" w:space="0" w:color="auto"/>
            </w:tcBorders>
          </w:tcPr>
          <w:p w:rsidR="000F78D0" w:rsidRPr="001336DC" w:rsidRDefault="000F78D0" w:rsidP="006A163F">
            <w:pPr>
              <w:numPr>
                <w:ilvl w:val="0"/>
                <w:numId w:val="36"/>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Інтенсивність карієсу у підлітка (КПВ),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+4,6</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2,03</w:t>
            </w:r>
          </w:p>
        </w:tc>
      </w:tr>
      <w:tr w:rsidR="000F78D0" w:rsidRPr="001336DC" w:rsidTr="006A163F">
        <w:tc>
          <w:tcPr>
            <w:tcW w:w="675" w:type="dxa"/>
            <w:vMerge/>
            <w:tcBorders>
              <w:left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4,5-6,5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vMerge/>
            <w:tcBorders>
              <w:left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tcBorders>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-5,1</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6"/>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 xml:space="preserve">Аномалії розвитку зубощелепної системи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1,25</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+4,5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6"/>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Індекс Федорова-Володкіної,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+5,6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1,21</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2,1-2,5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-4,3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6"/>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Спрощений індекс гігієни порожнини рота,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≤1,6</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+4,9</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1,09</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1,7</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6"/>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Приясенна локалізація карієса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-3,2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0,29</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r w:rsidR="000F78D0" w:rsidRPr="001336DC" w:rsidTr="006A163F">
        <w:tc>
          <w:tcPr>
            <w:tcW w:w="675"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6"/>
              </w:numPr>
              <w:ind w:left="284" w:hanging="284"/>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4"/>
              <w:rPr>
                <w:rFonts w:ascii="Times New Roman" w:hAnsi="Times New Roman"/>
                <w:sz w:val="28"/>
                <w:szCs w:val="28"/>
                <w:lang w:val="uk-UA"/>
              </w:rPr>
            </w:pPr>
            <w:r w:rsidRPr="001336DC">
              <w:rPr>
                <w:rFonts w:ascii="Times New Roman" w:hAnsi="Times New Roman"/>
                <w:sz w:val="28"/>
                <w:szCs w:val="28"/>
                <w:lang w:val="uk-UA"/>
              </w:rPr>
              <w:t>Краї пломб, що нависають</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0,03</w:t>
            </w:r>
          </w:p>
        </w:tc>
      </w:tr>
      <w:tr w:rsidR="000F78D0" w:rsidRPr="001336DC" w:rsidTr="006A163F">
        <w:tc>
          <w:tcPr>
            <w:tcW w:w="675"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hanging="284"/>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4"/>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4"/>
              <w:jc w:val="center"/>
              <w:rPr>
                <w:rFonts w:ascii="Times New Roman" w:hAnsi="Times New Roman"/>
                <w:sz w:val="28"/>
                <w:szCs w:val="28"/>
                <w:lang w:val="uk-UA"/>
              </w:rPr>
            </w:pPr>
            <w:r w:rsidRPr="001336DC">
              <w:rPr>
                <w:rFonts w:ascii="Times New Roman" w:hAnsi="Times New Roman"/>
                <w:sz w:val="28"/>
                <w:szCs w:val="28"/>
                <w:lang w:val="uk-UA"/>
              </w:rPr>
              <w:t>-0,2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jc w:val="center"/>
              <w:rPr>
                <w:rFonts w:ascii="Times New Roman" w:hAnsi="Times New Roman"/>
                <w:sz w:val="28"/>
                <w:szCs w:val="28"/>
                <w:lang w:val="uk-UA"/>
              </w:rPr>
            </w:pPr>
          </w:p>
        </w:tc>
      </w:tr>
    </w:tbl>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зі значеннями ПК </w:t>
      </w:r>
      <w:r w:rsidR="00CD18DE">
        <w:rPr>
          <w:rFonts w:ascii="Times New Roman" w:hAnsi="Times New Roman"/>
          <w:sz w:val="28"/>
          <w:szCs w:val="28"/>
          <w:lang w:val="uk-UA"/>
        </w:rPr>
        <w:t>(табл. 5.</w:t>
      </w:r>
      <w:r w:rsidR="00CD18DE" w:rsidRPr="00CD18DE">
        <w:rPr>
          <w:rFonts w:ascii="Times New Roman" w:hAnsi="Times New Roman"/>
          <w:sz w:val="28"/>
          <w:szCs w:val="28"/>
          <w:lang w:val="uk-UA"/>
        </w:rPr>
        <w:t>3</w:t>
      </w:r>
      <w:r w:rsidRPr="00D950D3">
        <w:rPr>
          <w:rFonts w:ascii="Times New Roman" w:hAnsi="Times New Roman"/>
          <w:sz w:val="28"/>
          <w:szCs w:val="28"/>
          <w:lang w:val="uk-UA"/>
        </w:rPr>
        <w:t>6) для</w:t>
      </w:r>
      <w:r>
        <w:rPr>
          <w:rFonts w:ascii="Times New Roman" w:hAnsi="Times New Roman"/>
          <w:sz w:val="28"/>
          <w:szCs w:val="28"/>
          <w:lang w:val="uk-UA"/>
        </w:rPr>
        <w:t xml:space="preserve"> сприятливого прогнозу характерні: інтенсивність карієсу ≤4,4 ум.од.; відсутність аномалій розвитку зубо-щелепної системи і їх поєднань; гарний або помірний рівень гігієни </w:t>
      </w:r>
      <w:r w:rsidR="00713761">
        <w:rPr>
          <w:rFonts w:ascii="Times New Roman" w:hAnsi="Times New Roman"/>
          <w:sz w:val="28"/>
          <w:szCs w:val="28"/>
          <w:lang w:val="uk-UA"/>
        </w:rPr>
        <w:t>ПР</w:t>
      </w:r>
      <w:r>
        <w:rPr>
          <w:rFonts w:ascii="Times New Roman" w:hAnsi="Times New Roman"/>
          <w:sz w:val="28"/>
          <w:szCs w:val="28"/>
          <w:lang w:val="uk-UA"/>
        </w:rPr>
        <w:t xml:space="preserve">  згідно з індексом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(≤2,0 ум.од.) і спрощеного індексу (≤1,6 ум.од.), а також відсутність при ясенної локалізації карієса.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 користь відносно несприятливого прогнозу свідчать: наявність аномалії розвитку зубо-щелепної системи і їх поєднання, приясенної локалізації карієсу, виражена (</w:t>
      </w:r>
      <w:r>
        <w:rPr>
          <w:sz w:val="28"/>
          <w:szCs w:val="28"/>
          <w:lang w:val="uk-UA"/>
        </w:rPr>
        <w:t>≥</w:t>
      </w:r>
      <w:r>
        <w:rPr>
          <w:rFonts w:ascii="Times New Roman" w:hAnsi="Times New Roman"/>
          <w:sz w:val="28"/>
          <w:szCs w:val="28"/>
          <w:lang w:val="uk-UA"/>
        </w:rPr>
        <w:t xml:space="preserve">4,5 ум.од.) інтенсивність карієсу; погана або дуже погана гігієна порожнини рота згідно з індексом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w:t>
      </w:r>
      <w:r>
        <w:rPr>
          <w:sz w:val="28"/>
          <w:szCs w:val="28"/>
          <w:lang w:val="uk-UA"/>
        </w:rPr>
        <w:t>≥</w:t>
      </w:r>
      <w:r>
        <w:rPr>
          <w:rFonts w:ascii="Times New Roman" w:hAnsi="Times New Roman"/>
          <w:sz w:val="28"/>
          <w:szCs w:val="28"/>
          <w:lang w:val="uk-UA"/>
        </w:rPr>
        <w:t>2,6 ум.од.) і спрощеного індексу (</w:t>
      </w:r>
      <w:r>
        <w:rPr>
          <w:sz w:val="28"/>
          <w:szCs w:val="28"/>
          <w:lang w:val="uk-UA"/>
        </w:rPr>
        <w:t>≥</w:t>
      </w:r>
      <w:r>
        <w:rPr>
          <w:rFonts w:ascii="Times New Roman" w:hAnsi="Times New Roman"/>
          <w:sz w:val="28"/>
          <w:szCs w:val="28"/>
          <w:lang w:val="uk-UA"/>
        </w:rPr>
        <w:t>1,7 ум.од.).</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Комплексна оцінка прогностичної інформативності стоматологічного статусу показала (</w:t>
      </w:r>
      <w:r w:rsidR="00CD18DE">
        <w:rPr>
          <w:rFonts w:ascii="Times New Roman" w:hAnsi="Times New Roman"/>
          <w:sz w:val="28"/>
          <w:szCs w:val="28"/>
          <w:lang w:val="uk-UA"/>
        </w:rPr>
        <w:t>рис. 5.</w:t>
      </w:r>
      <w:r w:rsidR="00CD18DE" w:rsidRPr="00CD18DE">
        <w:rPr>
          <w:rFonts w:ascii="Times New Roman" w:hAnsi="Times New Roman"/>
          <w:sz w:val="28"/>
          <w:szCs w:val="28"/>
          <w:lang w:val="ru-RU"/>
        </w:rPr>
        <w:t>14</w:t>
      </w:r>
      <w:r w:rsidRPr="00D950D3">
        <w:rPr>
          <w:rFonts w:ascii="Times New Roman" w:hAnsi="Times New Roman"/>
          <w:sz w:val="28"/>
          <w:szCs w:val="28"/>
          <w:lang w:val="uk-UA"/>
        </w:rPr>
        <w:t>),</w:t>
      </w:r>
      <w:r>
        <w:rPr>
          <w:rFonts w:ascii="Times New Roman" w:hAnsi="Times New Roman"/>
          <w:sz w:val="28"/>
          <w:szCs w:val="28"/>
          <w:lang w:val="uk-UA"/>
        </w:rPr>
        <w:t xml:space="preserve"> що вона виявилася найвищою (І=1,65) у порівнянні з іншими видами обстеження.</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600700" cy="3238500"/>
            <wp:effectExtent l="0" t="0" r="0" b="0"/>
            <wp:docPr id="41" name="Объект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F78D0" w:rsidRPr="00D950D3" w:rsidRDefault="00CD18DE"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1</w:t>
      </w:r>
      <w:r>
        <w:rPr>
          <w:rFonts w:ascii="Times New Roman" w:hAnsi="Times New Roman"/>
          <w:sz w:val="28"/>
          <w:szCs w:val="28"/>
          <w:lang w:val="uk-UA"/>
        </w:rPr>
        <w:t>4</w:t>
      </w:r>
      <w:r w:rsidR="000F78D0" w:rsidRPr="00D950D3">
        <w:rPr>
          <w:rFonts w:ascii="Times New Roman" w:hAnsi="Times New Roman"/>
          <w:sz w:val="28"/>
          <w:szCs w:val="28"/>
          <w:lang w:val="uk-UA"/>
        </w:rPr>
        <w:t xml:space="preserve">. Комплексна оцінка прогностичної значимості даних стоматологічного статусу та інших видів обстеження. </w:t>
      </w:r>
    </w:p>
    <w:p w:rsidR="000F78D0" w:rsidRPr="00D950D3"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sidRPr="00D950D3">
        <w:rPr>
          <w:rFonts w:ascii="Times New Roman" w:hAnsi="Times New Roman"/>
          <w:sz w:val="28"/>
          <w:szCs w:val="28"/>
          <w:lang w:val="uk-UA"/>
        </w:rPr>
        <w:t>Прогностична характеристика параклінічних показників наведена в табл. 5.</w:t>
      </w:r>
      <w:r w:rsidR="00CD18DE" w:rsidRPr="00836C93">
        <w:rPr>
          <w:rFonts w:ascii="Times New Roman" w:hAnsi="Times New Roman"/>
          <w:sz w:val="28"/>
          <w:szCs w:val="28"/>
          <w:lang w:val="uk-UA"/>
        </w:rPr>
        <w:t>37</w:t>
      </w:r>
      <w:r w:rsidRPr="00D950D3">
        <w:rPr>
          <w:rFonts w:ascii="Times New Roman" w:hAnsi="Times New Roman"/>
          <w:sz w:val="28"/>
          <w:szCs w:val="28"/>
          <w:lang w:val="uk-UA"/>
        </w:rPr>
        <w:t>. Із табл.</w:t>
      </w:r>
      <w:r w:rsidR="00836C93">
        <w:rPr>
          <w:rFonts w:ascii="Times New Roman" w:hAnsi="Times New Roman"/>
          <w:sz w:val="28"/>
          <w:szCs w:val="28"/>
          <w:lang w:val="uk-UA"/>
        </w:rPr>
        <w:t xml:space="preserve"> </w:t>
      </w:r>
      <w:r w:rsidR="00836C93" w:rsidRPr="00836C93">
        <w:rPr>
          <w:rFonts w:ascii="Times New Roman" w:hAnsi="Times New Roman"/>
          <w:sz w:val="28"/>
          <w:szCs w:val="28"/>
          <w:lang w:val="uk-UA"/>
        </w:rPr>
        <w:t>5.3</w:t>
      </w:r>
      <w:r>
        <w:rPr>
          <w:rFonts w:ascii="Times New Roman" w:hAnsi="Times New Roman"/>
          <w:sz w:val="28"/>
          <w:szCs w:val="28"/>
          <w:lang w:val="uk-UA"/>
        </w:rPr>
        <w:t>7 витікає, що високу інформативність виявили мінеральна щільність кісткових відділів пародонта (І=2,49), вміст лізоциму в слині (І=2,46), ступінь дисбіозу (І=2,34), рівень s</w:t>
      </w:r>
      <w:r>
        <w:rPr>
          <w:rFonts w:ascii="Times New Roman" w:hAnsi="Times New Roman"/>
          <w:sz w:val="28"/>
          <w:szCs w:val="28"/>
        </w:rPr>
        <w:t>IgA</w:t>
      </w:r>
      <w:r w:rsidRPr="00DC5976">
        <w:rPr>
          <w:rFonts w:ascii="Times New Roman" w:hAnsi="Times New Roman"/>
          <w:sz w:val="28"/>
          <w:szCs w:val="28"/>
          <w:lang w:val="uk-UA"/>
        </w:rPr>
        <w:t xml:space="preserve"> </w:t>
      </w:r>
      <w:r>
        <w:rPr>
          <w:rFonts w:ascii="Times New Roman" w:hAnsi="Times New Roman"/>
          <w:sz w:val="28"/>
          <w:szCs w:val="28"/>
          <w:lang w:val="uk-UA"/>
        </w:rPr>
        <w:t>в слині (І=1,95), електрофоретична рухомість ядер букального епітелію (І=1,31) і активність уреази в слині (І=1,14), а помірна прогностична значимість встановлена по відношенню до рівня кальцію в слині (І=0,58).</w:t>
      </w:r>
    </w:p>
    <w:p w:rsidR="006A163F" w:rsidRDefault="006A163F" w:rsidP="00AC605C">
      <w:pPr>
        <w:spacing w:line="360" w:lineRule="auto"/>
        <w:ind w:firstLine="426"/>
        <w:jc w:val="both"/>
        <w:rPr>
          <w:rFonts w:ascii="Times New Roman" w:hAnsi="Times New Roman"/>
          <w:sz w:val="28"/>
          <w:szCs w:val="28"/>
          <w:lang w:val="uk-UA"/>
        </w:rPr>
      </w:pPr>
    </w:p>
    <w:p w:rsidR="000F78D0" w:rsidRPr="00616883" w:rsidRDefault="000F78D0" w:rsidP="00AC605C">
      <w:pPr>
        <w:tabs>
          <w:tab w:val="left" w:pos="1230"/>
        </w:tabs>
        <w:spacing w:line="360" w:lineRule="auto"/>
        <w:ind w:firstLine="426"/>
        <w:jc w:val="right"/>
        <w:rPr>
          <w:rFonts w:ascii="Times New Roman" w:hAnsi="Times New Roman"/>
          <w:i/>
          <w:sz w:val="28"/>
          <w:szCs w:val="28"/>
          <w:lang w:val="uk-UA"/>
        </w:rPr>
      </w:pPr>
      <w:r w:rsidRPr="00D950D3">
        <w:rPr>
          <w:rFonts w:ascii="Times New Roman" w:hAnsi="Times New Roman"/>
          <w:i/>
          <w:sz w:val="28"/>
          <w:szCs w:val="28"/>
          <w:lang w:val="uk-UA"/>
        </w:rPr>
        <w:lastRenderedPageBreak/>
        <w:t>Таблиця</w:t>
      </w:r>
      <w:r w:rsidRPr="00D950D3">
        <w:rPr>
          <w:rFonts w:ascii="Times New Roman" w:hAnsi="Times New Roman"/>
          <w:sz w:val="28"/>
          <w:szCs w:val="28"/>
          <w:lang w:val="uk-UA"/>
        </w:rPr>
        <w:t xml:space="preserve"> </w:t>
      </w:r>
      <w:r w:rsidR="00836C93">
        <w:rPr>
          <w:rFonts w:ascii="Times New Roman" w:hAnsi="Times New Roman"/>
          <w:i/>
          <w:sz w:val="28"/>
          <w:szCs w:val="28"/>
          <w:lang w:val="uk-UA"/>
        </w:rPr>
        <w:t>5.</w:t>
      </w:r>
      <w:r w:rsidR="00836C93">
        <w:rPr>
          <w:rFonts w:ascii="Times New Roman" w:hAnsi="Times New Roman"/>
          <w:i/>
          <w:sz w:val="28"/>
          <w:szCs w:val="28"/>
        </w:rPr>
        <w:t>3</w:t>
      </w:r>
      <w:r w:rsidRPr="00D950D3">
        <w:rPr>
          <w:rFonts w:ascii="Times New Roman" w:hAnsi="Times New Roman"/>
          <w:i/>
          <w:sz w:val="28"/>
          <w:szCs w:val="28"/>
          <w:lang w:val="uk-UA"/>
        </w:rPr>
        <w:t>7</w:t>
      </w:r>
    </w:p>
    <w:p w:rsidR="000F78D0" w:rsidRDefault="000F78D0" w:rsidP="00AC605C">
      <w:pPr>
        <w:tabs>
          <w:tab w:val="left" w:pos="1230"/>
        </w:tabs>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Прогностична значимість параклінічних показників</w:t>
      </w:r>
    </w:p>
    <w:tbl>
      <w:tblPr>
        <w:tblW w:w="9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2916"/>
        <w:gridCol w:w="1626"/>
        <w:gridCol w:w="2283"/>
        <w:gridCol w:w="2263"/>
      </w:tblGrid>
      <w:tr w:rsidR="000F78D0" w:rsidRPr="001336DC" w:rsidTr="006A163F">
        <w:tc>
          <w:tcPr>
            <w:tcW w:w="534" w:type="dxa"/>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jc w:val="both"/>
              <w:rPr>
                <w:rFonts w:ascii="Times New Roman" w:hAnsi="Times New Roman"/>
                <w:sz w:val="28"/>
                <w:szCs w:val="28"/>
                <w:lang w:val="uk-UA"/>
              </w:rPr>
            </w:pPr>
            <w:r w:rsidRPr="001336DC">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Показники</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6A163F">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0"/>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 xml:space="preserve">Оптична щільність кісткових відділів пародонта , Д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125</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2,49</w:t>
            </w: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131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val="restart"/>
            <w:tcBorders>
              <w:top w:val="single" w:sz="4" w:space="0" w:color="auto"/>
              <w:left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Лізоцим в слині,од/л</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val="restart"/>
            <w:tcBorders>
              <w:top w:val="single" w:sz="4" w:space="0" w:color="auto"/>
              <w:left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2,46</w:t>
            </w:r>
          </w:p>
        </w:tc>
      </w:tr>
      <w:tr w:rsidR="000F78D0" w:rsidRPr="001336DC" w:rsidTr="006A163F">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41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+8,1</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0"/>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Ступінь дисбіозу ротової порожнини, ум.од.</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+5,6</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2,34</w:t>
            </w: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3,1-4,0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4,1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-8,8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val="restart"/>
            <w:tcBorders>
              <w:top w:val="single" w:sz="4" w:space="0" w:color="auto"/>
              <w:left w:val="single" w:sz="4" w:space="0" w:color="auto"/>
              <w:right w:val="single" w:sz="4" w:space="0" w:color="auto"/>
            </w:tcBorders>
          </w:tcPr>
          <w:p w:rsidR="000F78D0" w:rsidRPr="001336DC" w:rsidRDefault="000F78D0" w:rsidP="006A163F">
            <w:pPr>
              <w:numPr>
                <w:ilvl w:val="0"/>
                <w:numId w:val="30"/>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rPr>
              <w:t>sIgA</w:t>
            </w:r>
            <w:r w:rsidRPr="001336DC">
              <w:rPr>
                <w:rFonts w:ascii="Times New Roman" w:hAnsi="Times New Roman"/>
                <w:sz w:val="28"/>
                <w:szCs w:val="28"/>
                <w:lang w:val="uk-UA"/>
              </w:rPr>
              <w:t xml:space="preserve"> в слині, мг/л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0,20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1,95</w:t>
            </w:r>
          </w:p>
        </w:tc>
      </w:tr>
      <w:tr w:rsidR="000F78D0" w:rsidRPr="001336DC" w:rsidTr="006A163F">
        <w:tc>
          <w:tcPr>
            <w:tcW w:w="534" w:type="dxa"/>
            <w:vMerge/>
            <w:tcBorders>
              <w:left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0,21-0,30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vMerge/>
            <w:tcBorders>
              <w:left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left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0,31-0,40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vMerge/>
            <w:tcBorders>
              <w:left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0,41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+7,1</w:t>
            </w:r>
          </w:p>
        </w:tc>
        <w:tc>
          <w:tcPr>
            <w:tcW w:w="0" w:type="auto"/>
            <w:vMerge/>
            <w:tcBorders>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val="restart"/>
            <w:tcBorders>
              <w:top w:val="single" w:sz="4" w:space="0" w:color="auto"/>
              <w:left w:val="single" w:sz="4" w:space="0" w:color="auto"/>
              <w:right w:val="single" w:sz="4" w:space="0" w:color="auto"/>
            </w:tcBorders>
          </w:tcPr>
          <w:p w:rsidR="000F78D0" w:rsidRPr="001336DC" w:rsidRDefault="000F78D0" w:rsidP="006A163F">
            <w:pPr>
              <w:numPr>
                <w:ilvl w:val="0"/>
                <w:numId w:val="30"/>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Електрофоретична рухомість ядер букального епітелію,%</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40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val="restart"/>
            <w:tcBorders>
              <w:top w:val="single" w:sz="4" w:space="0" w:color="auto"/>
              <w:left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1,31</w:t>
            </w:r>
          </w:p>
        </w:tc>
      </w:tr>
      <w:tr w:rsidR="000F78D0" w:rsidRPr="001336DC" w:rsidTr="006A163F">
        <w:tc>
          <w:tcPr>
            <w:tcW w:w="534" w:type="dxa"/>
            <w:vMerge/>
            <w:tcBorders>
              <w:left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41-50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left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left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left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51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+6,6</w:t>
            </w:r>
          </w:p>
        </w:tc>
        <w:tc>
          <w:tcPr>
            <w:tcW w:w="0" w:type="auto"/>
            <w:vMerge/>
            <w:tcBorders>
              <w:left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0"/>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Уреаза в слині,  мккат/л</w:t>
            </w:r>
            <w:r w:rsidRPr="001336DC">
              <w:rPr>
                <w:rFonts w:ascii="Times New Roman" w:hAnsi="Times New Roman"/>
                <w:sz w:val="28"/>
                <w:szCs w:val="28"/>
                <w:lang w:val="ru-RU"/>
              </w:rPr>
              <w:t xml:space="preserve">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0,10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+6,0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1,14</w:t>
            </w: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numPr>
                <w:ilvl w:val="0"/>
                <w:numId w:val="30"/>
              </w:numPr>
              <w:ind w:left="0" w:firstLine="0"/>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0,14</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val="restart"/>
            <w:tcBorders>
              <w:top w:val="single" w:sz="4" w:space="0" w:color="auto"/>
              <w:left w:val="single" w:sz="4" w:space="0" w:color="auto"/>
              <w:bottom w:val="single" w:sz="4" w:space="0" w:color="auto"/>
              <w:right w:val="single" w:sz="4" w:space="0" w:color="auto"/>
            </w:tcBorders>
          </w:tcPr>
          <w:p w:rsidR="000F78D0" w:rsidRPr="001336DC" w:rsidRDefault="000F78D0" w:rsidP="006A163F">
            <w:pPr>
              <w:numPr>
                <w:ilvl w:val="0"/>
                <w:numId w:val="30"/>
              </w:numPr>
              <w:ind w:left="0" w:firstLine="0"/>
              <w:jc w:val="both"/>
              <w:rPr>
                <w:rFonts w:ascii="Times New Roman" w:hAnsi="Times New Roman"/>
                <w:sz w:val="28"/>
                <w:szCs w:val="28"/>
                <w:lang w:val="uk-UA"/>
              </w:rPr>
            </w:pP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 xml:space="preserve">Кальцій в слині, ммоль/л </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0,70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vMerge w:val="restart"/>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12"/>
              <w:jc w:val="center"/>
              <w:rPr>
                <w:rFonts w:ascii="Times New Roman" w:hAnsi="Times New Roman"/>
                <w:sz w:val="28"/>
                <w:szCs w:val="28"/>
                <w:lang w:val="uk-UA"/>
              </w:rPr>
            </w:pPr>
            <w:r w:rsidRPr="001336DC">
              <w:rPr>
                <w:rFonts w:ascii="Times New Roman" w:hAnsi="Times New Roman"/>
                <w:sz w:val="28"/>
                <w:szCs w:val="28"/>
                <w:lang w:val="uk-UA"/>
              </w:rPr>
              <w:t>0,58</w:t>
            </w: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r w:rsidR="000F78D0" w:rsidRPr="001336DC" w:rsidTr="006A163F">
        <w:tc>
          <w:tcPr>
            <w:tcW w:w="534" w:type="dxa"/>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6A163F">
            <w:pPr>
              <w:ind w:firstLine="33"/>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0,91</w:t>
            </w:r>
          </w:p>
        </w:tc>
        <w:tc>
          <w:tcPr>
            <w:tcW w:w="0" w:type="auto"/>
            <w:tcBorders>
              <w:top w:val="single" w:sz="4" w:space="0" w:color="auto"/>
              <w:left w:val="single" w:sz="4" w:space="0" w:color="auto"/>
              <w:bottom w:val="single" w:sz="4" w:space="0" w:color="auto"/>
              <w:right w:val="single" w:sz="4" w:space="0" w:color="auto"/>
            </w:tcBorders>
            <w:hideMark/>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F78D0" w:rsidRPr="001336DC" w:rsidRDefault="000F78D0" w:rsidP="00E03819">
            <w:pPr>
              <w:ind w:firstLine="12"/>
              <w:jc w:val="center"/>
              <w:rPr>
                <w:rFonts w:ascii="Times New Roman" w:hAnsi="Times New Roman"/>
                <w:sz w:val="28"/>
                <w:szCs w:val="28"/>
                <w:lang w:val="uk-UA"/>
              </w:rPr>
            </w:pPr>
          </w:p>
        </w:tc>
      </w:tr>
    </w:tbl>
    <w:p w:rsidR="000F78D0" w:rsidRDefault="000F78D0" w:rsidP="00AC605C">
      <w:pPr>
        <w:tabs>
          <w:tab w:val="left" w:pos="1230"/>
        </w:tabs>
        <w:spacing w:line="360" w:lineRule="auto"/>
        <w:ind w:firstLine="426"/>
        <w:jc w:val="both"/>
        <w:rPr>
          <w:rFonts w:ascii="Times New Roman" w:hAnsi="Times New Roman"/>
          <w:sz w:val="28"/>
          <w:szCs w:val="28"/>
          <w:lang w:val="uk-UA"/>
        </w:rPr>
      </w:pPr>
    </w:p>
    <w:p w:rsidR="000F78D0" w:rsidRDefault="000F78D0"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користь сприятливого прогнозу свідчать: нормальна (</w:t>
      </w:r>
      <w:r>
        <w:rPr>
          <w:sz w:val="28"/>
          <w:szCs w:val="28"/>
          <w:lang w:val="uk-UA"/>
        </w:rPr>
        <w:t>≥</w:t>
      </w:r>
      <w:r>
        <w:rPr>
          <w:rFonts w:ascii="Times New Roman" w:hAnsi="Times New Roman"/>
          <w:sz w:val="28"/>
          <w:szCs w:val="28"/>
          <w:lang w:val="uk-UA"/>
        </w:rPr>
        <w:t>131 Д) мінеральна щільність кісткових відділів пародонта; незначне (</w:t>
      </w:r>
      <w:r>
        <w:rPr>
          <w:sz w:val="28"/>
          <w:szCs w:val="28"/>
          <w:lang w:val="uk-UA"/>
        </w:rPr>
        <w:t>≥</w:t>
      </w:r>
      <w:r>
        <w:rPr>
          <w:rFonts w:ascii="Times New Roman" w:hAnsi="Times New Roman"/>
          <w:sz w:val="28"/>
          <w:szCs w:val="28"/>
          <w:lang w:val="uk-UA"/>
        </w:rPr>
        <w:t xml:space="preserve">41 од/л) зниження активності лізоциму в слині; нормативна (≤10 мккат/л) активність уреази; незначна або помірна (≤3,0 ум.од.) ступінь дисбіозу </w:t>
      </w:r>
      <w:r w:rsidR="00713761">
        <w:rPr>
          <w:rFonts w:ascii="Times New Roman" w:hAnsi="Times New Roman"/>
          <w:sz w:val="28"/>
          <w:szCs w:val="28"/>
          <w:lang w:val="uk-UA"/>
        </w:rPr>
        <w:t>ПР</w:t>
      </w:r>
      <w:r>
        <w:rPr>
          <w:rFonts w:ascii="Times New Roman" w:hAnsi="Times New Roman"/>
          <w:sz w:val="28"/>
          <w:szCs w:val="28"/>
          <w:lang w:val="uk-UA"/>
        </w:rPr>
        <w:t>; незначне зниження або нормативний вміст sIgA в слині; незначно знижена або нормальна (</w:t>
      </w:r>
      <w:r>
        <w:rPr>
          <w:sz w:val="28"/>
          <w:szCs w:val="28"/>
          <w:lang w:val="uk-UA"/>
        </w:rPr>
        <w:t>≥</w:t>
      </w:r>
      <w:r>
        <w:rPr>
          <w:rFonts w:ascii="Times New Roman" w:hAnsi="Times New Roman"/>
          <w:sz w:val="28"/>
          <w:szCs w:val="28"/>
          <w:lang w:val="uk-UA"/>
        </w:rPr>
        <w:t>51%) частка електрофоретично рухомих ядер букального епітелію; незначно знижений або нормативний (</w:t>
      </w:r>
      <w:r>
        <w:rPr>
          <w:sz w:val="28"/>
          <w:szCs w:val="28"/>
          <w:lang w:val="uk-UA"/>
        </w:rPr>
        <w:t>≥</w:t>
      </w:r>
      <w:r>
        <w:rPr>
          <w:rFonts w:ascii="Times New Roman" w:hAnsi="Times New Roman"/>
          <w:sz w:val="28"/>
          <w:szCs w:val="28"/>
          <w:lang w:val="uk-UA"/>
        </w:rPr>
        <w:t>0,71 ммоль/л) рівень кальцію в слині.</w:t>
      </w:r>
    </w:p>
    <w:p w:rsidR="000F78D0" w:rsidRDefault="000F78D0"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Предикторами більш тяжкого перебігу запальних захворювань пародонта стали: зниження (≤130Д) мінеральної щільності кісткових відділів пародонта; помірне або значне зниження рівню кальцію та sIgA  в слині; помірне або значне </w:t>
      </w:r>
      <w:r>
        <w:rPr>
          <w:rFonts w:ascii="Times New Roman" w:hAnsi="Times New Roman"/>
          <w:sz w:val="28"/>
          <w:szCs w:val="28"/>
          <w:lang w:val="uk-UA"/>
        </w:rPr>
        <w:lastRenderedPageBreak/>
        <w:t>зниження частки (≤40%) електрофоретично рухомих ядер букального епітелію, а також рівня лізоциму (≤40 од/л) в слині; виражена (</w:t>
      </w:r>
      <w:r>
        <w:rPr>
          <w:sz w:val="28"/>
          <w:szCs w:val="28"/>
          <w:lang w:val="uk-UA"/>
        </w:rPr>
        <w:t>≥</w:t>
      </w:r>
      <w:r>
        <w:rPr>
          <w:rFonts w:ascii="Times New Roman" w:hAnsi="Times New Roman"/>
          <w:sz w:val="28"/>
          <w:szCs w:val="28"/>
          <w:lang w:val="uk-UA"/>
        </w:rPr>
        <w:t>3,1 ум.од.) ступінь дисбіозу ротової порожнини.</w:t>
      </w:r>
    </w:p>
    <w:p w:rsidR="000F78D0" w:rsidRDefault="000F78D0"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цілому прогностична інформативність пара клінічних показників (</w:t>
      </w:r>
      <w:r w:rsidR="00836C93">
        <w:rPr>
          <w:rFonts w:ascii="Times New Roman" w:hAnsi="Times New Roman"/>
          <w:sz w:val="28"/>
          <w:szCs w:val="28"/>
          <w:lang w:val="uk-UA"/>
        </w:rPr>
        <w:t>рис. 5.</w:t>
      </w:r>
      <w:r w:rsidR="00836C93" w:rsidRPr="00836C93">
        <w:rPr>
          <w:rFonts w:ascii="Times New Roman" w:hAnsi="Times New Roman"/>
          <w:sz w:val="28"/>
          <w:szCs w:val="28"/>
          <w:lang w:val="ru-RU"/>
        </w:rPr>
        <w:t>15</w:t>
      </w:r>
      <w:r w:rsidRPr="00D950D3">
        <w:rPr>
          <w:rFonts w:ascii="Times New Roman" w:hAnsi="Times New Roman"/>
          <w:sz w:val="28"/>
          <w:szCs w:val="28"/>
          <w:lang w:val="uk-UA"/>
        </w:rPr>
        <w:t>) виявилася найвищою (І=1,75), однак незначно перевищувала в цьо</w:t>
      </w:r>
      <w:r>
        <w:rPr>
          <w:rFonts w:ascii="Times New Roman" w:hAnsi="Times New Roman"/>
          <w:sz w:val="28"/>
          <w:szCs w:val="28"/>
          <w:lang w:val="uk-UA"/>
        </w:rPr>
        <w:t>му дані стоматологічного статусу (І=1,65) хворих.</w:t>
      </w: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extent cx="5581650" cy="3238500"/>
            <wp:effectExtent l="0" t="0" r="0" b="0"/>
            <wp:docPr id="40" name="Объект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F78D0" w:rsidRDefault="00836C93"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15</w:t>
      </w:r>
      <w:r w:rsidR="000F78D0" w:rsidRPr="00D950D3">
        <w:rPr>
          <w:rFonts w:ascii="Times New Roman" w:hAnsi="Times New Roman"/>
          <w:sz w:val="28"/>
          <w:szCs w:val="28"/>
          <w:lang w:val="uk-UA"/>
        </w:rPr>
        <w:t>.</w:t>
      </w:r>
      <w:r w:rsidR="000F78D0">
        <w:rPr>
          <w:rFonts w:ascii="Times New Roman" w:hAnsi="Times New Roman"/>
          <w:sz w:val="28"/>
          <w:szCs w:val="28"/>
          <w:lang w:val="uk-UA"/>
        </w:rPr>
        <w:t xml:space="preserve"> Комплексна оцінка прогностичної значимості параклінічних показників та інших видів обстеження. </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Враховуючи, що всі види обстеження виявили помірну або значну прогностичну значимість, це дозволяє сформувати узагальнений прогностичний алгоритм (табл.  </w:t>
      </w:r>
      <w:r w:rsidR="00836C93">
        <w:rPr>
          <w:rFonts w:ascii="Times New Roman" w:hAnsi="Times New Roman"/>
          <w:sz w:val="28"/>
          <w:szCs w:val="28"/>
          <w:lang w:val="uk-UA"/>
        </w:rPr>
        <w:t>5.</w:t>
      </w:r>
      <w:r w:rsidR="00836C93" w:rsidRPr="00BD4FE3">
        <w:rPr>
          <w:rFonts w:ascii="Times New Roman" w:hAnsi="Times New Roman"/>
          <w:sz w:val="28"/>
          <w:szCs w:val="28"/>
          <w:lang w:val="uk-UA"/>
        </w:rPr>
        <w:t>3</w:t>
      </w:r>
      <w:r w:rsidRPr="00D950D3">
        <w:rPr>
          <w:rFonts w:ascii="Times New Roman" w:hAnsi="Times New Roman"/>
          <w:sz w:val="28"/>
          <w:szCs w:val="28"/>
          <w:lang w:val="uk-UA"/>
        </w:rPr>
        <w:t>8).</w:t>
      </w:r>
    </w:p>
    <w:p w:rsidR="000F78D0" w:rsidRDefault="000F78D0" w:rsidP="00AC605C">
      <w:pPr>
        <w:tabs>
          <w:tab w:val="left" w:pos="1230"/>
        </w:tabs>
        <w:spacing w:line="360" w:lineRule="auto"/>
        <w:ind w:firstLine="426"/>
        <w:jc w:val="right"/>
        <w:rPr>
          <w:rFonts w:ascii="Times New Roman" w:hAnsi="Times New Roman"/>
          <w:sz w:val="28"/>
          <w:szCs w:val="28"/>
          <w:lang w:val="uk-UA"/>
        </w:rPr>
      </w:pPr>
      <w:r w:rsidRPr="00D950D3">
        <w:rPr>
          <w:rFonts w:ascii="Times New Roman" w:hAnsi="Times New Roman"/>
          <w:i/>
          <w:sz w:val="28"/>
          <w:szCs w:val="28"/>
          <w:lang w:val="uk-UA"/>
        </w:rPr>
        <w:t>Таблиця</w:t>
      </w:r>
      <w:r w:rsidRPr="00D950D3">
        <w:rPr>
          <w:rFonts w:ascii="Times New Roman" w:hAnsi="Times New Roman"/>
          <w:sz w:val="28"/>
          <w:szCs w:val="28"/>
          <w:lang w:val="uk-UA"/>
        </w:rPr>
        <w:t xml:space="preserve"> </w:t>
      </w:r>
      <w:r w:rsidR="00836C93">
        <w:rPr>
          <w:rFonts w:ascii="Times New Roman" w:hAnsi="Times New Roman"/>
          <w:i/>
          <w:sz w:val="28"/>
          <w:szCs w:val="28"/>
          <w:lang w:val="uk-UA"/>
        </w:rPr>
        <w:t>5.</w:t>
      </w:r>
      <w:r w:rsidR="00836C93" w:rsidRPr="00BD4FE3">
        <w:rPr>
          <w:rFonts w:ascii="Times New Roman" w:hAnsi="Times New Roman"/>
          <w:i/>
          <w:sz w:val="28"/>
          <w:szCs w:val="28"/>
          <w:lang w:val="uk-UA"/>
        </w:rPr>
        <w:t>3</w:t>
      </w:r>
      <w:r w:rsidRPr="00D950D3">
        <w:rPr>
          <w:rFonts w:ascii="Times New Roman" w:hAnsi="Times New Roman"/>
          <w:i/>
          <w:sz w:val="28"/>
          <w:szCs w:val="28"/>
          <w:lang w:val="uk-UA"/>
        </w:rPr>
        <w:t>8</w:t>
      </w:r>
    </w:p>
    <w:p w:rsidR="000F78D0" w:rsidRDefault="000F78D0" w:rsidP="00AC605C">
      <w:pPr>
        <w:tabs>
          <w:tab w:val="left" w:pos="1230"/>
        </w:tabs>
        <w:spacing w:line="360" w:lineRule="auto"/>
        <w:ind w:firstLine="426"/>
        <w:jc w:val="center"/>
        <w:rPr>
          <w:rFonts w:ascii="Times New Roman" w:hAnsi="Times New Roman"/>
          <w:sz w:val="28"/>
          <w:szCs w:val="28"/>
          <w:lang w:val="uk-UA"/>
        </w:rPr>
      </w:pPr>
      <w:r>
        <w:rPr>
          <w:rFonts w:ascii="Times New Roman" w:hAnsi="Times New Roman"/>
          <w:sz w:val="28"/>
          <w:szCs w:val="28"/>
          <w:lang w:val="uk-UA"/>
        </w:rPr>
        <w:t>Алгоритм прогнозу тяжкості запальних захворювань пародонта у дівчат-підлітків з ПМФ.</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3118"/>
        <w:gridCol w:w="1777"/>
        <w:gridCol w:w="2564"/>
        <w:gridCol w:w="1754"/>
      </w:tblGrid>
      <w:tr w:rsidR="000F78D0" w:rsidRPr="001336DC" w:rsidTr="009A5EDB">
        <w:tc>
          <w:tcPr>
            <w:tcW w:w="534" w:type="dxa"/>
          </w:tcPr>
          <w:p w:rsidR="000F78D0" w:rsidRPr="001336DC" w:rsidRDefault="000F78D0" w:rsidP="006A163F">
            <w:pPr>
              <w:ind w:left="284" w:hanging="284"/>
              <w:jc w:val="both"/>
              <w:rPr>
                <w:rFonts w:ascii="Times New Roman" w:hAnsi="Times New Roman"/>
                <w:sz w:val="28"/>
                <w:szCs w:val="28"/>
                <w:lang w:val="uk-UA"/>
              </w:rPr>
            </w:pPr>
            <w:r w:rsidRPr="001336DC">
              <w:rPr>
                <w:rFonts w:ascii="Times New Roman" w:hAnsi="Times New Roman"/>
                <w:sz w:val="28"/>
                <w:szCs w:val="28"/>
                <w:lang w:val="uk-UA"/>
              </w:rPr>
              <w:t>№</w:t>
            </w:r>
          </w:p>
        </w:tc>
        <w:tc>
          <w:tcPr>
            <w:tcW w:w="3118" w:type="dxa"/>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Показники</w:t>
            </w:r>
          </w:p>
        </w:tc>
        <w:tc>
          <w:tcPr>
            <w:tcW w:w="1777"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Градації показників</w:t>
            </w:r>
          </w:p>
        </w:tc>
        <w:tc>
          <w:tcPr>
            <w:tcW w:w="2564"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Прогностичний коефіцієнт (ПК)</w:t>
            </w:r>
          </w:p>
        </w:tc>
        <w:tc>
          <w:tcPr>
            <w:tcW w:w="1754" w:type="dxa"/>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Інформативність (І)</w:t>
            </w:r>
          </w:p>
        </w:tc>
      </w:tr>
      <w:tr w:rsidR="000F78D0" w:rsidRPr="001336DC" w:rsidTr="009A5EDB">
        <w:tc>
          <w:tcPr>
            <w:tcW w:w="534" w:type="dxa"/>
            <w:vMerge w:val="restart"/>
          </w:tcPr>
          <w:p w:rsidR="000F78D0" w:rsidRPr="001336DC" w:rsidRDefault="000F78D0" w:rsidP="006A163F">
            <w:pPr>
              <w:numPr>
                <w:ilvl w:val="0"/>
                <w:numId w:val="26"/>
              </w:numPr>
              <w:ind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підлітка</w:t>
            </w:r>
          </w:p>
        </w:tc>
        <w:tc>
          <w:tcPr>
            <w:tcW w:w="1777"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2564"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+ 11,8</w:t>
            </w:r>
          </w:p>
        </w:tc>
        <w:tc>
          <w:tcPr>
            <w:tcW w:w="1754"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6,39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777"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3</w:t>
            </w:r>
          </w:p>
        </w:tc>
        <w:tc>
          <w:tcPr>
            <w:tcW w:w="2564"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- 7,0</w:t>
            </w:r>
          </w:p>
        </w:tc>
        <w:tc>
          <w:tcPr>
            <w:tcW w:w="1754"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праматерів</w:t>
            </w:r>
          </w:p>
        </w:tc>
        <w:tc>
          <w:tcPr>
            <w:tcW w:w="1777"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2564"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+ 11,5</w:t>
            </w:r>
          </w:p>
        </w:tc>
        <w:tc>
          <w:tcPr>
            <w:tcW w:w="1754"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3,84</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777"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2564"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54"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777"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5</w:t>
            </w:r>
          </w:p>
        </w:tc>
        <w:tc>
          <w:tcPr>
            <w:tcW w:w="2564"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- 6,2</w:t>
            </w:r>
          </w:p>
        </w:tc>
        <w:tc>
          <w:tcPr>
            <w:tcW w:w="1754" w:type="dxa"/>
            <w:vMerge/>
          </w:tcPr>
          <w:p w:rsidR="000F78D0" w:rsidRPr="001336DC" w:rsidRDefault="000F78D0" w:rsidP="00E03819">
            <w:pPr>
              <w:ind w:firstLine="27"/>
              <w:jc w:val="center"/>
              <w:rPr>
                <w:rFonts w:ascii="Times New Roman" w:hAnsi="Times New Roman"/>
                <w:sz w:val="28"/>
                <w:szCs w:val="28"/>
                <w:lang w:val="uk-UA"/>
              </w:rPr>
            </w:pPr>
          </w:p>
        </w:tc>
      </w:tr>
    </w:tbl>
    <w:p w:rsidR="009A5EDB" w:rsidRDefault="009A5EDB" w:rsidP="009A5EDB">
      <w:pPr>
        <w:jc w:val="right"/>
      </w:pPr>
      <w:r w:rsidRPr="002518E6">
        <w:rPr>
          <w:rFonts w:ascii="Times New Roman" w:hAnsi="Times New Roman"/>
          <w:i/>
          <w:sz w:val="28"/>
          <w:szCs w:val="28"/>
          <w:lang w:val="uk-UA"/>
        </w:rPr>
        <w:lastRenderedPageBreak/>
        <w:t>Продовження табл.5</w:t>
      </w:r>
      <w:r w:rsidR="00836C93">
        <w:rPr>
          <w:rFonts w:ascii="Times New Roman" w:hAnsi="Times New Roman"/>
          <w:i/>
          <w:sz w:val="28"/>
          <w:szCs w:val="28"/>
          <w:lang w:val="uk-UA"/>
        </w:rPr>
        <w:t>.</w:t>
      </w:r>
      <w:r w:rsidR="00836C93">
        <w:rPr>
          <w:rFonts w:ascii="Times New Roman" w:hAnsi="Times New Roman"/>
          <w:i/>
          <w:sz w:val="28"/>
          <w:szCs w:val="28"/>
        </w:rPr>
        <w:t>3</w:t>
      </w:r>
      <w:r>
        <w:rPr>
          <w:rFonts w:ascii="Times New Roman" w:hAnsi="Times New Roman"/>
          <w:i/>
          <w:sz w:val="28"/>
          <w:szCs w:val="28"/>
          <w:lang w:val="uk-UA"/>
        </w:rPr>
        <w:t>8</w:t>
      </w:r>
    </w:p>
    <w:p w:rsidR="006A163F" w:rsidRDefault="006A163F"/>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118"/>
        <w:gridCol w:w="1843"/>
        <w:gridCol w:w="2551"/>
        <w:gridCol w:w="1701"/>
      </w:tblGrid>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+7,2</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3,70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5</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-6,4</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Поєднані аномалії розвитку зубо-щелепної системи</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3,46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Тривалість грудного вигодовування, міс</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6,0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2,51</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6,1-9,0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≥9,1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Оптична щільність кісткових відділів пародонта, Д</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≤125</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2,49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126-130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131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Лізоцим в слині, од/л</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2,46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+8,1</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Ступінь дисбіозу порожнини рота, ум.од.</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3,0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2,34</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3,1-4,0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КПВ, ум.од.</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≤4,4</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2,03</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4,5-6,5</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6,6</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rPr>
              <w:t>sIgA</w:t>
            </w:r>
            <w:r w:rsidRPr="001336DC">
              <w:rPr>
                <w:rFonts w:ascii="Times New Roman" w:hAnsi="Times New Roman"/>
                <w:sz w:val="28"/>
                <w:szCs w:val="28"/>
                <w:lang w:val="uk-UA"/>
              </w:rPr>
              <w:t xml:space="preserve"> в слині, мг/л</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0,20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1,95</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0,21-0,30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0,31-0,40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0,41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+7,1</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Прояви алергії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-7,5</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1,85</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каріозних зубів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1,72</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-5,3</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Прояви алергії в дитячому віці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1,48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Електрофоретично рухомі ядра букального епітелію,%</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40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1,31</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41-50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51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каріозних зубів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+6,1</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1,25</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11-20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Індекс Федорова-Володкіної, ум.од.</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1,21</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2,1-2,5</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2,6</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bl>
    <w:p w:rsidR="009A5EDB" w:rsidRDefault="009A5EDB">
      <w:pPr>
        <w:rPr>
          <w:lang w:val="uk-UA"/>
        </w:rPr>
      </w:pPr>
    </w:p>
    <w:p w:rsidR="009A5EDB" w:rsidRDefault="009A5EDB">
      <w:pPr>
        <w:rPr>
          <w:lang w:val="uk-UA"/>
        </w:rPr>
      </w:pPr>
    </w:p>
    <w:p w:rsidR="009A5EDB" w:rsidRDefault="009A5EDB" w:rsidP="009A5EDB">
      <w:pPr>
        <w:jc w:val="right"/>
      </w:pPr>
      <w:r w:rsidRPr="002518E6">
        <w:rPr>
          <w:rFonts w:ascii="Times New Roman" w:hAnsi="Times New Roman"/>
          <w:i/>
          <w:sz w:val="28"/>
          <w:szCs w:val="28"/>
          <w:lang w:val="uk-UA"/>
        </w:rPr>
        <w:lastRenderedPageBreak/>
        <w:t>Продовження табл.5</w:t>
      </w:r>
      <w:r w:rsidR="00836C93">
        <w:rPr>
          <w:rFonts w:ascii="Times New Roman" w:hAnsi="Times New Roman"/>
          <w:i/>
          <w:sz w:val="28"/>
          <w:szCs w:val="28"/>
          <w:lang w:val="uk-UA"/>
        </w:rPr>
        <w:t>.</w:t>
      </w:r>
      <w:r w:rsidR="00836C93">
        <w:rPr>
          <w:rFonts w:ascii="Times New Roman" w:hAnsi="Times New Roman"/>
          <w:i/>
          <w:sz w:val="28"/>
          <w:szCs w:val="28"/>
        </w:rPr>
        <w:t>3</w:t>
      </w:r>
      <w:r>
        <w:rPr>
          <w:rFonts w:ascii="Times New Roman" w:hAnsi="Times New Roman"/>
          <w:i/>
          <w:sz w:val="28"/>
          <w:szCs w:val="28"/>
          <w:lang w:val="uk-UA"/>
        </w:rPr>
        <w:t>8</w:t>
      </w:r>
    </w:p>
    <w:p w:rsidR="009A5EDB" w:rsidRPr="009A5EDB" w:rsidRDefault="009A5EDB">
      <w:pPr>
        <w:rPr>
          <w:lang w:val="uk-UA"/>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118"/>
        <w:gridCol w:w="1843"/>
        <w:gridCol w:w="2551"/>
        <w:gridCol w:w="1701"/>
      </w:tblGrid>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Аномалії розвитку зубощелепної сиситеми</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-3,8</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1,20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+8,8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Пародонтит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1,20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 у праматерів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1,16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Дієтичний режим</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1,16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1,13</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3</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-4,3</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Уреаза в слині, мккат/л</w:t>
            </w:r>
          </w:p>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0,10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+6,0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1,12</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0,11-0,13</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≥0,14</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Спрощений індекс гігієни порожнини рота, ум.од.</w:t>
            </w:r>
          </w:p>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1,6</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+4,9</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≥1,7</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ІМТ, ум.од.</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18,1-25,0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 25,0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Алергія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-5,1</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1,04</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Перенесені дитячі інфекції</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1,02</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Ендокринна патологія у підлітка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-3,5</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0,96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+2,4</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Гіпоплазія матки</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0,96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Зловживання солодощами, фастфудом</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0,96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+4,2</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Алергія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-4,8</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0,82</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Підвищене учбове навантаження</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0,81</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Фізичні перевантаження</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0,81</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Маса тіла при народженні, г</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≤2500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0,80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2501-4000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≥4001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bl>
    <w:p w:rsidR="009A5EDB" w:rsidRDefault="009A5EDB" w:rsidP="009A5EDB">
      <w:pPr>
        <w:jc w:val="right"/>
      </w:pPr>
      <w:r w:rsidRPr="002518E6">
        <w:rPr>
          <w:rFonts w:ascii="Times New Roman" w:hAnsi="Times New Roman"/>
          <w:i/>
          <w:sz w:val="28"/>
          <w:szCs w:val="28"/>
          <w:lang w:val="uk-UA"/>
        </w:rPr>
        <w:lastRenderedPageBreak/>
        <w:t>Продовження табл.5</w:t>
      </w:r>
      <w:r w:rsidR="00836C93">
        <w:rPr>
          <w:rFonts w:ascii="Times New Roman" w:hAnsi="Times New Roman"/>
          <w:i/>
          <w:sz w:val="28"/>
          <w:szCs w:val="28"/>
          <w:lang w:val="uk-UA"/>
        </w:rPr>
        <w:t>.</w:t>
      </w:r>
      <w:r w:rsidR="00836C93">
        <w:rPr>
          <w:rFonts w:ascii="Times New Roman" w:hAnsi="Times New Roman"/>
          <w:i/>
          <w:sz w:val="28"/>
          <w:szCs w:val="28"/>
        </w:rPr>
        <w:t>3</w:t>
      </w:r>
      <w:r>
        <w:rPr>
          <w:rFonts w:ascii="Times New Roman" w:hAnsi="Times New Roman"/>
          <w:i/>
          <w:sz w:val="28"/>
          <w:szCs w:val="28"/>
          <w:lang w:val="uk-UA"/>
        </w:rPr>
        <w:t>8</w:t>
      </w:r>
    </w:p>
    <w:p w:rsidR="009A5EDB" w:rsidRDefault="009A5EDB"/>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118"/>
        <w:gridCol w:w="1843"/>
        <w:gridCol w:w="2551"/>
        <w:gridCol w:w="1701"/>
      </w:tblGrid>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Кількість хронічних захворювань у батька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0,80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sz w:val="28"/>
                <w:szCs w:val="28"/>
                <w:lang w:val="uk-UA"/>
              </w:rPr>
              <w:t>≥</w:t>
            </w:r>
            <w:r w:rsidRPr="001336DC">
              <w:rPr>
                <w:rFonts w:ascii="Times New Roman" w:hAnsi="Times New Roman"/>
                <w:sz w:val="28"/>
                <w:szCs w:val="28"/>
                <w:lang w:val="uk-UA"/>
              </w:rPr>
              <w:t>3</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-7,4</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-3,4</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0,78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Алергія у підлітка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0,75</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Тривалість перебування на свіжому повітрі, год</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0,74</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≥3,1</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Загроза переривання вагітності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-2,8</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0,74</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0,69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Алергія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-4,0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0,69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ЛОР-патологія у підлітка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0,66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Тютюнопаління</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0,64</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+2,6</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Кальцій в слині, ммоль/л</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≤0,70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0,58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0,71-0,90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≥0,90</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Серцево-судинні захворювання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ЛОР-патологія у матері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E03819">
            <w:pPr>
              <w:ind w:firstLine="27"/>
              <w:jc w:val="center"/>
            </w:pPr>
            <w:r w:rsidRPr="001336DC">
              <w:rPr>
                <w:rFonts w:ascii="Times New Roman" w:hAnsi="Times New Roman"/>
                <w:sz w:val="28"/>
                <w:szCs w:val="28"/>
                <w:lang w:val="uk-UA"/>
              </w:rPr>
              <w:t>0,48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Гестоз 1ої половини вагітності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наявний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val="restart"/>
          </w:tcPr>
          <w:p w:rsidR="000F78D0" w:rsidRPr="001336DC" w:rsidRDefault="000F78D0" w:rsidP="00E03819">
            <w:pPr>
              <w:ind w:firstLine="27"/>
              <w:jc w:val="center"/>
            </w:pPr>
            <w:r w:rsidRPr="001336DC">
              <w:rPr>
                <w:rFonts w:ascii="Times New Roman" w:hAnsi="Times New Roman"/>
                <w:sz w:val="28"/>
                <w:szCs w:val="28"/>
                <w:lang w:val="uk-UA"/>
              </w:rPr>
              <w:t>0,48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відсутній</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9A5EDB">
            <w:pPr>
              <w:ind w:firstLine="33"/>
              <w:rPr>
                <w:rFonts w:ascii="Times New Roman" w:hAnsi="Times New Roman"/>
                <w:sz w:val="28"/>
                <w:szCs w:val="28"/>
                <w:lang w:val="uk-UA"/>
              </w:rPr>
            </w:pPr>
            <w:r w:rsidRPr="001336DC">
              <w:rPr>
                <w:rFonts w:ascii="Times New Roman" w:hAnsi="Times New Roman"/>
                <w:sz w:val="28"/>
                <w:szCs w:val="28"/>
                <w:lang w:val="uk-UA"/>
              </w:rPr>
              <w:t>Захворювання шлунково-кишкового тракту у підлітка</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-3,0</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Фетоплацентарна недостатність</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0,43</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Характер розродження</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Кесарів розтин</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0,43</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самостійне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Переважання в дієті жирних і гострих страв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-3,6</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+1,1</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ЛОР-патологія в дитячому віці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-2,3</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0,40</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bl>
    <w:p w:rsidR="009A5EDB" w:rsidRDefault="009A5EDB">
      <w:pPr>
        <w:rPr>
          <w:lang w:val="uk-UA"/>
        </w:rPr>
      </w:pPr>
    </w:p>
    <w:p w:rsidR="009A5EDB" w:rsidRDefault="009A5EDB" w:rsidP="009A5EDB">
      <w:pPr>
        <w:jc w:val="right"/>
      </w:pPr>
      <w:r w:rsidRPr="002518E6">
        <w:rPr>
          <w:rFonts w:ascii="Times New Roman" w:hAnsi="Times New Roman"/>
          <w:i/>
          <w:sz w:val="28"/>
          <w:szCs w:val="28"/>
          <w:lang w:val="uk-UA"/>
        </w:rPr>
        <w:lastRenderedPageBreak/>
        <w:t>Продовження табл.5</w:t>
      </w:r>
      <w:r w:rsidR="00836C93">
        <w:rPr>
          <w:rFonts w:ascii="Times New Roman" w:hAnsi="Times New Roman"/>
          <w:i/>
          <w:sz w:val="28"/>
          <w:szCs w:val="28"/>
          <w:lang w:val="uk-UA"/>
        </w:rPr>
        <w:t>.</w:t>
      </w:r>
      <w:r w:rsidR="00836C93">
        <w:rPr>
          <w:rFonts w:ascii="Times New Roman" w:hAnsi="Times New Roman"/>
          <w:i/>
          <w:sz w:val="28"/>
          <w:szCs w:val="28"/>
        </w:rPr>
        <w:t>3</w:t>
      </w:r>
      <w:r>
        <w:rPr>
          <w:rFonts w:ascii="Times New Roman" w:hAnsi="Times New Roman"/>
          <w:i/>
          <w:sz w:val="28"/>
          <w:szCs w:val="28"/>
          <w:lang w:val="uk-UA"/>
        </w:rPr>
        <w:t>8</w:t>
      </w:r>
    </w:p>
    <w:p w:rsidR="009A5EDB" w:rsidRPr="009A5EDB" w:rsidRDefault="009A5EDB">
      <w:pPr>
        <w:rPr>
          <w:lang w:val="uk-UA"/>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118"/>
        <w:gridCol w:w="1843"/>
        <w:gridCol w:w="2551"/>
        <w:gridCol w:w="1701"/>
      </w:tblGrid>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Злоякісні новоутворення у прабатьків</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0,38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Часті ГРВІ в дитячому віці</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0,38</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Грудне вигодовування</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Наявне</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0,36</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відсутнє</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-1,8</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Ускладнені пологи</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-1,5</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0,33</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відсутні</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+2,0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r w:rsidR="000F78D0" w:rsidRPr="001336DC" w:rsidTr="009A5EDB">
        <w:tc>
          <w:tcPr>
            <w:tcW w:w="534" w:type="dxa"/>
            <w:vMerge w:val="restart"/>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val="restart"/>
          </w:tcPr>
          <w:p w:rsidR="000F78D0" w:rsidRPr="001336DC" w:rsidRDefault="000F78D0" w:rsidP="006A163F">
            <w:pPr>
              <w:ind w:firstLine="33"/>
              <w:rPr>
                <w:rFonts w:ascii="Times New Roman" w:hAnsi="Times New Roman"/>
                <w:sz w:val="28"/>
                <w:szCs w:val="28"/>
                <w:lang w:val="uk-UA"/>
              </w:rPr>
            </w:pPr>
            <w:r w:rsidRPr="001336DC">
              <w:rPr>
                <w:rFonts w:ascii="Times New Roman" w:hAnsi="Times New Roman"/>
                <w:sz w:val="28"/>
                <w:szCs w:val="28"/>
                <w:lang w:val="uk-UA"/>
              </w:rPr>
              <w:t>Приясенна локалізація карієсу</w:t>
            </w: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наявна</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-3,2</w:t>
            </w:r>
          </w:p>
        </w:tc>
        <w:tc>
          <w:tcPr>
            <w:tcW w:w="1701" w:type="dxa"/>
            <w:vMerge w:val="restart"/>
          </w:tcPr>
          <w:p w:rsidR="000F78D0" w:rsidRPr="001336DC" w:rsidRDefault="000F78D0" w:rsidP="00E03819">
            <w:pPr>
              <w:ind w:firstLine="27"/>
              <w:jc w:val="center"/>
              <w:rPr>
                <w:rFonts w:ascii="Times New Roman" w:hAnsi="Times New Roman"/>
                <w:sz w:val="28"/>
                <w:szCs w:val="28"/>
                <w:lang w:val="uk-UA"/>
              </w:rPr>
            </w:pPr>
            <w:r w:rsidRPr="001336DC">
              <w:rPr>
                <w:rFonts w:ascii="Times New Roman" w:hAnsi="Times New Roman"/>
                <w:sz w:val="28"/>
                <w:szCs w:val="28"/>
                <w:lang w:val="uk-UA"/>
              </w:rPr>
              <w:t>0,29</w:t>
            </w:r>
          </w:p>
        </w:tc>
      </w:tr>
      <w:tr w:rsidR="000F78D0" w:rsidRPr="001336DC" w:rsidTr="009A5EDB">
        <w:tc>
          <w:tcPr>
            <w:tcW w:w="534" w:type="dxa"/>
            <w:vMerge/>
          </w:tcPr>
          <w:p w:rsidR="000F78D0" w:rsidRPr="001336DC" w:rsidRDefault="000F78D0" w:rsidP="006A163F">
            <w:pPr>
              <w:numPr>
                <w:ilvl w:val="0"/>
                <w:numId w:val="26"/>
              </w:numPr>
              <w:ind w:left="284" w:hanging="284"/>
              <w:jc w:val="both"/>
              <w:rPr>
                <w:rFonts w:ascii="Times New Roman" w:hAnsi="Times New Roman"/>
                <w:sz w:val="28"/>
                <w:szCs w:val="28"/>
                <w:lang w:val="uk-UA"/>
              </w:rPr>
            </w:pPr>
          </w:p>
        </w:tc>
        <w:tc>
          <w:tcPr>
            <w:tcW w:w="3118" w:type="dxa"/>
            <w:vMerge/>
          </w:tcPr>
          <w:p w:rsidR="000F78D0" w:rsidRPr="001336DC" w:rsidRDefault="000F78D0" w:rsidP="006A163F">
            <w:pPr>
              <w:ind w:firstLine="33"/>
              <w:rPr>
                <w:rFonts w:ascii="Times New Roman" w:hAnsi="Times New Roman"/>
                <w:sz w:val="28"/>
                <w:szCs w:val="28"/>
                <w:lang w:val="uk-UA"/>
              </w:rPr>
            </w:pPr>
          </w:p>
        </w:tc>
        <w:tc>
          <w:tcPr>
            <w:tcW w:w="1843"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відсутня</w:t>
            </w:r>
          </w:p>
        </w:tc>
        <w:tc>
          <w:tcPr>
            <w:tcW w:w="2551" w:type="dxa"/>
          </w:tcPr>
          <w:p w:rsidR="000F78D0" w:rsidRPr="001336DC" w:rsidRDefault="000F78D0" w:rsidP="00E03819">
            <w:pPr>
              <w:jc w:val="center"/>
              <w:rPr>
                <w:rFonts w:ascii="Times New Roman" w:hAnsi="Times New Roman"/>
                <w:sz w:val="28"/>
                <w:szCs w:val="28"/>
                <w:lang w:val="uk-UA"/>
              </w:rPr>
            </w:pPr>
            <w:r w:rsidRPr="001336DC">
              <w:rPr>
                <w:rFonts w:ascii="Times New Roman" w:hAnsi="Times New Roman"/>
                <w:sz w:val="28"/>
                <w:szCs w:val="28"/>
                <w:lang w:val="uk-UA"/>
              </w:rPr>
              <w:t>+1,0</w:t>
            </w:r>
          </w:p>
        </w:tc>
        <w:tc>
          <w:tcPr>
            <w:tcW w:w="1701" w:type="dxa"/>
            <w:vMerge/>
          </w:tcPr>
          <w:p w:rsidR="000F78D0" w:rsidRPr="001336DC" w:rsidRDefault="000F78D0" w:rsidP="00E03819">
            <w:pPr>
              <w:ind w:firstLine="27"/>
              <w:jc w:val="center"/>
              <w:rPr>
                <w:rFonts w:ascii="Times New Roman" w:hAnsi="Times New Roman"/>
                <w:sz w:val="28"/>
                <w:szCs w:val="28"/>
                <w:lang w:val="uk-UA"/>
              </w:rPr>
            </w:pPr>
          </w:p>
        </w:tc>
      </w:tr>
    </w:tbl>
    <w:p w:rsidR="000F78D0" w:rsidRDefault="000F78D0" w:rsidP="00633A7E">
      <w:pPr>
        <w:spacing w:line="360" w:lineRule="auto"/>
        <w:ind w:firstLine="709"/>
        <w:jc w:val="both"/>
        <w:rPr>
          <w:rFonts w:ascii="Times New Roman" w:hAnsi="Times New Roman"/>
          <w:sz w:val="28"/>
          <w:szCs w:val="28"/>
          <w:lang w:val="uk-UA"/>
        </w:rPr>
      </w:pPr>
      <w:r w:rsidRPr="007B7B42">
        <w:rPr>
          <w:rFonts w:ascii="Times New Roman" w:hAnsi="Times New Roman"/>
          <w:i/>
          <w:sz w:val="28"/>
          <w:szCs w:val="28"/>
          <w:lang w:val="uk-UA"/>
        </w:rPr>
        <w:t>Примітка</w:t>
      </w:r>
      <w:r>
        <w:rPr>
          <w:rFonts w:ascii="Times New Roman" w:hAnsi="Times New Roman"/>
          <w:sz w:val="28"/>
          <w:szCs w:val="28"/>
          <w:lang w:val="uk-UA"/>
        </w:rPr>
        <w:t>. Знак (+) свідчить на користь легкого ступеня гінгівіту, а знак (-) – на користь більш тяжкого перебігу запальних захворювань пародонта.</w:t>
      </w:r>
    </w:p>
    <w:p w:rsidR="000F78D0"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якості прикладу роботи з алгоритмом наводимо дані обстеження підлітка О., 13 років.</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Обстеження підлітка згідно з алгоритмом (табл</w:t>
      </w:r>
      <w:r w:rsidR="00836C93">
        <w:rPr>
          <w:rFonts w:ascii="Times New Roman" w:hAnsi="Times New Roman"/>
          <w:sz w:val="28"/>
          <w:szCs w:val="28"/>
          <w:lang w:val="uk-UA"/>
        </w:rPr>
        <w:t>. 5.</w:t>
      </w:r>
      <w:r w:rsidR="00836C93" w:rsidRPr="00BD4FE3">
        <w:rPr>
          <w:rFonts w:ascii="Times New Roman" w:hAnsi="Times New Roman"/>
          <w:sz w:val="28"/>
          <w:szCs w:val="28"/>
          <w:lang w:val="ru-RU"/>
        </w:rPr>
        <w:t>3</w:t>
      </w:r>
      <w:r w:rsidRPr="00D950D3">
        <w:rPr>
          <w:rFonts w:ascii="Times New Roman" w:hAnsi="Times New Roman"/>
          <w:sz w:val="28"/>
          <w:szCs w:val="28"/>
          <w:lang w:val="uk-UA"/>
        </w:rPr>
        <w:t>8) принесло</w:t>
      </w:r>
      <w:r>
        <w:rPr>
          <w:rFonts w:ascii="Times New Roman" w:hAnsi="Times New Roman"/>
          <w:sz w:val="28"/>
          <w:szCs w:val="28"/>
          <w:lang w:val="uk-UA"/>
        </w:rPr>
        <w:t xml:space="preserve"> наступні результати:</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хронічних захворювань у підлітка – 4 (-7,0);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хронічних захворювань у праматерів – 3 (+3,6);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хронічних захворювань у прабатьків – 5 (-6,4);</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поєднані аномалії розвитку зубо-щелепної системи – наявні (-3,8);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оптична щільність кісткових відділів пародонта – 127Д (-1,0);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лізоцим в слині – 38 од/л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тривалість грудного вигодовування – 8 міс. (0);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ступінь дисбіозу – 4,3 ум.од. (-8,8);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КПВ – 5,1 ум.од. (-2,8);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рівень </w:t>
      </w:r>
      <w:r>
        <w:rPr>
          <w:rFonts w:ascii="Times New Roman" w:hAnsi="Times New Roman"/>
          <w:sz w:val="28"/>
          <w:szCs w:val="28"/>
        </w:rPr>
        <w:t>sIgA</w:t>
      </w:r>
      <w:r w:rsidRPr="000D7501">
        <w:rPr>
          <w:rFonts w:ascii="Times New Roman" w:hAnsi="Times New Roman"/>
          <w:sz w:val="28"/>
          <w:szCs w:val="28"/>
          <w:lang w:val="uk-UA"/>
        </w:rPr>
        <w:t xml:space="preserve"> </w:t>
      </w:r>
      <w:r>
        <w:rPr>
          <w:rFonts w:ascii="Times New Roman" w:hAnsi="Times New Roman"/>
          <w:sz w:val="28"/>
          <w:szCs w:val="28"/>
          <w:lang w:val="uk-UA"/>
        </w:rPr>
        <w:t>в слині – 0,33 мг/л (+6,0);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прояви алергії у праматерів – наявні (-7,5);</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каріозних зубів у матері – 18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алергія в дитячому віці – наявна (-7,5);</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підвищене учбове навантаження – наявне (-3,6);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кількість каріозних зубів у батька – 20 (0);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індекс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 3,0 ум.од. (-4,3);</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аномалії розвитку зубо-щелепної системи – наявні (-3,8);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пародонтит у матері – наявний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каріозних зубів у батька – 24 (-3,0);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серцево-судинні захворювання у праматерів – відсутні (+4,0);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дієтичний режим – наявний (-2,6); </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хронічних захворювань у матері – 4 (-4,3);</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уреаза в слині – 0,17 мккат/л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спрощений індекс – 2,0 ум.од. (-2,0);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ІМТ – 16,2 ум.од. (-2,3);</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алергія у матері - наявна (-5,1);</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перенесені дитячі інфекції – відсутні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ендокринна патологія у підлітка – відсутня (+2,4);</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гіпоплазія матки – відсутня (+4,2);</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зловживання солодощами – наявне (-2,0);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алергія у батька - відсутня (+1,5);</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малорухомий спосіб життя – наявний (-3,4);</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алергія у підлітка – наявна (-4,0);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кількість хронічних захворювань у батька – 2 (+1,0);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тривалість перебування на свіжому повітрі – 1,5 год. (-3,0);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загроза переривання вагітності – наявна (-2,8);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захворювання ШКТ у матері – відсутні (+1,5);</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алергія у прабатьків – наявна (-4,0);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ЛОР-патологія у підлітка – відсутня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тютюнопаління – відсутнє (+2,6);</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кальцій в слині – 0,69 ммоль/л (-2,0);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серцево-судинні захворювання у матері – наявні (-2,0);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ЛОР-хвороби у матері – відсутні (+2,0);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гестоз 1ої половини вагітності – наявний (-2,0);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захворювання ШКТ у підлітка – наявні (-3,0);</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характер розродження – Кесарів розтин (-2,3);</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переважання в дієті жирних страв – відсутнє (+1,1);</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ЛОР-патологія в дитячому віці – відсутня (+1,5);</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часті ГРВІ в дитячому віці – наявні (-3,2);</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грудне вигодовування – наявне (+1,8);</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при ясенна локалізація карієсу – наявна (-3,2).</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Алгебраїчне  підсумовування прогностичних коефіцієнтів (вони наведені в дужках) перших чотирьох ознак алгоритму дозволило досягти прогностичного порогу (Σ ПК= - 13,6) з надійністю ≥95%. Знак (-) біля суми ПК свідчить на користь вірогідності розвитку більш тяжкого ступеню запальних захворювань пародонта. Сумування восьми показників дозволило підвищити рівень надійності прогнозу до 99% (ΣПК= - 26,0), а одинадцяти показників до 99,9% (ΣПК= - 30,3). Подальше спостереження за підлітком підтвердило даний прогноз. В 15-річному віці було діагностовано катаральний гінгівіт середнього ступеня тяжкості.</w:t>
      </w:r>
    </w:p>
    <w:p w:rsidR="009A5EDB"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Рангування значень ПК зі знаком (-) даного підлітка дозволяє скласти ранговий індивідуальний патогенетичний профіль (табл. </w:t>
      </w:r>
      <w:r w:rsidR="00836C93">
        <w:rPr>
          <w:rFonts w:ascii="Times New Roman" w:hAnsi="Times New Roman"/>
          <w:sz w:val="28"/>
          <w:szCs w:val="28"/>
          <w:lang w:val="uk-UA"/>
        </w:rPr>
        <w:t>5.</w:t>
      </w:r>
      <w:r w:rsidR="00836C93" w:rsidRPr="00BD4FE3">
        <w:rPr>
          <w:rFonts w:ascii="Times New Roman" w:hAnsi="Times New Roman"/>
          <w:sz w:val="28"/>
          <w:szCs w:val="28"/>
          <w:lang w:val="uk-UA"/>
        </w:rPr>
        <w:t>3</w:t>
      </w:r>
      <w:r w:rsidRPr="00D950D3">
        <w:rPr>
          <w:rFonts w:ascii="Times New Roman" w:hAnsi="Times New Roman"/>
          <w:sz w:val="28"/>
          <w:szCs w:val="28"/>
          <w:lang w:val="uk-UA"/>
        </w:rPr>
        <w:t xml:space="preserve">9). </w:t>
      </w:r>
    </w:p>
    <w:p w:rsidR="009A5EDB" w:rsidRDefault="009A5EDB"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Із табл</w:t>
      </w:r>
      <w:r w:rsidR="00836C93">
        <w:rPr>
          <w:rFonts w:ascii="Times New Roman" w:hAnsi="Times New Roman"/>
          <w:sz w:val="28"/>
          <w:szCs w:val="28"/>
          <w:lang w:val="uk-UA"/>
        </w:rPr>
        <w:t>. 5</w:t>
      </w:r>
      <w:r w:rsidRPr="00D950D3">
        <w:rPr>
          <w:rFonts w:ascii="Times New Roman" w:hAnsi="Times New Roman"/>
          <w:sz w:val="28"/>
          <w:szCs w:val="28"/>
          <w:lang w:val="uk-UA"/>
        </w:rPr>
        <w:t>.</w:t>
      </w:r>
      <w:r w:rsidR="00836C93" w:rsidRPr="00836C93">
        <w:rPr>
          <w:rFonts w:ascii="Times New Roman" w:hAnsi="Times New Roman"/>
          <w:sz w:val="28"/>
          <w:szCs w:val="28"/>
          <w:lang w:val="uk-UA"/>
        </w:rPr>
        <w:t>3</w:t>
      </w:r>
      <w:r w:rsidRPr="00D950D3">
        <w:rPr>
          <w:rFonts w:ascii="Times New Roman" w:hAnsi="Times New Roman"/>
          <w:sz w:val="28"/>
          <w:szCs w:val="28"/>
          <w:lang w:val="uk-UA"/>
        </w:rPr>
        <w:t>9 витікає</w:t>
      </w:r>
      <w:r>
        <w:rPr>
          <w:rFonts w:ascii="Times New Roman" w:hAnsi="Times New Roman"/>
          <w:sz w:val="28"/>
          <w:szCs w:val="28"/>
          <w:lang w:val="uk-UA"/>
        </w:rPr>
        <w:t xml:space="preserve">, що головними патогенетичними факторами у підлітка  є високий ступінь дисбіозу </w:t>
      </w:r>
      <w:r w:rsidR="00713761">
        <w:rPr>
          <w:rFonts w:ascii="Times New Roman" w:hAnsi="Times New Roman"/>
          <w:sz w:val="28"/>
          <w:szCs w:val="28"/>
          <w:lang w:val="uk-UA"/>
        </w:rPr>
        <w:t>ПР</w:t>
      </w:r>
      <w:r>
        <w:rPr>
          <w:rFonts w:ascii="Times New Roman" w:hAnsi="Times New Roman"/>
          <w:sz w:val="28"/>
          <w:szCs w:val="28"/>
          <w:lang w:val="uk-UA"/>
        </w:rPr>
        <w:t xml:space="preserve">  на фоні алергії, високої коморбідності хронічної патології і поганої гігієни </w:t>
      </w:r>
      <w:r w:rsidR="00713761">
        <w:rPr>
          <w:rFonts w:ascii="Times New Roman" w:hAnsi="Times New Roman"/>
          <w:sz w:val="28"/>
          <w:szCs w:val="28"/>
          <w:lang w:val="uk-UA"/>
        </w:rPr>
        <w:t>ПР</w:t>
      </w:r>
      <w:r>
        <w:rPr>
          <w:rFonts w:ascii="Times New Roman" w:hAnsi="Times New Roman"/>
          <w:sz w:val="28"/>
          <w:szCs w:val="28"/>
          <w:lang w:val="uk-UA"/>
        </w:rPr>
        <w:t>.</w:t>
      </w:r>
    </w:p>
    <w:p w:rsidR="009A5EDB" w:rsidRDefault="009A5EDB"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якості допоміжних факторів виступають підвищене учбове навантаження на фоні малорухомого способу життя, недостатнього перебування на свіжому повітрі, дієтичного режиму, що призводить до дефіциту маси тіла, зловживання солодощами.</w:t>
      </w:r>
    </w:p>
    <w:p w:rsidR="000F78D0" w:rsidRDefault="009A5EDB"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Представлений патогенетичний профіль дозволяє індивідуалізувати профілактичні зусилля по нейтралізації несприятливих прогностичних факторів і переводу прогнозу із несприятливого у сприятливий.</w:t>
      </w:r>
    </w:p>
    <w:p w:rsidR="009A5EDB" w:rsidRDefault="009A5EDB" w:rsidP="00633A7E">
      <w:pPr>
        <w:spacing w:line="360" w:lineRule="auto"/>
        <w:ind w:firstLine="709"/>
        <w:jc w:val="both"/>
        <w:rPr>
          <w:rFonts w:ascii="Times New Roman" w:hAnsi="Times New Roman"/>
          <w:sz w:val="28"/>
          <w:szCs w:val="28"/>
          <w:lang w:val="uk-UA"/>
        </w:rPr>
      </w:pPr>
    </w:p>
    <w:p w:rsidR="009A5EDB" w:rsidRDefault="009A5EDB" w:rsidP="00633A7E">
      <w:pPr>
        <w:spacing w:line="360" w:lineRule="auto"/>
        <w:ind w:firstLine="709"/>
        <w:jc w:val="both"/>
        <w:rPr>
          <w:rFonts w:ascii="Times New Roman" w:hAnsi="Times New Roman"/>
          <w:sz w:val="28"/>
          <w:szCs w:val="28"/>
          <w:lang w:val="uk-UA"/>
        </w:rPr>
      </w:pPr>
    </w:p>
    <w:p w:rsidR="009A5EDB" w:rsidRPr="00D950D3" w:rsidRDefault="009A5EDB" w:rsidP="00633A7E">
      <w:pPr>
        <w:spacing w:line="360" w:lineRule="auto"/>
        <w:ind w:firstLine="709"/>
        <w:jc w:val="both"/>
        <w:rPr>
          <w:rFonts w:ascii="Times New Roman" w:hAnsi="Times New Roman"/>
          <w:sz w:val="28"/>
          <w:szCs w:val="28"/>
          <w:lang w:val="uk-UA"/>
        </w:rPr>
      </w:pPr>
    </w:p>
    <w:p w:rsidR="000F78D0" w:rsidRPr="00616883" w:rsidRDefault="000F78D0" w:rsidP="00AC605C">
      <w:pPr>
        <w:spacing w:line="360" w:lineRule="auto"/>
        <w:ind w:firstLine="426"/>
        <w:jc w:val="right"/>
        <w:rPr>
          <w:rFonts w:ascii="Times New Roman" w:hAnsi="Times New Roman"/>
          <w:i/>
          <w:sz w:val="28"/>
          <w:szCs w:val="28"/>
          <w:lang w:val="uk-UA"/>
        </w:rPr>
      </w:pPr>
      <w:r w:rsidRPr="00D950D3">
        <w:rPr>
          <w:rFonts w:ascii="Times New Roman" w:hAnsi="Times New Roman"/>
          <w:i/>
          <w:sz w:val="28"/>
          <w:szCs w:val="28"/>
          <w:lang w:val="uk-UA"/>
        </w:rPr>
        <w:lastRenderedPageBreak/>
        <w:t>Таблиця 5</w:t>
      </w:r>
      <w:r w:rsidR="00836C93">
        <w:rPr>
          <w:rFonts w:ascii="Times New Roman" w:hAnsi="Times New Roman"/>
          <w:i/>
          <w:sz w:val="28"/>
          <w:szCs w:val="28"/>
          <w:lang w:val="uk-UA"/>
        </w:rPr>
        <w:t>.</w:t>
      </w:r>
      <w:r w:rsidR="00836C93" w:rsidRPr="00BD4FE3">
        <w:rPr>
          <w:rFonts w:ascii="Times New Roman" w:hAnsi="Times New Roman"/>
          <w:i/>
          <w:sz w:val="28"/>
          <w:szCs w:val="28"/>
          <w:lang w:val="ru-RU"/>
        </w:rPr>
        <w:t>3</w:t>
      </w:r>
      <w:r w:rsidRPr="00D950D3">
        <w:rPr>
          <w:rFonts w:ascii="Times New Roman" w:hAnsi="Times New Roman"/>
          <w:i/>
          <w:sz w:val="28"/>
          <w:szCs w:val="28"/>
          <w:lang w:val="uk-UA"/>
        </w:rPr>
        <w:t>9</w:t>
      </w:r>
    </w:p>
    <w:p w:rsidR="000F78D0" w:rsidRDefault="000F78D0" w:rsidP="00633A7E">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Рангова характеристика керованих патогенетичних факторів у підлітка О., 13 років</w:t>
      </w:r>
    </w:p>
    <w:tbl>
      <w:tblPr>
        <w:tblW w:w="9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7087"/>
        <w:gridCol w:w="851"/>
        <w:gridCol w:w="911"/>
      </w:tblGrid>
      <w:tr w:rsidR="000F78D0" w:rsidRPr="001336DC" w:rsidTr="009A5EDB">
        <w:tc>
          <w:tcPr>
            <w:tcW w:w="675" w:type="dxa"/>
          </w:tcPr>
          <w:p w:rsidR="000F78D0" w:rsidRPr="001336DC" w:rsidRDefault="000F78D0" w:rsidP="009A5EDB">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Фактори</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ПК</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Ранги</w:t>
            </w:r>
          </w:p>
        </w:tc>
      </w:tr>
      <w:tr w:rsidR="000F78D0" w:rsidRPr="001336DC" w:rsidTr="009A5EDB">
        <w:tc>
          <w:tcPr>
            <w:tcW w:w="675" w:type="dxa"/>
          </w:tcPr>
          <w:p w:rsidR="000F78D0" w:rsidRPr="001336DC" w:rsidRDefault="000F78D0" w:rsidP="009A5EDB">
            <w:pPr>
              <w:numPr>
                <w:ilvl w:val="0"/>
                <w:numId w:val="37"/>
              </w:numPr>
              <w:spacing w:line="360" w:lineRule="auto"/>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Ступінь дисбіозу</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-8,8</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Алергія в дитячому віці</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-7,5</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2</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Кількість хронічної патології</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-7,0</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3</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 xml:space="preserve">Індекс </w:t>
            </w:r>
            <w:r w:rsidR="00E71220">
              <w:rPr>
                <w:rFonts w:ascii="Times New Roman" w:hAnsi="Times New Roman"/>
                <w:sz w:val="28"/>
                <w:szCs w:val="28"/>
                <w:lang w:val="uk-UA"/>
              </w:rPr>
              <w:t>Ю.А.Федорова, В.В.Володкіної</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-4,3</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4</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Алергія у підлітка</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-4,0</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5</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Підвищене учбове навантаження</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-3,6</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6</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Малорухомий спосіб життя</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-3,4</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7</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Тривалість перебування на свіжому повітрі</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8-9</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Захворювання ШКТ підлітка</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-3,0</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8-9</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КПВ</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-2,8</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10</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Дієтичний режим</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11-12</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Лізоцим в слині</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-2,6</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11-12</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ІМТ</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-2,3</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13</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Зловживання солодощами</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14-15</w:t>
            </w:r>
          </w:p>
        </w:tc>
      </w:tr>
      <w:tr w:rsidR="000F78D0" w:rsidRPr="001336DC" w:rsidTr="009A5EDB">
        <w:tc>
          <w:tcPr>
            <w:tcW w:w="675" w:type="dxa"/>
          </w:tcPr>
          <w:p w:rsidR="000F78D0" w:rsidRPr="001336DC" w:rsidRDefault="000F78D0" w:rsidP="009A5EDB">
            <w:pPr>
              <w:numPr>
                <w:ilvl w:val="0"/>
                <w:numId w:val="37"/>
              </w:numPr>
              <w:spacing w:line="360" w:lineRule="auto"/>
              <w:ind w:left="0" w:firstLine="0"/>
              <w:jc w:val="center"/>
              <w:rPr>
                <w:rFonts w:ascii="Times New Roman" w:hAnsi="Times New Roman"/>
                <w:sz w:val="28"/>
                <w:szCs w:val="28"/>
                <w:lang w:val="uk-UA"/>
              </w:rPr>
            </w:pPr>
          </w:p>
        </w:tc>
        <w:tc>
          <w:tcPr>
            <w:tcW w:w="7087" w:type="dxa"/>
          </w:tcPr>
          <w:p w:rsidR="000F78D0" w:rsidRPr="001336DC" w:rsidRDefault="000F78D0" w:rsidP="009A5EDB">
            <w:pPr>
              <w:spacing w:line="360" w:lineRule="auto"/>
              <w:ind w:firstLine="34"/>
              <w:rPr>
                <w:rFonts w:ascii="Times New Roman" w:hAnsi="Times New Roman"/>
                <w:sz w:val="28"/>
                <w:szCs w:val="28"/>
                <w:lang w:val="uk-UA"/>
              </w:rPr>
            </w:pPr>
            <w:r w:rsidRPr="001336DC">
              <w:rPr>
                <w:rFonts w:ascii="Times New Roman" w:hAnsi="Times New Roman"/>
                <w:sz w:val="28"/>
                <w:szCs w:val="28"/>
                <w:lang w:val="uk-UA"/>
              </w:rPr>
              <w:t>Кальцій в слині</w:t>
            </w:r>
          </w:p>
        </w:tc>
        <w:tc>
          <w:tcPr>
            <w:tcW w:w="851" w:type="dxa"/>
          </w:tcPr>
          <w:p w:rsidR="000F78D0" w:rsidRPr="001336DC" w:rsidRDefault="000F78D0" w:rsidP="009A5EDB">
            <w:pPr>
              <w:spacing w:line="360" w:lineRule="auto"/>
              <w:ind w:firstLine="35"/>
              <w:jc w:val="center"/>
              <w:rPr>
                <w:rFonts w:ascii="Times New Roman" w:hAnsi="Times New Roman"/>
                <w:sz w:val="28"/>
                <w:szCs w:val="28"/>
                <w:lang w:val="uk-UA"/>
              </w:rPr>
            </w:pPr>
            <w:r w:rsidRPr="001336DC">
              <w:rPr>
                <w:rFonts w:ascii="Times New Roman" w:hAnsi="Times New Roman"/>
                <w:sz w:val="28"/>
                <w:szCs w:val="28"/>
                <w:lang w:val="uk-UA"/>
              </w:rPr>
              <w:t>-2,0</w:t>
            </w:r>
          </w:p>
        </w:tc>
        <w:tc>
          <w:tcPr>
            <w:tcW w:w="0" w:type="auto"/>
          </w:tcPr>
          <w:p w:rsidR="000F78D0" w:rsidRPr="001336DC" w:rsidRDefault="000F78D0" w:rsidP="009A5EDB">
            <w:pPr>
              <w:spacing w:line="360" w:lineRule="auto"/>
              <w:ind w:firstLine="34"/>
              <w:jc w:val="center"/>
              <w:rPr>
                <w:rFonts w:ascii="Times New Roman" w:hAnsi="Times New Roman"/>
                <w:sz w:val="28"/>
                <w:szCs w:val="28"/>
                <w:lang w:val="uk-UA"/>
              </w:rPr>
            </w:pPr>
            <w:r w:rsidRPr="001336DC">
              <w:rPr>
                <w:rFonts w:ascii="Times New Roman" w:hAnsi="Times New Roman"/>
                <w:sz w:val="28"/>
                <w:szCs w:val="28"/>
                <w:lang w:val="uk-UA"/>
              </w:rPr>
              <w:t>14-15</w:t>
            </w:r>
          </w:p>
        </w:tc>
      </w:tr>
    </w:tbl>
    <w:p w:rsidR="000F78D0" w:rsidRDefault="000F78D0" w:rsidP="00AC605C">
      <w:pPr>
        <w:spacing w:line="360" w:lineRule="auto"/>
        <w:ind w:firstLine="426"/>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розподілу показників прогностичного алгоритму згідно їх інформативності (</w:t>
      </w:r>
      <w:r w:rsidR="00836C93">
        <w:rPr>
          <w:rFonts w:ascii="Times New Roman" w:hAnsi="Times New Roman"/>
          <w:sz w:val="28"/>
          <w:szCs w:val="28"/>
          <w:lang w:val="uk-UA"/>
        </w:rPr>
        <w:t>рис. 5.</w:t>
      </w:r>
      <w:r w:rsidR="00836C93" w:rsidRPr="00836C93">
        <w:rPr>
          <w:rFonts w:ascii="Times New Roman" w:hAnsi="Times New Roman"/>
          <w:sz w:val="28"/>
          <w:szCs w:val="28"/>
          <w:lang w:val="ru-RU"/>
        </w:rPr>
        <w:t>16</w:t>
      </w:r>
      <w:r w:rsidRPr="00D950D3">
        <w:rPr>
          <w:rFonts w:ascii="Times New Roman" w:hAnsi="Times New Roman"/>
          <w:sz w:val="28"/>
          <w:szCs w:val="28"/>
          <w:lang w:val="uk-UA"/>
        </w:rPr>
        <w:t>),</w:t>
      </w:r>
      <w:r>
        <w:rPr>
          <w:rFonts w:ascii="Times New Roman" w:hAnsi="Times New Roman"/>
          <w:sz w:val="28"/>
          <w:szCs w:val="28"/>
          <w:lang w:val="uk-UA"/>
        </w:rPr>
        <w:t xml:space="preserve"> то висока інформативність відмічена у 31,8% ознак, помірна – у 38,6%, а низька – у 29,6%. Отже, частка ознак з високою або помірною інформативністю була переважаючою і склала 70,4%, що вказує на високий прогностичний потенціал алгоритму. Апробація алгоритму на групі навчання (</w:t>
      </w:r>
      <w:r>
        <w:rPr>
          <w:rFonts w:ascii="Times New Roman" w:hAnsi="Times New Roman"/>
          <w:sz w:val="28"/>
          <w:szCs w:val="28"/>
        </w:rPr>
        <w:t>n</w:t>
      </w:r>
      <w:r>
        <w:rPr>
          <w:rFonts w:ascii="Times New Roman" w:hAnsi="Times New Roman"/>
          <w:sz w:val="28"/>
          <w:szCs w:val="28"/>
          <w:lang w:val="uk-UA"/>
        </w:rPr>
        <w:t>= 50) підтвердила це, так як правильні прогнози склали 90%, невизначені – 8%, а помилкові – 2%.</w:t>
      </w:r>
    </w:p>
    <w:p w:rsidR="009A5EDB" w:rsidRDefault="009A5EDB" w:rsidP="00633A7E">
      <w:pPr>
        <w:spacing w:line="360" w:lineRule="auto"/>
        <w:ind w:firstLine="709"/>
        <w:jc w:val="both"/>
        <w:rPr>
          <w:lang w:val="uk-UA"/>
        </w:rPr>
      </w:pPr>
      <w:r>
        <w:rPr>
          <w:rFonts w:ascii="Times New Roman" w:hAnsi="Times New Roman"/>
          <w:sz w:val="28"/>
          <w:szCs w:val="28"/>
          <w:lang w:val="uk-UA"/>
        </w:rPr>
        <w:t>Апробація спрощеного варіанту алгоритму, з якого було виключено параклінічні показники, показала, що правильні прогнози склали 86%,</w:t>
      </w:r>
    </w:p>
    <w:p w:rsidR="000F78D0" w:rsidRPr="009E6248"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543550" cy="3200400"/>
            <wp:effectExtent l="0" t="0" r="0" b="0"/>
            <wp:docPr id="39" name="Объект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F78D0" w:rsidRDefault="00836C93"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Рис. 5.</w:t>
      </w:r>
      <w:r w:rsidRPr="00BD4FE3">
        <w:rPr>
          <w:rFonts w:ascii="Times New Roman" w:hAnsi="Times New Roman"/>
          <w:sz w:val="28"/>
          <w:szCs w:val="28"/>
          <w:lang w:val="ru-RU"/>
        </w:rPr>
        <w:t>16</w:t>
      </w:r>
      <w:r w:rsidR="000F78D0" w:rsidRPr="00D950D3">
        <w:rPr>
          <w:rFonts w:ascii="Times New Roman" w:hAnsi="Times New Roman"/>
          <w:sz w:val="28"/>
          <w:szCs w:val="28"/>
          <w:lang w:val="uk-UA"/>
        </w:rPr>
        <w:t>. Розподіл</w:t>
      </w:r>
      <w:r w:rsidR="000F78D0">
        <w:rPr>
          <w:rFonts w:ascii="Times New Roman" w:hAnsi="Times New Roman"/>
          <w:sz w:val="28"/>
          <w:szCs w:val="28"/>
          <w:lang w:val="uk-UA"/>
        </w:rPr>
        <w:t xml:space="preserve"> показників прогностичного алгоритму в залежності від їх інформативності. </w:t>
      </w:r>
      <w:bookmarkStart w:id="0" w:name="_GoBack"/>
      <w:bookmarkEnd w:id="0"/>
    </w:p>
    <w:p w:rsidR="000F78D0" w:rsidRDefault="000F78D0"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невизначені – 10%, а помилкові – 4%. Отже, апробація алгоритмів підтверджує високу їх надійність, так як помилкові прогнози не перевищили 5% рівень (надійність </w:t>
      </w:r>
      <w:r>
        <w:rPr>
          <w:sz w:val="28"/>
          <w:szCs w:val="28"/>
          <w:lang w:val="uk-UA"/>
        </w:rPr>
        <w:t>≥</w:t>
      </w:r>
      <w:r>
        <w:rPr>
          <w:rFonts w:ascii="Times New Roman" w:hAnsi="Times New Roman"/>
          <w:sz w:val="28"/>
          <w:szCs w:val="28"/>
          <w:lang w:val="uk-UA"/>
        </w:rPr>
        <w:t>95%; р&lt;0,05). Це дозволяє рекомендувати їх до практичного використання.</w:t>
      </w:r>
    </w:p>
    <w:p w:rsidR="00C530B3" w:rsidRDefault="00C530B3" w:rsidP="00633A7E">
      <w:pPr>
        <w:tabs>
          <w:tab w:val="left" w:pos="1230"/>
        </w:tabs>
        <w:spacing w:line="360" w:lineRule="auto"/>
        <w:ind w:firstLine="709"/>
        <w:jc w:val="both"/>
        <w:rPr>
          <w:rFonts w:ascii="Times New Roman" w:hAnsi="Times New Roman"/>
          <w:b/>
          <w:sz w:val="28"/>
          <w:szCs w:val="28"/>
          <w:lang w:val="uk-UA"/>
        </w:rPr>
      </w:pPr>
    </w:p>
    <w:p w:rsidR="000F78D0" w:rsidRDefault="00C530B3" w:rsidP="00633A7E">
      <w:pPr>
        <w:tabs>
          <w:tab w:val="left" w:pos="1230"/>
        </w:tabs>
        <w:spacing w:line="360" w:lineRule="auto"/>
        <w:ind w:firstLine="709"/>
        <w:jc w:val="both"/>
        <w:rPr>
          <w:rFonts w:ascii="Times New Roman" w:hAnsi="Times New Roman"/>
          <w:sz w:val="28"/>
          <w:szCs w:val="28"/>
          <w:lang w:val="uk-UA"/>
        </w:rPr>
      </w:pPr>
      <w:r w:rsidRPr="00C530B3">
        <w:rPr>
          <w:rFonts w:ascii="Times New Roman" w:hAnsi="Times New Roman"/>
          <w:sz w:val="28"/>
          <w:szCs w:val="28"/>
          <w:lang w:val="uk-UA"/>
        </w:rPr>
        <w:t>Таким чином, н</w:t>
      </w:r>
      <w:r w:rsidR="000F78D0" w:rsidRPr="00C530B3">
        <w:rPr>
          <w:rFonts w:ascii="Times New Roman" w:hAnsi="Times New Roman"/>
          <w:sz w:val="28"/>
          <w:szCs w:val="28"/>
          <w:lang w:val="uk-UA"/>
        </w:rPr>
        <w:t>айбільш</w:t>
      </w:r>
      <w:r w:rsidR="000F78D0">
        <w:rPr>
          <w:rFonts w:ascii="Times New Roman" w:hAnsi="Times New Roman"/>
          <w:sz w:val="28"/>
          <w:szCs w:val="28"/>
          <w:lang w:val="uk-UA"/>
        </w:rPr>
        <w:t xml:space="preserve"> високою прогностичною інформативністю для прогнозу тяжкості </w:t>
      </w:r>
      <w:r w:rsidR="00633A7E">
        <w:rPr>
          <w:rFonts w:ascii="Times New Roman" w:hAnsi="Times New Roman"/>
          <w:sz w:val="28"/>
          <w:szCs w:val="28"/>
          <w:lang w:val="uk-UA"/>
        </w:rPr>
        <w:t>ЗЗП</w:t>
      </w:r>
      <w:r w:rsidR="000F78D0">
        <w:rPr>
          <w:rFonts w:ascii="Times New Roman" w:hAnsi="Times New Roman"/>
          <w:sz w:val="28"/>
          <w:szCs w:val="28"/>
          <w:lang w:val="uk-UA"/>
        </w:rPr>
        <w:t xml:space="preserve"> у дівчат-підлітків з ПМФ володіють дані про ступінь коморбідності хронічної патології у підлітків і їх прабатьків і праматерів, стан мінеральної щільності кісткових відділів пародонта, наявність поєднаних аномалій зубо-щелепної системи, ступінь дисбіозу порожнини рота і КПВ.</w:t>
      </w:r>
    </w:p>
    <w:p w:rsidR="000F78D0" w:rsidRDefault="000F78D0"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Розроблений прогностичний алгоритм дозволяє клініцисту здійснити з високою надійністю (</w:t>
      </w:r>
      <w:r>
        <w:rPr>
          <w:sz w:val="28"/>
          <w:szCs w:val="28"/>
          <w:lang w:val="uk-UA"/>
        </w:rPr>
        <w:t>≥</w:t>
      </w:r>
      <w:r>
        <w:rPr>
          <w:rFonts w:ascii="Times New Roman" w:hAnsi="Times New Roman"/>
          <w:sz w:val="28"/>
          <w:szCs w:val="28"/>
          <w:lang w:val="uk-UA"/>
        </w:rPr>
        <w:t>95%) прогноз тяжкості запальних захворювань пародонта у дівчат-підлітків з ПМФ.</w:t>
      </w:r>
    </w:p>
    <w:p w:rsidR="000F78D0" w:rsidRPr="00596D92" w:rsidRDefault="000F78D0" w:rsidP="00633A7E">
      <w:pPr>
        <w:tabs>
          <w:tab w:val="left" w:pos="123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Складання на основі прогностичного алгоритму індивідуального рангового патогенетичного профілю підлітка дозволяє індивідуалізувати проведення профілактичних заходів і, таким чином, підвищити їх ефективність.</w:t>
      </w:r>
    </w:p>
    <w:p w:rsidR="000F78D0" w:rsidRPr="009105B5"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center"/>
        <w:rPr>
          <w:rFonts w:ascii="Times New Roman" w:hAnsi="Times New Roman"/>
          <w:b/>
          <w:sz w:val="28"/>
          <w:szCs w:val="28"/>
          <w:lang w:val="uk-UA"/>
        </w:rPr>
      </w:pPr>
      <w:r w:rsidRPr="00B656EE">
        <w:rPr>
          <w:rFonts w:ascii="Times New Roman" w:hAnsi="Times New Roman"/>
          <w:b/>
          <w:sz w:val="28"/>
          <w:szCs w:val="28"/>
          <w:lang w:val="uk-UA"/>
        </w:rPr>
        <w:lastRenderedPageBreak/>
        <w:t>РОЗДІЛ 6</w:t>
      </w:r>
    </w:p>
    <w:p w:rsidR="000F78D0" w:rsidRPr="005C358A" w:rsidRDefault="000F78D0" w:rsidP="00633A7E">
      <w:pPr>
        <w:spacing w:line="360" w:lineRule="auto"/>
        <w:ind w:firstLine="709"/>
        <w:jc w:val="center"/>
        <w:rPr>
          <w:rFonts w:ascii="Times New Roman" w:hAnsi="Times New Roman"/>
          <w:b/>
          <w:sz w:val="28"/>
          <w:szCs w:val="28"/>
          <w:lang w:val="uk-UA"/>
        </w:rPr>
      </w:pPr>
    </w:p>
    <w:p w:rsidR="000F78D0" w:rsidRDefault="000F78D0" w:rsidP="00633A7E">
      <w:pPr>
        <w:spacing w:line="360" w:lineRule="auto"/>
        <w:ind w:firstLine="709"/>
        <w:jc w:val="center"/>
        <w:rPr>
          <w:rFonts w:ascii="Times New Roman" w:hAnsi="Times New Roman"/>
          <w:sz w:val="28"/>
          <w:szCs w:val="28"/>
          <w:lang w:val="uk-UA"/>
        </w:rPr>
      </w:pPr>
      <w:r w:rsidRPr="005C358A">
        <w:rPr>
          <w:rFonts w:ascii="Times New Roman" w:hAnsi="Times New Roman"/>
          <w:b/>
          <w:sz w:val="28"/>
          <w:szCs w:val="28"/>
          <w:lang w:val="uk-UA"/>
        </w:rPr>
        <w:t>С</w:t>
      </w:r>
      <w:r>
        <w:rPr>
          <w:rFonts w:ascii="Times New Roman" w:hAnsi="Times New Roman"/>
          <w:b/>
          <w:sz w:val="28"/>
          <w:szCs w:val="28"/>
          <w:lang w:val="uk-UA"/>
        </w:rPr>
        <w:t>ИСТЕМА ДИФЕРЕНЦІЙОВАНОЇ ПРОФІЛАКТИКИ ЗАПАЛЬНИХ ЗАХВОРЮВАНЬ ТКАНИН ПАРОДОНТА У ДІВЧАТ-ПІДЛІТКІВ З ПМФ ТА ЇЇ ЕФЕКТИВНІСТЬ</w:t>
      </w:r>
    </w:p>
    <w:p w:rsidR="000F78D0" w:rsidRDefault="000F78D0" w:rsidP="00633A7E">
      <w:pPr>
        <w:spacing w:line="360" w:lineRule="auto"/>
        <w:ind w:firstLine="709"/>
        <w:jc w:val="both"/>
        <w:rPr>
          <w:rFonts w:ascii="Times New Roman" w:hAnsi="Times New Roman"/>
          <w:sz w:val="28"/>
          <w:szCs w:val="28"/>
          <w:lang w:val="uk-UA"/>
        </w:rPr>
      </w:pP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основі діяльності будь-якої функціональної системи лежить випереджуюче відображення дійсності, тобто прогнозування (П.К. Анохін, 1979). Тому при розробці системи диференційованої профілактики запальних захворювань пародонта у даного контингенту дівчат-підлітків провідна роль належить розробці і обліку предикторів розвитку і перебігу в них даної патології. В цьому зв’язку на основі розроблених алгоритмів прогнозу розвитку і перебігу запальних захворювань пародонта у дівчат-підлітків з ПМФ були запропоновані групи ризику розвитку досліджуваної патології у даного контингенту підлітків (табл. </w:t>
      </w:r>
      <w:r w:rsidRPr="00B656EE">
        <w:rPr>
          <w:rFonts w:ascii="Times New Roman" w:hAnsi="Times New Roman"/>
          <w:sz w:val="28"/>
          <w:szCs w:val="28"/>
          <w:lang w:val="uk-UA"/>
        </w:rPr>
        <w:t xml:space="preserve">6.1). За основу формування груп ризику було прийнято комбінації варіантів прогнозів.  </w:t>
      </w:r>
    </w:p>
    <w:p w:rsidR="000F78D0" w:rsidRPr="00EA52A5" w:rsidRDefault="000F78D0" w:rsidP="00633A7E">
      <w:pPr>
        <w:spacing w:line="360" w:lineRule="auto"/>
        <w:ind w:firstLine="709"/>
        <w:jc w:val="right"/>
        <w:rPr>
          <w:rFonts w:ascii="Times New Roman" w:hAnsi="Times New Roman"/>
          <w:i/>
          <w:sz w:val="28"/>
          <w:szCs w:val="28"/>
          <w:lang w:val="uk-UA"/>
        </w:rPr>
      </w:pPr>
      <w:r w:rsidRPr="00B656EE">
        <w:rPr>
          <w:rFonts w:ascii="Times New Roman" w:hAnsi="Times New Roman"/>
          <w:i/>
          <w:sz w:val="28"/>
          <w:szCs w:val="28"/>
          <w:lang w:val="uk-UA"/>
        </w:rPr>
        <w:t>Таблиця 6.1</w:t>
      </w:r>
    </w:p>
    <w:p w:rsidR="000F78D0" w:rsidRDefault="000F78D0" w:rsidP="00633A7E">
      <w:pPr>
        <w:spacing w:line="360" w:lineRule="auto"/>
        <w:ind w:firstLine="709"/>
        <w:jc w:val="center"/>
        <w:rPr>
          <w:rFonts w:ascii="Times New Roman" w:hAnsi="Times New Roman"/>
          <w:i/>
          <w:sz w:val="28"/>
          <w:szCs w:val="28"/>
          <w:lang w:val="uk-UA"/>
        </w:rPr>
      </w:pPr>
      <w:r w:rsidRPr="00EA52A5">
        <w:rPr>
          <w:rFonts w:ascii="Times New Roman" w:hAnsi="Times New Roman"/>
          <w:i/>
          <w:sz w:val="28"/>
          <w:szCs w:val="28"/>
          <w:lang w:val="uk-UA"/>
        </w:rPr>
        <w:t>Групи ризику розвитку запальних захворювань пародонта у дівчат-підлітків з ПМФ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71"/>
        <w:gridCol w:w="8767"/>
      </w:tblGrid>
      <w:tr w:rsidR="000F78D0" w:rsidRPr="001336DC" w:rsidTr="000F78D0">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Групи ризику</w:t>
            </w:r>
          </w:p>
        </w:tc>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Критерії (види прогнозів)</w:t>
            </w:r>
          </w:p>
        </w:tc>
      </w:tr>
      <w:tr w:rsidR="000F78D0" w:rsidRPr="00C21F54" w:rsidTr="000F78D0">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Pr>
          <w:p w:rsidR="000F78D0" w:rsidRPr="001336DC" w:rsidRDefault="000F78D0" w:rsidP="000E77EB">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Відсутність розвитку запальних захворювань пародонта </w:t>
            </w:r>
          </w:p>
        </w:tc>
      </w:tr>
      <w:tr w:rsidR="000F78D0" w:rsidRPr="00C21F54" w:rsidTr="000F78D0">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І</w:t>
            </w:r>
          </w:p>
        </w:tc>
        <w:tc>
          <w:tcPr>
            <w:tcW w:w="0" w:type="auto"/>
          </w:tcPr>
          <w:p w:rsidR="000F78D0" w:rsidRPr="001336DC" w:rsidRDefault="000F78D0" w:rsidP="000E77EB">
            <w:pPr>
              <w:spacing w:line="276" w:lineRule="auto"/>
              <w:rPr>
                <w:rFonts w:ascii="Times New Roman" w:hAnsi="Times New Roman"/>
                <w:sz w:val="28"/>
                <w:szCs w:val="28"/>
                <w:lang w:val="uk-UA"/>
              </w:rPr>
            </w:pPr>
            <w:r w:rsidRPr="001336DC">
              <w:rPr>
                <w:rFonts w:ascii="Times New Roman" w:hAnsi="Times New Roman"/>
                <w:sz w:val="28"/>
                <w:szCs w:val="28"/>
                <w:lang w:val="uk-UA"/>
              </w:rPr>
              <w:t xml:space="preserve">Невизначений прогноз на користь розвитку запальних захворювань пародонта </w:t>
            </w:r>
          </w:p>
        </w:tc>
      </w:tr>
      <w:tr w:rsidR="000F78D0" w:rsidRPr="00C21F54" w:rsidTr="000F78D0">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ІІ</w:t>
            </w:r>
          </w:p>
        </w:tc>
        <w:tc>
          <w:tcPr>
            <w:tcW w:w="0" w:type="auto"/>
          </w:tcPr>
          <w:p w:rsidR="000F78D0" w:rsidRPr="001336DC" w:rsidRDefault="000F78D0" w:rsidP="000E77EB">
            <w:pPr>
              <w:spacing w:line="276" w:lineRule="auto"/>
              <w:rPr>
                <w:rFonts w:ascii="Times New Roman" w:hAnsi="Times New Roman"/>
                <w:sz w:val="28"/>
                <w:szCs w:val="28"/>
                <w:lang w:val="uk-UA"/>
              </w:rPr>
            </w:pPr>
            <w:r w:rsidRPr="001336DC">
              <w:rPr>
                <w:rFonts w:ascii="Times New Roman" w:hAnsi="Times New Roman"/>
                <w:sz w:val="28"/>
                <w:szCs w:val="28"/>
                <w:lang w:val="uk-UA"/>
              </w:rPr>
              <w:t>Прогноз на користь розвитку запальних захворювань пародонта + прогноз на користь легкого ступеню гінгівіту</w:t>
            </w:r>
          </w:p>
        </w:tc>
      </w:tr>
      <w:tr w:rsidR="000F78D0" w:rsidRPr="00C21F54" w:rsidTr="000F78D0">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ІІІ</w:t>
            </w:r>
          </w:p>
        </w:tc>
        <w:tc>
          <w:tcPr>
            <w:tcW w:w="0" w:type="auto"/>
          </w:tcPr>
          <w:p w:rsidR="000F78D0" w:rsidRPr="001336DC" w:rsidRDefault="000F78D0" w:rsidP="000E77EB">
            <w:pPr>
              <w:spacing w:line="276" w:lineRule="auto"/>
              <w:rPr>
                <w:rFonts w:ascii="Times New Roman" w:hAnsi="Times New Roman"/>
                <w:sz w:val="28"/>
                <w:szCs w:val="28"/>
                <w:lang w:val="uk-UA"/>
              </w:rPr>
            </w:pPr>
            <w:r w:rsidRPr="001336DC">
              <w:rPr>
                <w:rFonts w:ascii="Times New Roman" w:hAnsi="Times New Roman"/>
                <w:sz w:val="28"/>
                <w:szCs w:val="28"/>
                <w:lang w:val="uk-UA"/>
              </w:rPr>
              <w:t>Прогноз на користь розвитку запальних захворювань пародонта + невизначений прогноз на користь більш тяжких форм запальних захворювань пародонта</w:t>
            </w:r>
          </w:p>
        </w:tc>
      </w:tr>
      <w:tr w:rsidR="000F78D0" w:rsidRPr="00C21F54" w:rsidTr="000F78D0">
        <w:tc>
          <w:tcPr>
            <w:tcW w:w="0" w:type="auto"/>
          </w:tcPr>
          <w:p w:rsidR="000F78D0" w:rsidRPr="001336DC" w:rsidRDefault="000F78D0" w:rsidP="000E77EB">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І</w:t>
            </w:r>
            <w:r w:rsidRPr="001336DC">
              <w:rPr>
                <w:rFonts w:ascii="Times New Roman" w:hAnsi="Times New Roman"/>
                <w:sz w:val="28"/>
                <w:szCs w:val="28"/>
              </w:rPr>
              <w:t>V</w:t>
            </w:r>
          </w:p>
        </w:tc>
        <w:tc>
          <w:tcPr>
            <w:tcW w:w="0" w:type="auto"/>
          </w:tcPr>
          <w:p w:rsidR="000F78D0" w:rsidRPr="001336DC" w:rsidRDefault="000F78D0" w:rsidP="000E77EB">
            <w:pPr>
              <w:spacing w:line="276" w:lineRule="auto"/>
              <w:rPr>
                <w:rFonts w:ascii="Times New Roman" w:hAnsi="Times New Roman"/>
                <w:sz w:val="28"/>
                <w:szCs w:val="28"/>
                <w:lang w:val="uk-UA"/>
              </w:rPr>
            </w:pPr>
            <w:r w:rsidRPr="001336DC">
              <w:rPr>
                <w:rFonts w:ascii="Times New Roman" w:hAnsi="Times New Roman"/>
                <w:sz w:val="28"/>
                <w:szCs w:val="28"/>
                <w:lang w:val="uk-UA"/>
              </w:rPr>
              <w:t>Прогноз на користь розвитку запальних захворювань пародонта + прогноз на користь більш тяжких форм запальних захворювань пародонта</w:t>
            </w:r>
          </w:p>
        </w:tc>
      </w:tr>
    </w:tbl>
    <w:p w:rsidR="000F78D0" w:rsidRPr="00EA52A5" w:rsidRDefault="000F78D0" w:rsidP="00AC605C">
      <w:pPr>
        <w:spacing w:line="360" w:lineRule="auto"/>
        <w:ind w:firstLine="426"/>
        <w:jc w:val="center"/>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Як витікає із табл</w:t>
      </w:r>
      <w:r w:rsidRPr="00B656EE">
        <w:rPr>
          <w:rFonts w:ascii="Times New Roman" w:hAnsi="Times New Roman"/>
          <w:sz w:val="28"/>
          <w:szCs w:val="28"/>
          <w:lang w:val="uk-UA"/>
        </w:rPr>
        <w:t>. 6.1, «</w:t>
      </w:r>
      <w:r>
        <w:rPr>
          <w:rFonts w:ascii="Times New Roman" w:hAnsi="Times New Roman"/>
          <w:sz w:val="28"/>
          <w:szCs w:val="28"/>
          <w:lang w:val="uk-UA"/>
        </w:rPr>
        <w:t>0» групу ризику  складають підлітки, у яких в результаті прогнозування відсутня вірогідність розвитку запальних захворювань пародонта;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 група ризику включає підлітків, у яких дані прогнозування виявили невизначений прогноз на користь розвитку запальних захворювань пародонта;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«ІІ» група ризику представлена підлітками з наявністю позитивних прогнозів на користь розвитку запальних захворювань пародонта і катарального гінгівіту легкого ступеня тяжкості;</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«ІІІ» групу ризику визначають два види прогнозів: на користь розвитку запальних захворювань пародонта і наявність невизначеного прогнозу на користь більш тяжких форм захворювань пародонта;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 нарешті, «І</w:t>
      </w:r>
      <w:r>
        <w:rPr>
          <w:rFonts w:ascii="Times New Roman" w:hAnsi="Times New Roman"/>
          <w:sz w:val="28"/>
          <w:szCs w:val="28"/>
        </w:rPr>
        <w:t>V</w:t>
      </w:r>
      <w:r>
        <w:rPr>
          <w:rFonts w:ascii="Times New Roman" w:hAnsi="Times New Roman"/>
          <w:sz w:val="28"/>
          <w:szCs w:val="28"/>
          <w:lang w:val="uk-UA"/>
        </w:rPr>
        <w:t>» група ризику включає підлітків, у яких прогнозується вірогідність розвитку запальних захворювань пародонта в поєднанні з тяжкими їх формами.</w:t>
      </w:r>
    </w:p>
    <w:p w:rsidR="000E77EB"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Розроблені на основі прогностичних алгоритмів групи ризику дають можливість диференційовано здійснювати профілактичні зусилля як з боку стоматолога, так і родини підлітка, при проведенні диспансеризації. Крім того, застосування запропонованих груп ризику дозволяє об’єктивно оцінити ефективність профілактики захворювань, що проводиться, в процесі диспансеризації (</w:t>
      </w:r>
      <w:r w:rsidRPr="00B656EE">
        <w:rPr>
          <w:rFonts w:ascii="Times New Roman" w:hAnsi="Times New Roman"/>
          <w:sz w:val="28"/>
          <w:szCs w:val="28"/>
          <w:lang w:val="uk-UA"/>
        </w:rPr>
        <w:t xml:space="preserve">рис. 6.1). </w:t>
      </w:r>
    </w:p>
    <w:p w:rsidR="000E77EB" w:rsidRDefault="000E77EB"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Інформація, яка представлена на рис. 6.1, наочно демонструє, що на початку проведення диспансеризації у 12-літньої дівчинки-підлітка з ПМФ встановлена ІІІ група ризику, яка передбачала</w:t>
      </w:r>
      <w:r>
        <w:rPr>
          <w:rFonts w:ascii="Times New Roman" w:hAnsi="Times New Roman"/>
          <w:sz w:val="28"/>
          <w:szCs w:val="28"/>
          <w:lang w:val="uk-UA"/>
        </w:rPr>
        <w:t xml:space="preserve"> не тільки розвиток запальних захворювань пародонта, але і певну вірогідність їх тяжких форм. Проведення профілактичних заходів, напрямлених на нейтралізацію або мінімізацію керованих негативних прогностичних факторів, дозволило через рік від початку спостереження (у 13-літньому віці) перевести підлітка до другої групи ризику, яка усувала вірогідність розвитку більш тяжких форм захворювань. При цьому у хворої були відсутні прояви запальних </w:t>
      </w:r>
      <w:r w:rsidRPr="00B656EE">
        <w:rPr>
          <w:rFonts w:ascii="Times New Roman" w:hAnsi="Times New Roman"/>
          <w:sz w:val="28"/>
          <w:szCs w:val="28"/>
          <w:lang w:val="uk-UA"/>
        </w:rPr>
        <w:t>захворювань тканин</w:t>
      </w:r>
      <w:r>
        <w:rPr>
          <w:rFonts w:ascii="Times New Roman" w:hAnsi="Times New Roman"/>
          <w:sz w:val="28"/>
          <w:szCs w:val="28"/>
          <w:lang w:val="uk-UA"/>
        </w:rPr>
        <w:t xml:space="preserve"> пародонта.</w:t>
      </w:r>
    </w:p>
    <w:p w:rsidR="000F78D0" w:rsidRPr="00B656EE" w:rsidRDefault="000F78D0" w:rsidP="00AC605C">
      <w:pPr>
        <w:spacing w:line="360" w:lineRule="auto"/>
        <w:ind w:firstLine="426"/>
        <w:jc w:val="both"/>
        <w:rPr>
          <w:rFonts w:ascii="Times New Roman" w:hAnsi="Times New Roman"/>
          <w:sz w:val="28"/>
          <w:szCs w:val="28"/>
          <w:lang w:val="uk-UA"/>
        </w:rPr>
      </w:pPr>
    </w:p>
    <w:p w:rsidR="000F78D0" w:rsidRDefault="00B066D9"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bidi="ar-SA"/>
        </w:rPr>
        <w:lastRenderedPageBreak/>
        <w:drawing>
          <wp:inline distT="0" distB="0" distL="0" distR="0">
            <wp:extent cx="5334000" cy="2838450"/>
            <wp:effectExtent l="19050" t="0" r="0" b="0"/>
            <wp:docPr id="38"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3"/>
                    <a:srcRect l="3600" t="9450" r="8920" b="39348"/>
                    <a:stretch>
                      <a:fillRect/>
                    </a:stretch>
                  </pic:blipFill>
                  <pic:spPr bwMode="auto">
                    <a:xfrm>
                      <a:off x="0" y="0"/>
                      <a:ext cx="5334000" cy="2838450"/>
                    </a:xfrm>
                    <a:prstGeom prst="rect">
                      <a:avLst/>
                    </a:prstGeom>
                    <a:noFill/>
                    <a:ln w="9525">
                      <a:noFill/>
                      <a:miter lim="800000"/>
                      <a:headEnd/>
                      <a:tailEnd/>
                    </a:ln>
                  </pic:spPr>
                </pic:pic>
              </a:graphicData>
            </a:graphic>
          </wp:inline>
        </w:drawing>
      </w:r>
    </w:p>
    <w:p w:rsidR="000F78D0"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i/>
          <w:sz w:val="28"/>
          <w:szCs w:val="28"/>
          <w:lang w:val="uk-UA"/>
        </w:rPr>
        <w:t>Рис. 6.1.</w:t>
      </w:r>
      <w:r w:rsidRPr="00E53496">
        <w:rPr>
          <w:rFonts w:ascii="Times New Roman" w:hAnsi="Times New Roman"/>
          <w:i/>
          <w:sz w:val="28"/>
          <w:szCs w:val="28"/>
          <w:lang w:val="uk-UA"/>
        </w:rPr>
        <w:t xml:space="preserve"> Динаміка груп ризику підлітка К. в процесі проведення диспансерного спостереження. (-) – відсутність запальних захворювань пародонта</w:t>
      </w:r>
      <w:r>
        <w:rPr>
          <w:rFonts w:ascii="Times New Roman" w:hAnsi="Times New Roman"/>
          <w:sz w:val="28"/>
          <w:szCs w:val="28"/>
          <w:lang w:val="uk-UA"/>
        </w:rPr>
        <w:t>.</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14-літньому віці, тобто через 2 роки від початку проведення профілактики, підліток був переведений до першої групи ризику, яка вказувала на невелику вірогідність розвитку запальних захворювань пародонта.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15-літньому віці відмічено погіршення прогнозу, і підлітка було переведено до другої групи ризику. Такий регрес був пов'язаний з порушенням підлітком гігієни </w:t>
      </w:r>
      <w:r w:rsidR="00713761">
        <w:rPr>
          <w:rFonts w:ascii="Times New Roman" w:hAnsi="Times New Roman"/>
          <w:sz w:val="28"/>
          <w:szCs w:val="28"/>
          <w:lang w:val="uk-UA"/>
        </w:rPr>
        <w:t>ПР</w:t>
      </w:r>
      <w:r>
        <w:rPr>
          <w:rFonts w:ascii="Times New Roman" w:hAnsi="Times New Roman"/>
          <w:sz w:val="28"/>
          <w:szCs w:val="28"/>
          <w:lang w:val="uk-UA"/>
        </w:rPr>
        <w:t xml:space="preserve"> і способу життя.</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16- і 17-літньому віці підліток знаходився в І-ій групі ризику. При цьому запальних захворювань пародонта не встановлено.</w:t>
      </w:r>
    </w:p>
    <w:p w:rsidR="000E77EB"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розроблених предикторів і груп ризику було запропоновано систему профілактики запальних захворювань пародонта у даного контингенту підлітків (</w:t>
      </w:r>
      <w:r w:rsidRPr="00B656EE">
        <w:rPr>
          <w:rFonts w:ascii="Times New Roman" w:hAnsi="Times New Roman"/>
          <w:sz w:val="28"/>
          <w:szCs w:val="28"/>
          <w:lang w:val="uk-UA"/>
        </w:rPr>
        <w:t>рис. 6.2).</w:t>
      </w:r>
      <w:r w:rsidR="000E77EB" w:rsidRPr="000E77EB">
        <w:rPr>
          <w:rFonts w:ascii="Times New Roman" w:hAnsi="Times New Roman"/>
          <w:sz w:val="28"/>
          <w:szCs w:val="28"/>
          <w:lang w:val="uk-UA"/>
        </w:rPr>
        <w:t xml:space="preserve"> </w:t>
      </w:r>
    </w:p>
    <w:p w:rsidR="000E77EB" w:rsidRDefault="000E77EB"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Із рис. 6.2 витікає, що запропонована система профілактики включає як традиційні, так і інноваційні підходи. До традиційних методів відноситься підвищення мотивації підлітків до здоров’я порожнини рота шляхом навчання підлітків</w:t>
      </w:r>
      <w:r>
        <w:rPr>
          <w:rFonts w:ascii="Times New Roman" w:hAnsi="Times New Roman"/>
          <w:sz w:val="28"/>
          <w:szCs w:val="28"/>
          <w:lang w:val="uk-UA"/>
        </w:rPr>
        <w:t xml:space="preserve"> і їх батьків лікарем-стоматологом. Ступінь засвоєння і застосування інформації від лікаря-стоматолога здійснюється шляхом контролю отриманих знань і навичок.</w:t>
      </w:r>
    </w:p>
    <w:p w:rsidR="000F78D0" w:rsidRPr="00A864D5" w:rsidRDefault="00B066D9" w:rsidP="00AC605C">
      <w:pPr>
        <w:spacing w:line="360" w:lineRule="auto"/>
        <w:ind w:firstLine="426"/>
        <w:jc w:val="both"/>
        <w:rPr>
          <w:rFonts w:ascii="Times New Roman" w:hAnsi="Times New Roman"/>
          <w:noProof/>
          <w:sz w:val="28"/>
          <w:szCs w:val="28"/>
          <w:lang w:val="uk-UA" w:eastAsia="ru-RU"/>
        </w:rPr>
      </w:pPr>
      <w:r>
        <w:rPr>
          <w:rFonts w:ascii="Times New Roman" w:hAnsi="Times New Roman"/>
          <w:noProof/>
          <w:sz w:val="28"/>
          <w:szCs w:val="28"/>
          <w:lang w:val="ru-RU" w:eastAsia="ru-RU" w:bidi="ar-SA"/>
        </w:rPr>
        <w:lastRenderedPageBreak/>
        <w:drawing>
          <wp:inline distT="0" distB="0" distL="0" distR="0">
            <wp:extent cx="5753100" cy="3276600"/>
            <wp:effectExtent l="19050" t="0" r="0" b="0"/>
            <wp:docPr id="3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4"/>
                    <a:srcRect l="841" t="4750" b="55345"/>
                    <a:stretch>
                      <a:fillRect/>
                    </a:stretch>
                  </pic:blipFill>
                  <pic:spPr bwMode="auto">
                    <a:xfrm>
                      <a:off x="0" y="0"/>
                      <a:ext cx="5753100" cy="3276600"/>
                    </a:xfrm>
                    <a:prstGeom prst="rect">
                      <a:avLst/>
                    </a:prstGeom>
                    <a:noFill/>
                    <a:ln w="9525">
                      <a:noFill/>
                      <a:miter lim="800000"/>
                      <a:headEnd/>
                      <a:tailEnd/>
                    </a:ln>
                  </pic:spPr>
                </pic:pic>
              </a:graphicData>
            </a:graphic>
          </wp:inline>
        </w:drawing>
      </w:r>
      <w:r w:rsidR="000F78D0" w:rsidRPr="00A864D5">
        <w:rPr>
          <w:rFonts w:ascii="Times New Roman" w:hAnsi="Times New Roman"/>
          <w:noProof/>
          <w:sz w:val="28"/>
          <w:szCs w:val="28"/>
          <w:lang w:val="uk-UA" w:eastAsia="ru-RU"/>
        </w:rPr>
        <w:t xml:space="preserve"> </w:t>
      </w:r>
    </w:p>
    <w:p w:rsidR="000F78D0" w:rsidRPr="00B656EE" w:rsidRDefault="000F78D0" w:rsidP="00633A7E">
      <w:pPr>
        <w:spacing w:line="360" w:lineRule="auto"/>
        <w:ind w:firstLine="709"/>
        <w:jc w:val="both"/>
        <w:rPr>
          <w:rFonts w:ascii="Times New Roman" w:hAnsi="Times New Roman"/>
          <w:i/>
          <w:sz w:val="28"/>
          <w:szCs w:val="28"/>
          <w:lang w:val="uk-UA"/>
        </w:rPr>
      </w:pPr>
      <w:r w:rsidRPr="00B656EE">
        <w:rPr>
          <w:rFonts w:ascii="Times New Roman" w:hAnsi="Times New Roman"/>
          <w:i/>
          <w:noProof/>
          <w:sz w:val="28"/>
          <w:szCs w:val="28"/>
          <w:lang w:val="uk-UA" w:eastAsia="ru-RU"/>
        </w:rPr>
        <w:t xml:space="preserve">Рис.6.2. Інноваційна система профілактики запальних захворювань пародонта у дівчат-підлітків з ПМФ. – традиційні методи; = інноваційні </w:t>
      </w:r>
      <w:r w:rsidRPr="000F78D0">
        <w:rPr>
          <w:rFonts w:ascii="Times New Roman" w:hAnsi="Times New Roman"/>
          <w:i/>
          <w:noProof/>
          <w:sz w:val="28"/>
          <w:szCs w:val="28"/>
          <w:lang w:val="uk-UA" w:eastAsia="ru-RU"/>
        </w:rPr>
        <w:t>методи.</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Закінчується традиційна частина системи усуненням або нейтралізацією факторів ризику.</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Інноваційна частина системи  профілактики включає визначення предикторів розвитку і перебігу запальних захворювань пародонта, їх ранжування, визначення груп ризику на основі варіантів прогнозування і складання, на цій основі, індивідуального патогенетичного профілю підлітка. Наявність останнього дозволяє не тільки індивідуалізувати комплекс профілактичних заходів, але і обрати з їх числа найбільш ефективні для конкретного підлітка.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якості приклада наводимо характеристику індивідуального патогенетичного профілю підлітка Н., яка була представлена </w:t>
      </w:r>
      <w:r w:rsidRPr="00B656EE">
        <w:rPr>
          <w:rFonts w:ascii="Times New Roman" w:hAnsi="Times New Roman"/>
          <w:sz w:val="28"/>
          <w:szCs w:val="28"/>
          <w:lang w:val="uk-UA"/>
        </w:rPr>
        <w:t>в підрозділі 5.2</w:t>
      </w:r>
      <w:r>
        <w:rPr>
          <w:rFonts w:ascii="Times New Roman" w:hAnsi="Times New Roman"/>
          <w:sz w:val="28"/>
          <w:szCs w:val="28"/>
          <w:lang w:val="uk-UA"/>
        </w:rPr>
        <w:t xml:space="preserve"> (</w:t>
      </w:r>
      <w:r w:rsidRPr="00B656EE">
        <w:rPr>
          <w:rFonts w:ascii="Times New Roman" w:hAnsi="Times New Roman"/>
          <w:sz w:val="28"/>
          <w:szCs w:val="28"/>
          <w:lang w:val="uk-UA"/>
        </w:rPr>
        <w:t>рис. 6.3).</w:t>
      </w:r>
      <w:r>
        <w:rPr>
          <w:rFonts w:ascii="Times New Roman" w:hAnsi="Times New Roman"/>
          <w:sz w:val="28"/>
          <w:szCs w:val="28"/>
          <w:lang w:val="uk-UA"/>
        </w:rPr>
        <w:t xml:space="preserve"> </w:t>
      </w:r>
    </w:p>
    <w:p w:rsidR="000F78D0" w:rsidRDefault="000E77EB"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Дані рис. 6.3 свідчать, що з десяти керованих патогенетичних факторів високу патогенетичну</w:t>
      </w:r>
      <w:r>
        <w:rPr>
          <w:rFonts w:ascii="Times New Roman" w:hAnsi="Times New Roman"/>
          <w:sz w:val="28"/>
          <w:szCs w:val="28"/>
          <w:lang w:val="uk-UA"/>
        </w:rPr>
        <w:t xml:space="preserve"> значимість виявили п’ятеро з них, а саме: зниження рівня </w:t>
      </w:r>
      <w:r>
        <w:rPr>
          <w:rFonts w:ascii="Times New Roman" w:hAnsi="Times New Roman"/>
          <w:sz w:val="28"/>
          <w:szCs w:val="28"/>
        </w:rPr>
        <w:t>sIgA</w:t>
      </w:r>
      <w:r>
        <w:rPr>
          <w:rFonts w:ascii="Times New Roman" w:hAnsi="Times New Roman"/>
          <w:sz w:val="28"/>
          <w:szCs w:val="28"/>
          <w:lang w:val="uk-UA"/>
        </w:rPr>
        <w:t xml:space="preserve"> в слині (ПК=-9,2); явища дисбіозу </w:t>
      </w:r>
      <w:r w:rsidR="00713761">
        <w:rPr>
          <w:rFonts w:ascii="Times New Roman" w:hAnsi="Times New Roman"/>
          <w:sz w:val="28"/>
          <w:szCs w:val="28"/>
          <w:lang w:val="uk-UA"/>
        </w:rPr>
        <w:t>ПР</w:t>
      </w:r>
      <w:r>
        <w:rPr>
          <w:rFonts w:ascii="Times New Roman" w:hAnsi="Times New Roman"/>
          <w:sz w:val="28"/>
          <w:szCs w:val="28"/>
          <w:lang w:val="uk-UA"/>
        </w:rPr>
        <w:t xml:space="preserve"> (ПК=-9,1); наявність комбінованої хронічної патології (ПК=-9,1); порушення гігієни </w:t>
      </w:r>
      <w:r w:rsidR="00713761">
        <w:rPr>
          <w:rFonts w:ascii="Times New Roman" w:hAnsi="Times New Roman"/>
          <w:sz w:val="28"/>
          <w:szCs w:val="28"/>
          <w:lang w:val="uk-UA"/>
        </w:rPr>
        <w:t>ПР</w:t>
      </w:r>
      <w:r>
        <w:rPr>
          <w:rFonts w:ascii="Times New Roman" w:hAnsi="Times New Roman"/>
          <w:sz w:val="28"/>
          <w:szCs w:val="28"/>
          <w:lang w:val="uk-UA"/>
        </w:rPr>
        <w:t xml:space="preserve"> (ПК=-8,8); і пережовування </w:t>
      </w:r>
      <w:r>
        <w:rPr>
          <w:rFonts w:ascii="Times New Roman" w:hAnsi="Times New Roman"/>
          <w:sz w:val="28"/>
          <w:szCs w:val="28"/>
          <w:lang w:val="uk-UA"/>
        </w:rPr>
        <w:lastRenderedPageBreak/>
        <w:t xml:space="preserve">їжі на одному боці (ПК=-6,1). Роль інших п’ятьох факторів значно поступається такій першої п’ятірки. Так, Σ ПК першої п’ятірки факторів складає (-42,2), а другої (-18,7). Це означає, що нейтралізація тільки перших п’яти факторів дозволить досягнути загального сумарного ефекту зі знаком плюс, а саме: Σ ПК= +23,6, що дозволяє з надійністю </w:t>
      </w:r>
      <w:r>
        <w:rPr>
          <w:sz w:val="28"/>
          <w:szCs w:val="28"/>
          <w:lang w:val="uk-UA"/>
        </w:rPr>
        <w:t>≥</w:t>
      </w:r>
      <w:r>
        <w:rPr>
          <w:rFonts w:ascii="Times New Roman" w:hAnsi="Times New Roman"/>
          <w:sz w:val="28"/>
          <w:szCs w:val="28"/>
          <w:lang w:val="uk-UA"/>
        </w:rPr>
        <w:t>99% (р&gt;0,01) заблокувати у підлітка розвиток запальних захворювань пародонта.</w:t>
      </w:r>
    </w:p>
    <w:p w:rsidR="000F78D0" w:rsidRDefault="00B066D9" w:rsidP="00AC605C">
      <w:pPr>
        <w:spacing w:line="360" w:lineRule="auto"/>
        <w:ind w:firstLine="426"/>
        <w:jc w:val="both"/>
        <w:rPr>
          <w:lang w:val="uk-UA"/>
        </w:rPr>
      </w:pPr>
      <w:r>
        <w:rPr>
          <w:rFonts w:ascii="Times New Roman" w:hAnsi="Times New Roman"/>
          <w:noProof/>
          <w:sz w:val="28"/>
          <w:szCs w:val="28"/>
          <w:lang w:val="ru-RU" w:eastAsia="ru-RU" w:bidi="ar-SA"/>
        </w:rPr>
        <w:drawing>
          <wp:inline distT="0" distB="0" distL="0" distR="0">
            <wp:extent cx="5524500" cy="3409950"/>
            <wp:effectExtent l="0" t="0" r="0" b="0"/>
            <wp:docPr id="36" name="Объект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F78D0" w:rsidRPr="00B656EE" w:rsidRDefault="000F78D0" w:rsidP="00AC605C">
      <w:pPr>
        <w:ind w:left="426" w:firstLine="426"/>
        <w:jc w:val="both"/>
        <w:rPr>
          <w:rFonts w:ascii="Times New Roman" w:hAnsi="Times New Roman"/>
          <w:i/>
          <w:lang w:val="uk-UA"/>
        </w:rPr>
      </w:pPr>
      <w:r>
        <w:rPr>
          <w:rFonts w:ascii="Times New Roman" w:hAnsi="Times New Roman"/>
          <w:i/>
          <w:lang w:val="uk-UA"/>
        </w:rPr>
        <w:t xml:space="preserve">1 - </w:t>
      </w:r>
      <w:r w:rsidRPr="00C2787C">
        <w:rPr>
          <w:rFonts w:ascii="Times New Roman" w:hAnsi="Times New Roman"/>
          <w:i/>
        </w:rPr>
        <w:t>sIgA</w:t>
      </w:r>
      <w:r w:rsidRPr="00C2787C">
        <w:rPr>
          <w:rFonts w:ascii="Times New Roman" w:hAnsi="Times New Roman"/>
          <w:i/>
          <w:lang w:val="uk-UA"/>
        </w:rPr>
        <w:t xml:space="preserve"> в слині</w:t>
      </w:r>
      <w:r>
        <w:rPr>
          <w:rFonts w:ascii="Times New Roman" w:hAnsi="Times New Roman"/>
          <w:i/>
          <w:lang w:val="uk-UA"/>
        </w:rPr>
        <w:t xml:space="preserve">; 2 - </w:t>
      </w:r>
      <w:r w:rsidRPr="00C2787C">
        <w:rPr>
          <w:rFonts w:ascii="Times New Roman" w:hAnsi="Times New Roman"/>
          <w:i/>
          <w:lang w:val="uk-UA"/>
        </w:rPr>
        <w:t>ступінь дисбіозу</w:t>
      </w:r>
      <w:r>
        <w:rPr>
          <w:rFonts w:ascii="Times New Roman" w:hAnsi="Times New Roman"/>
          <w:i/>
          <w:lang w:val="uk-UA"/>
        </w:rPr>
        <w:t>; 3 –</w:t>
      </w:r>
      <w:r w:rsidRPr="00B656EE">
        <w:rPr>
          <w:rFonts w:ascii="Times New Roman" w:hAnsi="Times New Roman"/>
          <w:i/>
          <w:lang w:val="uk-UA"/>
        </w:rPr>
        <w:t>кількість  хронічних захворювань; 4 - індекс Федорова-Володкіної; 5 - пережовування їжі на одному боці; 6.  наявність алергії; 7 - перебування на свіжому повітрі; 8 - захворювання ССС; 9 - рухомість ядер букального епітелію; 10 - малорухомий спосіб життя</w:t>
      </w:r>
    </w:p>
    <w:p w:rsidR="000F78D0" w:rsidRPr="00B656EE" w:rsidRDefault="000F78D0" w:rsidP="00AC605C">
      <w:pPr>
        <w:ind w:left="426" w:firstLine="426"/>
        <w:jc w:val="both"/>
        <w:rPr>
          <w:rFonts w:ascii="Times New Roman" w:hAnsi="Times New Roman"/>
          <w:i/>
          <w:lang w:val="uk-UA"/>
        </w:rPr>
      </w:pPr>
    </w:p>
    <w:p w:rsidR="000F78D0" w:rsidRDefault="000F78D0" w:rsidP="000E77EB">
      <w:pPr>
        <w:spacing w:line="360" w:lineRule="auto"/>
        <w:ind w:left="786" w:firstLine="426"/>
        <w:jc w:val="both"/>
        <w:rPr>
          <w:rFonts w:ascii="Times New Roman" w:hAnsi="Times New Roman"/>
          <w:sz w:val="28"/>
          <w:szCs w:val="28"/>
          <w:lang w:val="uk-UA"/>
        </w:rPr>
      </w:pPr>
      <w:r w:rsidRPr="00B656EE">
        <w:rPr>
          <w:rFonts w:ascii="Times New Roman" w:hAnsi="Times New Roman"/>
          <w:i/>
          <w:sz w:val="28"/>
          <w:szCs w:val="28"/>
          <w:lang w:val="uk-UA"/>
        </w:rPr>
        <w:t>Рис. 6.3 Індивідуальний патогенетичний</w:t>
      </w:r>
      <w:r w:rsidRPr="00C2787C">
        <w:rPr>
          <w:rFonts w:ascii="Times New Roman" w:hAnsi="Times New Roman"/>
          <w:i/>
          <w:sz w:val="28"/>
          <w:szCs w:val="28"/>
          <w:lang w:val="uk-UA"/>
        </w:rPr>
        <w:t xml:space="preserve"> профіль підлітка Н. </w:t>
      </w:r>
      <w:r>
        <w:rPr>
          <w:rFonts w:ascii="Times New Roman" w:hAnsi="Times New Roman"/>
          <w:sz w:val="28"/>
          <w:szCs w:val="28"/>
          <w:lang w:val="uk-UA"/>
        </w:rPr>
        <w:t xml:space="preserve"> </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при проведенні профілактичних заходів у даного підлітка основні зусилля повинні бути напрямлені на усунення дисбіозу </w:t>
      </w:r>
      <w:r w:rsidR="00713761">
        <w:rPr>
          <w:rFonts w:ascii="Times New Roman" w:hAnsi="Times New Roman"/>
          <w:sz w:val="28"/>
          <w:szCs w:val="28"/>
          <w:lang w:val="uk-UA"/>
        </w:rPr>
        <w:t>ПР</w:t>
      </w:r>
      <w:r>
        <w:rPr>
          <w:rFonts w:ascii="Times New Roman" w:hAnsi="Times New Roman"/>
          <w:sz w:val="28"/>
          <w:szCs w:val="28"/>
          <w:lang w:val="uk-UA"/>
        </w:rPr>
        <w:t xml:space="preserve">, шляхом дотримання гігієни </w:t>
      </w:r>
      <w:r w:rsidR="00713761">
        <w:rPr>
          <w:rFonts w:ascii="Times New Roman" w:hAnsi="Times New Roman"/>
          <w:sz w:val="28"/>
          <w:szCs w:val="28"/>
          <w:lang w:val="uk-UA"/>
        </w:rPr>
        <w:t>ПР</w:t>
      </w:r>
      <w:r>
        <w:rPr>
          <w:rFonts w:ascii="Times New Roman" w:hAnsi="Times New Roman"/>
          <w:sz w:val="28"/>
          <w:szCs w:val="28"/>
          <w:lang w:val="uk-UA"/>
        </w:rPr>
        <w:t xml:space="preserve"> , призначення засобів, що підвищують місцевий захист порожнини рота, лікування хронічної соматичної патології і усунення звички пережовування їжі на одному боці. </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Ефективність запропонованої системи профілактики шляхом порівняння частки підлітків з ПМФ, в яких в процесі диспансерного спостереження розвинулись гінгівіт чи пародонтит в основній і контрольній групах. Контрольній групі (</w:t>
      </w:r>
      <w:r>
        <w:rPr>
          <w:rFonts w:ascii="Times New Roman" w:hAnsi="Times New Roman"/>
          <w:sz w:val="28"/>
          <w:szCs w:val="28"/>
        </w:rPr>
        <w:t>n</w:t>
      </w:r>
      <w:r>
        <w:rPr>
          <w:rFonts w:ascii="Times New Roman" w:hAnsi="Times New Roman"/>
          <w:sz w:val="28"/>
          <w:szCs w:val="28"/>
          <w:lang w:val="uk-UA"/>
        </w:rPr>
        <w:t>=30) проводилась тр</w:t>
      </w:r>
      <w:r w:rsidR="000E77EB">
        <w:rPr>
          <w:rFonts w:ascii="Times New Roman" w:hAnsi="Times New Roman"/>
          <w:sz w:val="28"/>
          <w:szCs w:val="28"/>
          <w:lang w:val="uk-UA"/>
        </w:rPr>
        <w:t xml:space="preserve">адиційна методика профілактики, яка включала </w:t>
      </w:r>
      <w:r w:rsidR="000E77EB">
        <w:rPr>
          <w:rFonts w:ascii="Times New Roman" w:hAnsi="Times New Roman"/>
          <w:sz w:val="28"/>
          <w:szCs w:val="28"/>
          <w:lang w:val="uk-UA"/>
        </w:rPr>
        <w:lastRenderedPageBreak/>
        <w:t>навчання підлітків основним правилам і метода</w:t>
      </w:r>
      <w:r w:rsidR="00490B82">
        <w:rPr>
          <w:rFonts w:ascii="Times New Roman" w:hAnsi="Times New Roman"/>
          <w:sz w:val="28"/>
          <w:szCs w:val="28"/>
          <w:lang w:val="uk-UA"/>
        </w:rPr>
        <w:t xml:space="preserve">м індивідуальної гігієни </w:t>
      </w:r>
      <w:r w:rsidR="00713761">
        <w:rPr>
          <w:rFonts w:ascii="Times New Roman" w:hAnsi="Times New Roman"/>
          <w:sz w:val="28"/>
          <w:szCs w:val="28"/>
          <w:lang w:val="uk-UA"/>
        </w:rPr>
        <w:t>ПР</w:t>
      </w:r>
      <w:r w:rsidR="00490B82">
        <w:rPr>
          <w:rFonts w:ascii="Times New Roman" w:hAnsi="Times New Roman"/>
          <w:sz w:val="28"/>
          <w:szCs w:val="28"/>
          <w:lang w:val="uk-UA"/>
        </w:rPr>
        <w:t>, своєчасне ортодонтичне лікування, усунення аномалій прикріплення тяжів і вуздечок губ, язика, корекцію дрібного присінку порожнини рота і підтримку порожнини рота в санованому стані</w:t>
      </w:r>
      <w:r>
        <w:rPr>
          <w:rFonts w:ascii="Times New Roman" w:hAnsi="Times New Roman"/>
          <w:sz w:val="28"/>
          <w:szCs w:val="28"/>
          <w:lang w:val="uk-UA"/>
        </w:rPr>
        <w:t>, а в основній групі (</w:t>
      </w:r>
      <w:r>
        <w:rPr>
          <w:rFonts w:ascii="Times New Roman" w:hAnsi="Times New Roman"/>
          <w:sz w:val="28"/>
          <w:szCs w:val="28"/>
        </w:rPr>
        <w:t>n</w:t>
      </w:r>
      <w:r>
        <w:rPr>
          <w:rFonts w:ascii="Times New Roman" w:hAnsi="Times New Roman"/>
          <w:sz w:val="28"/>
          <w:szCs w:val="28"/>
          <w:lang w:val="uk-UA"/>
        </w:rPr>
        <w:t>=30) здійснювалась інноваційна система профілактики.</w:t>
      </w: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Об’єктивність отриманих результатів можлива лише в тому випадку, коли порівнювані групи від початку однорідні по відношенню вірогідності розвитку в них запальних захворювань пародонта. Досягти такої однорідності дозволяє проведення рандомізації при зарахуванні  досліджуваного в ту чи іншу групу. В нашому випадку проводили рандомізацію шляхом  послідовних номерів  </w:t>
      </w:r>
      <w:r w:rsidRPr="00805A4F">
        <w:rPr>
          <w:rFonts w:ascii="Times New Roman" w:hAnsi="Times New Roman"/>
          <w:sz w:val="28"/>
          <w:szCs w:val="28"/>
          <w:lang w:val="uk-UA"/>
        </w:rPr>
        <w:t>[</w:t>
      </w:r>
      <w:r>
        <w:rPr>
          <w:rFonts w:ascii="Times New Roman" w:hAnsi="Times New Roman"/>
          <w:sz w:val="28"/>
          <w:szCs w:val="28"/>
          <w:lang w:val="uk-UA"/>
        </w:rPr>
        <w:t>А.М.Зосімов, В.П.Голік, 2009</w:t>
      </w:r>
      <w:r w:rsidRPr="00805A4F">
        <w:rPr>
          <w:rFonts w:ascii="Times New Roman" w:hAnsi="Times New Roman"/>
          <w:sz w:val="28"/>
          <w:szCs w:val="28"/>
          <w:lang w:val="uk-UA"/>
        </w:rPr>
        <w:t>]</w:t>
      </w:r>
      <w:r>
        <w:rPr>
          <w:rFonts w:ascii="Times New Roman" w:hAnsi="Times New Roman"/>
          <w:sz w:val="28"/>
          <w:szCs w:val="28"/>
          <w:lang w:val="uk-UA"/>
        </w:rPr>
        <w:t>. Однак навіть проведена рандомізація не завжди дозволяє повністю врівноважити порівнювані групи, що робить необхідною оцінку ефективності проводимої рандомізації (табл</w:t>
      </w:r>
      <w:r w:rsidRPr="00B656EE">
        <w:rPr>
          <w:rFonts w:ascii="Times New Roman" w:hAnsi="Times New Roman"/>
          <w:sz w:val="28"/>
          <w:szCs w:val="28"/>
          <w:lang w:val="uk-UA"/>
        </w:rPr>
        <w:t>. 6.2).</w:t>
      </w:r>
    </w:p>
    <w:p w:rsidR="000F78D0" w:rsidRPr="00B656EE" w:rsidRDefault="000F78D0" w:rsidP="00AC605C">
      <w:pPr>
        <w:spacing w:line="360" w:lineRule="auto"/>
        <w:ind w:firstLine="426"/>
        <w:jc w:val="right"/>
        <w:rPr>
          <w:rFonts w:ascii="Times New Roman" w:hAnsi="Times New Roman"/>
          <w:i/>
          <w:sz w:val="28"/>
          <w:szCs w:val="28"/>
          <w:lang w:val="uk-UA"/>
        </w:rPr>
      </w:pPr>
      <w:r w:rsidRPr="00B656EE">
        <w:rPr>
          <w:rFonts w:ascii="Times New Roman" w:hAnsi="Times New Roman"/>
          <w:i/>
          <w:sz w:val="28"/>
          <w:szCs w:val="28"/>
          <w:lang w:val="uk-UA"/>
        </w:rPr>
        <w:t>Таблиця 6.2</w:t>
      </w:r>
    </w:p>
    <w:p w:rsidR="000F78D0" w:rsidRPr="00B656EE" w:rsidRDefault="000F78D0" w:rsidP="00AC605C">
      <w:pPr>
        <w:spacing w:line="360" w:lineRule="auto"/>
        <w:ind w:firstLine="426"/>
        <w:jc w:val="center"/>
        <w:rPr>
          <w:rFonts w:ascii="Times New Roman" w:hAnsi="Times New Roman"/>
          <w:sz w:val="28"/>
          <w:szCs w:val="28"/>
          <w:lang w:val="uk-UA"/>
        </w:rPr>
      </w:pPr>
      <w:r w:rsidRPr="00B656EE">
        <w:rPr>
          <w:rFonts w:ascii="Times New Roman" w:hAnsi="Times New Roman"/>
          <w:sz w:val="28"/>
          <w:szCs w:val="28"/>
          <w:lang w:val="uk-UA"/>
        </w:rPr>
        <w:t>Ефективність рандомізації порівнюваних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29"/>
        <w:gridCol w:w="1599"/>
        <w:gridCol w:w="1495"/>
        <w:gridCol w:w="1393"/>
        <w:gridCol w:w="1303"/>
        <w:gridCol w:w="1849"/>
      </w:tblGrid>
      <w:tr w:rsidR="000F78D0" w:rsidRPr="001336DC" w:rsidTr="000F78D0">
        <w:tc>
          <w:tcPr>
            <w:tcW w:w="0" w:type="auto"/>
            <w:vMerge w:val="restart"/>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Група ризику</w:t>
            </w:r>
          </w:p>
        </w:tc>
        <w:tc>
          <w:tcPr>
            <w:tcW w:w="0" w:type="auto"/>
            <w:gridSpan w:val="2"/>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Контрольна група,</w:t>
            </w:r>
            <w:r w:rsidRPr="001336DC">
              <w:rPr>
                <w:rFonts w:ascii="Times New Roman" w:hAnsi="Times New Roman"/>
                <w:sz w:val="28"/>
                <w:szCs w:val="28"/>
              </w:rPr>
              <w:t xml:space="preserve"> n</w:t>
            </w:r>
            <w:r w:rsidRPr="001336DC">
              <w:rPr>
                <w:rFonts w:ascii="Times New Roman" w:hAnsi="Times New Roman"/>
                <w:sz w:val="28"/>
                <w:szCs w:val="28"/>
                <w:lang w:val="uk-UA"/>
              </w:rPr>
              <w:t>=30</w:t>
            </w:r>
          </w:p>
        </w:tc>
        <w:tc>
          <w:tcPr>
            <w:tcW w:w="0" w:type="auto"/>
            <w:gridSpan w:val="2"/>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 xml:space="preserve">Основна група, </w:t>
            </w:r>
            <w:r w:rsidRPr="001336DC">
              <w:rPr>
                <w:rFonts w:ascii="Times New Roman" w:hAnsi="Times New Roman"/>
                <w:sz w:val="28"/>
                <w:szCs w:val="28"/>
              </w:rPr>
              <w:t>n</w:t>
            </w:r>
            <w:r w:rsidRPr="001336DC">
              <w:rPr>
                <w:rFonts w:ascii="Times New Roman" w:hAnsi="Times New Roman"/>
                <w:sz w:val="28"/>
                <w:szCs w:val="28"/>
                <w:lang w:val="uk-UA"/>
              </w:rPr>
              <w:t>=30</w:t>
            </w:r>
          </w:p>
        </w:tc>
        <w:tc>
          <w:tcPr>
            <w:tcW w:w="1849" w:type="dxa"/>
            <w:vMerge w:val="restart"/>
          </w:tcPr>
          <w:p w:rsidR="000F78D0" w:rsidRPr="001336DC" w:rsidRDefault="000F78D0" w:rsidP="00E03819">
            <w:pPr>
              <w:spacing w:line="360" w:lineRule="auto"/>
              <w:ind w:firstLine="426"/>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F78D0">
        <w:tc>
          <w:tcPr>
            <w:tcW w:w="0" w:type="auto"/>
            <w:vMerge/>
          </w:tcPr>
          <w:p w:rsidR="000F78D0" w:rsidRPr="001336DC" w:rsidRDefault="000F78D0" w:rsidP="00AC605C">
            <w:pPr>
              <w:spacing w:line="360" w:lineRule="auto"/>
              <w:ind w:firstLine="426"/>
              <w:jc w:val="center"/>
              <w:rPr>
                <w:rFonts w:ascii="Times New Roman" w:hAnsi="Times New Roman"/>
                <w:sz w:val="28"/>
                <w:szCs w:val="28"/>
                <w:lang w:val="uk-UA"/>
              </w:rPr>
            </w:pP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w:t>
            </w:r>
          </w:p>
        </w:tc>
        <w:tc>
          <w:tcPr>
            <w:tcW w:w="1849" w:type="dxa"/>
            <w:vMerge/>
          </w:tcPr>
          <w:p w:rsidR="000F78D0" w:rsidRPr="001336DC" w:rsidRDefault="000F78D0" w:rsidP="00E03819">
            <w:pPr>
              <w:spacing w:line="360" w:lineRule="auto"/>
              <w:ind w:firstLine="426"/>
              <w:rPr>
                <w:rFonts w:ascii="Times New Roman" w:hAnsi="Times New Roman"/>
                <w:sz w:val="28"/>
                <w:szCs w:val="28"/>
                <w:lang w:val="uk-UA"/>
              </w:rPr>
            </w:pP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6,7</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6,7</w:t>
            </w:r>
          </w:p>
        </w:tc>
        <w:tc>
          <w:tcPr>
            <w:tcW w:w="1849" w:type="dxa"/>
          </w:tcPr>
          <w:p w:rsidR="000F78D0" w:rsidRPr="001336DC" w:rsidRDefault="000F78D0" w:rsidP="00E03819">
            <w:pPr>
              <w:spacing w:line="360" w:lineRule="auto"/>
              <w:ind w:firstLine="426"/>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І</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4</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13,3</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3</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10</w:t>
            </w:r>
          </w:p>
        </w:tc>
        <w:tc>
          <w:tcPr>
            <w:tcW w:w="1849" w:type="dxa"/>
          </w:tcPr>
          <w:p w:rsidR="000F78D0" w:rsidRPr="001336DC" w:rsidRDefault="000F78D0" w:rsidP="00E03819">
            <w:pPr>
              <w:ind w:firstLine="426"/>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ІІ</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9" w:type="dxa"/>
          </w:tcPr>
          <w:p w:rsidR="000F78D0" w:rsidRPr="001336DC" w:rsidRDefault="000F78D0" w:rsidP="00E03819">
            <w:pPr>
              <w:ind w:firstLine="426"/>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ІІІ</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7</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23,3</w:t>
            </w:r>
          </w:p>
        </w:tc>
        <w:tc>
          <w:tcPr>
            <w:tcW w:w="1849" w:type="dxa"/>
          </w:tcPr>
          <w:p w:rsidR="000F78D0" w:rsidRPr="001336DC" w:rsidRDefault="000F78D0" w:rsidP="00E03819">
            <w:pPr>
              <w:ind w:firstLine="426"/>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І</w:t>
            </w:r>
            <w:r w:rsidRPr="001336DC">
              <w:rPr>
                <w:rFonts w:ascii="Times New Roman" w:hAnsi="Times New Roman"/>
                <w:sz w:val="28"/>
                <w:szCs w:val="28"/>
              </w:rPr>
              <w:t>V</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26,7</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9</w:t>
            </w:r>
          </w:p>
        </w:tc>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30</w:t>
            </w:r>
          </w:p>
        </w:tc>
        <w:tc>
          <w:tcPr>
            <w:tcW w:w="1849" w:type="dxa"/>
          </w:tcPr>
          <w:p w:rsidR="000F78D0" w:rsidRPr="001336DC" w:rsidRDefault="000F78D0" w:rsidP="00E03819">
            <w:pPr>
              <w:ind w:firstLine="426"/>
            </w:pPr>
            <w:r w:rsidRPr="001336DC">
              <w:rPr>
                <w:rFonts w:ascii="Times New Roman" w:hAnsi="Times New Roman"/>
                <w:sz w:val="28"/>
                <w:szCs w:val="28"/>
                <w:lang w:val="uk-UA"/>
              </w:rPr>
              <w:t>&gt;0,05</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таблиці </w:t>
      </w:r>
      <w:r w:rsidRPr="00B656EE">
        <w:rPr>
          <w:rFonts w:ascii="Times New Roman" w:hAnsi="Times New Roman"/>
          <w:sz w:val="28"/>
          <w:szCs w:val="28"/>
          <w:lang w:val="uk-UA"/>
        </w:rPr>
        <w:t>6.2 вказують, що структура груп ризику в обох групах не мала достовірних відмінностей (р&gt;0,05), що підтверджує однорідність груп по відношенню до вірогідності розвитку в них запальних захворювань пародонта.</w:t>
      </w:r>
    </w:p>
    <w:p w:rsidR="000F78D0" w:rsidRPr="00B656EE"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 xml:space="preserve">До дослідження входили дівчата-підлітки від 13 до 15 років. Середній вік підлітків контрольної групи склав 13,9±1,1 років, а основної – 13,5±0,9 років. </w:t>
      </w:r>
      <w:r w:rsidRPr="00B656EE">
        <w:rPr>
          <w:rFonts w:ascii="Times New Roman" w:hAnsi="Times New Roman"/>
          <w:sz w:val="28"/>
          <w:szCs w:val="28"/>
          <w:lang w:val="uk-UA"/>
        </w:rPr>
        <w:lastRenderedPageBreak/>
        <w:t>Достовірних відмінностей за цим показником не встановлено (р&gt;0,05), отже, групи були однорідними і по відношенню до віку підлітків.</w:t>
      </w:r>
    </w:p>
    <w:p w:rsidR="000F78D0"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Враховуючи виявлену патогенетичну значимість інтенсивності карієсу в розвитку запальних захворювань тканин пародонта, були проаналізовані вихідні значення КПВ в групах (табл. 6.3).</w:t>
      </w:r>
    </w:p>
    <w:p w:rsidR="000F78D0" w:rsidRDefault="000F78D0" w:rsidP="00AC605C">
      <w:pPr>
        <w:spacing w:line="360" w:lineRule="auto"/>
        <w:ind w:firstLine="426"/>
        <w:jc w:val="right"/>
        <w:rPr>
          <w:rFonts w:ascii="Times New Roman" w:hAnsi="Times New Roman"/>
          <w:sz w:val="28"/>
          <w:szCs w:val="28"/>
          <w:lang w:val="uk-UA"/>
        </w:rPr>
      </w:pPr>
      <w:r w:rsidRPr="00B02761">
        <w:rPr>
          <w:rFonts w:ascii="Times New Roman" w:hAnsi="Times New Roman"/>
          <w:i/>
          <w:sz w:val="28"/>
          <w:szCs w:val="28"/>
          <w:lang w:val="uk-UA"/>
        </w:rPr>
        <w:t>Таблиця</w:t>
      </w:r>
      <w:r>
        <w:rPr>
          <w:rFonts w:ascii="Times New Roman" w:hAnsi="Times New Roman"/>
          <w:sz w:val="28"/>
          <w:szCs w:val="28"/>
          <w:lang w:val="uk-UA"/>
        </w:rPr>
        <w:t xml:space="preserve"> </w:t>
      </w:r>
      <w:r w:rsidRPr="00B656EE">
        <w:rPr>
          <w:rFonts w:ascii="Times New Roman" w:hAnsi="Times New Roman"/>
          <w:sz w:val="28"/>
          <w:szCs w:val="28"/>
          <w:lang w:val="uk-UA"/>
        </w:rPr>
        <w:t>6.3</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 xml:space="preserve">Вихідні значення показника інтенсивності карієсу (КПВ) в основній і контрольній </w:t>
      </w:r>
      <w:r w:rsidRPr="00490B82">
        <w:rPr>
          <w:rFonts w:ascii="Times New Roman" w:hAnsi="Times New Roman"/>
          <w:sz w:val="28"/>
          <w:szCs w:val="28"/>
          <w:lang w:val="uk-UA"/>
        </w:rPr>
        <w:t xml:space="preserve">групах </w:t>
      </w:r>
      <w:r w:rsidR="00490B82" w:rsidRPr="00490B82">
        <w:rPr>
          <w:rFonts w:ascii="Times New Roman" w:hAnsi="Times New Roman"/>
          <w:sz w:val="28"/>
          <w:szCs w:val="28"/>
          <w:lang w:val="uk-UA"/>
        </w:rPr>
        <w:t>(бали</w:t>
      </w:r>
      <w:r w:rsidRPr="00490B82">
        <w:rPr>
          <w:rFonts w:ascii="Times New Roman" w:hAnsi="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3765"/>
        <w:gridCol w:w="2700"/>
        <w:gridCol w:w="1620"/>
      </w:tblGrid>
      <w:tr w:rsidR="000F78D0" w:rsidRPr="001336DC" w:rsidTr="000F78D0">
        <w:tc>
          <w:tcPr>
            <w:tcW w:w="0" w:type="auto"/>
            <w:vMerge w:val="restart"/>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Вік, років</w:t>
            </w:r>
          </w:p>
        </w:tc>
        <w:tc>
          <w:tcPr>
            <w:tcW w:w="6465" w:type="dxa"/>
            <w:gridSpan w:val="2"/>
          </w:tcPr>
          <w:p w:rsidR="000F78D0" w:rsidRPr="001336DC" w:rsidRDefault="000F78D0" w:rsidP="00AC605C">
            <w:pPr>
              <w:spacing w:line="360" w:lineRule="auto"/>
              <w:ind w:firstLine="426"/>
              <w:jc w:val="center"/>
              <w:rPr>
                <w:rFonts w:ascii="Times New Roman" w:hAnsi="Times New Roman"/>
                <w:sz w:val="28"/>
                <w:szCs w:val="28"/>
              </w:rPr>
            </w:pPr>
            <w:r w:rsidRPr="001336DC">
              <w:rPr>
                <w:rFonts w:ascii="Times New Roman" w:hAnsi="Times New Roman"/>
                <w:sz w:val="28"/>
                <w:szCs w:val="28"/>
                <w:lang w:val="uk-UA"/>
              </w:rPr>
              <w:t>КПВ (М±</w:t>
            </w:r>
            <w:r w:rsidRPr="001336DC">
              <w:rPr>
                <w:rFonts w:ascii="Times New Roman" w:hAnsi="Times New Roman"/>
                <w:sz w:val="28"/>
                <w:szCs w:val="28"/>
              </w:rPr>
              <w:t>m</w:t>
            </w:r>
            <w:r w:rsidRPr="001336DC">
              <w:rPr>
                <w:rFonts w:ascii="Times New Roman" w:hAnsi="Times New Roman"/>
                <w:sz w:val="28"/>
                <w:szCs w:val="28"/>
                <w:lang w:val="uk-UA"/>
              </w:rPr>
              <w:t>)</w:t>
            </w:r>
          </w:p>
        </w:tc>
        <w:tc>
          <w:tcPr>
            <w:tcW w:w="1620" w:type="dxa"/>
            <w:vMerge w:val="restart"/>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F78D0">
        <w:tc>
          <w:tcPr>
            <w:tcW w:w="0" w:type="auto"/>
            <w:vMerge/>
          </w:tcPr>
          <w:p w:rsidR="000F78D0" w:rsidRPr="001336DC" w:rsidRDefault="000F78D0" w:rsidP="00AC605C">
            <w:pPr>
              <w:spacing w:line="360" w:lineRule="auto"/>
              <w:ind w:firstLine="426"/>
              <w:jc w:val="center"/>
              <w:rPr>
                <w:rFonts w:ascii="Times New Roman" w:hAnsi="Times New Roman"/>
                <w:sz w:val="28"/>
                <w:szCs w:val="28"/>
                <w:lang w:val="uk-UA"/>
              </w:rPr>
            </w:pPr>
          </w:p>
        </w:tc>
        <w:tc>
          <w:tcPr>
            <w:tcW w:w="3765"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Контроль</w:t>
            </w:r>
          </w:p>
        </w:tc>
        <w:tc>
          <w:tcPr>
            <w:tcW w:w="2700"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Основна група</w:t>
            </w:r>
          </w:p>
        </w:tc>
        <w:tc>
          <w:tcPr>
            <w:tcW w:w="1620" w:type="dxa"/>
            <w:vMerge/>
          </w:tcPr>
          <w:p w:rsidR="000F78D0" w:rsidRPr="001336DC" w:rsidRDefault="000F78D0" w:rsidP="00AC605C">
            <w:pPr>
              <w:spacing w:line="360" w:lineRule="auto"/>
              <w:ind w:firstLine="426"/>
              <w:jc w:val="center"/>
              <w:rPr>
                <w:rFonts w:ascii="Times New Roman" w:hAnsi="Times New Roman"/>
                <w:sz w:val="28"/>
                <w:szCs w:val="28"/>
                <w:lang w:val="uk-UA"/>
              </w:rPr>
            </w:pP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13</w:t>
            </w:r>
          </w:p>
        </w:tc>
        <w:tc>
          <w:tcPr>
            <w:tcW w:w="3765"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3,52±0,15</w:t>
            </w:r>
          </w:p>
        </w:tc>
        <w:tc>
          <w:tcPr>
            <w:tcW w:w="2700"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3,49±0,14</w:t>
            </w:r>
          </w:p>
        </w:tc>
        <w:tc>
          <w:tcPr>
            <w:tcW w:w="1620" w:type="dxa"/>
          </w:tcPr>
          <w:p w:rsidR="000F78D0" w:rsidRPr="001336DC" w:rsidRDefault="000F78D0" w:rsidP="00AC605C">
            <w:pPr>
              <w:ind w:firstLine="426"/>
              <w:jc w:val="center"/>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14</w:t>
            </w:r>
          </w:p>
        </w:tc>
        <w:tc>
          <w:tcPr>
            <w:tcW w:w="3765"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4,65±0,18</w:t>
            </w:r>
          </w:p>
        </w:tc>
        <w:tc>
          <w:tcPr>
            <w:tcW w:w="2700"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4,58±0,17</w:t>
            </w:r>
          </w:p>
        </w:tc>
        <w:tc>
          <w:tcPr>
            <w:tcW w:w="1620" w:type="dxa"/>
          </w:tcPr>
          <w:p w:rsidR="000F78D0" w:rsidRPr="001336DC" w:rsidRDefault="000F78D0" w:rsidP="00AC605C">
            <w:pPr>
              <w:ind w:firstLine="426"/>
              <w:jc w:val="center"/>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15</w:t>
            </w:r>
          </w:p>
        </w:tc>
        <w:tc>
          <w:tcPr>
            <w:tcW w:w="3765"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5,79±0,21</w:t>
            </w:r>
          </w:p>
        </w:tc>
        <w:tc>
          <w:tcPr>
            <w:tcW w:w="2700"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5,70±0,20</w:t>
            </w:r>
          </w:p>
        </w:tc>
        <w:tc>
          <w:tcPr>
            <w:tcW w:w="1620" w:type="dxa"/>
          </w:tcPr>
          <w:p w:rsidR="000F78D0" w:rsidRPr="001336DC" w:rsidRDefault="000F78D0" w:rsidP="00AC605C">
            <w:pPr>
              <w:ind w:firstLine="426"/>
              <w:jc w:val="center"/>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В цілому</w:t>
            </w:r>
          </w:p>
        </w:tc>
        <w:tc>
          <w:tcPr>
            <w:tcW w:w="3765"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4,65±0,15</w:t>
            </w:r>
          </w:p>
        </w:tc>
        <w:tc>
          <w:tcPr>
            <w:tcW w:w="2700"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4,59±0,16</w:t>
            </w:r>
          </w:p>
        </w:tc>
        <w:tc>
          <w:tcPr>
            <w:tcW w:w="1620" w:type="dxa"/>
          </w:tcPr>
          <w:p w:rsidR="000F78D0" w:rsidRPr="001336DC" w:rsidRDefault="000F78D0" w:rsidP="00AC605C">
            <w:pPr>
              <w:spacing w:line="360" w:lineRule="auto"/>
              <w:ind w:firstLine="426"/>
              <w:jc w:val="center"/>
              <w:rPr>
                <w:rFonts w:ascii="Times New Roman" w:hAnsi="Times New Roman"/>
                <w:sz w:val="28"/>
                <w:szCs w:val="28"/>
                <w:lang w:val="uk-UA"/>
              </w:rPr>
            </w:pPr>
            <w:r w:rsidRPr="001336DC">
              <w:rPr>
                <w:rFonts w:ascii="Times New Roman" w:hAnsi="Times New Roman"/>
                <w:sz w:val="28"/>
                <w:szCs w:val="28"/>
                <w:lang w:val="uk-UA"/>
              </w:rPr>
              <w:t>&gt;0,05</w:t>
            </w:r>
          </w:p>
        </w:tc>
      </w:tr>
    </w:tbl>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витікає із мал. 8.2 в системі профілактики запальних захворювань пародонта важлива роль належить навчанню підлітків і їх батьків основам гігієни порожнини рота, здоровому способу життя і засобам і способам усунення або нейтралізації факторів ризику, а також контролю ступеню засвоєння і застосування інформації від лікаря-стоматолога.</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економії часу лікаря-стоматолога, а також підвищення ефективності цього процесу, нами було організовано «СТОМАТ-школу», в якій одночасно в основній групі підлітків проводились заняття по вищевказаним питанням.</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Заняття в «Стомат-школі» проводилися з регулярністю один раз на місяць тривалістю одна година. Крім підлітків заняття в школі проводились і для їх батьків і прабатьків.</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першому етапі організації школи заняття проводили сумісно для підлітків і їх батьків. Однак цей варіант виявився малоефективним через психологічну «незручність» підлітків по відношенню один до одного. Власне </w:t>
      </w:r>
      <w:r>
        <w:rPr>
          <w:rFonts w:ascii="Times New Roman" w:hAnsi="Times New Roman"/>
          <w:sz w:val="28"/>
          <w:szCs w:val="28"/>
          <w:lang w:val="uk-UA"/>
        </w:rPr>
        <w:lastRenderedPageBreak/>
        <w:t>кажучи, самі підлітки запропонували нам розвести заняття для підлітків і їх батьків.</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другому етапі організації школи спочатку інформація за даною темою надавалася батькам, а потім підліткам. Цей підхід теж виявився неефективним, так як батьки, озброївшись новими знаннями і вміннями, починали одразу ж впроваджувати їх в життя. Однак у непідготовлених до цього підлітків це визивало неприємні аж до конфліктних ситуацій.</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Тому, в результаті спроб і помилок, був обраний найбільш оптимальний варіант, коли тема заняття спочатку представлялася підліткам, а потім їх батькам. В такому випадку підлітки виглядали в своїх «очах» фаворитами в засвоєнні знань перед своїми батьками, і це приносило позитивний результат в їх спільних діях.</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Ефективність профілактики в групах здійснювали через 6,12,18 і 24 місяці від її початку.</w:t>
      </w: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табл</w:t>
      </w:r>
      <w:r w:rsidRPr="00B656EE">
        <w:rPr>
          <w:rFonts w:ascii="Times New Roman" w:hAnsi="Times New Roman"/>
          <w:sz w:val="28"/>
          <w:szCs w:val="28"/>
          <w:lang w:val="uk-UA"/>
        </w:rPr>
        <w:t>. 6.4 представлена частка підлітків, у яких в процесі спостереження розвилося запальне захворювання пародонта.</w:t>
      </w:r>
    </w:p>
    <w:p w:rsidR="000F78D0" w:rsidRPr="00B656EE" w:rsidRDefault="000F78D0" w:rsidP="00633A7E">
      <w:pPr>
        <w:spacing w:line="360" w:lineRule="auto"/>
        <w:ind w:firstLine="709"/>
        <w:jc w:val="right"/>
        <w:rPr>
          <w:rFonts w:ascii="Times New Roman" w:hAnsi="Times New Roman"/>
          <w:i/>
          <w:sz w:val="28"/>
          <w:szCs w:val="28"/>
          <w:lang w:val="uk-UA"/>
        </w:rPr>
      </w:pPr>
      <w:r w:rsidRPr="00B656EE">
        <w:rPr>
          <w:rFonts w:ascii="Times New Roman" w:hAnsi="Times New Roman"/>
          <w:i/>
          <w:sz w:val="28"/>
          <w:szCs w:val="28"/>
          <w:lang w:val="uk-UA"/>
        </w:rPr>
        <w:t>Таблиця 6.4</w:t>
      </w:r>
    </w:p>
    <w:p w:rsidR="000F78D0" w:rsidRDefault="000F78D0" w:rsidP="00633A7E">
      <w:pPr>
        <w:spacing w:line="360" w:lineRule="auto"/>
        <w:ind w:firstLine="709"/>
        <w:jc w:val="center"/>
        <w:rPr>
          <w:rFonts w:ascii="Times New Roman" w:hAnsi="Times New Roman"/>
          <w:sz w:val="28"/>
          <w:szCs w:val="28"/>
          <w:lang w:val="uk-UA"/>
        </w:rPr>
      </w:pPr>
      <w:r w:rsidRPr="00B656EE">
        <w:rPr>
          <w:rFonts w:ascii="Times New Roman" w:hAnsi="Times New Roman"/>
          <w:sz w:val="28"/>
          <w:szCs w:val="28"/>
          <w:lang w:val="uk-UA"/>
        </w:rPr>
        <w:t>Частка підлітків, у яких в процесі</w:t>
      </w:r>
      <w:r>
        <w:rPr>
          <w:rFonts w:ascii="Times New Roman" w:hAnsi="Times New Roman"/>
          <w:sz w:val="28"/>
          <w:szCs w:val="28"/>
          <w:lang w:val="uk-UA"/>
        </w:rPr>
        <w:t xml:space="preserve"> диспансеризації виникли запальні захворювання пародонта.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71"/>
        <w:gridCol w:w="755"/>
        <w:gridCol w:w="842"/>
        <w:gridCol w:w="900"/>
        <w:gridCol w:w="900"/>
        <w:gridCol w:w="900"/>
        <w:gridCol w:w="900"/>
        <w:gridCol w:w="900"/>
        <w:gridCol w:w="900"/>
      </w:tblGrid>
      <w:tr w:rsidR="000F78D0" w:rsidRPr="001336DC" w:rsidTr="000F78D0">
        <w:tc>
          <w:tcPr>
            <w:tcW w:w="0" w:type="auto"/>
            <w:vMerge w:val="restart"/>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Групи</w:t>
            </w:r>
          </w:p>
        </w:tc>
        <w:tc>
          <w:tcPr>
            <w:tcW w:w="6997" w:type="dxa"/>
            <w:gridSpan w:val="8"/>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Запальні захворювання пародонта</w:t>
            </w:r>
          </w:p>
        </w:tc>
      </w:tr>
      <w:tr w:rsidR="000F78D0" w:rsidRPr="001336DC" w:rsidTr="000F78D0">
        <w:tc>
          <w:tcPr>
            <w:tcW w:w="0" w:type="auto"/>
            <w:vMerge/>
          </w:tcPr>
          <w:p w:rsidR="000F78D0" w:rsidRPr="001336DC" w:rsidRDefault="000F78D0" w:rsidP="00490B82">
            <w:pPr>
              <w:spacing w:line="360" w:lineRule="auto"/>
              <w:jc w:val="center"/>
              <w:rPr>
                <w:rFonts w:ascii="Times New Roman" w:hAnsi="Times New Roman"/>
                <w:sz w:val="28"/>
                <w:szCs w:val="28"/>
                <w:lang w:val="uk-UA"/>
              </w:rPr>
            </w:pPr>
          </w:p>
        </w:tc>
        <w:tc>
          <w:tcPr>
            <w:tcW w:w="1597"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6 міс</w:t>
            </w:r>
          </w:p>
        </w:tc>
        <w:tc>
          <w:tcPr>
            <w:tcW w:w="1800"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12 міс</w:t>
            </w:r>
          </w:p>
        </w:tc>
        <w:tc>
          <w:tcPr>
            <w:tcW w:w="1800"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18 міс</w:t>
            </w:r>
          </w:p>
        </w:tc>
        <w:tc>
          <w:tcPr>
            <w:tcW w:w="1800"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24 міс</w:t>
            </w:r>
          </w:p>
        </w:tc>
      </w:tr>
      <w:tr w:rsidR="000F78D0" w:rsidRPr="001336DC" w:rsidTr="000F78D0">
        <w:tc>
          <w:tcPr>
            <w:tcW w:w="0" w:type="auto"/>
            <w:vMerge/>
          </w:tcPr>
          <w:p w:rsidR="000F78D0" w:rsidRPr="001336DC" w:rsidRDefault="000F78D0" w:rsidP="00490B82">
            <w:pPr>
              <w:spacing w:line="360" w:lineRule="auto"/>
              <w:jc w:val="center"/>
              <w:rPr>
                <w:rFonts w:ascii="Times New Roman" w:hAnsi="Times New Roman"/>
                <w:sz w:val="28"/>
                <w:szCs w:val="28"/>
                <w:lang w:val="uk-UA"/>
              </w:rPr>
            </w:pPr>
          </w:p>
        </w:tc>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842"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w:t>
            </w:r>
          </w:p>
        </w:tc>
      </w:tr>
      <w:tr w:rsidR="000F78D0" w:rsidRPr="001336DC" w:rsidTr="000F78D0">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Контрольна (</w:t>
            </w:r>
            <w:r w:rsidRPr="001336DC">
              <w:rPr>
                <w:rFonts w:ascii="Times New Roman" w:hAnsi="Times New Roman"/>
                <w:sz w:val="28"/>
                <w:szCs w:val="28"/>
              </w:rPr>
              <w:t>n</w:t>
            </w:r>
            <w:r w:rsidRPr="001336DC">
              <w:rPr>
                <w:rFonts w:ascii="Times New Roman" w:hAnsi="Times New Roman"/>
                <w:sz w:val="28"/>
                <w:szCs w:val="28"/>
                <w:lang w:val="uk-UA"/>
              </w:rPr>
              <w:t>=30)</w:t>
            </w:r>
          </w:p>
        </w:tc>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842"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9</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30</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13</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43,3</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18</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60</w:t>
            </w:r>
          </w:p>
        </w:tc>
      </w:tr>
      <w:tr w:rsidR="000F78D0" w:rsidRPr="001336DC" w:rsidTr="000F78D0">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Основна (</w:t>
            </w:r>
            <w:r w:rsidRPr="001336DC">
              <w:rPr>
                <w:rFonts w:ascii="Times New Roman" w:hAnsi="Times New Roman"/>
                <w:sz w:val="28"/>
                <w:szCs w:val="28"/>
              </w:rPr>
              <w:t>n</w:t>
            </w:r>
            <w:r w:rsidRPr="001336DC">
              <w:rPr>
                <w:rFonts w:ascii="Times New Roman" w:hAnsi="Times New Roman"/>
                <w:sz w:val="28"/>
                <w:szCs w:val="28"/>
                <w:lang w:val="uk-UA"/>
              </w:rPr>
              <w:t>=30)</w:t>
            </w:r>
          </w:p>
        </w:tc>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w:t>
            </w:r>
          </w:p>
        </w:tc>
        <w:tc>
          <w:tcPr>
            <w:tcW w:w="842"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3,3</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3</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10</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16,7</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7</w:t>
            </w:r>
          </w:p>
        </w:tc>
        <w:tc>
          <w:tcPr>
            <w:tcW w:w="900" w:type="dxa"/>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23,3</w:t>
            </w:r>
          </w:p>
        </w:tc>
      </w:tr>
      <w:tr w:rsidR="000F78D0" w:rsidRPr="001336DC" w:rsidTr="000F78D0">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р</w:t>
            </w:r>
          </w:p>
        </w:tc>
        <w:tc>
          <w:tcPr>
            <w:tcW w:w="1597"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&lt;0,05</w:t>
            </w:r>
          </w:p>
        </w:tc>
        <w:tc>
          <w:tcPr>
            <w:tcW w:w="1800"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&lt;0,05</w:t>
            </w:r>
          </w:p>
        </w:tc>
        <w:tc>
          <w:tcPr>
            <w:tcW w:w="1800"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&lt;0,05</w:t>
            </w:r>
          </w:p>
        </w:tc>
        <w:tc>
          <w:tcPr>
            <w:tcW w:w="1800" w:type="dxa"/>
            <w:gridSpan w:val="2"/>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&lt;0,01</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табл. </w:t>
      </w:r>
      <w:r w:rsidRPr="00B656EE">
        <w:rPr>
          <w:rFonts w:ascii="Times New Roman" w:hAnsi="Times New Roman"/>
          <w:sz w:val="28"/>
          <w:szCs w:val="28"/>
          <w:lang w:val="uk-UA"/>
        </w:rPr>
        <w:t>6.4 витікає, що через 6 місяців від початку проведення профілактики в основній</w:t>
      </w:r>
      <w:r>
        <w:rPr>
          <w:rFonts w:ascii="Times New Roman" w:hAnsi="Times New Roman"/>
          <w:sz w:val="28"/>
          <w:szCs w:val="28"/>
          <w:lang w:val="uk-UA"/>
        </w:rPr>
        <w:t xml:space="preserve"> групі лише у 3,3% підлітків діагностовано запальні захворювання пародонта, а в контролі майже у кожного п’ятого (16,7%; р&lt;0,05). Через 12 місяців в контрольній групі захворювання відмічалися у 1/3 (30%) підлітків, а в </w:t>
      </w:r>
      <w:r>
        <w:rPr>
          <w:rFonts w:ascii="Times New Roman" w:hAnsi="Times New Roman"/>
          <w:sz w:val="28"/>
          <w:szCs w:val="28"/>
          <w:lang w:val="uk-UA"/>
        </w:rPr>
        <w:lastRenderedPageBreak/>
        <w:t>основній групі в 3 рази рідше (10%; р&lt;0,05). Через 18 місяців в контрольній групі майже у половини (43,3%) підлітків діагностовано захворювання пародонта, а в основній групі в 2,6 раза рідше (16,7%; р&lt;0,05).</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Через 2 роки від початку профілактики частка підлітків з діагностованими захворюваннями в контролі досягла 60%, а в основній групі – в 2,6 раза менше (23,3%; р&lt;0,01).</w:t>
      </w: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аналізі структури діагностовано патології в групах встановлено (</w:t>
      </w:r>
      <w:r w:rsidRPr="00B656EE">
        <w:rPr>
          <w:rFonts w:ascii="Times New Roman" w:hAnsi="Times New Roman"/>
          <w:sz w:val="28"/>
          <w:szCs w:val="28"/>
          <w:lang w:val="uk-UA"/>
        </w:rPr>
        <w:t>табл. 6.5), що через 24 місяці від початку спостереження в основній групі діагностовано тільки катаральний гінгівіт (100%). При цьому легкий ступінь тяжкості відмічений у 71,4%, а середньо тяжкий у 28,6%.</w:t>
      </w:r>
    </w:p>
    <w:p w:rsidR="000F78D0" w:rsidRPr="00B656EE"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Хворих з гіпертрофічним гінгівітом і пародонтитом не виявлено.</w:t>
      </w:r>
    </w:p>
    <w:p w:rsidR="000F78D0" w:rsidRPr="00B656EE" w:rsidRDefault="000F78D0" w:rsidP="00633A7E">
      <w:pPr>
        <w:spacing w:line="360" w:lineRule="auto"/>
        <w:ind w:firstLine="709"/>
        <w:jc w:val="right"/>
        <w:rPr>
          <w:rFonts w:ascii="Times New Roman" w:hAnsi="Times New Roman"/>
          <w:i/>
          <w:sz w:val="28"/>
          <w:szCs w:val="28"/>
          <w:lang w:val="uk-UA"/>
        </w:rPr>
      </w:pPr>
      <w:r w:rsidRPr="00B656EE">
        <w:rPr>
          <w:rFonts w:ascii="Times New Roman" w:hAnsi="Times New Roman"/>
          <w:i/>
          <w:sz w:val="28"/>
          <w:szCs w:val="28"/>
          <w:lang w:val="uk-UA"/>
        </w:rPr>
        <w:t>Таблиця 6.5</w:t>
      </w:r>
    </w:p>
    <w:p w:rsidR="000F78D0" w:rsidRDefault="000F78D0" w:rsidP="00633A7E">
      <w:pPr>
        <w:spacing w:line="360" w:lineRule="auto"/>
        <w:ind w:firstLine="709"/>
        <w:jc w:val="center"/>
        <w:rPr>
          <w:rFonts w:ascii="Times New Roman" w:hAnsi="Times New Roman"/>
          <w:sz w:val="28"/>
          <w:szCs w:val="28"/>
          <w:lang w:val="uk-UA"/>
        </w:rPr>
      </w:pPr>
      <w:r w:rsidRPr="00B656EE">
        <w:rPr>
          <w:rFonts w:ascii="Times New Roman" w:hAnsi="Times New Roman"/>
          <w:sz w:val="28"/>
          <w:szCs w:val="28"/>
          <w:lang w:val="uk-UA"/>
        </w:rPr>
        <w:t>Структура запальних захворювань пародонта</w:t>
      </w:r>
      <w:r>
        <w:rPr>
          <w:rFonts w:ascii="Times New Roman" w:hAnsi="Times New Roman"/>
          <w:sz w:val="28"/>
          <w:szCs w:val="28"/>
          <w:lang w:val="uk-UA"/>
        </w:rPr>
        <w:t xml:space="preserve"> в групах через  24 місяці від початку спостереження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2"/>
        <w:gridCol w:w="1048"/>
        <w:gridCol w:w="981"/>
        <w:gridCol w:w="1273"/>
        <w:gridCol w:w="1190"/>
        <w:gridCol w:w="864"/>
      </w:tblGrid>
      <w:tr w:rsidR="000F78D0" w:rsidRPr="001336DC" w:rsidTr="000F78D0">
        <w:tc>
          <w:tcPr>
            <w:tcW w:w="0" w:type="auto"/>
            <w:vMerge w:val="restart"/>
          </w:tcPr>
          <w:p w:rsidR="000F78D0" w:rsidRPr="001336DC" w:rsidRDefault="000F78D0" w:rsidP="00490B82">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Характер патології</w:t>
            </w:r>
          </w:p>
        </w:tc>
        <w:tc>
          <w:tcPr>
            <w:tcW w:w="0" w:type="auto"/>
            <w:gridSpan w:val="2"/>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Контроль,</w:t>
            </w:r>
            <w:r w:rsidRPr="001336DC">
              <w:rPr>
                <w:rFonts w:ascii="Times New Roman" w:hAnsi="Times New Roman"/>
                <w:sz w:val="28"/>
                <w:szCs w:val="28"/>
              </w:rPr>
              <w:t xml:space="preserve"> n</w:t>
            </w:r>
            <w:r w:rsidRPr="001336DC">
              <w:rPr>
                <w:rFonts w:ascii="Times New Roman" w:hAnsi="Times New Roman"/>
                <w:sz w:val="28"/>
                <w:szCs w:val="28"/>
                <w:lang w:val="uk-UA"/>
              </w:rPr>
              <w:t>=18</w:t>
            </w:r>
          </w:p>
        </w:tc>
        <w:tc>
          <w:tcPr>
            <w:tcW w:w="0" w:type="auto"/>
            <w:gridSpan w:val="2"/>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 xml:space="preserve">Основна група, </w:t>
            </w:r>
            <w:r w:rsidRPr="001336DC">
              <w:rPr>
                <w:rFonts w:ascii="Times New Roman" w:hAnsi="Times New Roman"/>
                <w:sz w:val="28"/>
                <w:szCs w:val="28"/>
              </w:rPr>
              <w:t>n</w:t>
            </w:r>
            <w:r w:rsidRPr="001336DC">
              <w:rPr>
                <w:rFonts w:ascii="Times New Roman" w:hAnsi="Times New Roman"/>
                <w:sz w:val="28"/>
                <w:szCs w:val="28"/>
                <w:lang w:val="uk-UA"/>
              </w:rPr>
              <w:t>=7</w:t>
            </w:r>
          </w:p>
        </w:tc>
        <w:tc>
          <w:tcPr>
            <w:tcW w:w="0" w:type="auto"/>
            <w:vMerge w:val="restart"/>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р</w:t>
            </w:r>
          </w:p>
        </w:tc>
      </w:tr>
      <w:tr w:rsidR="000F78D0" w:rsidRPr="001336DC" w:rsidTr="000F78D0">
        <w:tc>
          <w:tcPr>
            <w:tcW w:w="0" w:type="auto"/>
            <w:vMerge/>
          </w:tcPr>
          <w:p w:rsidR="000F78D0" w:rsidRPr="001336DC" w:rsidRDefault="000F78D0" w:rsidP="00490B82">
            <w:pPr>
              <w:spacing w:line="276" w:lineRule="auto"/>
              <w:jc w:val="both"/>
              <w:rPr>
                <w:rFonts w:ascii="Times New Roman" w:hAnsi="Times New Roman"/>
                <w:sz w:val="28"/>
                <w:szCs w:val="28"/>
                <w:lang w:val="uk-UA"/>
              </w:rPr>
            </w:pP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Абс.</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w:t>
            </w:r>
          </w:p>
        </w:tc>
        <w:tc>
          <w:tcPr>
            <w:tcW w:w="0" w:type="auto"/>
            <w:vMerge/>
          </w:tcPr>
          <w:p w:rsidR="000F78D0" w:rsidRPr="001336DC" w:rsidRDefault="000F78D0" w:rsidP="00E03819">
            <w:pPr>
              <w:spacing w:line="276" w:lineRule="auto"/>
              <w:jc w:val="center"/>
              <w:rPr>
                <w:rFonts w:ascii="Times New Roman" w:hAnsi="Times New Roman"/>
                <w:sz w:val="28"/>
                <w:szCs w:val="28"/>
                <w:lang w:val="uk-UA"/>
              </w:rPr>
            </w:pPr>
          </w:p>
        </w:tc>
      </w:tr>
      <w:tr w:rsidR="000F78D0" w:rsidRPr="001336DC" w:rsidTr="000F78D0">
        <w:tc>
          <w:tcPr>
            <w:tcW w:w="0" w:type="auto"/>
          </w:tcPr>
          <w:p w:rsidR="000F78D0" w:rsidRPr="001336DC" w:rsidRDefault="000F78D0" w:rsidP="00490B82">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Катаральний гінгівіт легкого ступеню</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5</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27,7</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5</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71,4</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0F78D0">
        <w:tc>
          <w:tcPr>
            <w:tcW w:w="0" w:type="auto"/>
          </w:tcPr>
          <w:p w:rsidR="000F78D0" w:rsidRPr="001336DC" w:rsidRDefault="000F78D0" w:rsidP="00490B82">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Катаральний гінгівіт середньої тяжкості</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8</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44,4</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28,6</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r w:rsidR="000F78D0" w:rsidRPr="001336DC" w:rsidTr="000F78D0">
        <w:tc>
          <w:tcPr>
            <w:tcW w:w="0" w:type="auto"/>
          </w:tcPr>
          <w:p w:rsidR="000F78D0" w:rsidRPr="001336DC" w:rsidRDefault="000F78D0" w:rsidP="00490B82">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Гіпертрофічний гінгівіт</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3</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16,7</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&lt;0,05</w:t>
            </w:r>
          </w:p>
        </w:tc>
      </w:tr>
      <w:tr w:rsidR="000F78D0" w:rsidRPr="001336DC" w:rsidTr="000F78D0">
        <w:tc>
          <w:tcPr>
            <w:tcW w:w="0" w:type="auto"/>
          </w:tcPr>
          <w:p w:rsidR="000F78D0" w:rsidRPr="001336DC" w:rsidRDefault="000F78D0" w:rsidP="00490B82">
            <w:pPr>
              <w:spacing w:line="276" w:lineRule="auto"/>
              <w:jc w:val="both"/>
              <w:rPr>
                <w:rFonts w:ascii="Times New Roman" w:hAnsi="Times New Roman"/>
                <w:sz w:val="28"/>
                <w:szCs w:val="28"/>
                <w:lang w:val="uk-UA"/>
              </w:rPr>
            </w:pPr>
            <w:r w:rsidRPr="001336DC">
              <w:rPr>
                <w:rFonts w:ascii="Times New Roman" w:hAnsi="Times New Roman"/>
                <w:sz w:val="28"/>
                <w:szCs w:val="28"/>
                <w:lang w:val="uk-UA"/>
              </w:rPr>
              <w:t>Пародонтит (локалізований)</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2</w:t>
            </w:r>
          </w:p>
        </w:tc>
        <w:tc>
          <w:tcPr>
            <w:tcW w:w="0" w:type="auto"/>
          </w:tcPr>
          <w:p w:rsidR="000F78D0" w:rsidRPr="001336DC" w:rsidRDefault="000F78D0" w:rsidP="00E03819">
            <w:pPr>
              <w:spacing w:line="276" w:lineRule="auto"/>
              <w:ind w:firstLine="38"/>
              <w:jc w:val="center"/>
              <w:rPr>
                <w:rFonts w:ascii="Times New Roman" w:hAnsi="Times New Roman"/>
                <w:sz w:val="28"/>
                <w:szCs w:val="28"/>
                <w:lang w:val="uk-UA"/>
              </w:rPr>
            </w:pPr>
            <w:r w:rsidRPr="001336DC">
              <w:rPr>
                <w:rFonts w:ascii="Times New Roman" w:hAnsi="Times New Roman"/>
                <w:sz w:val="28"/>
                <w:szCs w:val="28"/>
                <w:lang w:val="uk-UA"/>
              </w:rPr>
              <w:t>11,2</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0</w:t>
            </w:r>
          </w:p>
        </w:tc>
        <w:tc>
          <w:tcPr>
            <w:tcW w:w="0" w:type="auto"/>
          </w:tcPr>
          <w:p w:rsidR="000F78D0" w:rsidRPr="001336DC" w:rsidRDefault="000F78D0" w:rsidP="00E03819">
            <w:pPr>
              <w:spacing w:line="276" w:lineRule="auto"/>
              <w:jc w:val="center"/>
              <w:rPr>
                <w:rFonts w:ascii="Times New Roman" w:hAnsi="Times New Roman"/>
                <w:sz w:val="28"/>
                <w:szCs w:val="28"/>
                <w:lang w:val="uk-UA"/>
              </w:rPr>
            </w:pPr>
            <w:r w:rsidRPr="001336DC">
              <w:rPr>
                <w:rFonts w:ascii="Times New Roman" w:hAnsi="Times New Roman"/>
                <w:sz w:val="28"/>
                <w:szCs w:val="28"/>
                <w:lang w:val="uk-UA"/>
              </w:rPr>
              <w:t>&gt;0,05</w:t>
            </w:r>
          </w:p>
        </w:tc>
      </w:tr>
    </w:tbl>
    <w:p w:rsidR="000F78D0" w:rsidRDefault="000F78D0" w:rsidP="00AC605C">
      <w:pPr>
        <w:spacing w:line="360" w:lineRule="auto"/>
        <w:ind w:firstLine="426"/>
        <w:jc w:val="both"/>
        <w:rPr>
          <w:rFonts w:ascii="Times New Roman" w:hAnsi="Times New Roman"/>
          <w:sz w:val="28"/>
          <w:szCs w:val="28"/>
          <w:lang w:val="uk-UA"/>
        </w:rPr>
      </w:pP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контрольній групі основну частку хворих склали підлітки </w:t>
      </w:r>
      <w:r w:rsidRPr="00B656EE">
        <w:rPr>
          <w:rFonts w:ascii="Times New Roman" w:hAnsi="Times New Roman"/>
          <w:sz w:val="28"/>
          <w:szCs w:val="28"/>
          <w:lang w:val="uk-UA"/>
        </w:rPr>
        <w:t>з хронічним катаральним гінгівітом середньої тяжкості (44,4%). Крім того, у 16,7% підлітків діагностовано хронічний гіпертрофічний гінгівіт, а у 11,2% - хронічний локалізований пародонтит.</w:t>
      </w:r>
    </w:p>
    <w:p w:rsidR="000F78D0"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При співставленні частки хворих з хронічним катаральним гінгівітом в групах в залежності від його тяжкості (рис. 6.4) встановлено, що для основної групи у порівнянні з контролем був характерний легкий перебіг (р&lt;0,05), а для групи контролю – середньо тяжкий перебіг захворювання (р&lt;0,05).</w:t>
      </w:r>
    </w:p>
    <w:p w:rsidR="000F78D0" w:rsidRDefault="000F78D0" w:rsidP="00AC605C">
      <w:pPr>
        <w:spacing w:line="360" w:lineRule="auto"/>
        <w:ind w:firstLine="426"/>
        <w:jc w:val="both"/>
        <w:rPr>
          <w:rFonts w:ascii="Times New Roman" w:hAnsi="Times New Roman"/>
          <w:sz w:val="28"/>
          <w:szCs w:val="28"/>
          <w:lang w:val="uk-UA"/>
        </w:rPr>
      </w:pPr>
    </w:p>
    <w:p w:rsidR="000F78D0" w:rsidRDefault="00211C4A"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lastRenderedPageBreak/>
        <w:pict>
          <v:shape id="_x0000_s1068" type="#_x0000_t202" style="position:absolute;left:0;text-align:left;margin-left:26.6pt;margin-top:10.3pt;width:21.75pt;height:18.75pt;z-index:251677696">
            <v:textbox>
              <w:txbxContent>
                <w:p w:rsidR="00251EA6" w:rsidRPr="00490B82" w:rsidRDefault="00251EA6">
                  <w:pPr>
                    <w:rPr>
                      <w:lang w:val="uk-UA"/>
                    </w:rPr>
                  </w:pPr>
                  <w:r>
                    <w:rPr>
                      <w:lang w:val="uk-UA"/>
                    </w:rPr>
                    <w:t>%</w:t>
                  </w:r>
                </w:p>
              </w:txbxContent>
            </v:textbox>
          </v:shape>
        </w:pict>
      </w:r>
      <w:r w:rsidRPr="00211C4A">
        <w:rPr>
          <w:rFonts w:ascii="Times New Roman" w:hAnsi="Times New Roman"/>
          <w:noProof/>
          <w:sz w:val="28"/>
          <w:szCs w:val="28"/>
          <w:lang w:val="uk-UA"/>
        </w:rPr>
        <w:pict>
          <v:shape id="_x0000_s1065" type="#_x0000_t202" style="position:absolute;left:0;text-align:left;margin-left:141.5pt;margin-top:194.55pt;width:197.95pt;height:21.85pt;z-index:251675648;mso-width-percent:400;mso-height-percent:200;mso-width-percent:400;mso-height-percent:200;mso-width-relative:margin;mso-height-relative:margin" stroked="f">
            <v:fill opacity="0"/>
            <v:textbox style="mso-next-textbox:#_x0000_s1065;mso-fit-shape-to-text:t">
              <w:txbxContent>
                <w:p w:rsidR="00251EA6" w:rsidRDefault="00251EA6" w:rsidP="000F78D0">
                  <w:pPr>
                    <w:rPr>
                      <w:lang w:val="ru-RU"/>
                    </w:rPr>
                  </w:pPr>
                  <w:r>
                    <w:rPr>
                      <w:lang w:val="ru-RU"/>
                    </w:rPr>
                    <w:t>Середньотяжкий перебіг</w:t>
                  </w:r>
                </w:p>
              </w:txbxContent>
            </v:textbox>
          </v:shape>
        </w:pict>
      </w:r>
      <w:r w:rsidR="00B066D9">
        <w:rPr>
          <w:rFonts w:ascii="Times New Roman" w:hAnsi="Times New Roman"/>
          <w:noProof/>
          <w:sz w:val="28"/>
          <w:szCs w:val="28"/>
          <w:lang w:val="ru-RU" w:eastAsia="ru-RU" w:bidi="ar-SA"/>
        </w:rPr>
        <w:drawing>
          <wp:inline distT="0" distB="0" distL="0" distR="0">
            <wp:extent cx="5105400" cy="2800350"/>
            <wp:effectExtent l="0" t="0" r="0" b="0"/>
            <wp:docPr id="35" name="Объект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F78D0" w:rsidRPr="00B656EE"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Рис. 6.4. Частка хворих з хронічним катаральним гінгівітом в групах в залежності від тяжкості захворювання</w:t>
      </w:r>
    </w:p>
    <w:p w:rsidR="000F78D0" w:rsidRPr="00B656EE"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Отримані результати</w:t>
      </w:r>
      <w:r>
        <w:rPr>
          <w:rFonts w:ascii="Times New Roman" w:hAnsi="Times New Roman"/>
          <w:sz w:val="28"/>
          <w:szCs w:val="28"/>
          <w:lang w:val="uk-UA"/>
        </w:rPr>
        <w:t xml:space="preserve"> свідчать про те, що застосування індивідуально напрямленої профілактики запальних захворювань пародонта, заснованої на прогностичних сценаріях, дозволяє суттєво нейтралізувати їх розвиток або виникнення їх легких форм.</w:t>
      </w:r>
    </w:p>
    <w:p w:rsidR="000F78D0" w:rsidRPr="00B656EE"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запропонована система профілактики запальних захворювань </w:t>
      </w:r>
      <w:r w:rsidRPr="00B656EE">
        <w:rPr>
          <w:rFonts w:ascii="Times New Roman" w:hAnsi="Times New Roman"/>
          <w:sz w:val="28"/>
          <w:szCs w:val="28"/>
          <w:lang w:val="uk-UA"/>
        </w:rPr>
        <w:t>тканин пародонта у дівчат-підлітків з ПМФ має більш високу ефективність у порівнянні з традиційною системою.</w:t>
      </w:r>
    </w:p>
    <w:p w:rsidR="000F78D0" w:rsidRPr="00B656EE"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Враховуючи, що виявлені фактори ризику, згідно з даними літератури, у більшості випадків приймають участь в патогенезі розвитку карієсу і ПМФ, було проведено аналіз можливої «побічної» ефективності запропонованої системи профілактики по відношенню до перебігу вказаної патології.</w:t>
      </w:r>
    </w:p>
    <w:p w:rsidR="00490B82" w:rsidRDefault="000F78D0" w:rsidP="00633A7E">
      <w:pPr>
        <w:spacing w:line="360" w:lineRule="auto"/>
        <w:ind w:firstLine="709"/>
        <w:jc w:val="both"/>
        <w:rPr>
          <w:rFonts w:ascii="Times New Roman" w:hAnsi="Times New Roman"/>
          <w:sz w:val="28"/>
          <w:szCs w:val="28"/>
          <w:lang w:val="uk-UA"/>
        </w:rPr>
      </w:pPr>
      <w:r w:rsidRPr="00B656EE">
        <w:rPr>
          <w:rFonts w:ascii="Times New Roman" w:hAnsi="Times New Roman"/>
          <w:sz w:val="28"/>
          <w:szCs w:val="28"/>
          <w:lang w:val="uk-UA"/>
        </w:rPr>
        <w:t>В табл. 6.6 наведені значення показника приросту інтенсивності карієсу в групах. З інформації табл.</w:t>
      </w:r>
      <w:r>
        <w:rPr>
          <w:rFonts w:ascii="Times New Roman" w:hAnsi="Times New Roman"/>
          <w:sz w:val="28"/>
          <w:szCs w:val="28"/>
          <w:lang w:val="uk-UA"/>
        </w:rPr>
        <w:t xml:space="preserve"> 6.6 витікає, що на всіх етапах спостереження досліджуваний показник майже в 3 рази був вище (р&lt;0,001) в контрольній групі.</w:t>
      </w:r>
    </w:p>
    <w:p w:rsidR="00490B82" w:rsidRDefault="00490B82"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цьому показник редукції приросту інтенсивності карієсу (</w:t>
      </w:r>
      <w:r w:rsidRPr="00B656EE">
        <w:rPr>
          <w:rFonts w:ascii="Times New Roman" w:hAnsi="Times New Roman"/>
          <w:sz w:val="28"/>
          <w:szCs w:val="28"/>
          <w:lang w:val="uk-UA"/>
        </w:rPr>
        <w:t>рис. 6.5) в</w:t>
      </w:r>
      <w:r>
        <w:rPr>
          <w:rFonts w:ascii="Times New Roman" w:hAnsi="Times New Roman"/>
          <w:sz w:val="28"/>
          <w:szCs w:val="28"/>
          <w:lang w:val="uk-UA"/>
        </w:rPr>
        <w:t xml:space="preserve"> основній групі збільшувався з 7,4% через 6 місяців від початку профілактики до 30% до її закінчення. </w:t>
      </w:r>
    </w:p>
    <w:p w:rsidR="000F78D0" w:rsidRDefault="000F78D0" w:rsidP="00633A7E">
      <w:pPr>
        <w:spacing w:line="360" w:lineRule="auto"/>
        <w:ind w:firstLine="709"/>
        <w:jc w:val="both"/>
        <w:rPr>
          <w:rFonts w:ascii="Times New Roman" w:hAnsi="Times New Roman"/>
          <w:sz w:val="28"/>
          <w:szCs w:val="28"/>
          <w:lang w:val="uk-UA"/>
        </w:rPr>
      </w:pPr>
    </w:p>
    <w:p w:rsidR="000F78D0" w:rsidRPr="00FF37F4" w:rsidRDefault="000F78D0" w:rsidP="00AC605C">
      <w:pPr>
        <w:spacing w:line="360" w:lineRule="auto"/>
        <w:ind w:firstLine="426"/>
        <w:jc w:val="right"/>
        <w:rPr>
          <w:rFonts w:ascii="Times New Roman" w:hAnsi="Times New Roman"/>
          <w:i/>
          <w:sz w:val="28"/>
          <w:szCs w:val="28"/>
          <w:lang w:val="uk-UA"/>
        </w:rPr>
      </w:pPr>
      <w:r w:rsidRPr="00B656EE">
        <w:rPr>
          <w:rFonts w:ascii="Times New Roman" w:hAnsi="Times New Roman"/>
          <w:i/>
          <w:sz w:val="28"/>
          <w:szCs w:val="28"/>
          <w:lang w:val="uk-UA"/>
        </w:rPr>
        <w:t>Таблиця 6.6</w:t>
      </w:r>
    </w:p>
    <w:p w:rsidR="000F78D0" w:rsidRDefault="000F78D0" w:rsidP="00AC605C">
      <w:pPr>
        <w:spacing w:line="360" w:lineRule="auto"/>
        <w:ind w:firstLine="426"/>
        <w:jc w:val="center"/>
        <w:rPr>
          <w:rFonts w:ascii="Times New Roman" w:hAnsi="Times New Roman"/>
          <w:sz w:val="28"/>
          <w:szCs w:val="28"/>
          <w:lang w:val="uk-UA"/>
        </w:rPr>
      </w:pPr>
      <w:r>
        <w:rPr>
          <w:rFonts w:ascii="Times New Roman" w:hAnsi="Times New Roman"/>
          <w:sz w:val="28"/>
          <w:szCs w:val="28"/>
          <w:lang w:val="uk-UA"/>
        </w:rPr>
        <w:t xml:space="preserve">Значення показника приросту інтенсивності карієсу в </w:t>
      </w:r>
      <w:r w:rsidRPr="00490B82">
        <w:rPr>
          <w:rFonts w:ascii="Times New Roman" w:hAnsi="Times New Roman"/>
          <w:sz w:val="28"/>
          <w:szCs w:val="28"/>
          <w:lang w:val="uk-UA"/>
        </w:rPr>
        <w:t>групах (</w:t>
      </w:r>
      <w:r w:rsidR="00490B82" w:rsidRPr="00490B82">
        <w:rPr>
          <w:rFonts w:ascii="Times New Roman" w:hAnsi="Times New Roman"/>
          <w:sz w:val="28"/>
          <w:szCs w:val="28"/>
          <w:lang w:val="uk-UA"/>
        </w:rPr>
        <w:t>бали</w:t>
      </w:r>
      <w:r w:rsidRPr="00490B82">
        <w:rPr>
          <w:rFonts w:ascii="Times New Roman" w:hAnsi="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81"/>
        <w:gridCol w:w="1350"/>
        <w:gridCol w:w="1350"/>
        <w:gridCol w:w="1350"/>
        <w:gridCol w:w="1350"/>
      </w:tblGrid>
      <w:tr w:rsidR="000F78D0" w:rsidRPr="00C21F54" w:rsidTr="000F78D0">
        <w:tc>
          <w:tcPr>
            <w:tcW w:w="0" w:type="auto"/>
            <w:vMerge w:val="restart"/>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Групи</w:t>
            </w:r>
          </w:p>
        </w:tc>
        <w:tc>
          <w:tcPr>
            <w:tcW w:w="0" w:type="auto"/>
            <w:gridSpan w:val="4"/>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Показник інтенсивності карієсу (М±</w:t>
            </w:r>
            <w:r w:rsidRPr="001336DC">
              <w:rPr>
                <w:rFonts w:ascii="Times New Roman" w:hAnsi="Times New Roman"/>
                <w:sz w:val="28"/>
                <w:szCs w:val="28"/>
              </w:rPr>
              <w:t>m</w:t>
            </w:r>
            <w:r w:rsidRPr="001336DC">
              <w:rPr>
                <w:rFonts w:ascii="Times New Roman" w:hAnsi="Times New Roman"/>
                <w:sz w:val="28"/>
                <w:szCs w:val="28"/>
                <w:lang w:val="uk-UA"/>
              </w:rPr>
              <w:t>)</w:t>
            </w:r>
          </w:p>
        </w:tc>
      </w:tr>
      <w:tr w:rsidR="000F78D0" w:rsidRPr="001336DC" w:rsidTr="000F78D0">
        <w:tc>
          <w:tcPr>
            <w:tcW w:w="0" w:type="auto"/>
            <w:vMerge/>
          </w:tcPr>
          <w:p w:rsidR="000F78D0" w:rsidRPr="001336DC" w:rsidRDefault="000F78D0" w:rsidP="00490B82">
            <w:pPr>
              <w:spacing w:line="360" w:lineRule="auto"/>
              <w:jc w:val="center"/>
              <w:rPr>
                <w:rFonts w:ascii="Times New Roman" w:hAnsi="Times New Roman"/>
                <w:sz w:val="28"/>
                <w:szCs w:val="28"/>
                <w:lang w:val="uk-UA"/>
              </w:rPr>
            </w:pP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6 міс</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12 міс</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18 міс</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24 міс</w:t>
            </w:r>
          </w:p>
        </w:tc>
      </w:tr>
      <w:tr w:rsidR="000F78D0" w:rsidRPr="001336DC" w:rsidTr="000F78D0">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 xml:space="preserve">Основна, </w:t>
            </w:r>
            <w:r w:rsidRPr="001336DC">
              <w:rPr>
                <w:rFonts w:ascii="Times New Roman" w:hAnsi="Times New Roman"/>
                <w:sz w:val="28"/>
                <w:szCs w:val="28"/>
              </w:rPr>
              <w:t>n</w:t>
            </w:r>
            <w:r w:rsidRPr="001336DC">
              <w:rPr>
                <w:rFonts w:ascii="Times New Roman" w:hAnsi="Times New Roman"/>
                <w:sz w:val="28"/>
                <w:szCs w:val="28"/>
                <w:lang w:val="uk-UA"/>
              </w:rPr>
              <w:t>=30</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0,15±0,02</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0,34±0,03</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0,97±0,07</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1,78±0,15</w:t>
            </w:r>
          </w:p>
        </w:tc>
      </w:tr>
      <w:tr w:rsidR="000F78D0" w:rsidRPr="001336DC" w:rsidTr="000F78D0">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 xml:space="preserve">Контроль, </w:t>
            </w:r>
            <w:r w:rsidRPr="001336DC">
              <w:rPr>
                <w:rFonts w:ascii="Times New Roman" w:hAnsi="Times New Roman"/>
                <w:sz w:val="28"/>
                <w:szCs w:val="28"/>
              </w:rPr>
              <w:t>n</w:t>
            </w:r>
            <w:r w:rsidRPr="001336DC">
              <w:rPr>
                <w:rFonts w:ascii="Times New Roman" w:hAnsi="Times New Roman"/>
                <w:sz w:val="28"/>
                <w:szCs w:val="28"/>
                <w:lang w:val="uk-UA"/>
              </w:rPr>
              <w:t>=30</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0,47±0,04</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1,21±0,08</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2,53±0,14</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4,46±0,38</w:t>
            </w:r>
          </w:p>
        </w:tc>
      </w:tr>
      <w:tr w:rsidR="000F78D0" w:rsidRPr="001336DC" w:rsidTr="000F78D0">
        <w:tc>
          <w:tcPr>
            <w:tcW w:w="0" w:type="auto"/>
          </w:tcPr>
          <w:p w:rsidR="000F78D0" w:rsidRPr="001336DC" w:rsidRDefault="000F78D0" w:rsidP="00490B82">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р</w:t>
            </w:r>
          </w:p>
        </w:tc>
        <w:tc>
          <w:tcPr>
            <w:tcW w:w="0" w:type="auto"/>
          </w:tcPr>
          <w:p w:rsidR="000F78D0" w:rsidRPr="001336DC" w:rsidRDefault="000F78D0" w:rsidP="00E03819">
            <w:pPr>
              <w:spacing w:line="360" w:lineRule="auto"/>
              <w:jc w:val="center"/>
              <w:rPr>
                <w:rFonts w:ascii="Times New Roman" w:hAnsi="Times New Roman"/>
                <w:sz w:val="28"/>
                <w:szCs w:val="28"/>
                <w:lang w:val="uk-UA"/>
              </w:rPr>
            </w:pPr>
            <w:r w:rsidRPr="001336DC">
              <w:rPr>
                <w:rFonts w:ascii="Times New Roman" w:hAnsi="Times New Roman"/>
                <w:sz w:val="28"/>
                <w:szCs w:val="28"/>
                <w:lang w:val="uk-UA"/>
              </w:rPr>
              <w:t>&lt;0,001</w:t>
            </w:r>
          </w:p>
        </w:tc>
        <w:tc>
          <w:tcPr>
            <w:tcW w:w="0" w:type="auto"/>
          </w:tcPr>
          <w:p w:rsidR="000F78D0" w:rsidRPr="001336DC" w:rsidRDefault="000F78D0" w:rsidP="00E03819">
            <w:pPr>
              <w:jc w:val="center"/>
            </w:pPr>
            <w:r w:rsidRPr="001336DC">
              <w:rPr>
                <w:rFonts w:ascii="Times New Roman" w:hAnsi="Times New Roman"/>
                <w:sz w:val="28"/>
                <w:szCs w:val="28"/>
                <w:lang w:val="uk-UA"/>
              </w:rPr>
              <w:t>&lt;0,001</w:t>
            </w:r>
          </w:p>
        </w:tc>
        <w:tc>
          <w:tcPr>
            <w:tcW w:w="0" w:type="auto"/>
          </w:tcPr>
          <w:p w:rsidR="000F78D0" w:rsidRPr="001336DC" w:rsidRDefault="000F78D0" w:rsidP="00E03819">
            <w:pPr>
              <w:jc w:val="center"/>
            </w:pPr>
            <w:r w:rsidRPr="001336DC">
              <w:rPr>
                <w:rFonts w:ascii="Times New Roman" w:hAnsi="Times New Roman"/>
                <w:sz w:val="28"/>
                <w:szCs w:val="28"/>
                <w:lang w:val="uk-UA"/>
              </w:rPr>
              <w:t>&lt;0,001</w:t>
            </w:r>
          </w:p>
        </w:tc>
        <w:tc>
          <w:tcPr>
            <w:tcW w:w="0" w:type="auto"/>
          </w:tcPr>
          <w:p w:rsidR="000F78D0" w:rsidRPr="001336DC" w:rsidRDefault="000F78D0" w:rsidP="00E03819">
            <w:pPr>
              <w:jc w:val="center"/>
            </w:pPr>
            <w:r w:rsidRPr="001336DC">
              <w:rPr>
                <w:rFonts w:ascii="Times New Roman" w:hAnsi="Times New Roman"/>
                <w:sz w:val="28"/>
                <w:szCs w:val="28"/>
                <w:lang w:val="uk-UA"/>
              </w:rPr>
              <w:t>&lt;0,001</w:t>
            </w:r>
          </w:p>
        </w:tc>
      </w:tr>
    </w:tbl>
    <w:p w:rsidR="000F78D0" w:rsidRDefault="000F78D0" w:rsidP="00AC605C">
      <w:pPr>
        <w:spacing w:line="360" w:lineRule="auto"/>
        <w:ind w:firstLine="426"/>
        <w:jc w:val="center"/>
        <w:rPr>
          <w:rFonts w:ascii="Times New Roman" w:hAnsi="Times New Roman"/>
          <w:sz w:val="28"/>
          <w:szCs w:val="28"/>
          <w:lang w:val="uk-UA"/>
        </w:rPr>
      </w:pPr>
    </w:p>
    <w:p w:rsidR="000F78D0" w:rsidRDefault="00211C4A"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pict>
          <v:shape id="_x0000_s1069" type="#_x0000_t202" style="position:absolute;left:0;text-align:left;margin-left:1.1pt;margin-top:18.1pt;width:24.75pt;height:27pt;z-index:251678720" stroked="f">
            <v:textbox>
              <w:txbxContent>
                <w:p w:rsidR="00251EA6" w:rsidRPr="00490B82" w:rsidRDefault="00251EA6">
                  <w:pPr>
                    <w:rPr>
                      <w:lang w:val="uk-UA"/>
                    </w:rPr>
                  </w:pPr>
                  <w:r>
                    <w:rPr>
                      <w:lang w:val="uk-UA"/>
                    </w:rPr>
                    <w:t>%</w:t>
                  </w:r>
                </w:p>
              </w:txbxContent>
            </v:textbox>
          </v:shape>
        </w:pict>
      </w:r>
      <w:r w:rsidR="00B066D9">
        <w:rPr>
          <w:rFonts w:ascii="Times New Roman" w:hAnsi="Times New Roman"/>
          <w:noProof/>
          <w:sz w:val="28"/>
          <w:szCs w:val="28"/>
          <w:lang w:val="ru-RU" w:eastAsia="ru-RU" w:bidi="ar-SA"/>
        </w:rPr>
        <w:drawing>
          <wp:inline distT="0" distB="0" distL="0" distR="0">
            <wp:extent cx="5429250" cy="3181350"/>
            <wp:effectExtent l="0" t="0" r="0" b="0"/>
            <wp:docPr id="34" name="Объект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F78D0" w:rsidRDefault="000F78D0" w:rsidP="00633A7E">
      <w:pPr>
        <w:ind w:firstLine="709"/>
        <w:rPr>
          <w:rFonts w:ascii="Times New Roman" w:hAnsi="Times New Roman"/>
          <w:sz w:val="28"/>
          <w:szCs w:val="28"/>
          <w:lang w:val="uk-UA"/>
        </w:rPr>
      </w:pPr>
      <w:r w:rsidRPr="00B656EE">
        <w:rPr>
          <w:rFonts w:ascii="Times New Roman" w:hAnsi="Times New Roman"/>
          <w:i/>
          <w:sz w:val="28"/>
          <w:szCs w:val="28"/>
          <w:lang w:val="uk-UA"/>
        </w:rPr>
        <w:t>Рис. 6.5 Показник редукції приросту інтенсивності карієсу на етапах спостереження</w:t>
      </w:r>
      <w:r w:rsidRPr="00B656EE">
        <w:rPr>
          <w:rFonts w:ascii="Times New Roman" w:hAnsi="Times New Roman"/>
          <w:sz w:val="28"/>
          <w:szCs w:val="28"/>
          <w:lang w:val="uk-UA"/>
        </w:rPr>
        <w:t>.</w:t>
      </w:r>
    </w:p>
    <w:p w:rsidR="000F78D0"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вказують на суттєво більшу ефективність запропонованої системи профілактики у порівнянні з традиційною і по відношенню до карієсу зубів.</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ПМФ (</w:t>
      </w:r>
      <w:r w:rsidRPr="00B656EE">
        <w:rPr>
          <w:rFonts w:ascii="Times New Roman" w:hAnsi="Times New Roman"/>
          <w:sz w:val="28"/>
          <w:szCs w:val="28"/>
          <w:lang w:val="uk-UA"/>
        </w:rPr>
        <w:t>рис. 6.6), то</w:t>
      </w:r>
      <w:r>
        <w:rPr>
          <w:rFonts w:ascii="Times New Roman" w:hAnsi="Times New Roman"/>
          <w:sz w:val="28"/>
          <w:szCs w:val="28"/>
          <w:lang w:val="uk-UA"/>
        </w:rPr>
        <w:t xml:space="preserve"> к кінцю спостереження (24 місяці) нормалізація менструальної функції відмічена у 13,3% підлітків контрольної групи і майже в 3 рази (30%) частіше (р&lt;0,05) в основній групі.</w:t>
      </w:r>
    </w:p>
    <w:p w:rsidR="000F78D0" w:rsidRDefault="00211C4A" w:rsidP="00AC605C">
      <w:pPr>
        <w:spacing w:line="360" w:lineRule="auto"/>
        <w:ind w:firstLine="426"/>
        <w:jc w:val="both"/>
        <w:rPr>
          <w:rFonts w:ascii="Times New Roman" w:hAnsi="Times New Roman"/>
          <w:sz w:val="28"/>
          <w:szCs w:val="28"/>
          <w:lang w:val="uk-UA"/>
        </w:rPr>
      </w:pPr>
      <w:r>
        <w:rPr>
          <w:rFonts w:ascii="Times New Roman" w:hAnsi="Times New Roman"/>
          <w:noProof/>
          <w:sz w:val="28"/>
          <w:szCs w:val="28"/>
          <w:lang w:val="ru-RU" w:eastAsia="ru-RU"/>
        </w:rPr>
        <w:lastRenderedPageBreak/>
        <w:pict>
          <v:shape id="_x0000_s1070" type="#_x0000_t202" style="position:absolute;left:0;text-align:left;margin-left:30.35pt;margin-top:11.05pt;width:24.75pt;height:27pt;z-index:251679744" stroked="f">
            <v:textbox>
              <w:txbxContent>
                <w:p w:rsidR="00251EA6" w:rsidRPr="00490B82" w:rsidRDefault="00251EA6" w:rsidP="00490B82">
                  <w:pPr>
                    <w:rPr>
                      <w:lang w:val="uk-UA"/>
                    </w:rPr>
                  </w:pPr>
                  <w:r>
                    <w:rPr>
                      <w:lang w:val="uk-UA"/>
                    </w:rPr>
                    <w:t>%</w:t>
                  </w:r>
                </w:p>
              </w:txbxContent>
            </v:textbox>
          </v:shape>
        </w:pict>
      </w:r>
      <w:r w:rsidRPr="00211C4A">
        <w:rPr>
          <w:rFonts w:ascii="Times New Roman" w:hAnsi="Times New Roman"/>
          <w:noProof/>
          <w:sz w:val="28"/>
          <w:szCs w:val="28"/>
          <w:lang w:val="uk-UA"/>
        </w:rPr>
        <w:pict>
          <v:shape id="_x0000_s1066" type="#_x0000_t202" style="position:absolute;left:0;text-align:left;margin-left:159.15pt;margin-top:206.55pt;width:76.75pt;height:41.25pt;z-index:251676672;mso-width-relative:margin;mso-height-relative:margin" stroked="f">
            <v:fill opacity="0"/>
            <v:textbox>
              <w:txbxContent>
                <w:p w:rsidR="00251EA6" w:rsidRDefault="00251EA6" w:rsidP="000F78D0">
                  <w:pPr>
                    <w:rPr>
                      <w:lang w:val="ru-RU"/>
                    </w:rPr>
                  </w:pPr>
                  <w:r>
                    <w:rPr>
                      <w:lang w:val="ru-RU"/>
                    </w:rPr>
                    <w:t>Нестійкий ефект</w:t>
                  </w:r>
                </w:p>
              </w:txbxContent>
            </v:textbox>
          </v:shape>
        </w:pict>
      </w:r>
      <w:r w:rsidR="00B066D9">
        <w:rPr>
          <w:rFonts w:ascii="Times New Roman" w:hAnsi="Times New Roman"/>
          <w:noProof/>
          <w:sz w:val="28"/>
          <w:szCs w:val="28"/>
          <w:lang w:val="ru-RU" w:eastAsia="ru-RU" w:bidi="ar-SA"/>
        </w:rPr>
        <w:drawing>
          <wp:inline distT="0" distB="0" distL="0" distR="0">
            <wp:extent cx="4781550" cy="3276600"/>
            <wp:effectExtent l="0" t="0" r="0" b="0"/>
            <wp:docPr id="33" name="Объект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F78D0" w:rsidRDefault="000F78D0" w:rsidP="00633A7E">
      <w:pPr>
        <w:ind w:firstLine="709"/>
        <w:rPr>
          <w:rFonts w:ascii="Times New Roman" w:hAnsi="Times New Roman"/>
          <w:sz w:val="28"/>
          <w:szCs w:val="28"/>
          <w:lang w:val="uk-UA"/>
        </w:rPr>
      </w:pPr>
      <w:r w:rsidRPr="00B656EE">
        <w:rPr>
          <w:rFonts w:ascii="Times New Roman" w:hAnsi="Times New Roman"/>
          <w:i/>
          <w:sz w:val="28"/>
          <w:szCs w:val="28"/>
          <w:lang w:val="uk-UA"/>
        </w:rPr>
        <w:t>Рис. 6.6 Стан ПМФ в групах через 24 місяці від початку профілактики</w:t>
      </w:r>
      <w:r w:rsidRPr="00B656EE">
        <w:rPr>
          <w:rFonts w:ascii="Times New Roman" w:hAnsi="Times New Roman"/>
          <w:sz w:val="28"/>
          <w:szCs w:val="28"/>
          <w:lang w:val="uk-UA"/>
        </w:rPr>
        <w:t xml:space="preserve">. </w:t>
      </w:r>
    </w:p>
    <w:p w:rsidR="000F78D0" w:rsidRDefault="000F78D0" w:rsidP="00633A7E">
      <w:pPr>
        <w:spacing w:line="360" w:lineRule="auto"/>
        <w:ind w:firstLine="709"/>
        <w:jc w:val="both"/>
        <w:rPr>
          <w:rFonts w:ascii="Times New Roman" w:hAnsi="Times New Roman"/>
          <w:sz w:val="28"/>
          <w:szCs w:val="28"/>
          <w:lang w:val="uk-UA"/>
        </w:rPr>
      </w:pP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Нестійкий ефект відмічено у 50% хворих основної і у 30 % (р&gt;0,05) контрольної групи.</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Відсутність ефекту (збереження ПМФ) мало місце у 20% підлітків основної групи і в 2,5 раз</w:t>
      </w:r>
      <w:r w:rsidRPr="00B656EE">
        <w:rPr>
          <w:rFonts w:ascii="Times New Roman" w:hAnsi="Times New Roman"/>
          <w:sz w:val="28"/>
          <w:szCs w:val="28"/>
          <w:lang w:val="uk-UA"/>
        </w:rPr>
        <w:t>а</w:t>
      </w:r>
      <w:r>
        <w:rPr>
          <w:rFonts w:ascii="Times New Roman" w:hAnsi="Times New Roman"/>
          <w:sz w:val="28"/>
          <w:szCs w:val="28"/>
          <w:lang w:val="uk-UA"/>
        </w:rPr>
        <w:t xml:space="preserve"> частіше (р&lt;0,01) в контролі (56,7%).</w:t>
      </w:r>
    </w:p>
    <w:p w:rsidR="000F78D0" w:rsidRDefault="00C530B3"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0F78D0">
        <w:rPr>
          <w:rFonts w:ascii="Times New Roman" w:hAnsi="Times New Roman"/>
          <w:sz w:val="28"/>
          <w:szCs w:val="28"/>
          <w:lang w:val="uk-UA"/>
        </w:rPr>
        <w:t xml:space="preserve">, застосування запропонованої системи профілактики запальних захворювань пародонта виявило додатковий у порівнянні з традиційною системою профілактики </w:t>
      </w:r>
      <w:r w:rsidR="000F78D0" w:rsidRPr="00B656EE">
        <w:rPr>
          <w:rFonts w:ascii="Times New Roman" w:hAnsi="Times New Roman"/>
          <w:sz w:val="28"/>
          <w:szCs w:val="28"/>
          <w:lang w:val="uk-UA"/>
        </w:rPr>
        <w:t>ефекти п</w:t>
      </w:r>
      <w:r w:rsidR="000F78D0">
        <w:rPr>
          <w:rFonts w:ascii="Times New Roman" w:hAnsi="Times New Roman"/>
          <w:sz w:val="28"/>
          <w:szCs w:val="28"/>
          <w:lang w:val="uk-UA"/>
        </w:rPr>
        <w:t>о відношенню до карієсу зубів і усунення ПМФ.</w:t>
      </w:r>
    </w:p>
    <w:p w:rsidR="000F78D0" w:rsidRDefault="000F78D0" w:rsidP="00633A7E">
      <w:pPr>
        <w:spacing w:line="360" w:lineRule="auto"/>
        <w:ind w:firstLine="709"/>
        <w:jc w:val="both"/>
        <w:rPr>
          <w:rFonts w:ascii="Times New Roman" w:hAnsi="Times New Roman"/>
          <w:sz w:val="28"/>
          <w:szCs w:val="28"/>
          <w:lang w:val="uk-UA"/>
        </w:rPr>
      </w:pPr>
    </w:p>
    <w:p w:rsidR="000F78D0" w:rsidRDefault="00C530B3" w:rsidP="00633A7E">
      <w:pPr>
        <w:spacing w:line="360" w:lineRule="auto"/>
        <w:ind w:firstLine="709"/>
        <w:jc w:val="both"/>
        <w:rPr>
          <w:rFonts w:ascii="Times New Roman" w:hAnsi="Times New Roman"/>
          <w:sz w:val="28"/>
          <w:szCs w:val="28"/>
          <w:lang w:val="uk-UA"/>
        </w:rPr>
      </w:pPr>
      <w:r w:rsidRPr="00C530B3">
        <w:rPr>
          <w:rFonts w:ascii="Times New Roman" w:hAnsi="Times New Roman"/>
          <w:sz w:val="28"/>
          <w:szCs w:val="28"/>
          <w:lang w:val="uk-UA"/>
        </w:rPr>
        <w:t>Таким чином, н</w:t>
      </w:r>
      <w:r w:rsidR="000F78D0" w:rsidRPr="00C530B3">
        <w:rPr>
          <w:rFonts w:ascii="Times New Roman" w:hAnsi="Times New Roman"/>
          <w:sz w:val="28"/>
          <w:szCs w:val="28"/>
          <w:lang w:val="uk-UA"/>
        </w:rPr>
        <w:t>а</w:t>
      </w:r>
      <w:r w:rsidR="000F78D0">
        <w:rPr>
          <w:rFonts w:ascii="Times New Roman" w:hAnsi="Times New Roman"/>
          <w:sz w:val="28"/>
          <w:szCs w:val="28"/>
          <w:lang w:val="uk-UA"/>
        </w:rPr>
        <w:t xml:space="preserve"> основі комбінації варіантів прогнозу розвитку і перебігу запальних захворювань пародонта для диспансерного спостереження запропоновані групи ризику розвитку даної патології у дівчат-підлітків з ПМФ.</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Запропоновано інноваційну систему профілактики запальних захворювань пародонта, що доповнює традиційну систему блоками визначення пре дикторів розвитку і перебігу захворювань, визначення груп ризику на основі варіантів прогнозу, ранжування факторів ризику і створення, на цій основі, індивідуального патогенетичного профілю, а також групове навчання підлітків і їх батьків в постійно діючій «Стомат-школі».</w:t>
      </w:r>
    </w:p>
    <w:p w:rsidR="000F78D0" w:rsidRDefault="000F78D0" w:rsidP="00633A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Використання розробленої системи профілактики дозволило знизити: розвиток запальних захворювань </w:t>
      </w:r>
      <w:r w:rsidRPr="00B656EE">
        <w:rPr>
          <w:rFonts w:ascii="Times New Roman" w:hAnsi="Times New Roman"/>
          <w:sz w:val="28"/>
          <w:szCs w:val="28"/>
          <w:lang w:val="uk-UA"/>
        </w:rPr>
        <w:t>тканин пародонта в 2,6 раза; виникнення більш тяжких їх форм в 2,1 раза; приріст інтенсивності карієсу в 2,5 раза і нормалізувати менструальну функцію в 2,2 раза частіше, ніж в контролі.</w:t>
      </w:r>
    </w:p>
    <w:p w:rsidR="000F78D0" w:rsidRPr="007864FA" w:rsidRDefault="000F78D0" w:rsidP="00AC605C">
      <w:pPr>
        <w:spacing w:line="360" w:lineRule="auto"/>
        <w:ind w:firstLine="426"/>
        <w:jc w:val="both"/>
        <w:rPr>
          <w:rFonts w:ascii="Times New Roman" w:hAnsi="Times New Roman"/>
          <w:sz w:val="28"/>
          <w:szCs w:val="28"/>
          <w:lang w:val="uk-UA"/>
        </w:rPr>
      </w:pPr>
    </w:p>
    <w:p w:rsidR="000F78D0" w:rsidRDefault="000F78D0"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C530B3" w:rsidRDefault="00C530B3"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490B82" w:rsidRDefault="00490B82" w:rsidP="00AC605C">
      <w:pPr>
        <w:spacing w:line="360" w:lineRule="auto"/>
        <w:ind w:firstLine="426"/>
        <w:jc w:val="both"/>
        <w:rPr>
          <w:rFonts w:ascii="Times New Roman" w:hAnsi="Times New Roman"/>
          <w:sz w:val="28"/>
          <w:szCs w:val="28"/>
          <w:lang w:val="uk-UA"/>
        </w:rPr>
      </w:pPr>
    </w:p>
    <w:p w:rsidR="000F78D0" w:rsidRDefault="000F78D0" w:rsidP="00B31BF3">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lastRenderedPageBreak/>
        <w:t>АНАЛІЗ І УЗАГАЛЬНЕННЯ ОТРИМАНИХ РЕЗУЛЬТАТІВ</w:t>
      </w:r>
      <w:r w:rsidR="00A06011">
        <w:rPr>
          <w:rFonts w:ascii="Times New Roman" w:hAnsi="Times New Roman"/>
          <w:sz w:val="28"/>
          <w:szCs w:val="28"/>
          <w:lang w:val="uk-UA"/>
        </w:rPr>
        <w:t xml:space="preserve"> ДОСЛІДЖЕННЯ</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Проведене дослідження показало, що у дівчат-підлітків з ПМФ (основна група) у порівнянні з контролем (дівчат-підлітків без ПМФ) виявлені відмінності  у структурі запальних захворювань </w:t>
      </w:r>
      <w:r w:rsidRPr="008D6116">
        <w:rPr>
          <w:rFonts w:ascii="Times New Roman" w:hAnsi="Times New Roman"/>
          <w:sz w:val="28"/>
          <w:szCs w:val="28"/>
          <w:lang w:val="uk-UA"/>
        </w:rPr>
        <w:t>тканин пародонта. Вони полягали в тому, що в основній групі хронічний катаральний гінгівіт реєструвався в 1,4 раза рідше (р&lt;0,05), ніж в контролі. І</w:t>
      </w:r>
      <w:r>
        <w:rPr>
          <w:rFonts w:ascii="Times New Roman" w:hAnsi="Times New Roman"/>
          <w:sz w:val="28"/>
          <w:szCs w:val="28"/>
          <w:lang w:val="uk-UA"/>
        </w:rPr>
        <w:t>, навпаки, більш тяжкі форми захворювань діагностувалися частіше в основній групі, ніж в контролі. Так, гіпертрофічний пародонтит виявлено тільки серед хворих з ПМФ (10%), а хронічний</w:t>
      </w:r>
      <w:r w:rsidR="00101E0A">
        <w:rPr>
          <w:rFonts w:ascii="Times New Roman" w:hAnsi="Times New Roman"/>
          <w:sz w:val="28"/>
          <w:szCs w:val="28"/>
          <w:lang w:val="uk-UA"/>
        </w:rPr>
        <w:t xml:space="preserve"> локалізований </w:t>
      </w:r>
      <w:r>
        <w:rPr>
          <w:rFonts w:ascii="Times New Roman" w:hAnsi="Times New Roman"/>
          <w:sz w:val="28"/>
          <w:szCs w:val="28"/>
          <w:lang w:val="uk-UA"/>
        </w:rPr>
        <w:t xml:space="preserve">пародонтит в 3,5 </w:t>
      </w:r>
      <w:r w:rsidRPr="008D6116">
        <w:rPr>
          <w:rFonts w:ascii="Times New Roman" w:hAnsi="Times New Roman"/>
          <w:sz w:val="28"/>
          <w:szCs w:val="28"/>
          <w:lang w:val="uk-UA"/>
        </w:rPr>
        <w:t>раза ч</w:t>
      </w:r>
      <w:r>
        <w:rPr>
          <w:rFonts w:ascii="Times New Roman" w:hAnsi="Times New Roman"/>
          <w:sz w:val="28"/>
          <w:szCs w:val="28"/>
          <w:lang w:val="uk-UA"/>
        </w:rPr>
        <w:t>астіше (р&lt;0,05) визначався в основній групі.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при аналізі розподілу частки хворих в групах в залежності від тяжкості хронічного катарального гінгівіту встановлено, що легкий його перебіг був характерним для контролю і в 1,9 </w:t>
      </w:r>
      <w:r w:rsidRPr="008D6116">
        <w:rPr>
          <w:rFonts w:ascii="Times New Roman" w:hAnsi="Times New Roman"/>
          <w:sz w:val="28"/>
          <w:szCs w:val="28"/>
          <w:lang w:val="uk-UA"/>
        </w:rPr>
        <w:t>раза частіше  (р&lt;0,05) зустрічався в них (57,1%), ніж в основній групі (30%).  Середньотяжкий перебіг захворювання  відмічено у 36,7% хворих контрольної групи і в 1,9 раза частіше (р&lt;0,05) в основній групі (70%).</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тяжкого перебігу гінгівіту, то частка таких хворих в основній групі склала 10%, а в контролі в 3 рази рідше (3,3%).</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аналізі хворих з хронічним пародонтитом встановлено, що як локалізована, так і генералізована його форми виявлени в однакової частки (3,3%) підлітків контролю. В основній групі локалізована форма хронічного пародонтиту зустрічалася в 3 рази частіше (у 10%), а генералізований пародонтит І ступеню в 4 рази частіше (у13,3%), ніж в контролі.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ПМФ сприяє розвитку більш тяжких форм запальних захворювань пародонта у дівчат-підлітків.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w:t>
      </w:r>
      <w:r w:rsidR="00CD0628">
        <w:rPr>
          <w:rFonts w:ascii="Times New Roman" w:hAnsi="Times New Roman"/>
          <w:sz w:val="28"/>
          <w:szCs w:val="28"/>
          <w:lang w:val="uk-UA"/>
        </w:rPr>
        <w:t>поширеності</w:t>
      </w:r>
      <w:r>
        <w:rPr>
          <w:rFonts w:ascii="Times New Roman" w:hAnsi="Times New Roman"/>
          <w:sz w:val="28"/>
          <w:szCs w:val="28"/>
          <w:lang w:val="uk-UA"/>
        </w:rPr>
        <w:t xml:space="preserve"> карієсу зубів в групах, то достовірних відмінностей не виявлено (р&gt;0,05). Однак в основній групі враженість карієсом зубів (93,3%) була вище, ніж в контролі (83,3%). Однак висока інтенсивність карієсу (</w:t>
      </w:r>
      <w:r w:rsidR="00A06011">
        <w:rPr>
          <w:rFonts w:ascii="Times New Roman" w:hAnsi="Times New Roman"/>
          <w:sz w:val="28"/>
          <w:szCs w:val="28"/>
          <w:lang w:val="uk-UA"/>
        </w:rPr>
        <w:t>КПВ</w:t>
      </w:r>
      <w:r>
        <w:rPr>
          <w:sz w:val="28"/>
          <w:szCs w:val="28"/>
          <w:lang w:val="uk-UA"/>
        </w:rPr>
        <w:t>≥</w:t>
      </w:r>
      <w:r>
        <w:rPr>
          <w:rFonts w:ascii="Times New Roman" w:hAnsi="Times New Roman"/>
          <w:sz w:val="28"/>
          <w:szCs w:val="28"/>
          <w:lang w:val="uk-UA"/>
        </w:rPr>
        <w:t xml:space="preserve">4,5) в 4 рази частіше (р&lt;0,05) виявлялася в основній групі (30%), </w:t>
      </w:r>
      <w:r>
        <w:rPr>
          <w:rFonts w:ascii="Times New Roman" w:hAnsi="Times New Roman"/>
          <w:sz w:val="28"/>
          <w:szCs w:val="28"/>
          <w:lang w:val="uk-UA"/>
        </w:rPr>
        <w:lastRenderedPageBreak/>
        <w:t>ніж в контролі (6,7%). Отримані дані свідчать про те, що ПМФ негативним чином впливає на виникнення карієсу зубів у дівчат-підлітків.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Визначення стану гігієни </w:t>
      </w:r>
      <w:r w:rsidR="00713761">
        <w:rPr>
          <w:rFonts w:ascii="Times New Roman" w:hAnsi="Times New Roman"/>
          <w:sz w:val="28"/>
          <w:szCs w:val="28"/>
          <w:lang w:val="uk-UA"/>
        </w:rPr>
        <w:t>ПР</w:t>
      </w:r>
      <w:r>
        <w:rPr>
          <w:rFonts w:ascii="Times New Roman" w:hAnsi="Times New Roman"/>
          <w:sz w:val="28"/>
          <w:szCs w:val="28"/>
          <w:lang w:val="uk-UA"/>
        </w:rPr>
        <w:t xml:space="preserve"> обстежуваних за допомогою індексу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і спрощеного індексу показало, що достовірних відмінностей між групами  в їх значеннях не виявлено (р&gt;0,05). Це вказує на те, що виявлені відмінності в групах по відношенню до тяжкості запальних захворювань пародонта зумовлені саме ПМФ.</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порівнянні ступеню вираженості запалення в яснах за допомогою папілярно-маргінального індексу встановлено, що тяжкий ступінь запалення в 2,9 </w:t>
      </w:r>
      <w:r w:rsidRPr="008D6116">
        <w:rPr>
          <w:rFonts w:ascii="Times New Roman" w:hAnsi="Times New Roman"/>
          <w:sz w:val="28"/>
          <w:szCs w:val="28"/>
          <w:lang w:val="uk-UA"/>
        </w:rPr>
        <w:t>раза частіше (р&lt;0,05) визначався у пацієнтів в основній групі. Ці дані підтверджують клінічні результати про те, що ПМФ потенціює розвиток більш тяжких форм запальних захворювань тканин пародонта у дівчат-підлітків.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 більш вираженим запаленням в тканинах ясен у хворих з ПМФ діагностовано більш значиму (р&lt;0,05), ніж в контролі, кровоточивість судинного русла, визначена за допомогою індексу кровоточивості.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Цитологічне дослідження мазків-відбитків тканин показало, що у хворих основної групи у порівнянні з </w:t>
      </w:r>
      <w:r w:rsidRPr="008D6116">
        <w:rPr>
          <w:rFonts w:ascii="Times New Roman" w:hAnsi="Times New Roman"/>
          <w:sz w:val="28"/>
          <w:szCs w:val="28"/>
          <w:lang w:val="uk-UA"/>
        </w:rPr>
        <w:t>нормативом (здоровими) виявлено достовірне зниження ядровмісних клітин в 1,4 раза (р&lt;0,001), без’ядерних зроговілих клітин в 1,9 раза (р&lt;0,001) і збільшення поліморфноядерних лейкоцитів в 3,5 раза (р&lt;0,001), непошкоджених моноцитів в 2 рази (р&lt;0,001), а також епітеліальних клітин: з вакуолізованою цитоплазмою в 5,2 раза (р&lt;0,001), з деформованим ядром в 4,3 раза (р&lt;0,001) і контамінованих мікроорганізмами в 3, 8 раза (р&lt;0,001). Ці дані вказують на те, що у хворих основної</w:t>
      </w:r>
      <w:r>
        <w:rPr>
          <w:rFonts w:ascii="Times New Roman" w:hAnsi="Times New Roman"/>
          <w:sz w:val="28"/>
          <w:szCs w:val="28"/>
          <w:lang w:val="uk-UA"/>
        </w:rPr>
        <w:t xml:space="preserve"> групи має місце зсув в сторону менш зрілих клітинних форм з переважанням в епітелії ясен проліферативних процесів, викликаних альтерацією клітин внаслідок запального процесу, що можна розцінити як прояви компенсації. Однак збільшення кількості клітин з проявами цитопатології вказує на дефіцит компенсації. Це призводить до неповноцінної диференціації клітин, що призводить до росту кількості незрілих форм клітин. Про дефіцит компенсації свідчить також збільшення кількості епітеліальних клітин, контамінованих мікроорганізмами.</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Крім того, домінування нейтрофільного запалення в яснах сприяє формуванню ексудативного, а не проліферативного типу запалення, з вираженими явищами кровоточивості тканин ясен.</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Порівняння цитологічного пейзажу у хворих контрольної і основної груп показало, що у останньої мало місце достовірне зниження кількості ядровмісних клітин на 17,1% (р&lt;0,05)  і без’ядерних зроговілих клітин на 18,7% (р&lt;0,05), а також збільшення кількості епітеліальних клітин з вакуолізованою цитоплазмою на 31,4% (р&lt;0,05), з деформованим ядром на 30,6% (р&lt;0,01), поліморфно-ядерних лейкоцитів на 20% (р&lt;0,001) і контамінованих мікроорганізмами на 38,6% (р&lt;0,001).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Ці дані вказують, що вищевказані патологічні морфологічні процеси у хворих з ПМФ суттєво виражені, ніж в контролі, що і визначає відмінності в структурі клінічних форм і характеру їх перебігу в досліджуваних групах.</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Використання нормованого показника t-критерію дозволило визначити ступінь відхилення від норми значень цитологічних показників в групах і потім їх рангувати. Порівняння таких рангових структур показало їх ідентичність, що свідчить про стереотипність цитологічних змін в тканинах ясен. При цьому перші три рангові місця в обох групах зайняли: збільшення кількості епітеліальних клітин, контамінованих мікроорганізмами (1-й ранг), а також збільшення кількості епітеліальних клітин з деформованим ядром (2-й ранг) і вакуолізованою цитоплазмою (3-й ранг). З цього випливає, що запальний процес в яснах має інфекційний характер з вираженими  деструктивними процесами в епітеліальних клітинах, що переважають над проліферативними процесами.</w:t>
      </w:r>
    </w:p>
    <w:p w:rsidR="000F78D0" w:rsidRDefault="000F78D0" w:rsidP="00B31BF3">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Використання середньоарифметичних значень t-критерію дозволило провести комплексну оцінку  ступеню відхилення від норми значень цитологічних показниках в групах. При цьому встановлено, що в цілому ступінь морфологічних змін у хворих основної групи (</w:t>
      </w:r>
      <w:r>
        <w:rPr>
          <w:rFonts w:ascii="Times New Roman" w:hAnsi="Times New Roman"/>
          <w:sz w:val="28"/>
          <w:szCs w:val="28"/>
        </w:rPr>
        <w:t>t</w:t>
      </w:r>
      <w:r>
        <w:rPr>
          <w:rFonts w:ascii="Times New Roman" w:hAnsi="Times New Roman"/>
          <w:sz w:val="28"/>
          <w:szCs w:val="28"/>
          <w:lang w:val="uk-UA"/>
        </w:rPr>
        <w:t>=7,28; р &lt;0,001) на 40% була значимішою, ніж в контролі (</w:t>
      </w:r>
      <w:r>
        <w:rPr>
          <w:rFonts w:ascii="Times New Roman" w:hAnsi="Times New Roman"/>
          <w:sz w:val="28"/>
          <w:szCs w:val="28"/>
        </w:rPr>
        <w:t>t</w:t>
      </w:r>
      <w:r w:rsidRPr="00C965CB">
        <w:rPr>
          <w:rFonts w:ascii="Times New Roman" w:hAnsi="Times New Roman"/>
          <w:sz w:val="28"/>
          <w:szCs w:val="28"/>
          <w:lang w:val="ru-RU"/>
        </w:rPr>
        <w:t>=</w:t>
      </w:r>
      <w:r>
        <w:rPr>
          <w:rFonts w:ascii="Times New Roman" w:hAnsi="Times New Roman"/>
          <w:sz w:val="28"/>
          <w:szCs w:val="28"/>
          <w:lang w:val="ru-RU"/>
        </w:rPr>
        <w:t xml:space="preserve">5,20; р&lt;0,001). </w:t>
      </w:r>
    </w:p>
    <w:p w:rsidR="000F78D0" w:rsidRDefault="000F78D0" w:rsidP="00B31BF3">
      <w:pPr>
        <w:spacing w:line="360" w:lineRule="auto"/>
        <w:ind w:firstLine="709"/>
        <w:jc w:val="both"/>
        <w:rPr>
          <w:rFonts w:ascii="Times New Roman" w:hAnsi="Times New Roman"/>
          <w:sz w:val="28"/>
          <w:szCs w:val="28"/>
          <w:lang w:val="uk-UA"/>
        </w:rPr>
      </w:pPr>
      <w:r w:rsidRPr="000216BE">
        <w:rPr>
          <w:rFonts w:ascii="Times New Roman" w:hAnsi="Times New Roman"/>
          <w:sz w:val="28"/>
          <w:szCs w:val="28"/>
          <w:lang w:val="uk-UA"/>
        </w:rPr>
        <w:t>Дослідження</w:t>
      </w:r>
      <w:r>
        <w:rPr>
          <w:rFonts w:ascii="Times New Roman" w:hAnsi="Times New Roman"/>
          <w:sz w:val="28"/>
          <w:szCs w:val="28"/>
          <w:lang w:val="ru-RU"/>
        </w:rPr>
        <w:t xml:space="preserve"> </w:t>
      </w:r>
      <w:r>
        <w:rPr>
          <w:rFonts w:ascii="Times New Roman" w:hAnsi="Times New Roman"/>
          <w:sz w:val="28"/>
          <w:szCs w:val="28"/>
          <w:lang w:val="uk-UA"/>
        </w:rPr>
        <w:t xml:space="preserve"> </w:t>
      </w:r>
      <w:r w:rsidRPr="000216BE">
        <w:rPr>
          <w:rFonts w:ascii="Times New Roman" w:hAnsi="Times New Roman"/>
          <w:sz w:val="28"/>
          <w:szCs w:val="28"/>
          <w:lang w:val="uk-UA"/>
        </w:rPr>
        <w:t>мінералізуючої</w:t>
      </w:r>
      <w:r>
        <w:rPr>
          <w:rFonts w:ascii="Times New Roman" w:hAnsi="Times New Roman"/>
          <w:sz w:val="28"/>
          <w:szCs w:val="28"/>
          <w:lang w:val="uk-UA"/>
        </w:rPr>
        <w:t xml:space="preserve">  функції слини і оптичної щільності кісткових структур пародонта в групах показало, що помірне або значне зниження рівню Са </w:t>
      </w:r>
      <w:r>
        <w:rPr>
          <w:rFonts w:ascii="Times New Roman" w:hAnsi="Times New Roman"/>
          <w:sz w:val="28"/>
          <w:szCs w:val="28"/>
          <w:lang w:val="uk-UA"/>
        </w:rPr>
        <w:lastRenderedPageBreak/>
        <w:t>в слині (≤0,70 ммоль/л) мали місце у 30% хворих контролю і в 2 рази частіше (у 63,3%; р&lt;0,05) серед пацієнтів основної групи. Отже, у хворих з ПМФ виявлено більш значиме, ніж в контролі, зниження мінералізуючої функції слини, що може негативно відобразитися на мінеральній щільності кісткових тканин пародонта. Дійсно, помірне зниження оптичної щільності кісткових тканин (≤125 Д) відмічено у 56,7% хворих з ПМФ і в 2,4 ра</w:t>
      </w:r>
      <w:r w:rsidRPr="008D6116">
        <w:rPr>
          <w:rFonts w:ascii="Times New Roman" w:hAnsi="Times New Roman"/>
          <w:sz w:val="28"/>
          <w:szCs w:val="28"/>
          <w:lang w:val="uk-UA"/>
        </w:rPr>
        <w:t>за</w:t>
      </w:r>
      <w:r>
        <w:rPr>
          <w:rFonts w:ascii="Times New Roman" w:hAnsi="Times New Roman"/>
          <w:sz w:val="28"/>
          <w:szCs w:val="28"/>
          <w:lang w:val="uk-UA"/>
        </w:rPr>
        <w:t xml:space="preserve"> рідше (у 23,3%; р&lt;0,05)  в контролі.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пацієнтів основної групи виявлені більш значимі, ніж в контролі, прояви дисбіозу </w:t>
      </w:r>
      <w:r w:rsidR="00713761">
        <w:rPr>
          <w:rFonts w:ascii="Times New Roman" w:hAnsi="Times New Roman"/>
          <w:sz w:val="28"/>
          <w:szCs w:val="28"/>
          <w:lang w:val="uk-UA"/>
        </w:rPr>
        <w:t>ПР</w:t>
      </w:r>
      <w:r>
        <w:rPr>
          <w:rFonts w:ascii="Times New Roman" w:hAnsi="Times New Roman"/>
          <w:sz w:val="28"/>
          <w:szCs w:val="28"/>
          <w:lang w:val="uk-UA"/>
        </w:rPr>
        <w:t>, визначені за допомогою співвідношення рівнів уреази і лізоциму. При цьому помірний або виражений ступінь дисбіозу (</w:t>
      </w:r>
      <w:r>
        <w:rPr>
          <w:sz w:val="28"/>
          <w:szCs w:val="28"/>
          <w:lang w:val="uk-UA"/>
        </w:rPr>
        <w:t>≥</w:t>
      </w:r>
      <w:r>
        <w:rPr>
          <w:rFonts w:ascii="Times New Roman" w:hAnsi="Times New Roman"/>
          <w:sz w:val="28"/>
          <w:szCs w:val="28"/>
          <w:lang w:val="uk-UA"/>
        </w:rPr>
        <w:t>2,1 ум.од.) зустрічалися у 86,7% основної групи і 49,9% контролю (р&lt;0,05). Ці дані вказують на те, що ПМФ сприяє виникненню більш значимого, ніж в контролі, дефіциту продукції нейтрофілами порожнини рота лізоциму, що призводить до збільшення його бактеріальної контамінації і розвитку більш вираженого нейтрофільного запалення в тканинах ясен.</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Прояву дисбіозу порожнини рота сприяє також зниження як місцевої, так і системної резистентності організму. Так, зниження вмісту sIgA в слині відмічено у 26,7% хворих контролю і в 2 рази частіше (р&lt;0,05) в основній групі.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зі зниженням місцевого захисту у хворих основної групи в 2 рази частіше (р&lt;0,05)визначалося зниження загальної резистентності організму, визначеної за часткою електрофоретично рухомих ядер букального епітелію.</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свідчать, що у дівчат-підлітків ПМФ викликає суттєво більш виражені порушення місцевої і загальної резистентності організму, що сприяє розвитку значимих явищ дисбіозу порожнини рота і інфекційного запалення в тканинах пародонта. </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Встановлена </w:t>
      </w:r>
      <w:r w:rsidRPr="008D6116">
        <w:rPr>
          <w:rFonts w:ascii="Times New Roman" w:hAnsi="Times New Roman"/>
          <w:sz w:val="28"/>
          <w:szCs w:val="28"/>
          <w:lang w:val="uk-UA"/>
        </w:rPr>
        <w:t>потенціююча патогенетична роль ПМФ у формуванні запальних захворювань тканин пародонта</w:t>
      </w:r>
      <w:r>
        <w:rPr>
          <w:rFonts w:ascii="Times New Roman" w:hAnsi="Times New Roman"/>
          <w:sz w:val="28"/>
          <w:szCs w:val="28"/>
          <w:lang w:val="uk-UA"/>
        </w:rPr>
        <w:t xml:space="preserve"> у дівчат-підлітків пояснюється функціональним порушенням в них системи гіпоталамус-гіпофіз-статеві органи (Кудінова Є.Г., 2007), що сприяє погіршенню процесів мінералізації альвеолярної кістки (Савчук Н.О., 2008) і призводить до імунобіологічного дисбалансу організму підлітків (Кудінова Є.Г., 2007).</w:t>
      </w:r>
    </w:p>
    <w:p w:rsidR="000F78D0" w:rsidRPr="00B154E5" w:rsidRDefault="000F78D0" w:rsidP="00B31BF3">
      <w:pPr>
        <w:spacing w:line="360" w:lineRule="auto"/>
        <w:ind w:firstLine="709"/>
        <w:jc w:val="both"/>
        <w:rPr>
          <w:rFonts w:ascii="Times New Roman" w:hAnsi="Times New Roman"/>
          <w:sz w:val="28"/>
          <w:szCs w:val="28"/>
          <w:lang w:val="uk-UA"/>
        </w:rPr>
      </w:pPr>
      <w:r w:rsidRPr="00B154E5">
        <w:rPr>
          <w:rFonts w:ascii="Times New Roman" w:hAnsi="Times New Roman"/>
          <w:sz w:val="28"/>
          <w:szCs w:val="28"/>
          <w:lang w:val="uk-UA"/>
        </w:rPr>
        <w:lastRenderedPageBreak/>
        <w:t>З метою визначення факторів, що визначають</w:t>
      </w:r>
      <w:r w:rsidR="00B154E5" w:rsidRPr="00B154E5">
        <w:rPr>
          <w:rFonts w:ascii="Times New Roman" w:hAnsi="Times New Roman"/>
          <w:sz w:val="28"/>
          <w:szCs w:val="28"/>
          <w:lang w:val="uk-UA"/>
        </w:rPr>
        <w:t xml:space="preserve"> розвиток запальних захворювань пародонта у дівчат-підлітків з ПМФ, було вивчено клініко-анамнестичні і параклінічні показники в альтернативних групах з наявністю запальних захворювань пародонта (основна група) та з інтактним пародонтом (контроль).</w:t>
      </w:r>
    </w:p>
    <w:p w:rsidR="000F78D0" w:rsidRDefault="00B154E5" w:rsidP="00B31BF3">
      <w:pPr>
        <w:spacing w:line="360" w:lineRule="auto"/>
        <w:ind w:firstLine="709"/>
        <w:jc w:val="both"/>
        <w:rPr>
          <w:rFonts w:ascii="Times New Roman" w:hAnsi="Times New Roman"/>
          <w:sz w:val="28"/>
          <w:szCs w:val="28"/>
          <w:lang w:val="uk-UA"/>
        </w:rPr>
      </w:pPr>
      <w:r w:rsidRPr="00B154E5">
        <w:rPr>
          <w:rFonts w:ascii="Times New Roman" w:hAnsi="Times New Roman"/>
          <w:sz w:val="28"/>
          <w:szCs w:val="28"/>
          <w:lang w:val="uk-UA"/>
        </w:rPr>
        <w:t xml:space="preserve">Дослідження даних акушерського анамнезу в групах встановило, що в основній групі у порівнянні з контролем достовірно частіше зустрічалися: перша вагітність (в 1,5 раза, р&lt;0,05); ускладнений перебіг вагітності (в 1,5 раза, р&lt;0,05); загроза переривання </w:t>
      </w:r>
      <w:r w:rsidR="000F78D0" w:rsidRPr="00B154E5">
        <w:rPr>
          <w:rFonts w:ascii="Times New Roman" w:hAnsi="Times New Roman"/>
          <w:sz w:val="28"/>
          <w:szCs w:val="28"/>
          <w:lang w:val="uk-UA"/>
        </w:rPr>
        <w:t xml:space="preserve">вагітності (в 2,1 </w:t>
      </w:r>
      <w:r w:rsidRPr="00B154E5">
        <w:rPr>
          <w:rFonts w:ascii="Times New Roman" w:hAnsi="Times New Roman"/>
          <w:sz w:val="28"/>
          <w:szCs w:val="28"/>
          <w:lang w:val="uk-UA"/>
        </w:rPr>
        <w:t>раза; р&lt;0,05), фетоплац</w:t>
      </w:r>
      <w:r w:rsidR="000F78D0" w:rsidRPr="00B154E5">
        <w:rPr>
          <w:rFonts w:ascii="Times New Roman" w:hAnsi="Times New Roman"/>
          <w:sz w:val="28"/>
          <w:szCs w:val="28"/>
          <w:lang w:val="uk-UA"/>
        </w:rPr>
        <w:t>ентарна недостатність (в 2,2 раза; р&lt;0,05), гестоз 1-ої половини вагітності (в 2 рази; р&lt;0,05),, розродження шляхом Кесареву розтину (в 1,8 раза; р&lt;0,05), ургентне проведення Кесареву розтину (в 2,7 раза; р&lt;0,01), ускладнені пологи (в 1,8 раза; р&lt;0,05), асфіксія при народженні (в 1,7 раза; р&lt;0,05), недоношеність (в 2,6 раза; р&lt;0,05).</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свідчать про те, що цілий ряд негативних пре- і інтранатальних факторів чинить суттєвий вплив на формування запальних захворювань пародонта у даного контингенту підлітків. З цього витікає, що патогенетична детермінанта захворювань пародонта починає формуватися не тільки задовго до підліткового віку, але і до народження дитини.</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Вивчення патогенетичної ролі спадкових факторів встановило, що з боку матері в основній групі у порівнянні з контролем частіше виявлялися: порушення менструальної функції (в 2 рази; р&lt;0,05), захворювання шлунково-кишкового тракту (в 2,</w:t>
      </w:r>
      <w:r w:rsidRPr="008D6116">
        <w:rPr>
          <w:rFonts w:ascii="Times New Roman" w:hAnsi="Times New Roman"/>
          <w:sz w:val="28"/>
          <w:szCs w:val="28"/>
          <w:lang w:val="uk-UA"/>
        </w:rPr>
        <w:t>3 раза; р&lt;0,05), прояви алергії (в 4,2 раза; р&lt;0,05), значна (</w:t>
      </w:r>
      <w:r w:rsidRPr="008D6116">
        <w:rPr>
          <w:sz w:val="28"/>
          <w:szCs w:val="28"/>
          <w:lang w:val="uk-UA"/>
        </w:rPr>
        <w:t>≥</w:t>
      </w:r>
      <w:r w:rsidRPr="008D6116">
        <w:rPr>
          <w:rFonts w:ascii="Times New Roman" w:hAnsi="Times New Roman"/>
          <w:sz w:val="28"/>
          <w:szCs w:val="28"/>
          <w:lang w:val="uk-UA"/>
        </w:rPr>
        <w:t>3-х) коморбідність хронічної патології (в 6,7 раза; р&lt;0,01), висока (</w:t>
      </w:r>
      <w:r w:rsidRPr="008D6116">
        <w:rPr>
          <w:sz w:val="28"/>
          <w:szCs w:val="28"/>
          <w:lang w:val="uk-UA"/>
        </w:rPr>
        <w:t>≥</w:t>
      </w:r>
      <w:r w:rsidRPr="008D6116">
        <w:rPr>
          <w:rFonts w:ascii="Times New Roman" w:hAnsi="Times New Roman"/>
          <w:sz w:val="28"/>
          <w:szCs w:val="28"/>
          <w:lang w:val="uk-UA"/>
        </w:rPr>
        <w:t>21) враженість карієсом (в 2,1 раза; р&lt;0,05) і наявність пародонтита (в 1,8 раза; р&lt;0,05).</w:t>
      </w:r>
    </w:p>
    <w:p w:rsidR="000F78D0" w:rsidRPr="008D6116"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боку батька достовірних відмінностей в частоті хронічної соматичної патології між групами не виявлено (р&gt;0,05).  Відмічено лише тенденцію до більш частих її проявів в основній групі. Така тенденція призводить до адитивного ефекту (сумуванню), у зв’язку з чим достовірні відмінності між групами </w:t>
      </w:r>
      <w:r>
        <w:rPr>
          <w:rFonts w:ascii="Times New Roman" w:hAnsi="Times New Roman"/>
          <w:sz w:val="28"/>
          <w:szCs w:val="28"/>
          <w:lang w:val="uk-UA"/>
        </w:rPr>
        <w:lastRenderedPageBreak/>
        <w:t xml:space="preserve">встановлено по відношенню до числа коморбідних захворювань.  При цьому наявність </w:t>
      </w:r>
      <w:r>
        <w:rPr>
          <w:sz w:val="28"/>
          <w:szCs w:val="28"/>
          <w:lang w:val="uk-UA"/>
        </w:rPr>
        <w:t>≥</w:t>
      </w:r>
      <w:r>
        <w:rPr>
          <w:rFonts w:ascii="Times New Roman" w:hAnsi="Times New Roman"/>
          <w:sz w:val="28"/>
          <w:szCs w:val="28"/>
          <w:lang w:val="uk-UA"/>
        </w:rPr>
        <w:t xml:space="preserve">2-х захворювань зустрічалася в 3,5 </w:t>
      </w:r>
      <w:r w:rsidRPr="008D6116">
        <w:rPr>
          <w:rFonts w:ascii="Times New Roman" w:hAnsi="Times New Roman"/>
          <w:sz w:val="28"/>
          <w:szCs w:val="28"/>
          <w:lang w:val="uk-UA"/>
        </w:rPr>
        <w:t>раза (р&lt;0,01) в основній групі.</w:t>
      </w:r>
    </w:p>
    <w:p w:rsidR="000F78D0" w:rsidRDefault="000F78D0" w:rsidP="00B31BF3">
      <w:pPr>
        <w:spacing w:line="360" w:lineRule="auto"/>
        <w:ind w:firstLine="709"/>
        <w:jc w:val="both"/>
        <w:rPr>
          <w:rFonts w:ascii="Times New Roman" w:hAnsi="Times New Roman"/>
          <w:sz w:val="28"/>
          <w:szCs w:val="28"/>
          <w:lang w:val="uk-UA"/>
        </w:rPr>
      </w:pPr>
      <w:r w:rsidRPr="008D6116">
        <w:rPr>
          <w:rFonts w:ascii="Times New Roman" w:hAnsi="Times New Roman"/>
          <w:sz w:val="28"/>
          <w:szCs w:val="28"/>
          <w:lang w:val="uk-UA"/>
        </w:rPr>
        <w:t>Що стосується хронічного пародонтиту, то вони виявилися  в 1,6 раза</w:t>
      </w:r>
      <w:r>
        <w:rPr>
          <w:rFonts w:ascii="Times New Roman" w:hAnsi="Times New Roman"/>
          <w:sz w:val="28"/>
          <w:szCs w:val="28"/>
          <w:lang w:val="uk-UA"/>
        </w:rPr>
        <w:t xml:space="preserve"> частіше (р&lt;0,05) в основній групі.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Зі сторони праматерів за частотою більшості соматичної патології достовірних відмінностей, крім алергії, не виявлено (р&gt;0,05). Встановлено лише тенденцію (р&gt;0,05) до більшої захворюваності в основній групі. Однак ця тенденція в цілому сприяє кумулятивному ефекту, внаслідок чого при аналізі загальної кількості хронічної патології виявлено достовірні відмінності між групами. При цьому значна (</w:t>
      </w:r>
      <w:r>
        <w:rPr>
          <w:sz w:val="28"/>
          <w:szCs w:val="28"/>
          <w:lang w:val="uk-UA"/>
        </w:rPr>
        <w:t>≥</w:t>
      </w:r>
      <w:r>
        <w:rPr>
          <w:rFonts w:ascii="Times New Roman" w:hAnsi="Times New Roman"/>
          <w:sz w:val="28"/>
          <w:szCs w:val="28"/>
          <w:lang w:val="uk-UA"/>
        </w:rPr>
        <w:t>5) кількість соматичних захворювань була характерною (р&lt;0,001) для хворих основної групи.</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 стосується специфічного генетичного вантажу, то враження пародонта достовірно частіше (р&lt;0,05) реєструвалося в основній групі.</w:t>
      </w:r>
    </w:p>
    <w:p w:rsidR="000F78D0" w:rsidRPr="008D6116"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прабатьків суттєві відмінності виявлено по відношенню до серцево-судинних захворювань і алергії, які частіше зустрічалися  в основній групі – відповідно в 2,1 і 2,3 </w:t>
      </w:r>
      <w:r w:rsidRPr="008D6116">
        <w:rPr>
          <w:rFonts w:ascii="Times New Roman" w:hAnsi="Times New Roman"/>
          <w:sz w:val="28"/>
          <w:szCs w:val="28"/>
          <w:lang w:val="uk-UA"/>
        </w:rPr>
        <w:t>раза (р&lt;0,05).</w:t>
      </w:r>
    </w:p>
    <w:p w:rsidR="000F78D0" w:rsidRPr="008D6116" w:rsidRDefault="000F78D0" w:rsidP="00B31BF3">
      <w:pPr>
        <w:spacing w:line="360" w:lineRule="auto"/>
        <w:ind w:firstLine="709"/>
        <w:jc w:val="both"/>
        <w:rPr>
          <w:rFonts w:ascii="Times New Roman" w:hAnsi="Times New Roman"/>
          <w:sz w:val="28"/>
          <w:szCs w:val="28"/>
          <w:lang w:val="uk-UA"/>
        </w:rPr>
      </w:pPr>
      <w:r w:rsidRPr="008D6116">
        <w:rPr>
          <w:rFonts w:ascii="Times New Roman" w:hAnsi="Times New Roman"/>
          <w:sz w:val="28"/>
          <w:szCs w:val="28"/>
          <w:lang w:val="uk-UA"/>
        </w:rPr>
        <w:t>Патогенетичну значимість виявила кількість соматичної патології, а саме: значна її кількість (</w:t>
      </w:r>
      <w:r w:rsidRPr="008D6116">
        <w:rPr>
          <w:sz w:val="28"/>
          <w:szCs w:val="28"/>
          <w:lang w:val="uk-UA"/>
        </w:rPr>
        <w:t>≥</w:t>
      </w:r>
      <w:r w:rsidRPr="008D6116">
        <w:rPr>
          <w:rFonts w:ascii="Times New Roman" w:hAnsi="Times New Roman"/>
          <w:sz w:val="28"/>
          <w:szCs w:val="28"/>
          <w:lang w:val="uk-UA"/>
        </w:rPr>
        <w:t>5) була характерна (р&lt;0,001) для основної групи.</w:t>
      </w:r>
    </w:p>
    <w:p w:rsidR="000F78D0" w:rsidRPr="008D6116" w:rsidRDefault="000F78D0" w:rsidP="00B31BF3">
      <w:pPr>
        <w:spacing w:line="360" w:lineRule="auto"/>
        <w:ind w:firstLine="709"/>
        <w:jc w:val="both"/>
        <w:rPr>
          <w:rFonts w:ascii="Times New Roman" w:hAnsi="Times New Roman"/>
          <w:sz w:val="28"/>
          <w:szCs w:val="28"/>
          <w:lang w:val="uk-UA"/>
        </w:rPr>
      </w:pPr>
      <w:r w:rsidRPr="008D6116">
        <w:rPr>
          <w:rFonts w:ascii="Times New Roman" w:hAnsi="Times New Roman"/>
          <w:sz w:val="28"/>
          <w:szCs w:val="28"/>
          <w:lang w:val="uk-UA"/>
        </w:rPr>
        <w:t xml:space="preserve">По відношенню до специфічного генетичного вантажу, то захворювання пародонта частіше визначалися в основній групі (р&lt;0,001). </w:t>
      </w:r>
    </w:p>
    <w:p w:rsidR="000F78D0" w:rsidRDefault="000F78D0" w:rsidP="00B31BF3">
      <w:pPr>
        <w:spacing w:line="360" w:lineRule="auto"/>
        <w:ind w:firstLine="709"/>
        <w:jc w:val="both"/>
        <w:rPr>
          <w:rFonts w:ascii="Times New Roman" w:hAnsi="Times New Roman"/>
          <w:sz w:val="28"/>
          <w:szCs w:val="28"/>
          <w:lang w:val="uk-UA"/>
        </w:rPr>
      </w:pPr>
      <w:r w:rsidRPr="008D6116">
        <w:rPr>
          <w:rFonts w:ascii="Times New Roman" w:hAnsi="Times New Roman"/>
          <w:sz w:val="28"/>
          <w:szCs w:val="28"/>
          <w:lang w:val="uk-UA"/>
        </w:rPr>
        <w:t>Отже, спадковий фактор відіграє суттєву роль в патогенезі запальних захворювань пародонта у дівчат-підлітків з ПМФ. При цьому патогенетичну значимість виявили як специфічна (захворювання тканин пародонта</w:t>
      </w:r>
      <w:r>
        <w:rPr>
          <w:rFonts w:ascii="Times New Roman" w:hAnsi="Times New Roman"/>
          <w:sz w:val="28"/>
          <w:szCs w:val="28"/>
          <w:lang w:val="uk-UA"/>
        </w:rPr>
        <w:t>), так і неспецифічна (хронічна соматична патологія) компоненти генетичного вантажу. Отримані результати не суперечать науковим даним в цьому питанні (Атрушкевич В.Г., 2010; Зінов</w:t>
      </w:r>
      <w:r w:rsidRPr="002C7299">
        <w:rPr>
          <w:rFonts w:ascii="Times New Roman" w:hAnsi="Times New Roman"/>
          <w:sz w:val="28"/>
          <w:szCs w:val="28"/>
          <w:lang w:val="ru-RU"/>
        </w:rPr>
        <w:t>’</w:t>
      </w:r>
      <w:r>
        <w:rPr>
          <w:rFonts w:ascii="Times New Roman" w:hAnsi="Times New Roman"/>
          <w:sz w:val="28"/>
          <w:szCs w:val="28"/>
          <w:lang w:val="uk-UA"/>
        </w:rPr>
        <w:t>єва А.І., 2012)  і доповнюють їх по відношенню до даного контингенту хворих.</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показників анамнезу життя патогенетичну значимість виявили наявність грудного вигодовування і його тривалість. Відсутність грудного </w:t>
      </w:r>
      <w:r>
        <w:rPr>
          <w:rFonts w:ascii="Times New Roman" w:hAnsi="Times New Roman"/>
          <w:sz w:val="28"/>
          <w:szCs w:val="28"/>
          <w:lang w:val="uk-UA"/>
        </w:rPr>
        <w:lastRenderedPageBreak/>
        <w:t>вигодовування і його короткотривалість (до 6-ти місяців) відповідно в 1,8 і 2,3 раза частіше (р&lt;0,05) виявлялися в основній групі.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дослідженні способу життя підлітків встановлено, що в основній групі у порівнянні з контролем достовірно частіше виявлялося: тютюнопаління  (в 1,</w:t>
      </w:r>
      <w:r w:rsidRPr="008D6116">
        <w:rPr>
          <w:rFonts w:ascii="Times New Roman" w:hAnsi="Times New Roman"/>
          <w:sz w:val="28"/>
          <w:szCs w:val="28"/>
          <w:lang w:val="uk-UA"/>
        </w:rPr>
        <w:t>6 раза; р&lt;0,05), переважання в харчовому раціоні жирних і гострих страв (в 1,9 раза; р&lt;0,05), а також м’якої їжі (в 3,6 раза; р&lt;0,05) , короткотривале (≤2 год) перебування на свіжому повітрі (в 2,4 раза; р&lt;0,05), травматичне чищення зубів (в 5,5 раза; р&lt;0,05) і недостатня частота (1 раз на добу) чищення зубів (в 2,9 раза; р&lt;0,05).Отримані результати свідчать,  що порушення здорового способу життя підлітків є складовою частиною патогенетичної детермінанти за розвитком</w:t>
      </w:r>
      <w:r>
        <w:rPr>
          <w:rFonts w:ascii="Times New Roman" w:hAnsi="Times New Roman"/>
          <w:sz w:val="28"/>
          <w:szCs w:val="28"/>
          <w:lang w:val="uk-UA"/>
        </w:rPr>
        <w:t xml:space="preserve"> запальних захворювань пародонта у дівчат-підлітків з ПМФ.</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хронічної соматичної патології частіше в основній групі, ніж в контролі, зустрічалися захворювання шлунково-кишкового тракту (</w:t>
      </w:r>
      <w:r w:rsidRPr="008D6116">
        <w:rPr>
          <w:rFonts w:ascii="Times New Roman" w:hAnsi="Times New Roman"/>
          <w:sz w:val="28"/>
          <w:szCs w:val="28"/>
          <w:lang w:val="uk-UA"/>
        </w:rPr>
        <w:t>в 2,4 раза; р&lt;0,05) і алергія (в 3,2 раза; р&lt;0,05). По відношенню до іншої патології встановлено кумулятивний патогенетичний ефект, у зв’язку з чим сукупність 3-х і більше захворювань в 6,7 раза частіше (р&lt;0,001) виявлялася в основній групі. Ці дані узгоджуються з дослідженнями, які показали взаємозв’язок</w:t>
      </w:r>
      <w:r>
        <w:rPr>
          <w:rFonts w:ascii="Times New Roman" w:hAnsi="Times New Roman"/>
          <w:sz w:val="28"/>
          <w:szCs w:val="28"/>
          <w:lang w:val="uk-UA"/>
        </w:rPr>
        <w:t xml:space="preserve"> хронічних захворювань пародонта та інших мультифакторіальних захворювань (Савчук Н.О., 2008, Козорез Є.М. і співав., 2004, Відойник О.Я., 2014, </w:t>
      </w:r>
      <w:r>
        <w:rPr>
          <w:rFonts w:ascii="Times New Roman" w:hAnsi="Times New Roman"/>
          <w:sz w:val="28"/>
          <w:szCs w:val="28"/>
        </w:rPr>
        <w:t>Dorter</w:t>
      </w:r>
      <w:r w:rsidRPr="0003332B">
        <w:rPr>
          <w:rFonts w:ascii="Times New Roman" w:hAnsi="Times New Roman"/>
          <w:sz w:val="28"/>
          <w:szCs w:val="28"/>
          <w:lang w:val="uk-UA"/>
        </w:rPr>
        <w:t xml:space="preserve"> </w:t>
      </w:r>
      <w:r>
        <w:rPr>
          <w:rFonts w:ascii="Times New Roman" w:hAnsi="Times New Roman"/>
          <w:sz w:val="28"/>
          <w:szCs w:val="28"/>
        </w:rPr>
        <w:t>C</w:t>
      </w:r>
      <w:r w:rsidRPr="0003332B">
        <w:rPr>
          <w:rFonts w:ascii="Times New Roman" w:hAnsi="Times New Roman"/>
          <w:sz w:val="28"/>
          <w:szCs w:val="28"/>
          <w:lang w:val="uk-UA"/>
        </w:rPr>
        <w:t>.,</w:t>
      </w:r>
      <w:r>
        <w:rPr>
          <w:rFonts w:ascii="Times New Roman" w:hAnsi="Times New Roman"/>
          <w:sz w:val="28"/>
          <w:szCs w:val="28"/>
          <w:lang w:val="uk-UA"/>
        </w:rPr>
        <w:t xml:space="preserve"> 2006).</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сформована до зачаття дитини (генетичний фактор), а також в пре-, інтра- і постнатальний періоди патогенетична матриця, в процесі розвитку дитини і підлітка доповнюються новими патогенетичними факторами, що підсилює вірогідність її  реалізації в пубертаті.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дослідженні  стоматологічного статусу хворих встановлено, що порушення гігієни </w:t>
      </w:r>
      <w:r w:rsidR="00713761">
        <w:rPr>
          <w:rFonts w:ascii="Times New Roman" w:hAnsi="Times New Roman"/>
          <w:sz w:val="28"/>
          <w:szCs w:val="28"/>
          <w:lang w:val="uk-UA"/>
        </w:rPr>
        <w:t>ПР</w:t>
      </w:r>
      <w:r>
        <w:rPr>
          <w:rFonts w:ascii="Times New Roman" w:hAnsi="Times New Roman"/>
          <w:sz w:val="28"/>
          <w:szCs w:val="28"/>
          <w:lang w:val="uk-UA"/>
        </w:rPr>
        <w:t xml:space="preserve">  є вважливим патогенетичним фактором. Так, погана або дуже погана гігієна </w:t>
      </w:r>
      <w:r w:rsidR="00713761">
        <w:rPr>
          <w:rFonts w:ascii="Times New Roman" w:hAnsi="Times New Roman"/>
          <w:sz w:val="28"/>
          <w:szCs w:val="28"/>
          <w:lang w:val="uk-UA"/>
        </w:rPr>
        <w:t>ПР</w:t>
      </w:r>
      <w:r>
        <w:rPr>
          <w:rFonts w:ascii="Times New Roman" w:hAnsi="Times New Roman"/>
          <w:sz w:val="28"/>
          <w:szCs w:val="28"/>
          <w:lang w:val="uk-UA"/>
        </w:rPr>
        <w:t xml:space="preserve">, визначена за допомогою індексу </w:t>
      </w:r>
      <w:r w:rsidR="00E71220">
        <w:rPr>
          <w:rFonts w:ascii="Times New Roman" w:hAnsi="Times New Roman"/>
          <w:sz w:val="28"/>
          <w:szCs w:val="28"/>
          <w:lang w:val="uk-UA"/>
        </w:rPr>
        <w:t xml:space="preserve">Ю.А.Федорова, В.В.Володкіної </w:t>
      </w:r>
      <w:r>
        <w:rPr>
          <w:rFonts w:ascii="Times New Roman" w:hAnsi="Times New Roman"/>
          <w:sz w:val="28"/>
          <w:szCs w:val="28"/>
          <w:lang w:val="uk-UA"/>
        </w:rPr>
        <w:t>або спрощеного індексу, достовірно частіше (р&lt;0,001) зустрічалася в основній групі.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Високодостовірними факторами ризику стали висока інтенсивність карієсу зубів (р&lt;0,001), наявність аномалій зубо-щелепної системи (р&lt;0,001) і їх </w:t>
      </w:r>
      <w:r>
        <w:rPr>
          <w:rFonts w:ascii="Times New Roman" w:hAnsi="Times New Roman"/>
          <w:sz w:val="28"/>
          <w:szCs w:val="28"/>
          <w:lang w:val="uk-UA"/>
        </w:rPr>
        <w:lastRenderedPageBreak/>
        <w:t>поєднання (р&lt;0,001), а також дефекти пломбування зубів: краї пломб, що нависають і порушення змикання зубних рядів (р&lt;0,05).</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параклінічних показників для хворих основної групи характерними (р&lt;0,001) виявилися виражені або дуже значні (</w:t>
      </w:r>
      <w:r>
        <w:rPr>
          <w:sz w:val="28"/>
          <w:szCs w:val="28"/>
          <w:lang w:val="uk-UA"/>
        </w:rPr>
        <w:t>≥</w:t>
      </w:r>
      <w:r>
        <w:rPr>
          <w:rFonts w:ascii="Times New Roman" w:hAnsi="Times New Roman"/>
          <w:sz w:val="28"/>
          <w:szCs w:val="28"/>
          <w:lang w:val="uk-UA"/>
        </w:rPr>
        <w:t>3,1 ум.од.) прояви дисбіозу порожнини рота, визначені за допомогою співвідношення рівнів уреази і лізоциму в слині.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Явищам дисбіозу сприяє порушення місцевого імунного захисту у вигляді зниження рівня s</w:t>
      </w:r>
      <w:r>
        <w:rPr>
          <w:rFonts w:ascii="Times New Roman" w:hAnsi="Times New Roman"/>
          <w:sz w:val="28"/>
          <w:szCs w:val="28"/>
        </w:rPr>
        <w:t>IgA</w:t>
      </w:r>
      <w:r>
        <w:rPr>
          <w:rFonts w:ascii="Times New Roman" w:hAnsi="Times New Roman"/>
          <w:sz w:val="28"/>
          <w:szCs w:val="28"/>
          <w:lang w:val="uk-UA"/>
        </w:rPr>
        <w:t xml:space="preserve"> </w:t>
      </w:r>
      <w:r w:rsidRPr="000E3C71">
        <w:rPr>
          <w:rFonts w:ascii="Times New Roman" w:hAnsi="Times New Roman"/>
          <w:sz w:val="28"/>
          <w:szCs w:val="28"/>
          <w:lang w:val="uk-UA"/>
        </w:rPr>
        <w:t>в сл</w:t>
      </w:r>
      <w:r>
        <w:rPr>
          <w:rFonts w:ascii="Times New Roman" w:hAnsi="Times New Roman"/>
          <w:sz w:val="28"/>
          <w:szCs w:val="28"/>
          <w:lang w:val="uk-UA"/>
        </w:rPr>
        <w:t>ині. Зниження рівню s</w:t>
      </w:r>
      <w:r>
        <w:rPr>
          <w:rFonts w:ascii="Times New Roman" w:hAnsi="Times New Roman"/>
          <w:sz w:val="28"/>
          <w:szCs w:val="28"/>
        </w:rPr>
        <w:t>IgA</w:t>
      </w:r>
      <w:r>
        <w:rPr>
          <w:rFonts w:ascii="Times New Roman" w:hAnsi="Times New Roman"/>
          <w:sz w:val="28"/>
          <w:szCs w:val="28"/>
          <w:lang w:val="uk-UA"/>
        </w:rPr>
        <w:t xml:space="preserve"> (≤0,30 мг/л) реєструвалося в 4,1 раз</w:t>
      </w:r>
      <w:r w:rsidRPr="008D6116">
        <w:rPr>
          <w:rFonts w:ascii="Times New Roman" w:hAnsi="Times New Roman"/>
          <w:sz w:val="28"/>
          <w:szCs w:val="28"/>
          <w:lang w:val="uk-UA"/>
        </w:rPr>
        <w:t>а</w:t>
      </w:r>
      <w:r>
        <w:rPr>
          <w:rFonts w:ascii="Times New Roman" w:hAnsi="Times New Roman"/>
          <w:sz w:val="28"/>
          <w:szCs w:val="28"/>
          <w:lang w:val="uk-UA"/>
        </w:rPr>
        <w:t xml:space="preserve"> частіше (р&lt;0,001) в основній групі, ніж в контролі.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 місцевою, у хворих основної групи відмічено зниження</w:t>
      </w:r>
      <w:r w:rsidRPr="000E3C71">
        <w:rPr>
          <w:rFonts w:ascii="Times New Roman" w:hAnsi="Times New Roman"/>
          <w:sz w:val="28"/>
          <w:szCs w:val="28"/>
          <w:lang w:val="uk-UA"/>
        </w:rPr>
        <w:t xml:space="preserve"> </w:t>
      </w:r>
      <w:r>
        <w:rPr>
          <w:rFonts w:ascii="Times New Roman" w:hAnsi="Times New Roman"/>
          <w:sz w:val="28"/>
          <w:szCs w:val="28"/>
          <w:lang w:val="uk-UA"/>
        </w:rPr>
        <w:t>(р&lt;0,001) і загальної резистентності організму, визначеної за допомогою методу електропровідності ядер букального епітелію.</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Значимим патогенетичним фактором стало зниження мінералізації кісткових відділів пародонта. Так, помірне або значне зниження (≤0,70 ммоль/л) рівню Са в слині в 9 разів частіше (р&lt;0,001) виявлялося в основній групі, а зниження оптичної щільності кісткових відділів пародонта (≤130 Д) визначалося в 4,6 </w:t>
      </w:r>
      <w:r w:rsidRPr="008D6116">
        <w:rPr>
          <w:rFonts w:ascii="Times New Roman" w:hAnsi="Times New Roman"/>
          <w:sz w:val="28"/>
          <w:szCs w:val="28"/>
          <w:lang w:val="uk-UA"/>
        </w:rPr>
        <w:t>раза ч</w:t>
      </w:r>
      <w:r>
        <w:rPr>
          <w:rFonts w:ascii="Times New Roman" w:hAnsi="Times New Roman"/>
          <w:sz w:val="28"/>
          <w:szCs w:val="28"/>
          <w:lang w:val="uk-UA"/>
        </w:rPr>
        <w:t>астіше (р&lt;0,001) у хворих основної групи, ніж в контролі.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Враховуючи, що в патогенезі досліджуваної патології задіяно багато факторів, було проведено системний аналіз методом кореляційних структур (А.М.Зосімов, 1993). Встановлено, що кореляційні структури груп хворих відрізняються за кількістю зв’язків. При цьому кореляційна структура хворих основної групи в 3 рази (р&lt;0,001) виявилася більш інтегрованою, ніж така контролю. Така монолітність патогенетичної матриці у хворих основної групи робить її стійкою до проводимих профілактичних заходів.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Крім того, кореляційні структури на 66,7% відрізнялися одна від одної за характером кореляцій, що вказує на те, що основу формування запальних захворювань пародонта у дівчат-підлітків з ПМФ складає патогенетична матриця, яка суттєво відрізняється від такої підлітків з інтактним пародонтом як за функціональними, так і за архітектонічними властивостями.</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Вищевказане стало підставою для розробки алгоритму прогнозу розвитку запальних захворювань пародонта у даного контингенту підлітків. При цьому встановлено, що найбільш високу прогностичну інформативність мають: ступінь дисбіозу </w:t>
      </w:r>
      <w:r w:rsidR="00713761">
        <w:rPr>
          <w:rFonts w:ascii="Times New Roman" w:hAnsi="Times New Roman"/>
          <w:sz w:val="28"/>
          <w:szCs w:val="28"/>
          <w:lang w:val="uk-UA"/>
        </w:rPr>
        <w:t>ПР</w:t>
      </w:r>
      <w:r>
        <w:rPr>
          <w:rFonts w:ascii="Times New Roman" w:hAnsi="Times New Roman"/>
          <w:sz w:val="28"/>
          <w:szCs w:val="28"/>
          <w:lang w:val="uk-UA"/>
        </w:rPr>
        <w:t xml:space="preserve"> (І=5,12), оптична щільність кісткових відділів пародонта (І=4,33), ступінь гігієни порожнини рота (І=3,91) і ступінь коморбідності хронічної соматичної патології у підлітків (І=3,13).</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Апробація алгоритму показала, що правильні прогнози склали 92,5%, невизначені – 6,25%, а помилкові – 1,25%. Апробація спрощеного алгоритму (виключення параклінічних показників) виявила, що правильні прогнози склали 88,8%, невизначені – 8,7%, а помилкові 2,5% випадків. Отже, підтверджено високу надійність алгоритмів, так як помилкові прогнози не перевищують 5% (р&lt;0,05).</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визначенні факторів прогнозу тяжкості запальних захворювань пародонта зпівставляючий аналіз даних було проведено в групах: а) хворі з хронічним катаральним гінгівітом легкого ступеню (</w:t>
      </w:r>
      <w:r>
        <w:rPr>
          <w:rFonts w:ascii="Times New Roman" w:hAnsi="Times New Roman"/>
          <w:sz w:val="28"/>
          <w:szCs w:val="28"/>
        </w:rPr>
        <w:t>n</w:t>
      </w:r>
      <w:r w:rsidRPr="000A2482">
        <w:rPr>
          <w:rFonts w:ascii="Times New Roman" w:hAnsi="Times New Roman"/>
          <w:sz w:val="28"/>
          <w:szCs w:val="28"/>
          <w:lang w:val="uk-UA"/>
        </w:rPr>
        <w:t>=</w:t>
      </w:r>
      <w:r>
        <w:rPr>
          <w:rFonts w:ascii="Times New Roman" w:hAnsi="Times New Roman"/>
          <w:sz w:val="28"/>
          <w:szCs w:val="28"/>
          <w:lang w:val="uk-UA"/>
        </w:rPr>
        <w:t>24); б) хворі з хронічним катаральним гінгівітом середньої тяжкості, гіпертрофічним гінгі</w:t>
      </w:r>
      <w:r w:rsidR="00B154E5">
        <w:rPr>
          <w:rFonts w:ascii="Times New Roman" w:hAnsi="Times New Roman"/>
          <w:sz w:val="28"/>
          <w:szCs w:val="28"/>
          <w:lang w:val="uk-UA"/>
        </w:rPr>
        <w:t xml:space="preserve">вітом і хронічним локалізованим пародонтитом </w:t>
      </w:r>
      <w:r>
        <w:rPr>
          <w:rFonts w:ascii="Times New Roman" w:hAnsi="Times New Roman"/>
          <w:sz w:val="28"/>
          <w:szCs w:val="28"/>
          <w:lang w:val="uk-UA"/>
        </w:rPr>
        <w:t xml:space="preserve"> (</w:t>
      </w:r>
      <w:r>
        <w:rPr>
          <w:rFonts w:ascii="Times New Roman" w:hAnsi="Times New Roman"/>
          <w:sz w:val="28"/>
          <w:szCs w:val="28"/>
        </w:rPr>
        <w:t>n</w:t>
      </w:r>
      <w:r w:rsidRPr="000A2482">
        <w:rPr>
          <w:rFonts w:ascii="Times New Roman" w:hAnsi="Times New Roman"/>
          <w:sz w:val="28"/>
          <w:szCs w:val="28"/>
          <w:lang w:val="uk-UA"/>
        </w:rPr>
        <w:t>=26)</w:t>
      </w:r>
      <w:r>
        <w:rPr>
          <w:rFonts w:ascii="Times New Roman" w:hAnsi="Times New Roman"/>
          <w:sz w:val="28"/>
          <w:szCs w:val="28"/>
          <w:lang w:val="uk-UA"/>
        </w:rPr>
        <w:t>.</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показників акушерського анамнезу негативний прогностичний вплив виявили ускладнений перебіг вагітності, загроза переривання вагітності і гестоз 1-0ї половини вагітності (р&lt;0,05).</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вивченні генетичного вантажу виявлено, що з боку матері негативними факторами стали захворювання шлунково-кишкового тракту, серцево-судинні захворювання, явища алергії (р&lt;0,05), ЛОР-захворювання, пародонтити (р&lt;0,01) і враженість карієсом зубів (р&lt;0,01).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Висока коморбідність (</w:t>
      </w:r>
      <w:r>
        <w:rPr>
          <w:sz w:val="28"/>
          <w:szCs w:val="28"/>
          <w:lang w:val="uk-UA"/>
        </w:rPr>
        <w:t>≥</w:t>
      </w:r>
      <w:r>
        <w:rPr>
          <w:rFonts w:ascii="Times New Roman" w:hAnsi="Times New Roman"/>
          <w:sz w:val="28"/>
          <w:szCs w:val="28"/>
          <w:lang w:val="uk-UA"/>
        </w:rPr>
        <w:t>3) соматичної патології також сприяла (р&lt;0,01) більш тяжкому перебігу захворювань пародонта.</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боку батька негативну кореляцію з тяжкістю захворювань виявили прояви алергії, значна (</w:t>
      </w:r>
      <w:r>
        <w:rPr>
          <w:sz w:val="28"/>
          <w:szCs w:val="28"/>
          <w:lang w:val="uk-UA"/>
        </w:rPr>
        <w:t>≥</w:t>
      </w:r>
      <w:r>
        <w:rPr>
          <w:rFonts w:ascii="Times New Roman" w:hAnsi="Times New Roman"/>
          <w:sz w:val="28"/>
          <w:szCs w:val="28"/>
          <w:lang w:val="uk-UA"/>
        </w:rPr>
        <w:t>3) комор бідність соматичної патології, висока (</w:t>
      </w:r>
      <w:r>
        <w:rPr>
          <w:sz w:val="28"/>
          <w:szCs w:val="28"/>
          <w:lang w:val="uk-UA"/>
        </w:rPr>
        <w:t>≥</w:t>
      </w:r>
      <w:r>
        <w:rPr>
          <w:rFonts w:ascii="Times New Roman" w:hAnsi="Times New Roman"/>
          <w:sz w:val="28"/>
          <w:szCs w:val="28"/>
          <w:lang w:val="uk-UA"/>
        </w:rPr>
        <w:t xml:space="preserve">21 зуб) інтенсивність карієсу зубів (р&lt;0,05) і захворювання </w:t>
      </w:r>
      <w:r w:rsidR="00B154E5">
        <w:rPr>
          <w:rFonts w:ascii="Times New Roman" w:hAnsi="Times New Roman"/>
          <w:sz w:val="28"/>
          <w:szCs w:val="28"/>
          <w:lang w:val="uk-UA"/>
        </w:rPr>
        <w:t xml:space="preserve">хронічним </w:t>
      </w:r>
      <w:r>
        <w:rPr>
          <w:rFonts w:ascii="Times New Roman" w:hAnsi="Times New Roman"/>
          <w:sz w:val="28"/>
          <w:szCs w:val="28"/>
          <w:lang w:val="uk-UA"/>
        </w:rPr>
        <w:t>пародонтитом (р&lt;0,01).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 боку праматерів достовірно частіше в групі з більш тяжким перебігом захворювань пародонта відмічалися серцево-судинні захворювання і висока (</w:t>
      </w:r>
      <w:r>
        <w:rPr>
          <w:sz w:val="28"/>
          <w:szCs w:val="28"/>
          <w:lang w:val="uk-UA"/>
        </w:rPr>
        <w:t>≥</w:t>
      </w:r>
      <w:r>
        <w:rPr>
          <w:rFonts w:ascii="Times New Roman" w:hAnsi="Times New Roman"/>
          <w:sz w:val="28"/>
          <w:szCs w:val="28"/>
          <w:lang w:val="uk-UA"/>
        </w:rPr>
        <w:t>5) коморбідність соматичної патології (р&lt;0,001), а з боку прабатьків- відповідно серцево-судинні захворювання, алергія, смерть від соиматичної патології до 60-ти років (р&lt;0,05) і висока (</w:t>
      </w:r>
      <w:r>
        <w:rPr>
          <w:sz w:val="28"/>
          <w:szCs w:val="28"/>
          <w:lang w:val="uk-UA"/>
        </w:rPr>
        <w:t>≥</w:t>
      </w:r>
      <w:r>
        <w:rPr>
          <w:rFonts w:ascii="Times New Roman" w:hAnsi="Times New Roman"/>
          <w:sz w:val="28"/>
          <w:szCs w:val="28"/>
          <w:lang w:val="uk-UA"/>
        </w:rPr>
        <w:t>5) коморбідність соматичної патології (р&lt;0,001).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тяжкість запальних </w:t>
      </w:r>
      <w:r w:rsidRPr="008D6116">
        <w:rPr>
          <w:rFonts w:ascii="Times New Roman" w:hAnsi="Times New Roman"/>
          <w:sz w:val="28"/>
          <w:szCs w:val="28"/>
          <w:lang w:val="uk-UA"/>
        </w:rPr>
        <w:t>захворювань тканин пародонта суттєвий негативний вплив чинять перенесені дитячі інфекції і прояви алергії в дитячому віці (р&lt;0,05), а також нетривале (≤6 міс) грудне вигодовування (р&lt;0,001). Отже, на тяжкість захворювань також впливає характер перебігу різних часових періодів онтогенезу дитини, особливо, дитячого</w:t>
      </w:r>
      <w:r>
        <w:rPr>
          <w:rFonts w:ascii="Times New Roman" w:hAnsi="Times New Roman"/>
          <w:sz w:val="28"/>
          <w:szCs w:val="28"/>
          <w:lang w:val="uk-UA"/>
        </w:rPr>
        <w:t xml:space="preserve"> віку.</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Негативний вплив на перебіг </w:t>
      </w:r>
      <w:r w:rsidRPr="008D6116">
        <w:rPr>
          <w:rFonts w:ascii="Times New Roman" w:hAnsi="Times New Roman"/>
          <w:sz w:val="28"/>
          <w:szCs w:val="28"/>
          <w:lang w:val="uk-UA"/>
        </w:rPr>
        <w:t>захворювань тканин пародонта  виявив ряд показників способу життя підлітків: тютюнопаління, зловживання солодощами і фастфудом, малорухомий спосіб життя, підвищене учбове</w:t>
      </w:r>
      <w:r>
        <w:rPr>
          <w:rFonts w:ascii="Times New Roman" w:hAnsi="Times New Roman"/>
          <w:sz w:val="28"/>
          <w:szCs w:val="28"/>
          <w:lang w:val="uk-UA"/>
        </w:rPr>
        <w:t xml:space="preserve"> і фізичне навантаження, нетривале (≤2 год) перебування на свіжому повітрі (р&lt;0,05) і наявність дієтичного раціону (р&lt;0,01).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Виявлений генетичний вантаж за соматичною патологією депонується не тільки в дитячому, але і в підлітковому віці. Тому такі захворювання у підлітків, як патологія шлунково-кишкового тракту, ЛОР-хвороби, алергія, ендокринологічна патологія, гіпоплазія матки, низька маса тіла, а також значна (</w:t>
      </w:r>
      <w:r>
        <w:rPr>
          <w:sz w:val="28"/>
          <w:szCs w:val="28"/>
          <w:lang w:val="uk-UA"/>
        </w:rPr>
        <w:t>≥</w:t>
      </w:r>
      <w:r>
        <w:rPr>
          <w:rFonts w:ascii="Times New Roman" w:hAnsi="Times New Roman"/>
          <w:sz w:val="28"/>
          <w:szCs w:val="28"/>
          <w:lang w:val="uk-UA"/>
        </w:rPr>
        <w:t>3) їх коморбідність виявили достовірну (р&lt;0,05) зворотну залежність з тяжкістю запальних захворювань пародонта.</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Негативну прогностичну значимість виявили дані стоматологічного статусу підлітків – аномалії зубо-щелепної системи, високі і дуже високі (</w:t>
      </w:r>
      <w:r>
        <w:rPr>
          <w:sz w:val="28"/>
          <w:szCs w:val="28"/>
          <w:lang w:val="uk-UA"/>
        </w:rPr>
        <w:t>≥</w:t>
      </w:r>
      <w:r>
        <w:rPr>
          <w:rFonts w:ascii="Times New Roman" w:hAnsi="Times New Roman"/>
          <w:sz w:val="28"/>
          <w:szCs w:val="28"/>
          <w:lang w:val="uk-UA"/>
        </w:rPr>
        <w:t>4,5 ум.од.) значення інтенсивності карієсу зубів (р&lt;0,001), а також поганий стан гігієни порожнини рота (р&lt;0,01).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стан стоматологічного статусу дівчат-підлітків з ПМФ виявив високі предикторські властивості по відношенню до тяжкості запальних захворювань </w:t>
      </w:r>
      <w:r w:rsidRPr="008D6116">
        <w:rPr>
          <w:rFonts w:ascii="Times New Roman" w:hAnsi="Times New Roman"/>
          <w:sz w:val="28"/>
          <w:szCs w:val="28"/>
          <w:lang w:val="uk-UA"/>
        </w:rPr>
        <w:t>тканин</w:t>
      </w:r>
      <w:r>
        <w:rPr>
          <w:rFonts w:ascii="Times New Roman" w:hAnsi="Times New Roman"/>
          <w:sz w:val="28"/>
          <w:szCs w:val="28"/>
          <w:lang w:val="uk-UA"/>
        </w:rPr>
        <w:t xml:space="preserve"> пародонта. Це пов’язано з тим, що він  акумулює в собі всі характеристики спадковості, пре- і постнатального періодів і онтогенетичного розвитку дитини і підлітка.</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Серед параклінічних показників негативну прогностичну значимість виявили: помірна або висока бактеріальна контамінація порожнини рота за даними рівню уреази (</w:t>
      </w:r>
      <w:r>
        <w:rPr>
          <w:sz w:val="28"/>
          <w:szCs w:val="28"/>
          <w:lang w:val="uk-UA"/>
        </w:rPr>
        <w:t>≥</w:t>
      </w:r>
      <w:r>
        <w:rPr>
          <w:rFonts w:ascii="Times New Roman" w:hAnsi="Times New Roman"/>
          <w:sz w:val="28"/>
          <w:szCs w:val="28"/>
          <w:lang w:val="uk-UA"/>
        </w:rPr>
        <w:t>0,14 мк-кат/л; р&lt;0,01); зниження (≤40 од/л) активність лізоциму в слині (р&lt;0,001); високий (</w:t>
      </w:r>
      <w:r>
        <w:rPr>
          <w:sz w:val="28"/>
          <w:szCs w:val="28"/>
          <w:lang w:val="uk-UA"/>
        </w:rPr>
        <w:t>≥</w:t>
      </w:r>
      <w:r>
        <w:rPr>
          <w:rFonts w:ascii="Times New Roman" w:hAnsi="Times New Roman"/>
          <w:sz w:val="28"/>
          <w:szCs w:val="28"/>
          <w:lang w:val="uk-UA"/>
        </w:rPr>
        <w:t>4,1 ум.од.) ступінь дисбіозу порожнини рота (р&lt;0,001); зниження (≤0,30 мг/л) вмісту s</w:t>
      </w:r>
      <w:r>
        <w:rPr>
          <w:rFonts w:ascii="Times New Roman" w:hAnsi="Times New Roman"/>
          <w:sz w:val="28"/>
          <w:szCs w:val="28"/>
        </w:rPr>
        <w:t>IgA</w:t>
      </w:r>
      <w:r>
        <w:rPr>
          <w:rFonts w:ascii="Times New Roman" w:hAnsi="Times New Roman"/>
          <w:sz w:val="28"/>
          <w:szCs w:val="28"/>
          <w:lang w:val="uk-UA"/>
        </w:rPr>
        <w:t xml:space="preserve"> в слині (р&lt;0,01); зниження загальної резистентності організму, визначеної за часткою електрофоретично рухомих ядер букального епітелію (≤40%; р&lt;0,05); зниження рівню Са в слині (≤0,70 ммоль/л; р&lt;0,05) і зниження оптичної щільності  (≤125 Д; р&lt;0,05) кісткових відділів пародонта.</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Вищевказане свідчить, що цілий комплекс факторів суттєвим чином впливає на формування тяжкості запальних захворювань пародонта у дівчат-підлітків з ПМФ, що дозволяє використовувати їх для розробки прогностичних критеріїв.</w:t>
      </w:r>
    </w:p>
    <w:p w:rsidR="000F78D0" w:rsidRPr="008D6116"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Проведений системний аналіз основних прогностичних факторів в групах встановив, що ступінь інтегрованості кореляційної структури хворих з більш тяжким перебігом в 1,7 </w:t>
      </w:r>
      <w:r w:rsidRPr="008D6116">
        <w:rPr>
          <w:rFonts w:ascii="Times New Roman" w:hAnsi="Times New Roman"/>
          <w:sz w:val="28"/>
          <w:szCs w:val="28"/>
          <w:lang w:val="uk-UA"/>
        </w:rPr>
        <w:t>раза (р&lt;0,01) був вище, ніж в групі з легким перебігом захворювання.</w:t>
      </w:r>
    </w:p>
    <w:p w:rsidR="000F78D0" w:rsidRDefault="000F78D0" w:rsidP="00B31BF3">
      <w:pPr>
        <w:spacing w:line="360" w:lineRule="auto"/>
        <w:ind w:firstLine="709"/>
        <w:jc w:val="both"/>
        <w:rPr>
          <w:rFonts w:ascii="Times New Roman" w:hAnsi="Times New Roman"/>
          <w:sz w:val="28"/>
          <w:szCs w:val="28"/>
          <w:lang w:val="uk-UA"/>
        </w:rPr>
      </w:pPr>
      <w:r w:rsidRPr="008D6116">
        <w:rPr>
          <w:rFonts w:ascii="Times New Roman" w:hAnsi="Times New Roman"/>
          <w:sz w:val="28"/>
          <w:szCs w:val="28"/>
          <w:lang w:val="uk-UA"/>
        </w:rPr>
        <w:t>Поряд з кількісними, встановлені і якісні, тобто «портретні» відмінності кореляційних структур, які склали ПКВ=50%. Отже, варіанти тяжкості запальних захворювань тканин пародонта</w:t>
      </w:r>
      <w:r>
        <w:rPr>
          <w:rFonts w:ascii="Times New Roman" w:hAnsi="Times New Roman"/>
          <w:sz w:val="28"/>
          <w:szCs w:val="28"/>
          <w:lang w:val="uk-UA"/>
        </w:rPr>
        <w:t xml:space="preserve"> у дівчат-підлітків з ПМФ визначають різні патогенетичні паттерни, які відрізняються один від одного як за кількістю кореляційних взаємодій, так і за їх архітектонікою, що є теоретичним обґрунтуванням можливості розробки надійних прогностичних критеріїв.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Використання неоднорідної послідовної процедури </w:t>
      </w:r>
      <w:r w:rsidRPr="008D6116">
        <w:rPr>
          <w:rFonts w:ascii="Times New Roman" w:hAnsi="Times New Roman"/>
          <w:sz w:val="28"/>
          <w:szCs w:val="28"/>
          <w:lang w:val="uk-UA"/>
        </w:rPr>
        <w:t>Вальда дозволило розробити алгоритм прогнозу тяжкості запальних захворювань тканин пародонта у дівчат-підлітків з ПМФ. Встановлено, що найбільш високу прогностичну інформативність мають: ступінь коморбідності хронічної</w:t>
      </w:r>
      <w:r>
        <w:rPr>
          <w:rFonts w:ascii="Times New Roman" w:hAnsi="Times New Roman"/>
          <w:sz w:val="28"/>
          <w:szCs w:val="28"/>
          <w:lang w:val="uk-UA"/>
        </w:rPr>
        <w:t xml:space="preserve"> соматичної патології підлітка (І=6,39), праматерів (І=3,84) і прабатьків (І=3,70); наявність поєднаних аномалій зубо-щелепної системи (І=3,46); рівень лізоциму в слині (І=2,46); </w:t>
      </w:r>
      <w:r>
        <w:rPr>
          <w:rFonts w:ascii="Times New Roman" w:hAnsi="Times New Roman"/>
          <w:sz w:val="28"/>
          <w:szCs w:val="28"/>
          <w:lang w:val="uk-UA"/>
        </w:rPr>
        <w:lastRenderedPageBreak/>
        <w:t>тривалість грудного вигодовування (І=2,51) і ступінь дисбіозу порожнини рота (І=2,34).</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Апробація алгоритму показала, що правильні прогнози склали 90%, невизначені 8%, а помилкові 2 % випадків. Використання спрощеного алгоритму (виключення параклінічних показників) виявило, що правильні прогнози склали 86%, невизначені 10%, а помилкові 4 % випадків. Отже, надійність алгоритмів відповідає 95% її рівню, що дозволяє рекомендувати їх до практичного застосування.</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розроблених прогностичних алгоритмів було запропоновано групи ризику розвитку запальних захворювань пародонта у дівчат-підлітків з ПМФ, в основу яких було прийнято різноманітність прогностичних варіантів.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основі розроблених прогностичних алгоритмів і груп ризику було запропоновано систему профілактики запальних захворювань </w:t>
      </w:r>
      <w:r w:rsidRPr="008D6116">
        <w:rPr>
          <w:rFonts w:ascii="Times New Roman" w:hAnsi="Times New Roman"/>
          <w:sz w:val="28"/>
          <w:szCs w:val="28"/>
          <w:lang w:val="uk-UA"/>
        </w:rPr>
        <w:t>тканин пародонта у даного контингенту  підлітків. Її інноваційна частина включає:</w:t>
      </w:r>
      <w:r>
        <w:rPr>
          <w:rFonts w:ascii="Times New Roman" w:hAnsi="Times New Roman"/>
          <w:sz w:val="28"/>
          <w:szCs w:val="28"/>
          <w:lang w:val="uk-UA"/>
        </w:rPr>
        <w:t xml:space="preserve"> визначення предикторів розвитку і перебігу даної патології, їх рангування, визначення груп ризику і складання на цій основі індивідуального патогенетичного профілю підлітка. Наявність останнього дозволяє не тільки індивідуалізувати комплекс профілактичних заходів, але і вибрати з їх числа найбільш ефективні для конкретного підлітка.</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Ефективність запропонованої системи профілактики здійснювалася шляхом обстеження підлітків з ПМФ, у яких в процесі диспансеризації розвинулися гінгівіт або пародонтит при використанні традиційної системи профілактики (контроль, </w:t>
      </w:r>
      <w:r>
        <w:rPr>
          <w:rFonts w:ascii="Times New Roman" w:hAnsi="Times New Roman"/>
          <w:sz w:val="28"/>
          <w:szCs w:val="28"/>
        </w:rPr>
        <w:t>n</w:t>
      </w:r>
      <w:r w:rsidRPr="00EB4B66">
        <w:rPr>
          <w:rFonts w:ascii="Times New Roman" w:hAnsi="Times New Roman"/>
          <w:sz w:val="28"/>
          <w:szCs w:val="28"/>
          <w:lang w:val="uk-UA"/>
        </w:rPr>
        <w:t>=30)</w:t>
      </w:r>
      <w:r>
        <w:rPr>
          <w:rFonts w:ascii="Times New Roman" w:hAnsi="Times New Roman"/>
          <w:sz w:val="28"/>
          <w:szCs w:val="28"/>
          <w:lang w:val="uk-UA"/>
        </w:rPr>
        <w:t xml:space="preserve"> і інноваційної методики (основна група, </w:t>
      </w:r>
      <w:r>
        <w:rPr>
          <w:rFonts w:ascii="Times New Roman" w:hAnsi="Times New Roman"/>
          <w:sz w:val="28"/>
          <w:szCs w:val="28"/>
        </w:rPr>
        <w:t>n</w:t>
      </w:r>
      <w:r w:rsidRPr="00EB4B66">
        <w:rPr>
          <w:rFonts w:ascii="Times New Roman" w:hAnsi="Times New Roman"/>
          <w:sz w:val="28"/>
          <w:szCs w:val="28"/>
          <w:lang w:val="uk-UA"/>
        </w:rPr>
        <w:t>=30</w:t>
      </w:r>
      <w:r>
        <w:rPr>
          <w:rFonts w:ascii="Times New Roman" w:hAnsi="Times New Roman"/>
          <w:sz w:val="28"/>
          <w:szCs w:val="28"/>
          <w:lang w:val="uk-UA"/>
        </w:rPr>
        <w:t>). Групи були рандомізовані, тобто однорідні, за віком, групам ризику і інтенсивності карієсу зубів.</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Ефективність профілактики здійснювали через 6,12,18 і 24 місяці від її початку.</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економії часу лікаря - стоматолога і підвищення ефективності профілактики для підлітків основної групи було організовано «СТОМАТ-школу», в якій проводилися заняття за всіма спектрами профілактики.</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Проведені дослідження показали, що на всіх етапах спостереження в контролі відмічалася достовірно більша (р&lt;0,05) частка підлітків, у яких виникли запальні захворювання пародонта. При цьому максимальна різниця відмічена через 2 роки спостереження: в контролі 60%, а в основній групі – 23,3% (р&lt;0,01).</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структури захворювань, то через 24 місяці від початку профілактики в основній групі діагностовано </w:t>
      </w:r>
      <w:r w:rsidRPr="008D6116">
        <w:rPr>
          <w:rFonts w:ascii="Times New Roman" w:hAnsi="Times New Roman"/>
          <w:sz w:val="28"/>
          <w:szCs w:val="28"/>
          <w:lang w:val="uk-UA"/>
        </w:rPr>
        <w:t>тільки хронічний катаральний гінгівіт (100%). В контрольній групі частка хворих з катаральним гінгівітом була менше (44,4%), ніж в основній групі. Крім того, у 16,7% підлітків</w:t>
      </w:r>
      <w:r>
        <w:rPr>
          <w:rFonts w:ascii="Times New Roman" w:hAnsi="Times New Roman"/>
          <w:sz w:val="28"/>
          <w:szCs w:val="28"/>
          <w:lang w:val="uk-UA"/>
        </w:rPr>
        <w:t xml:space="preserve"> діагностовано гіпертрофічний гінгівіт, а у 11,2% локалізований пародонтит.</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співставленні частки хворих з катаральним гінгівітом в залежності від його тяжкості виявлено, що легкий ступінь тяжкості майже в 2 рази частіше діагностувався в основній групі (р&lt;0,05), а середньо тяжкий в 2,1 рази частіше (р&lt;0,05) в контролі.</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свідчать, що застосування індивідуально </w:t>
      </w:r>
      <w:r w:rsidRPr="008D6116">
        <w:rPr>
          <w:rFonts w:ascii="Times New Roman" w:hAnsi="Times New Roman"/>
          <w:sz w:val="28"/>
          <w:szCs w:val="28"/>
          <w:lang w:val="uk-UA"/>
        </w:rPr>
        <w:t>спрямованої профілактики запальних захворювань пародонта, основаної на прогностичних сценаріях</w:t>
      </w:r>
      <w:r>
        <w:rPr>
          <w:rFonts w:ascii="Times New Roman" w:hAnsi="Times New Roman"/>
          <w:sz w:val="28"/>
          <w:szCs w:val="28"/>
          <w:lang w:val="uk-UA"/>
        </w:rPr>
        <w:t>, дозволяє суттєвим чином нейтралізувати їх розвиток у порівнянні з традиційною системою профілактики.</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зв’язку з тим, що виявлені фактори ризику, згідно з даними літератури, задіяні і в патогенезі карієсу зубів і ПМФ, було проведено аналіз можливої ефективності запропонованої системи профілактики по відношенню до даної патології.</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Виявлено, що показник приросту інтенсивності карієсу на всіх етапах спостереження майже в 3 рази був вище (р&lt;0,001) в контролі. При цьому показник редукції приросту інтенсивності карієсу в основній групі зростав з 7,4% через 6 місяців від початку спостереження до 30% до його закінчення.</w:t>
      </w:r>
    </w:p>
    <w:p w:rsidR="000F78D0"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дані вказують на суттєво більшу ефективність запропонованої системи профілактики і по відношенню до карієсу зубів.</w:t>
      </w:r>
    </w:p>
    <w:p w:rsidR="000F78D0" w:rsidRPr="008D6116"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ПМФ, то в кінці спостереження нормалізація менструальної функції відмічена у 13,3% підлітків контролю і в 3 рази частіше (у 30%; р&lt;0,05) в основній групі. Нестійкий ефект визначено у 50% основної і 30% (р&gt;0,05) </w:t>
      </w:r>
      <w:r>
        <w:rPr>
          <w:rFonts w:ascii="Times New Roman" w:hAnsi="Times New Roman"/>
          <w:sz w:val="28"/>
          <w:szCs w:val="28"/>
          <w:lang w:val="uk-UA"/>
        </w:rPr>
        <w:lastRenderedPageBreak/>
        <w:t>контрольної групи, а відсутність ефекту в 2,</w:t>
      </w:r>
      <w:r w:rsidRPr="008D6116">
        <w:rPr>
          <w:rFonts w:ascii="Times New Roman" w:hAnsi="Times New Roman"/>
          <w:sz w:val="28"/>
          <w:szCs w:val="28"/>
          <w:lang w:val="uk-UA"/>
        </w:rPr>
        <w:t>5 раза частіше (р&lt;0,01) в контролі. Отже, інноваційна система профілактики виявила додатковий ефект і по відношенню до усунення ПМФ. В цьому плані, отримані нами результати корелюють з даними Wils</w:t>
      </w:r>
      <w:r w:rsidRPr="008D6116">
        <w:rPr>
          <w:rFonts w:ascii="Times New Roman" w:hAnsi="Times New Roman"/>
          <w:sz w:val="28"/>
          <w:szCs w:val="28"/>
        </w:rPr>
        <w:t>on</w:t>
      </w:r>
      <w:r w:rsidRPr="008D6116">
        <w:rPr>
          <w:rFonts w:ascii="Times New Roman" w:hAnsi="Times New Roman"/>
          <w:sz w:val="28"/>
          <w:szCs w:val="28"/>
          <w:lang w:val="ru-RU"/>
        </w:rPr>
        <w:t xml:space="preserve"> </w:t>
      </w:r>
      <w:r w:rsidRPr="008D6116">
        <w:rPr>
          <w:rFonts w:ascii="Times New Roman" w:hAnsi="Times New Roman"/>
          <w:sz w:val="28"/>
          <w:szCs w:val="28"/>
        </w:rPr>
        <w:t>W</w:t>
      </w:r>
      <w:r w:rsidRPr="008D6116">
        <w:rPr>
          <w:rFonts w:ascii="Times New Roman" w:hAnsi="Times New Roman"/>
          <w:sz w:val="28"/>
          <w:szCs w:val="28"/>
          <w:lang w:val="ru-RU"/>
        </w:rPr>
        <w:t xml:space="preserve"> </w:t>
      </w:r>
      <w:r w:rsidRPr="008D6116">
        <w:rPr>
          <w:rFonts w:ascii="Times New Roman" w:hAnsi="Times New Roman"/>
          <w:sz w:val="28"/>
          <w:szCs w:val="28"/>
        </w:rPr>
        <w:t>et</w:t>
      </w:r>
      <w:r w:rsidRPr="008D6116">
        <w:rPr>
          <w:rFonts w:ascii="Times New Roman" w:hAnsi="Times New Roman"/>
          <w:sz w:val="28"/>
          <w:szCs w:val="28"/>
          <w:lang w:val="ru-RU"/>
        </w:rPr>
        <w:t xml:space="preserve"> </w:t>
      </w:r>
      <w:r w:rsidRPr="008D6116">
        <w:rPr>
          <w:rFonts w:ascii="Times New Roman" w:hAnsi="Times New Roman"/>
          <w:sz w:val="28"/>
          <w:szCs w:val="28"/>
        </w:rPr>
        <w:t>al</w:t>
      </w:r>
      <w:r w:rsidRPr="008D6116">
        <w:rPr>
          <w:rFonts w:ascii="Times New Roman" w:hAnsi="Times New Roman"/>
          <w:sz w:val="28"/>
          <w:szCs w:val="28"/>
          <w:lang w:val="ru-RU"/>
        </w:rPr>
        <w:t xml:space="preserve">. (2008), які показали, </w:t>
      </w:r>
      <w:r w:rsidRPr="008D6116">
        <w:rPr>
          <w:rFonts w:ascii="Times New Roman" w:hAnsi="Times New Roman"/>
          <w:sz w:val="28"/>
          <w:szCs w:val="28"/>
          <w:lang w:val="uk-UA"/>
        </w:rPr>
        <w:t>що ефективна профілактика і адекватне лікування захворювань тканин пародонта у хворих з інфекційним ендокардитом сприяє підвищенню ефективності його лікування. Із цих взаємозв’язків витікає положення про те, що лікування хронічної патології сприяє профілактиці розвитку запальних захворювань пародонта і, навпаки, ефективна профілактика останніх підвищує ефективність лікування хронічної соматичної патології.</w:t>
      </w:r>
    </w:p>
    <w:p w:rsidR="000F78D0" w:rsidRPr="00924585" w:rsidRDefault="000F78D0" w:rsidP="00B31BF3">
      <w:pPr>
        <w:spacing w:line="360" w:lineRule="auto"/>
        <w:ind w:firstLine="709"/>
        <w:jc w:val="both"/>
        <w:rPr>
          <w:rFonts w:ascii="Times New Roman" w:hAnsi="Times New Roman"/>
          <w:b/>
          <w:sz w:val="28"/>
          <w:szCs w:val="28"/>
          <w:lang w:val="uk-UA"/>
        </w:rPr>
      </w:pPr>
      <w:r w:rsidRPr="008D6116">
        <w:rPr>
          <w:rFonts w:ascii="Times New Roman" w:hAnsi="Times New Roman"/>
          <w:sz w:val="28"/>
          <w:szCs w:val="28"/>
          <w:lang w:val="uk-UA"/>
        </w:rPr>
        <w:t>Отже, застосування запропонованої системи профілактики не тільки надійно попереджує розвиток запальних захворювань тканин пародонта у дівчат-підлітків з ПМФ, але і сприяє підвищенню ефективності лікування</w:t>
      </w:r>
      <w:r>
        <w:rPr>
          <w:rFonts w:ascii="Times New Roman" w:hAnsi="Times New Roman"/>
          <w:sz w:val="28"/>
          <w:szCs w:val="28"/>
          <w:lang w:val="uk-UA"/>
        </w:rPr>
        <w:t xml:space="preserve"> ПМФ і, мабуть, іншої соматичної патології. Останнє потребує подальших наукових досліджень. </w:t>
      </w:r>
      <w:r w:rsidRPr="00924585">
        <w:rPr>
          <w:rFonts w:ascii="Times New Roman" w:hAnsi="Times New Roman"/>
          <w:sz w:val="28"/>
          <w:szCs w:val="28"/>
          <w:lang w:val="uk-UA"/>
        </w:rPr>
        <w:t xml:space="preserve"> </w:t>
      </w:r>
    </w:p>
    <w:p w:rsidR="000F78D0" w:rsidRDefault="000F78D0" w:rsidP="00B31BF3">
      <w:pPr>
        <w:spacing w:line="360" w:lineRule="auto"/>
        <w:ind w:firstLine="709"/>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Default="00B154E5" w:rsidP="00AC605C">
      <w:pPr>
        <w:spacing w:line="360" w:lineRule="auto"/>
        <w:ind w:firstLine="426"/>
        <w:jc w:val="both"/>
        <w:rPr>
          <w:rFonts w:ascii="Times New Roman" w:hAnsi="Times New Roman"/>
          <w:sz w:val="28"/>
          <w:szCs w:val="28"/>
          <w:lang w:val="uk-UA"/>
        </w:rPr>
      </w:pPr>
    </w:p>
    <w:p w:rsidR="00B154E5" w:rsidRPr="000E3C71" w:rsidRDefault="00B154E5" w:rsidP="00AC605C">
      <w:pPr>
        <w:spacing w:line="360" w:lineRule="auto"/>
        <w:ind w:firstLine="426"/>
        <w:jc w:val="both"/>
        <w:rPr>
          <w:rFonts w:ascii="Times New Roman" w:hAnsi="Times New Roman"/>
          <w:sz w:val="28"/>
          <w:szCs w:val="28"/>
          <w:lang w:val="uk-UA"/>
        </w:rPr>
      </w:pPr>
    </w:p>
    <w:p w:rsidR="00B154E5" w:rsidRDefault="00B154E5" w:rsidP="00AC605C">
      <w:pPr>
        <w:ind w:firstLine="426"/>
        <w:jc w:val="center"/>
        <w:rPr>
          <w:rFonts w:ascii="Times New Roman" w:hAnsi="Times New Roman"/>
          <w:b/>
          <w:sz w:val="28"/>
          <w:szCs w:val="28"/>
          <w:lang w:val="uk-UA"/>
        </w:rPr>
      </w:pPr>
    </w:p>
    <w:p w:rsidR="00B154E5" w:rsidRDefault="00B154E5" w:rsidP="00AC605C">
      <w:pPr>
        <w:ind w:firstLine="426"/>
        <w:jc w:val="center"/>
        <w:rPr>
          <w:rFonts w:ascii="Times New Roman" w:hAnsi="Times New Roman"/>
          <w:b/>
          <w:sz w:val="28"/>
          <w:szCs w:val="28"/>
          <w:lang w:val="uk-UA"/>
        </w:rPr>
      </w:pPr>
    </w:p>
    <w:p w:rsidR="00B154E5" w:rsidRDefault="00B154E5" w:rsidP="00AC605C">
      <w:pPr>
        <w:ind w:firstLine="426"/>
        <w:jc w:val="center"/>
        <w:rPr>
          <w:rFonts w:ascii="Times New Roman" w:hAnsi="Times New Roman"/>
          <w:b/>
          <w:sz w:val="28"/>
          <w:szCs w:val="28"/>
          <w:lang w:val="uk-UA"/>
        </w:rPr>
      </w:pPr>
    </w:p>
    <w:p w:rsidR="000F78D0" w:rsidRDefault="00600841" w:rsidP="00B31BF3">
      <w:pPr>
        <w:ind w:firstLine="709"/>
        <w:jc w:val="center"/>
        <w:rPr>
          <w:rFonts w:ascii="Times New Roman" w:hAnsi="Times New Roman"/>
          <w:b/>
          <w:sz w:val="28"/>
          <w:szCs w:val="28"/>
          <w:lang w:val="uk-UA"/>
        </w:rPr>
      </w:pPr>
      <w:r w:rsidRPr="006129E7">
        <w:rPr>
          <w:rFonts w:ascii="Times New Roman" w:hAnsi="Times New Roman"/>
          <w:b/>
          <w:sz w:val="28"/>
          <w:szCs w:val="28"/>
          <w:lang w:val="uk-UA"/>
        </w:rPr>
        <w:lastRenderedPageBreak/>
        <w:t>ВИСНОВКИ</w:t>
      </w:r>
    </w:p>
    <w:p w:rsidR="00600841" w:rsidRDefault="00600841" w:rsidP="00B31BF3">
      <w:pPr>
        <w:ind w:firstLine="709"/>
        <w:jc w:val="center"/>
        <w:rPr>
          <w:rFonts w:ascii="Times New Roman" w:hAnsi="Times New Roman"/>
          <w:sz w:val="28"/>
          <w:szCs w:val="28"/>
          <w:lang w:val="uk-UA"/>
        </w:rPr>
      </w:pPr>
    </w:p>
    <w:p w:rsidR="000F78D0" w:rsidRDefault="000F78D0" w:rsidP="00B31BF3">
      <w:pPr>
        <w:ind w:firstLine="709"/>
        <w:jc w:val="center"/>
        <w:rPr>
          <w:rFonts w:ascii="Times New Roman" w:hAnsi="Times New Roman"/>
          <w:sz w:val="28"/>
          <w:szCs w:val="28"/>
          <w:lang w:val="uk-UA"/>
        </w:rPr>
      </w:pPr>
    </w:p>
    <w:p w:rsidR="000F78D0" w:rsidRPr="00605C29" w:rsidRDefault="000F78D0" w:rsidP="00B31B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дисертації отримані нові дані відносно механізмів розвитку і тяжкості перебігу запальних </w:t>
      </w:r>
      <w:r w:rsidRPr="00605C29">
        <w:rPr>
          <w:rFonts w:ascii="Times New Roman" w:hAnsi="Times New Roman"/>
          <w:sz w:val="28"/>
          <w:szCs w:val="28"/>
          <w:lang w:val="uk-UA"/>
        </w:rPr>
        <w:t>захворювань тканин пародонта у дівчат-підлітків з ПМФ на основі вивчення пре- і постнатальних факторів, розробки прогностичних критеріїв і створення, на цій основі, диференційованої системи профілактики.</w:t>
      </w:r>
    </w:p>
    <w:p w:rsidR="000F78D0" w:rsidRPr="00605C29"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sidRPr="00605C29">
        <w:rPr>
          <w:rFonts w:ascii="Times New Roman" w:hAnsi="Times New Roman"/>
          <w:sz w:val="28"/>
          <w:szCs w:val="28"/>
          <w:lang w:val="uk-UA"/>
        </w:rPr>
        <w:t>Порушення менструальної функції у дівчат-підлітків сприяє розвитку більш тяжких форм запальних захворювань пародонта, а саме: хронічного гіпертрофічного гінгівіту</w:t>
      </w:r>
      <w:r w:rsidR="00600841">
        <w:rPr>
          <w:rFonts w:ascii="Times New Roman" w:hAnsi="Times New Roman"/>
          <w:sz w:val="28"/>
          <w:szCs w:val="28"/>
          <w:lang w:val="uk-UA"/>
        </w:rPr>
        <w:t xml:space="preserve">  в 1,4 раза (р&lt;0,05)</w:t>
      </w:r>
      <w:r w:rsidRPr="00605C29">
        <w:rPr>
          <w:rFonts w:ascii="Times New Roman" w:hAnsi="Times New Roman"/>
          <w:sz w:val="28"/>
          <w:szCs w:val="28"/>
          <w:lang w:val="uk-UA"/>
        </w:rPr>
        <w:t xml:space="preserve"> і хронічного пародонтиту</w:t>
      </w:r>
      <w:r w:rsidR="00600841">
        <w:rPr>
          <w:rFonts w:ascii="Times New Roman" w:hAnsi="Times New Roman"/>
          <w:sz w:val="28"/>
          <w:szCs w:val="28"/>
          <w:lang w:val="uk-UA"/>
        </w:rPr>
        <w:t xml:space="preserve"> в 3,5 раза (р&lt;0,05) частіше, ніж в контролі</w:t>
      </w:r>
      <w:r w:rsidRPr="00605C29">
        <w:rPr>
          <w:rFonts w:ascii="Times New Roman" w:hAnsi="Times New Roman"/>
          <w:sz w:val="28"/>
          <w:szCs w:val="28"/>
          <w:lang w:val="uk-UA"/>
        </w:rPr>
        <w:t>.</w:t>
      </w:r>
    </w:p>
    <w:p w:rsidR="000F78D0"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sidRPr="00605C29">
        <w:rPr>
          <w:rFonts w:ascii="Times New Roman" w:hAnsi="Times New Roman"/>
          <w:sz w:val="28"/>
          <w:szCs w:val="28"/>
          <w:lang w:val="uk-UA"/>
        </w:rPr>
        <w:t>У дівчат-підлітків з ПМФ встановлено більш виражені, ніж в контролі, прояви запального процесу в тканинах пародонта у вигляді збільшення значень папілярно-маргінального індексу</w:t>
      </w:r>
      <w:r w:rsidR="00600841">
        <w:rPr>
          <w:rFonts w:ascii="Times New Roman" w:hAnsi="Times New Roman"/>
          <w:sz w:val="28"/>
          <w:szCs w:val="28"/>
          <w:lang w:val="uk-UA"/>
        </w:rPr>
        <w:t xml:space="preserve"> в 2,9 раза (р&lt;0,05)</w:t>
      </w:r>
      <w:r w:rsidR="00600841" w:rsidRPr="00605C29">
        <w:rPr>
          <w:rFonts w:ascii="Times New Roman" w:hAnsi="Times New Roman"/>
          <w:sz w:val="28"/>
          <w:szCs w:val="28"/>
          <w:lang w:val="uk-UA"/>
        </w:rPr>
        <w:t xml:space="preserve"> </w:t>
      </w:r>
      <w:r w:rsidRPr="00605C29">
        <w:rPr>
          <w:rFonts w:ascii="Times New Roman" w:hAnsi="Times New Roman"/>
          <w:sz w:val="28"/>
          <w:szCs w:val="28"/>
          <w:lang w:val="uk-UA"/>
        </w:rPr>
        <w:t xml:space="preserve"> і</w:t>
      </w:r>
      <w:r>
        <w:rPr>
          <w:rFonts w:ascii="Times New Roman" w:hAnsi="Times New Roman"/>
          <w:sz w:val="28"/>
          <w:szCs w:val="28"/>
          <w:lang w:val="uk-UA"/>
        </w:rPr>
        <w:t xml:space="preserve"> індексу кровоточивості</w:t>
      </w:r>
      <w:r w:rsidR="00600841">
        <w:rPr>
          <w:rFonts w:ascii="Times New Roman" w:hAnsi="Times New Roman"/>
          <w:sz w:val="28"/>
          <w:szCs w:val="28"/>
          <w:lang w:val="uk-UA"/>
        </w:rPr>
        <w:t xml:space="preserve"> в 3 рази (р&lt;0,05)</w:t>
      </w:r>
      <w:r>
        <w:rPr>
          <w:rFonts w:ascii="Times New Roman" w:hAnsi="Times New Roman"/>
          <w:sz w:val="28"/>
          <w:szCs w:val="28"/>
          <w:lang w:val="uk-UA"/>
        </w:rPr>
        <w:t>, збільшення епітеліальних клітин з ознаками цитопатології</w:t>
      </w:r>
      <w:r w:rsidR="00600841">
        <w:rPr>
          <w:rFonts w:ascii="Times New Roman" w:hAnsi="Times New Roman"/>
          <w:sz w:val="28"/>
          <w:szCs w:val="28"/>
          <w:lang w:val="uk-UA"/>
        </w:rPr>
        <w:t xml:space="preserve"> на 40% (р&lt;0,001)</w:t>
      </w:r>
      <w:r>
        <w:rPr>
          <w:rFonts w:ascii="Times New Roman" w:hAnsi="Times New Roman"/>
          <w:sz w:val="28"/>
          <w:szCs w:val="28"/>
          <w:lang w:val="uk-UA"/>
        </w:rPr>
        <w:t xml:space="preserve">, а також проявів дисбіозу порожнини рота </w:t>
      </w:r>
      <w:r w:rsidR="00600841">
        <w:rPr>
          <w:rFonts w:ascii="Times New Roman" w:hAnsi="Times New Roman"/>
          <w:sz w:val="28"/>
          <w:szCs w:val="28"/>
          <w:lang w:val="uk-UA"/>
        </w:rPr>
        <w:t>в 2,9 раза (р&lt;0,001)</w:t>
      </w:r>
      <w:r w:rsidR="00600841" w:rsidRPr="00605C29">
        <w:rPr>
          <w:rFonts w:ascii="Times New Roman" w:hAnsi="Times New Roman"/>
          <w:sz w:val="28"/>
          <w:szCs w:val="28"/>
          <w:lang w:val="uk-UA"/>
        </w:rPr>
        <w:t xml:space="preserve"> </w:t>
      </w:r>
      <w:r>
        <w:rPr>
          <w:rFonts w:ascii="Times New Roman" w:hAnsi="Times New Roman"/>
          <w:sz w:val="28"/>
          <w:szCs w:val="28"/>
          <w:lang w:val="uk-UA"/>
        </w:rPr>
        <w:t>і зниження мінеральної щільності кісткової тканини</w:t>
      </w:r>
      <w:r w:rsidR="00600841">
        <w:rPr>
          <w:rFonts w:ascii="Times New Roman" w:hAnsi="Times New Roman"/>
          <w:sz w:val="28"/>
          <w:szCs w:val="28"/>
          <w:lang w:val="uk-UA"/>
        </w:rPr>
        <w:t xml:space="preserve"> в 4,5 раза (р&lt;0,001)</w:t>
      </w:r>
      <w:r>
        <w:rPr>
          <w:rFonts w:ascii="Times New Roman" w:hAnsi="Times New Roman"/>
          <w:sz w:val="28"/>
          <w:szCs w:val="28"/>
          <w:lang w:val="uk-UA"/>
        </w:rPr>
        <w:t>.</w:t>
      </w:r>
    </w:p>
    <w:p w:rsidR="000F78D0"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формування запальних захворювань пародонта і їх тяжкості суттєвий вплив чинить комплекс пре- і постнатальних факторів, таких як генетичний вантаж по відношенню до стоматологічної</w:t>
      </w:r>
      <w:r w:rsidR="00600841">
        <w:rPr>
          <w:rFonts w:ascii="Times New Roman" w:hAnsi="Times New Roman"/>
          <w:sz w:val="28"/>
          <w:szCs w:val="28"/>
          <w:lang w:val="uk-UA"/>
        </w:rPr>
        <w:t xml:space="preserve"> (р&lt;0,05)</w:t>
      </w:r>
      <w:r w:rsidR="00600841" w:rsidRPr="00605C29">
        <w:rPr>
          <w:rFonts w:ascii="Times New Roman" w:hAnsi="Times New Roman"/>
          <w:sz w:val="28"/>
          <w:szCs w:val="28"/>
          <w:lang w:val="uk-UA"/>
        </w:rPr>
        <w:t xml:space="preserve"> </w:t>
      </w:r>
      <w:r>
        <w:rPr>
          <w:rFonts w:ascii="Times New Roman" w:hAnsi="Times New Roman"/>
          <w:sz w:val="28"/>
          <w:szCs w:val="28"/>
          <w:lang w:val="uk-UA"/>
        </w:rPr>
        <w:t xml:space="preserve"> і соматичної </w:t>
      </w:r>
      <w:r w:rsidR="00600841">
        <w:rPr>
          <w:rFonts w:ascii="Times New Roman" w:hAnsi="Times New Roman"/>
          <w:sz w:val="28"/>
          <w:szCs w:val="28"/>
          <w:lang w:val="uk-UA"/>
        </w:rPr>
        <w:t>(р&lt;0,001)</w:t>
      </w:r>
      <w:r w:rsidR="00600841" w:rsidRPr="00605C29">
        <w:rPr>
          <w:rFonts w:ascii="Times New Roman" w:hAnsi="Times New Roman"/>
          <w:sz w:val="28"/>
          <w:szCs w:val="28"/>
          <w:lang w:val="uk-UA"/>
        </w:rPr>
        <w:t xml:space="preserve"> </w:t>
      </w:r>
      <w:r>
        <w:rPr>
          <w:rFonts w:ascii="Times New Roman" w:hAnsi="Times New Roman"/>
          <w:sz w:val="28"/>
          <w:szCs w:val="28"/>
          <w:lang w:val="uk-UA"/>
        </w:rPr>
        <w:t>патології, несприятливий акушерський анамнез</w:t>
      </w:r>
      <w:r w:rsidR="00600841">
        <w:rPr>
          <w:rFonts w:ascii="Times New Roman" w:hAnsi="Times New Roman"/>
          <w:sz w:val="28"/>
          <w:szCs w:val="28"/>
          <w:lang w:val="uk-UA"/>
        </w:rPr>
        <w:t xml:space="preserve"> (р&lt;0,05)</w:t>
      </w:r>
      <w:r>
        <w:rPr>
          <w:rFonts w:ascii="Times New Roman" w:hAnsi="Times New Roman"/>
          <w:sz w:val="28"/>
          <w:szCs w:val="28"/>
          <w:lang w:val="uk-UA"/>
        </w:rPr>
        <w:t xml:space="preserve">, порушення здорового способу життя і гігієни </w:t>
      </w:r>
      <w:r w:rsidR="00713761">
        <w:rPr>
          <w:rFonts w:ascii="Times New Roman" w:hAnsi="Times New Roman"/>
          <w:sz w:val="28"/>
          <w:szCs w:val="28"/>
          <w:lang w:val="uk-UA"/>
        </w:rPr>
        <w:t>ПР</w:t>
      </w:r>
      <w:r w:rsidR="00600841">
        <w:rPr>
          <w:rFonts w:ascii="Times New Roman" w:hAnsi="Times New Roman"/>
          <w:sz w:val="28"/>
          <w:szCs w:val="28"/>
          <w:lang w:val="uk-UA"/>
        </w:rPr>
        <w:t xml:space="preserve"> (р&lt;0,01)</w:t>
      </w:r>
      <w:r>
        <w:rPr>
          <w:rFonts w:ascii="Times New Roman" w:hAnsi="Times New Roman"/>
          <w:sz w:val="28"/>
          <w:szCs w:val="28"/>
          <w:lang w:val="uk-UA"/>
        </w:rPr>
        <w:t>, аномалії розвитку зубо-щелепної системи</w:t>
      </w:r>
      <w:r w:rsidR="00600841">
        <w:rPr>
          <w:rFonts w:ascii="Times New Roman" w:hAnsi="Times New Roman"/>
          <w:sz w:val="28"/>
          <w:szCs w:val="28"/>
          <w:lang w:val="uk-UA"/>
        </w:rPr>
        <w:t xml:space="preserve"> (р&lt;0,05)</w:t>
      </w:r>
      <w:r>
        <w:rPr>
          <w:rFonts w:ascii="Times New Roman" w:hAnsi="Times New Roman"/>
          <w:sz w:val="28"/>
          <w:szCs w:val="28"/>
          <w:lang w:val="uk-UA"/>
        </w:rPr>
        <w:t xml:space="preserve">, дисбіоз </w:t>
      </w:r>
      <w:r w:rsidR="00713761">
        <w:rPr>
          <w:rFonts w:ascii="Times New Roman" w:hAnsi="Times New Roman"/>
          <w:sz w:val="28"/>
          <w:szCs w:val="28"/>
          <w:lang w:val="uk-UA"/>
        </w:rPr>
        <w:t>ПР</w:t>
      </w:r>
      <w:r>
        <w:rPr>
          <w:rFonts w:ascii="Times New Roman" w:hAnsi="Times New Roman"/>
          <w:sz w:val="28"/>
          <w:szCs w:val="28"/>
          <w:lang w:val="uk-UA"/>
        </w:rPr>
        <w:t xml:space="preserve"> на фоні зниження місцевої і загальної резистентності організму</w:t>
      </w:r>
      <w:r w:rsidR="00600841">
        <w:rPr>
          <w:rFonts w:ascii="Times New Roman" w:hAnsi="Times New Roman"/>
          <w:sz w:val="28"/>
          <w:szCs w:val="28"/>
          <w:lang w:val="uk-UA"/>
        </w:rPr>
        <w:t xml:space="preserve"> (р&lt;0,001)</w:t>
      </w:r>
      <w:r>
        <w:rPr>
          <w:rFonts w:ascii="Times New Roman" w:hAnsi="Times New Roman"/>
          <w:sz w:val="28"/>
          <w:szCs w:val="28"/>
          <w:lang w:val="uk-UA"/>
        </w:rPr>
        <w:t>.</w:t>
      </w:r>
    </w:p>
    <w:p w:rsidR="000F78D0"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Патогенетичний паттерн запальних захворювань пародон</w:t>
      </w:r>
      <w:r w:rsidRPr="00605C29">
        <w:rPr>
          <w:rFonts w:ascii="Times New Roman" w:hAnsi="Times New Roman"/>
          <w:sz w:val="28"/>
          <w:szCs w:val="28"/>
          <w:lang w:val="uk-UA"/>
        </w:rPr>
        <w:t>та</w:t>
      </w:r>
      <w:r>
        <w:rPr>
          <w:rFonts w:ascii="Times New Roman" w:hAnsi="Times New Roman"/>
          <w:sz w:val="28"/>
          <w:szCs w:val="28"/>
          <w:lang w:val="uk-UA"/>
        </w:rPr>
        <w:t xml:space="preserve"> дівчат-підлітків з ПМФ являє собою монолітну кореляційну структуру с множиною зв’язків різночасових факторів, що робить її стійкою як до зростаючих  в процесі онтогенезу дитини компенсаторних механізмів, так і до профілактичних заходів.</w:t>
      </w:r>
    </w:p>
    <w:p w:rsidR="000F78D0"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Найбільш високу прогностичну значимість по відношенню до розвитку запальних захворювань пародонту у дівчат-підлітків з ПМФ мають: </w:t>
      </w:r>
      <w:r>
        <w:rPr>
          <w:rFonts w:ascii="Times New Roman" w:hAnsi="Times New Roman"/>
          <w:sz w:val="28"/>
          <w:szCs w:val="28"/>
          <w:lang w:val="uk-UA"/>
        </w:rPr>
        <w:lastRenderedPageBreak/>
        <w:t>ступінь дисбіозу порожнини рота (І=5,12), мінеральна щільність кісткових відділів пародонту  (І=4,33), стан гігієни порожнини рота (І=3,91) і ступінь коморбідності хронічної соматичної патології у підлітка (І=3,13).</w:t>
      </w:r>
    </w:p>
    <w:p w:rsidR="000F78D0"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Найбільш значимими предикторами тяжкості перебігу запальних </w:t>
      </w:r>
      <w:r w:rsidRPr="00605C29">
        <w:rPr>
          <w:rFonts w:ascii="Times New Roman" w:hAnsi="Times New Roman"/>
          <w:sz w:val="28"/>
          <w:szCs w:val="28"/>
          <w:lang w:val="uk-UA"/>
        </w:rPr>
        <w:t>захворювань тканин пародонта у дівчат-підлітків з ПМФ стали дані про ступінь коморбідності хронічної</w:t>
      </w:r>
      <w:r>
        <w:rPr>
          <w:rFonts w:ascii="Times New Roman" w:hAnsi="Times New Roman"/>
          <w:sz w:val="28"/>
          <w:szCs w:val="28"/>
          <w:lang w:val="uk-UA"/>
        </w:rPr>
        <w:t xml:space="preserve"> соматичної патології</w:t>
      </w:r>
      <w:r w:rsidR="00600841">
        <w:rPr>
          <w:rFonts w:ascii="Times New Roman" w:hAnsi="Times New Roman"/>
          <w:sz w:val="28"/>
          <w:szCs w:val="28"/>
          <w:lang w:val="uk-UA"/>
        </w:rPr>
        <w:t xml:space="preserve"> (І=6,39)</w:t>
      </w:r>
      <w:r>
        <w:rPr>
          <w:rFonts w:ascii="Times New Roman" w:hAnsi="Times New Roman"/>
          <w:sz w:val="28"/>
          <w:szCs w:val="28"/>
          <w:lang w:val="uk-UA"/>
        </w:rPr>
        <w:t>, стан мінеральної щільності кісткових відділів пародонта</w:t>
      </w:r>
      <w:r w:rsidR="00600841">
        <w:rPr>
          <w:rFonts w:ascii="Times New Roman" w:hAnsi="Times New Roman"/>
          <w:sz w:val="28"/>
          <w:szCs w:val="28"/>
          <w:lang w:val="uk-UA"/>
        </w:rPr>
        <w:t xml:space="preserve"> (І=2,49)</w:t>
      </w:r>
      <w:r>
        <w:rPr>
          <w:rFonts w:ascii="Times New Roman" w:hAnsi="Times New Roman"/>
          <w:sz w:val="28"/>
          <w:szCs w:val="28"/>
          <w:lang w:val="uk-UA"/>
        </w:rPr>
        <w:t>, наявність поєднаних аномалій зубо-щелепної системи</w:t>
      </w:r>
      <w:r w:rsidR="00600841">
        <w:rPr>
          <w:rFonts w:ascii="Times New Roman" w:hAnsi="Times New Roman"/>
          <w:sz w:val="28"/>
          <w:szCs w:val="28"/>
          <w:lang w:val="uk-UA"/>
        </w:rPr>
        <w:t xml:space="preserve"> (І=3,46)</w:t>
      </w:r>
      <w:r>
        <w:rPr>
          <w:rFonts w:ascii="Times New Roman" w:hAnsi="Times New Roman"/>
          <w:sz w:val="28"/>
          <w:szCs w:val="28"/>
          <w:lang w:val="uk-UA"/>
        </w:rPr>
        <w:t>, а також ступінь дисбіозу порожнини рота</w:t>
      </w:r>
      <w:r w:rsidR="00600841">
        <w:rPr>
          <w:rFonts w:ascii="Times New Roman" w:hAnsi="Times New Roman"/>
          <w:sz w:val="28"/>
          <w:szCs w:val="28"/>
          <w:lang w:val="uk-UA"/>
        </w:rPr>
        <w:t xml:space="preserve"> (І=2,34)</w:t>
      </w:r>
      <w:r>
        <w:rPr>
          <w:rFonts w:ascii="Times New Roman" w:hAnsi="Times New Roman"/>
          <w:sz w:val="28"/>
          <w:szCs w:val="28"/>
          <w:lang w:val="uk-UA"/>
        </w:rPr>
        <w:t xml:space="preserve"> і карієсу зубів</w:t>
      </w:r>
      <w:r w:rsidR="00600841">
        <w:rPr>
          <w:rFonts w:ascii="Times New Roman" w:hAnsi="Times New Roman"/>
          <w:sz w:val="28"/>
          <w:szCs w:val="28"/>
          <w:lang w:val="uk-UA"/>
        </w:rPr>
        <w:t xml:space="preserve"> (І=2,03)</w:t>
      </w:r>
      <w:r>
        <w:rPr>
          <w:rFonts w:ascii="Times New Roman" w:hAnsi="Times New Roman"/>
          <w:sz w:val="28"/>
          <w:szCs w:val="28"/>
          <w:lang w:val="uk-UA"/>
        </w:rPr>
        <w:t>.</w:t>
      </w:r>
    </w:p>
    <w:p w:rsidR="000F78D0" w:rsidRPr="00605C29" w:rsidRDefault="000F78D0" w:rsidP="00B31BF3">
      <w:pPr>
        <w:pStyle w:val="aa"/>
        <w:numPr>
          <w:ilvl w:val="0"/>
          <w:numId w:val="2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Застосування розробленої інноваційної системи профілактики запальних захворювань пародонта у дівчат-підлітків з ПМФ на основі варіантів прогностичних сценаріїв дозволило знизити: розвиток захворювань пародонта в 2,6 </w:t>
      </w:r>
      <w:r w:rsidRPr="00605C29">
        <w:rPr>
          <w:rFonts w:ascii="Times New Roman" w:hAnsi="Times New Roman"/>
          <w:sz w:val="28"/>
          <w:szCs w:val="28"/>
          <w:lang w:val="uk-UA"/>
        </w:rPr>
        <w:t>раза</w:t>
      </w:r>
      <w:r w:rsidR="00600841">
        <w:rPr>
          <w:rFonts w:ascii="Times New Roman" w:hAnsi="Times New Roman"/>
          <w:sz w:val="28"/>
          <w:szCs w:val="28"/>
          <w:lang w:val="uk-UA"/>
        </w:rPr>
        <w:t xml:space="preserve"> (р&lt;0,01)</w:t>
      </w:r>
      <w:r w:rsidRPr="00605C29">
        <w:rPr>
          <w:rFonts w:ascii="Times New Roman" w:hAnsi="Times New Roman"/>
          <w:sz w:val="28"/>
          <w:szCs w:val="28"/>
          <w:lang w:val="uk-UA"/>
        </w:rPr>
        <w:t>; виникнення більш тяжких їх форм в 2,1 раза</w:t>
      </w:r>
      <w:r w:rsidR="00600841">
        <w:rPr>
          <w:rFonts w:ascii="Times New Roman" w:hAnsi="Times New Roman"/>
          <w:sz w:val="28"/>
          <w:szCs w:val="28"/>
          <w:lang w:val="uk-UA"/>
        </w:rPr>
        <w:t xml:space="preserve"> (р&lt;0,05)</w:t>
      </w:r>
      <w:r w:rsidRPr="00605C29">
        <w:rPr>
          <w:rFonts w:ascii="Times New Roman" w:hAnsi="Times New Roman"/>
          <w:sz w:val="28"/>
          <w:szCs w:val="28"/>
          <w:lang w:val="uk-UA"/>
        </w:rPr>
        <w:t>;  приріст інтенсивності карієсу зубів в 2,5 раза</w:t>
      </w:r>
      <w:r w:rsidR="00600841">
        <w:rPr>
          <w:rFonts w:ascii="Times New Roman" w:hAnsi="Times New Roman"/>
          <w:sz w:val="28"/>
          <w:szCs w:val="28"/>
          <w:lang w:val="uk-UA"/>
        </w:rPr>
        <w:t xml:space="preserve"> (р&lt;0,001)</w:t>
      </w:r>
      <w:r w:rsidR="00600841" w:rsidRPr="00605C29">
        <w:rPr>
          <w:rFonts w:ascii="Times New Roman" w:hAnsi="Times New Roman"/>
          <w:sz w:val="28"/>
          <w:szCs w:val="28"/>
          <w:lang w:val="uk-UA"/>
        </w:rPr>
        <w:t xml:space="preserve"> </w:t>
      </w:r>
      <w:r w:rsidRPr="00605C29">
        <w:rPr>
          <w:rFonts w:ascii="Times New Roman" w:hAnsi="Times New Roman"/>
          <w:sz w:val="28"/>
          <w:szCs w:val="28"/>
          <w:lang w:val="uk-UA"/>
        </w:rPr>
        <w:t xml:space="preserve"> і нормалізувати менструальну функцію в 2,2 раза </w:t>
      </w:r>
      <w:r w:rsidR="00600841">
        <w:rPr>
          <w:rFonts w:ascii="Times New Roman" w:hAnsi="Times New Roman"/>
          <w:sz w:val="28"/>
          <w:szCs w:val="28"/>
          <w:lang w:val="uk-UA"/>
        </w:rPr>
        <w:t>(р&lt;0,05)</w:t>
      </w:r>
      <w:r w:rsidR="00600841" w:rsidRPr="00605C29">
        <w:rPr>
          <w:rFonts w:ascii="Times New Roman" w:hAnsi="Times New Roman"/>
          <w:sz w:val="28"/>
          <w:szCs w:val="28"/>
          <w:lang w:val="uk-UA"/>
        </w:rPr>
        <w:t xml:space="preserve"> </w:t>
      </w:r>
      <w:r w:rsidRPr="00605C29">
        <w:rPr>
          <w:rFonts w:ascii="Times New Roman" w:hAnsi="Times New Roman"/>
          <w:sz w:val="28"/>
          <w:szCs w:val="28"/>
          <w:lang w:val="uk-UA"/>
        </w:rPr>
        <w:t>частіше, ніж в контролі.</w:t>
      </w:r>
    </w:p>
    <w:p w:rsidR="000F78D0" w:rsidRDefault="000F78D0" w:rsidP="00B31BF3">
      <w:pPr>
        <w:pStyle w:val="aa"/>
        <w:spacing w:line="360" w:lineRule="auto"/>
        <w:ind w:firstLine="709"/>
        <w:jc w:val="both"/>
        <w:rPr>
          <w:rFonts w:ascii="Times New Roman" w:hAnsi="Times New Roman"/>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600841" w:rsidRDefault="00600841" w:rsidP="00AC605C">
      <w:pPr>
        <w:spacing w:line="360" w:lineRule="auto"/>
        <w:ind w:firstLine="426"/>
        <w:jc w:val="both"/>
        <w:rPr>
          <w:rFonts w:ascii="Times New Roman" w:hAnsi="Times New Roman"/>
          <w:b/>
          <w:sz w:val="28"/>
          <w:szCs w:val="28"/>
          <w:lang w:val="uk-UA"/>
        </w:rPr>
      </w:pPr>
    </w:p>
    <w:p w:rsidR="00AB5C7D" w:rsidRDefault="00600841" w:rsidP="00B31BF3">
      <w:pPr>
        <w:spacing w:line="360" w:lineRule="auto"/>
        <w:ind w:firstLine="709"/>
        <w:jc w:val="center"/>
        <w:rPr>
          <w:rFonts w:ascii="Times New Roman" w:hAnsi="Times New Roman"/>
          <w:b/>
          <w:sz w:val="28"/>
          <w:szCs w:val="28"/>
          <w:lang w:val="uk-UA"/>
        </w:rPr>
      </w:pPr>
      <w:r w:rsidRPr="004E190E">
        <w:rPr>
          <w:rFonts w:ascii="Times New Roman" w:hAnsi="Times New Roman"/>
          <w:b/>
          <w:sz w:val="28"/>
          <w:szCs w:val="28"/>
          <w:lang w:val="uk-UA"/>
        </w:rPr>
        <w:lastRenderedPageBreak/>
        <w:t>ПРАКТИЧНІ РЕКОМЕНДАЦІЇ</w:t>
      </w:r>
    </w:p>
    <w:p w:rsidR="00600841" w:rsidRPr="004E190E" w:rsidRDefault="00600841" w:rsidP="00B31BF3">
      <w:pPr>
        <w:spacing w:line="360" w:lineRule="auto"/>
        <w:ind w:firstLine="709"/>
        <w:jc w:val="center"/>
        <w:rPr>
          <w:rFonts w:ascii="Times New Roman" w:hAnsi="Times New Roman"/>
          <w:b/>
          <w:sz w:val="28"/>
          <w:szCs w:val="28"/>
          <w:lang w:val="uk-UA"/>
        </w:rPr>
      </w:pPr>
    </w:p>
    <w:p w:rsidR="00AB5C7D" w:rsidRDefault="00AB5C7D" w:rsidP="00B31BF3">
      <w:pPr>
        <w:pStyle w:val="aa"/>
        <w:numPr>
          <w:ilvl w:val="0"/>
          <w:numId w:val="28"/>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 проведенні профілактики розвитку запальних захворювань пародонта у дівчат-підлітків з ПМФ рекомендується використання розроблених прогностичних алгоритмів.</w:t>
      </w:r>
    </w:p>
    <w:p w:rsidR="00AB5C7D" w:rsidRDefault="00AB5C7D" w:rsidP="00B31BF3">
      <w:pPr>
        <w:pStyle w:val="aa"/>
        <w:numPr>
          <w:ilvl w:val="0"/>
          <w:numId w:val="28"/>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 метою підвищення логістики профілактичного спостереження дівчат-підлітків з ПМФ рекомендується використання прогностичних алгоритмів за визначенням груп ризику за розвитком і тяжкості запальних захворювань пародонта:</w:t>
      </w:r>
    </w:p>
    <w:p w:rsidR="00AB5C7D" w:rsidRDefault="00AB5C7D" w:rsidP="00B31BF3">
      <w:pPr>
        <w:pStyle w:val="aa"/>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1-а група містить підлітків з невизначеним прогнозом на користь розвитку запальних захворювань паронту;</w:t>
      </w:r>
    </w:p>
    <w:p w:rsidR="00AB5C7D" w:rsidRDefault="00AB5C7D" w:rsidP="00B31BF3">
      <w:pPr>
        <w:pStyle w:val="aa"/>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2-а група визначається при наявності прогнозів на користь розвитку запальних захворювань пародонту і катарального гінгівіту легкого ступеню;</w:t>
      </w:r>
    </w:p>
    <w:p w:rsidR="00AB5C7D" w:rsidRDefault="00AB5C7D" w:rsidP="00B31BF3">
      <w:pPr>
        <w:pStyle w:val="aa"/>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3-ю групу ризику визначають два види прогнозів – на користь розвитку запальних захворювань пародонту  і наявність невизначеного прогнозу на користь більш тяжких форм захворювань пародонту;</w:t>
      </w:r>
    </w:p>
    <w:p w:rsidR="00AB5C7D" w:rsidRDefault="00AB5C7D" w:rsidP="00B31BF3">
      <w:pPr>
        <w:pStyle w:val="aa"/>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4-а група містить підлітків, у яких прогнозується вірогідність розвитку запальних захворювань пародонту в поєднанні з більш тяжкими їх формами.</w:t>
      </w:r>
    </w:p>
    <w:p w:rsidR="00AB5C7D" w:rsidRPr="004E190E" w:rsidRDefault="00AB5C7D" w:rsidP="00B31BF3">
      <w:pPr>
        <w:pStyle w:val="aa"/>
        <w:numPr>
          <w:ilvl w:val="0"/>
          <w:numId w:val="28"/>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З метою підвищення ефективності профілактики розвитку запальних захворювань пародонта  у дівчат-підлітків з ПМФ необхідно використовувати запропоновану інноваційну систему профілактики, що включає визначення пре дикторів розвитку і тяжкості захворювань, рангування факторів ризику і створення, на цій основі, індивідуального патогенетичного профілю, а також навчання підлітків і їх батьків в постійно діючій «Стомат-школі».</w:t>
      </w:r>
    </w:p>
    <w:p w:rsidR="000F78D0" w:rsidRDefault="000F78D0" w:rsidP="00AC605C">
      <w:pPr>
        <w:ind w:firstLine="426"/>
        <w:jc w:val="center"/>
        <w:rPr>
          <w:rFonts w:ascii="Times New Roman" w:hAnsi="Times New Roman"/>
          <w:sz w:val="28"/>
          <w:szCs w:val="28"/>
          <w:lang w:val="uk-UA"/>
        </w:rPr>
      </w:pPr>
    </w:p>
    <w:p w:rsidR="00AB5C7D" w:rsidRDefault="00AB5C7D" w:rsidP="00AC605C">
      <w:pPr>
        <w:ind w:firstLine="426"/>
        <w:jc w:val="center"/>
        <w:rPr>
          <w:rFonts w:ascii="Times New Roman" w:hAnsi="Times New Roman"/>
          <w:sz w:val="28"/>
          <w:szCs w:val="28"/>
          <w:lang w:val="uk-UA"/>
        </w:rPr>
      </w:pPr>
    </w:p>
    <w:p w:rsidR="00AB5C7D" w:rsidRDefault="00AB5C7D" w:rsidP="00AC605C">
      <w:pPr>
        <w:ind w:firstLine="426"/>
        <w:jc w:val="center"/>
        <w:rPr>
          <w:rFonts w:ascii="Times New Roman" w:hAnsi="Times New Roman"/>
          <w:sz w:val="28"/>
          <w:szCs w:val="28"/>
          <w:lang w:val="uk-UA"/>
        </w:rPr>
      </w:pPr>
    </w:p>
    <w:p w:rsidR="00600841" w:rsidRDefault="00600841" w:rsidP="00AC605C">
      <w:pPr>
        <w:ind w:firstLine="426"/>
        <w:jc w:val="center"/>
        <w:rPr>
          <w:rFonts w:ascii="Times New Roman" w:hAnsi="Times New Roman"/>
          <w:sz w:val="28"/>
          <w:szCs w:val="28"/>
          <w:lang w:val="uk-UA"/>
        </w:rPr>
      </w:pPr>
    </w:p>
    <w:p w:rsidR="00600841" w:rsidRDefault="00600841" w:rsidP="00AC605C">
      <w:pPr>
        <w:ind w:firstLine="426"/>
        <w:jc w:val="center"/>
        <w:rPr>
          <w:rFonts w:ascii="Times New Roman" w:hAnsi="Times New Roman"/>
          <w:sz w:val="28"/>
          <w:szCs w:val="28"/>
          <w:lang w:val="uk-UA"/>
        </w:rPr>
      </w:pPr>
    </w:p>
    <w:p w:rsidR="00600841" w:rsidRDefault="00600841" w:rsidP="00AC605C">
      <w:pPr>
        <w:ind w:firstLine="426"/>
        <w:jc w:val="center"/>
        <w:rPr>
          <w:rFonts w:ascii="Times New Roman" w:hAnsi="Times New Roman"/>
          <w:sz w:val="28"/>
          <w:szCs w:val="28"/>
          <w:lang w:val="uk-UA"/>
        </w:rPr>
      </w:pPr>
    </w:p>
    <w:p w:rsidR="00600841" w:rsidRDefault="00600841" w:rsidP="00AC605C">
      <w:pPr>
        <w:ind w:firstLine="426"/>
        <w:jc w:val="center"/>
        <w:rPr>
          <w:rFonts w:ascii="Times New Roman" w:hAnsi="Times New Roman"/>
          <w:sz w:val="28"/>
          <w:szCs w:val="28"/>
          <w:lang w:val="uk-UA"/>
        </w:rPr>
      </w:pPr>
    </w:p>
    <w:p w:rsidR="00600841" w:rsidRDefault="00600841" w:rsidP="00AC605C">
      <w:pPr>
        <w:ind w:firstLine="426"/>
        <w:jc w:val="center"/>
        <w:rPr>
          <w:rFonts w:ascii="Times New Roman" w:hAnsi="Times New Roman"/>
          <w:sz w:val="28"/>
          <w:szCs w:val="28"/>
          <w:lang w:val="uk-UA"/>
        </w:rPr>
      </w:pPr>
    </w:p>
    <w:p w:rsidR="00600841" w:rsidRDefault="00600841" w:rsidP="00AC605C">
      <w:pPr>
        <w:ind w:firstLine="426"/>
        <w:jc w:val="center"/>
        <w:rPr>
          <w:rFonts w:ascii="Times New Roman" w:hAnsi="Times New Roman"/>
          <w:sz w:val="28"/>
          <w:szCs w:val="28"/>
          <w:lang w:val="uk-UA"/>
        </w:rPr>
      </w:pPr>
    </w:p>
    <w:p w:rsidR="00600841" w:rsidRPr="00600841" w:rsidRDefault="00A06011" w:rsidP="008B51D1">
      <w:pPr>
        <w:ind w:firstLine="709"/>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600841" w:rsidRDefault="00600841" w:rsidP="008B51D1">
      <w:pPr>
        <w:ind w:firstLine="709"/>
        <w:jc w:val="center"/>
        <w:rPr>
          <w:rFonts w:ascii="Times New Roman" w:hAnsi="Times New Roman"/>
          <w:sz w:val="28"/>
          <w:szCs w:val="28"/>
          <w:lang w:val="uk-UA"/>
        </w:rPr>
      </w:pPr>
    </w:p>
    <w:p w:rsidR="00AB5C7D" w:rsidRDefault="00AB5C7D" w:rsidP="008B51D1">
      <w:pPr>
        <w:ind w:firstLine="709"/>
        <w:jc w:val="center"/>
        <w:rPr>
          <w:rFonts w:ascii="Times New Roman" w:hAnsi="Times New Roman"/>
          <w:sz w:val="28"/>
          <w:szCs w:val="28"/>
          <w:lang w:val="uk-UA"/>
        </w:rPr>
      </w:pP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Авдеев ОВ. Імунологічні зміни у тварин з експериментальним пародонтитом за зміненої реактивності. Клінічна та експериментальна патологія. 2015;14(1):14-7.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Акбулатова ЭЮ, Мирсаева ФЗ. Механизмы обострения хронического генерализованного пародонтита у женщин в лютеиновой фазе менструального цикла. Пародонтология. 2011;4:38-42.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Андрієць ОА, Шкробанець ІД, Цисар ЮВ. Роль ендокринної патології в розвитку гінекологічних захворювань у дівчат. Здоровье женщины. 2011;(4):167-8.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Асланян ИЭ, Крутова ВА, Мелкумян СС, Тулендинова АИ. Гипоменструальный синдром в практике гинеколога детского и подросткового возраста. Репродуктивное здоровье детей и подростков. 2016;(2):33-4.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Атрушкевич ВГ, Берченко ГН, Школьная КД, Атрушкевич ВГ. Патоморфологическое обоснование новой экспериментальной модели пародонтита. Пародонтология. 2015;20(4):8-13.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Ахмеров PP, Зарудий РФ, Цыплаков ДЭ, Овечкина МВ, Воробьев АА. Изучение патоморфологических изменений тканей десны при лечении хронических воспалительных и воспалительно-деструктивных заболеваний пародонта с использованием регенеративного метода Plasmolifting™. Пародонтология. 2014;19(4 Ч</w:t>
      </w:r>
      <w:r>
        <w:rPr>
          <w:rFonts w:ascii="Times New Roman" w:hAnsi="Times New Roman"/>
          <w:sz w:val="28"/>
          <w:szCs w:val="28"/>
          <w:lang w:val="uk-UA"/>
        </w:rPr>
        <w:t>.</w:t>
      </w:r>
      <w:r w:rsidRPr="007A6857">
        <w:rPr>
          <w:rFonts w:ascii="Times New Roman" w:hAnsi="Times New Roman"/>
          <w:sz w:val="28"/>
          <w:szCs w:val="28"/>
          <w:lang w:val="uk-UA"/>
        </w:rPr>
        <w:t xml:space="preserve"> 1</w:t>
      </w:r>
      <w:r>
        <w:rPr>
          <w:rFonts w:ascii="Times New Roman" w:hAnsi="Times New Roman"/>
          <w:sz w:val="28"/>
          <w:szCs w:val="28"/>
          <w:lang w:val="uk-UA"/>
        </w:rPr>
        <w:t>):</w:t>
      </w:r>
      <w:r w:rsidRPr="007A6857">
        <w:rPr>
          <w:rFonts w:ascii="Times New Roman" w:hAnsi="Times New Roman"/>
          <w:sz w:val="28"/>
          <w:szCs w:val="28"/>
          <w:lang w:val="uk-UA"/>
        </w:rPr>
        <w:t xml:space="preserve"> с. 54-8.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Ашуров ГГ, </w:t>
      </w:r>
      <w:r w:rsidR="00231169">
        <w:rPr>
          <w:rFonts w:ascii="Times New Roman" w:hAnsi="Times New Roman"/>
          <w:sz w:val="28"/>
          <w:szCs w:val="28"/>
          <w:lang w:val="uk-UA"/>
        </w:rPr>
        <w:t>Азимзода СМ, Муллоджанов ГЭ, Исмоилов АА</w:t>
      </w:r>
      <w:r w:rsidRPr="007A6857">
        <w:rPr>
          <w:rFonts w:ascii="Times New Roman" w:hAnsi="Times New Roman"/>
          <w:sz w:val="28"/>
          <w:szCs w:val="28"/>
          <w:lang w:val="uk-UA"/>
        </w:rPr>
        <w:t xml:space="preserve">. </w:t>
      </w:r>
      <w:r w:rsidR="00231169">
        <w:rPr>
          <w:rFonts w:ascii="Times New Roman" w:hAnsi="Times New Roman"/>
          <w:sz w:val="28"/>
          <w:szCs w:val="28"/>
          <w:lang w:val="uk-UA"/>
        </w:rPr>
        <w:t>Оценка состояния альвеолярной кости при разнонаправленных межсистемных нарушениях</w:t>
      </w:r>
      <w:r w:rsidRPr="007A6857">
        <w:rPr>
          <w:rFonts w:ascii="Times New Roman" w:hAnsi="Times New Roman"/>
          <w:sz w:val="28"/>
          <w:szCs w:val="28"/>
          <w:lang w:val="uk-UA"/>
        </w:rPr>
        <w:t xml:space="preserve">. </w:t>
      </w:r>
      <w:r w:rsidR="00231169">
        <w:rPr>
          <w:rFonts w:ascii="Times New Roman" w:hAnsi="Times New Roman"/>
          <w:sz w:val="28"/>
          <w:szCs w:val="28"/>
          <w:lang w:val="uk-UA"/>
        </w:rPr>
        <w:t>Известия Академии наук Республики Таджикистан. Отделение биологических и медицинских наук. 2017;1(196):89-93</w:t>
      </w:r>
      <w:r w:rsidRPr="007A6857">
        <w:rPr>
          <w:rFonts w:ascii="Times New Roman" w:hAnsi="Times New Roman"/>
          <w:sz w:val="28"/>
          <w:szCs w:val="28"/>
          <w:lang w:val="uk-UA"/>
        </w:rPr>
        <w:t>.</w:t>
      </w:r>
    </w:p>
    <w:p w:rsidR="00AB5C7D" w:rsidRPr="007A6857" w:rsidRDefault="00231169"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Ашуров ГГ, </w:t>
      </w:r>
      <w:r>
        <w:rPr>
          <w:rFonts w:ascii="Times New Roman" w:hAnsi="Times New Roman"/>
          <w:sz w:val="28"/>
          <w:szCs w:val="28"/>
          <w:lang w:val="uk-UA"/>
        </w:rPr>
        <w:t>Джураева ШФ, Каримов БМ</w:t>
      </w:r>
      <w:r w:rsidRPr="007A6857">
        <w:rPr>
          <w:rFonts w:ascii="Times New Roman" w:hAnsi="Times New Roman"/>
          <w:sz w:val="28"/>
          <w:szCs w:val="28"/>
          <w:lang w:val="uk-UA"/>
        </w:rPr>
        <w:t xml:space="preserve">. </w:t>
      </w:r>
      <w:r>
        <w:rPr>
          <w:rFonts w:ascii="Times New Roman" w:hAnsi="Times New Roman"/>
          <w:sz w:val="28"/>
          <w:szCs w:val="28"/>
          <w:lang w:val="uk-UA"/>
        </w:rPr>
        <w:t>К вопросу о прогрессировании деструктивних явлений в альвеолярном отростке у пациентов с соматическими заболеваниями</w:t>
      </w:r>
      <w:r w:rsidRPr="007A6857">
        <w:rPr>
          <w:rFonts w:ascii="Times New Roman" w:hAnsi="Times New Roman"/>
          <w:sz w:val="28"/>
          <w:szCs w:val="28"/>
          <w:lang w:val="uk-UA"/>
        </w:rPr>
        <w:t xml:space="preserve">. </w:t>
      </w:r>
      <w:r>
        <w:rPr>
          <w:rFonts w:ascii="Times New Roman" w:hAnsi="Times New Roman"/>
          <w:sz w:val="28"/>
          <w:szCs w:val="28"/>
          <w:lang w:val="uk-UA"/>
        </w:rPr>
        <w:t>Вестник Ивановской медицинской академии. 2016;21(2):25-8</w:t>
      </w:r>
      <w:r w:rsidRPr="007A6857">
        <w:rPr>
          <w:rFonts w:ascii="Times New Roman" w:hAnsi="Times New Roman"/>
          <w:sz w:val="28"/>
          <w:szCs w:val="28"/>
          <w:lang w:val="uk-UA"/>
        </w:rPr>
        <w:t>.</w:t>
      </w:r>
      <w:r>
        <w:rPr>
          <w:rFonts w:ascii="Times New Roman" w:hAnsi="Times New Roman"/>
          <w:sz w:val="28"/>
          <w:szCs w:val="28"/>
          <w:lang w:val="uk-UA"/>
        </w:rPr>
        <w:t xml:space="preserve"> </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Бачинська ІВ. Становлення менструальної функції та гормональний гомеостаз дівчат-підлітків, хворих на автоімунний тиреоїдит. Репродуктивна ендокринологія. 2016;(5):60-4.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Башмакова НВ, Гончарова СВ. Особенности полового и физического развития девочек-подростков, перенесших внутриутробную гипотрофию. Уральский медицинский журнал. 2011;(4):110-7.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Безрукова ИВ. Быстропрогрессирующий пародонтит : иллюстрированное рук. Москва: Мед. книга; 2004. 141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Белоцерковцева ЛД, Коваленко ЛВ, Майер ЮИ, Гораш АД. Особенности комплексного обследования при нарушениях течения пубертата и становления репродуктивной системы у девочек-подростков с избытком массы тела. Вестник СурГУ. Сер. Медицина. 2011;(3):13-22.</w:t>
      </w:r>
    </w:p>
    <w:p w:rsidR="00AB5C7D" w:rsidRPr="007A6857" w:rsidRDefault="008F3626"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Березин КА, Цыплаков ДЭ, Шулаев АВ, Старцева  ЕЮ. Оценка иммуногистохимических изменений тканей пародонта у людей молодого возраста</w:t>
      </w:r>
      <w:r w:rsidR="00AB5C7D" w:rsidRPr="007A6857">
        <w:rPr>
          <w:rFonts w:ascii="Times New Roman" w:hAnsi="Times New Roman"/>
          <w:sz w:val="28"/>
          <w:szCs w:val="28"/>
          <w:lang w:val="uk-UA"/>
        </w:rPr>
        <w:t xml:space="preserve">. </w:t>
      </w:r>
      <w:r>
        <w:rPr>
          <w:rFonts w:ascii="Times New Roman" w:hAnsi="Times New Roman"/>
          <w:sz w:val="28"/>
          <w:szCs w:val="28"/>
          <w:lang w:val="uk-UA"/>
        </w:rPr>
        <w:t>Морфология. 2018;153(3):40-1</w:t>
      </w:r>
      <w:r w:rsidR="00AB5C7D"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Бирсан ЮА. Клиническая эффективность лечения хронического катарального гингивита у лиц молодого возраста с применением препаратов Vivax Dent. Вісник проблем біології і медицини. 2015;1(2):325-30.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Бобкова ИЛ, Чухрай ИГ, Марченко ЕИ, Бобкова ИЛ. Отдаленные результаты применения нового комплексного метода лечения хронического сложного периодонтита у пациентов с соматической патологией. В: Материалы научно-практической конференции с международным участием "Гофунговские чтения" в рамках празднования 210-летия ХНМУ и международного Дня стоматолога; 2015 Февр. 10; Харьков, Украина. Харьков: ХНМУ; 2015. с. 69-72. (Вопросы экспериментальной и клинической стоматологии = Питання експериментальної та клінічної стоматології: сб. науч. тр., вып. 11, ч. 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Богатова ИК, Фомина ММ. Особенности менструальной функции девочек-подростков, рожденных недоношенными. Репродуктивное здоровье детей и подростков. 2016;(2):55-6.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 xml:space="preserve">Бондарева ЕС, Сущенко АВ, </w:t>
      </w:r>
      <w:r w:rsidR="008F3626">
        <w:rPr>
          <w:rFonts w:ascii="Times New Roman" w:hAnsi="Times New Roman"/>
          <w:sz w:val="28"/>
          <w:szCs w:val="28"/>
          <w:lang w:val="uk-UA"/>
        </w:rPr>
        <w:t>Калиниченко НВ, Калиниченко ТП, Калиниченко ВС</w:t>
      </w:r>
      <w:r w:rsidRPr="007A6857">
        <w:rPr>
          <w:rFonts w:ascii="Times New Roman" w:hAnsi="Times New Roman"/>
          <w:sz w:val="28"/>
          <w:szCs w:val="28"/>
          <w:lang w:val="uk-UA"/>
        </w:rPr>
        <w:t xml:space="preserve">. </w:t>
      </w:r>
      <w:r w:rsidR="008F3626">
        <w:rPr>
          <w:rFonts w:ascii="Times New Roman" w:hAnsi="Times New Roman"/>
          <w:sz w:val="28"/>
          <w:szCs w:val="28"/>
          <w:lang w:val="uk-UA"/>
        </w:rPr>
        <w:t>Исследование распространенности хроничексих катаральних гингивитов до и после проведения лечебных мероприятий у детей 12-15 лет</w:t>
      </w:r>
      <w:r w:rsidRPr="007A6857">
        <w:rPr>
          <w:rFonts w:ascii="Times New Roman" w:hAnsi="Times New Roman"/>
          <w:sz w:val="28"/>
          <w:szCs w:val="28"/>
          <w:lang w:val="uk-UA"/>
        </w:rPr>
        <w:t>.</w:t>
      </w:r>
      <w:r w:rsidR="008F3626">
        <w:rPr>
          <w:rFonts w:ascii="Times New Roman" w:hAnsi="Times New Roman"/>
          <w:sz w:val="28"/>
          <w:szCs w:val="28"/>
          <w:lang w:val="uk-UA"/>
        </w:rPr>
        <w:t xml:space="preserve"> Молодой ученый. 2016;3</w:t>
      </w:r>
      <w:r w:rsidRPr="007A6857">
        <w:rPr>
          <w:rFonts w:ascii="Times New Roman" w:hAnsi="Times New Roman"/>
          <w:sz w:val="28"/>
          <w:szCs w:val="28"/>
          <w:lang w:val="uk-UA"/>
        </w:rPr>
        <w:t>(1</w:t>
      </w:r>
      <w:r w:rsidR="008F3626">
        <w:rPr>
          <w:rFonts w:ascii="Times New Roman" w:hAnsi="Times New Roman"/>
          <w:sz w:val="28"/>
          <w:szCs w:val="28"/>
          <w:lang w:val="uk-UA"/>
        </w:rPr>
        <w:t>07):250-3</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Борисенко АВ, </w:t>
      </w:r>
      <w:r w:rsidR="008927E4">
        <w:rPr>
          <w:rFonts w:ascii="Times New Roman" w:hAnsi="Times New Roman"/>
          <w:sz w:val="28"/>
          <w:szCs w:val="28"/>
          <w:lang w:val="uk-UA"/>
        </w:rPr>
        <w:t>Воловик ИА</w:t>
      </w:r>
      <w:r w:rsidRPr="007A6857">
        <w:rPr>
          <w:rFonts w:ascii="Times New Roman" w:hAnsi="Times New Roman"/>
          <w:sz w:val="28"/>
          <w:szCs w:val="28"/>
          <w:lang w:val="uk-UA"/>
        </w:rPr>
        <w:t xml:space="preserve">. </w:t>
      </w:r>
      <w:r w:rsidR="008927E4">
        <w:rPr>
          <w:rFonts w:ascii="Times New Roman" w:hAnsi="Times New Roman"/>
          <w:sz w:val="28"/>
          <w:szCs w:val="28"/>
          <w:lang w:val="uk-UA"/>
        </w:rPr>
        <w:t>Состояние стоматологичексого статуса у лиц молодого возраста в зависимости от наличия заболеваний пародонта. Современная стоматология. 2016</w:t>
      </w:r>
      <w:r w:rsidRPr="007A6857">
        <w:rPr>
          <w:rFonts w:ascii="Times New Roman" w:hAnsi="Times New Roman"/>
          <w:sz w:val="28"/>
          <w:szCs w:val="28"/>
          <w:lang w:val="uk-UA"/>
        </w:rPr>
        <w:t>;</w:t>
      </w:r>
      <w:r w:rsidR="008927E4">
        <w:rPr>
          <w:rFonts w:ascii="Times New Roman" w:hAnsi="Times New Roman"/>
          <w:sz w:val="28"/>
          <w:szCs w:val="28"/>
          <w:lang w:val="uk-UA"/>
        </w:rPr>
        <w:t>1(80):28</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Боршуляк АА, Боднарюк ОІ, Андрієць ОА. Аспекти розвитку порушень менструальної функції в дівчат із надмірною масою тіла. Акушерство. Гінекологія. Генетика. 2017;3(3):47-52.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Брашкін АП. Активація механізмів регенерації тканин пародонту з використанням клітинних технологій. Актуальні проблеми сучасної медицини. Вісник Української медичної стоматологічної академії. 2014;14(1):85-9.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Брин ИЛ, Дунайкин МЛ. Нейропсихологические синдромы перинатального генеза и дисплазии соединительной ткани у детей. Асимметрия. 2016;10(2):40-7.</w:t>
      </w:r>
    </w:p>
    <w:p w:rsidR="008927E4" w:rsidRDefault="008927E4"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Булкина НВ, Брилль ГЕ, Поделинская ВТ. Кристаллографическая картина десневой жидкости в норме и при воспалительных заболеваниях пародонта. Стоматология. 2012;91(4):16-9.</w:t>
      </w:r>
    </w:p>
    <w:p w:rsidR="008927E4" w:rsidRPr="007A6857" w:rsidRDefault="008927E4" w:rsidP="008927E4">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Булкина НВ, Ведяева АП. К вопросу об этиологии и патогенезе быстро прогрессирующего пародонтита. Российский стоматологический журнал = Russian Journal of Dentistry. 2012;(5):50-2.</w:t>
      </w:r>
    </w:p>
    <w:p w:rsidR="00AB5C7D" w:rsidRPr="008927E4" w:rsidRDefault="00AB5C7D" w:rsidP="008927E4">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Булкина Н</w:t>
      </w:r>
      <w:r w:rsidR="008927E4">
        <w:rPr>
          <w:rFonts w:ascii="Times New Roman" w:hAnsi="Times New Roman"/>
          <w:sz w:val="28"/>
          <w:szCs w:val="28"/>
          <w:lang w:val="uk-UA"/>
        </w:rPr>
        <w:t>В</w:t>
      </w:r>
      <w:r w:rsidRPr="007A6857">
        <w:rPr>
          <w:rFonts w:ascii="Times New Roman" w:hAnsi="Times New Roman"/>
          <w:sz w:val="28"/>
          <w:szCs w:val="28"/>
          <w:lang w:val="uk-UA"/>
        </w:rPr>
        <w:t xml:space="preserve">, </w:t>
      </w:r>
      <w:r w:rsidR="008927E4">
        <w:rPr>
          <w:rFonts w:ascii="Times New Roman" w:hAnsi="Times New Roman"/>
          <w:sz w:val="28"/>
          <w:szCs w:val="28"/>
          <w:lang w:val="uk-UA"/>
        </w:rPr>
        <w:t>Ведяева АП, Осипова ЮП</w:t>
      </w:r>
      <w:r w:rsidRPr="007A6857">
        <w:rPr>
          <w:rFonts w:ascii="Times New Roman" w:hAnsi="Times New Roman"/>
          <w:sz w:val="28"/>
          <w:szCs w:val="28"/>
          <w:lang w:val="uk-UA"/>
        </w:rPr>
        <w:t xml:space="preserve">. </w:t>
      </w:r>
      <w:r w:rsidR="008927E4">
        <w:rPr>
          <w:rFonts w:ascii="Times New Roman" w:hAnsi="Times New Roman"/>
          <w:sz w:val="28"/>
          <w:szCs w:val="28"/>
          <w:lang w:val="uk-UA"/>
        </w:rPr>
        <w:t>Изучение численной плотности мела тонин-продуцирующих тучних клеток десны при воспалительных заболеваниях пародонта. Морфология. 2018</w:t>
      </w:r>
      <w:r w:rsidRPr="007A6857">
        <w:rPr>
          <w:rFonts w:ascii="Times New Roman" w:hAnsi="Times New Roman"/>
          <w:sz w:val="28"/>
          <w:szCs w:val="28"/>
          <w:lang w:val="uk-UA"/>
        </w:rPr>
        <w:t>;</w:t>
      </w:r>
      <w:r w:rsidR="008927E4">
        <w:rPr>
          <w:rFonts w:ascii="Times New Roman" w:hAnsi="Times New Roman"/>
          <w:sz w:val="28"/>
          <w:szCs w:val="28"/>
          <w:lang w:val="uk-UA"/>
        </w:rPr>
        <w:t>153(3):50-1</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Бульбук ОІ. Особливості та проблеми проведення наукових досліджень у пародонтології. Український стоматологічний альманах. 2012;(2):103.</w:t>
      </w:r>
    </w:p>
    <w:p w:rsidR="00AB5C7D" w:rsidRPr="002D65D8"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Бурягина НВ, Прощаев КИ, Бессарабов ВИ. Возрастные особенности изменения уровня IL-4 в сыворотке крови при хроническом апикальном </w:t>
      </w:r>
      <w:r w:rsidRPr="007A6857">
        <w:rPr>
          <w:rFonts w:ascii="Times New Roman" w:hAnsi="Times New Roman"/>
          <w:sz w:val="28"/>
          <w:szCs w:val="28"/>
          <w:lang w:val="uk-UA"/>
        </w:rPr>
        <w:lastRenderedPageBreak/>
        <w:t>периодонтите на фоне полиморбидной патологии. В: Загальнотерапевтична практика: нові технології та міждисциплінарні питання. Матеріали наук.-практ. конф. з міжнар. участю; 2013 Листоп. 7; Харків, Украина. Харків; 2013. с. 46.</w:t>
      </w:r>
    </w:p>
    <w:p w:rsidR="002E13BD" w:rsidRPr="007A6857" w:rsidRDefault="002E13BD" w:rsidP="002E13BD">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Васильева НА, Б</w:t>
      </w:r>
      <w:r w:rsidRPr="007A6857">
        <w:rPr>
          <w:rFonts w:ascii="Times New Roman" w:hAnsi="Times New Roman"/>
          <w:sz w:val="28"/>
          <w:szCs w:val="28"/>
          <w:lang w:val="uk-UA"/>
        </w:rPr>
        <w:t>улгакова АИ, Имельбаева ЭА, Валеев ИВ. Клинико-иммунологическая характеристика общего иммунитета больных гингивитом. Пародонтология. 2015;20(3):11-7.</w:t>
      </w:r>
    </w:p>
    <w:p w:rsidR="002D65D8" w:rsidRPr="007A6857" w:rsidRDefault="002E13BD"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ru-RU"/>
        </w:rPr>
        <w:t>Васильева НА, Булгакова АИ, Солдатова ЕС</w:t>
      </w:r>
      <w:r w:rsidR="002D65D8">
        <w:rPr>
          <w:rFonts w:ascii="Times New Roman" w:hAnsi="Times New Roman"/>
          <w:sz w:val="28"/>
          <w:szCs w:val="28"/>
          <w:lang w:val="ru-RU"/>
        </w:rPr>
        <w:t xml:space="preserve">. </w:t>
      </w:r>
      <w:r>
        <w:rPr>
          <w:rFonts w:ascii="Times New Roman" w:hAnsi="Times New Roman"/>
          <w:sz w:val="28"/>
          <w:szCs w:val="28"/>
          <w:lang w:val="ru-RU"/>
        </w:rPr>
        <w:t>Стоматологический статус больных с заболеваниями пародонта. Медицинский вестник Башкортостана. 2016; 6(66):31-5</w:t>
      </w:r>
      <w:r w:rsidR="002D65D8">
        <w:rPr>
          <w:rFonts w:ascii="Times New Roman" w:hAnsi="Times New Roman"/>
          <w:sz w:val="28"/>
          <w:szCs w:val="28"/>
          <w:lang w:val="ru-RU"/>
        </w:rPr>
        <w:t xml:space="preserve">. </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Введенская ТС. Состояние сердечно-сосудистой системы у девушек с дисплазией соединительной ткани сердца на фоне расстройства менструальной функции. Перинатологія та педіатрія. 2011;(3):42-3.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Виноградова ИИ, Абжаканова АА, Исабеков ЖТ. Применение иммунокорректоров в комплексном лечении заболеваний пародонта в подростковом периоде. Вестник Алматинского государственного института усовершенствования врачей. 2012;(2):70-1.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Виноградова ТФ, Максимова ОП, Мельниченко ЭМ, Виноградова ТФ. Заболевания пародонта и слизистой оболочки полости рта у детей. Москва: Медицина; 1983. 208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Водолацкий МП, Боташева ВС, Павлов АА, Некрасова АА. Клинико-морфологическая характеристика воспалительного процесса в тканях пародонта у детей. Вестник новых медицинских технологий [Интернет]. 2012 [цитировано 2018 Марта 20];(1):9. Доступно на: https://elibrary.ru/item.asp?id=18296337.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Волчегорский ИА, Корнилова НВ, Бутюгин ИА. Сравнительный анализ состояния системы "перекисное окисление липидов - антиоксидантная защита" в слюне больных хроническим пародонтитом легкой и средней тяжести. Стоматология. 2010;89(6):24-7.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Галкина ОП. Уровень маркеров костного метаболизма у подростков с генерализованным пародонтитом, на фоне деформаций позвоночника. Вісник стоматології. 2013;(3):30-3.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Галущенко ЕА, Лобанов ЕА, Петров ЮА, Чеботарева ЮЮ. Влияние гипер и гипопролактинемии на формирование нарушений менструального цикла в периоде полового созревания. Репродуктивное здоровье детей и подростков. 2016;(3):12-3.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Гармаш ОВ, Назарян PC. Доцільність використання різних джерел низькоінтенсивного світлового випромінювання для корекції мікроциркуляторних порушень в пародонті. Експериментальна і клінічна медицина. 2013;(4):132-8.</w:t>
      </w:r>
    </w:p>
    <w:p w:rsidR="00AB5C7D" w:rsidRPr="007A6857" w:rsidRDefault="00123651"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Гармаш ОВ. Виявлення факторів ризику захворювань тканин пародонта і твердих тканин зубів у пацієнтів, народжених з макросомією (клінічна апробація опитувальника). </w:t>
      </w:r>
      <w:r>
        <w:rPr>
          <w:rFonts w:ascii="Times New Roman" w:hAnsi="Times New Roman"/>
          <w:sz w:val="28"/>
          <w:szCs w:val="28"/>
          <w:lang w:val="ru-RU"/>
        </w:rPr>
        <w:t>Вестник проблем биологии и медицины. 2015;4(125):348-52.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Гасюк НВ. Характеристика клітинного складу буккального епітелію осіб молодого віку хворих на генералізований пародонтит. Вісник проблем біології і медицини. 2015;(1):221-6.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Гасюк НВ. Цитологічна характеристика епітелію піхви жінок молодого віку залежно від фази менструального циклу. Вісник проблем біології і медицини. 2015;1(2):228-32.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Глазунов ОА, Меладзе ІН, Глазунова СО. Особливості мікробіоценозу пародонтальних кишень та стан місцевого імунітету у хворих на генералізований пародонтит на фоні ожиріння, ускладненого метаболічним синдромом. Клінічна та експериментальна патологія. 2017;16(1):63-7.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Глазунов ОА, Меладзе ІН. Поширеність та структура захворювань пародонта у осіб з аліментарно-конституційним ожирінням. Вісник стоматології. 2017;(1):13-6.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Гнатко ОП, </w:t>
      </w:r>
      <w:r w:rsidR="00E746FA">
        <w:rPr>
          <w:rFonts w:ascii="Times New Roman" w:hAnsi="Times New Roman"/>
          <w:sz w:val="28"/>
          <w:szCs w:val="28"/>
          <w:lang w:val="uk-UA"/>
        </w:rPr>
        <w:t>Чубати АІ, Семенюк ЛЛ</w:t>
      </w:r>
      <w:r w:rsidRPr="007A6857">
        <w:rPr>
          <w:rFonts w:ascii="Times New Roman" w:hAnsi="Times New Roman"/>
          <w:sz w:val="28"/>
          <w:szCs w:val="28"/>
          <w:lang w:val="uk-UA"/>
        </w:rPr>
        <w:t xml:space="preserve">. </w:t>
      </w:r>
      <w:r w:rsidR="00E746FA">
        <w:rPr>
          <w:rFonts w:ascii="Times New Roman" w:hAnsi="Times New Roman"/>
          <w:sz w:val="28"/>
          <w:szCs w:val="28"/>
          <w:lang w:val="uk-UA"/>
        </w:rPr>
        <w:t>Вплив соматичної та гінекологічної патології на репродуктивне здоров</w:t>
      </w:r>
      <w:r w:rsidR="00E746FA" w:rsidRPr="00E746FA">
        <w:rPr>
          <w:rFonts w:ascii="Times New Roman" w:hAnsi="Times New Roman"/>
          <w:sz w:val="28"/>
          <w:szCs w:val="28"/>
          <w:lang w:val="ru-RU"/>
        </w:rPr>
        <w:t>`</w:t>
      </w:r>
      <w:r w:rsidR="00E746FA">
        <w:rPr>
          <w:rFonts w:ascii="Times New Roman" w:hAnsi="Times New Roman"/>
          <w:sz w:val="28"/>
          <w:szCs w:val="28"/>
          <w:lang w:val="uk-UA"/>
        </w:rPr>
        <w:t>я дівчат-підлітків</w:t>
      </w:r>
      <w:r w:rsidRPr="007A6857">
        <w:rPr>
          <w:rFonts w:ascii="Times New Roman" w:hAnsi="Times New Roman"/>
          <w:sz w:val="28"/>
          <w:szCs w:val="28"/>
          <w:lang w:val="uk-UA"/>
        </w:rPr>
        <w:t xml:space="preserve">. </w:t>
      </w:r>
      <w:r w:rsidR="00E746FA">
        <w:rPr>
          <w:rFonts w:ascii="Times New Roman" w:hAnsi="Times New Roman"/>
          <w:sz w:val="28"/>
          <w:szCs w:val="28"/>
          <w:lang w:val="uk-UA"/>
        </w:rPr>
        <w:t>Акушерство. Гінекологія. Генетика. 2016</w:t>
      </w:r>
      <w:r w:rsidRPr="007A6857">
        <w:rPr>
          <w:rFonts w:ascii="Times New Roman" w:hAnsi="Times New Roman"/>
          <w:sz w:val="28"/>
          <w:szCs w:val="28"/>
          <w:lang w:val="uk-UA"/>
        </w:rPr>
        <w:t>;</w:t>
      </w:r>
      <w:r w:rsidR="00E746FA">
        <w:rPr>
          <w:rFonts w:ascii="Times New Roman" w:hAnsi="Times New Roman"/>
          <w:sz w:val="28"/>
          <w:szCs w:val="28"/>
          <w:lang w:val="uk-UA"/>
        </w:rPr>
        <w:t>1(3):52-5</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Годованець ОІ, Мороз АВ. Стоматологічна патологія в дітей із ендокринними захворюваннями. Клінічна та експериментальна патологія. 2015;14(4):209-13.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Голейко МВ. Особливості клініки та лікування хворих на поєднані ураження тканин пародонту та періодонта [автореферат]. Львів: Львів. нац. мед. ун-т ім. Д. Галицького; 2017. 20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Гончарук ЛВ, Косенко КН, Гончарук СФ. Взаимосвязь воспалительных заболеваний пародонта и соматической патологии. Современная стоматология. 2011;(1):37-40.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Горбачева ИА, Орехова ЛЮ, Сычева ЮА. Пути преодоления полипрагмазии при лечении современных полиморбидных больных с воспалительными заболеваниями. Пародонтология. 2015;20(2):15-8.</w:t>
      </w:r>
    </w:p>
    <w:p w:rsidR="00824658" w:rsidRPr="007A6857" w:rsidRDefault="00824658" w:rsidP="00824658">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Григорьян АС, Грудянов АИ, Рабухина НА, Фролова ОА. Болезни пародонта: патогенез, диагностика, лечение: руководство для врачей. Москва: Медицинское информационное агентство; 2004. 288 с.</w:t>
      </w:r>
    </w:p>
    <w:p w:rsidR="00AB5C7D" w:rsidRPr="007A6857" w:rsidRDefault="00E746FA"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Григорьян АС, Сабурина ИН, Орлов АА, Фидаров АФ</w:t>
      </w:r>
      <w:r w:rsidR="00AB5C7D" w:rsidRPr="007A6857">
        <w:rPr>
          <w:rFonts w:ascii="Times New Roman" w:hAnsi="Times New Roman"/>
          <w:sz w:val="28"/>
          <w:szCs w:val="28"/>
          <w:lang w:val="uk-UA"/>
        </w:rPr>
        <w:t xml:space="preserve">. </w:t>
      </w:r>
      <w:r>
        <w:rPr>
          <w:rFonts w:ascii="Times New Roman" w:hAnsi="Times New Roman"/>
          <w:sz w:val="28"/>
          <w:szCs w:val="28"/>
          <w:lang w:val="uk-UA"/>
        </w:rPr>
        <w:t>Стволовіе клетки, современное состояние исследований по проблеме и основніе направления их развития</w:t>
      </w:r>
      <w:r w:rsidR="00AB5C7D" w:rsidRPr="007A6857">
        <w:rPr>
          <w:rFonts w:ascii="Times New Roman" w:hAnsi="Times New Roman"/>
          <w:sz w:val="28"/>
          <w:szCs w:val="28"/>
          <w:lang w:val="uk-UA"/>
        </w:rPr>
        <w:t>.</w:t>
      </w:r>
      <w:r>
        <w:rPr>
          <w:rFonts w:ascii="Times New Roman" w:hAnsi="Times New Roman"/>
          <w:sz w:val="28"/>
          <w:szCs w:val="28"/>
          <w:lang w:val="uk-UA"/>
        </w:rPr>
        <w:t xml:space="preserve"> От теории к клинической практике. Российская стоматология. 2016</w:t>
      </w:r>
      <w:r w:rsidR="00AB5C7D" w:rsidRPr="007A6857">
        <w:rPr>
          <w:rFonts w:ascii="Times New Roman" w:hAnsi="Times New Roman"/>
          <w:sz w:val="28"/>
          <w:szCs w:val="28"/>
          <w:lang w:val="uk-UA"/>
        </w:rPr>
        <w:t>;</w:t>
      </w:r>
      <w:r w:rsidR="00824658">
        <w:rPr>
          <w:rFonts w:ascii="Times New Roman" w:hAnsi="Times New Roman"/>
          <w:sz w:val="28"/>
          <w:szCs w:val="28"/>
          <w:lang w:val="uk-UA"/>
        </w:rPr>
        <w:t>9(1):6-10</w:t>
      </w:r>
      <w:r w:rsidR="00AB5C7D"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Гринин ВМ, Винниченко АВ, Атаева ШЗ. Колебания гормонального фона и влияние их на течение заболеваний пародонта у женщин. Стоматология. 2012;91(1):76-8.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Громов ОВ. Сравнительная характеристика индексов состояния пародонта в возрастном аспекте. Современная стоматология. 2012;(4):16-9.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Грудянов АИ, Исаджанян КЕ, Апхадзе АР, Пашкова ГС, Попова ВМ. Результаты сравнительного изучения состава микробной флоры у пациентов с хроническим генерализованным пародонтитом с использованием различных микробиологических методик (предварительное сообщение). Стоматология. 2014;93(5):28-31.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Грудянов АИ, Сысоева ВЮ, Терновой ЮВ. Стволовые клетки и возможности их применения в пародонтологии. Стоматология. 2012;91(1):71-5.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Гуменюк ОИ, Черненков ЮВ. Дисменорея у девочек-подростков. Медицинская сестра. 2015;(3):31-3.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Данилевский НФ, Вишняк ГН, Политун АМ. Пародонтология детского возраста. Київ: Здоров'я; 1981. 295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Делягин В, Набатникова Н, Уразбагамбетов А. Эхографические характеристики внутренних репродуктивных органов и особенности соматического статуса у девочек с нарушением менструального цикла. Врач. 2016;(8):31-2.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Демкович АЄ. Особливості формування мікробіоценозу в розвитку запальних захворювань пародонта. Інфекційні хвороби. 2015;(1):87-92.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Денега ІС, Ріпецька ОР, Гриновець BC. Особливості розвитку та структура дистрофії тканин пародонту у хворих на генералізовани</w:t>
      </w:r>
      <w:r>
        <w:rPr>
          <w:rFonts w:ascii="Times New Roman" w:hAnsi="Times New Roman"/>
          <w:sz w:val="28"/>
          <w:szCs w:val="28"/>
          <w:lang w:val="uk-UA"/>
        </w:rPr>
        <w:t>й пародонтит та пародонтоз. В: Гофунговские чтения</w:t>
      </w:r>
      <w:r w:rsidRPr="007A6857">
        <w:rPr>
          <w:rFonts w:ascii="Times New Roman" w:hAnsi="Times New Roman"/>
          <w:sz w:val="28"/>
          <w:szCs w:val="28"/>
          <w:lang w:val="uk-UA"/>
        </w:rPr>
        <w:t xml:space="preserve"> в рамках празднования 210-летия ХНМУ и международного Дня стоматолога. Материалы науч.-практ. конф. с междунар. участием; 2015 Февр. 10; Харьков, Украина. Харьков: ХНМУ; 2015. с. 99-103. (Вопросы экспериментальной и клинической стоматологии = Питання експериментальної та клінічної стоматології: сб. науч. тр., вып. 11, ч. 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Диннік ОО. Характер соматичної патології у хворих на пубертатні маткові кровотечі. В: Бабак ОЯ, Фадєєнко ГД, Гріднєв ОЄ та ін., редактори. Внесок молодих спеціалістів у розвиток медичної науки і практики. Матер. всеукр. наук.-практ. конф. присвяченої Дню Науки в Україні; 2011 Трав. 19; Харків, Україна. Харків; 2011. с. 35.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Довбенко Н, Лимар ЛЄ. Вплив екзогенних факторів на менструальну функцію у жінок раннього репродуктивного віку та шляхи корекції. В: Актуальні питання соціальної медицини, організації та економіки охорони здоров’я в Україні: до 125-річчя з дня народження МГ. Гуревича, Наркома охорони здоров’я України (1920-1925рр.), першого зав. каф. соціальної гігієни Харк. мед. ін-ту (1923-1925 рр). Матеріали наук.-практ. конф.; 2016 Бер. 16; Харків, Украина. Харків: Харк. нац. мед. ун-т, 2016. с. 43-4.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Довганич ОВ. Герелюк ВІ. Дослідження впливу синглетного кисню, генерованого апаратом «МИТ-С», на стан імунної системи у хворих на генералізований пародонтит. Галицький лікарський вісник. 2013;20(3):18-21.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Долгушин ИИ, Маркова ВА, Савочкина АЮ, Пегушина ИВ. Кислородзависимый метаболизм интактных и активированных нейтрофильных гранулоцитов слюны. Бюллетень экспериментальной биологии и медицины. 2013;156(8):206-8.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Дружинина НА, Бакиева ЧР. Нарушения менструального цикла у девочек-подростков с ожирением. Вестник Башкирского государственного медицинского университета. 2015;(4):11-3.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Дуглас НИ, Радь ЯГ, Павлова ТЮ. Важнейшие характеристики здоровья девушек-подростков в период становления пубертата. В: Петрова ВГ, редактор. Экология и здоровье человека на Севере. Сб. материалов IV-го конгр. с междунар. участием; 2013 Дек. 4-7; Якутск, Россия. Киров: МЦНИП; 2013. с. 747-52.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Дынник ВА, Сулима ТН. Особенности гипоталамо-гипофизарно-гонадных взаимоотношений при различных клинических вариантах течения пубертатных маточных кровотечений. Украинский журнал де</w:t>
      </w:r>
      <w:r>
        <w:rPr>
          <w:rFonts w:ascii="Times New Roman" w:hAnsi="Times New Roman"/>
          <w:sz w:val="28"/>
          <w:szCs w:val="28"/>
          <w:lang w:val="uk-UA"/>
        </w:rPr>
        <w:t>тской эндокринологии. 2012;(1):</w:t>
      </w:r>
      <w:r w:rsidRPr="007A6857">
        <w:rPr>
          <w:rFonts w:ascii="Times New Roman" w:hAnsi="Times New Roman"/>
          <w:sz w:val="28"/>
          <w:szCs w:val="28"/>
          <w:lang w:val="uk-UA"/>
        </w:rPr>
        <w:t>59-64.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Дынник ВА, Сулима ТН. Характер гипоталамо-гипофизарно-гонадных взаимоотношений при различных клинических вариантах течения пубертатных маточных кровотечений. Акушерство и гинекология. 2013;(12):102-7.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Дынник ВА. Гормональный профиль больных с аномальными маточными кровотечениями в периоде пубертата. Международный журнал педиатрии, акушерства и гинекологии. 2015;7(2):44-50.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Еловикова ТМ, Белоконова HA. Состояние тканей пародонта и параметров ротовой жидкости у больных пародонтитом под влиянием жидких средств гигиены. Пародонтология. 2013;18(2):55-8.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Ермак ЕЮ, Матерс ТВ, Панина ЕВ, Ананьина ЕВ, Родионова ТН, Зотова ИН. Изучение эффектов от применения доноров молекул оксида азота и блокаторов фермента NO-синтазы при эмоционально-болевом стрессе на </w:t>
      </w:r>
      <w:r w:rsidRPr="007A6857">
        <w:rPr>
          <w:rFonts w:ascii="Times New Roman" w:hAnsi="Times New Roman"/>
          <w:sz w:val="28"/>
          <w:szCs w:val="28"/>
          <w:lang w:val="uk-UA"/>
        </w:rPr>
        <w:lastRenderedPageBreak/>
        <w:t>морфологическую картину тканей пульпы зубов и пародонта. Российский стоматологический журнал = Russian Journal of Dentistry. 2013;(4):14-8.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Желдакова АД. Функціональний стан судин пародонту та системи гемодинаміки у хворих на генералізований пародонтит. Вісник стоматології. 2013;(4):20-4.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Железная АА, Яковлева ЭБ, Демишева СГ. Клинико-анамнестическая характеристика подростков с нарушением менструального цикла на фоне ростового «скачка». Университетская клиника. 2017;13(1):68-70.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Жуковец ИВ, Лещенко ОЯ, Агалян АВ. Факторы риска нарушений менструального цикла у девочек с дисфункцией гипоталамуса. Вопросы практической педиатрии. 2017;(1):13-8.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Жуковец ИВ, Лещенко ОЯ, Аталян АВ. Соматическое здоровье и менструальный цикл у девочек-подростков с дисфункцией гипоталамуса с избыточной массой тела и ожирением. Репродуктивное здоровье детей и подростков. 2016;(4):48-56.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Запорожан BM, Подольский ВВ, Хомінська ЗБ. Гормональні характеристики менструальної функції у жінок фертильного віку із хронічними запальними захворюваннями статевих органів. Журнал Національної академії медичних наук України. 2012;18(4):475-84.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Зорина ОА, Аймадинова НК, Басова АА, Ребриков ДВ. Взаимосвязь молекулярно-генетических маркеров с клиническими признаками и факторами риска развития пародонтита. Стоматология. 2016;95(5):12-18.</w:t>
      </w:r>
    </w:p>
    <w:p w:rsidR="008A3541" w:rsidRPr="007A6857" w:rsidRDefault="008A3541" w:rsidP="008A354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Зорина ОА, </w:t>
      </w:r>
      <w:r>
        <w:rPr>
          <w:rFonts w:ascii="Times New Roman" w:hAnsi="Times New Roman"/>
          <w:sz w:val="28"/>
          <w:szCs w:val="28"/>
          <w:lang w:val="uk-UA"/>
        </w:rPr>
        <w:t>Аймадинова НК, Борискина ОА, Шевелев АБ. Исследование регуляции экспрессии ФНОА и матриксных металлопротеиназ ММР8 и ММР9 в ткани пародонта в норме и при хроническом пародонтите. Российский стоматологический журнал. 2016;20(3):125-30</w:t>
      </w:r>
      <w:r w:rsidRPr="007A6857">
        <w:rPr>
          <w:rFonts w:ascii="Times New Roman" w:hAnsi="Times New Roman"/>
          <w:sz w:val="28"/>
          <w:szCs w:val="28"/>
          <w:lang w:val="uk-UA"/>
        </w:rPr>
        <w:t>.</w:t>
      </w:r>
    </w:p>
    <w:p w:rsidR="00824658" w:rsidRDefault="00824658"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Зорина ОА, </w:t>
      </w:r>
      <w:r>
        <w:rPr>
          <w:rFonts w:ascii="Times New Roman" w:hAnsi="Times New Roman"/>
          <w:sz w:val="28"/>
          <w:szCs w:val="28"/>
          <w:lang w:val="uk-UA"/>
        </w:rPr>
        <w:t>Аймадинова НК, Ребриков ДВ. Гендерній аналіз микробиома пародонтальн</w:t>
      </w:r>
      <w:r>
        <w:rPr>
          <w:rFonts w:ascii="Times New Roman" w:hAnsi="Times New Roman"/>
          <w:sz w:val="28"/>
          <w:szCs w:val="28"/>
          <w:lang w:val="ru-RU"/>
        </w:rPr>
        <w:t>ых карманов у пациентов с хроническим генерализованным пародонтитом. Российский стоматологический журнал</w:t>
      </w:r>
      <w:r>
        <w:rPr>
          <w:rFonts w:ascii="Times New Roman" w:hAnsi="Times New Roman"/>
          <w:sz w:val="28"/>
          <w:szCs w:val="28"/>
          <w:lang w:val="uk-UA"/>
        </w:rPr>
        <w:t>. 2016;20(1):19-22</w:t>
      </w:r>
      <w:r w:rsidRPr="007A6857">
        <w:rPr>
          <w:rFonts w:ascii="Times New Roman" w:hAnsi="Times New Roman"/>
          <w:sz w:val="28"/>
          <w:szCs w:val="28"/>
          <w:lang w:val="uk-UA"/>
        </w:rPr>
        <w:t>.</w:t>
      </w:r>
    </w:p>
    <w:p w:rsidR="00AB5C7D" w:rsidRPr="008A3541" w:rsidRDefault="00AB5C7D" w:rsidP="008A354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 xml:space="preserve">Зорина ОА, </w:t>
      </w:r>
      <w:r w:rsidR="008A3541">
        <w:rPr>
          <w:rFonts w:ascii="Times New Roman" w:hAnsi="Times New Roman"/>
          <w:sz w:val="28"/>
          <w:szCs w:val="28"/>
          <w:lang w:val="uk-UA"/>
        </w:rPr>
        <w:t>Венедиктова ВА, Прокопьев ВВ, Амхадова МА. Изучение влияния пародонтопротекторов на состояние пародонта в норма и при хроническом пародонти те.</w:t>
      </w:r>
      <w:r w:rsidRPr="007A6857">
        <w:rPr>
          <w:rFonts w:ascii="Times New Roman" w:hAnsi="Times New Roman"/>
          <w:sz w:val="28"/>
          <w:szCs w:val="28"/>
          <w:lang w:val="uk-UA"/>
        </w:rPr>
        <w:t xml:space="preserve"> Стоматология</w:t>
      </w:r>
      <w:r w:rsidR="008A3541">
        <w:rPr>
          <w:rFonts w:ascii="Times New Roman" w:hAnsi="Times New Roman"/>
          <w:sz w:val="28"/>
          <w:szCs w:val="28"/>
          <w:lang w:val="uk-UA"/>
        </w:rPr>
        <w:t xml:space="preserve"> для всех. 2016;(3):34-9</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Зубачик ВМ, Голейко МВ. Особливості мікробіоценозу пародонтальних кишень та кореневих каналів у пацієнтів із поєднаними ураженнями тканин пародонта та періодонта. Практична медицина. 2011;17(1):74-7.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Зубачик ВМ, Яричківська НВ, Довганик ВВ. Діагностичне значення ендотеліну та оксиду азоту як маркерів дисфункції ендотелію мікросудин пародонта у хворих на генералізований пародонтит. Вісник стоматології. 2016;(2):14-9.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Зыкеева СК, Ургенишбаева ЖР. Профилактика и лечение заболеваний пародонта у детей и подростков. Вестник Казахского национального медицинского университета. 2016;(3):97-100.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Зяблицкая МС, Атрушкевич ВГ, Мкртумян АМ. Роль полиморфизмов гена рецептора витамина D в этиопатогенезе пародонтита. Российский стоматологический журнал = Russian Journal of Dentistry. 2012;(5):53-7.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Иванов ВС. Заболевания пародонта. 4-е изд., перераб. и доп. Москва: Медицинское информационное агентство; 2001. 304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Иорданишвили АК, Солдатова ЛН,</w:t>
      </w:r>
      <w:r>
        <w:rPr>
          <w:rFonts w:ascii="Times New Roman" w:hAnsi="Times New Roman"/>
          <w:sz w:val="28"/>
          <w:szCs w:val="28"/>
          <w:lang w:val="uk-UA"/>
        </w:rPr>
        <w:t xml:space="preserve"> Переверзев ВС, Жмудь МВ, Жмудь </w:t>
      </w:r>
      <w:r w:rsidRPr="007A6857">
        <w:rPr>
          <w:rFonts w:ascii="Times New Roman" w:hAnsi="Times New Roman"/>
          <w:sz w:val="28"/>
          <w:szCs w:val="28"/>
          <w:lang w:val="uk-UA"/>
        </w:rPr>
        <w:t>ОН,</w:t>
      </w:r>
      <w:r>
        <w:rPr>
          <w:rFonts w:ascii="Times New Roman" w:hAnsi="Times New Roman"/>
          <w:sz w:val="28"/>
          <w:szCs w:val="28"/>
          <w:lang w:val="uk-UA"/>
        </w:rPr>
        <w:t xml:space="preserve"> и др</w:t>
      </w:r>
      <w:r w:rsidRPr="007A6857">
        <w:rPr>
          <w:rFonts w:ascii="Times New Roman" w:hAnsi="Times New Roman"/>
          <w:sz w:val="28"/>
          <w:szCs w:val="28"/>
          <w:lang w:val="uk-UA"/>
        </w:rPr>
        <w:t>. Стоматологический статус у детей, страдающих сахарным диабетом. Современная педиатрия. 2017;(3):95-100.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Иорданишвили АК, Солдатова ЛН, Переверзев ВС, Жмудь ОН, Солдатов ВС. Заболевания зубов и пародонта у детей, страдающих сахарным диабетом. Стоматология детского возраста и профилактика. 2017;16(1):46-50.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Ипполитов ЮА, Гарькавец СА, Юденкова СН, Куралесина ВП, Русанова ТА, Алешина ЕО, и др. Коррекция местноиммунного дисбаланса полости рта в рамках комплексного лечения хронического катарального гингивита в детском возрасте. Здоровье и образование в XXI веке. 2016;18(2):92-8.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Ипполитов ЮА, Коровкин ВВ, Коровкина АН. Клинико-функциональная оценка состояния тканей пародонта при наличии острого и хронического воспаления. Пародонтология. 2015;20(2):19-23.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Исамулаева АЗ, Кунин АА, Спицына АВ, Сергиенко ДФ, Исамулаева АИ. Клинико-иммунологическая оценка эффективности применения интерлейкин-1β в гелевой форме у больных с поражением пародонта. Пародонтология. 2014;19(4):63-7.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Катханова ЛС, Акулова ЭВ, Лысов АВ, Могила АП. Влияние гормональной регуляции на состояние тканей пародонта. Бюллетень медицинских интернет-конференций. 2014;4(12):1342.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Киселева ЕА. Заболевания пародонта у подростков – прогноз пародонтальной заболеваемости взрослого населения в регионе. Стоматология детского возраста и профилактика. 2011;10(3):49-52.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Клітинська ОВ, Мельник ВС, Ступницька ОМ. Аналіз стану тканин пародонта у школярів міста Ужгорода. Український медичний альманах. 2012;15(3):89-90.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Комлева МО, Комлева НВ, Смолягин АИ. Клинико-лабораторные изменения у девушек-подростков с нарушениями менструального цикла, проживающих на территориях с различной антропогенной нагрузкой. Российский иммунологический журнал. 2017;11(3):394-6.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Копытов АА. Детализация патогенеза пародонтита. Стоматолог. 2012;(1):20-3.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Кордіяк ОЙ. Морфологічні особливості тканин пародонту щурів в нормі, при експериментальному пародонтиті та після фармакотерапевтичної корекції [автореферат]. Львів: Львівський національний медичний університет ім. Д. Галицького; 2015. 20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Косілова CЕ. До питання патогенезу порушення менструального циклу. Клінічна та експериментальна патологія. 2015;14(4):66-8.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Костригина ЕД, Зюлькина ЛА, Иванов ПВ. Современный взгляд на этиопатогенез пародонтита (обзор литературы). Известия высших учебных заведений. Поволжский регион. Медицинские науки. 2017;(3):118-28.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Костюк ІР. Вплив патології періодонта на загальний стан організму. Сучасні методи медикаментозного лікування періодонтиту постійних зубів: переваги та недоліки (огляд літератури). Буковинський медичний вісник. 2014;18(3):199-205.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Костюк ІР. Етіопатогенетичні аспекти періодонтиту постійних зубів у дітей. Актуальні проблеми сучасної медицини. Вісник Української медичної стоматологічної академії. 2014;14(3):308-11.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Костюк ІР. Стан процесів перекисного окиснення ліпідів та антиоксидантного захисту у дітей за гранулюючого періодонтиту постійних зубів хронічного та загостреного перебігу. Архів клінічної медицини. 2012;(1):38-40.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Костюк ІР. Тимчасова обтурація кореневих каналів постійних зубів із несформованим коренем при лікуванні періодонтиту в дітей. Огляд літератури. Новини стоматології. 2014;(4):84-8.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Кречина ЕК, Зорина ОА, Мустафина ФК, Молчанов АМ. Состояние микроциркуляции в тканях пародонта по данным компъютерной капилляроскопии у пациентов с хроническим генерализованным пародонтитом на фоне метаболических нарушений. Стоматология. 2015;94(4):20-3.</w:t>
      </w:r>
    </w:p>
    <w:p w:rsidR="00AB5C7D"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Кривенко ЛС. Досвід генотипування дітей мешканців Харківської області з проявами гінгівіту на тлі атопічних захворювань за SNP RS 1801270. Клінічна та експериментальна патологія. 2017;16(2, Ч 2):33-6.</w:t>
      </w:r>
    </w:p>
    <w:p w:rsidR="001A6314" w:rsidRPr="001A6314" w:rsidRDefault="001A6314" w:rsidP="008B51D1">
      <w:pPr>
        <w:pStyle w:val="aa"/>
        <w:numPr>
          <w:ilvl w:val="0"/>
          <w:numId w:val="29"/>
        </w:numPr>
        <w:spacing w:line="360" w:lineRule="auto"/>
        <w:ind w:left="0" w:firstLine="709"/>
        <w:jc w:val="both"/>
        <w:rPr>
          <w:rFonts w:ascii="Times New Roman" w:hAnsi="Times New Roman"/>
          <w:sz w:val="28"/>
          <w:szCs w:val="28"/>
          <w:lang w:val="uk-UA"/>
        </w:rPr>
      </w:pPr>
      <w:r w:rsidRPr="001A6314">
        <w:rPr>
          <w:rFonts w:ascii="Times New Roman" w:hAnsi="Times New Roman"/>
          <w:sz w:val="28"/>
          <w:szCs w:val="28"/>
          <w:lang w:val="uk-UA"/>
        </w:rPr>
        <w:t>Кривенко Л.С. Комплексний аналіз стоматологічного статусу дітей, хворих на алергічні захворювання / Р.С.Назарян, Л.С.Кривенко // Український стоматологічний альманах. – 2016. – №1, Т.2. – С.76-80.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Кривенко ЛС. Прогнозування ступеню запалення тканин пародонту у дітей з атопічними захворюваннями. Актуальні проблеми сучасної медицини. Вісник української медичної стоматологічної академії. 2016;16(4</w:t>
      </w:r>
      <w:r>
        <w:rPr>
          <w:rFonts w:ascii="Times New Roman" w:hAnsi="Times New Roman"/>
          <w:sz w:val="28"/>
          <w:szCs w:val="28"/>
          <w:lang w:val="uk-UA"/>
        </w:rPr>
        <w:t>,</w:t>
      </w:r>
      <w:r w:rsidRPr="007A6857">
        <w:rPr>
          <w:rFonts w:ascii="Times New Roman" w:hAnsi="Times New Roman"/>
          <w:sz w:val="28"/>
          <w:szCs w:val="28"/>
          <w:lang w:val="uk-UA"/>
        </w:rPr>
        <w:t xml:space="preserve"> Ч 2):214-6.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Кузенко ЄВ. Зміни ДНК тканин пародонту при запаленні. Вісник проблем біології і медицини. 2014;1(2):198-201.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Кузнецова ИВ, Успенская ЮБ, Диль ВВ, Гринева АМ. Использование растительных дофаминомиметиков у подростков и молодых женщин с нарушенным менструальным циклом. Акушерство и гинекология. 2015;(11):70-7.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Кузнецова ИВ. Недостаточность овариальной функции в различные возрастные периоды и методы ее негормональной коррекции. Акушерство и гинекология. 2013;(1):94-100.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Кулыгина ВН, Аль Мохаммад Мохаммад Али. Исследование скорости слюноотделения и состояния кислотно-щелочного равновесия в ротовой полости у лиц молодого возраста с воспалительными заболеваниями тканей пародонта. Журнал вушних, носових і горлових хвороб. 2014;(3):69-73.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Кунин А, Коровкина А, Олейник О. Эффективность ферментосодержащих зубных паст при начальных формах воспалительных заболеваний пародонта. ДентАрт. 2012;(2):16-9.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Кунцевич ЕИ, Юрьева АВ, Осипчук ИИ, Писаренко АС, Шипунова ТП. Особенности менструальной функции у девочек подростков с ожирением. В: Проблемні питання діагностики та лікування дітей з соматичною патологією. Матеріали міжрегіон. наук.-практ. конф. лікарів-педіатрів; 2012 Берез. 28; Харків, Україна. Харків, 2012. с. 73-4.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Курманалина МА, Ураз РМ. Взаимосвязь воспалительных заболеваний пародонта и общесоматической патологии. Медицинский журнал западного Казахстана.2015;(3):19-23.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Курякина НВ, Кутепова ТФ. Заболевания пародонта. Москва: Медицинская книга, Издательство НГМА; 2000. 64 с. (Учебная литература для студентов медицинских вузов и последипломного образования. Стоматологический факультет).</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Кухаренко ЮВ. Попова ЕС. Возможность использования фармакологических проб для выявления и оценки эндотелиальной дисфункции </w:t>
      </w:r>
      <w:r w:rsidRPr="007A6857">
        <w:rPr>
          <w:rFonts w:ascii="Times New Roman" w:hAnsi="Times New Roman"/>
          <w:sz w:val="28"/>
          <w:szCs w:val="28"/>
          <w:lang w:val="uk-UA"/>
        </w:rPr>
        <w:lastRenderedPageBreak/>
        <w:t>сосудов микроциркуляторного русла тканей пародонта. Российский стоматологический журнал = Russian Journal of Dentistry. 2013;(2):19-21.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Кучеренко ОМ, Чайка ГВ. Ультразвукові параметри матки та яєчників у дівчат юнацького віку з ювенільними матковими кровотечами залежно від фаз менструального циклу. Вісник Вінницького національного медичного університету ім. МІ. Пирогова. 2016;20(1 Ч</w:t>
      </w:r>
      <w:r>
        <w:rPr>
          <w:rFonts w:ascii="Times New Roman" w:hAnsi="Times New Roman"/>
          <w:sz w:val="28"/>
          <w:szCs w:val="28"/>
          <w:lang w:val="uk-UA"/>
        </w:rPr>
        <w:t>.</w:t>
      </w:r>
      <w:r w:rsidRPr="007A6857">
        <w:rPr>
          <w:rFonts w:ascii="Times New Roman" w:hAnsi="Times New Roman"/>
          <w:sz w:val="28"/>
          <w:szCs w:val="28"/>
          <w:lang w:val="uk-UA"/>
        </w:rPr>
        <w:t xml:space="preserve"> 1):9-13.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Кушлинский НЕ, Соловых ЕА, Караогланова ТБ, Баяр У, Трошин АА. Матриксные металлопротеиназы в ротовой жидкости больных хроническим генерализованным пародонтитом. Клиническая лабораторная диагностика. 2011;(10):38-9.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Лабыгина АВ, Лазарева ЛМ, Сутурина ЛВ, Колесникова ЛИ, Шолохов ЛФ, Храмова ЕЕ, и др. Функционирование гипофизарно-яичниково-надпочечниковой оси и структура фракций пролактина у девочек-подростков с гиперпролактинемией различного генеза. Acta Biomedica Scientifica. 2012;(3-1):36-40.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Лабыгина АВ, Шолохов ЛФ, Сутурина ЛВ, Храмова ЕЕ, Лазарева ЛМ, Олифиренко ТЛ, и др. Клинические и гормональные характеристики девочек-подростков о гипоталамическим синдромом пубертатного периода. Acta Biomedica Scientifica. 2011;(5):80-3.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Ласкарис Д, Скалли К. Атлас по пародонтологии. Проявления местных и системных поражений. Грудянов АИ, переводчик. Москва: Медицинское информационное агентство;2005. 347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Латыш ОА. Особенности лечения нарушений менструальной функции в подростковом возрасте. Репродуктивная эндокринология. 2014;(6):37-40.</w:t>
      </w:r>
    </w:p>
    <w:p w:rsidR="00AB5C7D" w:rsidRPr="00CD3E59"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Лебідь ОІ, Шманько ВВ. Вплив комбінованого застосування антисептика та фітозбору на стан гуморального імунітету при захворюваннях пародонту у дітей з аліментарно-конституційним ожирінням. Вісник проблем біології і медицини. 2013;2(4):119-22.</w:t>
      </w:r>
    </w:p>
    <w:p w:rsidR="00CD3E59" w:rsidRPr="007A6857" w:rsidRDefault="00CD3E59" w:rsidP="00CD3E59">
      <w:pPr>
        <w:pStyle w:val="aa"/>
        <w:spacing w:line="360" w:lineRule="auto"/>
        <w:ind w:left="709"/>
        <w:jc w:val="both"/>
        <w:rPr>
          <w:rFonts w:ascii="Times New Roman" w:hAnsi="Times New Roman"/>
          <w:sz w:val="28"/>
          <w:szCs w:val="28"/>
          <w:lang w:val="uk-UA"/>
        </w:rPr>
      </w:pP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Левенец СА, Дынник ВА, Начетова ТА. Нарушения менструальной функции у девочек-подростков. Харьков; 2012. 196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Левенец СА, </w:t>
      </w:r>
      <w:r w:rsidR="00F452D3">
        <w:rPr>
          <w:rFonts w:ascii="Times New Roman" w:hAnsi="Times New Roman"/>
          <w:sz w:val="28"/>
          <w:szCs w:val="28"/>
          <w:lang w:val="uk-UA"/>
        </w:rPr>
        <w:t>Верхошанова ОГ, Удовикова НА, Кашкалда ДА. Эффективность общестимулирующей регулирующей терапии у девочек-подростков с гипоменструальным синдромом. Здоровье женщины. 2017;3(119):37.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Левенец СА, Начетова ТА. Индекс свободного эстрадиола при вторичной аменорее у девочек-подростков. Украинский журнал детской эндокринологии. 2013;(4):20-3.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Левенець CO, Перевозчиков ВВ, Удовікова НО. Характер хронічної екстрагенітальної патології у дівчаток-підлітків із розладами менструальної функції що виникла на першому році після менархе. В: Проблемні питання діагностики та лікування дітей з соматичною патологією. Матеріали наук.-практ. конф. лікарів-педіатрів з міжнар. участю, з нагоди 30-річчя заснування каф. педіатрії № 2 та 75-річчя зав. каф. педіатрії № 2, заслуженного лікаря Укр., д-ра мед. наук, проф. Юрія Васильовича Одинця; 2014 Бер. 21; Харків, Україна. Харків; 2014. с. 130-1.</w:t>
      </w:r>
    </w:p>
    <w:p w:rsidR="00AB5C7D" w:rsidRPr="007A6857" w:rsidRDefault="00F452D3"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Левенец СА, Удовикова НА, Новохатская СВ. Характер менструальной и репродуктивной функции у женщин с олигоменореей в периоде пубертатна. Репродуктивное здоровье детей и подростков. 2016;(3):38-9.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Локтионов АЛ, Конопля АИ, Лунев МА. Иммунные и оксидантные нарушения в патогенезе воспалительных заболеваний пародонта. Иммунология. 2015;36(5):319-28.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Лук’янчук ВД, Гордійчук ДО. Сучасний стан питання патогенезу пародонтиту та його фармакокорекції (огляд літератури). Медицина сьогодні і завтра = Медицина сегодня и завтра. 2015;(2):14-22.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Льянова ДК, Даурова ФЮ, Дроздова ГА, Тарасова ТВ, Прытков ВА, Кульченко АА. Экспериментальное исследование иммунологической реактивности организма в патогенезе воспалительного процесса в тканях пародонта. Российский стоматологический журнал = Russian Journal of Dentistry. 2013;(2):5-7.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Мазурова ЯЯ, Парфенов АИ, Грухин ЮА, Кравцов ВЮ. Иммуноцитохимическое исследование интерлейкина-1β в эпителиоцитах десен при хроническом генерализованном пародонтите. Клиническая лабораторная диагностика. 2011;(10):8.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Макарчук ОМ, Дзьомбак ВБ. Характеристика репродуктивного потенциала у женщин с нарушением становления менструальной функции в пубертате, методы профилактики и коррекции. Репродуктивное здоровье. Восточная Европа = Reproductive health. Eastern Europe. 2017;7(4):522-9.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Маковка ІЛ, Пащенко МВ, Мохонь ЮА. Ефективність застосування препарату "Фосфадент-Біо" в лікуванні хронічного верхівкового періодонтиту в підлітків. Український стоматологічний альманах. 2012;(2):117-8.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Мамедов ФЮ, Ердоган И. Патогенетическая активность микрофлоры полости рта больных с соматической патологией. Актуальні проблеми сучасної медицини: Вісник української медичної стоматологічної академії. 2016;16(4-1):23-7.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Манухин ИБ, Тумилович ЛГ, Геворкян МА. Клинические лекции по гинекологической эндокринологии. Москва: Медицинское информационное агентство; 2003. 248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Матвійків ТІ, Герелюк ВІ, Нейко НВ. Ефективність використання періотестометрії в пародонтології. Науковий вісник Ужгородського університету. Сер.: Медицина. 2013;(1):136-9.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Мачоган ВР. Мікрофлора порожнини рота та її роль у патогенезі генералізованого пародонтиту. Вісник проблем біології і медицини. 2014;4(4):25-9.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Мащенко ИС, Гударьян АА, Васильковская ОС. Иммунопатогенез различных клинических форм генерализованного пародонтита. Вісник стоматології. 2012;(2):41-6.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Мащенко ИС, Гударьян АА. Оценка минеральной плотности костных структур пародонта,минерального обмена и костного метаболизма у больных генерализованным пародонтитом. Вісник стоматології. 2012;(2):52-8.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Мелехов СВ, Колесникова НВ, Овчаренко ЕС. Состояние местного иммунитета и микробиоценоза полости рта у больных хроническим генерализованным пародонтитом. Пародонтология. 2013;18(1):3-9.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Мельник НС. Оцінка показників пародонтального статусу у хворих на генералізований пародонтит на тлі порушення функції щитоподібної залози. Галицький лікарський вісник. 2013;20(3):50-2.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Мельник НС. Показники комп׳ютерної томографії кісткової тканини коміркових відростків у хворих на генералізований пародонтит при дисфункції щитоподібної залози. Архів клінічної медицини. 2013;(1):59-62.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Мельничук ГМ. </w:t>
      </w:r>
      <w:r w:rsidR="00F452D3">
        <w:rPr>
          <w:rFonts w:ascii="Times New Roman" w:hAnsi="Times New Roman"/>
          <w:sz w:val="28"/>
          <w:szCs w:val="28"/>
          <w:lang w:val="uk-UA"/>
        </w:rPr>
        <w:t>Политун АМ, Ковальчук ЛЕ, Эрстенюк ГМ. Алгоритм возникновения и развития генерализованного пародонтита и пародонтоза. Схема комплексного лечения генерализованного пародонтита. Современная стоматология. 2013;1(65):35.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Мельничук ГМ. Цитогенетичні маркери хвороб пародонту. Современная стоматология. 2011;(1):47-51.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Мирсаева ФЗ, Акбулатова ЭЮ. Комплексная профилактика обострения хронического генерализованного пародонтита у женщин репродуктивного возраста в лютеиновой фазе менструального цикла. Пародонтология. 2014;19(4):68-71.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Мирсаева ФЗ, Акбулатова ЭЮ. Частота обострения хронического генерализованного пародонтита у женщин репродуктивного возраста с учетом циклических изменений гонадотропных и стероидных гормонов. Российский стоматологический журнал. 2011;(5):29-31.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Мирсаева ФЗ, Губайдуллина ЛФ. Профилактика обострения хронического генерализованного пародонтита у женщин репродуктивного возраста в фолликулиновой фазе менструального цикла. Российский стоматологический журнал. 2015;(4):49-51.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Михайлюта МА, Кириченко ЮА, Манащук СІ, Колодинська ОВ. Досвід лікування та профілактики пубертатних маткових кровотеч. Акушерство. Гінекологія. Генетика. 2016;2(1):44-8.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Михалева ЛМ, Шаповалов ВД, Бархина ТГ. Хронический пародонтит. Клиническая морфология и иммунология. Москва: Триада-фарм, 2004. 125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Модина ТН, </w:t>
      </w:r>
      <w:r w:rsidR="00496044">
        <w:rPr>
          <w:rFonts w:ascii="Times New Roman" w:hAnsi="Times New Roman"/>
          <w:sz w:val="28"/>
          <w:szCs w:val="28"/>
          <w:lang w:val="uk-UA"/>
        </w:rPr>
        <w:t>Вольвач ЮЮ, Кащеев БВ, Петрук АВ, Бабусенко ЛВ</w:t>
      </w:r>
      <w:r w:rsidRPr="007A6857">
        <w:rPr>
          <w:rFonts w:ascii="Times New Roman" w:hAnsi="Times New Roman"/>
          <w:sz w:val="28"/>
          <w:szCs w:val="28"/>
          <w:lang w:val="uk-UA"/>
        </w:rPr>
        <w:t xml:space="preserve">. </w:t>
      </w:r>
      <w:r w:rsidR="00496044">
        <w:rPr>
          <w:rFonts w:ascii="Times New Roman" w:hAnsi="Times New Roman"/>
          <w:sz w:val="28"/>
          <w:szCs w:val="28"/>
          <w:lang w:val="uk-UA"/>
        </w:rPr>
        <w:t>Комплексное лечение пациентов с генерализованным пародонтитом</w:t>
      </w:r>
      <w:r w:rsidRPr="007A6857">
        <w:rPr>
          <w:rFonts w:ascii="Times New Roman" w:hAnsi="Times New Roman"/>
          <w:sz w:val="28"/>
          <w:szCs w:val="28"/>
          <w:lang w:val="uk-UA"/>
        </w:rPr>
        <w:t xml:space="preserve">. </w:t>
      </w:r>
      <w:r w:rsidR="00496044">
        <w:rPr>
          <w:rFonts w:ascii="Times New Roman" w:hAnsi="Times New Roman"/>
          <w:sz w:val="28"/>
          <w:szCs w:val="28"/>
          <w:lang w:val="uk-UA"/>
        </w:rPr>
        <w:t>Клиническая стоматология. 2015;2(74):14-17</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Модина ТН, Салехов ЛИ. Факторы риска развития рецессии десны у детей и подростков. Стоматология детского возраста и профилактика. 2012;11(3):14-8.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Мороз ПВ. Орехова ЛЮ, Ломова АС. Отличительные особенности пародонтологического статуса больных при эндопародонтальном синдроме. Пародонтология. 2015;20(4):53-8.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Московкина АВ, Пузикова ОЗ, Линде ВА. Синдром гиперандрогении: клинические проявления и гормональный статус у девочек-подростков. Педиатрия. 2014;(5):9-14.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Московкина АВ, Пузикова ОЗ, Линде ВА. Характеристика гормонального статуса девочек с пубертатной гиперандрогенией. Журнал фундаментальной медицины и биологии. 2013;(4):43-7.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Мусаходжаева ДА, Хайдарова ФА. Роль цитокинов в регуляции менструального цикла. Міжнародний ендокринологічний журнал. 2010;(1):78-81.</w:t>
      </w:r>
    </w:p>
    <w:p w:rsidR="00AB5C7D" w:rsidRPr="007A6857" w:rsidRDefault="00AC1AF0"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Назарян PC, Кривенко ЛС</w:t>
      </w:r>
      <w:r w:rsidR="00AB5C7D" w:rsidRPr="007A6857">
        <w:rPr>
          <w:rFonts w:ascii="Times New Roman" w:hAnsi="Times New Roman"/>
          <w:sz w:val="28"/>
          <w:szCs w:val="28"/>
          <w:lang w:val="uk-UA"/>
        </w:rPr>
        <w:t>.</w:t>
      </w:r>
      <w:r>
        <w:rPr>
          <w:rFonts w:ascii="Times New Roman" w:hAnsi="Times New Roman"/>
          <w:sz w:val="28"/>
          <w:szCs w:val="28"/>
          <w:lang w:val="uk-UA"/>
        </w:rPr>
        <w:t xml:space="preserve"> Регресійна модель зв’язку рівня імуноглобуліну А та стану тканин пародонту у дітей з бронхіальною астмою. Вісник проблем біології і медицини. 2016;3(132):138-140.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Назарян РС, Ольшанецька АО. Пародонтологічний статус жінок з синдромом полікістозних яєчників. Вісник проблем біології і медицини. 2014;2(2):31-4.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Начетова ТА, Кашкалда ДА, Бондаренко ВА, Кулешова ДК. Особенности содержания в сыворотке крови эстрадиола у девушек-подростков с вторичной аменореей. Український радіологічний журнал. 2012;20(3):322-4.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Начетова ТА. Клинико-гормональные связи при вторичной аменорее у девочек-подростков. Украинский журнал детской эндокринологии. 2014;(4):29-33.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Начетова ТА. Патогенетические механизмы формирования различных клинических вариантов вторичной аменореи у девочек-подростков. Здоровье женщины. 2014;(8):138.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Неспрядько ВП, Жданович ІО. Особливості імунологічної адаптації при генералізованому пародонтиті. Современная стоматология. 2011;(3):60-2.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Николаева АВ, Деньга ОВ, Макаренко ОА. Клинико-лабораторная оценка эффективности профилактики осложнений заболеваний тканей пародонта у женщин с гипо- и гиперэстрогенией. Буковинський медичний вісник. 2017;21(2 Ч 1):47-53.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Николаева АВ, Ткаченко ЕК, Николаенко КВ. Биохимические показатели минерального обмена, состояния соединительно-тканного матрикса и интенсивности воспаления тканей пародонта у женщин при разном уровне эстрогенов в крови. Вісник стоматології. 2016;(2):19-22.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Николаева АВ. Влияние растительных полифенолов на ткани пародонта у женщин с гиперэстрогенией. Вісник стоматології. 2016;(1):14-6.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Новикова МА. Взаимосвязь свободнорадикального окисления липидов и антиоксидантной системы при заболеваниях пародонта. Вісник стоматології. 2011;(3):29-32.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Новікова МА, Городенко ЕА. Стан місцевого імунітету при захворюваннях пародонту. Вісник стоматології. 2011;(1):29-31.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Овечкина МВ, Цыплаков ДЭ, Ахмеров PP, Зарудий РФ. Изучение патоморфологических изменений тканей десны при лечении хронических воспалительных и воспалительно-деструктивных заболеваний пародонта с использованием регенеративного метода на основе аутологичной тромбоцитарной плазмы. Пародонтология. 2015;20(3). Ч 2; с. 23-6.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Огурцов АС. Влияние оксида азота на микроциркуляцию в тканях пародонта. В: Рябоконь ЕН и др., ред. Вопросы экспериментальной и клинической стоматологии = Питання експериментальної і клінічної стоматології: сб. науч. тр. Харків; 2013. Вып. 10, Современные достижения стоматологической науки, практики и образования; с. 35-6.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Орехова ЛЮ, Горбачева ИА. Основные принципы патогенетического подхода к лечению полиморбидных больных с сочетанной патологией пародонта и внутренних органов. Современная стоматология. 2011;(5):113.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Орехова ЛЮ, Жаворонкова МД, Суборова ТН. Современные технологии бактериологического исследования пародонтальных пространств. Пародонтология. 2013;18(2):9-13.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Орехова ЛЮ, Кудрявцева ТВ, Исаева ЕР, Тачалов ВВ, Лобода ЕС, Чеминава HР, Гордеева ОС. Роль психологических особенностей личности в формировании мотивации к индивидуальной гигиене полости рта. Пародонтология. 2013;18(1):10-3.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Орехова ЛЮ, Чибисова МА, Серова НВ. Клинико-лучевая характеристика хронического генерализованного пародонтита. Пародонтология. 2013;18(3):3-9.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Осипенкова ТС, Семенова ОА, Попко АН. Возможности оптимизации перекисного окисления липидов в комплексном лечении генерализованного пародонтита. Стоматолог. 2011;(6):17-8.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Остапко ОІ. Стан тканин пародонта у дітей та підлітків, які проживають у різних регіонах України Новини стоматології. 2015;(1):78-83.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Островський АВ. Биохимические показатели ротовой жидкости у больных хроническим катаральным гингивитом и генерализованным пародонтитом начальной -I и I степени. Вісник проблем біології і медицини. 2014;2(2):56-8.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Павлов АА, Водолацкий ВМ. Изучение клинических и гистологических особенностей гингивита в детском возрасте. Стоматология для всех. 2015;(1):24-6.</w:t>
      </w:r>
    </w:p>
    <w:p w:rsidR="00AB5C7D" w:rsidRPr="00CD3E59"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Паренкова ИА, Коколина ВФ. Качество жизни у девочек-подростков с нарушениями менструального цикла. Репродуктивное здоровье детей и подростков. 2012;(1):46-56.</w:t>
      </w:r>
    </w:p>
    <w:p w:rsidR="00CD3E59" w:rsidRPr="007A6857" w:rsidRDefault="00CD3E59" w:rsidP="00CD3E59">
      <w:pPr>
        <w:pStyle w:val="aa"/>
        <w:spacing w:line="360" w:lineRule="auto"/>
        <w:ind w:left="709"/>
        <w:jc w:val="both"/>
        <w:rPr>
          <w:rFonts w:ascii="Times New Roman" w:hAnsi="Times New Roman"/>
          <w:sz w:val="28"/>
          <w:szCs w:val="28"/>
          <w:lang w:val="uk-UA"/>
        </w:rPr>
      </w:pP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Петрухина НБ, Зорина ОА, Рабинович ИМ, Шилов АМ. Эпидемиологические взаимосвязи пародонтита, дисбиоза кишечника, атерогенной дислипидемии при метаболическом синдроме. Стоматология. 2015;94(2):16-9.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Плотникова СЮ, Корецкая ЕА, Емелина ГВ, Емелина ЕС. Профилактика заболеваний пародонта у подростков. Actualscience. 2015;1(5):37-8.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Полярус ОН, Мороз БТ. Исследование состояния микроциркуляции крови в тканях пародонта у пациентов с аутоиммунным тиреоидитом в различных стадиях заболевания. Лазерная медицина. 2012;16(4):48-50.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Радыш ИВ, Брюнин ДВ, Скальный ВВ. Элементный статус слюны здоровых женщин в разное время суток. Вопросы биологической, медицинской и фармацевтической химии. 2013;(10):45-9.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Рева ГВ, Русакова ЕЮ, Толмачёв ВЕ, Первов ЮЮ, Разумов ПВ, Игнатенко КА, и др. Роль тучных клеток в системе местного иммунофагоцитарного звена пародонта у детей. Фундаментальные исследования. 2012;(5-1):105-9.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Ревазова ЗЭ, Вагнер ВД. Ошибки и осложнения в результате несвоевременной или неправильной диагностики и лечения больных с заболеваниями пародонта. Пародонтология. 2013;18(3):23-9.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Рейзвих ОЭ. Анисимова ЛВ, Деньга ОВ. Динамика изменения клинических показателей состояния пародонта у детей 12 лет под влиянием профессиональной гигиены полости рта с применением технологии Air Flov. Вісник стоматології. 2017;(1):53-61.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Ризник ЮБ. Дисфункция эндотелия сосудов пародонта и ее роль в развитии и прогрессировании генерализованного пародонтита. Вісник проблем біології і медицини. 2014. 2(2):115-120.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Різник ОБ, Різник СС. Сучасні методи корекції судинних порушень у комплексному лікуванні хворих на генералізований пародонтит. Практична медицина. 2011;17(1):15-23.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Різник ЮБ. Обгрунтування корекції дисфункції ендотелію судин пародонту в комплексному лікуванні хворих на генералізований пародонтит [автореферат]. Львів: Львівський національний медичний університет ім. Д. Галицького; 2016. 20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Робакидзе КТ, Григолия ЛШ. Влияние дисплазии соединительной ткани на клиническое течение некоторых заболеваний пародонта. Medicus. 2016;(3):143-5.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Родионова ЕЮ, Чутко ЛС. Психовегетативные нарушения у девушек с альгодисменореей. Медицина: теория и практика. 2016;1(1):10-4.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Рожко КП. Вплив зубних паст, що містять рослинні екстракти, на функціональний стан тканин пародонту [автореферат]. Одеса: Інститут стоматології АМН України; 2011. 20 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Румянцева ЗС. Коррекция основного патогенетического фактора ретенционных образований яичниковв подростковом возрасте. Медико-социальные проблемы семьи. 2013;18(3):74-7.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Русакова ЕЮ, Рева ГВ, Акимова СЕ, Савинова ЛП. Иммуногистохимический мониторинг тучных клеток при патологии пародонта у детей. Стоматология детского возраста и профилактика. 2011;10(4):18-20.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Рябоконь ЕН, Доля ЭИ. Определение эффективности лечения больных с фуркационными перфорациями твердых по результатам исследования уровня противоспалительного цитокина ИЛ-1β десневой жидкости. В: Стоматологія Придніпров'я. Перша міжрегіональна науково-практична конференція; 2013 Жовт. 11; Дніпропетровськ; Запоріжжя, Україна. Дніпропетровськ; Запоріжжя; 2013. с. 99.</w:t>
      </w:r>
    </w:p>
    <w:p w:rsidR="00AB5C7D" w:rsidRPr="007A6857" w:rsidRDefault="002C276E"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Рябоконь ЕН</w:t>
      </w:r>
      <w:r w:rsidR="00AB5C7D" w:rsidRPr="007A6857">
        <w:rPr>
          <w:rFonts w:ascii="Times New Roman" w:hAnsi="Times New Roman"/>
          <w:sz w:val="28"/>
          <w:szCs w:val="28"/>
          <w:lang w:val="uk-UA"/>
        </w:rPr>
        <w:t xml:space="preserve">, </w:t>
      </w:r>
      <w:r>
        <w:rPr>
          <w:rFonts w:ascii="Times New Roman" w:hAnsi="Times New Roman"/>
          <w:sz w:val="28"/>
          <w:szCs w:val="28"/>
          <w:lang w:val="uk-UA"/>
        </w:rPr>
        <w:t>Черепинс</w:t>
      </w:r>
      <w:r w:rsidR="00AB5C7D" w:rsidRPr="007A6857">
        <w:rPr>
          <w:rFonts w:ascii="Times New Roman" w:hAnsi="Times New Roman"/>
          <w:sz w:val="28"/>
          <w:szCs w:val="28"/>
          <w:lang w:val="uk-UA"/>
        </w:rPr>
        <w:t>ка</w:t>
      </w:r>
      <w:r>
        <w:rPr>
          <w:rFonts w:ascii="Times New Roman" w:hAnsi="Times New Roman"/>
          <w:sz w:val="28"/>
          <w:szCs w:val="28"/>
          <w:lang w:val="uk-UA"/>
        </w:rPr>
        <w:t>я ЮА, Баглык ТВ.</w:t>
      </w:r>
      <w:r w:rsidR="00AB5C7D" w:rsidRPr="007A6857">
        <w:rPr>
          <w:rFonts w:ascii="Times New Roman" w:hAnsi="Times New Roman"/>
          <w:sz w:val="28"/>
          <w:szCs w:val="28"/>
          <w:lang w:val="uk-UA"/>
        </w:rPr>
        <w:t xml:space="preserve"> </w:t>
      </w:r>
      <w:r>
        <w:rPr>
          <w:rFonts w:ascii="Times New Roman" w:hAnsi="Times New Roman"/>
          <w:sz w:val="28"/>
          <w:szCs w:val="28"/>
          <w:lang w:val="uk-UA"/>
        </w:rPr>
        <w:t>Клинические результаты применения диодного лазера 940 нм у пациентов с хроническим генерализованным пародонтитом</w:t>
      </w:r>
      <w:r w:rsidR="00AB5C7D" w:rsidRPr="007A6857">
        <w:rPr>
          <w:rFonts w:ascii="Times New Roman" w:hAnsi="Times New Roman"/>
          <w:sz w:val="28"/>
          <w:szCs w:val="28"/>
          <w:lang w:val="uk-UA"/>
        </w:rPr>
        <w:t>.</w:t>
      </w:r>
      <w:r>
        <w:rPr>
          <w:rFonts w:ascii="Times New Roman" w:hAnsi="Times New Roman"/>
          <w:sz w:val="28"/>
          <w:szCs w:val="28"/>
          <w:lang w:val="uk-UA"/>
        </w:rPr>
        <w:t xml:space="preserve"> Лазерная медицина. 2016;(3):83</w:t>
      </w:r>
      <w:r w:rsidR="00AB5C7D"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Сальникова ИА, Уварова ЕВ. Ингибиторы фибринолиза или прогестины: обоснование выбора препарата для гемостатической терапии при </w:t>
      </w:r>
      <w:r w:rsidRPr="007A6857">
        <w:rPr>
          <w:rFonts w:ascii="Times New Roman" w:hAnsi="Times New Roman"/>
          <w:sz w:val="28"/>
          <w:szCs w:val="28"/>
          <w:lang w:val="uk-UA"/>
        </w:rPr>
        <w:lastRenderedPageBreak/>
        <w:t>аномальных маточных кровотечениях в пубертатном периоде. Репродуктивное здоровье детей и подростков. 2017;(1):19-36.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Селина ЕЭ, Гильманова АР, Калинкина ОБ. Яичниковая гиперандрогения у девочек-подростков. Клинические проявления и коррекция. Электронный научно-образовательный вестник Здоровье и образование в XXI веке. 2017;19(12):250-1.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Сергеева ИЕ, Брюзгина ТС. Клинико-диагностические особенности жирнокислотного спектра липидов у больных генерализованным пародонтитом. Лікарська справа. 2010;(7-8):53-6.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Сергеева ИЕ. Диагностические показатели локального иммунного ответа у больных генерализованным пародонтитом. Лікарська справа. 2011;(1-2):132-5.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Сергеева ИЕ. Показатели местного иммунитета у больных генерализованным пародонтитом. Вісник стоматології. 2011;(1):32-5.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Сергєєва ІЄ. Обгрунтування мембраностабілізуючої терапії при комплексному лікуванні хворих на генералізований пародонтит. Новини стоматології. 2011;(4):48-51.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Сибирская ЕВ, Адамян ЛВ, Колтунов ИЕ, Плошкина АА. Синдром поликистозных яичников у юных пациенток (обзор литературы). Лечащий врач. 2017;(12):8-10.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Сибирская ЕВ, Колтунов ИЕ, Петряйкина ЕЕ, Смаль ТА, Шуткова АЮ. Роль антиовариальных антител в патогенезе нарушения менструального цикла у девочек и девушек, больных сахарным диабетом 1 типа. Проблемы репродукции. 2015;(6):77-81.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Сивовол СИ. Клинические аспекты пародонтологии. 2-е изд., перераб. и доп. Москва: Триада, Харков; 2001. 168 с.</w:t>
      </w:r>
    </w:p>
    <w:p w:rsidR="00AB5C7D" w:rsidRPr="00CD3E59" w:rsidRDefault="00A36BE6"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Соколова </w:t>
      </w:r>
      <w:r>
        <w:rPr>
          <w:rFonts w:ascii="Times New Roman" w:hAnsi="Times New Roman"/>
          <w:sz w:val="28"/>
          <w:szCs w:val="28"/>
          <w:lang w:val="ru-RU"/>
        </w:rPr>
        <w:t>ИИ, Хлистун НЛ. Лечебное действие оральных гелей с гиалуроновой кислотой и кверцетином на состояние полости рта у больных гингивитом. Наука и здравоохранение. 2015;6:110-23.</w:t>
      </w:r>
    </w:p>
    <w:p w:rsidR="00CD3E59" w:rsidRPr="007A6857" w:rsidRDefault="00CD3E59" w:rsidP="00CD3E59">
      <w:pPr>
        <w:pStyle w:val="aa"/>
        <w:spacing w:line="360" w:lineRule="auto"/>
        <w:ind w:left="709"/>
        <w:jc w:val="both"/>
        <w:rPr>
          <w:rFonts w:ascii="Times New Roman" w:hAnsi="Times New Roman"/>
          <w:sz w:val="28"/>
          <w:szCs w:val="28"/>
          <w:lang w:val="uk-UA"/>
        </w:rPr>
      </w:pP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Соколова ИИ, Волченко НВ. Состояние тканей пародонта у школьников 8-11 лет с различной учебной нагрузкой. Експериментальна і клінічна медицина = Экспериментальная и клиническая медицина. 2014;(1):185-7.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Соколова ІІ, Бойко ГС, Бондаренко ЛО. Морфологічні та гістологічні зміни пародонту кролів у експерименті на мелатоніновій моделі. Вісник проблем біології і медицини. 2013; 2(4):214-8.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Сороченко ГВ, Скульська СВ, Ішутко ІФ. Європейські індикатори стоматологічного здоров'я дітей шкільного віку Київської області = European indicators of oral health in school age children of Kyiv region. Вісник соціальної гігієни та організації охорони здоров’я України. 2016;(1):36-40.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Степанова ЕА, Колесников СИ. Нарушения менструального цикла у девочек-подростков с дисплазией соединительной ткани. Acta Biomedica Scientifica. 2012;(2-2):49-53.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Суворова ИА, Малышев ИЮ, Черняев СЕ, Шиманский ШЛ, Янушевич ОО. Ограничение воспалительной реакции при экспериментальном пародонтите у мышей с помощью биотехнологии репрограммирования макрофагов. Пародонтология. 2015;20(4):3-7.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Такиметбекова БЖ. Воспалительные заболевания тканей пародонта у детей. Вестник Казахского национального медицинского университета.2014;(1):156-8.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Ткаченко ГИ, Начетова ТА. Особенности гормонально-метаболических показателей у девочек-подростков с вторичной аменореей. Успехи современного естествознания. 2015;(9-2):249-52.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Ткаченко НВ, Андреева ВО, Заика ВГ, Андреев АС, Лев ЛМ. Нейроэндокринные сдвиги у девочек-подростков с избыточной массой тела и овариальной дисфункцией в зависимости от типа нарушения пищевого поведения. Репродуктивное здоровье детей и подростков. 2015;(5):73-85.</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Удовикова НА. Особенности уровней половых гормонов у девочек-подростков с первичной олигоменореей. Здоровье женщины. 2016;(3):138.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Улитовский СБ, Алексеева ЕС, Васянина АА. Проблемы пародонтологии и современные пути их решения. Пародонтология. 2015;20(3):33-6.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Усманова ИН, Герасимова ЛП, Кабирова МФ, Туйгунов ММ, Усманов ИР. Диагностические критерии хронического гингивита и пародонтита у лиц молодого возраста. Пародонтология. 2014;19(4):44-9.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Усманова ИН, Герасимова ЛП, Кабирова МФ, Туйгунов ММ, Усманов ИР. Клинико-микробиологическая эффективность применения фотодинамической терапии хронического гингивита и пародонтита у лиц молодого возраста. Пародонтология. 2015;20(2):67-72.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Феськов ВА. Использование функциональных проб для уточнения генеза нарушения менструальной функции. В: Лісовий ВМ, ред. Медицина третього тисячоліття. Зб. тез міжвуз. конф. молодих вчених та студентів; 2012 Січ. 17-18; Харків, Україна. Харків, 2012. с. 140-1.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Фирла Т. Экспресс-тест для определения острой деградации ткани. ДентАрт. 2015;(3):30-4.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Фяткулин РР, Дмитриев СА, Керимов НД. Гингивит у детей и подростков. Бюллетень медицинских интернет-конференций. 2014;(12):1382-3.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Халимова ДР. </w:t>
      </w:r>
      <w:r w:rsidR="00C02769">
        <w:rPr>
          <w:rFonts w:ascii="Times New Roman" w:hAnsi="Times New Roman"/>
          <w:sz w:val="28"/>
          <w:szCs w:val="28"/>
          <w:lang w:val="uk-UA"/>
        </w:rPr>
        <w:t>Обмен биополимеров соединительной ткани при воспалении органов малого таза у девочек-подростков</w:t>
      </w:r>
      <w:r w:rsidRPr="007A6857">
        <w:rPr>
          <w:rFonts w:ascii="Times New Roman" w:hAnsi="Times New Roman"/>
          <w:sz w:val="28"/>
          <w:szCs w:val="28"/>
          <w:lang w:val="uk-UA"/>
        </w:rPr>
        <w:t xml:space="preserve">. </w:t>
      </w:r>
      <w:r w:rsidR="00C02769">
        <w:rPr>
          <w:rFonts w:ascii="Times New Roman" w:hAnsi="Times New Roman"/>
          <w:sz w:val="28"/>
          <w:szCs w:val="28"/>
          <w:lang w:val="uk-UA"/>
        </w:rPr>
        <w:t>Здоровье, демография, екология чинно-угорских народов. 2017;(3):36-41</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Хащенко ЕП, Уварова ЕВ, Мамедова ФШ. Фенотипические особенности синдрома поликистозных яичников у девочек подросткового возраста. Репродуктивное здоровье детей и подростков. 2017;(1):37-50.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Хворик НВ. Структура овариальной недостаточности как причины нарушения менструальной и репродуктивной функции. Репродуктивное здоровье. Восточная Европа = Reproductive health. Eastern Europe. 2017;7(2):312-3.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Холодняк ОВ. Поширеність та структура захворювань тканин пародонта в осіб молодого віку. Клінічна та експериментальна патологія. 2015;14(3):159-162.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Хоменко ЛО, Марушко ЮВ, Московенко ОД, Дуда ОВ. Взаємозв'язок запальних захворювань тканин пародонта та соматичних захворювань у дітей. Огляд л-ри. Новини стоматології. 2015(2):90-4.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Хурасева АБ. Лечебно-профилактические мероприятия у девочек с маточными кровотечениями пубертатного периода. Современная педиатрия. 2013;(5):203.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Царев ВН, Николаева ЕН</w:t>
      </w:r>
      <w:r w:rsidR="00927783">
        <w:rPr>
          <w:rFonts w:ascii="Times New Roman" w:hAnsi="Times New Roman"/>
          <w:sz w:val="28"/>
          <w:szCs w:val="28"/>
          <w:lang w:val="uk-UA"/>
        </w:rPr>
        <w:t>, Ипполитов ЕВ</w:t>
      </w:r>
      <w:r w:rsidRPr="007A6857">
        <w:rPr>
          <w:rFonts w:ascii="Times New Roman" w:hAnsi="Times New Roman"/>
          <w:sz w:val="28"/>
          <w:szCs w:val="28"/>
          <w:lang w:val="uk-UA"/>
        </w:rPr>
        <w:t xml:space="preserve">. </w:t>
      </w:r>
      <w:r w:rsidR="00927783">
        <w:rPr>
          <w:rFonts w:ascii="Times New Roman" w:hAnsi="Times New Roman"/>
          <w:sz w:val="28"/>
          <w:szCs w:val="28"/>
          <w:lang w:val="uk-UA"/>
        </w:rPr>
        <w:t>Пародонтопатогенные бактерии – основной фактор возникновения и развития пародонтита</w:t>
      </w:r>
      <w:r w:rsidRPr="007A6857">
        <w:rPr>
          <w:rFonts w:ascii="Times New Roman" w:hAnsi="Times New Roman"/>
          <w:sz w:val="28"/>
          <w:szCs w:val="28"/>
          <w:lang w:val="uk-UA"/>
        </w:rPr>
        <w:t xml:space="preserve">. </w:t>
      </w:r>
      <w:r w:rsidR="00927783">
        <w:rPr>
          <w:rFonts w:ascii="Times New Roman" w:hAnsi="Times New Roman"/>
          <w:sz w:val="28"/>
          <w:szCs w:val="28"/>
          <w:lang w:val="uk-UA"/>
        </w:rPr>
        <w:t>Журнал микробиологии, эпидемиологии и иммунобиологии. 2017;(5</w:t>
      </w:r>
      <w:r w:rsidRPr="007A6857">
        <w:rPr>
          <w:rFonts w:ascii="Times New Roman" w:hAnsi="Times New Roman"/>
          <w:sz w:val="28"/>
          <w:szCs w:val="28"/>
          <w:lang w:val="uk-UA"/>
        </w:rPr>
        <w:t>)</w:t>
      </w:r>
      <w:r w:rsidR="00927783">
        <w:rPr>
          <w:rFonts w:ascii="Times New Roman" w:hAnsi="Times New Roman"/>
          <w:sz w:val="28"/>
          <w:szCs w:val="28"/>
          <w:lang w:val="uk-UA"/>
        </w:rPr>
        <w:t>:101-12</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Цепов ЛМ, Николаев АИ, Наконечный ДА, Нестерова ММ. Консервативные методы в профилактике и комплексной терапии воспалительных заболеваний пародонта (обзор литературы). Пародонтология. 2015;20(1):7-9.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Цепов ЛМ, Николаев АИ, Наконечный ДА, Нестерова ММ. Микробные биопленки и хронические воспалительные заболевания пародонта (обзор литературы). Пародонтология. 2015;20(3):3-6.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Цепов ЛМ, Цепова ЕЛ, Цепов АЛ. Пародонтит: локальный очаг серьезных проблем (обзор литературы). Пародонтология. 2014;19(3):3-6.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Цисар ЮВ, Андрієць ОА. Вплив патології щитоподібної залози на менструальну функцію у дівчат пубертатного віку. Буковинський медичний вісник. 2011;15(2):130-2.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Цисар ЮВ, Андрієць ОА. Гормональний профіль дівчат-підлітків, хворих на пубертатні менорагії, на тлі патології щитоподібної залози. Таврический медико-биологический вестник. 2013;16(2-1):238-40.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Цьолко ОР. Вплив біофізичних особливостей організму на репродуктивні установки дівчат-підлітків. Таврический медико-биологический вестник. 2013;16(2-1):241-4.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Цыбиков НН, Доманова ЕТ, Зобнин ВВ, Игнатов МЮ, Масло ЕЮ, Исакова НВ. Свойства десневой жидкости при остром гингивите и хроническом пародонтите. Российский стоматологический журнал = Russian Journal of Dentistry. 2012;(1):40-2.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Чайковская ИВ,</w:t>
      </w:r>
      <w:r w:rsidR="00927783">
        <w:rPr>
          <w:rFonts w:ascii="Times New Roman" w:hAnsi="Times New Roman"/>
          <w:sz w:val="28"/>
          <w:szCs w:val="28"/>
          <w:lang w:val="uk-UA"/>
        </w:rPr>
        <w:t xml:space="preserve"> Шелякова ИП, Комаревская ЕВ</w:t>
      </w:r>
      <w:r w:rsidRPr="007A6857">
        <w:rPr>
          <w:rFonts w:ascii="Times New Roman" w:hAnsi="Times New Roman"/>
          <w:sz w:val="28"/>
          <w:szCs w:val="28"/>
          <w:lang w:val="uk-UA"/>
        </w:rPr>
        <w:t xml:space="preserve">. </w:t>
      </w:r>
      <w:r w:rsidR="00B25C78">
        <w:rPr>
          <w:rFonts w:ascii="Times New Roman" w:hAnsi="Times New Roman"/>
          <w:sz w:val="28"/>
          <w:szCs w:val="28"/>
          <w:lang w:val="uk-UA"/>
        </w:rPr>
        <w:t>Оценка взаимосвязей микробной обсемененности пародонтальных карманов с системами гомеостаза при генерализованном пародонтите</w:t>
      </w:r>
      <w:r w:rsidRPr="007A6857">
        <w:rPr>
          <w:rFonts w:ascii="Times New Roman" w:hAnsi="Times New Roman"/>
          <w:sz w:val="28"/>
          <w:szCs w:val="28"/>
          <w:lang w:val="uk-UA"/>
        </w:rPr>
        <w:t xml:space="preserve">. </w:t>
      </w:r>
      <w:r w:rsidR="00B25C78">
        <w:rPr>
          <w:rFonts w:ascii="Times New Roman" w:hAnsi="Times New Roman"/>
          <w:sz w:val="28"/>
          <w:szCs w:val="28"/>
          <w:lang w:val="uk-UA"/>
        </w:rPr>
        <w:t>Актуальные вопросы стоматологии. 2017;(1):405-10</w:t>
      </w:r>
      <w:r w:rsidRPr="007A6857">
        <w:rPr>
          <w:rFonts w:ascii="Times New Roman" w:hAnsi="Times New Roman"/>
          <w:sz w:val="28"/>
          <w:szCs w:val="28"/>
          <w:lang w:val="uk-UA"/>
        </w:rPr>
        <w:t>.</w:t>
      </w:r>
    </w:p>
    <w:p w:rsidR="00AB5C7D" w:rsidRPr="007A6857" w:rsidRDefault="002C276E"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Чепурова НИ. </w:t>
      </w:r>
      <w:r>
        <w:rPr>
          <w:rFonts w:ascii="Times New Roman" w:hAnsi="Times New Roman"/>
          <w:sz w:val="28"/>
          <w:szCs w:val="28"/>
          <w:lang w:val="uk-UA"/>
        </w:rPr>
        <w:t>Влияние сочетанного применения иммунобиологических препаратов на биохимические показатели слюны у больных хроническим апикальным периодонтитом на фоне дисбиоза полости рта</w:t>
      </w:r>
      <w:r w:rsidRPr="007A6857">
        <w:rPr>
          <w:rFonts w:ascii="Times New Roman" w:hAnsi="Times New Roman"/>
          <w:sz w:val="28"/>
          <w:szCs w:val="28"/>
          <w:lang w:val="uk-UA"/>
        </w:rPr>
        <w:t xml:space="preserve">. </w:t>
      </w:r>
      <w:r>
        <w:rPr>
          <w:rFonts w:ascii="Times New Roman" w:hAnsi="Times New Roman"/>
          <w:sz w:val="28"/>
          <w:szCs w:val="28"/>
          <w:lang w:val="uk-UA"/>
        </w:rPr>
        <w:t>Актуальные вопросы медицинской профилактики, диагностики и лечения стоматологических заболеваний. 2019;(1):212-15</w:t>
      </w:r>
      <w:r w:rsidRPr="007A6857">
        <w:rPr>
          <w:rFonts w:ascii="Times New Roman" w:hAnsi="Times New Roman"/>
          <w:sz w:val="28"/>
          <w:szCs w:val="28"/>
          <w:lang w:val="uk-UA"/>
        </w:rPr>
        <w:t>.</w:t>
      </w:r>
      <w:r>
        <w:rPr>
          <w:rFonts w:ascii="Times New Roman" w:hAnsi="Times New Roman"/>
          <w:sz w:val="28"/>
          <w:szCs w:val="28"/>
          <w:lang w:val="uk-UA"/>
        </w:rPr>
        <w:t xml:space="preserve"> </w:t>
      </w:r>
    </w:p>
    <w:p w:rsidR="00AB5C7D" w:rsidRPr="007A6857" w:rsidRDefault="002C276E"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Чепурова НИ, </w:t>
      </w:r>
      <w:r>
        <w:rPr>
          <w:rFonts w:ascii="Times New Roman" w:hAnsi="Times New Roman"/>
          <w:sz w:val="28"/>
          <w:szCs w:val="28"/>
          <w:lang w:val="uk-UA"/>
        </w:rPr>
        <w:t>Романенко ИГ</w:t>
      </w:r>
      <w:r w:rsidRPr="007A6857">
        <w:rPr>
          <w:rFonts w:ascii="Times New Roman" w:hAnsi="Times New Roman"/>
          <w:sz w:val="28"/>
          <w:szCs w:val="28"/>
          <w:lang w:val="uk-UA"/>
        </w:rPr>
        <w:t xml:space="preserve">. </w:t>
      </w:r>
      <w:r>
        <w:rPr>
          <w:rFonts w:ascii="Times New Roman" w:hAnsi="Times New Roman"/>
          <w:sz w:val="28"/>
          <w:szCs w:val="28"/>
          <w:lang w:val="uk-UA"/>
        </w:rPr>
        <w:t>Корреляция уровня секреторного иммуноглобулина А в слюне со степеню дисбиоза полости рта у больных хроническим апикальным периодонтитом</w:t>
      </w:r>
      <w:r w:rsidRPr="007A6857">
        <w:rPr>
          <w:rFonts w:ascii="Times New Roman" w:hAnsi="Times New Roman"/>
          <w:sz w:val="28"/>
          <w:szCs w:val="28"/>
          <w:lang w:val="uk-UA"/>
        </w:rPr>
        <w:t xml:space="preserve">. </w:t>
      </w:r>
      <w:r>
        <w:rPr>
          <w:rFonts w:ascii="Times New Roman" w:hAnsi="Times New Roman"/>
          <w:sz w:val="28"/>
          <w:szCs w:val="28"/>
          <w:lang w:val="uk-UA"/>
        </w:rPr>
        <w:t>Стоматология. 2018</w:t>
      </w:r>
      <w:r w:rsidRPr="007A6857">
        <w:rPr>
          <w:rFonts w:ascii="Times New Roman" w:hAnsi="Times New Roman"/>
          <w:sz w:val="28"/>
          <w:szCs w:val="28"/>
          <w:lang w:val="uk-UA"/>
        </w:rPr>
        <w:t>;</w:t>
      </w:r>
      <w:r>
        <w:rPr>
          <w:rFonts w:ascii="Times New Roman" w:hAnsi="Times New Roman"/>
          <w:sz w:val="28"/>
          <w:szCs w:val="28"/>
          <w:lang w:val="uk-UA"/>
        </w:rPr>
        <w:t>97(6-2):16</w:t>
      </w:r>
      <w:r w:rsidRPr="007A6857">
        <w:rPr>
          <w:rFonts w:ascii="Times New Roman" w:hAnsi="Times New Roman"/>
          <w:sz w:val="28"/>
          <w:szCs w:val="28"/>
          <w:lang w:val="uk-UA"/>
        </w:rPr>
        <w:t>.</w:t>
      </w:r>
      <w:r>
        <w:rPr>
          <w:rFonts w:ascii="Times New Roman" w:hAnsi="Times New Roman"/>
          <w:sz w:val="28"/>
          <w:szCs w:val="28"/>
          <w:lang w:val="uk-UA"/>
        </w:rPr>
        <w:t xml:space="preserve"> </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Череда ВВ, Петрушанко ТО, Лобань ГА. </w:t>
      </w:r>
      <w:r w:rsidR="002C276E">
        <w:rPr>
          <w:rFonts w:ascii="Times New Roman" w:hAnsi="Times New Roman"/>
          <w:sz w:val="28"/>
          <w:szCs w:val="28"/>
          <w:lang w:val="uk-UA"/>
        </w:rPr>
        <w:t>Стрес-індуковані зміни мікробіому ясенної борозни залежно від гендерного фактору</w:t>
      </w:r>
      <w:r w:rsidRPr="007A6857">
        <w:rPr>
          <w:rFonts w:ascii="Times New Roman" w:hAnsi="Times New Roman"/>
          <w:sz w:val="28"/>
          <w:szCs w:val="28"/>
          <w:lang w:val="uk-UA"/>
        </w:rPr>
        <w:t xml:space="preserve">. </w:t>
      </w:r>
      <w:r w:rsidR="002C276E">
        <w:rPr>
          <w:rFonts w:ascii="Times New Roman" w:hAnsi="Times New Roman"/>
          <w:sz w:val="28"/>
          <w:szCs w:val="28"/>
          <w:lang w:val="uk-UA"/>
        </w:rPr>
        <w:t>Вестник проблем биологии и медицины. 2017;4(139):240-2</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Черепинская ЮА, Рябоконь ЕН, Донцова ДА, Бурцев БГ, Гоенко ЕН. Патогенетическое воздействие глюкозамина на воспалительно-дистрофические процессы в соединительной ткани. Медицина сьогодні і завтра = Медицина сегодня и завтра. 2014;(1):48-51.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Черкасова ЛА. Регресійні моделі сонографічних розмірів матки та яєчників у різні фази менструального циклу в залежності від особливостей будови тіла практично здорових дівчат мезоморфного соматотипу. Вісник Вінницького національного медичного університету ім. МІ. Пирогова. 2016;20(2):329-33.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Чеснокова МГ, Самохина ВИ, Мацкиева ОВ. </w:t>
      </w:r>
      <w:r w:rsidR="00C3280F">
        <w:rPr>
          <w:rFonts w:ascii="Times New Roman" w:hAnsi="Times New Roman"/>
          <w:sz w:val="28"/>
          <w:szCs w:val="28"/>
          <w:lang w:val="uk-UA"/>
        </w:rPr>
        <w:t>Эмпирическая</w:t>
      </w:r>
      <w:r w:rsidRPr="007A6857">
        <w:rPr>
          <w:rFonts w:ascii="Times New Roman" w:hAnsi="Times New Roman"/>
          <w:sz w:val="28"/>
          <w:szCs w:val="28"/>
          <w:lang w:val="uk-UA"/>
        </w:rPr>
        <w:t xml:space="preserve"> оценка эффективности антисептических средств в отношении микроорганизмов корневых каналов </w:t>
      </w:r>
      <w:r w:rsidR="00C3280F">
        <w:rPr>
          <w:rFonts w:ascii="Times New Roman" w:hAnsi="Times New Roman"/>
          <w:sz w:val="28"/>
          <w:szCs w:val="28"/>
          <w:lang w:val="uk-UA"/>
        </w:rPr>
        <w:t>в</w:t>
      </w:r>
      <w:r w:rsidRPr="007A6857">
        <w:rPr>
          <w:rFonts w:ascii="Times New Roman" w:hAnsi="Times New Roman"/>
          <w:sz w:val="28"/>
          <w:szCs w:val="28"/>
          <w:lang w:val="uk-UA"/>
        </w:rPr>
        <w:t xml:space="preserve"> лечении хро</w:t>
      </w:r>
      <w:r w:rsidR="00C3280F">
        <w:rPr>
          <w:rFonts w:ascii="Times New Roman" w:hAnsi="Times New Roman"/>
          <w:sz w:val="28"/>
          <w:szCs w:val="28"/>
          <w:lang w:val="uk-UA"/>
        </w:rPr>
        <w:t>нического периодонтита в детской</w:t>
      </w:r>
      <w:r w:rsidRPr="007A6857">
        <w:rPr>
          <w:rFonts w:ascii="Times New Roman" w:hAnsi="Times New Roman"/>
          <w:sz w:val="28"/>
          <w:szCs w:val="28"/>
          <w:lang w:val="uk-UA"/>
        </w:rPr>
        <w:t xml:space="preserve"> </w:t>
      </w:r>
      <w:r w:rsidR="00C3280F">
        <w:rPr>
          <w:rFonts w:ascii="Times New Roman" w:hAnsi="Times New Roman"/>
          <w:sz w:val="28"/>
          <w:szCs w:val="28"/>
          <w:lang w:val="uk-UA"/>
        </w:rPr>
        <w:t>клинике</w:t>
      </w:r>
      <w:r w:rsidRPr="007A6857">
        <w:rPr>
          <w:rFonts w:ascii="Times New Roman" w:hAnsi="Times New Roman"/>
          <w:sz w:val="28"/>
          <w:szCs w:val="28"/>
          <w:lang w:val="uk-UA"/>
        </w:rPr>
        <w:t xml:space="preserve">. </w:t>
      </w:r>
      <w:r w:rsidR="00C3280F">
        <w:rPr>
          <w:rFonts w:ascii="Times New Roman" w:hAnsi="Times New Roman"/>
          <w:sz w:val="28"/>
          <w:szCs w:val="28"/>
          <w:lang w:val="uk-UA"/>
        </w:rPr>
        <w:t>Актуальные проблемы стоматологии</w:t>
      </w:r>
      <w:r w:rsidRPr="007A6857">
        <w:rPr>
          <w:rFonts w:ascii="Times New Roman" w:hAnsi="Times New Roman"/>
          <w:sz w:val="28"/>
          <w:szCs w:val="28"/>
          <w:lang w:val="uk-UA"/>
        </w:rPr>
        <w:t xml:space="preserve"> детского возраста и </w:t>
      </w:r>
      <w:r w:rsidR="00C3280F">
        <w:rPr>
          <w:rFonts w:ascii="Times New Roman" w:hAnsi="Times New Roman"/>
          <w:sz w:val="28"/>
          <w:szCs w:val="28"/>
          <w:lang w:val="uk-UA"/>
        </w:rPr>
        <w:t>ортодонтии. 2017;(1):163-70</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 xml:space="preserve">Чумакова ЮГ, </w:t>
      </w:r>
      <w:r w:rsidR="00C3280F">
        <w:rPr>
          <w:rFonts w:ascii="Times New Roman" w:hAnsi="Times New Roman"/>
          <w:sz w:val="28"/>
          <w:szCs w:val="28"/>
          <w:lang w:val="uk-UA"/>
        </w:rPr>
        <w:t>Бондаренко ДИ</w:t>
      </w:r>
      <w:r w:rsidRPr="007A6857">
        <w:rPr>
          <w:rFonts w:ascii="Times New Roman" w:hAnsi="Times New Roman"/>
          <w:sz w:val="28"/>
          <w:szCs w:val="28"/>
          <w:lang w:val="uk-UA"/>
        </w:rPr>
        <w:t xml:space="preserve">. </w:t>
      </w:r>
      <w:r w:rsidR="00C3280F">
        <w:rPr>
          <w:rFonts w:ascii="Times New Roman" w:hAnsi="Times New Roman"/>
          <w:sz w:val="28"/>
          <w:szCs w:val="28"/>
          <w:lang w:val="uk-UA"/>
        </w:rPr>
        <w:t>Сравнительная оценка антимикробной активности препаратов на основе хлоргексидина на микрофлору пародонтальных карманов</w:t>
      </w:r>
      <w:r w:rsidRPr="007A6857">
        <w:rPr>
          <w:rFonts w:ascii="Times New Roman" w:hAnsi="Times New Roman"/>
          <w:sz w:val="28"/>
          <w:szCs w:val="28"/>
          <w:lang w:val="uk-UA"/>
        </w:rPr>
        <w:t xml:space="preserve">. </w:t>
      </w:r>
      <w:r w:rsidR="00C3280F">
        <w:rPr>
          <w:rFonts w:ascii="Times New Roman" w:hAnsi="Times New Roman"/>
          <w:sz w:val="28"/>
          <w:szCs w:val="28"/>
          <w:lang w:val="uk-UA"/>
        </w:rPr>
        <w:t>Современная стоматология. 2016</w:t>
      </w:r>
      <w:r w:rsidRPr="007A6857">
        <w:rPr>
          <w:rFonts w:ascii="Times New Roman" w:hAnsi="Times New Roman"/>
          <w:sz w:val="28"/>
          <w:szCs w:val="28"/>
          <w:lang w:val="uk-UA"/>
        </w:rPr>
        <w:t>;</w:t>
      </w:r>
      <w:r w:rsidR="00C3280F">
        <w:rPr>
          <w:rFonts w:ascii="Times New Roman" w:hAnsi="Times New Roman"/>
          <w:sz w:val="28"/>
          <w:szCs w:val="28"/>
          <w:lang w:val="uk-UA"/>
        </w:rPr>
        <w:t>2</w:t>
      </w:r>
      <w:r w:rsidRPr="007A6857">
        <w:rPr>
          <w:rFonts w:ascii="Times New Roman" w:hAnsi="Times New Roman"/>
          <w:sz w:val="28"/>
          <w:szCs w:val="28"/>
          <w:lang w:val="uk-UA"/>
        </w:rPr>
        <w:t>(</w:t>
      </w:r>
      <w:r w:rsidR="00C3280F">
        <w:rPr>
          <w:rFonts w:ascii="Times New Roman" w:hAnsi="Times New Roman"/>
          <w:sz w:val="28"/>
          <w:szCs w:val="28"/>
          <w:lang w:val="uk-UA"/>
        </w:rPr>
        <w:t>81):33</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Шевченко ОВ. Практическая значимость субъективных индикаторов стоматологического здоровья для оценки факторов риска возникновения кариеса зубов и болезней периодонта у молодых людей. Стоматология детского возраста и профилактика. 2014;13(4):27-32.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Шинчуковська ЮО. Характеристика видового складу пародонтопатогенної мікрофлори в ротовій рідині при хронічному катаральному гінгівіті у підлітків. Вісник проблем біології і медицини. 2013;1(1):261-4.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Широков ВЮ, </w:t>
      </w:r>
      <w:r w:rsidR="00B40680">
        <w:rPr>
          <w:rFonts w:ascii="Times New Roman" w:hAnsi="Times New Roman"/>
          <w:sz w:val="28"/>
          <w:szCs w:val="28"/>
          <w:lang w:val="uk-UA"/>
        </w:rPr>
        <w:t>Говорунова ТВ, Иванов АН. Половой</w:t>
      </w:r>
      <w:r w:rsidRPr="007A6857">
        <w:rPr>
          <w:rFonts w:ascii="Times New Roman" w:hAnsi="Times New Roman"/>
          <w:sz w:val="28"/>
          <w:szCs w:val="28"/>
          <w:lang w:val="uk-UA"/>
        </w:rPr>
        <w:t xml:space="preserve"> </w:t>
      </w:r>
      <w:r w:rsidR="00B40680">
        <w:rPr>
          <w:rFonts w:ascii="Times New Roman" w:hAnsi="Times New Roman"/>
          <w:sz w:val="28"/>
          <w:szCs w:val="28"/>
          <w:lang w:val="uk-UA"/>
        </w:rPr>
        <w:t>диморфизм</w:t>
      </w:r>
      <w:r w:rsidRPr="007A6857">
        <w:rPr>
          <w:rFonts w:ascii="Times New Roman" w:hAnsi="Times New Roman"/>
          <w:sz w:val="28"/>
          <w:szCs w:val="28"/>
          <w:lang w:val="uk-UA"/>
        </w:rPr>
        <w:t xml:space="preserve"> </w:t>
      </w:r>
      <w:r w:rsidR="00B40680">
        <w:rPr>
          <w:rFonts w:ascii="Times New Roman" w:hAnsi="Times New Roman"/>
          <w:sz w:val="28"/>
          <w:szCs w:val="28"/>
          <w:lang w:val="uk-UA"/>
        </w:rPr>
        <w:t xml:space="preserve">и диагностика системних проявлений эндотелиальной дисфункции </w:t>
      </w:r>
      <w:r w:rsidRPr="007A6857">
        <w:rPr>
          <w:rFonts w:ascii="Times New Roman" w:hAnsi="Times New Roman"/>
          <w:sz w:val="28"/>
          <w:szCs w:val="28"/>
          <w:lang w:val="uk-UA"/>
        </w:rPr>
        <w:t xml:space="preserve">при хроническом генерализованном пародонтите. </w:t>
      </w:r>
      <w:r w:rsidR="00B40680">
        <w:rPr>
          <w:rFonts w:ascii="Times New Roman" w:hAnsi="Times New Roman"/>
          <w:sz w:val="28"/>
          <w:szCs w:val="28"/>
          <w:lang w:val="uk-UA"/>
        </w:rPr>
        <w:t>Вестник новых медицинских технологий. 2018;(6):69-74</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Широков ВЮ, </w:t>
      </w:r>
      <w:r w:rsidR="00B40680">
        <w:rPr>
          <w:rFonts w:ascii="Times New Roman" w:hAnsi="Times New Roman"/>
          <w:sz w:val="28"/>
          <w:szCs w:val="28"/>
          <w:lang w:val="uk-UA"/>
        </w:rPr>
        <w:t>Жданова ОЮ</w:t>
      </w:r>
      <w:r w:rsidRPr="007A6857">
        <w:rPr>
          <w:rFonts w:ascii="Times New Roman" w:hAnsi="Times New Roman"/>
          <w:sz w:val="28"/>
          <w:szCs w:val="28"/>
          <w:lang w:val="uk-UA"/>
        </w:rPr>
        <w:t xml:space="preserve">. </w:t>
      </w:r>
      <w:r w:rsidR="00B40680">
        <w:rPr>
          <w:rFonts w:ascii="Times New Roman" w:hAnsi="Times New Roman"/>
          <w:sz w:val="28"/>
          <w:szCs w:val="28"/>
          <w:lang w:val="uk-UA"/>
        </w:rPr>
        <w:t>Влияние КВЧ и лазерного излучения на экспрессию селектинов эндотелия при воспалительных заболеваниях пародонта</w:t>
      </w:r>
      <w:r w:rsidRPr="007A6857">
        <w:rPr>
          <w:rFonts w:ascii="Times New Roman" w:hAnsi="Times New Roman"/>
          <w:sz w:val="28"/>
          <w:szCs w:val="28"/>
          <w:lang w:val="uk-UA"/>
        </w:rPr>
        <w:t xml:space="preserve">. </w:t>
      </w:r>
      <w:r w:rsidR="00B40680">
        <w:rPr>
          <w:rFonts w:ascii="Times New Roman" w:hAnsi="Times New Roman"/>
          <w:sz w:val="28"/>
          <w:szCs w:val="28"/>
          <w:lang w:val="uk-UA"/>
        </w:rPr>
        <w:t>Современные тенденции развития науки и технологий. 2016;(2-2):93-5</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Широков ВЮ, Жданова ОЮ, </w:t>
      </w:r>
      <w:r w:rsidR="00B40680">
        <w:rPr>
          <w:rFonts w:ascii="Times New Roman" w:hAnsi="Times New Roman"/>
          <w:sz w:val="28"/>
          <w:szCs w:val="28"/>
          <w:lang w:val="uk-UA"/>
        </w:rPr>
        <w:t>Горбунова ТВ</w:t>
      </w:r>
      <w:r w:rsidRPr="007A6857">
        <w:rPr>
          <w:rFonts w:ascii="Times New Roman" w:hAnsi="Times New Roman"/>
          <w:sz w:val="28"/>
          <w:szCs w:val="28"/>
          <w:lang w:val="uk-UA"/>
        </w:rPr>
        <w:t xml:space="preserve">. </w:t>
      </w:r>
      <w:r w:rsidR="00B40680">
        <w:rPr>
          <w:rFonts w:ascii="Times New Roman" w:hAnsi="Times New Roman"/>
          <w:sz w:val="28"/>
          <w:szCs w:val="28"/>
          <w:lang w:val="uk-UA"/>
        </w:rPr>
        <w:t>Патогенетические взаимосвязи адгезивных свойств эндотелия сосуди стой стенки, цитокинового баланса и локальних нарушений кровотока в тканях пародонта у пациентов с катаральным гингивитом</w:t>
      </w:r>
      <w:r w:rsidRPr="007A6857">
        <w:rPr>
          <w:rFonts w:ascii="Times New Roman" w:hAnsi="Times New Roman"/>
          <w:sz w:val="28"/>
          <w:szCs w:val="28"/>
          <w:lang w:val="uk-UA"/>
        </w:rPr>
        <w:t xml:space="preserve">. </w:t>
      </w:r>
      <w:r w:rsidR="00B40680">
        <w:rPr>
          <w:rFonts w:ascii="Times New Roman" w:hAnsi="Times New Roman"/>
          <w:sz w:val="28"/>
          <w:szCs w:val="28"/>
          <w:lang w:val="uk-UA"/>
        </w:rPr>
        <w:t>Актуальные вопросы современной медицины. 2016 (1):86-8</w:t>
      </w:r>
      <w:r w:rsidRPr="007A6857">
        <w:rPr>
          <w:rFonts w:ascii="Times New Roman" w:hAnsi="Times New Roman"/>
          <w:sz w:val="28"/>
          <w:szCs w:val="28"/>
          <w:lang w:val="uk-UA"/>
        </w:rPr>
        <w:t>.</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Щербаков ИВ, Орешака ОВ, Гальченко АИ. Влияние дефицита эстрогенов на состояние тканей пародонта у женщин в ранние сроки хирургической менопаузы. Пародонтология. 2014;19(3):48-50.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Щербаков ИВ. Проблемы стоматологического здоровья у женщин при выраженном дефиците эстрогенов. Медицина и образование в Сибири. 2015;(2):21.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Щербина ИН. Место и роль метаболического синдрома в патогенезе нарушений менструальной функции. Проблеми безперервної медичної освіти та науки. 2012;(2):46-9.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Щипский АВ, Билозецкий ИИ. Комплексное лечение и реабилитация пациентов с системными заболеваниями. Пародонтология. 2015;20(1):10-20.</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Югов ВК. Рентгенологічні особливості змін при періодонтитах залежно від форми і фази процесу. Променева діагностика. Променева терапія. 2014;4:10-9.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Яковлева ЭБ, Демишева СГ. Особенности гормонального фона у девочек подростков с нарушением менструальной функции на фоне ростового «скачка». Вестник неотложной и восстановительной хирургии. 2017;2(2-3):339-43.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Ялфимова ЕА, Кутушева ГФ. Медико-социальные факторы, оказывающие влияние на нарушение менструальной функции у девушек-подростков с избыточной массой тела. Педиатр. 2015;6(1):71-5.</w:t>
      </w:r>
    </w:p>
    <w:p w:rsidR="00AB5C7D"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Яременко АИ, Галкина ОВ, Мошир Фалсафи АР, Яковлева AB. Анализ уровня иммуноглобулинов и цитокинов в биологических жидкостях пациентов с одонтогенными инфекционно-воспалительными заболеваниями с преимущественным поражением костной ткани. Пародонтология. 2013;18(2):14-7.</w:t>
      </w:r>
    </w:p>
    <w:p w:rsidR="001A6314" w:rsidRPr="007A6857" w:rsidRDefault="001A6314"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Ярилин АА. </w:t>
      </w:r>
      <w:r w:rsidR="002E2D83">
        <w:rPr>
          <w:rFonts w:ascii="Times New Roman" w:hAnsi="Times New Roman"/>
          <w:sz w:val="28"/>
          <w:szCs w:val="28"/>
          <w:lang w:val="uk-UA"/>
        </w:rPr>
        <w:t>Иммунология</w:t>
      </w:r>
      <w:r>
        <w:rPr>
          <w:rFonts w:ascii="Times New Roman" w:hAnsi="Times New Roman"/>
          <w:sz w:val="28"/>
          <w:szCs w:val="28"/>
          <w:lang w:val="uk-UA"/>
        </w:rPr>
        <w:t xml:space="preserve">/ АА Ярилин.- М.: </w:t>
      </w:r>
      <w:r w:rsidR="002E2D83">
        <w:rPr>
          <w:rFonts w:ascii="Times New Roman" w:hAnsi="Times New Roman"/>
          <w:sz w:val="28"/>
          <w:szCs w:val="28"/>
          <w:lang w:val="uk-UA"/>
        </w:rPr>
        <w:t>ГЭОТАР-Медиа</w:t>
      </w:r>
      <w:r>
        <w:rPr>
          <w:rFonts w:ascii="Times New Roman" w:hAnsi="Times New Roman"/>
          <w:sz w:val="28"/>
          <w:szCs w:val="28"/>
          <w:lang w:val="uk-UA"/>
        </w:rPr>
        <w:t xml:space="preserve">, </w:t>
      </w:r>
      <w:r w:rsidR="002E2D83">
        <w:rPr>
          <w:rFonts w:ascii="Times New Roman" w:hAnsi="Times New Roman"/>
          <w:sz w:val="28"/>
          <w:szCs w:val="28"/>
          <w:lang w:val="uk-UA"/>
        </w:rPr>
        <w:t>2010</w:t>
      </w:r>
      <w:r>
        <w:rPr>
          <w:rFonts w:ascii="Times New Roman" w:hAnsi="Times New Roman"/>
          <w:sz w:val="28"/>
          <w:szCs w:val="28"/>
          <w:lang w:val="uk-UA"/>
        </w:rPr>
        <w:t xml:space="preserve">. – </w:t>
      </w:r>
      <w:r w:rsidR="002E2D83">
        <w:rPr>
          <w:rFonts w:ascii="Times New Roman" w:hAnsi="Times New Roman"/>
          <w:sz w:val="28"/>
          <w:szCs w:val="28"/>
          <w:lang w:val="uk-UA"/>
        </w:rPr>
        <w:t>752</w:t>
      </w:r>
      <w:r>
        <w:rPr>
          <w:rFonts w:ascii="Times New Roman" w:hAnsi="Times New Roman"/>
          <w:sz w:val="28"/>
          <w:szCs w:val="28"/>
          <w:lang w:val="uk-UA"/>
        </w:rPr>
        <w:t>с.</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Ярова СП, Мозгова НВ, Яров ЮЮ, Желдакова АД. Роль ендотеліальної дисфункції в розвитку судинних порушень при запальних захворюваннях пародонта. Український стоматологічний альманах. 2012;(6):32-6.</w:t>
      </w:r>
    </w:p>
    <w:p w:rsidR="00AB5C7D" w:rsidRPr="00CD3E59"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Ярова СП, Саноян ВВ</w:t>
      </w:r>
      <w:r w:rsidR="002E2D83">
        <w:rPr>
          <w:rFonts w:ascii="Times New Roman" w:hAnsi="Times New Roman"/>
          <w:sz w:val="28"/>
          <w:szCs w:val="28"/>
          <w:lang w:val="uk-UA"/>
        </w:rPr>
        <w:t>, Белоус АЮ, Скляренко ДЕ</w:t>
      </w:r>
      <w:r w:rsidRPr="007A6857">
        <w:rPr>
          <w:rFonts w:ascii="Times New Roman" w:hAnsi="Times New Roman"/>
          <w:sz w:val="28"/>
          <w:szCs w:val="28"/>
          <w:lang w:val="uk-UA"/>
        </w:rPr>
        <w:t xml:space="preserve">. </w:t>
      </w:r>
      <w:r w:rsidR="002E2D83">
        <w:rPr>
          <w:rFonts w:ascii="Times New Roman" w:hAnsi="Times New Roman"/>
          <w:sz w:val="28"/>
          <w:szCs w:val="28"/>
          <w:lang w:val="uk-UA"/>
        </w:rPr>
        <w:t>Изучение иммунологических</w:t>
      </w:r>
      <w:r w:rsidRPr="007A6857">
        <w:rPr>
          <w:rFonts w:ascii="Times New Roman" w:hAnsi="Times New Roman"/>
          <w:sz w:val="28"/>
          <w:szCs w:val="28"/>
          <w:lang w:val="uk-UA"/>
        </w:rPr>
        <w:t xml:space="preserve"> </w:t>
      </w:r>
      <w:r w:rsidR="002E2D83">
        <w:rPr>
          <w:rFonts w:ascii="Times New Roman" w:hAnsi="Times New Roman"/>
          <w:sz w:val="28"/>
          <w:szCs w:val="28"/>
          <w:lang w:val="uk-UA"/>
        </w:rPr>
        <w:t>показателей</w:t>
      </w:r>
      <w:r w:rsidRPr="007A6857">
        <w:rPr>
          <w:rFonts w:ascii="Times New Roman" w:hAnsi="Times New Roman"/>
          <w:sz w:val="28"/>
          <w:szCs w:val="28"/>
          <w:lang w:val="uk-UA"/>
        </w:rPr>
        <w:t xml:space="preserve"> сыворотки крови больных генерализованным пародонтитом</w:t>
      </w:r>
      <w:r w:rsidR="002E2D83">
        <w:rPr>
          <w:rFonts w:ascii="Times New Roman" w:hAnsi="Times New Roman"/>
          <w:sz w:val="28"/>
          <w:szCs w:val="28"/>
          <w:lang w:val="uk-UA"/>
        </w:rPr>
        <w:t xml:space="preserve"> на фоне сахарного диабета ІІ</w:t>
      </w:r>
      <w:r w:rsidR="002E2D83">
        <w:rPr>
          <w:rFonts w:ascii="Times New Roman" w:hAnsi="Times New Roman"/>
          <w:sz w:val="28"/>
          <w:szCs w:val="28"/>
          <w:lang w:val="ru-RU"/>
        </w:rPr>
        <w:t xml:space="preserve"> типа</w:t>
      </w:r>
      <w:r w:rsidRPr="007A6857">
        <w:rPr>
          <w:rFonts w:ascii="Times New Roman" w:hAnsi="Times New Roman"/>
          <w:sz w:val="28"/>
          <w:szCs w:val="28"/>
          <w:lang w:val="uk-UA"/>
        </w:rPr>
        <w:t xml:space="preserve">. </w:t>
      </w:r>
      <w:r w:rsidR="002E2D83">
        <w:rPr>
          <w:rFonts w:ascii="Times New Roman" w:hAnsi="Times New Roman"/>
          <w:sz w:val="28"/>
          <w:szCs w:val="28"/>
          <w:lang w:val="uk-UA"/>
        </w:rPr>
        <w:t>Вестник проблем биологии и медицины</w:t>
      </w:r>
      <w:r w:rsidRPr="007A6857">
        <w:rPr>
          <w:rFonts w:ascii="Times New Roman" w:hAnsi="Times New Roman"/>
          <w:sz w:val="28"/>
          <w:szCs w:val="28"/>
          <w:lang w:val="uk-UA"/>
        </w:rPr>
        <w:t>. 20</w:t>
      </w:r>
      <w:r w:rsidR="002E2D83">
        <w:rPr>
          <w:rFonts w:ascii="Times New Roman" w:hAnsi="Times New Roman"/>
          <w:sz w:val="28"/>
          <w:szCs w:val="28"/>
          <w:lang w:val="uk-UA"/>
        </w:rPr>
        <w:t>16</w:t>
      </w:r>
      <w:r w:rsidRPr="007A6857">
        <w:rPr>
          <w:rFonts w:ascii="Times New Roman" w:hAnsi="Times New Roman"/>
          <w:sz w:val="28"/>
          <w:szCs w:val="28"/>
          <w:lang w:val="uk-UA"/>
        </w:rPr>
        <w:t>;</w:t>
      </w:r>
      <w:r w:rsidR="002E2D83">
        <w:rPr>
          <w:rFonts w:ascii="Times New Roman" w:hAnsi="Times New Roman"/>
          <w:sz w:val="28"/>
          <w:szCs w:val="28"/>
          <w:lang w:val="uk-UA"/>
        </w:rPr>
        <w:t>3</w:t>
      </w:r>
      <w:r w:rsidRPr="007A6857">
        <w:rPr>
          <w:rFonts w:ascii="Times New Roman" w:hAnsi="Times New Roman"/>
          <w:sz w:val="28"/>
          <w:szCs w:val="28"/>
          <w:lang w:val="uk-UA"/>
        </w:rPr>
        <w:t>(</w:t>
      </w:r>
      <w:r w:rsidR="002E2D83">
        <w:rPr>
          <w:rFonts w:ascii="Times New Roman" w:hAnsi="Times New Roman"/>
          <w:sz w:val="28"/>
          <w:szCs w:val="28"/>
          <w:lang w:val="uk-UA"/>
        </w:rPr>
        <w:t>131):177-80</w:t>
      </w:r>
      <w:r w:rsidRPr="007A6857">
        <w:rPr>
          <w:rFonts w:ascii="Times New Roman" w:hAnsi="Times New Roman"/>
          <w:sz w:val="28"/>
          <w:szCs w:val="28"/>
          <w:lang w:val="uk-UA"/>
        </w:rPr>
        <w:t>.</w:t>
      </w:r>
    </w:p>
    <w:p w:rsidR="00CD3E59" w:rsidRPr="00CD3E59" w:rsidRDefault="00CD3E59" w:rsidP="00CD3E59">
      <w:pPr>
        <w:spacing w:line="360" w:lineRule="auto"/>
        <w:jc w:val="both"/>
        <w:rPr>
          <w:rFonts w:ascii="Times New Roman" w:hAnsi="Times New Roman"/>
          <w:sz w:val="28"/>
          <w:szCs w:val="28"/>
        </w:rPr>
      </w:pP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Ahmed I, Saif ul Haque, Nazir R. Periodontal status of first molars during orthodontic treatment. J Ayub Med Coll Abbottabad. 2011 Jan-Mar;23(1):55-7. PubMed PMID: 22830147.</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Al-Ghutaimel H, Riba H, Al-Kahtani S, Al-Duhaimi S. Common periodontal diseases of children and adolescents. Int J Dent. 2014;2014:850674. doi: 10.1155/2014/850674. PubMed PMID: 25053946; PubMed Central PMCID: PMC4098882.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Ayele E, Berhan Y. Age at menarche among in-school adolescents in Sawla Town, South Ethiopia. Ethiop J Health Sci. 2013 Nov;23(3):189-200. PubMed PMID:24307818; PubMed Central PMCID: PMC3847528.</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Bendoraitienė E, Zūbienė J, Vasiliauskienė I, Saldūnaitė K, Andruškevičienė V, Basevičienė N, Slabšinskienė E. Periodontal status in 18-year-old Lithuanian adolescents: An epidemiological study. Medicina (Kaunas). 2017;53(4):253-8. doi: 10.1016/j.medici.2017.06.002. PubMed PMID: 28668306.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Betts K, Abusleme L, Freeman AF, Sa</w:t>
      </w:r>
      <w:r>
        <w:rPr>
          <w:rFonts w:ascii="Times New Roman" w:hAnsi="Times New Roman"/>
          <w:sz w:val="28"/>
          <w:szCs w:val="28"/>
          <w:lang w:val="uk-UA"/>
        </w:rPr>
        <w:t xml:space="preserve">rmadi M, Fahle G, Pittaluga S, </w:t>
      </w:r>
      <w:r>
        <w:rPr>
          <w:rFonts w:ascii="Times New Roman" w:hAnsi="Times New Roman"/>
          <w:sz w:val="28"/>
          <w:szCs w:val="28"/>
        </w:rPr>
        <w:t xml:space="preserve">et al. </w:t>
      </w:r>
      <w:r w:rsidRPr="007A6857">
        <w:rPr>
          <w:rFonts w:ascii="Times New Roman" w:hAnsi="Times New Roman"/>
          <w:sz w:val="28"/>
          <w:szCs w:val="28"/>
          <w:lang w:val="uk-UA"/>
        </w:rPr>
        <w:t>A 17-year old patient with DOCK8 deficiency, severe oral HSV-1 and aggressive periodontitis - a case of virally induced periodontitis? J Clin Virol. 2015 Feb;63:46-50. doi: 10.1016/j.jcv.2014.12.003. PubMed PMID: 25600604; PubMed Central PMCID: PMC4327766.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Califano JV; American Academy of Periodontology--Research, Science and Therapy Committee; American Academy of Pediatric Dentistry. Periodontal diseases of children and adolescents. Pediatr Dent. 2005-2006;27(7 Suppl):189-96. PubMed PMID: 16541922.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Das UM, Vadakkekuttical RJ, Kanakkath H, Shankunni SP. Dental health awareness, attitude, and dental health-care seeking practices as risk indicators for the prevalence of periodontal disease among 15-17-year-old school children in Kozhikode district, Kerala, India. J Indian Soc Periodontol. 2017 Mar-Apr;21(2):144-51. doi: 10.4103/jisp.jisp_160_17. PubMed PMID: 29398860; PubMed Central PMCID: PMC5771112.</w:t>
      </w:r>
    </w:p>
    <w:p w:rsidR="008E691A"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Elias-Boneta AR, Ramirez K, Rivas-Tumanyan S, Murillo M, Toro MJ. Prevalence of gingivitis and calculus in 12-year-old Puerto Ricans: a cross-sectional study. BMC Oral Health. 2018 Jan 19;18(1):13. doi: 10.1186/s12903-017-0471-5. PubMed PMID: 29351752; PubMed Central PMCID: PMC5775617.</w:t>
      </w:r>
    </w:p>
    <w:p w:rsidR="008E691A" w:rsidRPr="008E691A" w:rsidRDefault="008E691A"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rPr>
        <w:t>Gordon CM. Menstrual disorders in adolescents// Pediatr.clin.North.Am.-1999.-V.46. – P.519-543.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Górski B, Ganowicz E, Górska R. Oral health in postmenopausal and premenopausal women after myocardial infarction in Poland: a preliminary study. Prz Menopauzalny. 2015 Jun;14(2):118-25. doi: 10.5114/pm.2015.49331. PubMed PMID: 26327899; PubMed Central PMCID: PMC4498022.</w:t>
      </w:r>
    </w:p>
    <w:p w:rsidR="00AB5C7D" w:rsidRPr="008E691A"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Han K, Ko Y, Park YG, Park JB. Associations Between the Periodontal Disease in Women Before Menopause and Menstrual Cycle Irregularity: The 2010-2012 Korea National Health and Nutrition Examination Survey. Medicine (Baltimore). 2016 Feb;95(6):e2791. doi: 10.1097/MD.0000000000002791. PubMed PMID: 26871840; PubMed Central PMCID: PMC4753936.</w:t>
      </w:r>
    </w:p>
    <w:p w:rsidR="008E691A" w:rsidRPr="007A6857" w:rsidRDefault="008E691A"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rPr>
        <w:t>Harlow SD, Caurpbell OM. Epidemiology of menstrual disorders in developing countries: A systematic re</w:t>
      </w:r>
      <w:r w:rsidR="00CD3E59">
        <w:rPr>
          <w:rFonts w:ascii="Times New Roman" w:hAnsi="Times New Roman"/>
          <w:sz w:val="28"/>
          <w:szCs w:val="28"/>
        </w:rPr>
        <w:t>view.</w:t>
      </w:r>
      <w:r>
        <w:rPr>
          <w:rFonts w:ascii="Times New Roman" w:hAnsi="Times New Roman"/>
          <w:sz w:val="28"/>
          <w:szCs w:val="28"/>
        </w:rPr>
        <w:t xml:space="preserve"> BJOC: An International Journal</w:t>
      </w:r>
      <w:r w:rsidR="00CD3E59">
        <w:rPr>
          <w:rFonts w:ascii="Times New Roman" w:hAnsi="Times New Roman"/>
          <w:sz w:val="28"/>
          <w:szCs w:val="28"/>
        </w:rPr>
        <w:t xml:space="preserve"> of Obstetrics and Gynaecology. </w:t>
      </w:r>
      <w:r w:rsidR="00CD3E59" w:rsidRPr="00CD3E59">
        <w:rPr>
          <w:rFonts w:ascii="Times New Roman" w:hAnsi="Times New Roman"/>
          <w:sz w:val="28"/>
          <w:szCs w:val="28"/>
        </w:rPr>
        <w:t>2014;111(1):</w:t>
      </w:r>
      <w:r w:rsidRPr="00CD3E59">
        <w:rPr>
          <w:rFonts w:ascii="Times New Roman" w:hAnsi="Times New Roman"/>
          <w:sz w:val="28"/>
          <w:szCs w:val="28"/>
        </w:rPr>
        <w:t>6-16.</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Heikkinen AM, Pakbaznejad Esmaeili E, Kovanen L, Ruo</w:t>
      </w:r>
      <w:r>
        <w:rPr>
          <w:rFonts w:ascii="Times New Roman" w:hAnsi="Times New Roman"/>
          <w:sz w:val="28"/>
          <w:szCs w:val="28"/>
          <w:lang w:val="uk-UA"/>
        </w:rPr>
        <w:t xml:space="preserve">konen H, Kettunen K, Haukka J, </w:t>
      </w:r>
      <w:r w:rsidRPr="00AB5C7D">
        <w:rPr>
          <w:rFonts w:ascii="Times New Roman" w:hAnsi="Times New Roman"/>
          <w:sz w:val="28"/>
          <w:szCs w:val="28"/>
          <w:lang w:val="de-DE"/>
        </w:rPr>
        <w:t>e</w:t>
      </w:r>
      <w:r w:rsidRPr="007A6857">
        <w:rPr>
          <w:rFonts w:ascii="Times New Roman" w:hAnsi="Times New Roman"/>
          <w:sz w:val="28"/>
          <w:szCs w:val="28"/>
          <w:lang w:val="uk-UA"/>
        </w:rPr>
        <w:t>t al. Periodontal Initial Radiological Findings of Genetically Predisposed Finnish Adolescents. J Clin Diagn Res. 2017 Jul;11(7):ZC25-ZC28. doi: 10.7860/JCDR/2017/25850.10168. PubMed PMID: 28893037; PubMed Central PMCID: PMC5583941.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 xml:space="preserve">Ibáñez L, Oberfield SE, Witchel S, </w:t>
      </w:r>
      <w:r>
        <w:rPr>
          <w:rFonts w:ascii="Times New Roman" w:hAnsi="Times New Roman"/>
          <w:sz w:val="28"/>
          <w:szCs w:val="28"/>
          <w:lang w:val="uk-UA"/>
        </w:rPr>
        <w:t xml:space="preserve">Auchus RJ, Chang RJ, Codner E, </w:t>
      </w:r>
      <w:r w:rsidRPr="00AB5C7D">
        <w:rPr>
          <w:rFonts w:ascii="Times New Roman" w:hAnsi="Times New Roman"/>
          <w:sz w:val="28"/>
          <w:szCs w:val="28"/>
          <w:lang w:val="de-DE"/>
        </w:rPr>
        <w:t>e</w:t>
      </w:r>
      <w:r w:rsidRPr="007A6857">
        <w:rPr>
          <w:rFonts w:ascii="Times New Roman" w:hAnsi="Times New Roman"/>
          <w:sz w:val="28"/>
          <w:szCs w:val="28"/>
          <w:lang w:val="uk-UA"/>
        </w:rPr>
        <w:t>t al. An International Consortium Update: Pathophysiology, Diagnosis, and Treatment of Polycystic Ovarian Syndrome in Adolescence. Horm Res Paediatr. 2017;88(6):371-95. doi: 10.1159/000479371. PubMed PMID: 29156452.</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Ioannidou E. The Sex and Gender Intersection in Chronic Periodontitis. Front Public Health. 2017 Aug 4;5:189. doi: 10.3389/fpubh.2017.00189. eCollection 2017. PubMed PMID: 28824898; PubMed Central PMCID: PMC5543279.</w:t>
      </w:r>
    </w:p>
    <w:p w:rsidR="00AB5C7D" w:rsidRPr="002D65D8"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Kamboj MK, Bonny AE. Polycystic ovary syndrome in adolescence: diagnostic and therapeutic strategies. Transl Pediatr. 2017 Oct;6(4):248-55. doi: 10.21037/tp.2017.09.11. PubMed PMID: 29184806; PubMed Central PMCID: PMC5682369.</w:t>
      </w:r>
    </w:p>
    <w:p w:rsidR="002D65D8" w:rsidRPr="007A6857" w:rsidRDefault="0080493C" w:rsidP="008B51D1">
      <w:pPr>
        <w:pStyle w:val="aa"/>
        <w:numPr>
          <w:ilvl w:val="0"/>
          <w:numId w:val="29"/>
        </w:numPr>
        <w:spacing w:line="360" w:lineRule="auto"/>
        <w:ind w:left="0" w:firstLine="709"/>
        <w:jc w:val="both"/>
        <w:rPr>
          <w:rFonts w:ascii="Times New Roman" w:hAnsi="Times New Roman"/>
          <w:sz w:val="28"/>
          <w:szCs w:val="28"/>
          <w:lang w:val="uk-UA"/>
        </w:rPr>
      </w:pPr>
      <w:r w:rsidRPr="0080493C">
        <w:rPr>
          <w:rFonts w:ascii="Times New Roman" w:hAnsi="Times New Roman"/>
          <w:sz w:val="28"/>
          <w:szCs w:val="28"/>
        </w:rPr>
        <w:t xml:space="preserve">Li LW, Wong HM, McGrath CP. </w:t>
      </w:r>
      <w:r>
        <w:rPr>
          <w:rFonts w:ascii="Times New Roman" w:hAnsi="Times New Roman"/>
          <w:sz w:val="28"/>
          <w:szCs w:val="28"/>
        </w:rPr>
        <w:t>Longitudinal association between obesity and periodontal diseases among secondary school students in Hong Kong: a prospective cohort study. BMC Oral Health. 2018; 18(1):189.</w:t>
      </w:r>
      <w:r w:rsidR="00CD3E59">
        <w:rPr>
          <w:rFonts w:ascii="Times New Roman" w:hAnsi="Times New Roman"/>
          <w:sz w:val="28"/>
          <w:szCs w:val="28"/>
        </w:rPr>
        <w:t xml:space="preserve"> </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Levin L, Margvelashvili V, Bilder L, Kalandadze M, Tsintsadze N, Machtei EE. Periodontal status among adolescents in Georgia. A pathfinder study. PeerJ. 2013 Sep 17;1:e137. doi: 10.7717/peerj.137. eCollection 2013. PubMed PMID: 24109543; PubMed Central PMCID: PMC3792173.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Li LW, Wong HM, Sun L, Wen YF, McGrath CP. Anthropometric measurements and periodontal diseases in children and adolescents: a systematic review and meta-analysis. Adv Nutr. 2015 Nov 13;6(6):828-41. doi: 10.3945/an.115.010017. PubMed PMID: 26567204; PubMed Central PMCID: PMC4642430.</w:t>
      </w:r>
    </w:p>
    <w:p w:rsidR="00AB5C7D" w:rsidRPr="007A6857" w:rsidRDefault="0080493C"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rPr>
        <w:t>Magaz VR, Llovera BF, Marti M, Garre A</w:t>
      </w:r>
      <w:r w:rsidR="00AB5C7D" w:rsidRPr="007A6857">
        <w:rPr>
          <w:rFonts w:ascii="Times New Roman" w:hAnsi="Times New Roman"/>
          <w:sz w:val="28"/>
          <w:szCs w:val="28"/>
          <w:lang w:val="uk-UA"/>
        </w:rPr>
        <w:t>.</w:t>
      </w:r>
      <w:r>
        <w:rPr>
          <w:rFonts w:ascii="Times New Roman" w:hAnsi="Times New Roman"/>
          <w:sz w:val="28"/>
          <w:szCs w:val="28"/>
        </w:rPr>
        <w:t xml:space="preserve"> Clinical Impact and Cosmetic acceptability of Chlorhexidine-enriched Toothpaste and mouthwash application on periodontal disease: a randomized clinical study. </w:t>
      </w:r>
      <w:r w:rsidR="00AB5C7D" w:rsidRPr="007A6857">
        <w:rPr>
          <w:rFonts w:ascii="Times New Roman" w:hAnsi="Times New Roman"/>
          <w:sz w:val="28"/>
          <w:szCs w:val="28"/>
          <w:lang w:val="uk-UA"/>
        </w:rPr>
        <w:t xml:space="preserve"> J </w:t>
      </w:r>
      <w:r>
        <w:rPr>
          <w:rFonts w:ascii="Times New Roman" w:hAnsi="Times New Roman"/>
          <w:sz w:val="28"/>
          <w:szCs w:val="28"/>
        </w:rPr>
        <w:t>Contemp Dent Pract</w:t>
      </w:r>
      <w:r>
        <w:rPr>
          <w:rFonts w:ascii="Times New Roman" w:hAnsi="Times New Roman"/>
          <w:sz w:val="28"/>
          <w:szCs w:val="28"/>
          <w:lang w:val="uk-UA"/>
        </w:rPr>
        <w:t>. 20</w:t>
      </w:r>
      <w:r>
        <w:rPr>
          <w:rFonts w:ascii="Times New Roman" w:hAnsi="Times New Roman"/>
          <w:sz w:val="28"/>
          <w:szCs w:val="28"/>
        </w:rPr>
        <w:t>18</w:t>
      </w:r>
      <w:r>
        <w:rPr>
          <w:rFonts w:ascii="Times New Roman" w:hAnsi="Times New Roman"/>
          <w:sz w:val="28"/>
          <w:szCs w:val="28"/>
          <w:lang w:val="uk-UA"/>
        </w:rPr>
        <w:t>;</w:t>
      </w:r>
      <w:r>
        <w:rPr>
          <w:rFonts w:ascii="Times New Roman" w:hAnsi="Times New Roman"/>
          <w:sz w:val="28"/>
          <w:szCs w:val="28"/>
        </w:rPr>
        <w:t>19</w:t>
      </w:r>
      <w:r>
        <w:rPr>
          <w:rFonts w:ascii="Times New Roman" w:hAnsi="Times New Roman"/>
          <w:sz w:val="28"/>
          <w:szCs w:val="28"/>
          <w:lang w:val="uk-UA"/>
        </w:rPr>
        <w:t>(</w:t>
      </w:r>
      <w:r>
        <w:rPr>
          <w:rFonts w:ascii="Times New Roman" w:hAnsi="Times New Roman"/>
          <w:sz w:val="28"/>
          <w:szCs w:val="28"/>
        </w:rPr>
        <w:t>11</w:t>
      </w:r>
      <w:r w:rsidR="00AB5C7D" w:rsidRPr="007A6857">
        <w:rPr>
          <w:rFonts w:ascii="Times New Roman" w:hAnsi="Times New Roman"/>
          <w:sz w:val="28"/>
          <w:szCs w:val="28"/>
          <w:lang w:val="uk-UA"/>
        </w:rPr>
        <w:t>):</w:t>
      </w:r>
      <w:r>
        <w:rPr>
          <w:rFonts w:ascii="Times New Roman" w:hAnsi="Times New Roman"/>
          <w:sz w:val="28"/>
          <w:szCs w:val="28"/>
        </w:rPr>
        <w:t>1295-1300</w:t>
      </w:r>
      <w:r>
        <w:rPr>
          <w:rFonts w:ascii="Times New Roman" w:hAnsi="Times New Roman"/>
          <w:sz w:val="28"/>
          <w:szCs w:val="28"/>
          <w:lang w:val="uk-UA"/>
        </w:rPr>
        <w:t xml:space="preserve">. PubMed PMID: </w:t>
      </w:r>
      <w:r>
        <w:rPr>
          <w:rFonts w:ascii="Times New Roman" w:hAnsi="Times New Roman"/>
          <w:sz w:val="28"/>
          <w:szCs w:val="28"/>
        </w:rPr>
        <w:t>30602630</w:t>
      </w:r>
      <w:r w:rsidR="00AB5C7D" w:rsidRPr="007A6857">
        <w:rPr>
          <w:rFonts w:ascii="Times New Roman" w:hAnsi="Times New Roman"/>
          <w:sz w:val="28"/>
          <w:szCs w:val="28"/>
          <w:lang w:val="uk-UA"/>
        </w:rPr>
        <w:t>.</w:t>
      </w:r>
    </w:p>
    <w:p w:rsidR="00AB5C7D" w:rsidRPr="007A6857" w:rsidRDefault="001260F0"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rPr>
        <w:t>Moscicki</w:t>
      </w:r>
      <w:r w:rsidRPr="001260F0">
        <w:rPr>
          <w:rFonts w:ascii="Times New Roman" w:hAnsi="Times New Roman"/>
          <w:sz w:val="28"/>
          <w:szCs w:val="28"/>
          <w:lang w:val="uk-UA"/>
        </w:rPr>
        <w:t xml:space="preserve"> </w:t>
      </w:r>
      <w:r>
        <w:rPr>
          <w:rFonts w:ascii="Times New Roman" w:hAnsi="Times New Roman"/>
          <w:sz w:val="28"/>
          <w:szCs w:val="28"/>
        </w:rPr>
        <w:t>AB</w:t>
      </w:r>
      <w:r w:rsidRPr="001260F0">
        <w:rPr>
          <w:rFonts w:ascii="Times New Roman" w:hAnsi="Times New Roman"/>
          <w:sz w:val="28"/>
          <w:szCs w:val="28"/>
          <w:lang w:val="uk-UA"/>
        </w:rPr>
        <w:t xml:space="preserve">, </w:t>
      </w:r>
      <w:r>
        <w:rPr>
          <w:rFonts w:ascii="Times New Roman" w:hAnsi="Times New Roman"/>
          <w:sz w:val="28"/>
          <w:szCs w:val="28"/>
        </w:rPr>
        <w:t>Yao</w:t>
      </w:r>
      <w:r w:rsidRPr="001260F0">
        <w:rPr>
          <w:rFonts w:ascii="Times New Roman" w:hAnsi="Times New Roman"/>
          <w:sz w:val="28"/>
          <w:szCs w:val="28"/>
          <w:lang w:val="uk-UA"/>
        </w:rPr>
        <w:t xml:space="preserve"> </w:t>
      </w:r>
      <w:r>
        <w:rPr>
          <w:rFonts w:ascii="Times New Roman" w:hAnsi="Times New Roman"/>
          <w:sz w:val="28"/>
          <w:szCs w:val="28"/>
        </w:rPr>
        <w:t>TJ</w:t>
      </w:r>
      <w:r w:rsidRPr="001260F0">
        <w:rPr>
          <w:rFonts w:ascii="Times New Roman" w:hAnsi="Times New Roman"/>
          <w:sz w:val="28"/>
          <w:szCs w:val="28"/>
          <w:lang w:val="uk-UA"/>
        </w:rPr>
        <w:t xml:space="preserve">, </w:t>
      </w:r>
      <w:r>
        <w:rPr>
          <w:rFonts w:ascii="Times New Roman" w:hAnsi="Times New Roman"/>
          <w:sz w:val="28"/>
          <w:szCs w:val="28"/>
        </w:rPr>
        <w:t>Russel</w:t>
      </w:r>
      <w:r w:rsidRPr="001260F0">
        <w:rPr>
          <w:rFonts w:ascii="Times New Roman" w:hAnsi="Times New Roman"/>
          <w:sz w:val="28"/>
          <w:szCs w:val="28"/>
          <w:lang w:val="uk-UA"/>
        </w:rPr>
        <w:t xml:space="preserve"> </w:t>
      </w:r>
      <w:r>
        <w:rPr>
          <w:rFonts w:ascii="Times New Roman" w:hAnsi="Times New Roman"/>
          <w:sz w:val="28"/>
          <w:szCs w:val="28"/>
        </w:rPr>
        <w:t>JS</w:t>
      </w:r>
      <w:r w:rsidRPr="001260F0">
        <w:rPr>
          <w:rFonts w:ascii="Times New Roman" w:hAnsi="Times New Roman"/>
          <w:sz w:val="28"/>
          <w:szCs w:val="28"/>
          <w:lang w:val="uk-UA"/>
        </w:rPr>
        <w:t xml:space="preserve">, </w:t>
      </w:r>
      <w:r>
        <w:rPr>
          <w:rFonts w:ascii="Times New Roman" w:hAnsi="Times New Roman"/>
          <w:sz w:val="28"/>
          <w:szCs w:val="28"/>
        </w:rPr>
        <w:t>Farhats</w:t>
      </w:r>
      <w:r w:rsidRPr="001260F0">
        <w:rPr>
          <w:rFonts w:ascii="Times New Roman" w:hAnsi="Times New Roman"/>
          <w:sz w:val="28"/>
          <w:szCs w:val="28"/>
          <w:lang w:val="uk-UA"/>
        </w:rPr>
        <w:t xml:space="preserve">, </w:t>
      </w:r>
      <w:r>
        <w:rPr>
          <w:rFonts w:ascii="Times New Roman" w:hAnsi="Times New Roman"/>
          <w:sz w:val="28"/>
          <w:szCs w:val="28"/>
        </w:rPr>
        <w:t>Scott</w:t>
      </w:r>
      <w:r w:rsidRPr="001260F0">
        <w:rPr>
          <w:rFonts w:ascii="Times New Roman" w:hAnsi="Times New Roman"/>
          <w:sz w:val="28"/>
          <w:szCs w:val="28"/>
          <w:lang w:val="uk-UA"/>
        </w:rPr>
        <w:t xml:space="preserve"> </w:t>
      </w:r>
      <w:r>
        <w:rPr>
          <w:rFonts w:ascii="Times New Roman" w:hAnsi="Times New Roman"/>
          <w:sz w:val="28"/>
          <w:szCs w:val="28"/>
        </w:rPr>
        <w:t>M</w:t>
      </w:r>
      <w:r w:rsidRPr="001260F0">
        <w:rPr>
          <w:rFonts w:ascii="Times New Roman" w:hAnsi="Times New Roman"/>
          <w:sz w:val="28"/>
          <w:szCs w:val="28"/>
          <w:lang w:val="uk-UA"/>
        </w:rPr>
        <w:t xml:space="preserve">, </w:t>
      </w:r>
      <w:r>
        <w:rPr>
          <w:rFonts w:ascii="Times New Roman" w:hAnsi="Times New Roman"/>
          <w:sz w:val="28"/>
          <w:szCs w:val="28"/>
        </w:rPr>
        <w:t>Magpantay</w:t>
      </w:r>
      <w:r w:rsidRPr="001260F0">
        <w:rPr>
          <w:rFonts w:ascii="Times New Roman" w:hAnsi="Times New Roman"/>
          <w:sz w:val="28"/>
          <w:szCs w:val="28"/>
          <w:lang w:val="uk-UA"/>
        </w:rPr>
        <w:t xml:space="preserve"> </w:t>
      </w:r>
      <w:r>
        <w:rPr>
          <w:rFonts w:ascii="Times New Roman" w:hAnsi="Times New Roman"/>
          <w:sz w:val="28"/>
          <w:szCs w:val="28"/>
        </w:rPr>
        <w:t>L</w:t>
      </w:r>
      <w:r w:rsidRPr="001260F0">
        <w:rPr>
          <w:rFonts w:ascii="Times New Roman" w:hAnsi="Times New Roman"/>
          <w:sz w:val="28"/>
          <w:szCs w:val="28"/>
          <w:lang w:val="uk-UA"/>
        </w:rPr>
        <w:t xml:space="preserve">, </w:t>
      </w:r>
      <w:r>
        <w:rPr>
          <w:rFonts w:ascii="Times New Roman" w:hAnsi="Times New Roman"/>
          <w:sz w:val="28"/>
          <w:szCs w:val="28"/>
        </w:rPr>
        <w:t>Halec</w:t>
      </w:r>
      <w:r w:rsidRPr="001260F0">
        <w:rPr>
          <w:rFonts w:ascii="Times New Roman" w:hAnsi="Times New Roman"/>
          <w:sz w:val="28"/>
          <w:szCs w:val="28"/>
          <w:lang w:val="uk-UA"/>
        </w:rPr>
        <w:t xml:space="preserve"> </w:t>
      </w:r>
      <w:r>
        <w:rPr>
          <w:rFonts w:ascii="Times New Roman" w:hAnsi="Times New Roman"/>
          <w:sz w:val="28"/>
          <w:szCs w:val="28"/>
        </w:rPr>
        <w:t>G</w:t>
      </w:r>
      <w:r w:rsidRPr="001260F0">
        <w:rPr>
          <w:rFonts w:ascii="Times New Roman" w:hAnsi="Times New Roman"/>
          <w:sz w:val="28"/>
          <w:szCs w:val="28"/>
          <w:lang w:val="uk-UA"/>
        </w:rPr>
        <w:t xml:space="preserve">, </w:t>
      </w:r>
      <w:r>
        <w:rPr>
          <w:rFonts w:ascii="Times New Roman" w:hAnsi="Times New Roman"/>
          <w:sz w:val="28"/>
          <w:szCs w:val="28"/>
        </w:rPr>
        <w:t>Shiboski</w:t>
      </w:r>
      <w:r w:rsidRPr="001260F0">
        <w:rPr>
          <w:rFonts w:ascii="Times New Roman" w:hAnsi="Times New Roman"/>
          <w:sz w:val="28"/>
          <w:szCs w:val="28"/>
          <w:lang w:val="uk-UA"/>
        </w:rPr>
        <w:t xml:space="preserve"> </w:t>
      </w:r>
      <w:r>
        <w:rPr>
          <w:rFonts w:ascii="Times New Roman" w:hAnsi="Times New Roman"/>
          <w:sz w:val="28"/>
          <w:szCs w:val="28"/>
        </w:rPr>
        <w:t>CH</w:t>
      </w:r>
      <w:r w:rsidRPr="001260F0">
        <w:rPr>
          <w:rFonts w:ascii="Times New Roman" w:hAnsi="Times New Roman"/>
          <w:sz w:val="28"/>
          <w:szCs w:val="28"/>
          <w:lang w:val="uk-UA"/>
        </w:rPr>
        <w:t xml:space="preserve">, </w:t>
      </w:r>
      <w:r>
        <w:rPr>
          <w:rFonts w:ascii="Times New Roman" w:hAnsi="Times New Roman"/>
          <w:sz w:val="28"/>
          <w:szCs w:val="28"/>
        </w:rPr>
        <w:t>Ryder</w:t>
      </w:r>
      <w:r w:rsidRPr="001260F0">
        <w:rPr>
          <w:rFonts w:ascii="Times New Roman" w:hAnsi="Times New Roman"/>
          <w:sz w:val="28"/>
          <w:szCs w:val="28"/>
          <w:lang w:val="uk-UA"/>
        </w:rPr>
        <w:t xml:space="preserve"> </w:t>
      </w:r>
      <w:r>
        <w:rPr>
          <w:rFonts w:ascii="Times New Roman" w:hAnsi="Times New Roman"/>
          <w:sz w:val="28"/>
          <w:szCs w:val="28"/>
        </w:rPr>
        <w:t>MI</w:t>
      </w:r>
      <w:r w:rsidRPr="001260F0">
        <w:rPr>
          <w:rFonts w:ascii="Times New Roman" w:hAnsi="Times New Roman"/>
          <w:sz w:val="28"/>
          <w:szCs w:val="28"/>
          <w:lang w:val="uk-UA"/>
        </w:rPr>
        <w:t xml:space="preserve">. </w:t>
      </w:r>
      <w:r>
        <w:rPr>
          <w:rFonts w:ascii="Times New Roman" w:hAnsi="Times New Roman"/>
          <w:sz w:val="28"/>
          <w:szCs w:val="28"/>
        </w:rPr>
        <w:t>Biomarkers of oral inflammation</w:t>
      </w:r>
      <w:r w:rsidR="00AB5C7D" w:rsidRPr="007A6857">
        <w:rPr>
          <w:rFonts w:ascii="Times New Roman" w:hAnsi="Times New Roman"/>
          <w:sz w:val="28"/>
          <w:szCs w:val="28"/>
          <w:lang w:val="uk-UA"/>
        </w:rPr>
        <w:t xml:space="preserve"> </w:t>
      </w:r>
      <w:r>
        <w:rPr>
          <w:rFonts w:ascii="Times New Roman" w:hAnsi="Times New Roman"/>
          <w:sz w:val="28"/>
          <w:szCs w:val="28"/>
        </w:rPr>
        <w:t xml:space="preserve">in perinatally HIV-infected and perinatally HIV exposed, uninfected youth. </w:t>
      </w:r>
      <w:r>
        <w:rPr>
          <w:rFonts w:ascii="Times New Roman" w:hAnsi="Times New Roman"/>
          <w:sz w:val="28"/>
          <w:szCs w:val="28"/>
          <w:lang w:val="uk-UA"/>
        </w:rPr>
        <w:t>J Clin Periodontol. 20</w:t>
      </w:r>
      <w:r>
        <w:rPr>
          <w:rFonts w:ascii="Times New Roman" w:hAnsi="Times New Roman"/>
          <w:sz w:val="28"/>
          <w:szCs w:val="28"/>
        </w:rPr>
        <w:t>19</w:t>
      </w:r>
      <w:r>
        <w:rPr>
          <w:rFonts w:ascii="Times New Roman" w:hAnsi="Times New Roman"/>
          <w:sz w:val="28"/>
          <w:szCs w:val="28"/>
          <w:lang w:val="uk-UA"/>
        </w:rPr>
        <w:t>;(</w:t>
      </w:r>
      <w:r>
        <w:rPr>
          <w:rFonts w:ascii="Times New Roman" w:hAnsi="Times New Roman"/>
          <w:sz w:val="28"/>
          <w:szCs w:val="28"/>
        </w:rPr>
        <w:t>6</w:t>
      </w:r>
      <w:r w:rsidR="00AB5C7D" w:rsidRPr="007A6857">
        <w:rPr>
          <w:rFonts w:ascii="Times New Roman" w:hAnsi="Times New Roman"/>
          <w:sz w:val="28"/>
          <w:szCs w:val="28"/>
          <w:lang w:val="uk-UA"/>
        </w:rPr>
        <w:t>):</w:t>
      </w:r>
      <w:r>
        <w:rPr>
          <w:rFonts w:ascii="Times New Roman" w:hAnsi="Times New Roman"/>
          <w:sz w:val="28"/>
          <w:szCs w:val="28"/>
        </w:rPr>
        <w:t>186-92</w:t>
      </w:r>
      <w:r w:rsidR="00AB5C7D" w:rsidRPr="007A6857">
        <w:rPr>
          <w:rFonts w:ascii="Times New Roman" w:hAnsi="Times New Roman"/>
          <w:sz w:val="28"/>
          <w:szCs w:val="28"/>
          <w:lang w:val="uk-UA"/>
        </w:rPr>
        <w:t xml:space="preserve">. </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Nazir MA. Prevalence of periodontal disease, its association with systemic diseases and prevention. Int J Health Sci (Qassim). 2017 Apr-Jun;11(2):72-80. PubMed PMID: 28539867; PubMed Central PMCID: PMC5426403.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Neering SH, Adyani-Fard S, Klocke A, Rüttermann S, Flemmig TF, Beikler T. Periodontitis associated with plasminogen deficiency: a case report. BMC Oral Health. 2015 May 14;15:59. doi: 10.1186/s12903-015-0045-3. PubMed PMID: 25971786; PubMed Central PMCID: PMC4438564.</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Pari A, Ilango P, Subbareddy V, Katamreddy V, Parthasarthy H. Gingival diseases in childhood - a review. J Clin Diagn Res. 2014 Oct;8(10):ZE01-4. doi: 10.7860/JCDR/2014/9004.4957. PubMed PMID: 25478471; PubMed Central PMCID: PMC4253289.</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Quiroz V, Reinero D, Hernández P, Contreras J, Vernal R, Carvajal P. Development of a self-report questionnaire designed for population-based surveillance of gingivitis in adolescents: assessment of content validity and reliability. J Appl Oral Sci. 2017 Jul-Aug;25(4):404-11. doi: 10.1590/1678-7757-2016-0511. PubMed PMID: 28877279; PubMed Central PMCID: PMC5595113.</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Rahiminejad ME, Moaddab A, Zaryoun H, Rabiee S, Moaddab A, Khodadoustan A. Comparison of prevalence of periodontal disease in women with polycystic ovary syndrome and healthy controls. Dent Res J (Isfahan). 2015 Nov-Dec;12(6):507-12. PubMed PMID: 26759585; PubMed Central PMCID: PMC4696351.</w:t>
      </w:r>
    </w:p>
    <w:p w:rsidR="00AB5C7D" w:rsidRPr="002D65D8"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Rathore S, Khuller N, Dev YP, Singh P, Basavaraj P, Gera K. Effects of Scaling and Root Planing on Gingival Status during Menstrual Cycle- A Cross-Sectional Analytical Study. J Clin Diagn Res. 2015 Oct;9(10):ZC35-9. doi: 10.7860/JCDR/2015/13307.6605. PubMed PMID: 26557613; PubMed Central PMCID: PMC4625332.</w:t>
      </w:r>
    </w:p>
    <w:p w:rsidR="002D65D8" w:rsidRPr="007A6857" w:rsidRDefault="001260F0" w:rsidP="008B51D1">
      <w:pPr>
        <w:pStyle w:val="aa"/>
        <w:numPr>
          <w:ilvl w:val="0"/>
          <w:numId w:val="29"/>
        </w:numPr>
        <w:spacing w:line="360" w:lineRule="auto"/>
        <w:ind w:left="0" w:firstLine="709"/>
        <w:jc w:val="both"/>
        <w:rPr>
          <w:rFonts w:ascii="Times New Roman" w:hAnsi="Times New Roman"/>
          <w:sz w:val="28"/>
          <w:szCs w:val="28"/>
          <w:lang w:val="uk-UA"/>
        </w:rPr>
      </w:pPr>
      <w:r>
        <w:rPr>
          <w:rFonts w:ascii="Times New Roman" w:hAnsi="Times New Roman"/>
          <w:sz w:val="28"/>
          <w:szCs w:val="28"/>
        </w:rPr>
        <w:t>Sbaiju RMP, Peter E, Nayar BR, Varughese JM, Varghese NO. Prevalence and predictors of early periodontal disease among adolescents.</w:t>
      </w:r>
      <w:r w:rsidR="002D65D8">
        <w:rPr>
          <w:rFonts w:ascii="Times New Roman" w:hAnsi="Times New Roman"/>
          <w:sz w:val="28"/>
          <w:szCs w:val="28"/>
        </w:rPr>
        <w:t xml:space="preserve"> </w:t>
      </w:r>
      <w:r>
        <w:rPr>
          <w:rFonts w:ascii="Times New Roman" w:hAnsi="Times New Roman"/>
          <w:sz w:val="28"/>
          <w:szCs w:val="28"/>
        </w:rPr>
        <w:t>J Indian Soc.Periodontol. 2019; 23(4):356-61.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Shewale AH, Gattani DR, Bhatia N, Mahajan R, Saravanan SP. Prevalence of Periodontal Disease in the General Population of India-A Systematic Review. J Clin Diagn Res. 2016 Jun;10(6):ZE04-9. doi: 10.7860/JCDR/2016/17958.7962. PubMed PMID: 27504431; PubMed Central PMCID: PMC4963791.</w:t>
      </w:r>
    </w:p>
    <w:p w:rsidR="00AB5C7D" w:rsidRPr="007A6857"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t>Tu W, Wagner EK, Eckert GJ, Yu Z, Hannon T, Pratt JH, He C. Associations between menarche-related genetic variants and pubertal growth in male and female adolescents. J Adolesc Health. 2015 Jan;56(1):66-72. doi: 10.1016/j.jadohealth.2014.07.020. PubMed PMID: 25287989; PubMed Central PMCID: PMC4275397.</w:t>
      </w:r>
    </w:p>
    <w:p w:rsidR="00AB5C7D" w:rsidRDefault="00AB5C7D" w:rsidP="008B51D1">
      <w:pPr>
        <w:pStyle w:val="aa"/>
        <w:numPr>
          <w:ilvl w:val="0"/>
          <w:numId w:val="29"/>
        </w:numPr>
        <w:spacing w:line="360" w:lineRule="auto"/>
        <w:ind w:left="0" w:firstLine="709"/>
        <w:jc w:val="both"/>
        <w:rPr>
          <w:rFonts w:ascii="Times New Roman" w:hAnsi="Times New Roman"/>
          <w:sz w:val="28"/>
          <w:szCs w:val="28"/>
          <w:lang w:val="uk-UA"/>
        </w:rPr>
      </w:pPr>
      <w:r w:rsidRPr="007A6857">
        <w:rPr>
          <w:rFonts w:ascii="Times New Roman" w:hAnsi="Times New Roman"/>
          <w:sz w:val="28"/>
          <w:szCs w:val="28"/>
          <w:lang w:val="uk-UA"/>
        </w:rPr>
        <w:lastRenderedPageBreak/>
        <w:t>Vallogini G, Nobili V, Rongo R, De Rosa S, Magliarditi F, D'Antò V, Galeotti A. Evaluation of the relationship between obesity, dental caries and periodontal disease in adolescents. Eur J Paediatr Dent. 2017 Dec;18(4):268-72. doi:10.23804/ejpd.2017.18.04.02. PubMed PMID: 29380611.</w:t>
      </w:r>
    </w:p>
    <w:p w:rsidR="001260F0" w:rsidRPr="007A6857" w:rsidRDefault="001260F0" w:rsidP="001260F0">
      <w:pPr>
        <w:pStyle w:val="aa"/>
        <w:spacing w:line="360" w:lineRule="auto"/>
        <w:ind w:left="709"/>
        <w:jc w:val="both"/>
        <w:rPr>
          <w:rFonts w:ascii="Times New Roman" w:hAnsi="Times New Roman"/>
          <w:sz w:val="28"/>
          <w:szCs w:val="28"/>
          <w:lang w:val="uk-UA"/>
        </w:rPr>
      </w:pPr>
    </w:p>
    <w:p w:rsidR="00AB5C7D" w:rsidRDefault="00AB5C7D"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Default="00CD3E59" w:rsidP="008B51D1">
      <w:pPr>
        <w:ind w:firstLine="709"/>
        <w:jc w:val="center"/>
        <w:rPr>
          <w:rFonts w:ascii="Times New Roman" w:hAnsi="Times New Roman"/>
          <w:sz w:val="28"/>
          <w:szCs w:val="28"/>
        </w:rPr>
      </w:pPr>
    </w:p>
    <w:p w:rsidR="00CD3E59" w:rsidRPr="00CD3E59" w:rsidRDefault="00CD3E59" w:rsidP="008B51D1">
      <w:pPr>
        <w:ind w:firstLine="709"/>
        <w:jc w:val="center"/>
        <w:rPr>
          <w:rFonts w:ascii="Times New Roman" w:hAnsi="Times New Roman"/>
          <w:sz w:val="28"/>
          <w:szCs w:val="28"/>
        </w:rPr>
      </w:pPr>
    </w:p>
    <w:p w:rsidR="00282D41" w:rsidRDefault="00282D41" w:rsidP="008B51D1">
      <w:pPr>
        <w:ind w:firstLine="709"/>
        <w:jc w:val="center"/>
        <w:rPr>
          <w:rFonts w:ascii="Times New Roman" w:hAnsi="Times New Roman"/>
          <w:sz w:val="28"/>
          <w:szCs w:val="28"/>
          <w:lang w:val="uk-UA"/>
        </w:rPr>
      </w:pPr>
    </w:p>
    <w:p w:rsidR="00282D41" w:rsidRDefault="00282D41" w:rsidP="008B51D1">
      <w:pPr>
        <w:ind w:firstLine="709"/>
        <w:jc w:val="center"/>
        <w:rPr>
          <w:rFonts w:ascii="Times New Roman" w:hAnsi="Times New Roman"/>
          <w:sz w:val="28"/>
          <w:szCs w:val="28"/>
          <w:lang w:val="uk-UA"/>
        </w:rPr>
      </w:pPr>
    </w:p>
    <w:p w:rsidR="00282D41" w:rsidRPr="00BD4FE3" w:rsidRDefault="00B066D9" w:rsidP="007D01D7">
      <w:pPr>
        <w:spacing w:line="360" w:lineRule="auto"/>
        <w:ind w:firstLine="709"/>
        <w:jc w:val="center"/>
        <w:rPr>
          <w:rFonts w:ascii="Times New Roman" w:hAnsi="Times New Roman"/>
          <w:sz w:val="28"/>
          <w:szCs w:val="28"/>
        </w:rPr>
      </w:pPr>
      <w:r>
        <w:rPr>
          <w:rFonts w:ascii="Times New Roman" w:hAnsi="Times New Roman"/>
          <w:sz w:val="28"/>
          <w:szCs w:val="28"/>
          <w:lang w:val="uk-UA"/>
        </w:rPr>
        <w:lastRenderedPageBreak/>
        <w:t xml:space="preserve">ДОДАТОК </w:t>
      </w:r>
      <w:r w:rsidR="00BD4FE3">
        <w:rPr>
          <w:rFonts w:ascii="Times New Roman" w:hAnsi="Times New Roman"/>
          <w:sz w:val="28"/>
          <w:szCs w:val="28"/>
        </w:rPr>
        <w:t>A</w:t>
      </w:r>
    </w:p>
    <w:p w:rsidR="00282D41" w:rsidRPr="0051660F" w:rsidRDefault="00282D41" w:rsidP="00282D41">
      <w:pPr>
        <w:pStyle w:val="aa"/>
        <w:spacing w:line="360" w:lineRule="auto"/>
        <w:ind w:left="0" w:firstLine="709"/>
        <w:jc w:val="center"/>
        <w:rPr>
          <w:rFonts w:ascii="Times New Roman" w:hAnsi="Times New Roman"/>
          <w:b/>
          <w:sz w:val="28"/>
          <w:szCs w:val="28"/>
          <w:lang w:val="uk-UA"/>
        </w:rPr>
      </w:pPr>
      <w:r w:rsidRPr="0051660F">
        <w:rPr>
          <w:rFonts w:ascii="Times New Roman" w:hAnsi="Times New Roman"/>
          <w:b/>
          <w:sz w:val="28"/>
          <w:szCs w:val="28"/>
          <w:lang w:val="uk-UA"/>
        </w:rPr>
        <w:t xml:space="preserve">Список </w:t>
      </w:r>
      <w:r w:rsidR="007D01D7">
        <w:rPr>
          <w:rFonts w:ascii="Times New Roman" w:hAnsi="Times New Roman"/>
          <w:b/>
          <w:sz w:val="28"/>
          <w:szCs w:val="28"/>
          <w:lang w:val="uk-UA"/>
        </w:rPr>
        <w:t>праць, опублікованих за темою дисертації</w:t>
      </w:r>
    </w:p>
    <w:p w:rsidR="00B066D9" w:rsidRPr="00251EA6" w:rsidRDefault="00B066D9" w:rsidP="00B066D9">
      <w:pPr>
        <w:spacing w:before="100" w:beforeAutospacing="1" w:after="100" w:afterAutospacing="1" w:line="360" w:lineRule="auto"/>
        <w:ind w:left="709"/>
        <w:jc w:val="both"/>
        <w:rPr>
          <w:rFonts w:ascii="Times New Roman" w:hAnsi="Times New Roman"/>
          <w:color w:val="000000"/>
          <w:sz w:val="28"/>
          <w:szCs w:val="28"/>
          <w:lang w:val="ru-RU" w:eastAsia="ru-RU" w:bidi="ar-SA"/>
        </w:rPr>
      </w:pPr>
      <w:r>
        <w:rPr>
          <w:rFonts w:ascii="Times New Roman" w:hAnsi="Times New Roman"/>
          <w:sz w:val="28"/>
          <w:szCs w:val="28"/>
          <w:lang w:val="uk-UA"/>
        </w:rPr>
        <w:t xml:space="preserve">І. </w:t>
      </w:r>
      <w:r w:rsidRPr="00251EA6">
        <w:rPr>
          <w:rFonts w:ascii="Times New Roman" w:hAnsi="Times New Roman"/>
          <w:sz w:val="28"/>
          <w:szCs w:val="28"/>
          <w:lang w:val="uk-UA"/>
        </w:rPr>
        <w:t>Видання, в яких опубліковані основні наукові результати дисертації:</w:t>
      </w:r>
    </w:p>
    <w:p w:rsidR="00B066D9" w:rsidRPr="00251EA6"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251EA6">
        <w:rPr>
          <w:rFonts w:ascii="Times New Roman" w:hAnsi="Times New Roman"/>
          <w:color w:val="000000"/>
          <w:sz w:val="28"/>
          <w:szCs w:val="28"/>
          <w:lang w:val="ru-RU" w:eastAsia="ru-RU" w:bidi="ar-SA"/>
        </w:rPr>
        <w:t>Ключка Є. О. Особливості впливу порушення менструальної функції на стан тканин пародонта у дівчат-підлітків / Є. О. Ключка // Вісник стоматології. – 2018. – № 1 (102), т. 27. – С. 84–88.</w:t>
      </w:r>
    </w:p>
    <w:p w:rsidR="00B066D9"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Ключка</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 xml:space="preserve">Ефективність застосування інноваційного методу профілактики пародонта у дівчат-підлітків із порушенням менструального циклу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Ключка, І.</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І.</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Соколова</w:t>
      </w:r>
      <w:r>
        <w:rPr>
          <w:rFonts w:ascii="Times New Roman" w:hAnsi="Times New Roman"/>
          <w:color w:val="000000"/>
          <w:sz w:val="28"/>
          <w:szCs w:val="28"/>
          <w:lang w:val="ru-RU" w:eastAsia="ru-RU" w:bidi="ar-SA"/>
        </w:rPr>
        <w:t xml:space="preserve"> // </w:t>
      </w:r>
      <w:r w:rsidRPr="00761003">
        <w:rPr>
          <w:rFonts w:ascii="Times New Roman" w:hAnsi="Times New Roman"/>
          <w:color w:val="000000"/>
          <w:sz w:val="28"/>
          <w:szCs w:val="28"/>
          <w:lang w:val="ru-RU" w:eastAsia="ru-RU" w:bidi="ar-SA"/>
        </w:rPr>
        <w:t xml:space="preserve">Міжнародний медичний журнал. – 2018. </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Т</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24,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4</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(96). – С.</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85</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89.</w:t>
      </w:r>
      <w:r>
        <w:rPr>
          <w:rFonts w:ascii="Times New Roman" w:hAnsi="Times New Roman"/>
          <w:color w:val="000000"/>
          <w:sz w:val="28"/>
          <w:szCs w:val="28"/>
          <w:lang w:val="ru-RU" w:eastAsia="ru-RU" w:bidi="ar-SA"/>
        </w:rPr>
        <w:t xml:space="preserve"> </w:t>
      </w:r>
    </w:p>
    <w:p w:rsidR="00B066D9"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Факторы формирования тяжести воспалительных заболеваний пародонта у девочек-подростков с нарушением менструальной функции</w:t>
      </w:r>
      <w:r w:rsidRPr="00BE565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 Е. А. </w:t>
      </w:r>
      <w:r w:rsidRPr="00761003">
        <w:rPr>
          <w:rFonts w:ascii="Times New Roman" w:hAnsi="Times New Roman"/>
          <w:color w:val="000000"/>
          <w:sz w:val="28"/>
          <w:szCs w:val="28"/>
          <w:lang w:val="ru-RU" w:eastAsia="ru-RU" w:bidi="ar-SA"/>
        </w:rPr>
        <w:t xml:space="preserve">Ключка, </w:t>
      </w:r>
      <w:r>
        <w:rPr>
          <w:rFonts w:ascii="Times New Roman" w:hAnsi="Times New Roman"/>
          <w:color w:val="000000"/>
          <w:sz w:val="28"/>
          <w:szCs w:val="28"/>
          <w:lang w:val="ru-RU" w:eastAsia="ru-RU" w:bidi="ar-SA"/>
        </w:rPr>
        <w:t>И. И. </w:t>
      </w:r>
      <w:r w:rsidRPr="00761003">
        <w:rPr>
          <w:rFonts w:ascii="Times New Roman" w:hAnsi="Times New Roman"/>
          <w:color w:val="000000"/>
          <w:sz w:val="28"/>
          <w:szCs w:val="28"/>
          <w:lang w:val="ru-RU" w:eastAsia="ru-RU" w:bidi="ar-SA"/>
        </w:rPr>
        <w:t xml:space="preserve">Соколова, </w:t>
      </w:r>
      <w:r>
        <w:rPr>
          <w:rFonts w:ascii="Times New Roman" w:hAnsi="Times New Roman"/>
          <w:color w:val="000000"/>
          <w:sz w:val="28"/>
          <w:szCs w:val="28"/>
          <w:lang w:val="ru-RU" w:eastAsia="ru-RU" w:bidi="ar-SA"/>
        </w:rPr>
        <w:t>И. А. </w:t>
      </w:r>
      <w:r w:rsidRPr="00761003">
        <w:rPr>
          <w:rFonts w:ascii="Times New Roman" w:hAnsi="Times New Roman"/>
          <w:color w:val="000000"/>
          <w:sz w:val="28"/>
          <w:szCs w:val="28"/>
          <w:lang w:val="ru-RU" w:eastAsia="ru-RU" w:bidi="ar-SA"/>
        </w:rPr>
        <w:t xml:space="preserve">Тучкина, </w:t>
      </w:r>
      <w:r>
        <w:rPr>
          <w:rFonts w:ascii="Times New Roman" w:hAnsi="Times New Roman"/>
          <w:color w:val="000000"/>
          <w:sz w:val="28"/>
          <w:szCs w:val="28"/>
          <w:lang w:val="ru-RU" w:eastAsia="ru-RU" w:bidi="ar-SA"/>
        </w:rPr>
        <w:t>О. В. </w:t>
      </w:r>
      <w:r w:rsidRPr="00761003">
        <w:rPr>
          <w:rFonts w:ascii="Times New Roman" w:hAnsi="Times New Roman"/>
          <w:color w:val="000000"/>
          <w:sz w:val="28"/>
          <w:szCs w:val="28"/>
          <w:lang w:val="ru-RU" w:eastAsia="ru-RU" w:bidi="ar-SA"/>
        </w:rPr>
        <w:t xml:space="preserve">Пионтковская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 xml:space="preserve">Journal of Education, Health and Sport. – 2017. – </w:t>
      </w:r>
      <w:r w:rsidRPr="00761003">
        <w:rPr>
          <w:rFonts w:ascii="Times New Roman" w:hAnsi="Times New Roman"/>
          <w:color w:val="000000"/>
          <w:sz w:val="28"/>
          <w:szCs w:val="28"/>
          <w:lang w:eastAsia="ru-RU" w:bidi="ar-SA"/>
        </w:rPr>
        <w:t>Vol</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7</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eastAsia="ru-RU" w:bidi="ar-SA"/>
        </w:rPr>
        <w:t>N</w:t>
      </w:r>
      <w:r>
        <w:rPr>
          <w:rFonts w:ascii="Times New Roman" w:hAnsi="Times New Roman"/>
          <w:color w:val="000000"/>
          <w:sz w:val="28"/>
          <w:szCs w:val="28"/>
          <w:lang w:val="uk-UA" w:eastAsia="ru-RU" w:bidi="ar-SA"/>
        </w:rPr>
        <w:t> </w:t>
      </w:r>
      <w:r w:rsidRPr="00761003">
        <w:rPr>
          <w:rFonts w:ascii="Times New Roman" w:hAnsi="Times New Roman"/>
          <w:color w:val="000000"/>
          <w:sz w:val="28"/>
          <w:szCs w:val="28"/>
          <w:lang w:val="ru-RU" w:eastAsia="ru-RU" w:bidi="ar-SA"/>
        </w:rPr>
        <w:t xml:space="preserve">6. – </w:t>
      </w:r>
      <w:r>
        <w:rPr>
          <w:rFonts w:ascii="Times New Roman" w:hAnsi="Times New Roman"/>
          <w:color w:val="000000"/>
          <w:sz w:val="28"/>
          <w:szCs w:val="28"/>
          <w:lang w:val="ru-RU" w:eastAsia="ru-RU" w:bidi="ar-SA"/>
        </w:rPr>
        <w:t>Р</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1160</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1168.</w:t>
      </w:r>
      <w:r>
        <w:rPr>
          <w:rFonts w:ascii="Times New Roman" w:hAnsi="Times New Roman"/>
          <w:color w:val="000000"/>
          <w:sz w:val="28"/>
          <w:szCs w:val="28"/>
          <w:lang w:val="ru-RU" w:eastAsia="ru-RU" w:bidi="ar-SA"/>
        </w:rPr>
        <w:t xml:space="preserve"> </w:t>
      </w:r>
    </w:p>
    <w:p w:rsidR="00B066D9" w:rsidRPr="00D9792F"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 xml:space="preserve"> Ключка</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Предиктори розвитку запальних захворювань пародонта у дівчат-підлітків з порушенням менструальної функції</w:t>
      </w:r>
      <w:r>
        <w:rPr>
          <w:rFonts w:ascii="Times New Roman" w:hAnsi="Times New Roman"/>
          <w:color w:val="000000"/>
          <w:sz w:val="28"/>
          <w:szCs w:val="28"/>
          <w:lang w:val="ru-RU" w:eastAsia="ru-RU" w:bidi="ar-SA"/>
        </w:rPr>
        <w:t xml:space="preserve"> / </w:t>
      </w:r>
      <w:r>
        <w:rPr>
          <w:rFonts w:ascii="Times New Roman" w:hAnsi="Times New Roman"/>
          <w:color w:val="000000"/>
          <w:sz w:val="28"/>
          <w:szCs w:val="28"/>
          <w:lang w:val="uk-UA" w:eastAsia="ru-RU" w:bidi="ar-SA"/>
        </w:rPr>
        <w:t>Є. О. Ключка, І. І. Соколова // </w:t>
      </w:r>
      <w:r w:rsidRPr="00761003">
        <w:rPr>
          <w:rFonts w:ascii="Times New Roman" w:hAnsi="Times New Roman"/>
          <w:color w:val="000000"/>
          <w:sz w:val="28"/>
          <w:szCs w:val="28"/>
          <w:lang w:val="ru-RU" w:eastAsia="ru-RU" w:bidi="ar-SA"/>
        </w:rPr>
        <w:t xml:space="preserve">Експериментальна и клінічна медицина. </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 xml:space="preserve">2018. – </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2</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3 (79</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80).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159</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165.</w:t>
      </w:r>
      <w:r>
        <w:rPr>
          <w:rFonts w:ascii="Times New Roman" w:hAnsi="Times New Roman"/>
          <w:color w:val="000000"/>
          <w:sz w:val="28"/>
          <w:szCs w:val="28"/>
          <w:lang w:val="ru-RU" w:eastAsia="ru-RU" w:bidi="ar-SA"/>
        </w:rPr>
        <w:t xml:space="preserve"> </w:t>
      </w:r>
    </w:p>
    <w:p w:rsidR="00B066D9" w:rsidRPr="005A04B5"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Ключка</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Є.</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О.</w:t>
      </w:r>
      <w:r>
        <w:rPr>
          <w:rFonts w:ascii="Times New Roman" w:hAnsi="Times New Roman"/>
          <w:color w:val="000000"/>
          <w:sz w:val="28"/>
          <w:szCs w:val="28"/>
          <w:lang w:val="ru-RU" w:eastAsia="ru-RU" w:bidi="ar-SA"/>
        </w:rPr>
        <w:t xml:space="preserve"> </w:t>
      </w:r>
      <w:r w:rsidRPr="00761003">
        <w:rPr>
          <w:rFonts w:ascii="Times New Roman" w:hAnsi="Times New Roman"/>
          <w:color w:val="000000"/>
          <w:sz w:val="28"/>
          <w:szCs w:val="28"/>
          <w:lang w:val="ru-RU" w:eastAsia="ru-RU" w:bidi="ar-SA"/>
        </w:rPr>
        <w:t>Персоніфікована система первинної профілактики запальних захворювань пародонта у дівчат-підлітків з порушенням менструа</w:t>
      </w:r>
      <w:r>
        <w:rPr>
          <w:rFonts w:ascii="Times New Roman" w:hAnsi="Times New Roman"/>
          <w:color w:val="000000"/>
          <w:sz w:val="28"/>
          <w:szCs w:val="28"/>
          <w:lang w:val="ru-RU" w:eastAsia="ru-RU" w:bidi="ar-SA"/>
        </w:rPr>
        <w:t>льної функції і її ефективність / Є. О. Ключка, І. І. Соколова // Вісник с</w:t>
      </w:r>
      <w:r w:rsidRPr="00761003">
        <w:rPr>
          <w:rFonts w:ascii="Times New Roman" w:hAnsi="Times New Roman"/>
          <w:color w:val="000000"/>
          <w:sz w:val="28"/>
          <w:szCs w:val="28"/>
          <w:lang w:val="ru-RU" w:eastAsia="ru-RU" w:bidi="ar-SA"/>
        </w:rPr>
        <w:t>томатології</w:t>
      </w:r>
      <w:r>
        <w:rPr>
          <w:rFonts w:ascii="Times New Roman" w:hAnsi="Times New Roman"/>
          <w:color w:val="000000"/>
          <w:sz w:val="28"/>
          <w:szCs w:val="28"/>
          <w:lang w:val="ru-RU" w:eastAsia="ru-RU" w:bidi="ar-SA"/>
        </w:rPr>
        <w:t>. – 2018. – № </w:t>
      </w:r>
      <w:r w:rsidRPr="00761003">
        <w:rPr>
          <w:rFonts w:ascii="Times New Roman" w:hAnsi="Times New Roman"/>
          <w:color w:val="000000"/>
          <w:sz w:val="28"/>
          <w:szCs w:val="28"/>
          <w:lang w:val="ru-RU" w:eastAsia="ru-RU" w:bidi="ar-SA"/>
        </w:rPr>
        <w:t>4 (105)</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т. </w:t>
      </w:r>
      <w:r w:rsidRPr="00761003">
        <w:rPr>
          <w:rFonts w:ascii="Times New Roman" w:hAnsi="Times New Roman"/>
          <w:color w:val="000000"/>
          <w:sz w:val="28"/>
          <w:szCs w:val="28"/>
          <w:lang w:val="ru-RU" w:eastAsia="ru-RU" w:bidi="ar-SA"/>
        </w:rPr>
        <w:t xml:space="preserve">30.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11</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16.</w:t>
      </w:r>
      <w:r w:rsidRPr="00D9792F">
        <w:rPr>
          <w:rFonts w:ascii="Times New Roman" w:hAnsi="Times New Roman"/>
          <w:sz w:val="28"/>
          <w:lang w:val="uk-UA"/>
        </w:rPr>
        <w:t xml:space="preserve"> </w:t>
      </w:r>
    </w:p>
    <w:p w:rsidR="00B066D9" w:rsidRPr="005A04B5"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5A04B5">
        <w:rPr>
          <w:rFonts w:ascii="Times New Roman" w:hAnsi="Times New Roman"/>
          <w:color w:val="000000"/>
          <w:sz w:val="28"/>
          <w:szCs w:val="28"/>
          <w:lang w:val="uk-UA"/>
        </w:rPr>
        <w:t>Предиктори тяжкості перебігу запальних захворювань пародонт</w:t>
      </w:r>
      <w:r w:rsidRPr="005A04B5">
        <w:rPr>
          <w:rFonts w:ascii="Times New Roman" w:hAnsi="Times New Roman"/>
          <w:color w:val="000000"/>
          <w:sz w:val="28"/>
          <w:szCs w:val="28"/>
          <w:lang w:val="ru-RU"/>
        </w:rPr>
        <w:t>а</w:t>
      </w:r>
      <w:r w:rsidRPr="005A04B5">
        <w:rPr>
          <w:rFonts w:ascii="Times New Roman" w:hAnsi="Times New Roman"/>
          <w:color w:val="000000"/>
          <w:sz w:val="28"/>
          <w:szCs w:val="28"/>
          <w:lang w:val="uk-UA"/>
        </w:rPr>
        <w:t xml:space="preserve"> у дівчат-підлітків з порушенням менструальної функції</w:t>
      </w:r>
      <w:r w:rsidRPr="005A04B5">
        <w:rPr>
          <w:rFonts w:ascii="Times New Roman" w:hAnsi="Times New Roman"/>
          <w:sz w:val="28"/>
          <w:szCs w:val="28"/>
          <w:lang w:val="uk-UA"/>
        </w:rPr>
        <w:t>.</w:t>
      </w:r>
      <w:r>
        <w:rPr>
          <w:rFonts w:ascii="Times New Roman" w:hAnsi="Times New Roman"/>
          <w:color w:val="000000"/>
          <w:sz w:val="28"/>
          <w:szCs w:val="28"/>
          <w:lang w:val="ru-RU" w:eastAsia="ru-RU" w:bidi="ar-SA"/>
        </w:rPr>
        <w:t xml:space="preserve"> / Є. О. Ключка, І. І. Соколова, І. О. Тучкіна, О. В. Піонтковська // Український журнал медицини, біології та спорту. – 2019. – № 2 (18</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т. 4</w:t>
      </w:r>
      <w:r w:rsidRPr="00761003">
        <w:rPr>
          <w:rFonts w:ascii="Times New Roman" w:hAnsi="Times New Roman"/>
          <w:color w:val="000000"/>
          <w:sz w:val="28"/>
          <w:szCs w:val="28"/>
          <w:lang w:val="ru-RU" w:eastAsia="ru-RU" w:bidi="ar-SA"/>
        </w:rPr>
        <w:t xml:space="preserve">.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207-213</w:t>
      </w:r>
      <w:r w:rsidRPr="00761003">
        <w:rPr>
          <w:rFonts w:ascii="Times New Roman" w:hAnsi="Times New Roman"/>
          <w:color w:val="000000"/>
          <w:sz w:val="28"/>
          <w:szCs w:val="28"/>
          <w:lang w:val="ru-RU" w:eastAsia="ru-RU" w:bidi="ar-SA"/>
        </w:rPr>
        <w:t>.</w:t>
      </w:r>
      <w:r w:rsidRPr="00D9792F">
        <w:rPr>
          <w:rFonts w:ascii="Times New Roman" w:hAnsi="Times New Roman"/>
          <w:sz w:val="28"/>
          <w:lang w:val="uk-UA"/>
        </w:rPr>
        <w:t xml:space="preserve"> </w:t>
      </w:r>
    </w:p>
    <w:p w:rsidR="00B066D9" w:rsidRPr="00251EA6" w:rsidRDefault="00B066D9" w:rsidP="00B066D9">
      <w:pPr>
        <w:numPr>
          <w:ilvl w:val="0"/>
          <w:numId w:val="46"/>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5231D2">
        <w:rPr>
          <w:rFonts w:ascii="Times New Roman" w:hAnsi="Times New Roman"/>
          <w:sz w:val="28"/>
          <w:szCs w:val="28"/>
          <w:lang w:val="uk-UA"/>
        </w:rPr>
        <w:t xml:space="preserve">Особливості впливу порушень менструальної функції на цитологічні характеристики тканин пародонта у дівчат-підлітків з запальними </w:t>
      </w:r>
      <w:r w:rsidRPr="005231D2">
        <w:rPr>
          <w:rFonts w:ascii="Times New Roman" w:hAnsi="Times New Roman"/>
          <w:sz w:val="28"/>
          <w:szCs w:val="28"/>
          <w:lang w:val="uk-UA"/>
        </w:rPr>
        <w:lastRenderedPageBreak/>
        <w:t>захворюваннями пародонта</w:t>
      </w:r>
      <w:r>
        <w:rPr>
          <w:rFonts w:ascii="Times New Roman" w:hAnsi="Times New Roman"/>
          <w:sz w:val="28"/>
          <w:szCs w:val="28"/>
          <w:lang w:val="uk-UA"/>
        </w:rPr>
        <w:t xml:space="preserve"> </w:t>
      </w:r>
      <w:r w:rsidRPr="005231D2">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sz w:val="28"/>
          <w:lang w:val="uk-UA"/>
        </w:rPr>
        <w:t xml:space="preserve">Є. О. Ключка, І. І. Соколова, О. І. Залюбовська,   Н. І. Гойденко </w:t>
      </w:r>
      <w:r>
        <w:rPr>
          <w:rFonts w:ascii="Times New Roman" w:hAnsi="Times New Roman"/>
          <w:color w:val="000000"/>
          <w:sz w:val="28"/>
          <w:szCs w:val="28"/>
          <w:lang w:val="ru-RU" w:eastAsia="ru-RU" w:bidi="ar-SA"/>
        </w:rPr>
        <w:t>// Вісник с</w:t>
      </w:r>
      <w:r w:rsidRPr="00761003">
        <w:rPr>
          <w:rFonts w:ascii="Times New Roman" w:hAnsi="Times New Roman"/>
          <w:color w:val="000000"/>
          <w:sz w:val="28"/>
          <w:szCs w:val="28"/>
          <w:lang w:val="ru-RU" w:eastAsia="ru-RU" w:bidi="ar-SA"/>
        </w:rPr>
        <w:t>томатології</w:t>
      </w:r>
      <w:r>
        <w:rPr>
          <w:rFonts w:ascii="Times New Roman" w:hAnsi="Times New Roman"/>
          <w:color w:val="000000"/>
          <w:sz w:val="28"/>
          <w:szCs w:val="28"/>
          <w:lang w:val="ru-RU" w:eastAsia="ru-RU" w:bidi="ar-SA"/>
        </w:rPr>
        <w:t>. – 2019. – № 1,</w:t>
      </w:r>
      <w:r w:rsidRPr="00761003">
        <w:rPr>
          <w:rFonts w:ascii="Times New Roman" w:hAnsi="Times New Roman"/>
          <w:color w:val="000000"/>
          <w:sz w:val="28"/>
          <w:szCs w:val="28"/>
          <w:lang w:val="ru-RU" w:eastAsia="ru-RU" w:bidi="ar-SA"/>
        </w:rPr>
        <w:t xml:space="preserve"> </w:t>
      </w:r>
      <w:r>
        <w:rPr>
          <w:rFonts w:ascii="Times New Roman" w:hAnsi="Times New Roman"/>
          <w:color w:val="000000"/>
          <w:sz w:val="28"/>
          <w:szCs w:val="28"/>
          <w:lang w:val="ru-RU" w:eastAsia="ru-RU" w:bidi="ar-SA"/>
        </w:rPr>
        <w:t>т. 31</w:t>
      </w:r>
      <w:r w:rsidRPr="00761003">
        <w:rPr>
          <w:rFonts w:ascii="Times New Roman" w:hAnsi="Times New Roman"/>
          <w:color w:val="000000"/>
          <w:sz w:val="28"/>
          <w:szCs w:val="28"/>
          <w:lang w:val="ru-RU" w:eastAsia="ru-RU" w:bidi="ar-SA"/>
        </w:rPr>
        <w:t xml:space="preserve">. – </w:t>
      </w:r>
      <w:r>
        <w:rPr>
          <w:rFonts w:ascii="Times New Roman" w:hAnsi="Times New Roman"/>
          <w:color w:val="000000"/>
          <w:sz w:val="28"/>
          <w:szCs w:val="28"/>
          <w:lang w:val="ru-RU" w:eastAsia="ru-RU" w:bidi="ar-SA"/>
        </w:rPr>
        <w:t>С</w:t>
      </w:r>
      <w:r w:rsidRPr="00761003">
        <w:rPr>
          <w:rFonts w:ascii="Times New Roman" w:hAnsi="Times New Roman"/>
          <w:color w:val="000000"/>
          <w:sz w:val="28"/>
          <w:szCs w:val="28"/>
          <w:lang w:val="ru-RU" w:eastAsia="ru-RU" w:bidi="ar-SA"/>
        </w:rPr>
        <w:t>.</w:t>
      </w:r>
      <w:r>
        <w:rPr>
          <w:rFonts w:ascii="Times New Roman" w:hAnsi="Times New Roman"/>
          <w:color w:val="000000"/>
          <w:sz w:val="28"/>
          <w:szCs w:val="28"/>
          <w:lang w:val="ru-RU" w:eastAsia="ru-RU" w:bidi="ar-SA"/>
        </w:rPr>
        <w:t> 49-53</w:t>
      </w:r>
      <w:r w:rsidRPr="00761003">
        <w:rPr>
          <w:rFonts w:ascii="Times New Roman" w:hAnsi="Times New Roman"/>
          <w:color w:val="000000"/>
          <w:sz w:val="28"/>
          <w:szCs w:val="28"/>
          <w:lang w:val="ru-RU" w:eastAsia="ru-RU" w:bidi="ar-SA"/>
        </w:rPr>
        <w:t>.</w:t>
      </w:r>
      <w:r w:rsidRPr="00D9792F">
        <w:rPr>
          <w:rFonts w:ascii="Times New Roman" w:hAnsi="Times New Roman"/>
          <w:sz w:val="28"/>
          <w:lang w:val="uk-UA"/>
        </w:rPr>
        <w:t xml:space="preserve"> </w:t>
      </w:r>
    </w:p>
    <w:p w:rsidR="00B066D9" w:rsidRDefault="00B066D9" w:rsidP="00B066D9">
      <w:pPr>
        <w:spacing w:before="100" w:beforeAutospacing="1" w:after="100" w:afterAutospacing="1" w:line="360" w:lineRule="auto"/>
        <w:ind w:left="709"/>
        <w:jc w:val="both"/>
        <w:rPr>
          <w:rFonts w:ascii="Times New Roman" w:hAnsi="Times New Roman"/>
          <w:color w:val="000000"/>
          <w:sz w:val="28"/>
          <w:szCs w:val="28"/>
          <w:lang w:val="ru-RU" w:eastAsia="ru-RU" w:bidi="ar-SA"/>
        </w:rPr>
      </w:pPr>
      <w:r>
        <w:rPr>
          <w:rFonts w:ascii="Times New Roman" w:hAnsi="Times New Roman"/>
          <w:sz w:val="28"/>
          <w:szCs w:val="28"/>
          <w:lang w:val="uk-UA"/>
        </w:rPr>
        <w:t>ІІ. Видання, які засвідчують апробацію результатів дисертації:</w:t>
      </w:r>
    </w:p>
    <w:p w:rsidR="00B066D9" w:rsidRDefault="00B066D9" w:rsidP="00B066D9">
      <w:pPr>
        <w:numPr>
          <w:ilvl w:val="0"/>
          <w:numId w:val="47"/>
        </w:numPr>
        <w:spacing w:before="100" w:beforeAutospacing="1" w:after="100" w:afterAutospacing="1" w:line="360" w:lineRule="auto"/>
        <w:ind w:left="0" w:firstLine="709"/>
        <w:jc w:val="both"/>
        <w:rPr>
          <w:rFonts w:ascii="Times New Roman" w:hAnsi="Times New Roman"/>
          <w:sz w:val="28"/>
          <w:szCs w:val="28"/>
          <w:lang w:val="uk-UA"/>
        </w:rPr>
      </w:pPr>
      <w:r w:rsidRPr="00E31792">
        <w:rPr>
          <w:rFonts w:ascii="Times New Roman" w:hAnsi="Times New Roman"/>
          <w:sz w:val="28"/>
          <w:szCs w:val="28"/>
          <w:lang w:val="uk-UA"/>
        </w:rPr>
        <w:t>Ключка Є. О. Інформаційні аспекти формування запальних захворювань пародонта у дівчат-підлітків з порушенням менструальної функції/ Є.О.Ключка, І.І.Соколова// Матеріали Міжвузівської науково-практичної конференції з міжнародною участю «Проблема людини у соціально-гуманітарному та медичному дискурсах». - Харків, 2018. – с.80-82</w:t>
      </w:r>
    </w:p>
    <w:p w:rsidR="00B066D9" w:rsidRPr="00E31792" w:rsidRDefault="00B066D9" w:rsidP="00B066D9">
      <w:pPr>
        <w:numPr>
          <w:ilvl w:val="0"/>
          <w:numId w:val="47"/>
        </w:numPr>
        <w:spacing w:before="100" w:beforeAutospacing="1" w:after="100" w:afterAutospacing="1" w:line="360" w:lineRule="auto"/>
        <w:ind w:left="0" w:firstLine="709"/>
        <w:jc w:val="both"/>
        <w:rPr>
          <w:rFonts w:ascii="Times New Roman" w:hAnsi="Times New Roman"/>
          <w:color w:val="000000"/>
          <w:sz w:val="28"/>
          <w:szCs w:val="28"/>
          <w:lang w:val="uk-UA" w:eastAsia="ru-RU" w:bidi="ar-SA"/>
        </w:rPr>
      </w:pPr>
      <w:r w:rsidRPr="00E31792">
        <w:rPr>
          <w:rFonts w:ascii="Times New Roman" w:hAnsi="Times New Roman"/>
          <w:sz w:val="28"/>
          <w:szCs w:val="28"/>
          <w:lang w:val="uk-UA"/>
        </w:rPr>
        <w:t>Ключка Є.О. Визначення факторів ризику розвитку запальних захворювань пародонта у дівчат-підлітків з порушенням менструальної функції/ Є.О.Ключка// Збірник тез міжвузівської конференції молодих вчених та студентів «Медицина третього тисячоліття». - Харків, 2018. – с. 300-301.</w:t>
      </w:r>
    </w:p>
    <w:p w:rsidR="00B066D9" w:rsidRPr="00E31792" w:rsidRDefault="00B066D9" w:rsidP="00B066D9">
      <w:pPr>
        <w:numPr>
          <w:ilvl w:val="0"/>
          <w:numId w:val="47"/>
        </w:numPr>
        <w:spacing w:before="100" w:beforeAutospacing="1" w:after="100" w:afterAutospacing="1" w:line="360" w:lineRule="auto"/>
        <w:ind w:left="0" w:firstLine="709"/>
        <w:jc w:val="both"/>
        <w:rPr>
          <w:rFonts w:ascii="Times New Roman" w:hAnsi="Times New Roman"/>
          <w:color w:val="000000"/>
          <w:sz w:val="28"/>
          <w:szCs w:val="28"/>
          <w:lang w:val="uk-UA" w:eastAsia="ru-RU" w:bidi="ar-SA"/>
        </w:rPr>
      </w:pPr>
      <w:r w:rsidRPr="00E31792">
        <w:rPr>
          <w:rFonts w:ascii="Times New Roman" w:hAnsi="Times New Roman"/>
          <w:sz w:val="28"/>
          <w:szCs w:val="28"/>
        </w:rPr>
        <w:t>Kliuchka</w:t>
      </w:r>
      <w:r w:rsidRPr="00E31792">
        <w:rPr>
          <w:rFonts w:ascii="Times New Roman" w:hAnsi="Times New Roman"/>
          <w:sz w:val="28"/>
          <w:szCs w:val="28"/>
          <w:lang w:val="uk-UA"/>
        </w:rPr>
        <w:t xml:space="preserve"> </w:t>
      </w:r>
      <w:r w:rsidRPr="00E31792">
        <w:rPr>
          <w:rFonts w:ascii="Times New Roman" w:hAnsi="Times New Roman"/>
          <w:sz w:val="28"/>
          <w:szCs w:val="28"/>
        </w:rPr>
        <w:t>Ye</w:t>
      </w:r>
      <w:r w:rsidRPr="00E31792">
        <w:rPr>
          <w:rFonts w:ascii="Times New Roman" w:hAnsi="Times New Roman"/>
          <w:sz w:val="28"/>
          <w:szCs w:val="28"/>
          <w:lang w:val="uk-UA"/>
        </w:rPr>
        <w:t>.</w:t>
      </w:r>
      <w:r w:rsidRPr="00E31792">
        <w:rPr>
          <w:rFonts w:ascii="Times New Roman" w:hAnsi="Times New Roman"/>
          <w:sz w:val="28"/>
          <w:szCs w:val="28"/>
        </w:rPr>
        <w:t>O</w:t>
      </w:r>
      <w:r w:rsidRPr="00E31792">
        <w:rPr>
          <w:rFonts w:ascii="Times New Roman" w:hAnsi="Times New Roman"/>
          <w:sz w:val="28"/>
          <w:szCs w:val="28"/>
          <w:lang w:val="uk-UA"/>
        </w:rPr>
        <w:t xml:space="preserve">. </w:t>
      </w:r>
      <w:r w:rsidRPr="00E31792">
        <w:rPr>
          <w:rFonts w:ascii="Times New Roman" w:hAnsi="Times New Roman"/>
          <w:sz w:val="28"/>
          <w:szCs w:val="28"/>
        </w:rPr>
        <w:t>Determination</w:t>
      </w:r>
      <w:r w:rsidRPr="00E31792">
        <w:rPr>
          <w:rFonts w:ascii="Times New Roman" w:hAnsi="Times New Roman"/>
          <w:sz w:val="28"/>
          <w:szCs w:val="28"/>
          <w:lang w:val="uk-UA"/>
        </w:rPr>
        <w:t xml:space="preserve"> </w:t>
      </w:r>
      <w:r w:rsidRPr="00E31792">
        <w:rPr>
          <w:rFonts w:ascii="Times New Roman" w:hAnsi="Times New Roman"/>
          <w:sz w:val="28"/>
          <w:szCs w:val="28"/>
        </w:rPr>
        <w:t>of</w:t>
      </w:r>
      <w:r w:rsidRPr="00E31792">
        <w:rPr>
          <w:rFonts w:ascii="Times New Roman" w:hAnsi="Times New Roman"/>
          <w:sz w:val="28"/>
          <w:szCs w:val="28"/>
          <w:lang w:val="uk-UA"/>
        </w:rPr>
        <w:t xml:space="preserve"> </w:t>
      </w:r>
      <w:r w:rsidRPr="00E31792">
        <w:rPr>
          <w:rFonts w:ascii="Times New Roman" w:hAnsi="Times New Roman"/>
          <w:sz w:val="28"/>
          <w:szCs w:val="28"/>
        </w:rPr>
        <w:t>predictors</w:t>
      </w:r>
      <w:r w:rsidRPr="00E31792">
        <w:rPr>
          <w:rFonts w:ascii="Times New Roman" w:hAnsi="Times New Roman"/>
          <w:sz w:val="28"/>
          <w:szCs w:val="28"/>
          <w:lang w:val="uk-UA"/>
        </w:rPr>
        <w:t xml:space="preserve"> </w:t>
      </w:r>
      <w:r w:rsidRPr="00E31792">
        <w:rPr>
          <w:rFonts w:ascii="Times New Roman" w:hAnsi="Times New Roman"/>
          <w:sz w:val="28"/>
          <w:szCs w:val="28"/>
        </w:rPr>
        <w:t>of</w:t>
      </w:r>
      <w:r w:rsidRPr="00E31792">
        <w:rPr>
          <w:rFonts w:ascii="Times New Roman" w:hAnsi="Times New Roman"/>
          <w:sz w:val="28"/>
          <w:szCs w:val="28"/>
          <w:lang w:val="uk-UA"/>
        </w:rPr>
        <w:t xml:space="preserve"> </w:t>
      </w:r>
      <w:r w:rsidRPr="00E31792">
        <w:rPr>
          <w:rFonts w:ascii="Times New Roman" w:hAnsi="Times New Roman"/>
          <w:sz w:val="28"/>
          <w:szCs w:val="28"/>
        </w:rPr>
        <w:t>severity</w:t>
      </w:r>
      <w:r w:rsidRPr="00E31792">
        <w:rPr>
          <w:rFonts w:ascii="Times New Roman" w:hAnsi="Times New Roman"/>
          <w:sz w:val="28"/>
          <w:szCs w:val="28"/>
          <w:lang w:val="uk-UA"/>
        </w:rPr>
        <w:t xml:space="preserve"> </w:t>
      </w:r>
      <w:r w:rsidRPr="00E31792">
        <w:rPr>
          <w:rFonts w:ascii="Times New Roman" w:hAnsi="Times New Roman"/>
          <w:sz w:val="28"/>
          <w:szCs w:val="28"/>
        </w:rPr>
        <w:t>of</w:t>
      </w:r>
      <w:r w:rsidRPr="00E31792">
        <w:rPr>
          <w:rFonts w:ascii="Times New Roman" w:hAnsi="Times New Roman"/>
          <w:sz w:val="28"/>
          <w:szCs w:val="28"/>
          <w:lang w:val="uk-UA"/>
        </w:rPr>
        <w:t xml:space="preserve"> </w:t>
      </w:r>
      <w:r w:rsidRPr="00E31792">
        <w:rPr>
          <w:rFonts w:ascii="Times New Roman" w:hAnsi="Times New Roman"/>
          <w:sz w:val="28"/>
          <w:szCs w:val="28"/>
        </w:rPr>
        <w:t>inflammatory</w:t>
      </w:r>
      <w:r w:rsidRPr="00E31792">
        <w:rPr>
          <w:rFonts w:ascii="Times New Roman" w:hAnsi="Times New Roman"/>
          <w:sz w:val="28"/>
          <w:szCs w:val="28"/>
          <w:lang w:val="uk-UA"/>
        </w:rPr>
        <w:t xml:space="preserve"> </w:t>
      </w:r>
      <w:r w:rsidRPr="00E31792">
        <w:rPr>
          <w:rFonts w:ascii="Times New Roman" w:hAnsi="Times New Roman"/>
          <w:sz w:val="28"/>
          <w:szCs w:val="28"/>
        </w:rPr>
        <w:t>parodontal</w:t>
      </w:r>
      <w:r w:rsidRPr="00E31792">
        <w:rPr>
          <w:rFonts w:ascii="Times New Roman" w:hAnsi="Times New Roman"/>
          <w:sz w:val="28"/>
          <w:szCs w:val="28"/>
          <w:lang w:val="uk-UA"/>
        </w:rPr>
        <w:t xml:space="preserve"> </w:t>
      </w:r>
      <w:r w:rsidRPr="00E31792">
        <w:rPr>
          <w:rFonts w:ascii="Times New Roman" w:hAnsi="Times New Roman"/>
          <w:sz w:val="28"/>
          <w:szCs w:val="28"/>
        </w:rPr>
        <w:t>diseases</w:t>
      </w:r>
      <w:r w:rsidRPr="00E31792">
        <w:rPr>
          <w:rFonts w:ascii="Times New Roman" w:hAnsi="Times New Roman"/>
          <w:sz w:val="28"/>
          <w:szCs w:val="28"/>
          <w:lang w:val="uk-UA"/>
        </w:rPr>
        <w:t xml:space="preserve"> </w:t>
      </w:r>
      <w:r w:rsidRPr="00E31792">
        <w:rPr>
          <w:rFonts w:ascii="Times New Roman" w:hAnsi="Times New Roman"/>
          <w:sz w:val="28"/>
          <w:szCs w:val="28"/>
        </w:rPr>
        <w:t>course</w:t>
      </w:r>
      <w:r w:rsidRPr="00E31792">
        <w:rPr>
          <w:rFonts w:ascii="Times New Roman" w:hAnsi="Times New Roman"/>
          <w:sz w:val="28"/>
          <w:szCs w:val="28"/>
          <w:lang w:val="uk-UA"/>
        </w:rPr>
        <w:t xml:space="preserve"> </w:t>
      </w:r>
      <w:r w:rsidRPr="00E31792">
        <w:rPr>
          <w:rFonts w:ascii="Times New Roman" w:hAnsi="Times New Roman"/>
          <w:sz w:val="28"/>
          <w:szCs w:val="28"/>
        </w:rPr>
        <w:t>in</w:t>
      </w:r>
      <w:r w:rsidRPr="00E31792">
        <w:rPr>
          <w:rFonts w:ascii="Times New Roman" w:hAnsi="Times New Roman"/>
          <w:sz w:val="28"/>
          <w:szCs w:val="28"/>
          <w:lang w:val="uk-UA"/>
        </w:rPr>
        <w:t xml:space="preserve"> </w:t>
      </w:r>
      <w:r w:rsidRPr="00E31792">
        <w:rPr>
          <w:rFonts w:ascii="Times New Roman" w:hAnsi="Times New Roman"/>
          <w:sz w:val="28"/>
          <w:szCs w:val="28"/>
        </w:rPr>
        <w:t>adolescent</w:t>
      </w:r>
      <w:r w:rsidRPr="00E31792">
        <w:rPr>
          <w:rFonts w:ascii="Times New Roman" w:hAnsi="Times New Roman"/>
          <w:sz w:val="28"/>
          <w:szCs w:val="28"/>
          <w:lang w:val="uk-UA"/>
        </w:rPr>
        <w:t xml:space="preserve"> </w:t>
      </w:r>
      <w:r w:rsidRPr="00E31792">
        <w:rPr>
          <w:rFonts w:ascii="Times New Roman" w:hAnsi="Times New Roman"/>
          <w:sz w:val="28"/>
          <w:szCs w:val="28"/>
        </w:rPr>
        <w:t>girls</w:t>
      </w:r>
      <w:r w:rsidRPr="00E31792">
        <w:rPr>
          <w:rFonts w:ascii="Times New Roman" w:hAnsi="Times New Roman"/>
          <w:sz w:val="28"/>
          <w:szCs w:val="28"/>
          <w:lang w:val="uk-UA"/>
        </w:rPr>
        <w:t xml:space="preserve"> </w:t>
      </w:r>
      <w:r w:rsidRPr="00E31792">
        <w:rPr>
          <w:rFonts w:ascii="Times New Roman" w:hAnsi="Times New Roman"/>
          <w:sz w:val="28"/>
          <w:szCs w:val="28"/>
        </w:rPr>
        <w:t>with</w:t>
      </w:r>
      <w:r w:rsidRPr="00E31792">
        <w:rPr>
          <w:rFonts w:ascii="Times New Roman" w:hAnsi="Times New Roman"/>
          <w:sz w:val="28"/>
          <w:szCs w:val="28"/>
          <w:lang w:val="uk-UA"/>
        </w:rPr>
        <w:t xml:space="preserve"> </w:t>
      </w:r>
      <w:r w:rsidRPr="00E31792">
        <w:rPr>
          <w:rFonts w:ascii="Times New Roman" w:hAnsi="Times New Roman"/>
          <w:sz w:val="28"/>
          <w:szCs w:val="28"/>
        </w:rPr>
        <w:t>menstrual</w:t>
      </w:r>
      <w:r w:rsidRPr="00E31792">
        <w:rPr>
          <w:rFonts w:ascii="Times New Roman" w:hAnsi="Times New Roman"/>
          <w:sz w:val="28"/>
          <w:szCs w:val="28"/>
          <w:lang w:val="uk-UA"/>
        </w:rPr>
        <w:t xml:space="preserve"> </w:t>
      </w:r>
      <w:r w:rsidRPr="00E31792">
        <w:rPr>
          <w:rFonts w:ascii="Times New Roman" w:hAnsi="Times New Roman"/>
          <w:sz w:val="28"/>
          <w:szCs w:val="28"/>
        </w:rPr>
        <w:t>dysfunction</w:t>
      </w:r>
      <w:r w:rsidRPr="00E31792">
        <w:rPr>
          <w:rFonts w:ascii="Times New Roman" w:hAnsi="Times New Roman"/>
          <w:sz w:val="28"/>
          <w:szCs w:val="28"/>
          <w:lang w:val="uk-UA"/>
        </w:rPr>
        <w:t xml:space="preserve"> / </w:t>
      </w:r>
      <w:r w:rsidRPr="00E31792">
        <w:rPr>
          <w:rFonts w:ascii="Times New Roman" w:hAnsi="Times New Roman"/>
          <w:sz w:val="28"/>
          <w:szCs w:val="28"/>
        </w:rPr>
        <w:t>Ye</w:t>
      </w:r>
      <w:r w:rsidRPr="00E31792">
        <w:rPr>
          <w:rFonts w:ascii="Times New Roman" w:hAnsi="Times New Roman"/>
          <w:sz w:val="28"/>
          <w:szCs w:val="28"/>
          <w:lang w:val="uk-UA"/>
        </w:rPr>
        <w:t>.</w:t>
      </w:r>
      <w:r w:rsidRPr="00E31792">
        <w:rPr>
          <w:rFonts w:ascii="Times New Roman" w:hAnsi="Times New Roman"/>
          <w:sz w:val="28"/>
          <w:szCs w:val="28"/>
        </w:rPr>
        <w:t>O</w:t>
      </w:r>
      <w:r w:rsidRPr="00E31792">
        <w:rPr>
          <w:rFonts w:ascii="Times New Roman" w:hAnsi="Times New Roman"/>
          <w:sz w:val="28"/>
          <w:szCs w:val="28"/>
          <w:lang w:val="uk-UA"/>
        </w:rPr>
        <w:t>.</w:t>
      </w:r>
      <w:r w:rsidRPr="00E31792">
        <w:rPr>
          <w:rFonts w:ascii="Times New Roman" w:hAnsi="Times New Roman"/>
          <w:sz w:val="28"/>
          <w:szCs w:val="28"/>
        </w:rPr>
        <w:t>Kliuchka</w:t>
      </w:r>
      <w:r w:rsidRPr="00E31792">
        <w:rPr>
          <w:rFonts w:ascii="Times New Roman" w:hAnsi="Times New Roman"/>
          <w:sz w:val="28"/>
          <w:szCs w:val="28"/>
          <w:lang w:val="uk-UA"/>
        </w:rPr>
        <w:t xml:space="preserve"> // 11</w:t>
      </w:r>
      <w:r w:rsidRPr="00E31792">
        <w:rPr>
          <w:rFonts w:ascii="Times New Roman" w:hAnsi="Times New Roman"/>
          <w:sz w:val="28"/>
          <w:szCs w:val="28"/>
          <w:vertAlign w:val="superscript"/>
        </w:rPr>
        <w:t>th</w:t>
      </w:r>
      <w:r w:rsidRPr="00E31792">
        <w:rPr>
          <w:rFonts w:ascii="Times New Roman" w:hAnsi="Times New Roman"/>
          <w:sz w:val="28"/>
          <w:szCs w:val="28"/>
          <w:lang w:val="uk-UA"/>
        </w:rPr>
        <w:t xml:space="preserve"> </w:t>
      </w:r>
      <w:r w:rsidRPr="00E31792">
        <w:rPr>
          <w:rFonts w:ascii="Times New Roman" w:hAnsi="Times New Roman"/>
          <w:sz w:val="28"/>
          <w:szCs w:val="28"/>
        </w:rPr>
        <w:t>international</w:t>
      </w:r>
      <w:r w:rsidRPr="00E31792">
        <w:rPr>
          <w:rFonts w:ascii="Times New Roman" w:hAnsi="Times New Roman"/>
          <w:sz w:val="28"/>
          <w:szCs w:val="28"/>
          <w:lang w:val="uk-UA"/>
        </w:rPr>
        <w:t xml:space="preserve"> </w:t>
      </w:r>
      <w:r w:rsidRPr="00E31792">
        <w:rPr>
          <w:rFonts w:ascii="Times New Roman" w:hAnsi="Times New Roman"/>
          <w:sz w:val="28"/>
          <w:szCs w:val="28"/>
        </w:rPr>
        <w:t>scientific</w:t>
      </w:r>
      <w:r w:rsidRPr="00E31792">
        <w:rPr>
          <w:rFonts w:ascii="Times New Roman" w:hAnsi="Times New Roman"/>
          <w:sz w:val="28"/>
          <w:szCs w:val="28"/>
          <w:lang w:val="uk-UA"/>
        </w:rPr>
        <w:t xml:space="preserve"> </w:t>
      </w:r>
      <w:r w:rsidRPr="00E31792">
        <w:rPr>
          <w:rFonts w:ascii="Times New Roman" w:hAnsi="Times New Roman"/>
          <w:sz w:val="28"/>
          <w:szCs w:val="28"/>
        </w:rPr>
        <w:t>interdisciplinary</w:t>
      </w:r>
      <w:r w:rsidRPr="00E31792">
        <w:rPr>
          <w:rFonts w:ascii="Times New Roman" w:hAnsi="Times New Roman"/>
          <w:sz w:val="28"/>
          <w:szCs w:val="28"/>
          <w:lang w:val="uk-UA"/>
        </w:rPr>
        <w:t xml:space="preserve"> </w:t>
      </w:r>
      <w:r w:rsidRPr="00E31792">
        <w:rPr>
          <w:rFonts w:ascii="Times New Roman" w:hAnsi="Times New Roman"/>
          <w:sz w:val="28"/>
          <w:szCs w:val="28"/>
        </w:rPr>
        <w:t>conference</w:t>
      </w:r>
      <w:r w:rsidRPr="00E31792">
        <w:rPr>
          <w:rFonts w:ascii="Times New Roman" w:hAnsi="Times New Roman"/>
          <w:sz w:val="28"/>
          <w:szCs w:val="28"/>
          <w:lang w:val="uk-UA"/>
        </w:rPr>
        <w:t xml:space="preserve"> </w:t>
      </w:r>
      <w:r w:rsidRPr="00E31792">
        <w:rPr>
          <w:rFonts w:ascii="Times New Roman" w:hAnsi="Times New Roman"/>
          <w:sz w:val="28"/>
          <w:szCs w:val="28"/>
        </w:rPr>
        <w:t>for</w:t>
      </w:r>
      <w:r w:rsidRPr="00E31792">
        <w:rPr>
          <w:rFonts w:ascii="Times New Roman" w:hAnsi="Times New Roman"/>
          <w:sz w:val="28"/>
          <w:szCs w:val="28"/>
          <w:lang w:val="uk-UA"/>
        </w:rPr>
        <w:t xml:space="preserve"> </w:t>
      </w:r>
      <w:r w:rsidRPr="00E31792">
        <w:rPr>
          <w:rFonts w:ascii="Times New Roman" w:hAnsi="Times New Roman"/>
          <w:sz w:val="28"/>
          <w:szCs w:val="28"/>
        </w:rPr>
        <w:t>medical</w:t>
      </w:r>
      <w:r w:rsidRPr="00E31792">
        <w:rPr>
          <w:rFonts w:ascii="Times New Roman" w:hAnsi="Times New Roman"/>
          <w:sz w:val="28"/>
          <w:szCs w:val="28"/>
          <w:lang w:val="uk-UA"/>
        </w:rPr>
        <w:t xml:space="preserve"> </w:t>
      </w:r>
      <w:r w:rsidRPr="00E31792">
        <w:rPr>
          <w:rFonts w:ascii="Times New Roman" w:hAnsi="Times New Roman"/>
          <w:sz w:val="28"/>
          <w:szCs w:val="28"/>
        </w:rPr>
        <w:t>students</w:t>
      </w:r>
      <w:r w:rsidRPr="00E31792">
        <w:rPr>
          <w:rFonts w:ascii="Times New Roman" w:hAnsi="Times New Roman"/>
          <w:sz w:val="28"/>
          <w:szCs w:val="28"/>
          <w:lang w:val="uk-UA"/>
        </w:rPr>
        <w:t xml:space="preserve"> </w:t>
      </w:r>
      <w:r w:rsidRPr="00E31792">
        <w:rPr>
          <w:rFonts w:ascii="Times New Roman" w:hAnsi="Times New Roman"/>
          <w:sz w:val="28"/>
          <w:szCs w:val="28"/>
        </w:rPr>
        <w:t>and</w:t>
      </w:r>
      <w:r w:rsidRPr="00E31792">
        <w:rPr>
          <w:rFonts w:ascii="Times New Roman" w:hAnsi="Times New Roman"/>
          <w:sz w:val="28"/>
          <w:szCs w:val="28"/>
          <w:lang w:val="uk-UA"/>
        </w:rPr>
        <w:t xml:space="preserve"> </w:t>
      </w:r>
      <w:r w:rsidRPr="00E31792">
        <w:rPr>
          <w:rFonts w:ascii="Times New Roman" w:hAnsi="Times New Roman"/>
          <w:sz w:val="28"/>
          <w:szCs w:val="28"/>
        </w:rPr>
        <w:t>young</w:t>
      </w:r>
      <w:r w:rsidRPr="00E31792">
        <w:rPr>
          <w:rFonts w:ascii="Times New Roman" w:hAnsi="Times New Roman"/>
          <w:sz w:val="28"/>
          <w:szCs w:val="28"/>
          <w:lang w:val="uk-UA"/>
        </w:rPr>
        <w:t xml:space="preserve"> </w:t>
      </w:r>
      <w:r w:rsidRPr="00E31792">
        <w:rPr>
          <w:rFonts w:ascii="Times New Roman" w:hAnsi="Times New Roman"/>
          <w:sz w:val="28"/>
          <w:szCs w:val="28"/>
        </w:rPr>
        <w:t>scientists</w:t>
      </w:r>
      <w:r w:rsidRPr="00E31792">
        <w:rPr>
          <w:rFonts w:ascii="Times New Roman" w:hAnsi="Times New Roman"/>
          <w:sz w:val="28"/>
          <w:szCs w:val="28"/>
          <w:lang w:val="uk-UA"/>
        </w:rPr>
        <w:t xml:space="preserve">: </w:t>
      </w:r>
      <w:r w:rsidRPr="00E31792">
        <w:rPr>
          <w:rFonts w:ascii="Times New Roman" w:hAnsi="Times New Roman"/>
          <w:sz w:val="28"/>
          <w:szCs w:val="28"/>
        </w:rPr>
        <w:t>abstract</w:t>
      </w:r>
      <w:r w:rsidRPr="00E31792">
        <w:rPr>
          <w:rFonts w:ascii="Times New Roman" w:hAnsi="Times New Roman"/>
          <w:sz w:val="28"/>
          <w:szCs w:val="28"/>
          <w:lang w:val="uk-UA"/>
        </w:rPr>
        <w:t xml:space="preserve"> </w:t>
      </w:r>
      <w:r w:rsidRPr="00E31792">
        <w:rPr>
          <w:rFonts w:ascii="Times New Roman" w:hAnsi="Times New Roman"/>
          <w:sz w:val="28"/>
          <w:szCs w:val="28"/>
        </w:rPr>
        <w:t>book</w:t>
      </w:r>
      <w:r w:rsidRPr="00E31792">
        <w:rPr>
          <w:rFonts w:ascii="Times New Roman" w:hAnsi="Times New Roman"/>
          <w:sz w:val="28"/>
          <w:szCs w:val="28"/>
          <w:lang w:val="uk-UA"/>
        </w:rPr>
        <w:t xml:space="preserve">, </w:t>
      </w:r>
      <w:r w:rsidRPr="00E31792">
        <w:rPr>
          <w:rFonts w:ascii="Times New Roman" w:hAnsi="Times New Roman"/>
          <w:sz w:val="28"/>
          <w:szCs w:val="28"/>
        </w:rPr>
        <w:t>Kharkiv</w:t>
      </w:r>
      <w:r w:rsidRPr="00E31792">
        <w:rPr>
          <w:rFonts w:ascii="Times New Roman" w:hAnsi="Times New Roman"/>
          <w:sz w:val="28"/>
          <w:szCs w:val="28"/>
          <w:lang w:val="uk-UA"/>
        </w:rPr>
        <w:t xml:space="preserve">, 2018/ </w:t>
      </w:r>
      <w:r w:rsidRPr="00E31792">
        <w:rPr>
          <w:rFonts w:ascii="Times New Roman" w:hAnsi="Times New Roman"/>
          <w:sz w:val="28"/>
          <w:szCs w:val="28"/>
        </w:rPr>
        <w:t>KhNMU</w:t>
      </w:r>
      <w:r w:rsidRPr="00E31792">
        <w:rPr>
          <w:rFonts w:ascii="Times New Roman" w:hAnsi="Times New Roman"/>
          <w:sz w:val="28"/>
          <w:szCs w:val="28"/>
          <w:lang w:val="uk-UA"/>
        </w:rPr>
        <w:t xml:space="preserve">. – </w:t>
      </w:r>
      <w:r w:rsidRPr="00E31792">
        <w:rPr>
          <w:rFonts w:ascii="Times New Roman" w:hAnsi="Times New Roman"/>
          <w:sz w:val="28"/>
          <w:szCs w:val="28"/>
        </w:rPr>
        <w:t>Kharkiv</w:t>
      </w:r>
      <w:r w:rsidRPr="00E31792">
        <w:rPr>
          <w:rFonts w:ascii="Times New Roman" w:hAnsi="Times New Roman"/>
          <w:sz w:val="28"/>
          <w:szCs w:val="28"/>
          <w:lang w:val="uk-UA"/>
        </w:rPr>
        <w:t xml:space="preserve">, 2018. – </w:t>
      </w:r>
      <w:r w:rsidRPr="00E31792">
        <w:rPr>
          <w:rFonts w:ascii="Times New Roman" w:hAnsi="Times New Roman"/>
          <w:sz w:val="28"/>
          <w:szCs w:val="28"/>
        </w:rPr>
        <w:t>P</w:t>
      </w:r>
      <w:r w:rsidRPr="00E31792">
        <w:rPr>
          <w:rFonts w:ascii="Times New Roman" w:hAnsi="Times New Roman"/>
          <w:sz w:val="28"/>
          <w:szCs w:val="28"/>
          <w:lang w:val="uk-UA"/>
        </w:rPr>
        <w:t>. 260-261</w:t>
      </w:r>
    </w:p>
    <w:p w:rsidR="00B066D9" w:rsidRPr="00251EA6" w:rsidRDefault="00B066D9" w:rsidP="00B066D9">
      <w:pPr>
        <w:numPr>
          <w:ilvl w:val="0"/>
          <w:numId w:val="47"/>
        </w:numPr>
        <w:spacing w:before="100" w:beforeAutospacing="1" w:after="100" w:afterAutospacing="1" w:line="360" w:lineRule="auto"/>
        <w:ind w:left="0" w:firstLine="709"/>
        <w:jc w:val="both"/>
        <w:rPr>
          <w:rFonts w:ascii="Times New Roman" w:hAnsi="Times New Roman"/>
          <w:color w:val="000000"/>
          <w:sz w:val="28"/>
          <w:szCs w:val="28"/>
          <w:lang w:val="uk-UA" w:eastAsia="ru-RU" w:bidi="ar-SA"/>
        </w:rPr>
      </w:pPr>
      <w:r w:rsidRPr="00E31792">
        <w:rPr>
          <w:rFonts w:ascii="Times New Roman" w:hAnsi="Times New Roman"/>
          <w:sz w:val="28"/>
          <w:szCs w:val="28"/>
          <w:lang w:val="uk-UA"/>
        </w:rPr>
        <w:t>Ключка Є.О. Визначення груп ризику розвитку запальних захворювань пародонта у дівчат-підлітків з порушенням менструальної функції/ Є.О.Ключка // Збірник тез міжвузівської конференції молодих вчених та студентів «Медицина третього тисячоліття».  - Харків, 2019. – с.289-290.</w:t>
      </w:r>
    </w:p>
    <w:p w:rsidR="00B066D9" w:rsidRPr="00E31792" w:rsidRDefault="00B066D9" w:rsidP="00B066D9">
      <w:pPr>
        <w:spacing w:before="100" w:beforeAutospacing="1" w:after="100" w:afterAutospacing="1" w:line="360" w:lineRule="auto"/>
        <w:ind w:left="709"/>
        <w:jc w:val="both"/>
        <w:rPr>
          <w:rFonts w:ascii="Times New Roman" w:hAnsi="Times New Roman"/>
          <w:color w:val="000000"/>
          <w:sz w:val="28"/>
          <w:szCs w:val="28"/>
          <w:lang w:val="uk-UA" w:eastAsia="ru-RU" w:bidi="ar-SA"/>
        </w:rPr>
      </w:pPr>
      <w:r>
        <w:rPr>
          <w:rFonts w:ascii="Times New Roman" w:hAnsi="Times New Roman"/>
          <w:sz w:val="28"/>
          <w:szCs w:val="28"/>
          <w:lang w:val="uk-UA"/>
        </w:rPr>
        <w:t>ІІІ. Видання, які додатково відображають  наукові результати дисертації:</w:t>
      </w:r>
    </w:p>
    <w:p w:rsidR="00282D41" w:rsidRPr="00BA38E8" w:rsidRDefault="00B066D9" w:rsidP="00B066D9">
      <w:pPr>
        <w:numPr>
          <w:ilvl w:val="0"/>
          <w:numId w:val="41"/>
        </w:numPr>
        <w:spacing w:before="100" w:beforeAutospacing="1" w:after="100" w:afterAutospacing="1" w:line="360" w:lineRule="auto"/>
        <w:ind w:left="0" w:firstLine="709"/>
        <w:jc w:val="both"/>
        <w:rPr>
          <w:rFonts w:ascii="Times New Roman" w:hAnsi="Times New Roman"/>
          <w:color w:val="000000"/>
          <w:sz w:val="28"/>
          <w:szCs w:val="28"/>
          <w:lang w:val="ru-RU" w:eastAsia="ru-RU" w:bidi="ar-SA"/>
        </w:rPr>
      </w:pPr>
      <w:r w:rsidRPr="00761003">
        <w:rPr>
          <w:rFonts w:ascii="Times New Roman" w:hAnsi="Times New Roman"/>
          <w:color w:val="000000"/>
          <w:sz w:val="28"/>
          <w:szCs w:val="28"/>
          <w:lang w:val="ru-RU" w:eastAsia="ru-RU" w:bidi="ar-SA"/>
        </w:rPr>
        <w:t>Патент на корисну модель №</w:t>
      </w:r>
      <w:r>
        <w:rPr>
          <w:rFonts w:ascii="Times New Roman" w:hAnsi="Times New Roman"/>
          <w:color w:val="000000"/>
          <w:sz w:val="28"/>
          <w:szCs w:val="28"/>
          <w:lang w:val="ru-RU" w:eastAsia="ru-RU" w:bidi="ar-SA"/>
        </w:rPr>
        <w:t> </w:t>
      </w:r>
      <w:r w:rsidRPr="00761003">
        <w:rPr>
          <w:rFonts w:ascii="Times New Roman" w:hAnsi="Times New Roman"/>
          <w:color w:val="000000"/>
          <w:sz w:val="28"/>
          <w:szCs w:val="28"/>
          <w:lang w:val="ru-RU" w:eastAsia="ru-RU" w:bidi="ar-SA"/>
        </w:rPr>
        <w:t>1259</w:t>
      </w:r>
      <w:r>
        <w:rPr>
          <w:rFonts w:ascii="Times New Roman" w:hAnsi="Times New Roman"/>
          <w:color w:val="000000"/>
          <w:sz w:val="28"/>
          <w:szCs w:val="28"/>
          <w:lang w:val="ru-RU" w:eastAsia="ru-RU" w:bidi="ar-SA"/>
        </w:rPr>
        <w:t xml:space="preserve">94. </w:t>
      </w:r>
      <w:r w:rsidRPr="00761003">
        <w:rPr>
          <w:rFonts w:ascii="Times New Roman" w:hAnsi="Times New Roman"/>
          <w:color w:val="000000"/>
          <w:sz w:val="28"/>
          <w:szCs w:val="28"/>
          <w:lang w:val="ru-RU" w:eastAsia="ru-RU" w:bidi="ar-SA"/>
        </w:rPr>
        <w:t>Спосіб профілактики запальних захворювань тканин пародонта у дівчат-підлітків з порушенням менструальної функції</w:t>
      </w:r>
      <w:r>
        <w:rPr>
          <w:rFonts w:ascii="Times New Roman" w:hAnsi="Times New Roman"/>
          <w:color w:val="000000"/>
          <w:sz w:val="28"/>
          <w:szCs w:val="28"/>
          <w:lang w:val="ru-RU" w:eastAsia="ru-RU" w:bidi="ar-SA"/>
        </w:rPr>
        <w:t xml:space="preserve"> / Є. О. </w:t>
      </w:r>
      <w:r w:rsidRPr="00761003">
        <w:rPr>
          <w:rFonts w:ascii="Times New Roman" w:hAnsi="Times New Roman"/>
          <w:color w:val="000000"/>
          <w:sz w:val="28"/>
          <w:szCs w:val="28"/>
          <w:lang w:val="ru-RU" w:eastAsia="ru-RU" w:bidi="ar-SA"/>
        </w:rPr>
        <w:t xml:space="preserve">Ключка, </w:t>
      </w:r>
      <w:r>
        <w:rPr>
          <w:rFonts w:ascii="Times New Roman" w:hAnsi="Times New Roman"/>
          <w:color w:val="000000"/>
          <w:sz w:val="28"/>
          <w:szCs w:val="28"/>
          <w:lang w:val="ru-RU" w:eastAsia="ru-RU" w:bidi="ar-SA"/>
        </w:rPr>
        <w:t>І. І. </w:t>
      </w:r>
      <w:r w:rsidRPr="00761003">
        <w:rPr>
          <w:rFonts w:ascii="Times New Roman" w:hAnsi="Times New Roman"/>
          <w:color w:val="000000"/>
          <w:sz w:val="28"/>
          <w:szCs w:val="28"/>
          <w:lang w:val="ru-RU" w:eastAsia="ru-RU" w:bidi="ar-SA"/>
        </w:rPr>
        <w:t xml:space="preserve">Соколова </w:t>
      </w:r>
      <w:r>
        <w:rPr>
          <w:rFonts w:ascii="Times New Roman" w:hAnsi="Times New Roman"/>
          <w:color w:val="000000"/>
          <w:sz w:val="28"/>
          <w:szCs w:val="28"/>
          <w:lang w:val="ru-RU" w:eastAsia="ru-RU" w:bidi="ar-SA"/>
        </w:rPr>
        <w:t>; патентовласник</w:t>
      </w:r>
      <w:r w:rsidRPr="00761003">
        <w:rPr>
          <w:rFonts w:ascii="Times New Roman" w:hAnsi="Times New Roman"/>
          <w:color w:val="000000"/>
          <w:sz w:val="28"/>
          <w:szCs w:val="28"/>
          <w:lang w:val="ru-RU" w:eastAsia="ru-RU" w:bidi="ar-SA"/>
        </w:rPr>
        <w:t xml:space="preserve"> </w:t>
      </w:r>
      <w:r w:rsidRPr="00761003">
        <w:rPr>
          <w:rFonts w:ascii="Times New Roman" w:hAnsi="Times New Roman"/>
          <w:sz w:val="28"/>
          <w:szCs w:val="28"/>
          <w:lang w:val="uk-UA"/>
        </w:rPr>
        <w:t xml:space="preserve">Харківський національний медичний університет (UA). </w:t>
      </w:r>
      <w:r>
        <w:rPr>
          <w:rFonts w:ascii="Times New Roman" w:hAnsi="Times New Roman"/>
          <w:sz w:val="28"/>
          <w:szCs w:val="28"/>
          <w:lang w:val="uk-UA"/>
        </w:rPr>
        <w:t>–</w:t>
      </w:r>
      <w:r w:rsidRPr="00761003">
        <w:rPr>
          <w:rFonts w:ascii="Times New Roman" w:hAnsi="Times New Roman"/>
          <w:sz w:val="28"/>
          <w:szCs w:val="28"/>
          <w:lang w:val="uk-UA"/>
        </w:rPr>
        <w:t xml:space="preserve"> №</w:t>
      </w:r>
      <w:r>
        <w:rPr>
          <w:rFonts w:ascii="Times New Roman" w:hAnsi="Times New Roman"/>
          <w:sz w:val="28"/>
          <w:szCs w:val="28"/>
          <w:lang w:val="uk-UA"/>
        </w:rPr>
        <w:t> </w:t>
      </w:r>
      <w:r w:rsidRPr="00761003">
        <w:rPr>
          <w:rFonts w:ascii="Times New Roman" w:hAnsi="Times New Roman"/>
          <w:sz w:val="28"/>
          <w:szCs w:val="28"/>
        </w:rPr>
        <w:t>u</w:t>
      </w:r>
      <w:r w:rsidRPr="00761003">
        <w:rPr>
          <w:rFonts w:ascii="Times New Roman" w:hAnsi="Times New Roman"/>
          <w:sz w:val="28"/>
          <w:szCs w:val="28"/>
          <w:lang w:val="uk-UA"/>
        </w:rPr>
        <w:t>201801287</w:t>
      </w:r>
      <w:r>
        <w:rPr>
          <w:rFonts w:ascii="Times New Roman" w:hAnsi="Times New Roman"/>
          <w:sz w:val="28"/>
          <w:szCs w:val="28"/>
          <w:lang w:val="uk-UA"/>
        </w:rPr>
        <w:t xml:space="preserve"> ; з</w:t>
      </w:r>
      <w:r w:rsidRPr="00761003">
        <w:rPr>
          <w:rFonts w:ascii="Times New Roman" w:hAnsi="Times New Roman"/>
          <w:sz w:val="28"/>
          <w:szCs w:val="28"/>
          <w:lang w:val="uk-UA"/>
        </w:rPr>
        <w:t>аявл. 09.02.2018</w:t>
      </w:r>
      <w:r>
        <w:rPr>
          <w:rFonts w:ascii="Times New Roman" w:hAnsi="Times New Roman"/>
          <w:sz w:val="28"/>
          <w:szCs w:val="28"/>
          <w:lang w:val="uk-UA"/>
        </w:rPr>
        <w:t xml:space="preserve"> ; о</w:t>
      </w:r>
      <w:r w:rsidRPr="00761003">
        <w:rPr>
          <w:rFonts w:ascii="Times New Roman" w:hAnsi="Times New Roman"/>
          <w:sz w:val="28"/>
          <w:szCs w:val="28"/>
          <w:lang w:val="uk-UA"/>
        </w:rPr>
        <w:t xml:space="preserve">публ. </w:t>
      </w:r>
      <w:r>
        <w:rPr>
          <w:rFonts w:ascii="Times New Roman" w:hAnsi="Times New Roman"/>
          <w:sz w:val="28"/>
          <w:szCs w:val="28"/>
          <w:lang w:val="uk-UA"/>
        </w:rPr>
        <w:t>25.05.2018, Б</w:t>
      </w:r>
      <w:r w:rsidRPr="00761003">
        <w:rPr>
          <w:rFonts w:ascii="Times New Roman" w:hAnsi="Times New Roman"/>
          <w:sz w:val="28"/>
          <w:szCs w:val="28"/>
          <w:lang w:val="uk-UA"/>
        </w:rPr>
        <w:t>юл. №</w:t>
      </w:r>
      <w:r>
        <w:rPr>
          <w:rFonts w:ascii="Times New Roman" w:hAnsi="Times New Roman"/>
          <w:sz w:val="28"/>
          <w:szCs w:val="28"/>
          <w:lang w:val="uk-UA"/>
        </w:rPr>
        <w:t> </w:t>
      </w:r>
      <w:r w:rsidRPr="00761003">
        <w:rPr>
          <w:rFonts w:ascii="Times New Roman" w:hAnsi="Times New Roman"/>
          <w:sz w:val="28"/>
          <w:szCs w:val="28"/>
          <w:lang w:val="uk-UA"/>
        </w:rPr>
        <w:t>10/2018.</w:t>
      </w:r>
    </w:p>
    <w:p w:rsidR="00282D41" w:rsidRPr="00C21F54" w:rsidRDefault="00B066D9" w:rsidP="007D01D7">
      <w:pPr>
        <w:spacing w:line="360" w:lineRule="auto"/>
        <w:ind w:firstLine="709"/>
        <w:jc w:val="center"/>
        <w:rPr>
          <w:rFonts w:ascii="Times New Roman" w:hAnsi="Times New Roman"/>
          <w:sz w:val="28"/>
          <w:szCs w:val="28"/>
          <w:lang w:val="ru-RU"/>
        </w:rPr>
      </w:pPr>
      <w:r>
        <w:rPr>
          <w:rFonts w:ascii="Times New Roman" w:hAnsi="Times New Roman"/>
          <w:sz w:val="28"/>
          <w:szCs w:val="28"/>
          <w:lang w:val="uk-UA"/>
        </w:rPr>
        <w:lastRenderedPageBreak/>
        <w:t xml:space="preserve">ДОДАТОК </w:t>
      </w:r>
      <w:r w:rsidR="00BD4FE3">
        <w:rPr>
          <w:rFonts w:ascii="Times New Roman" w:hAnsi="Times New Roman"/>
          <w:sz w:val="28"/>
          <w:szCs w:val="28"/>
        </w:rPr>
        <w:t>B</w:t>
      </w:r>
    </w:p>
    <w:p w:rsidR="00BA38E8" w:rsidRDefault="007D01D7" w:rsidP="00BA38E8">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Апробація</w:t>
      </w:r>
      <w:r w:rsidR="00BA38E8" w:rsidRPr="00BA38E8">
        <w:rPr>
          <w:rFonts w:ascii="Times New Roman" w:hAnsi="Times New Roman"/>
          <w:b/>
          <w:sz w:val="28"/>
          <w:szCs w:val="28"/>
          <w:lang w:val="uk-UA"/>
        </w:rPr>
        <w:t xml:space="preserve"> результатів дисертації</w:t>
      </w:r>
    </w:p>
    <w:p w:rsidR="00BA38E8" w:rsidRDefault="00BA38E8" w:rsidP="00BA38E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Основні положення дисертації обговорювались та доповідались на наступних конференціях, конгресах, симпозіумах, семінарах:</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Міжрегіональному симпозіумі «Актуальні питання акушерства, гінекології та дитячої гінекології (Харків, </w:t>
      </w:r>
      <w:r w:rsidR="003D4E59">
        <w:rPr>
          <w:rFonts w:ascii="Times New Roman" w:hAnsi="Times New Roman"/>
          <w:sz w:val="28"/>
          <w:szCs w:val="28"/>
          <w:lang w:val="uk-UA"/>
        </w:rPr>
        <w:t>25.06.</w:t>
      </w:r>
      <w:r>
        <w:rPr>
          <w:rFonts w:ascii="Times New Roman" w:hAnsi="Times New Roman"/>
          <w:sz w:val="28"/>
          <w:szCs w:val="28"/>
          <w:lang w:val="uk-UA"/>
        </w:rPr>
        <w:t>2014</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Науково-практичній конференції з участю міжнародних спеціалістів «Гофунговські читання» (Харків, </w:t>
      </w:r>
      <w:r w:rsidR="00D03DEA">
        <w:rPr>
          <w:rFonts w:ascii="Times New Roman" w:hAnsi="Times New Roman"/>
          <w:sz w:val="28"/>
          <w:szCs w:val="28"/>
          <w:lang w:val="uk-UA"/>
        </w:rPr>
        <w:t>20.02.</w:t>
      </w:r>
      <w:r>
        <w:rPr>
          <w:rFonts w:ascii="Times New Roman" w:hAnsi="Times New Roman"/>
          <w:sz w:val="28"/>
          <w:szCs w:val="28"/>
          <w:lang w:val="uk-UA"/>
        </w:rPr>
        <w:t>2015</w:t>
      </w:r>
      <w:r w:rsidR="001F5F47">
        <w:rPr>
          <w:rFonts w:ascii="Times New Roman" w:hAnsi="Times New Roman"/>
          <w:sz w:val="28"/>
          <w:szCs w:val="28"/>
          <w:lang w:val="uk-UA"/>
        </w:rPr>
        <w:t>, стендова доповідь</w:t>
      </w:r>
      <w:r>
        <w:rPr>
          <w:rFonts w:ascii="Times New Roman" w:hAnsi="Times New Roman"/>
          <w:sz w:val="28"/>
          <w:szCs w:val="28"/>
          <w:lang w:val="uk-UA"/>
        </w:rPr>
        <w:t>);</w:t>
      </w:r>
    </w:p>
    <w:p w:rsidR="003D4E59" w:rsidRPr="003D4E59"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 3-му Харківському стоматологічному фестивалі (Харків, </w:t>
      </w:r>
      <w:r w:rsidR="001F5F47">
        <w:rPr>
          <w:rFonts w:ascii="Times New Roman" w:hAnsi="Times New Roman"/>
          <w:sz w:val="28"/>
          <w:szCs w:val="28"/>
          <w:lang w:val="uk-UA"/>
        </w:rPr>
        <w:t>24.02.</w:t>
      </w:r>
      <w:r>
        <w:rPr>
          <w:rFonts w:ascii="Times New Roman" w:hAnsi="Times New Roman"/>
          <w:sz w:val="28"/>
          <w:szCs w:val="28"/>
          <w:lang w:val="uk-UA"/>
        </w:rPr>
        <w:t>2017</w:t>
      </w:r>
      <w:r w:rsidR="001F5F47">
        <w:rPr>
          <w:rFonts w:ascii="Times New Roman" w:hAnsi="Times New Roman"/>
          <w:sz w:val="28"/>
          <w:szCs w:val="28"/>
          <w:lang w:val="uk-UA"/>
        </w:rPr>
        <w:t>, усна доповідь</w:t>
      </w:r>
      <w:r>
        <w:rPr>
          <w:rFonts w:ascii="Times New Roman" w:hAnsi="Times New Roman"/>
          <w:sz w:val="28"/>
          <w:szCs w:val="28"/>
          <w:lang w:val="uk-UA"/>
        </w:rPr>
        <w:t>);</w:t>
      </w:r>
    </w:p>
    <w:p w:rsidR="00BA38E8" w:rsidRPr="00D03DEA"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 Міжрегіональному симпозіумі з міжнародною участю «Актуальні питання акушерства, гінекології та дитячої гінекології (Харків, </w:t>
      </w:r>
      <w:r w:rsidR="003D4E59">
        <w:rPr>
          <w:rFonts w:ascii="Times New Roman" w:hAnsi="Times New Roman"/>
          <w:sz w:val="28"/>
          <w:szCs w:val="28"/>
          <w:lang w:val="uk-UA"/>
        </w:rPr>
        <w:t>27-28.09.</w:t>
      </w:r>
      <w:r>
        <w:rPr>
          <w:rFonts w:ascii="Times New Roman" w:hAnsi="Times New Roman"/>
          <w:sz w:val="28"/>
          <w:szCs w:val="28"/>
          <w:lang w:val="uk-UA"/>
        </w:rPr>
        <w:t>2017</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D03DEA" w:rsidRPr="00BA38E8" w:rsidRDefault="00D03DEA"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Семінарі для керівників баз стажування лікарів-інтернів за спеціальністю «Стоматологія» (Харків, 11-12.04.2017</w:t>
      </w:r>
      <w:r w:rsidR="001F5F47">
        <w:rPr>
          <w:rFonts w:ascii="Times New Roman" w:hAnsi="Times New Roman"/>
          <w:sz w:val="28"/>
          <w:szCs w:val="28"/>
          <w:lang w:val="uk-UA"/>
        </w:rPr>
        <w:t>, усна доповідь</w:t>
      </w:r>
      <w:r>
        <w:rPr>
          <w:rFonts w:ascii="Times New Roman" w:hAnsi="Times New Roman"/>
          <w:sz w:val="28"/>
          <w:szCs w:val="28"/>
          <w:lang w:val="uk-UA"/>
        </w:rPr>
        <w:t>)</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Міжнародній науково-практичній конференції «Актуальні питання акушерства, гінекології та дитячої гінекології (Харків, </w:t>
      </w:r>
      <w:r w:rsidR="003D4E59">
        <w:rPr>
          <w:rFonts w:ascii="Times New Roman" w:hAnsi="Times New Roman"/>
          <w:sz w:val="28"/>
          <w:szCs w:val="28"/>
          <w:lang w:val="uk-UA"/>
        </w:rPr>
        <w:t>20.12.</w:t>
      </w:r>
      <w:r>
        <w:rPr>
          <w:rFonts w:ascii="Times New Roman" w:hAnsi="Times New Roman"/>
          <w:sz w:val="28"/>
          <w:szCs w:val="28"/>
          <w:lang w:val="uk-UA"/>
        </w:rPr>
        <w:t>2017</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Науковому симпозіумі з міжнародною участю «Гіпоменструальний синдром у дівчаток-підлітків (патогенез, профілактика, віддалені наслідки)» (Харків, </w:t>
      </w:r>
      <w:r w:rsidR="003D4E59">
        <w:rPr>
          <w:rFonts w:ascii="Times New Roman" w:hAnsi="Times New Roman"/>
          <w:sz w:val="28"/>
          <w:szCs w:val="28"/>
          <w:lang w:val="uk-UA"/>
        </w:rPr>
        <w:t>24.05.</w:t>
      </w:r>
      <w:r>
        <w:rPr>
          <w:rFonts w:ascii="Times New Roman" w:hAnsi="Times New Roman"/>
          <w:sz w:val="28"/>
          <w:szCs w:val="28"/>
          <w:lang w:val="uk-UA"/>
        </w:rPr>
        <w:t>2017</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Міжвузівській конференції молодих вчених та студентів «Медицина третього тисячоліття» (Харків, </w:t>
      </w:r>
      <w:r w:rsidR="00D03DEA">
        <w:rPr>
          <w:rFonts w:ascii="Times New Roman" w:hAnsi="Times New Roman"/>
          <w:sz w:val="28"/>
          <w:szCs w:val="28"/>
          <w:lang w:val="uk-UA"/>
        </w:rPr>
        <w:t>22-24.01.</w:t>
      </w:r>
      <w:r>
        <w:rPr>
          <w:rFonts w:ascii="Times New Roman" w:hAnsi="Times New Roman"/>
          <w:sz w:val="28"/>
          <w:szCs w:val="28"/>
          <w:lang w:val="uk-UA"/>
        </w:rPr>
        <w:t>2018</w:t>
      </w:r>
      <w:r w:rsidR="00D03DEA">
        <w:rPr>
          <w:rFonts w:ascii="Times New Roman" w:hAnsi="Times New Roman"/>
          <w:sz w:val="28"/>
          <w:szCs w:val="28"/>
          <w:lang w:val="uk-UA"/>
        </w:rPr>
        <w:t>, публікація тез</w:t>
      </w:r>
      <w:r w:rsidR="001F5F47">
        <w:rPr>
          <w:rFonts w:ascii="Times New Roman" w:hAnsi="Times New Roman"/>
          <w:sz w:val="28"/>
          <w:szCs w:val="28"/>
          <w:lang w:val="uk-UA"/>
        </w:rPr>
        <w:t>, усна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Міжнародному конгресі з медичної генетики «Генетика та епігенетика рідкісних захворювань» (Харків, </w:t>
      </w:r>
      <w:r w:rsidR="00D03DEA">
        <w:rPr>
          <w:rFonts w:ascii="Times New Roman" w:hAnsi="Times New Roman"/>
          <w:sz w:val="28"/>
          <w:szCs w:val="28"/>
          <w:lang w:val="uk-UA"/>
        </w:rPr>
        <w:t>6-8.06.</w:t>
      </w:r>
      <w:r>
        <w:rPr>
          <w:rFonts w:ascii="Times New Roman" w:hAnsi="Times New Roman"/>
          <w:sz w:val="28"/>
          <w:szCs w:val="28"/>
          <w:lang w:val="uk-UA"/>
        </w:rPr>
        <w:t>2018</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Міжвузівській науково-практичній конференції з міжнародною участю «Проблема людини у соціально-гуманітарному та медичному дискурсах» (Харків, </w:t>
      </w:r>
      <w:r w:rsidR="00D03DEA">
        <w:rPr>
          <w:rFonts w:ascii="Times New Roman" w:hAnsi="Times New Roman"/>
          <w:sz w:val="28"/>
          <w:szCs w:val="28"/>
          <w:lang w:val="uk-UA"/>
        </w:rPr>
        <w:t>29.03.</w:t>
      </w:r>
      <w:r>
        <w:rPr>
          <w:rFonts w:ascii="Times New Roman" w:hAnsi="Times New Roman"/>
          <w:sz w:val="28"/>
          <w:szCs w:val="28"/>
          <w:lang w:val="uk-UA"/>
        </w:rPr>
        <w:t>2018</w:t>
      </w:r>
      <w:r w:rsidR="00D03DEA">
        <w:rPr>
          <w:rFonts w:ascii="Times New Roman" w:hAnsi="Times New Roman"/>
          <w:sz w:val="28"/>
          <w:szCs w:val="28"/>
          <w:lang w:val="uk-UA"/>
        </w:rPr>
        <w:t>, публікація тез</w:t>
      </w:r>
      <w:r w:rsidR="001F5F47">
        <w:rPr>
          <w:rFonts w:ascii="Times New Roman" w:hAnsi="Times New Roman"/>
          <w:sz w:val="28"/>
          <w:szCs w:val="28"/>
          <w:lang w:val="uk-UA"/>
        </w:rPr>
        <w:t>, усна доповідь</w:t>
      </w:r>
      <w:r>
        <w:rPr>
          <w:rFonts w:ascii="Times New Roman" w:hAnsi="Times New Roman"/>
          <w:sz w:val="28"/>
          <w:szCs w:val="28"/>
          <w:lang w:val="uk-UA"/>
        </w:rPr>
        <w:t>);</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 Науково-практичній конференції «Актуальна стоматологія. Наука, практика, педагогіка» (Харків, </w:t>
      </w:r>
      <w:r w:rsidR="00D03DEA">
        <w:rPr>
          <w:rFonts w:ascii="Times New Roman" w:hAnsi="Times New Roman"/>
          <w:sz w:val="28"/>
          <w:szCs w:val="28"/>
          <w:lang w:val="uk-UA"/>
        </w:rPr>
        <w:t>26.10.</w:t>
      </w:r>
      <w:r>
        <w:rPr>
          <w:rFonts w:ascii="Times New Roman" w:hAnsi="Times New Roman"/>
          <w:sz w:val="28"/>
          <w:szCs w:val="28"/>
          <w:lang w:val="uk-UA"/>
        </w:rPr>
        <w:t>2018</w:t>
      </w:r>
      <w:r w:rsidR="001F5F47">
        <w:rPr>
          <w:rFonts w:ascii="Times New Roman" w:hAnsi="Times New Roman"/>
          <w:sz w:val="28"/>
          <w:szCs w:val="28"/>
          <w:lang w:val="uk-UA"/>
        </w:rPr>
        <w:t>, усна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lastRenderedPageBreak/>
        <w:t>Науково-практичній конференції</w:t>
      </w:r>
      <w:r w:rsidRPr="00AF16DF">
        <w:rPr>
          <w:rFonts w:ascii="Times New Roman" w:hAnsi="Times New Roman"/>
          <w:sz w:val="28"/>
          <w:szCs w:val="28"/>
          <w:lang w:val="uk-UA"/>
        </w:rPr>
        <w:t xml:space="preserve"> </w:t>
      </w:r>
      <w:r>
        <w:rPr>
          <w:rFonts w:ascii="Times New Roman" w:hAnsi="Times New Roman"/>
          <w:sz w:val="28"/>
          <w:szCs w:val="28"/>
          <w:lang w:val="uk-UA"/>
        </w:rPr>
        <w:t xml:space="preserve">з міжнародною участю «Коморбідність: міждисциплінарні аспекти та сучасний пацієнт» (Харків, </w:t>
      </w:r>
      <w:r w:rsidR="003D4E59">
        <w:rPr>
          <w:rFonts w:ascii="Times New Roman" w:hAnsi="Times New Roman"/>
          <w:sz w:val="28"/>
          <w:szCs w:val="28"/>
          <w:lang w:val="uk-UA"/>
        </w:rPr>
        <w:t>27.09.</w:t>
      </w:r>
      <w:r>
        <w:rPr>
          <w:rFonts w:ascii="Times New Roman" w:hAnsi="Times New Roman"/>
          <w:sz w:val="28"/>
          <w:szCs w:val="28"/>
          <w:lang w:val="uk-UA"/>
        </w:rPr>
        <w:t>2018</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rPr>
        <w:t>International</w:t>
      </w:r>
      <w:r w:rsidRPr="00206D6D">
        <w:rPr>
          <w:rFonts w:ascii="Times New Roman" w:hAnsi="Times New Roman"/>
          <w:sz w:val="28"/>
          <w:szCs w:val="28"/>
          <w:lang w:val="uk-UA"/>
        </w:rPr>
        <w:t xml:space="preserve"> </w:t>
      </w:r>
      <w:r>
        <w:rPr>
          <w:rFonts w:ascii="Times New Roman" w:hAnsi="Times New Roman"/>
          <w:sz w:val="28"/>
          <w:szCs w:val="28"/>
        </w:rPr>
        <w:t>Scientific</w:t>
      </w:r>
      <w:r w:rsidRPr="00206D6D">
        <w:rPr>
          <w:rFonts w:ascii="Times New Roman" w:hAnsi="Times New Roman"/>
          <w:sz w:val="28"/>
          <w:szCs w:val="28"/>
          <w:lang w:val="uk-UA"/>
        </w:rPr>
        <w:t xml:space="preserve"> </w:t>
      </w:r>
      <w:r>
        <w:rPr>
          <w:rFonts w:ascii="Times New Roman" w:hAnsi="Times New Roman"/>
          <w:sz w:val="28"/>
          <w:szCs w:val="28"/>
        </w:rPr>
        <w:t>Interdisciplinary</w:t>
      </w:r>
      <w:r w:rsidRPr="00206D6D">
        <w:rPr>
          <w:rFonts w:ascii="Times New Roman" w:hAnsi="Times New Roman"/>
          <w:sz w:val="28"/>
          <w:szCs w:val="28"/>
          <w:lang w:val="uk-UA"/>
        </w:rPr>
        <w:t xml:space="preserve"> </w:t>
      </w:r>
      <w:r>
        <w:rPr>
          <w:rFonts w:ascii="Times New Roman" w:hAnsi="Times New Roman"/>
          <w:sz w:val="28"/>
          <w:szCs w:val="28"/>
        </w:rPr>
        <w:t>Conference</w:t>
      </w:r>
      <w:r w:rsidRPr="00206D6D">
        <w:rPr>
          <w:rFonts w:ascii="Times New Roman" w:hAnsi="Times New Roman"/>
          <w:sz w:val="28"/>
          <w:szCs w:val="28"/>
          <w:lang w:val="uk-UA"/>
        </w:rPr>
        <w:t xml:space="preserve"> (</w:t>
      </w:r>
      <w:r>
        <w:rPr>
          <w:rFonts w:ascii="Times New Roman" w:hAnsi="Times New Roman"/>
          <w:sz w:val="28"/>
          <w:szCs w:val="28"/>
          <w:lang w:val="uk-UA"/>
        </w:rPr>
        <w:t xml:space="preserve">Харків, </w:t>
      </w:r>
      <w:r w:rsidR="003D4E59">
        <w:rPr>
          <w:rFonts w:ascii="Times New Roman" w:hAnsi="Times New Roman"/>
          <w:sz w:val="28"/>
          <w:szCs w:val="28"/>
          <w:lang w:val="uk-UA"/>
        </w:rPr>
        <w:t>23-25.05.</w:t>
      </w:r>
      <w:r>
        <w:rPr>
          <w:rFonts w:ascii="Times New Roman" w:hAnsi="Times New Roman"/>
          <w:sz w:val="28"/>
          <w:szCs w:val="28"/>
          <w:lang w:val="uk-UA"/>
        </w:rPr>
        <w:t>2018</w:t>
      </w:r>
      <w:r w:rsidR="003D4E59">
        <w:rPr>
          <w:rFonts w:ascii="Times New Roman" w:hAnsi="Times New Roman"/>
          <w:sz w:val="28"/>
          <w:szCs w:val="28"/>
          <w:lang w:val="uk-UA"/>
        </w:rPr>
        <w:t>, публікація тез, усна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Науково-методичній конференції з інтернатури «Сучасний стан та перспективи підготовки лікарів-інтернів у Харківському національному медичному університеті» (Харків, </w:t>
      </w:r>
      <w:r w:rsidR="003D4E59">
        <w:rPr>
          <w:rFonts w:ascii="Times New Roman" w:hAnsi="Times New Roman"/>
          <w:sz w:val="28"/>
          <w:szCs w:val="28"/>
          <w:lang w:val="uk-UA"/>
        </w:rPr>
        <w:t>11.04.</w:t>
      </w:r>
      <w:r>
        <w:rPr>
          <w:rFonts w:ascii="Times New Roman" w:hAnsi="Times New Roman"/>
          <w:sz w:val="28"/>
          <w:szCs w:val="28"/>
          <w:lang w:val="uk-UA"/>
        </w:rPr>
        <w:t>2018</w:t>
      </w:r>
      <w:r w:rsidR="001F5F47">
        <w:rPr>
          <w:rFonts w:ascii="Times New Roman" w:hAnsi="Times New Roman"/>
          <w:sz w:val="28"/>
          <w:szCs w:val="28"/>
          <w:lang w:val="uk-UA"/>
        </w:rPr>
        <w:t>, усна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Міжрегіональному симпозіумі з міжнародною участю «Актуальні питання акушерства, гінекології та дитячої гінекології (Харків, </w:t>
      </w:r>
      <w:r w:rsidR="003D4E59">
        <w:rPr>
          <w:rFonts w:ascii="Times New Roman" w:hAnsi="Times New Roman"/>
          <w:sz w:val="28"/>
          <w:szCs w:val="28"/>
          <w:lang w:val="uk-UA"/>
        </w:rPr>
        <w:t>28.03.</w:t>
      </w:r>
      <w:r>
        <w:rPr>
          <w:rFonts w:ascii="Times New Roman" w:hAnsi="Times New Roman"/>
          <w:sz w:val="28"/>
          <w:szCs w:val="28"/>
          <w:lang w:val="uk-UA"/>
        </w:rPr>
        <w:t>2018</w:t>
      </w:r>
      <w:r w:rsidR="001F5F47">
        <w:rPr>
          <w:rFonts w:ascii="Times New Roman" w:hAnsi="Times New Roman"/>
          <w:sz w:val="28"/>
          <w:szCs w:val="28"/>
          <w:lang w:val="uk-UA"/>
        </w:rPr>
        <w:t>,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Міжвузівській конференції молодих вчених та студентів «Медицина третього тисячоліття» ( Харків, </w:t>
      </w:r>
      <w:r w:rsidR="00D03DEA">
        <w:rPr>
          <w:rFonts w:ascii="Times New Roman" w:hAnsi="Times New Roman"/>
          <w:sz w:val="28"/>
          <w:szCs w:val="28"/>
          <w:lang w:val="uk-UA"/>
        </w:rPr>
        <w:t>30-31.01.</w:t>
      </w:r>
      <w:r>
        <w:rPr>
          <w:rFonts w:ascii="Times New Roman" w:hAnsi="Times New Roman"/>
          <w:sz w:val="28"/>
          <w:szCs w:val="28"/>
          <w:lang w:val="uk-UA"/>
        </w:rPr>
        <w:t>2019</w:t>
      </w:r>
      <w:r w:rsidR="00D03DEA">
        <w:rPr>
          <w:rFonts w:ascii="Times New Roman" w:hAnsi="Times New Roman"/>
          <w:sz w:val="28"/>
          <w:szCs w:val="28"/>
          <w:lang w:val="uk-UA"/>
        </w:rPr>
        <w:t>, публікація тез, стендова доповідь</w:t>
      </w:r>
      <w:r>
        <w:rPr>
          <w:rFonts w:ascii="Times New Roman" w:hAnsi="Times New Roman"/>
          <w:sz w:val="28"/>
          <w:szCs w:val="28"/>
          <w:lang w:val="uk-UA"/>
        </w:rPr>
        <w:t xml:space="preserve">); </w:t>
      </w:r>
    </w:p>
    <w:p w:rsidR="00BA38E8" w:rsidRPr="00BA38E8" w:rsidRDefault="00BA38E8" w:rsidP="00BA38E8">
      <w:pPr>
        <w:numPr>
          <w:ilvl w:val="0"/>
          <w:numId w:val="42"/>
        </w:numPr>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Семінарі для керівників баз стажування лікарів-інтернів за спеціальністю «Стоматологія» (Харків, </w:t>
      </w:r>
      <w:r w:rsidR="003D4E59">
        <w:rPr>
          <w:rFonts w:ascii="Times New Roman" w:hAnsi="Times New Roman"/>
          <w:sz w:val="28"/>
          <w:szCs w:val="28"/>
          <w:lang w:val="uk-UA"/>
        </w:rPr>
        <w:t xml:space="preserve"> 10-11.04.</w:t>
      </w:r>
      <w:r>
        <w:rPr>
          <w:rFonts w:ascii="Times New Roman" w:hAnsi="Times New Roman"/>
          <w:sz w:val="28"/>
          <w:szCs w:val="28"/>
          <w:lang w:val="uk-UA"/>
        </w:rPr>
        <w:t>2019</w:t>
      </w:r>
      <w:r w:rsidR="003D4E59">
        <w:rPr>
          <w:rFonts w:ascii="Times New Roman" w:hAnsi="Times New Roman"/>
          <w:sz w:val="28"/>
          <w:szCs w:val="28"/>
          <w:lang w:val="uk-UA"/>
        </w:rPr>
        <w:t>, усна доповідь</w:t>
      </w:r>
      <w:r>
        <w:rPr>
          <w:rFonts w:ascii="Times New Roman" w:hAnsi="Times New Roman"/>
          <w:sz w:val="28"/>
          <w:szCs w:val="28"/>
          <w:lang w:val="uk-UA"/>
        </w:rPr>
        <w:t>).</w:t>
      </w:r>
    </w:p>
    <w:sectPr w:rsidR="00BA38E8" w:rsidRPr="00BA38E8" w:rsidSect="00AC605C">
      <w:headerReference w:type="default" r:id="rId39"/>
      <w:pgSz w:w="11906" w:h="16838"/>
      <w:pgMar w:top="1134" w:right="566" w:bottom="993"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1983" w:rsidRDefault="005C1983" w:rsidP="00AC605C">
      <w:r>
        <w:separator/>
      </w:r>
    </w:p>
  </w:endnote>
  <w:endnote w:type="continuationSeparator" w:id="0">
    <w:p w:rsidR="005C1983" w:rsidRDefault="005C1983" w:rsidP="00AC60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1983" w:rsidRDefault="005C1983" w:rsidP="00AC605C">
      <w:r>
        <w:separator/>
      </w:r>
    </w:p>
  </w:footnote>
  <w:footnote w:type="continuationSeparator" w:id="0">
    <w:p w:rsidR="005C1983" w:rsidRDefault="005C1983" w:rsidP="00AC60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1EA6" w:rsidRDefault="00251EA6">
    <w:pPr>
      <w:pStyle w:val="af7"/>
      <w:jc w:val="right"/>
    </w:pPr>
    <w:fldSimple w:instr=" PAGE   \* MERGEFORMAT ">
      <w:r w:rsidR="00B066D9">
        <w:rPr>
          <w:noProof/>
        </w:rPr>
        <w:t>15</w:t>
      </w:r>
    </w:fldSimple>
  </w:p>
  <w:p w:rsidR="00251EA6" w:rsidRDefault="00251EA6">
    <w:pPr>
      <w:pStyle w:val="af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67A5C"/>
    <w:multiLevelType w:val="hybridMultilevel"/>
    <w:tmpl w:val="F5E04090"/>
    <w:lvl w:ilvl="0" w:tplc="2C7E44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43B0DC8"/>
    <w:multiLevelType w:val="multilevel"/>
    <w:tmpl w:val="BCBAE386"/>
    <w:lvl w:ilvl="0">
      <w:start w:val="1"/>
      <w:numFmt w:val="decimal"/>
      <w:lvlText w:val="%1."/>
      <w:lvlJc w:val="left"/>
      <w:pPr>
        <w:ind w:left="450" w:hanging="450"/>
      </w:pPr>
      <w:rPr>
        <w:rFonts w:cs="Times New Roman" w:hint="default"/>
      </w:rPr>
    </w:lvl>
    <w:lvl w:ilvl="1">
      <w:start w:val="1"/>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
    <w:nsid w:val="063143B2"/>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4F6366"/>
    <w:multiLevelType w:val="hybridMultilevel"/>
    <w:tmpl w:val="521C65D6"/>
    <w:lvl w:ilvl="0" w:tplc="E946A8D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95E0EA3"/>
    <w:multiLevelType w:val="hybridMultilevel"/>
    <w:tmpl w:val="EECEE428"/>
    <w:lvl w:ilvl="0" w:tplc="9AE855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D175205"/>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D23105"/>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0D868FB"/>
    <w:multiLevelType w:val="hybridMultilevel"/>
    <w:tmpl w:val="B742DB9A"/>
    <w:lvl w:ilvl="0" w:tplc="23C6BAB8">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4E835AF"/>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5AF0D62"/>
    <w:multiLevelType w:val="hybridMultilevel"/>
    <w:tmpl w:val="F5D819CC"/>
    <w:lvl w:ilvl="0" w:tplc="FA9008B2">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0">
    <w:nsid w:val="1A6E1E59"/>
    <w:multiLevelType w:val="hybridMultilevel"/>
    <w:tmpl w:val="08ACF4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B1E79AF"/>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E264A12"/>
    <w:multiLevelType w:val="hybridMultilevel"/>
    <w:tmpl w:val="40DEE8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0563D69"/>
    <w:multiLevelType w:val="hybridMultilevel"/>
    <w:tmpl w:val="F70404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2F6651A"/>
    <w:multiLevelType w:val="hybridMultilevel"/>
    <w:tmpl w:val="E606089C"/>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5">
    <w:nsid w:val="23867442"/>
    <w:multiLevelType w:val="hybridMultilevel"/>
    <w:tmpl w:val="BC5ED3B4"/>
    <w:lvl w:ilvl="0" w:tplc="FDBCA750">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3F51DBB"/>
    <w:multiLevelType w:val="hybridMultilevel"/>
    <w:tmpl w:val="B39AB22C"/>
    <w:lvl w:ilvl="0" w:tplc="B1720E6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78849AB"/>
    <w:multiLevelType w:val="hybridMultilevel"/>
    <w:tmpl w:val="FEC2EED6"/>
    <w:lvl w:ilvl="0" w:tplc="89EE09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2A193FA6"/>
    <w:multiLevelType w:val="hybridMultilevel"/>
    <w:tmpl w:val="EECEE428"/>
    <w:lvl w:ilvl="0" w:tplc="9AE855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2B8D72C7"/>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C323C78"/>
    <w:multiLevelType w:val="hybridMultilevel"/>
    <w:tmpl w:val="DE2842C0"/>
    <w:lvl w:ilvl="0" w:tplc="47D66E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2E647A2E"/>
    <w:multiLevelType w:val="hybridMultilevel"/>
    <w:tmpl w:val="40DEE8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0817F85"/>
    <w:multiLevelType w:val="hybridMultilevel"/>
    <w:tmpl w:val="D946DF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2FA6776"/>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34052AD"/>
    <w:multiLevelType w:val="hybridMultilevel"/>
    <w:tmpl w:val="1F30E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5A779C1"/>
    <w:multiLevelType w:val="hybridMultilevel"/>
    <w:tmpl w:val="7B2A7B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9FA6C44"/>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E476403"/>
    <w:multiLevelType w:val="hybridMultilevel"/>
    <w:tmpl w:val="5DE47556"/>
    <w:lvl w:ilvl="0" w:tplc="0BA2ADEA">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8">
    <w:nsid w:val="497D7EEA"/>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E902F83"/>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88523B0"/>
    <w:multiLevelType w:val="hybridMultilevel"/>
    <w:tmpl w:val="C5B09CA4"/>
    <w:lvl w:ilvl="0" w:tplc="E87C751A">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599D22F2"/>
    <w:multiLevelType w:val="hybridMultilevel"/>
    <w:tmpl w:val="EA7E81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A1E7E19"/>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B341A57"/>
    <w:multiLevelType w:val="hybridMultilevel"/>
    <w:tmpl w:val="583200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D9900EE"/>
    <w:multiLevelType w:val="hybridMultilevel"/>
    <w:tmpl w:val="AD6E06C4"/>
    <w:lvl w:ilvl="0" w:tplc="1B9A33D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4B67058"/>
    <w:multiLevelType w:val="hybridMultilevel"/>
    <w:tmpl w:val="78142A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808367E"/>
    <w:multiLevelType w:val="multilevel"/>
    <w:tmpl w:val="724C5C74"/>
    <w:lvl w:ilvl="0">
      <w:start w:val="1"/>
      <w:numFmt w:val="decimal"/>
      <w:lvlText w:val="%1"/>
      <w:lvlJc w:val="left"/>
      <w:pPr>
        <w:ind w:left="885" w:hanging="885"/>
      </w:pPr>
      <w:rPr>
        <w:rFonts w:hint="default"/>
      </w:rPr>
    </w:lvl>
    <w:lvl w:ilvl="1">
      <w:start w:val="1"/>
      <w:numFmt w:val="decimal"/>
      <w:lvlText w:val="%1.%2"/>
      <w:lvlJc w:val="left"/>
      <w:pPr>
        <w:ind w:left="1311" w:hanging="885"/>
      </w:pPr>
      <w:rPr>
        <w:rFonts w:hint="default"/>
      </w:rPr>
    </w:lvl>
    <w:lvl w:ilvl="2">
      <w:start w:val="1"/>
      <w:numFmt w:val="decimal"/>
      <w:lvlText w:val="%1.%2.%3"/>
      <w:lvlJc w:val="left"/>
      <w:pPr>
        <w:ind w:left="1737" w:hanging="885"/>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7">
    <w:nsid w:val="689A1C91"/>
    <w:multiLevelType w:val="hybridMultilevel"/>
    <w:tmpl w:val="38183B90"/>
    <w:lvl w:ilvl="0" w:tplc="E5883C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6E904DC8"/>
    <w:multiLevelType w:val="hybridMultilevel"/>
    <w:tmpl w:val="F924A228"/>
    <w:lvl w:ilvl="0" w:tplc="B2CA9B28">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9">
    <w:nsid w:val="70C57985"/>
    <w:multiLevelType w:val="multilevel"/>
    <w:tmpl w:val="89005FA8"/>
    <w:lvl w:ilvl="0">
      <w:start w:val="1"/>
      <w:numFmt w:val="decimal"/>
      <w:lvlText w:val="%1."/>
      <w:lvlJc w:val="left"/>
      <w:pPr>
        <w:ind w:left="1095" w:hanging="1095"/>
      </w:pPr>
      <w:rPr>
        <w:rFonts w:cs="Times New Roman" w:hint="default"/>
      </w:rPr>
    </w:lvl>
    <w:lvl w:ilvl="1">
      <w:start w:val="1"/>
      <w:numFmt w:val="decimal"/>
      <w:lvlText w:val="%1.%2."/>
      <w:lvlJc w:val="left"/>
      <w:pPr>
        <w:ind w:left="1662" w:hanging="1095"/>
      </w:pPr>
      <w:rPr>
        <w:rFonts w:cs="Times New Roman" w:hint="default"/>
      </w:rPr>
    </w:lvl>
    <w:lvl w:ilvl="2">
      <w:start w:val="1"/>
      <w:numFmt w:val="decimal"/>
      <w:lvlText w:val="%1.%2.%3."/>
      <w:lvlJc w:val="left"/>
      <w:pPr>
        <w:ind w:left="2229" w:hanging="1095"/>
      </w:pPr>
      <w:rPr>
        <w:rFonts w:cs="Times New Roman" w:hint="default"/>
      </w:rPr>
    </w:lvl>
    <w:lvl w:ilvl="3">
      <w:start w:val="1"/>
      <w:numFmt w:val="decimal"/>
      <w:lvlText w:val="%1.%2.%3.%4."/>
      <w:lvlJc w:val="left"/>
      <w:pPr>
        <w:ind w:left="2796" w:hanging="1095"/>
      </w:pPr>
      <w:rPr>
        <w:rFonts w:cs="Times New Roman" w:hint="default"/>
      </w:rPr>
    </w:lvl>
    <w:lvl w:ilvl="4">
      <w:start w:val="1"/>
      <w:numFmt w:val="decimal"/>
      <w:lvlText w:val="%1.%2.%3.%4.%5."/>
      <w:lvlJc w:val="left"/>
      <w:pPr>
        <w:ind w:left="3363" w:hanging="1095"/>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40">
    <w:nsid w:val="74930EB5"/>
    <w:multiLevelType w:val="hybridMultilevel"/>
    <w:tmpl w:val="D946DF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6FB4714"/>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86E66E2"/>
    <w:multiLevelType w:val="hybridMultilevel"/>
    <w:tmpl w:val="BC5ED3B4"/>
    <w:lvl w:ilvl="0" w:tplc="FDBCA750">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9A513E8"/>
    <w:multiLevelType w:val="hybridMultilevel"/>
    <w:tmpl w:val="83C49602"/>
    <w:lvl w:ilvl="0" w:tplc="3C40D53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4">
    <w:nsid w:val="7A5E45BF"/>
    <w:multiLevelType w:val="hybridMultilevel"/>
    <w:tmpl w:val="B39AB22C"/>
    <w:lvl w:ilvl="0" w:tplc="B1720E6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7FFC360F"/>
    <w:multiLevelType w:val="hybridMultilevel"/>
    <w:tmpl w:val="B90239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9"/>
  </w:num>
  <w:num w:numId="3">
    <w:abstractNumId w:val="43"/>
  </w:num>
  <w:num w:numId="4">
    <w:abstractNumId w:val="36"/>
  </w:num>
  <w:num w:numId="5">
    <w:abstractNumId w:val="25"/>
  </w:num>
  <w:num w:numId="6">
    <w:abstractNumId w:val="10"/>
  </w:num>
  <w:num w:numId="7">
    <w:abstractNumId w:val="27"/>
  </w:num>
  <w:num w:numId="8">
    <w:abstractNumId w:val="38"/>
  </w:num>
  <w:num w:numId="9">
    <w:abstractNumId w:val="5"/>
  </w:num>
  <w:num w:numId="10">
    <w:abstractNumId w:val="42"/>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41"/>
  </w:num>
  <w:num w:numId="14">
    <w:abstractNumId w:val="2"/>
  </w:num>
  <w:num w:numId="15">
    <w:abstractNumId w:val="15"/>
  </w:num>
  <w:num w:numId="16">
    <w:abstractNumId w:val="33"/>
  </w:num>
  <w:num w:numId="17">
    <w:abstractNumId w:val="31"/>
  </w:num>
  <w:num w:numId="18">
    <w:abstractNumId w:val="12"/>
  </w:num>
  <w:num w:numId="19">
    <w:abstractNumId w:val="11"/>
  </w:num>
  <w:num w:numId="20">
    <w:abstractNumId w:val="34"/>
  </w:num>
  <w:num w:numId="21">
    <w:abstractNumId w:val="40"/>
  </w:num>
  <w:num w:numId="22">
    <w:abstractNumId w:val="16"/>
  </w:num>
  <w:num w:numId="23">
    <w:abstractNumId w:val="45"/>
  </w:num>
  <w:num w:numId="24">
    <w:abstractNumId w:val="44"/>
  </w:num>
  <w:num w:numId="25">
    <w:abstractNumId w:val="24"/>
  </w:num>
  <w:num w:numId="26">
    <w:abstractNumId w:val="19"/>
  </w:num>
  <w:num w:numId="27">
    <w:abstractNumId w:val="30"/>
  </w:num>
  <w:num w:numId="28">
    <w:abstractNumId w:val="9"/>
  </w:num>
  <w:num w:numId="29">
    <w:abstractNumId w:val="35"/>
  </w:num>
  <w:num w:numId="30">
    <w:abstractNumId w:val="13"/>
  </w:num>
  <w:num w:numId="31">
    <w:abstractNumId w:val="21"/>
  </w:num>
  <w:num w:numId="32">
    <w:abstractNumId w:val="26"/>
  </w:num>
  <w:num w:numId="33">
    <w:abstractNumId w:val="29"/>
  </w:num>
  <w:num w:numId="34">
    <w:abstractNumId w:val="23"/>
  </w:num>
  <w:num w:numId="35">
    <w:abstractNumId w:val="32"/>
  </w:num>
  <w:num w:numId="36">
    <w:abstractNumId w:val="28"/>
  </w:num>
  <w:num w:numId="37">
    <w:abstractNumId w:val="22"/>
  </w:num>
  <w:num w:numId="38">
    <w:abstractNumId w:val="4"/>
  </w:num>
  <w:num w:numId="39">
    <w:abstractNumId w:val="14"/>
  </w:num>
  <w:num w:numId="40">
    <w:abstractNumId w:val="8"/>
  </w:num>
  <w:num w:numId="41">
    <w:abstractNumId w:val="18"/>
  </w:num>
  <w:num w:numId="42">
    <w:abstractNumId w:val="3"/>
  </w:num>
  <w:num w:numId="43">
    <w:abstractNumId w:val="7"/>
  </w:num>
  <w:num w:numId="44">
    <w:abstractNumId w:val="37"/>
  </w:num>
  <w:num w:numId="45">
    <w:abstractNumId w:val="20"/>
  </w:num>
  <w:num w:numId="46">
    <w:abstractNumId w:val="17"/>
  </w:num>
  <w:num w:numId="4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hideGrammaticalErrors/>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604756"/>
    <w:rsid w:val="0001420E"/>
    <w:rsid w:val="00036E27"/>
    <w:rsid w:val="00055174"/>
    <w:rsid w:val="00057DA5"/>
    <w:rsid w:val="00064714"/>
    <w:rsid w:val="000926C9"/>
    <w:rsid w:val="000B73DD"/>
    <w:rsid w:val="000D0EB4"/>
    <w:rsid w:val="000D19E1"/>
    <w:rsid w:val="000E2A77"/>
    <w:rsid w:val="000E358F"/>
    <w:rsid w:val="000E77EB"/>
    <w:rsid w:val="000F78D0"/>
    <w:rsid w:val="00101E0A"/>
    <w:rsid w:val="00123651"/>
    <w:rsid w:val="001260F0"/>
    <w:rsid w:val="001336DC"/>
    <w:rsid w:val="0017501B"/>
    <w:rsid w:val="001A6314"/>
    <w:rsid w:val="001B0738"/>
    <w:rsid w:val="001C02B6"/>
    <w:rsid w:val="001F5F47"/>
    <w:rsid w:val="001F6A04"/>
    <w:rsid w:val="00211C4A"/>
    <w:rsid w:val="002216D7"/>
    <w:rsid w:val="00231169"/>
    <w:rsid w:val="00235DA2"/>
    <w:rsid w:val="00237240"/>
    <w:rsid w:val="002416FA"/>
    <w:rsid w:val="00246013"/>
    <w:rsid w:val="00247ACA"/>
    <w:rsid w:val="0025098C"/>
    <w:rsid w:val="002518E6"/>
    <w:rsid w:val="00251EA6"/>
    <w:rsid w:val="00263E46"/>
    <w:rsid w:val="002653A6"/>
    <w:rsid w:val="00276480"/>
    <w:rsid w:val="00282D41"/>
    <w:rsid w:val="002C276E"/>
    <w:rsid w:val="002D65D8"/>
    <w:rsid w:val="002E13BD"/>
    <w:rsid w:val="002E2C80"/>
    <w:rsid w:val="002E2D83"/>
    <w:rsid w:val="0030187A"/>
    <w:rsid w:val="00317C27"/>
    <w:rsid w:val="00322B9A"/>
    <w:rsid w:val="003428CE"/>
    <w:rsid w:val="00355E22"/>
    <w:rsid w:val="00364F47"/>
    <w:rsid w:val="00374439"/>
    <w:rsid w:val="00380E48"/>
    <w:rsid w:val="00385228"/>
    <w:rsid w:val="003967FD"/>
    <w:rsid w:val="003D0EAE"/>
    <w:rsid w:val="003D4E59"/>
    <w:rsid w:val="003F5232"/>
    <w:rsid w:val="00413490"/>
    <w:rsid w:val="004151AC"/>
    <w:rsid w:val="00437DF3"/>
    <w:rsid w:val="004604CA"/>
    <w:rsid w:val="004651D9"/>
    <w:rsid w:val="00472525"/>
    <w:rsid w:val="00490B82"/>
    <w:rsid w:val="00494ABD"/>
    <w:rsid w:val="00496044"/>
    <w:rsid w:val="004E4A7E"/>
    <w:rsid w:val="005039CA"/>
    <w:rsid w:val="005171E5"/>
    <w:rsid w:val="00556A5D"/>
    <w:rsid w:val="00584EDC"/>
    <w:rsid w:val="00597104"/>
    <w:rsid w:val="005B3835"/>
    <w:rsid w:val="005B735F"/>
    <w:rsid w:val="005C1983"/>
    <w:rsid w:val="005C1EA2"/>
    <w:rsid w:val="005D3D5E"/>
    <w:rsid w:val="005E0B6F"/>
    <w:rsid w:val="00600841"/>
    <w:rsid w:val="00604756"/>
    <w:rsid w:val="00630722"/>
    <w:rsid w:val="00633A7E"/>
    <w:rsid w:val="00641309"/>
    <w:rsid w:val="00656127"/>
    <w:rsid w:val="006573F1"/>
    <w:rsid w:val="0066279E"/>
    <w:rsid w:val="00672983"/>
    <w:rsid w:val="00691869"/>
    <w:rsid w:val="00695BAB"/>
    <w:rsid w:val="006A163F"/>
    <w:rsid w:val="006A42D4"/>
    <w:rsid w:val="006C7FCC"/>
    <w:rsid w:val="00713761"/>
    <w:rsid w:val="00785B37"/>
    <w:rsid w:val="00791E77"/>
    <w:rsid w:val="00792FD5"/>
    <w:rsid w:val="007D01D7"/>
    <w:rsid w:val="0080493C"/>
    <w:rsid w:val="00806D4A"/>
    <w:rsid w:val="00815982"/>
    <w:rsid w:val="00824658"/>
    <w:rsid w:val="00836B09"/>
    <w:rsid w:val="00836C93"/>
    <w:rsid w:val="00860B3F"/>
    <w:rsid w:val="0086518B"/>
    <w:rsid w:val="008915BE"/>
    <w:rsid w:val="008927E4"/>
    <w:rsid w:val="008A3541"/>
    <w:rsid w:val="008A53BE"/>
    <w:rsid w:val="008B0F8B"/>
    <w:rsid w:val="008B4203"/>
    <w:rsid w:val="008B51D1"/>
    <w:rsid w:val="008C6C87"/>
    <w:rsid w:val="008D512C"/>
    <w:rsid w:val="008E076D"/>
    <w:rsid w:val="008E6787"/>
    <w:rsid w:val="008E691A"/>
    <w:rsid w:val="008F3626"/>
    <w:rsid w:val="009019E5"/>
    <w:rsid w:val="0090526F"/>
    <w:rsid w:val="009252D8"/>
    <w:rsid w:val="0092646A"/>
    <w:rsid w:val="00927783"/>
    <w:rsid w:val="0094636C"/>
    <w:rsid w:val="00985167"/>
    <w:rsid w:val="00987B12"/>
    <w:rsid w:val="009A5EDB"/>
    <w:rsid w:val="009B521D"/>
    <w:rsid w:val="00A06011"/>
    <w:rsid w:val="00A13826"/>
    <w:rsid w:val="00A13E63"/>
    <w:rsid w:val="00A36BE6"/>
    <w:rsid w:val="00A52CA2"/>
    <w:rsid w:val="00A56120"/>
    <w:rsid w:val="00A94F4E"/>
    <w:rsid w:val="00A96B8A"/>
    <w:rsid w:val="00AA703B"/>
    <w:rsid w:val="00AB5C7D"/>
    <w:rsid w:val="00AC1AF0"/>
    <w:rsid w:val="00AC605C"/>
    <w:rsid w:val="00AE1C16"/>
    <w:rsid w:val="00AE69AA"/>
    <w:rsid w:val="00B066D9"/>
    <w:rsid w:val="00B12CAB"/>
    <w:rsid w:val="00B154E5"/>
    <w:rsid w:val="00B21E5B"/>
    <w:rsid w:val="00B25BC2"/>
    <w:rsid w:val="00B25C78"/>
    <w:rsid w:val="00B31BF3"/>
    <w:rsid w:val="00B3745C"/>
    <w:rsid w:val="00B40680"/>
    <w:rsid w:val="00B43DC8"/>
    <w:rsid w:val="00B452CB"/>
    <w:rsid w:val="00B52653"/>
    <w:rsid w:val="00B52E0B"/>
    <w:rsid w:val="00B658ED"/>
    <w:rsid w:val="00B7722B"/>
    <w:rsid w:val="00B8085A"/>
    <w:rsid w:val="00B85E34"/>
    <w:rsid w:val="00B96077"/>
    <w:rsid w:val="00BA30F5"/>
    <w:rsid w:val="00BA38E8"/>
    <w:rsid w:val="00BB171C"/>
    <w:rsid w:val="00BC1A0E"/>
    <w:rsid w:val="00BD4604"/>
    <w:rsid w:val="00BD4FE3"/>
    <w:rsid w:val="00BE7C02"/>
    <w:rsid w:val="00C02769"/>
    <w:rsid w:val="00C151C8"/>
    <w:rsid w:val="00C21F54"/>
    <w:rsid w:val="00C3280F"/>
    <w:rsid w:val="00C530B3"/>
    <w:rsid w:val="00C8276F"/>
    <w:rsid w:val="00C91D95"/>
    <w:rsid w:val="00C93073"/>
    <w:rsid w:val="00CD0628"/>
    <w:rsid w:val="00CD086E"/>
    <w:rsid w:val="00CD18DE"/>
    <w:rsid w:val="00CD3E59"/>
    <w:rsid w:val="00CF4BE2"/>
    <w:rsid w:val="00CF588A"/>
    <w:rsid w:val="00D03DEA"/>
    <w:rsid w:val="00D17744"/>
    <w:rsid w:val="00D37183"/>
    <w:rsid w:val="00D423B8"/>
    <w:rsid w:val="00D66CE7"/>
    <w:rsid w:val="00D84EA8"/>
    <w:rsid w:val="00DE1E68"/>
    <w:rsid w:val="00DE610E"/>
    <w:rsid w:val="00DF225F"/>
    <w:rsid w:val="00DF674F"/>
    <w:rsid w:val="00E03819"/>
    <w:rsid w:val="00E03ED7"/>
    <w:rsid w:val="00E21DE2"/>
    <w:rsid w:val="00E2769D"/>
    <w:rsid w:val="00E3471D"/>
    <w:rsid w:val="00E37BDE"/>
    <w:rsid w:val="00E6561F"/>
    <w:rsid w:val="00E66D22"/>
    <w:rsid w:val="00E71220"/>
    <w:rsid w:val="00E746FA"/>
    <w:rsid w:val="00E9040D"/>
    <w:rsid w:val="00E91429"/>
    <w:rsid w:val="00E92164"/>
    <w:rsid w:val="00E942E0"/>
    <w:rsid w:val="00E9580E"/>
    <w:rsid w:val="00EE3129"/>
    <w:rsid w:val="00EF6FB4"/>
    <w:rsid w:val="00F010D0"/>
    <w:rsid w:val="00F452D3"/>
    <w:rsid w:val="00F70529"/>
    <w:rsid w:val="00FA42C9"/>
    <w:rsid w:val="00FC7F67"/>
    <w:rsid w:val="00FE315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7170"/>
    <o:shapelayout v:ext="edit">
      <o:idmap v:ext="edit" data="1"/>
      <o:rules v:ext="edit">
        <o:r id="V:Rule21" type="connector" idref="#_x0000_s1039"/>
        <o:r id="V:Rule22" type="connector" idref="#_x0000_s1035"/>
        <o:r id="V:Rule23" type="connector" idref="#_x0000_s1057"/>
        <o:r id="V:Rule24" type="connector" idref="#_x0000_s1053"/>
        <o:r id="V:Rule25" type="connector" idref="#_x0000_s1059"/>
        <o:r id="V:Rule26" type="connector" idref="#_x0000_s1040"/>
        <o:r id="V:Rule27" type="connector" idref="#_x0000_s1031"/>
        <o:r id="V:Rule28" type="connector" idref="#_x0000_s1036"/>
        <o:r id="V:Rule29" type="connector" idref="#_x0000_s1037"/>
        <o:r id="V:Rule30" type="connector" idref="#_x0000_s1038"/>
        <o:r id="V:Rule31" type="connector" idref="#_x0000_s1051"/>
        <o:r id="V:Rule32" type="connector" idref="#_x0000_s1046"/>
        <o:r id="V:Rule33" type="connector" idref="#_x0000_s1063"/>
        <o:r id="V:Rule34" type="connector" idref="#_x0000_s1061"/>
        <o:r id="V:Rule35" type="connector" idref="#_x0000_s1045"/>
        <o:r id="V:Rule36" type="connector" idref="#_x0000_s1047"/>
        <o:r id="V:Rule37" type="connector" idref="#_x0000_s1056"/>
        <o:r id="V:Rule38" type="connector" idref="#_x0000_s1044"/>
        <o:r id="V:Rule39" type="connector" idref="#_x0000_s1048"/>
        <o:r id="V:Rule40"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9" w:qFormat="1"/>
    <w:lsdException w:name="heading 2" w:locked="1" w:semiHidden="0" w:uiPriority="9" w:qFormat="1"/>
    <w:lsdException w:name="heading 3" w:locked="1" w:semiHidden="0" w:uiPriority="9" w:qFormat="1"/>
    <w:lsdException w:name="heading 4" w:locked="1" w:semiHidden="0" w:uiPriority="9" w:qFormat="1"/>
    <w:lsdException w:name="heading 5" w:locked="1" w:semiHidden="0" w:uiPriority="9" w:qFormat="1"/>
    <w:lsdException w:name="heading 6" w:locked="1" w:semiHidden="0" w:uiPriority="9" w:qFormat="1"/>
    <w:lsdException w:name="heading 7" w:locked="1" w:semiHidden="0" w:uiPriority="9" w:qFormat="1"/>
    <w:lsdException w:name="heading 8" w:locked="1" w:semiHidden="0" w:uiPriority="9" w:qFormat="1"/>
    <w:lsdException w:name="heading 9" w:locked="1" w:semiHidden="0" w:uiPriority="9"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35"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1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22" w:qFormat="1"/>
    <w:lsdException w:name="Emphasis" w:locked="1"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a">
    <w:name w:val="Normal"/>
    <w:qFormat/>
    <w:rsid w:val="004651D9"/>
    <w:rPr>
      <w:sz w:val="24"/>
      <w:szCs w:val="24"/>
      <w:lang w:val="en-US" w:eastAsia="en-US" w:bidi="en-US"/>
    </w:rPr>
  </w:style>
  <w:style w:type="paragraph" w:styleId="1">
    <w:name w:val="heading 1"/>
    <w:basedOn w:val="a"/>
    <w:next w:val="a"/>
    <w:link w:val="10"/>
    <w:uiPriority w:val="9"/>
    <w:qFormat/>
    <w:rsid w:val="004651D9"/>
    <w:pPr>
      <w:keepNext/>
      <w:spacing w:before="240" w:after="60"/>
      <w:outlineLvl w:val="0"/>
    </w:pPr>
    <w:rPr>
      <w:rFonts w:ascii="Cambria" w:hAnsi="Cambria"/>
      <w:b/>
      <w:bCs/>
      <w:kern w:val="32"/>
      <w:sz w:val="32"/>
      <w:szCs w:val="32"/>
    </w:rPr>
  </w:style>
  <w:style w:type="paragraph" w:styleId="2">
    <w:name w:val="heading 2"/>
    <w:basedOn w:val="a"/>
    <w:next w:val="a"/>
    <w:link w:val="20"/>
    <w:uiPriority w:val="9"/>
    <w:unhideWhenUsed/>
    <w:qFormat/>
    <w:rsid w:val="004651D9"/>
    <w:pPr>
      <w:keepNext/>
      <w:spacing w:before="240" w:after="60"/>
      <w:outlineLvl w:val="1"/>
    </w:pPr>
    <w:rPr>
      <w:rFonts w:ascii="Cambria" w:hAnsi="Cambria"/>
      <w:b/>
      <w:bCs/>
      <w:i/>
      <w:iCs/>
      <w:sz w:val="28"/>
      <w:szCs w:val="28"/>
    </w:rPr>
  </w:style>
  <w:style w:type="paragraph" w:styleId="3">
    <w:name w:val="heading 3"/>
    <w:basedOn w:val="a"/>
    <w:next w:val="a"/>
    <w:link w:val="30"/>
    <w:uiPriority w:val="9"/>
    <w:unhideWhenUsed/>
    <w:qFormat/>
    <w:rsid w:val="004651D9"/>
    <w:pPr>
      <w:keepNext/>
      <w:spacing w:before="240" w:after="60"/>
      <w:outlineLvl w:val="2"/>
    </w:pPr>
    <w:rPr>
      <w:rFonts w:ascii="Cambria" w:hAnsi="Cambria"/>
      <w:b/>
      <w:bCs/>
      <w:sz w:val="26"/>
      <w:szCs w:val="26"/>
    </w:rPr>
  </w:style>
  <w:style w:type="paragraph" w:styleId="4">
    <w:name w:val="heading 4"/>
    <w:basedOn w:val="a"/>
    <w:next w:val="a"/>
    <w:link w:val="40"/>
    <w:uiPriority w:val="9"/>
    <w:unhideWhenUsed/>
    <w:qFormat/>
    <w:rsid w:val="004651D9"/>
    <w:pPr>
      <w:keepNext/>
      <w:spacing w:before="240" w:after="60"/>
      <w:outlineLvl w:val="3"/>
    </w:pPr>
    <w:rPr>
      <w:b/>
      <w:bCs/>
      <w:sz w:val="28"/>
      <w:szCs w:val="28"/>
    </w:rPr>
  </w:style>
  <w:style w:type="paragraph" w:styleId="5">
    <w:name w:val="heading 5"/>
    <w:basedOn w:val="a"/>
    <w:next w:val="a"/>
    <w:link w:val="50"/>
    <w:uiPriority w:val="9"/>
    <w:unhideWhenUsed/>
    <w:qFormat/>
    <w:rsid w:val="004651D9"/>
    <w:pPr>
      <w:spacing w:before="240" w:after="60"/>
      <w:outlineLvl w:val="4"/>
    </w:pPr>
    <w:rPr>
      <w:b/>
      <w:bCs/>
      <w:i/>
      <w:iCs/>
      <w:sz w:val="26"/>
      <w:szCs w:val="26"/>
    </w:rPr>
  </w:style>
  <w:style w:type="paragraph" w:styleId="6">
    <w:name w:val="heading 6"/>
    <w:basedOn w:val="a"/>
    <w:next w:val="a"/>
    <w:link w:val="60"/>
    <w:uiPriority w:val="9"/>
    <w:unhideWhenUsed/>
    <w:qFormat/>
    <w:rsid w:val="004651D9"/>
    <w:pPr>
      <w:spacing w:before="240" w:after="60"/>
      <w:outlineLvl w:val="5"/>
    </w:pPr>
    <w:rPr>
      <w:b/>
      <w:bCs/>
      <w:sz w:val="22"/>
      <w:szCs w:val="22"/>
    </w:rPr>
  </w:style>
  <w:style w:type="paragraph" w:styleId="7">
    <w:name w:val="heading 7"/>
    <w:basedOn w:val="a"/>
    <w:next w:val="a"/>
    <w:link w:val="70"/>
    <w:uiPriority w:val="9"/>
    <w:unhideWhenUsed/>
    <w:qFormat/>
    <w:rsid w:val="004651D9"/>
    <w:pPr>
      <w:spacing w:before="240" w:after="60"/>
      <w:outlineLvl w:val="6"/>
    </w:pPr>
  </w:style>
  <w:style w:type="paragraph" w:styleId="8">
    <w:name w:val="heading 8"/>
    <w:basedOn w:val="a"/>
    <w:next w:val="a"/>
    <w:link w:val="80"/>
    <w:uiPriority w:val="9"/>
    <w:unhideWhenUsed/>
    <w:qFormat/>
    <w:rsid w:val="004651D9"/>
    <w:pPr>
      <w:spacing w:before="240" w:after="60"/>
      <w:outlineLvl w:val="7"/>
    </w:pPr>
    <w:rPr>
      <w:i/>
      <w:iCs/>
    </w:rPr>
  </w:style>
  <w:style w:type="paragraph" w:styleId="9">
    <w:name w:val="heading 9"/>
    <w:basedOn w:val="a"/>
    <w:next w:val="a"/>
    <w:link w:val="90"/>
    <w:uiPriority w:val="9"/>
    <w:unhideWhenUsed/>
    <w:qFormat/>
    <w:rsid w:val="004651D9"/>
    <w:pPr>
      <w:spacing w:before="240" w:after="60"/>
      <w:outlineLvl w:val="8"/>
    </w:pPr>
    <w:rPr>
      <w:rFonts w:ascii="Cambria"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4651D9"/>
    <w:rPr>
      <w:rFonts w:ascii="Cambria" w:eastAsia="Times New Roman" w:hAnsi="Cambria"/>
      <w:b/>
      <w:bCs/>
      <w:kern w:val="32"/>
      <w:sz w:val="32"/>
      <w:szCs w:val="32"/>
    </w:rPr>
  </w:style>
  <w:style w:type="character" w:customStyle="1" w:styleId="20">
    <w:name w:val="Заголовок 2 Знак"/>
    <w:basedOn w:val="a0"/>
    <w:link w:val="2"/>
    <w:uiPriority w:val="9"/>
    <w:locked/>
    <w:rsid w:val="004651D9"/>
    <w:rPr>
      <w:rFonts w:ascii="Cambria" w:eastAsia="Times New Roman" w:hAnsi="Cambria"/>
      <w:b/>
      <w:bCs/>
      <w:i/>
      <w:iCs/>
      <w:sz w:val="28"/>
      <w:szCs w:val="28"/>
    </w:rPr>
  </w:style>
  <w:style w:type="character" w:customStyle="1" w:styleId="30">
    <w:name w:val="Заголовок 3 Знак"/>
    <w:basedOn w:val="a0"/>
    <w:link w:val="3"/>
    <w:uiPriority w:val="9"/>
    <w:locked/>
    <w:rsid w:val="004651D9"/>
    <w:rPr>
      <w:rFonts w:ascii="Cambria" w:eastAsia="Times New Roman" w:hAnsi="Cambria"/>
      <w:b/>
      <w:bCs/>
      <w:sz w:val="26"/>
      <w:szCs w:val="26"/>
    </w:rPr>
  </w:style>
  <w:style w:type="character" w:customStyle="1" w:styleId="40">
    <w:name w:val="Заголовок 4 Знак"/>
    <w:basedOn w:val="a0"/>
    <w:link w:val="4"/>
    <w:uiPriority w:val="9"/>
    <w:locked/>
    <w:rsid w:val="004651D9"/>
    <w:rPr>
      <w:b/>
      <w:bCs/>
      <w:sz w:val="28"/>
      <w:szCs w:val="28"/>
    </w:rPr>
  </w:style>
  <w:style w:type="character" w:customStyle="1" w:styleId="50">
    <w:name w:val="Заголовок 5 Знак"/>
    <w:basedOn w:val="a0"/>
    <w:link w:val="5"/>
    <w:uiPriority w:val="9"/>
    <w:locked/>
    <w:rsid w:val="004651D9"/>
    <w:rPr>
      <w:b/>
      <w:bCs/>
      <w:i/>
      <w:iCs/>
      <w:sz w:val="26"/>
      <w:szCs w:val="26"/>
    </w:rPr>
  </w:style>
  <w:style w:type="character" w:customStyle="1" w:styleId="60">
    <w:name w:val="Заголовок 6 Знак"/>
    <w:basedOn w:val="a0"/>
    <w:link w:val="6"/>
    <w:uiPriority w:val="9"/>
    <w:locked/>
    <w:rsid w:val="004651D9"/>
    <w:rPr>
      <w:b/>
      <w:bCs/>
    </w:rPr>
  </w:style>
  <w:style w:type="character" w:customStyle="1" w:styleId="70">
    <w:name w:val="Заголовок 7 Знак"/>
    <w:basedOn w:val="a0"/>
    <w:link w:val="7"/>
    <w:uiPriority w:val="9"/>
    <w:locked/>
    <w:rsid w:val="004651D9"/>
    <w:rPr>
      <w:sz w:val="24"/>
      <w:szCs w:val="24"/>
    </w:rPr>
  </w:style>
  <w:style w:type="character" w:customStyle="1" w:styleId="80">
    <w:name w:val="Заголовок 8 Знак"/>
    <w:basedOn w:val="a0"/>
    <w:link w:val="8"/>
    <w:uiPriority w:val="9"/>
    <w:locked/>
    <w:rsid w:val="004651D9"/>
    <w:rPr>
      <w:i/>
      <w:iCs/>
      <w:sz w:val="24"/>
      <w:szCs w:val="24"/>
    </w:rPr>
  </w:style>
  <w:style w:type="character" w:customStyle="1" w:styleId="90">
    <w:name w:val="Заголовок 9 Знак"/>
    <w:basedOn w:val="a0"/>
    <w:link w:val="9"/>
    <w:uiPriority w:val="9"/>
    <w:locked/>
    <w:rsid w:val="004651D9"/>
    <w:rPr>
      <w:rFonts w:ascii="Cambria" w:eastAsia="Times New Roman" w:hAnsi="Cambria"/>
    </w:rPr>
  </w:style>
  <w:style w:type="paragraph" w:styleId="a3">
    <w:name w:val="Title"/>
    <w:basedOn w:val="a"/>
    <w:next w:val="a"/>
    <w:link w:val="a4"/>
    <w:uiPriority w:val="10"/>
    <w:qFormat/>
    <w:rsid w:val="004651D9"/>
    <w:pPr>
      <w:spacing w:before="240" w:after="60"/>
      <w:jc w:val="center"/>
      <w:outlineLvl w:val="0"/>
    </w:pPr>
    <w:rPr>
      <w:rFonts w:ascii="Cambria" w:hAnsi="Cambria"/>
      <w:b/>
      <w:bCs/>
      <w:kern w:val="28"/>
      <w:sz w:val="32"/>
      <w:szCs w:val="32"/>
    </w:rPr>
  </w:style>
  <w:style w:type="character" w:customStyle="1" w:styleId="a4">
    <w:name w:val="Название Знак"/>
    <w:basedOn w:val="a0"/>
    <w:link w:val="a3"/>
    <w:uiPriority w:val="10"/>
    <w:locked/>
    <w:rsid w:val="004651D9"/>
    <w:rPr>
      <w:rFonts w:ascii="Cambria" w:eastAsia="Times New Roman" w:hAnsi="Cambria"/>
      <w:b/>
      <w:bCs/>
      <w:kern w:val="28"/>
      <w:sz w:val="32"/>
      <w:szCs w:val="32"/>
    </w:rPr>
  </w:style>
  <w:style w:type="paragraph" w:styleId="a5">
    <w:name w:val="Subtitle"/>
    <w:basedOn w:val="a"/>
    <w:next w:val="a"/>
    <w:link w:val="a6"/>
    <w:uiPriority w:val="11"/>
    <w:qFormat/>
    <w:rsid w:val="004651D9"/>
    <w:pPr>
      <w:spacing w:after="60"/>
      <w:jc w:val="center"/>
      <w:outlineLvl w:val="1"/>
    </w:pPr>
    <w:rPr>
      <w:rFonts w:ascii="Cambria" w:hAnsi="Cambria"/>
    </w:rPr>
  </w:style>
  <w:style w:type="character" w:customStyle="1" w:styleId="a6">
    <w:name w:val="Подзаголовок Знак"/>
    <w:basedOn w:val="a0"/>
    <w:link w:val="a5"/>
    <w:uiPriority w:val="11"/>
    <w:locked/>
    <w:rsid w:val="004651D9"/>
    <w:rPr>
      <w:rFonts w:ascii="Cambria" w:eastAsia="Times New Roman" w:hAnsi="Cambria"/>
      <w:sz w:val="24"/>
      <w:szCs w:val="24"/>
    </w:rPr>
  </w:style>
  <w:style w:type="character" w:styleId="a7">
    <w:name w:val="Strong"/>
    <w:basedOn w:val="a0"/>
    <w:uiPriority w:val="22"/>
    <w:qFormat/>
    <w:rsid w:val="004651D9"/>
    <w:rPr>
      <w:b/>
      <w:bCs/>
    </w:rPr>
  </w:style>
  <w:style w:type="character" w:styleId="a8">
    <w:name w:val="Emphasis"/>
    <w:basedOn w:val="a0"/>
    <w:uiPriority w:val="20"/>
    <w:qFormat/>
    <w:rsid w:val="004651D9"/>
    <w:rPr>
      <w:rFonts w:ascii="Calibri" w:hAnsi="Calibri"/>
      <w:b/>
      <w:i/>
      <w:iCs/>
    </w:rPr>
  </w:style>
  <w:style w:type="paragraph" w:styleId="a9">
    <w:name w:val="No Spacing"/>
    <w:basedOn w:val="a"/>
    <w:uiPriority w:val="1"/>
    <w:qFormat/>
    <w:rsid w:val="004651D9"/>
    <w:rPr>
      <w:szCs w:val="32"/>
    </w:rPr>
  </w:style>
  <w:style w:type="paragraph" w:styleId="aa">
    <w:name w:val="List Paragraph"/>
    <w:basedOn w:val="a"/>
    <w:uiPriority w:val="34"/>
    <w:qFormat/>
    <w:rsid w:val="004651D9"/>
    <w:pPr>
      <w:ind w:left="720"/>
      <w:contextualSpacing/>
    </w:pPr>
  </w:style>
  <w:style w:type="paragraph" w:styleId="21">
    <w:name w:val="Quote"/>
    <w:basedOn w:val="a"/>
    <w:next w:val="a"/>
    <w:link w:val="22"/>
    <w:uiPriority w:val="29"/>
    <w:qFormat/>
    <w:rsid w:val="004651D9"/>
    <w:rPr>
      <w:i/>
    </w:rPr>
  </w:style>
  <w:style w:type="character" w:customStyle="1" w:styleId="22">
    <w:name w:val="Цитата 2 Знак"/>
    <w:basedOn w:val="a0"/>
    <w:link w:val="21"/>
    <w:uiPriority w:val="29"/>
    <w:locked/>
    <w:rsid w:val="004651D9"/>
    <w:rPr>
      <w:i/>
      <w:sz w:val="24"/>
      <w:szCs w:val="24"/>
    </w:rPr>
  </w:style>
  <w:style w:type="paragraph" w:styleId="ab">
    <w:name w:val="Intense Quote"/>
    <w:basedOn w:val="a"/>
    <w:next w:val="a"/>
    <w:link w:val="ac"/>
    <w:uiPriority w:val="30"/>
    <w:qFormat/>
    <w:rsid w:val="004651D9"/>
    <w:pPr>
      <w:ind w:left="720" w:right="720"/>
    </w:pPr>
    <w:rPr>
      <w:b/>
      <w:i/>
      <w:szCs w:val="22"/>
    </w:rPr>
  </w:style>
  <w:style w:type="character" w:customStyle="1" w:styleId="ac">
    <w:name w:val="Выделенная цитата Знак"/>
    <w:basedOn w:val="a0"/>
    <w:link w:val="ab"/>
    <w:uiPriority w:val="30"/>
    <w:locked/>
    <w:rsid w:val="004651D9"/>
    <w:rPr>
      <w:b/>
      <w:i/>
      <w:sz w:val="24"/>
    </w:rPr>
  </w:style>
  <w:style w:type="character" w:styleId="ad">
    <w:name w:val="Subtle Emphasis"/>
    <w:uiPriority w:val="19"/>
    <w:qFormat/>
    <w:rsid w:val="004651D9"/>
    <w:rPr>
      <w:i/>
      <w:color w:val="5A5A5A"/>
    </w:rPr>
  </w:style>
  <w:style w:type="character" w:styleId="ae">
    <w:name w:val="Intense Emphasis"/>
    <w:basedOn w:val="a0"/>
    <w:uiPriority w:val="21"/>
    <w:qFormat/>
    <w:rsid w:val="004651D9"/>
    <w:rPr>
      <w:b/>
      <w:i/>
      <w:sz w:val="24"/>
      <w:szCs w:val="24"/>
      <w:u w:val="single"/>
    </w:rPr>
  </w:style>
  <w:style w:type="character" w:styleId="af">
    <w:name w:val="Subtle Reference"/>
    <w:basedOn w:val="a0"/>
    <w:uiPriority w:val="31"/>
    <w:qFormat/>
    <w:rsid w:val="004651D9"/>
    <w:rPr>
      <w:sz w:val="24"/>
      <w:szCs w:val="24"/>
      <w:u w:val="single"/>
    </w:rPr>
  </w:style>
  <w:style w:type="character" w:styleId="af0">
    <w:name w:val="Intense Reference"/>
    <w:basedOn w:val="a0"/>
    <w:uiPriority w:val="32"/>
    <w:qFormat/>
    <w:rsid w:val="004651D9"/>
    <w:rPr>
      <w:b/>
      <w:sz w:val="24"/>
      <w:u w:val="single"/>
    </w:rPr>
  </w:style>
  <w:style w:type="character" w:styleId="af1">
    <w:name w:val="Book Title"/>
    <w:basedOn w:val="a0"/>
    <w:uiPriority w:val="33"/>
    <w:qFormat/>
    <w:rsid w:val="004651D9"/>
    <w:rPr>
      <w:rFonts w:ascii="Cambria" w:eastAsia="Times New Roman" w:hAnsi="Cambria"/>
      <w:b/>
      <w:i/>
      <w:sz w:val="24"/>
      <w:szCs w:val="24"/>
    </w:rPr>
  </w:style>
  <w:style w:type="paragraph" w:styleId="af2">
    <w:name w:val="TOC Heading"/>
    <w:basedOn w:val="1"/>
    <w:next w:val="a"/>
    <w:uiPriority w:val="39"/>
    <w:unhideWhenUsed/>
    <w:qFormat/>
    <w:rsid w:val="004651D9"/>
    <w:pPr>
      <w:outlineLvl w:val="9"/>
    </w:pPr>
  </w:style>
  <w:style w:type="table" w:styleId="af3">
    <w:name w:val="Table Grid"/>
    <w:basedOn w:val="a1"/>
    <w:uiPriority w:val="59"/>
    <w:locked/>
    <w:rsid w:val="000F78D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Balloon Text"/>
    <w:basedOn w:val="a"/>
    <w:link w:val="af5"/>
    <w:uiPriority w:val="99"/>
    <w:semiHidden/>
    <w:unhideWhenUsed/>
    <w:rsid w:val="000F78D0"/>
    <w:rPr>
      <w:rFonts w:ascii="Tahoma" w:hAnsi="Tahoma" w:cs="Tahoma"/>
      <w:sz w:val="16"/>
      <w:szCs w:val="16"/>
    </w:rPr>
  </w:style>
  <w:style w:type="character" w:customStyle="1" w:styleId="af5">
    <w:name w:val="Текст выноски Знак"/>
    <w:basedOn w:val="a0"/>
    <w:link w:val="af4"/>
    <w:uiPriority w:val="99"/>
    <w:semiHidden/>
    <w:rsid w:val="000F78D0"/>
    <w:rPr>
      <w:rFonts w:ascii="Tahoma" w:hAnsi="Tahoma" w:cs="Tahoma"/>
      <w:sz w:val="16"/>
      <w:szCs w:val="16"/>
      <w:lang w:val="en-US" w:eastAsia="en-US" w:bidi="en-US"/>
    </w:rPr>
  </w:style>
  <w:style w:type="paragraph" w:styleId="af6">
    <w:name w:val="caption"/>
    <w:basedOn w:val="a"/>
    <w:next w:val="a"/>
    <w:uiPriority w:val="35"/>
    <w:unhideWhenUsed/>
    <w:locked/>
    <w:rsid w:val="000F78D0"/>
    <w:pPr>
      <w:spacing w:after="200"/>
    </w:pPr>
    <w:rPr>
      <w:b/>
      <w:bCs/>
      <w:color w:val="4F81BD"/>
      <w:sz w:val="18"/>
      <w:szCs w:val="18"/>
    </w:rPr>
  </w:style>
  <w:style w:type="paragraph" w:styleId="af7">
    <w:name w:val="header"/>
    <w:basedOn w:val="a"/>
    <w:link w:val="af8"/>
    <w:uiPriority w:val="99"/>
    <w:unhideWhenUsed/>
    <w:rsid w:val="000F78D0"/>
    <w:pPr>
      <w:tabs>
        <w:tab w:val="center" w:pos="4677"/>
        <w:tab w:val="right" w:pos="9355"/>
      </w:tabs>
    </w:pPr>
  </w:style>
  <w:style w:type="character" w:customStyle="1" w:styleId="af8">
    <w:name w:val="Верхний колонтитул Знак"/>
    <w:basedOn w:val="a0"/>
    <w:link w:val="af7"/>
    <w:uiPriority w:val="99"/>
    <w:rsid w:val="000F78D0"/>
    <w:rPr>
      <w:sz w:val="24"/>
      <w:szCs w:val="24"/>
      <w:lang w:val="en-US" w:eastAsia="en-US" w:bidi="en-US"/>
    </w:rPr>
  </w:style>
  <w:style w:type="paragraph" w:styleId="af9">
    <w:name w:val="footer"/>
    <w:basedOn w:val="a"/>
    <w:link w:val="afa"/>
    <w:uiPriority w:val="99"/>
    <w:semiHidden/>
    <w:unhideWhenUsed/>
    <w:rsid w:val="000F78D0"/>
    <w:pPr>
      <w:tabs>
        <w:tab w:val="center" w:pos="4677"/>
        <w:tab w:val="right" w:pos="9355"/>
      </w:tabs>
    </w:pPr>
  </w:style>
  <w:style w:type="character" w:customStyle="1" w:styleId="afa">
    <w:name w:val="Нижний колонтитул Знак"/>
    <w:basedOn w:val="a0"/>
    <w:link w:val="af9"/>
    <w:uiPriority w:val="99"/>
    <w:semiHidden/>
    <w:rsid w:val="000F78D0"/>
    <w:rPr>
      <w:sz w:val="24"/>
      <w:szCs w:val="24"/>
      <w:lang w:val="en-US" w:eastAsia="en-US" w:bidi="en-US"/>
    </w:rPr>
  </w:style>
  <w:style w:type="paragraph" w:styleId="HTML">
    <w:name w:val="HTML Preformatted"/>
    <w:basedOn w:val="a"/>
    <w:link w:val="HTML0"/>
    <w:uiPriority w:val="99"/>
    <w:semiHidden/>
    <w:unhideWhenUsed/>
    <w:rsid w:val="008B42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bidi="ar-SA"/>
    </w:rPr>
  </w:style>
  <w:style w:type="character" w:customStyle="1" w:styleId="HTML0">
    <w:name w:val="Стандартный HTML Знак"/>
    <w:basedOn w:val="a0"/>
    <w:link w:val="HTML"/>
    <w:uiPriority w:val="99"/>
    <w:semiHidden/>
    <w:rsid w:val="008B4203"/>
    <w:rPr>
      <w:rFonts w:ascii="Courier New" w:eastAsia="Times New Roman" w:hAnsi="Courier New" w:cs="Courier New"/>
    </w:rPr>
  </w:style>
  <w:style w:type="character" w:customStyle="1" w:styleId="FontStyle15">
    <w:name w:val="Font Style15"/>
    <w:uiPriority w:val="99"/>
    <w:rsid w:val="00C8276F"/>
    <w:rPr>
      <w:rFonts w:ascii="Times New Roman" w:hAnsi="Times New Roman"/>
      <w:b/>
      <w:sz w:val="24"/>
    </w:rPr>
  </w:style>
</w:styles>
</file>

<file path=word/webSettings.xml><?xml version="1.0" encoding="utf-8"?>
<w:webSettings xmlns:r="http://schemas.openxmlformats.org/officeDocument/2006/relationships" xmlns:w="http://schemas.openxmlformats.org/wordprocessingml/2006/main">
  <w:divs>
    <w:div w:id="193275448">
      <w:bodyDiv w:val="1"/>
      <w:marLeft w:val="0"/>
      <w:marRight w:val="0"/>
      <w:marTop w:val="0"/>
      <w:marBottom w:val="0"/>
      <w:divBdr>
        <w:top w:val="none" w:sz="0" w:space="0" w:color="auto"/>
        <w:left w:val="none" w:sz="0" w:space="0" w:color="auto"/>
        <w:bottom w:val="none" w:sz="0" w:space="0" w:color="auto"/>
        <w:right w:val="none" w:sz="0" w:space="0" w:color="auto"/>
      </w:divBdr>
      <w:divsChild>
        <w:div w:id="11670962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1257766">
              <w:marLeft w:val="0"/>
              <w:marRight w:val="0"/>
              <w:marTop w:val="0"/>
              <w:marBottom w:val="0"/>
              <w:divBdr>
                <w:top w:val="none" w:sz="0" w:space="0" w:color="auto"/>
                <w:left w:val="none" w:sz="0" w:space="0" w:color="auto"/>
                <w:bottom w:val="none" w:sz="0" w:space="0" w:color="auto"/>
                <w:right w:val="none" w:sz="0" w:space="0" w:color="auto"/>
              </w:divBdr>
              <w:divsChild>
                <w:div w:id="79213983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7636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5476068">
      <w:bodyDiv w:val="1"/>
      <w:marLeft w:val="0"/>
      <w:marRight w:val="0"/>
      <w:marTop w:val="0"/>
      <w:marBottom w:val="0"/>
      <w:divBdr>
        <w:top w:val="none" w:sz="0" w:space="0" w:color="auto"/>
        <w:left w:val="none" w:sz="0" w:space="0" w:color="auto"/>
        <w:bottom w:val="none" w:sz="0" w:space="0" w:color="auto"/>
        <w:right w:val="none" w:sz="0" w:space="0" w:color="auto"/>
      </w:divBdr>
      <w:divsChild>
        <w:div w:id="54992586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80412567">
              <w:marLeft w:val="0"/>
              <w:marRight w:val="0"/>
              <w:marTop w:val="0"/>
              <w:marBottom w:val="0"/>
              <w:divBdr>
                <w:top w:val="none" w:sz="0" w:space="0" w:color="auto"/>
                <w:left w:val="none" w:sz="0" w:space="0" w:color="auto"/>
                <w:bottom w:val="none" w:sz="0" w:space="0" w:color="auto"/>
                <w:right w:val="none" w:sz="0" w:space="0" w:color="auto"/>
              </w:divBdr>
              <w:divsChild>
                <w:div w:id="180565699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0862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9061315">
      <w:bodyDiv w:val="1"/>
      <w:marLeft w:val="0"/>
      <w:marRight w:val="0"/>
      <w:marTop w:val="0"/>
      <w:marBottom w:val="0"/>
      <w:divBdr>
        <w:top w:val="none" w:sz="0" w:space="0" w:color="auto"/>
        <w:left w:val="none" w:sz="0" w:space="0" w:color="auto"/>
        <w:bottom w:val="none" w:sz="0" w:space="0" w:color="auto"/>
        <w:right w:val="none" w:sz="0" w:space="0" w:color="auto"/>
      </w:divBdr>
      <w:divsChild>
        <w:div w:id="1307508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90202704">
              <w:marLeft w:val="0"/>
              <w:marRight w:val="0"/>
              <w:marTop w:val="0"/>
              <w:marBottom w:val="0"/>
              <w:divBdr>
                <w:top w:val="none" w:sz="0" w:space="0" w:color="auto"/>
                <w:left w:val="none" w:sz="0" w:space="0" w:color="auto"/>
                <w:bottom w:val="none" w:sz="0" w:space="0" w:color="auto"/>
                <w:right w:val="none" w:sz="0" w:space="0" w:color="auto"/>
              </w:divBdr>
              <w:divsChild>
                <w:div w:id="116910374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8400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385805">
      <w:bodyDiv w:val="1"/>
      <w:marLeft w:val="0"/>
      <w:marRight w:val="0"/>
      <w:marTop w:val="0"/>
      <w:marBottom w:val="0"/>
      <w:divBdr>
        <w:top w:val="none" w:sz="0" w:space="0" w:color="auto"/>
        <w:left w:val="none" w:sz="0" w:space="0" w:color="auto"/>
        <w:bottom w:val="none" w:sz="0" w:space="0" w:color="auto"/>
        <w:right w:val="none" w:sz="0" w:space="0" w:color="auto"/>
      </w:divBdr>
      <w:divsChild>
        <w:div w:id="11240396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12114691">
              <w:marLeft w:val="0"/>
              <w:marRight w:val="0"/>
              <w:marTop w:val="0"/>
              <w:marBottom w:val="0"/>
              <w:divBdr>
                <w:top w:val="none" w:sz="0" w:space="0" w:color="auto"/>
                <w:left w:val="none" w:sz="0" w:space="0" w:color="auto"/>
                <w:bottom w:val="none" w:sz="0" w:space="0" w:color="auto"/>
                <w:right w:val="none" w:sz="0" w:space="0" w:color="auto"/>
              </w:divBdr>
              <w:divsChild>
                <w:div w:id="30994386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4311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image" Target="media/image1.emf"/><Relationship Id="rId18" Type="http://schemas.openxmlformats.org/officeDocument/2006/relationships/chart" Target="charts/chart9.xml"/><Relationship Id="rId26" Type="http://schemas.openxmlformats.org/officeDocument/2006/relationships/chart" Target="charts/chart15.xm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chart" Target="charts/chart12.xml"/><Relationship Id="rId34" Type="http://schemas.openxmlformats.org/officeDocument/2006/relationships/image" Target="media/image7.png"/><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8.xml"/><Relationship Id="rId25" Type="http://schemas.openxmlformats.org/officeDocument/2006/relationships/image" Target="media/image5.png"/><Relationship Id="rId33" Type="http://schemas.openxmlformats.org/officeDocument/2006/relationships/image" Target="media/image6.png"/><Relationship Id="rId38" Type="http://schemas.openxmlformats.org/officeDocument/2006/relationships/chart" Target="charts/chart25.xm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chart" Target="charts/chart11.xml"/><Relationship Id="rId29" Type="http://schemas.openxmlformats.org/officeDocument/2006/relationships/chart" Target="charts/chart18.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image" Target="media/image4.png"/><Relationship Id="rId32" Type="http://schemas.openxmlformats.org/officeDocument/2006/relationships/chart" Target="charts/chart21.xml"/><Relationship Id="rId37" Type="http://schemas.openxmlformats.org/officeDocument/2006/relationships/chart" Target="charts/chart24.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chart" Target="charts/chart14.xml"/><Relationship Id="rId28" Type="http://schemas.openxmlformats.org/officeDocument/2006/relationships/chart" Target="charts/chart17.xml"/><Relationship Id="rId36" Type="http://schemas.openxmlformats.org/officeDocument/2006/relationships/chart" Target="charts/chart23.xml"/><Relationship Id="rId10" Type="http://schemas.openxmlformats.org/officeDocument/2006/relationships/chart" Target="charts/chart4.xml"/><Relationship Id="rId19" Type="http://schemas.openxmlformats.org/officeDocument/2006/relationships/chart" Target="charts/chart10.xml"/><Relationship Id="rId31" Type="http://schemas.openxmlformats.org/officeDocument/2006/relationships/chart" Target="charts/chart20.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7.xml"/><Relationship Id="rId22" Type="http://schemas.openxmlformats.org/officeDocument/2006/relationships/chart" Target="charts/chart13.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chart" Target="charts/chart22.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Office_Excel16.xlsx"/><Relationship Id="rId1" Type="http://schemas.openxmlformats.org/officeDocument/2006/relationships/themeOverride" Target="../theme/themeOverride15.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Office_Excel17.xlsx"/><Relationship Id="rId1" Type="http://schemas.openxmlformats.org/officeDocument/2006/relationships/themeOverride" Target="../theme/themeOverride16.xml"/></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Office_Excel19.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_____Microsoft_Office_Excel20.xlsx"/><Relationship Id="rId1" Type="http://schemas.openxmlformats.org/officeDocument/2006/relationships/themeOverride" Target="../theme/themeOverride17.xml"/></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Office_Excel21.xlsx"/><Relationship Id="rId1" Type="http://schemas.openxmlformats.org/officeDocument/2006/relationships/themeOverride" Target="../theme/themeOverride18.xml"/></Relationships>
</file>

<file path=word/charts/_rels/chart22.xml.rels><?xml version="1.0" encoding="UTF-8" standalone="yes"?>
<Relationships xmlns="http://schemas.openxmlformats.org/package/2006/relationships"><Relationship Id="rId2" Type="http://schemas.openxmlformats.org/officeDocument/2006/relationships/package" Target="../embeddings/_____Microsoft_Office_Excel22.xlsx"/><Relationship Id="rId1" Type="http://schemas.openxmlformats.org/officeDocument/2006/relationships/themeOverride" Target="../theme/themeOverride19.xml"/></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Office_Excel23.xlsx"/><Relationship Id="rId1" Type="http://schemas.openxmlformats.org/officeDocument/2006/relationships/themeOverride" Target="../theme/themeOverride20.xml"/></Relationships>
</file>

<file path=word/charts/_rels/chart24.xml.rels><?xml version="1.0" encoding="UTF-8" standalone="yes"?>
<Relationships xmlns="http://schemas.openxmlformats.org/package/2006/relationships"><Relationship Id="rId2" Type="http://schemas.openxmlformats.org/officeDocument/2006/relationships/package" Target="../embeddings/_____Microsoft_Office_Excel24.xlsx"/><Relationship Id="rId1" Type="http://schemas.openxmlformats.org/officeDocument/2006/relationships/themeOverride" Target="../theme/themeOverride21.xml"/></Relationships>
</file>

<file path=word/charts/_rels/chart25.xml.rels><?xml version="1.0" encoding="UTF-8" standalone="yes"?>
<Relationships xmlns="http://schemas.openxmlformats.org/package/2006/relationships"><Relationship Id="rId2" Type="http://schemas.openxmlformats.org/officeDocument/2006/relationships/package" Target="../embeddings/_____Microsoft_Office_Excel25.xlsx"/><Relationship Id="rId1" Type="http://schemas.openxmlformats.org/officeDocument/2006/relationships/themeOverride" Target="../theme/themeOverride2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контрольна група</c:v>
                </c:pt>
              </c:strCache>
            </c:strRef>
          </c:tx>
          <c:dLbls>
            <c:dLbl>
              <c:idx val="0"/>
              <c:layout>
                <c:manualLayout>
                  <c:x val="4.7852093529092143E-2"/>
                  <c:y val="0"/>
                </c:manualLayout>
              </c:layout>
              <c:tx>
                <c:rich>
                  <a:bodyPr/>
                  <a:lstStyle/>
                  <a:p>
                    <a:pPr>
                      <a:defRPr/>
                    </a:pPr>
                    <a:r>
                      <a:rPr lang="en-US"/>
                      <a:t>57,1</a:t>
                    </a:r>
                    <a:r>
                      <a:rPr lang="uk-UA"/>
                      <a:t> </a:t>
                    </a:r>
                    <a:r>
                      <a:rPr lang="uk-UA" sz="996" b="0" i="0" u="none" strike="noStrike" baseline="0"/>
                      <a:t>(р&lt;0,05)*</a:t>
                    </a:r>
                    <a:endParaRPr lang="en-US"/>
                  </a:p>
                </c:rich>
              </c:tx>
              <c:spPr/>
              <c:dLblPos val="outEnd"/>
            </c:dLbl>
            <c:showVal val="1"/>
          </c:dLbls>
          <c:cat>
            <c:strRef>
              <c:f>Лист1!$A$2:$A$5</c:f>
              <c:strCache>
                <c:ptCount val="3"/>
                <c:pt idx="0">
                  <c:v>Легкий</c:v>
                </c:pt>
                <c:pt idx="1">
                  <c:v>Середньотяжкий</c:v>
                </c:pt>
                <c:pt idx="2">
                  <c:v>Тяжкий</c:v>
                </c:pt>
              </c:strCache>
            </c:strRef>
          </c:cat>
          <c:val>
            <c:numRef>
              <c:f>Лист1!$B$2:$B$5</c:f>
              <c:numCache>
                <c:formatCode>General</c:formatCode>
                <c:ptCount val="4"/>
                <c:pt idx="0">
                  <c:v>57.1</c:v>
                </c:pt>
                <c:pt idx="1">
                  <c:v>36.700000000000003</c:v>
                </c:pt>
                <c:pt idx="2">
                  <c:v>3.3</c:v>
                </c:pt>
              </c:numCache>
            </c:numRef>
          </c:val>
        </c:ser>
        <c:ser>
          <c:idx val="1"/>
          <c:order val="1"/>
          <c:tx>
            <c:strRef>
              <c:f>Лист1!$C$1</c:f>
              <c:strCache>
                <c:ptCount val="1"/>
                <c:pt idx="0">
                  <c:v>основна група</c:v>
                </c:pt>
              </c:strCache>
            </c:strRef>
          </c:tx>
          <c:dLbls>
            <c:dLbl>
              <c:idx val="1"/>
              <c:layout>
                <c:manualLayout>
                  <c:x val="3.9151712887438836E-2"/>
                  <c:y val="0"/>
                </c:manualLayout>
              </c:layout>
              <c:tx>
                <c:rich>
                  <a:bodyPr/>
                  <a:lstStyle/>
                  <a:p>
                    <a:pPr>
                      <a:defRPr/>
                    </a:pPr>
                    <a:r>
                      <a:rPr lang="en-US"/>
                      <a:t>70</a:t>
                    </a:r>
                    <a:r>
                      <a:rPr lang="uk-UA"/>
                      <a:t> </a:t>
                    </a:r>
                    <a:r>
                      <a:rPr lang="uk-UA" sz="996" b="0" i="0" u="none" strike="noStrike" baseline="0"/>
                      <a:t>(р&lt;0,05)</a:t>
                    </a:r>
                    <a:endParaRPr lang="en-US"/>
                  </a:p>
                </c:rich>
              </c:tx>
              <c:spPr/>
              <c:dLblPos val="outEnd"/>
            </c:dLbl>
            <c:dLbl>
              <c:idx val="2"/>
              <c:layout>
                <c:manualLayout>
                  <c:x val="2.827623708537267E-2"/>
                  <c:y val="4.3333333333333675E-2"/>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992" b="0" i="0" u="none" strike="noStrike" kern="1200" baseline="0">
                        <a:solidFill>
                          <a:sysClr val="windowText" lastClr="000000"/>
                        </a:solidFill>
                        <a:latin typeface="+mn-lt"/>
                        <a:ea typeface="+mn-ea"/>
                        <a:cs typeface="+mn-cs"/>
                      </a:defRPr>
                    </a:pPr>
                    <a:r>
                      <a:rPr lang="en-US" sz="996"/>
                      <a:t>10</a:t>
                    </a:r>
                    <a:r>
                      <a:rPr lang="uk-UA" sz="996"/>
                      <a:t>(р&gt;0,05)</a:t>
                    </a:r>
                    <a:endParaRPr lang="ru-RU" sz="1000"/>
                  </a:p>
                  <a:p>
                    <a:pPr marL="0" marR="0" indent="0" algn="ctr" defTabSz="914400" rtl="0" eaLnBrk="1" fontAlgn="auto" latinLnBrk="0" hangingPunct="1">
                      <a:lnSpc>
                        <a:spcPct val="100000"/>
                      </a:lnSpc>
                      <a:spcBef>
                        <a:spcPts val="0"/>
                      </a:spcBef>
                      <a:spcAft>
                        <a:spcPts val="0"/>
                      </a:spcAft>
                      <a:buClrTx/>
                      <a:buSzTx/>
                      <a:buFontTx/>
                      <a:buNone/>
                      <a:tabLst/>
                      <a:defRPr sz="992" b="0" i="0" u="none" strike="noStrike" kern="1200" baseline="0">
                        <a:solidFill>
                          <a:sysClr val="windowText" lastClr="000000"/>
                        </a:solidFill>
                        <a:latin typeface="+mn-lt"/>
                        <a:ea typeface="+mn-ea"/>
                        <a:cs typeface="+mn-cs"/>
                      </a:defRPr>
                    </a:pPr>
                    <a:endParaRPr lang="en-US"/>
                  </a:p>
                </c:rich>
              </c:tx>
              <c:spPr/>
              <c:dLblPos val="outEnd"/>
            </c:dLbl>
            <c:showVal val="1"/>
          </c:dLbls>
          <c:cat>
            <c:strRef>
              <c:f>Лист1!$A$2:$A$5</c:f>
              <c:strCache>
                <c:ptCount val="3"/>
                <c:pt idx="0">
                  <c:v>Легкий</c:v>
                </c:pt>
                <c:pt idx="1">
                  <c:v>Середньотяжкий</c:v>
                </c:pt>
                <c:pt idx="2">
                  <c:v>Тяжкий</c:v>
                </c:pt>
              </c:strCache>
            </c:strRef>
          </c:cat>
          <c:val>
            <c:numRef>
              <c:f>Лист1!$C$2:$C$5</c:f>
              <c:numCache>
                <c:formatCode>General</c:formatCode>
                <c:ptCount val="4"/>
                <c:pt idx="0">
                  <c:v>30</c:v>
                </c:pt>
                <c:pt idx="1">
                  <c:v>70</c:v>
                </c:pt>
                <c:pt idx="2">
                  <c:v>10</c:v>
                </c:pt>
              </c:numCache>
            </c:numRef>
          </c:val>
        </c:ser>
        <c:ser>
          <c:idx val="2"/>
          <c:order val="2"/>
          <c:tx>
            <c:strRef>
              <c:f>Лист1!$D$1</c:f>
              <c:strCache>
                <c:ptCount val="1"/>
                <c:pt idx="0">
                  <c:v>Столбец1</c:v>
                </c:pt>
              </c:strCache>
            </c:strRef>
          </c:tx>
          <c:cat>
            <c:strRef>
              <c:f>Лист1!$A$2:$A$5</c:f>
              <c:strCache>
                <c:ptCount val="3"/>
                <c:pt idx="0">
                  <c:v>Легкий</c:v>
                </c:pt>
                <c:pt idx="1">
                  <c:v>Середньотяжкий</c:v>
                </c:pt>
                <c:pt idx="2">
                  <c:v>Тяжкий</c:v>
                </c:pt>
              </c:strCache>
            </c:strRef>
          </c:cat>
          <c:val>
            <c:numRef>
              <c:f>Лист1!$D$2:$D$5</c:f>
              <c:numCache>
                <c:formatCode>General</c:formatCode>
                <c:ptCount val="4"/>
              </c:numCache>
            </c:numRef>
          </c:val>
        </c:ser>
        <c:axId val="116762112"/>
        <c:axId val="116764032"/>
      </c:barChart>
      <c:catAx>
        <c:axId val="116762112"/>
        <c:scaling>
          <c:orientation val="minMax"/>
        </c:scaling>
        <c:axPos val="b"/>
        <c:title>
          <c:tx>
            <c:rich>
              <a:bodyPr/>
              <a:lstStyle/>
              <a:p>
                <a:pPr>
                  <a:defRPr sz="998" b="1" i="0" u="none" strike="noStrike" baseline="0">
                    <a:solidFill>
                      <a:srgbClr val="000000"/>
                    </a:solidFill>
                    <a:latin typeface="Calibri"/>
                    <a:ea typeface="Calibri"/>
                    <a:cs typeface="Calibri"/>
                  </a:defRPr>
                </a:pPr>
                <a:r>
                  <a:t>Ступінь тяжкості</a:t>
                </a:r>
              </a:p>
            </c:rich>
          </c:tx>
          <c:layout>
            <c:manualLayout>
              <c:xMode val="edge"/>
              <c:yMode val="edge"/>
              <c:x val="0.78173641409577932"/>
              <c:y val="0.85002544324816576"/>
            </c:manualLayout>
          </c:layout>
        </c:title>
        <c:numFmt formatCode="General" sourceLinked="1"/>
        <c:tickLblPos val="nextTo"/>
        <c:crossAx val="116764032"/>
        <c:crosses val="autoZero"/>
        <c:auto val="1"/>
        <c:lblAlgn val="ctr"/>
        <c:lblOffset val="100"/>
      </c:catAx>
      <c:valAx>
        <c:axId val="116764032"/>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a:t>
                </a:r>
              </a:p>
            </c:rich>
          </c:tx>
          <c:layout>
            <c:manualLayout>
              <c:xMode val="edge"/>
              <c:yMode val="edge"/>
              <c:x val="2.4083128953143164E-2"/>
              <c:y val="2.3083721677647447E-3"/>
            </c:manualLayout>
          </c:layout>
        </c:title>
        <c:numFmt formatCode="General" sourceLinked="0"/>
        <c:tickLblPos val="nextTo"/>
        <c:crossAx val="116762112"/>
        <c:crosses val="autoZero"/>
        <c:crossBetween val="between"/>
      </c:valAx>
    </c:plotArea>
    <c:legend>
      <c:legendPos val="r"/>
      <c:legendEntry>
        <c:idx val="2"/>
        <c:delete val="1"/>
      </c:legendEntry>
    </c:legend>
    <c:plotVisOnly val="1"/>
    <c:dispBlanksAs val="gap"/>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lang val="ru-RU"/>
  <c:chart>
    <c:plotArea>
      <c:layout/>
      <c:barChart>
        <c:barDir val="col"/>
        <c:grouping val="clustered"/>
        <c:ser>
          <c:idx val="0"/>
          <c:order val="0"/>
          <c:tx>
            <c:strRef>
              <c:f>Лист1!$B$1</c:f>
              <c:strCache>
                <c:ptCount val="1"/>
                <c:pt idx="0">
                  <c:v>Ряд 1</c:v>
                </c:pt>
              </c:strCache>
            </c:strRef>
          </c:tx>
          <c:dLbls>
            <c:showVal val="1"/>
          </c:dLbls>
          <c:cat>
            <c:strRef>
              <c:f>Лист1!$A$2:$A$5</c:f>
              <c:strCache>
                <c:ptCount val="4"/>
                <c:pt idx="0">
                  <c:v>анамнез життя</c:v>
                </c:pt>
                <c:pt idx="1">
                  <c:v>спосіб життя</c:v>
                </c:pt>
                <c:pt idx="2">
                  <c:v>спадковість</c:v>
                </c:pt>
                <c:pt idx="3">
                  <c:v>акушерський анамнез</c:v>
                </c:pt>
              </c:strCache>
            </c:strRef>
          </c:cat>
          <c:val>
            <c:numRef>
              <c:f>Лист1!$B$2:$B$5</c:f>
              <c:numCache>
                <c:formatCode>General</c:formatCode>
                <c:ptCount val="4"/>
                <c:pt idx="0">
                  <c:v>0.56000000000000005</c:v>
                </c:pt>
                <c:pt idx="1">
                  <c:v>0.56000000000000005</c:v>
                </c:pt>
                <c:pt idx="2">
                  <c:v>0.71000000000000019</c:v>
                </c:pt>
                <c:pt idx="3">
                  <c:v>0.71000000000000019</c:v>
                </c:pt>
              </c:numCache>
            </c:numRef>
          </c:val>
        </c:ser>
        <c:ser>
          <c:idx val="1"/>
          <c:order val="1"/>
          <c:tx>
            <c:strRef>
              <c:f>Лист1!$C$1</c:f>
              <c:strCache>
                <c:ptCount val="1"/>
                <c:pt idx="0">
                  <c:v>Столбец1</c:v>
                </c:pt>
              </c:strCache>
            </c:strRef>
          </c:tx>
          <c:cat>
            <c:strRef>
              <c:f>Лист1!$A$2:$A$5</c:f>
              <c:strCache>
                <c:ptCount val="4"/>
                <c:pt idx="0">
                  <c:v>анамнез життя</c:v>
                </c:pt>
                <c:pt idx="1">
                  <c:v>спосіб життя</c:v>
                </c:pt>
                <c:pt idx="2">
                  <c:v>спадковість</c:v>
                </c:pt>
                <c:pt idx="3">
                  <c:v>акушерський анамнез</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4"/>
                <c:pt idx="0">
                  <c:v>анамнез життя</c:v>
                </c:pt>
                <c:pt idx="1">
                  <c:v>спосіб життя</c:v>
                </c:pt>
                <c:pt idx="2">
                  <c:v>спадковість</c:v>
                </c:pt>
                <c:pt idx="3">
                  <c:v>акушерський анамнез</c:v>
                </c:pt>
              </c:strCache>
            </c:strRef>
          </c:cat>
          <c:val>
            <c:numRef>
              <c:f>Лист1!$D$2:$D$5</c:f>
              <c:numCache>
                <c:formatCode>General</c:formatCode>
                <c:ptCount val="4"/>
              </c:numCache>
            </c:numRef>
          </c:val>
        </c:ser>
        <c:axId val="120332672"/>
        <c:axId val="120334592"/>
      </c:barChart>
      <c:catAx>
        <c:axId val="120332672"/>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layout>
            <c:manualLayout>
              <c:xMode val="edge"/>
              <c:yMode val="edge"/>
              <c:x val="0.87088808234908177"/>
              <c:y val="0.92099706654315294"/>
            </c:manualLayout>
          </c:layout>
        </c:title>
        <c:numFmt formatCode="General" sourceLinked="1"/>
        <c:tickLblPos val="nextTo"/>
        <c:crossAx val="120334592"/>
        <c:crosses val="autoZero"/>
        <c:auto val="1"/>
        <c:lblAlgn val="ctr"/>
        <c:lblOffset val="100"/>
      </c:catAx>
      <c:valAx>
        <c:axId val="120334592"/>
        <c:scaling>
          <c:orientation val="minMax"/>
        </c:scaling>
        <c:axPos val="l"/>
        <c:majorGridlines/>
        <c:title>
          <c:tx>
            <c:rich>
              <a:bodyPr rot="0" vert="horz"/>
              <a:lstStyle/>
              <a:p>
                <a:pPr algn="ctr">
                  <a:defRPr sz="998" b="1" i="0" u="none" strike="noStrike" baseline="0">
                    <a:solidFill>
                      <a:srgbClr val="000000"/>
                    </a:solidFill>
                    <a:latin typeface="Calibri"/>
                    <a:ea typeface="Calibri"/>
                    <a:cs typeface="Calibri"/>
                  </a:defRPr>
                </a:pPr>
                <a:r>
                  <a:t>І</a:t>
                </a:r>
              </a:p>
            </c:rich>
          </c:tx>
          <c:layout>
            <c:manualLayout>
              <c:xMode val="edge"/>
              <c:yMode val="edge"/>
              <c:x val="7.827878937007874E-3"/>
              <c:y val="7.6424270495599814E-4"/>
            </c:manualLayout>
          </c:layout>
        </c:title>
        <c:numFmt formatCode="General" sourceLinked="1"/>
        <c:tickLblPos val="nextTo"/>
        <c:crossAx val="120332672"/>
        <c:crosses val="autoZero"/>
        <c:crossBetween val="between"/>
      </c:valAx>
    </c:plotArea>
    <c:plotVisOnly val="1"/>
    <c:dispBlanksAs val="gap"/>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dLbls>
            <c:showVal val="1"/>
          </c:dLbls>
          <c:cat>
            <c:strRef>
              <c:f>Лист1!$A$2:$A$6</c:f>
              <c:strCache>
                <c:ptCount val="5"/>
                <c:pt idx="0">
                  <c:v>анамнез життя</c:v>
                </c:pt>
                <c:pt idx="1">
                  <c:v>спосіб життя</c:v>
                </c:pt>
                <c:pt idx="2">
                  <c:v>спадковість</c:v>
                </c:pt>
                <c:pt idx="3">
                  <c:v>акушерський анамнез</c:v>
                </c:pt>
                <c:pt idx="4">
                  <c:v>соматична патологія</c:v>
                </c:pt>
              </c:strCache>
            </c:strRef>
          </c:cat>
          <c:val>
            <c:numRef>
              <c:f>Лист1!$B$2:$B$6</c:f>
              <c:numCache>
                <c:formatCode>General</c:formatCode>
                <c:ptCount val="5"/>
                <c:pt idx="0">
                  <c:v>0.56000000000000005</c:v>
                </c:pt>
                <c:pt idx="1">
                  <c:v>0.56000000000000005</c:v>
                </c:pt>
                <c:pt idx="2">
                  <c:v>0.71000000000000019</c:v>
                </c:pt>
                <c:pt idx="3">
                  <c:v>0.71000000000000019</c:v>
                </c:pt>
                <c:pt idx="4">
                  <c:v>1</c:v>
                </c:pt>
              </c:numCache>
            </c:numRef>
          </c:val>
        </c:ser>
        <c:ser>
          <c:idx val="1"/>
          <c:order val="1"/>
          <c:tx>
            <c:strRef>
              <c:f>Лист1!$C$1</c:f>
              <c:strCache>
                <c:ptCount val="1"/>
                <c:pt idx="0">
                  <c:v>Столбец1</c:v>
                </c:pt>
              </c:strCache>
            </c:strRef>
          </c:tx>
          <c:cat>
            <c:strRef>
              <c:f>Лист1!$A$2:$A$6</c:f>
              <c:strCache>
                <c:ptCount val="5"/>
                <c:pt idx="0">
                  <c:v>анамнез життя</c:v>
                </c:pt>
                <c:pt idx="1">
                  <c:v>спосіб життя</c:v>
                </c:pt>
                <c:pt idx="2">
                  <c:v>спадковість</c:v>
                </c:pt>
                <c:pt idx="3">
                  <c:v>акушерський анамнез</c:v>
                </c:pt>
                <c:pt idx="4">
                  <c:v>соматична патологія</c:v>
                </c:pt>
              </c:strCache>
            </c:strRef>
          </c:cat>
          <c:val>
            <c:numRef>
              <c:f>Лист1!$C$2:$C$6</c:f>
              <c:numCache>
                <c:formatCode>General</c:formatCode>
                <c:ptCount val="5"/>
              </c:numCache>
            </c:numRef>
          </c:val>
        </c:ser>
        <c:ser>
          <c:idx val="2"/>
          <c:order val="2"/>
          <c:tx>
            <c:strRef>
              <c:f>Лист1!$D$1</c:f>
              <c:strCache>
                <c:ptCount val="1"/>
                <c:pt idx="0">
                  <c:v>Столбец2</c:v>
                </c:pt>
              </c:strCache>
            </c:strRef>
          </c:tx>
          <c:cat>
            <c:strRef>
              <c:f>Лист1!$A$2:$A$6</c:f>
              <c:strCache>
                <c:ptCount val="5"/>
                <c:pt idx="0">
                  <c:v>анамнез життя</c:v>
                </c:pt>
                <c:pt idx="1">
                  <c:v>спосіб життя</c:v>
                </c:pt>
                <c:pt idx="2">
                  <c:v>спадковість</c:v>
                </c:pt>
                <c:pt idx="3">
                  <c:v>акушерський анамнез</c:v>
                </c:pt>
                <c:pt idx="4">
                  <c:v>соматична патологія</c:v>
                </c:pt>
              </c:strCache>
            </c:strRef>
          </c:cat>
          <c:val>
            <c:numRef>
              <c:f>Лист1!$D$2:$D$6</c:f>
              <c:numCache>
                <c:formatCode>General</c:formatCode>
                <c:ptCount val="5"/>
              </c:numCache>
            </c:numRef>
          </c:val>
        </c:ser>
        <c:axId val="120372608"/>
        <c:axId val="120378880"/>
      </c:barChart>
      <c:catAx>
        <c:axId val="120372608"/>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layout>
            <c:manualLayout>
              <c:xMode val="edge"/>
              <c:yMode val="edge"/>
              <c:x val="0.87018738511344618"/>
              <c:y val="0.89379937263939613"/>
            </c:manualLayout>
          </c:layout>
        </c:title>
        <c:numFmt formatCode="General" sourceLinked="1"/>
        <c:tickLblPos val="nextTo"/>
        <c:crossAx val="120378880"/>
        <c:crosses val="autoZero"/>
        <c:auto val="1"/>
        <c:lblAlgn val="ctr"/>
        <c:lblOffset val="100"/>
      </c:catAx>
      <c:valAx>
        <c:axId val="120378880"/>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1.6317045735136766E-2"/>
              <c:y val="1.4500032008194099E-2"/>
            </c:manualLayout>
          </c:layout>
        </c:title>
        <c:numFmt formatCode="General" sourceLinked="1"/>
        <c:tickLblPos val="nextTo"/>
        <c:crossAx val="120372608"/>
        <c:crosses val="autoZero"/>
        <c:crossBetween val="between"/>
      </c:valAx>
    </c:plotArea>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dLbls>
            <c:showVal val="1"/>
          </c:dLbls>
          <c:cat>
            <c:strRef>
              <c:f>Лист1!$A$2:$A$7</c:f>
              <c:strCache>
                <c:ptCount val="6"/>
                <c:pt idx="0">
                  <c:v>анамнез життя</c:v>
                </c:pt>
                <c:pt idx="1">
                  <c:v>спосіб життя</c:v>
                </c:pt>
                <c:pt idx="2">
                  <c:v>спадковість</c:v>
                </c:pt>
                <c:pt idx="3">
                  <c:v>акушерський анамнез</c:v>
                </c:pt>
                <c:pt idx="4">
                  <c:v>соматична патологія</c:v>
                </c:pt>
                <c:pt idx="5">
                  <c:v>стоматологічний статус</c:v>
                </c:pt>
              </c:strCache>
            </c:strRef>
          </c:cat>
          <c:val>
            <c:numRef>
              <c:f>Лист1!$B$2:$B$7</c:f>
              <c:numCache>
                <c:formatCode>General</c:formatCode>
                <c:ptCount val="6"/>
                <c:pt idx="0">
                  <c:v>0.56000000000000005</c:v>
                </c:pt>
                <c:pt idx="1">
                  <c:v>0.56000000000000005</c:v>
                </c:pt>
                <c:pt idx="2">
                  <c:v>0.71000000000000019</c:v>
                </c:pt>
                <c:pt idx="3">
                  <c:v>0.71000000000000019</c:v>
                </c:pt>
                <c:pt idx="4">
                  <c:v>1</c:v>
                </c:pt>
                <c:pt idx="5">
                  <c:v>1.82</c:v>
                </c:pt>
              </c:numCache>
            </c:numRef>
          </c:val>
        </c:ser>
        <c:ser>
          <c:idx val="1"/>
          <c:order val="1"/>
          <c:tx>
            <c:strRef>
              <c:f>Лист1!$C$1</c:f>
              <c:strCache>
                <c:ptCount val="1"/>
                <c:pt idx="0">
                  <c:v>Столбец1</c:v>
                </c:pt>
              </c:strCache>
            </c:strRef>
          </c:tx>
          <c:cat>
            <c:strRef>
              <c:f>Лист1!$A$2:$A$7</c:f>
              <c:strCache>
                <c:ptCount val="6"/>
                <c:pt idx="0">
                  <c:v>анамнез життя</c:v>
                </c:pt>
                <c:pt idx="1">
                  <c:v>спосіб життя</c:v>
                </c:pt>
                <c:pt idx="2">
                  <c:v>спадковість</c:v>
                </c:pt>
                <c:pt idx="3">
                  <c:v>акушерський анамнез</c:v>
                </c:pt>
                <c:pt idx="4">
                  <c:v>соматична патологія</c:v>
                </c:pt>
                <c:pt idx="5">
                  <c:v>стоматологічний статус</c:v>
                </c:pt>
              </c:strCache>
            </c:strRef>
          </c:cat>
          <c:val>
            <c:numRef>
              <c:f>Лист1!$C$2:$C$7</c:f>
              <c:numCache>
                <c:formatCode>General</c:formatCode>
                <c:ptCount val="6"/>
              </c:numCache>
            </c:numRef>
          </c:val>
        </c:ser>
        <c:ser>
          <c:idx val="2"/>
          <c:order val="2"/>
          <c:tx>
            <c:strRef>
              <c:f>Лист1!$D$1</c:f>
              <c:strCache>
                <c:ptCount val="1"/>
                <c:pt idx="0">
                  <c:v>Столбец2</c:v>
                </c:pt>
              </c:strCache>
            </c:strRef>
          </c:tx>
          <c:cat>
            <c:strRef>
              <c:f>Лист1!$A$2:$A$7</c:f>
              <c:strCache>
                <c:ptCount val="6"/>
                <c:pt idx="0">
                  <c:v>анамнез життя</c:v>
                </c:pt>
                <c:pt idx="1">
                  <c:v>спосіб життя</c:v>
                </c:pt>
                <c:pt idx="2">
                  <c:v>спадковість</c:v>
                </c:pt>
                <c:pt idx="3">
                  <c:v>акушерський анамнез</c:v>
                </c:pt>
                <c:pt idx="4">
                  <c:v>соматична патологія</c:v>
                </c:pt>
                <c:pt idx="5">
                  <c:v>стоматологічний статус</c:v>
                </c:pt>
              </c:strCache>
            </c:strRef>
          </c:cat>
          <c:val>
            <c:numRef>
              <c:f>Лист1!$D$2:$D$7</c:f>
              <c:numCache>
                <c:formatCode>General</c:formatCode>
                <c:ptCount val="6"/>
              </c:numCache>
            </c:numRef>
          </c:val>
        </c:ser>
        <c:axId val="120085120"/>
        <c:axId val="120386304"/>
      </c:barChart>
      <c:catAx>
        <c:axId val="120085120"/>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title>
        <c:numFmt formatCode="General" sourceLinked="1"/>
        <c:tickLblPos val="nextTo"/>
        <c:crossAx val="120386304"/>
        <c:crosses val="autoZero"/>
        <c:auto val="1"/>
        <c:lblAlgn val="ctr"/>
        <c:lblOffset val="100"/>
      </c:catAx>
      <c:valAx>
        <c:axId val="120386304"/>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2.3310013077633591E-2"/>
              <c:y val="2.6455412585621948E-2"/>
            </c:manualLayout>
          </c:layout>
        </c:title>
        <c:numFmt formatCode="General" sourceLinked="1"/>
        <c:tickLblPos val="nextTo"/>
        <c:crossAx val="120085120"/>
        <c:crosses val="autoZero"/>
        <c:crossBetween val="between"/>
      </c:valAx>
    </c:plotArea>
    <c:plotVisOnly val="1"/>
    <c:dispBlanksAs val="gap"/>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dLbls>
            <c:showVal val="1"/>
          </c:dLbls>
          <c:cat>
            <c:strRef>
              <c:f>Лист1!$A$2:$A$8</c:f>
              <c:strCache>
                <c:ptCount val="7"/>
                <c:pt idx="0">
                  <c:v>анамнез життя</c:v>
                </c:pt>
                <c:pt idx="1">
                  <c:v>спосіб життя</c:v>
                </c:pt>
                <c:pt idx="2">
                  <c:v>спадковість</c:v>
                </c:pt>
                <c:pt idx="3">
                  <c:v>акушерський анамнез</c:v>
                </c:pt>
                <c:pt idx="4">
                  <c:v>соматична патологія</c:v>
                </c:pt>
                <c:pt idx="5">
                  <c:v>стоматологічний статус</c:v>
                </c:pt>
                <c:pt idx="6">
                  <c:v>параклінічні показники</c:v>
                </c:pt>
              </c:strCache>
            </c:strRef>
          </c:cat>
          <c:val>
            <c:numRef>
              <c:f>Лист1!$B$2:$B$8</c:f>
              <c:numCache>
                <c:formatCode>General</c:formatCode>
                <c:ptCount val="7"/>
                <c:pt idx="0">
                  <c:v>0.56000000000000005</c:v>
                </c:pt>
                <c:pt idx="1">
                  <c:v>0.56000000000000005</c:v>
                </c:pt>
                <c:pt idx="2">
                  <c:v>0.71000000000000019</c:v>
                </c:pt>
                <c:pt idx="3">
                  <c:v>0.71000000000000019</c:v>
                </c:pt>
                <c:pt idx="4">
                  <c:v>1</c:v>
                </c:pt>
                <c:pt idx="5">
                  <c:v>1.82</c:v>
                </c:pt>
                <c:pt idx="6">
                  <c:v>3.58</c:v>
                </c:pt>
              </c:numCache>
            </c:numRef>
          </c:val>
        </c:ser>
        <c:ser>
          <c:idx val="1"/>
          <c:order val="1"/>
          <c:tx>
            <c:strRef>
              <c:f>Лист1!$C$1</c:f>
              <c:strCache>
                <c:ptCount val="1"/>
                <c:pt idx="0">
                  <c:v>Столбец1</c:v>
                </c:pt>
              </c:strCache>
            </c:strRef>
          </c:tx>
          <c:cat>
            <c:strRef>
              <c:f>Лист1!$A$2:$A$8</c:f>
              <c:strCache>
                <c:ptCount val="7"/>
                <c:pt idx="0">
                  <c:v>анамнез життя</c:v>
                </c:pt>
                <c:pt idx="1">
                  <c:v>спосіб життя</c:v>
                </c:pt>
                <c:pt idx="2">
                  <c:v>спадковість</c:v>
                </c:pt>
                <c:pt idx="3">
                  <c:v>акушерський анамнез</c:v>
                </c:pt>
                <c:pt idx="4">
                  <c:v>соматична патологія</c:v>
                </c:pt>
                <c:pt idx="5">
                  <c:v>стоматологічний статус</c:v>
                </c:pt>
                <c:pt idx="6">
                  <c:v>параклінічні показники</c:v>
                </c:pt>
              </c:strCache>
            </c:strRef>
          </c:cat>
          <c:val>
            <c:numRef>
              <c:f>Лист1!$C$2:$C$8</c:f>
              <c:numCache>
                <c:formatCode>General</c:formatCode>
                <c:ptCount val="7"/>
              </c:numCache>
            </c:numRef>
          </c:val>
        </c:ser>
        <c:ser>
          <c:idx val="2"/>
          <c:order val="2"/>
          <c:tx>
            <c:strRef>
              <c:f>Лист1!$D$1</c:f>
              <c:strCache>
                <c:ptCount val="1"/>
                <c:pt idx="0">
                  <c:v>Столбец2</c:v>
                </c:pt>
              </c:strCache>
            </c:strRef>
          </c:tx>
          <c:cat>
            <c:strRef>
              <c:f>Лист1!$A$2:$A$8</c:f>
              <c:strCache>
                <c:ptCount val="7"/>
                <c:pt idx="0">
                  <c:v>анамнез життя</c:v>
                </c:pt>
                <c:pt idx="1">
                  <c:v>спосіб життя</c:v>
                </c:pt>
                <c:pt idx="2">
                  <c:v>спадковість</c:v>
                </c:pt>
                <c:pt idx="3">
                  <c:v>акушерський анамнез</c:v>
                </c:pt>
                <c:pt idx="4">
                  <c:v>соматична патологія</c:v>
                </c:pt>
                <c:pt idx="5">
                  <c:v>стоматологічний статус</c:v>
                </c:pt>
                <c:pt idx="6">
                  <c:v>параклінічні показники</c:v>
                </c:pt>
              </c:strCache>
            </c:strRef>
          </c:cat>
          <c:val>
            <c:numRef>
              <c:f>Лист1!$D$2:$D$8</c:f>
              <c:numCache>
                <c:formatCode>General</c:formatCode>
                <c:ptCount val="7"/>
              </c:numCache>
            </c:numRef>
          </c:val>
        </c:ser>
        <c:axId val="122947456"/>
        <c:axId val="122957824"/>
      </c:barChart>
      <c:catAx>
        <c:axId val="122947456"/>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title>
        <c:numFmt formatCode="General" sourceLinked="1"/>
        <c:tickLblPos val="nextTo"/>
        <c:crossAx val="122957824"/>
        <c:crosses val="autoZero"/>
        <c:auto val="1"/>
        <c:lblAlgn val="ctr"/>
        <c:lblOffset val="100"/>
      </c:catAx>
      <c:valAx>
        <c:axId val="122957824"/>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2.3310013077633591E-2"/>
              <c:y val="2.990621599129378E-2"/>
            </c:manualLayout>
          </c:layout>
        </c:title>
        <c:numFmt formatCode="General" sourceLinked="1"/>
        <c:tickLblPos val="nextTo"/>
        <c:crossAx val="122947456"/>
        <c:crosses val="autoZero"/>
        <c:crossBetween val="between"/>
      </c:valAx>
    </c:plotArea>
    <c:plotVisOnly val="1"/>
    <c:dispBlanksAs val="gap"/>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396"/>
              <a:t>%</a:t>
            </a:r>
          </a:p>
        </c:rich>
      </c:tx>
      <c:layout>
        <c:manualLayout>
          <c:xMode val="edge"/>
          <c:yMode val="edge"/>
          <c:x val="5.0688717673731669E-2"/>
          <c:y val="0.16666666666666666"/>
        </c:manualLayout>
      </c:layout>
    </c:title>
    <c:view3D>
      <c:depthPercent val="100"/>
      <c:rAngAx val="1"/>
    </c:view3D>
    <c:plotArea>
      <c:layout/>
      <c:bar3DChart>
        <c:barDir val="col"/>
        <c:grouping val="stacked"/>
        <c:ser>
          <c:idx val="0"/>
          <c:order val="0"/>
          <c:tx>
            <c:strRef>
              <c:f>Лист1!$B$1</c:f>
              <c:strCache>
                <c:ptCount val="1"/>
                <c:pt idx="0">
                  <c:v>Ряд 1</c:v>
                </c:pt>
              </c:strCache>
            </c:strRef>
          </c:tx>
          <c:dLbls>
            <c:dLbl>
              <c:idx val="0"/>
              <c:layout>
                <c:manualLayout>
                  <c:x val="6.7129629629629581E-2"/>
                  <c:y val="-0.21031746031746132"/>
                </c:manualLayout>
              </c:layout>
              <c:spPr/>
              <c:txPr>
                <a:bodyPr/>
                <a:lstStyle/>
                <a:p>
                  <a:pPr>
                    <a:defRPr/>
                  </a:pPr>
                  <a:endParaRPr lang="ru-RU"/>
                </a:p>
              </c:txPr>
              <c:showVal val="1"/>
            </c:dLbl>
            <c:dLbl>
              <c:idx val="1"/>
              <c:layout>
                <c:manualLayout>
                  <c:x val="6.9444444444444503E-2"/>
                  <c:y val="-0.19047619047619113"/>
                </c:manualLayout>
              </c:layout>
              <c:spPr/>
              <c:txPr>
                <a:bodyPr/>
                <a:lstStyle/>
                <a:p>
                  <a:pPr>
                    <a:defRPr/>
                  </a:pPr>
                  <a:endParaRPr lang="ru-RU"/>
                </a:p>
              </c:txPr>
              <c:showVal val="1"/>
            </c:dLbl>
            <c:dLbl>
              <c:idx val="2"/>
              <c:layout>
                <c:manualLayout>
                  <c:x val="5.7870370370370371E-2"/>
                  <c:y val="-0.2539682539682549"/>
                </c:manualLayout>
              </c:layout>
              <c:spPr/>
              <c:txPr>
                <a:bodyPr/>
                <a:lstStyle/>
                <a:p>
                  <a:pPr>
                    <a:defRPr/>
                  </a:pPr>
                  <a:endParaRPr lang="ru-RU"/>
                </a:p>
              </c:txPr>
              <c:showVal val="1"/>
            </c:dLbl>
            <c:showVal val="1"/>
          </c:dLbls>
          <c:cat>
            <c:strRef>
              <c:f>Лист1!$A$2:$A$4</c:f>
              <c:strCache>
                <c:ptCount val="3"/>
                <c:pt idx="0">
                  <c:v>висока інформативність</c:v>
                </c:pt>
                <c:pt idx="1">
                  <c:v>помірна інформативність</c:v>
                </c:pt>
                <c:pt idx="2">
                  <c:v>низька інформативність</c:v>
                </c:pt>
              </c:strCache>
            </c:strRef>
          </c:cat>
          <c:val>
            <c:numRef>
              <c:f>Лист1!$B$2:$B$4</c:f>
              <c:numCache>
                <c:formatCode>0.00</c:formatCode>
                <c:ptCount val="3"/>
                <c:pt idx="0">
                  <c:v>35.800000000000004</c:v>
                </c:pt>
                <c:pt idx="1">
                  <c:v>37.300000000000004</c:v>
                </c:pt>
                <c:pt idx="2">
                  <c:v>26.9</c:v>
                </c:pt>
              </c:numCache>
            </c:numRef>
          </c:val>
        </c:ser>
        <c:shape val="pyramid"/>
        <c:axId val="121755904"/>
        <c:axId val="122966400"/>
        <c:axId val="0"/>
      </c:bar3DChart>
      <c:catAx>
        <c:axId val="121755904"/>
        <c:scaling>
          <c:orientation val="minMax"/>
        </c:scaling>
        <c:axPos val="b"/>
        <c:title>
          <c:tx>
            <c:rich>
              <a:bodyPr/>
              <a:lstStyle/>
              <a:p>
                <a:pPr>
                  <a:defRPr sz="997" b="1" i="0" u="none" strike="noStrike" baseline="0">
                    <a:solidFill>
                      <a:srgbClr val="000000"/>
                    </a:solidFill>
                    <a:latin typeface="Calibri"/>
                    <a:ea typeface="Calibri"/>
                    <a:cs typeface="Calibri"/>
                  </a:defRPr>
                </a:pPr>
                <a:r>
                  <a:t>Ступінь інформативності</a:t>
                </a:r>
              </a:p>
            </c:rich>
          </c:tx>
        </c:title>
        <c:numFmt formatCode="General" sourceLinked="1"/>
        <c:tickLblPos val="nextTo"/>
        <c:crossAx val="122966400"/>
        <c:crosses val="autoZero"/>
        <c:auto val="1"/>
        <c:lblAlgn val="ctr"/>
        <c:lblOffset val="100"/>
      </c:catAx>
      <c:valAx>
        <c:axId val="122966400"/>
        <c:scaling>
          <c:orientation val="minMax"/>
        </c:scaling>
        <c:axPos val="l"/>
        <c:majorGridlines/>
        <c:numFmt formatCode="0.00" sourceLinked="1"/>
        <c:tickLblPos val="nextTo"/>
        <c:crossAx val="121755904"/>
        <c:crosses val="autoZero"/>
        <c:crossBetween val="between"/>
      </c:valAx>
      <c:spPr>
        <a:noFill/>
        <a:ln w="25334">
          <a:noFill/>
        </a:ln>
      </c:spPr>
    </c:plotArea>
    <c:plotVisOnly val="1"/>
    <c:dispBlanksAs val="gap"/>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title>
      <c:layout>
        <c:manualLayout>
          <c:xMode val="edge"/>
          <c:yMode val="edge"/>
          <c:x val="5.9183579165280401E-2"/>
          <c:y val="6.2378235654674902E-2"/>
        </c:manualLayout>
      </c:layout>
    </c:title>
    <c:view3D>
      <c:depthPercent val="100"/>
      <c:rAngAx val="1"/>
    </c:view3D>
    <c:plotArea>
      <c:layout/>
      <c:bar3DChart>
        <c:barDir val="col"/>
        <c:grouping val="stacked"/>
        <c:ser>
          <c:idx val="0"/>
          <c:order val="0"/>
          <c:tx>
            <c:strRef>
              <c:f>Лист1!$B$1</c:f>
              <c:strCache>
                <c:ptCount val="1"/>
                <c:pt idx="0">
                  <c:v>І</c:v>
                </c:pt>
              </c:strCache>
            </c:strRef>
          </c:tx>
          <c:dLbls>
            <c:dLbl>
              <c:idx val="0"/>
              <c:layout>
                <c:manualLayout>
                  <c:x val="5.3240740740740748E-2"/>
                  <c:y val="-0.31746031746031905"/>
                </c:manualLayout>
              </c:layout>
              <c:spPr/>
              <c:txPr>
                <a:bodyPr/>
                <a:lstStyle/>
                <a:p>
                  <a:pPr>
                    <a:defRPr/>
                  </a:pPr>
                  <a:endParaRPr lang="ru-RU"/>
                </a:p>
              </c:txPr>
              <c:showVal val="1"/>
            </c:dLbl>
            <c:dLbl>
              <c:idx val="1"/>
              <c:layout>
                <c:manualLayout>
                  <c:x val="5.3240740740740748E-2"/>
                  <c:y val="-0.32539682539682907"/>
                </c:manualLayout>
              </c:layout>
              <c:spPr/>
              <c:txPr>
                <a:bodyPr/>
                <a:lstStyle/>
                <a:p>
                  <a:pPr>
                    <a:defRPr/>
                  </a:pPr>
                  <a:endParaRPr lang="ru-RU"/>
                </a:p>
              </c:txPr>
              <c:showVal val="1"/>
            </c:dLbl>
            <c:delete val="1"/>
          </c:dLbls>
          <c:cat>
            <c:strRef>
              <c:f>Лист1!$A$2:$A$5</c:f>
              <c:strCache>
                <c:ptCount val="2"/>
                <c:pt idx="0">
                  <c:v>акушерський анамнез</c:v>
                </c:pt>
                <c:pt idx="1">
                  <c:v>спадковість</c:v>
                </c:pt>
              </c:strCache>
            </c:strRef>
          </c:cat>
          <c:val>
            <c:numRef>
              <c:f>Лист1!$B$2:$B$5</c:f>
              <c:numCache>
                <c:formatCode>General</c:formatCode>
                <c:ptCount val="4"/>
                <c:pt idx="0">
                  <c:v>0.53</c:v>
                </c:pt>
                <c:pt idx="1">
                  <c:v>1.32</c:v>
                </c:pt>
              </c:numCache>
            </c:numRef>
          </c:val>
        </c:ser>
        <c:shape val="pyramid"/>
        <c:axId val="123376768"/>
        <c:axId val="123378304"/>
        <c:axId val="0"/>
      </c:bar3DChart>
      <c:catAx>
        <c:axId val="123376768"/>
        <c:scaling>
          <c:orientation val="minMax"/>
        </c:scaling>
        <c:axPos val="b"/>
        <c:numFmt formatCode="General" sourceLinked="1"/>
        <c:tickLblPos val="nextTo"/>
        <c:crossAx val="123378304"/>
        <c:crosses val="autoZero"/>
        <c:auto val="1"/>
        <c:lblAlgn val="ctr"/>
        <c:lblOffset val="100"/>
      </c:catAx>
      <c:valAx>
        <c:axId val="123378304"/>
        <c:scaling>
          <c:orientation val="minMax"/>
        </c:scaling>
        <c:axPos val="l"/>
        <c:majorGridlines/>
        <c:numFmt formatCode="General" sourceLinked="1"/>
        <c:tickLblPos val="nextTo"/>
        <c:crossAx val="123376768"/>
        <c:crosses val="autoZero"/>
        <c:crossBetween val="between"/>
      </c:valAx>
      <c:spPr>
        <a:noFill/>
        <a:ln w="25350">
          <a:noFill/>
        </a:ln>
      </c:spPr>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ru-RU"/>
  <c:chart>
    <c:view3D>
      <c:depthPercent val="100"/>
      <c:rAngAx val="1"/>
    </c:view3D>
    <c:plotArea>
      <c:layout>
        <c:manualLayout>
          <c:layoutTarget val="inner"/>
          <c:xMode val="edge"/>
          <c:yMode val="edge"/>
          <c:x val="6.8624781277340327E-2"/>
          <c:y val="5.6807732870249351E-2"/>
          <c:w val="0.85498632983377076"/>
          <c:h val="0.71978177954342015"/>
        </c:manualLayout>
      </c:layout>
      <c:bar3DChart>
        <c:barDir val="col"/>
        <c:grouping val="stacked"/>
        <c:ser>
          <c:idx val="0"/>
          <c:order val="0"/>
          <c:tx>
            <c:strRef>
              <c:f>Лист1!$B$1</c:f>
              <c:strCache>
                <c:ptCount val="1"/>
                <c:pt idx="0">
                  <c:v>Ряд 1</c:v>
                </c:pt>
              </c:strCache>
            </c:strRef>
          </c:tx>
          <c:dLbls>
            <c:dLbl>
              <c:idx val="0"/>
              <c:layout>
                <c:manualLayout>
                  <c:x val="1.1574074074074073E-2"/>
                  <c:y val="-0.28968253968253982"/>
                </c:manualLayout>
              </c:layout>
              <c:spPr/>
              <c:txPr>
                <a:bodyPr/>
                <a:lstStyle/>
                <a:p>
                  <a:pPr>
                    <a:defRPr/>
                  </a:pPr>
                  <a:endParaRPr lang="ru-RU"/>
                </a:p>
              </c:txPr>
              <c:showVal val="1"/>
            </c:dLbl>
            <c:dLbl>
              <c:idx val="1"/>
              <c:layout>
                <c:manualLayout>
                  <c:x val="5.3240708392679283E-2"/>
                  <c:y val="-0.30584647593537823"/>
                </c:manualLayout>
              </c:layout>
              <c:spPr/>
              <c:txPr>
                <a:bodyPr/>
                <a:lstStyle/>
                <a:p>
                  <a:pPr>
                    <a:defRPr/>
                  </a:pPr>
                  <a:endParaRPr lang="ru-RU"/>
                </a:p>
              </c:txPr>
              <c:showVal val="1"/>
            </c:dLbl>
            <c:dLbl>
              <c:idx val="2"/>
              <c:layout>
                <c:manualLayout>
                  <c:x val="5.3240740740740741E-2"/>
                  <c:y val="-0.30952380952381187"/>
                </c:manualLayout>
              </c:layout>
              <c:spPr/>
              <c:txPr>
                <a:bodyPr/>
                <a:lstStyle/>
                <a:p>
                  <a:pPr>
                    <a:defRPr/>
                  </a:pPr>
                  <a:endParaRPr lang="ru-RU"/>
                </a:p>
              </c:txPr>
              <c:showVal val="1"/>
            </c:dLbl>
            <c:showVal val="1"/>
          </c:dLbls>
          <c:cat>
            <c:strRef>
              <c:f>Лист1!$A$2:$A$5</c:f>
              <c:strCache>
                <c:ptCount val="3"/>
                <c:pt idx="0">
                  <c:v>акушерський анамнез</c:v>
                </c:pt>
                <c:pt idx="1">
                  <c:v>анамнез життя</c:v>
                </c:pt>
                <c:pt idx="2">
                  <c:v>спадковість</c:v>
                </c:pt>
              </c:strCache>
            </c:strRef>
          </c:cat>
          <c:val>
            <c:numRef>
              <c:f>Лист1!$B$2:$B$5</c:f>
              <c:numCache>
                <c:formatCode>General</c:formatCode>
                <c:ptCount val="4"/>
                <c:pt idx="0">
                  <c:v>0.53</c:v>
                </c:pt>
                <c:pt idx="1">
                  <c:v>0.92</c:v>
                </c:pt>
                <c:pt idx="2">
                  <c:v>1.32</c:v>
                </c:pt>
              </c:numCache>
            </c:numRef>
          </c:val>
        </c:ser>
        <c:ser>
          <c:idx val="1"/>
          <c:order val="1"/>
          <c:tx>
            <c:strRef>
              <c:f>Лист1!$C$1</c:f>
              <c:strCache>
                <c:ptCount val="1"/>
              </c:strCache>
            </c:strRef>
          </c:tx>
          <c:cat>
            <c:strRef>
              <c:f>Лист1!$A$2:$A$5</c:f>
              <c:strCache>
                <c:ptCount val="3"/>
                <c:pt idx="0">
                  <c:v>акушерський анамнез</c:v>
                </c:pt>
                <c:pt idx="1">
                  <c:v>анамнез життя</c:v>
                </c:pt>
                <c:pt idx="2">
                  <c:v>спадковість</c:v>
                </c:pt>
              </c:strCache>
            </c:strRef>
          </c:cat>
          <c:val>
            <c:numRef>
              <c:f>Лист1!$C$2:$C$5</c:f>
              <c:numCache>
                <c:formatCode>General</c:formatCode>
                <c:ptCount val="4"/>
              </c:numCache>
            </c:numRef>
          </c:val>
        </c:ser>
        <c:ser>
          <c:idx val="2"/>
          <c:order val="2"/>
          <c:tx>
            <c:strRef>
              <c:f>Лист1!$E$2</c:f>
              <c:strCache>
                <c:ptCount val="1"/>
              </c:strCache>
            </c:strRef>
          </c:tx>
          <c:cat>
            <c:strRef>
              <c:f>Лист1!$A$2:$A$5</c:f>
              <c:strCache>
                <c:ptCount val="3"/>
                <c:pt idx="0">
                  <c:v>акушерський анамнез</c:v>
                </c:pt>
                <c:pt idx="1">
                  <c:v>анамнез життя</c:v>
                </c:pt>
                <c:pt idx="2">
                  <c:v>спадковість</c:v>
                </c:pt>
              </c:strCache>
            </c:strRef>
          </c:cat>
          <c:val>
            <c:numRef>
              <c:f>Лист1!$E$3:$E$6</c:f>
              <c:numCache>
                <c:formatCode>General</c:formatCode>
                <c:ptCount val="4"/>
              </c:numCache>
            </c:numRef>
          </c:val>
        </c:ser>
        <c:shape val="pyramid"/>
        <c:axId val="177559040"/>
        <c:axId val="177560960"/>
        <c:axId val="0"/>
      </c:bar3DChart>
      <c:catAx>
        <c:axId val="177559040"/>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layout>
            <c:manualLayout>
              <c:xMode val="edge"/>
              <c:yMode val="edge"/>
              <c:x val="0.7761445476754858"/>
              <c:y val="0.77908979559373293"/>
            </c:manualLayout>
          </c:layout>
        </c:title>
        <c:numFmt formatCode="General" sourceLinked="1"/>
        <c:tickLblPos val="nextTo"/>
        <c:crossAx val="177560960"/>
        <c:crosses val="autoZero"/>
        <c:auto val="1"/>
        <c:lblAlgn val="ctr"/>
        <c:lblOffset val="100"/>
      </c:catAx>
      <c:valAx>
        <c:axId val="177560960"/>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4.0817008600568527E-2"/>
              <c:y val="3.2669052732044859E-2"/>
            </c:manualLayout>
          </c:layout>
        </c:title>
        <c:numFmt formatCode="General" sourceLinked="1"/>
        <c:tickLblPos val="nextTo"/>
        <c:crossAx val="177559040"/>
        <c:crosses val="autoZero"/>
        <c:crossBetween val="between"/>
      </c:valAx>
      <c:spPr>
        <a:noFill/>
        <a:ln w="25352">
          <a:noFill/>
        </a:ln>
      </c:spPr>
    </c:plotArea>
    <c:plotVisOnly val="1"/>
    <c:dispBlanksAs val="gap"/>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Ряд 1</c:v>
                </c:pt>
              </c:strCache>
            </c:strRef>
          </c:tx>
          <c:dLbls>
            <c:showVal val="1"/>
          </c:dLbls>
          <c:cat>
            <c:strRef>
              <c:f>Лист1!$A$2:$A$5</c:f>
              <c:strCache>
                <c:ptCount val="4"/>
                <c:pt idx="0">
                  <c:v>акушерський анамнез</c:v>
                </c:pt>
                <c:pt idx="1">
                  <c:v>спосіб життя</c:v>
                </c:pt>
                <c:pt idx="2">
                  <c:v>анамнез життя</c:v>
                </c:pt>
                <c:pt idx="3">
                  <c:v>спадковість</c:v>
                </c:pt>
              </c:strCache>
            </c:strRef>
          </c:cat>
          <c:val>
            <c:numRef>
              <c:f>Лист1!$B$2:$B$5</c:f>
              <c:numCache>
                <c:formatCode>General</c:formatCode>
                <c:ptCount val="4"/>
                <c:pt idx="0">
                  <c:v>0.53</c:v>
                </c:pt>
                <c:pt idx="1">
                  <c:v>0.9</c:v>
                </c:pt>
                <c:pt idx="2">
                  <c:v>0.92</c:v>
                </c:pt>
                <c:pt idx="3">
                  <c:v>1.32</c:v>
                </c:pt>
              </c:numCache>
            </c:numRef>
          </c:val>
        </c:ser>
        <c:ser>
          <c:idx val="1"/>
          <c:order val="1"/>
          <c:tx>
            <c:strRef>
              <c:f>Лист1!$C$1</c:f>
              <c:strCache>
                <c:ptCount val="1"/>
                <c:pt idx="0">
                  <c:v>Столбец1</c:v>
                </c:pt>
              </c:strCache>
            </c:strRef>
          </c:tx>
          <c:cat>
            <c:strRef>
              <c:f>Лист1!$A$2:$A$5</c:f>
              <c:strCache>
                <c:ptCount val="4"/>
                <c:pt idx="0">
                  <c:v>акушерський анамнез</c:v>
                </c:pt>
                <c:pt idx="1">
                  <c:v>спосіб життя</c:v>
                </c:pt>
                <c:pt idx="2">
                  <c:v>анамнез життя</c:v>
                </c:pt>
                <c:pt idx="3">
                  <c:v>спадковість</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4"/>
                <c:pt idx="0">
                  <c:v>акушерський анамнез</c:v>
                </c:pt>
                <c:pt idx="1">
                  <c:v>спосіб життя</c:v>
                </c:pt>
                <c:pt idx="2">
                  <c:v>анамнез життя</c:v>
                </c:pt>
                <c:pt idx="3">
                  <c:v>спадковість</c:v>
                </c:pt>
              </c:strCache>
            </c:strRef>
          </c:cat>
          <c:val>
            <c:numRef>
              <c:f>Лист1!$D$2:$D$5</c:f>
              <c:numCache>
                <c:formatCode>General</c:formatCode>
                <c:ptCount val="4"/>
              </c:numCache>
            </c:numRef>
          </c:val>
        </c:ser>
        <c:axId val="121724288"/>
        <c:axId val="123401728"/>
      </c:barChart>
      <c:catAx>
        <c:axId val="121724288"/>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title>
        <c:numFmt formatCode="General" sourceLinked="1"/>
        <c:tickLblPos val="nextTo"/>
        <c:crossAx val="123401728"/>
        <c:crosses val="autoZero"/>
        <c:auto val="1"/>
        <c:lblAlgn val="ctr"/>
        <c:lblOffset val="100"/>
      </c:catAx>
      <c:valAx>
        <c:axId val="123401728"/>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1.8583041703120445E-2"/>
              <c:y val="2.4052175296269792E-2"/>
            </c:manualLayout>
          </c:layout>
        </c:title>
        <c:numFmt formatCode="General" sourceLinked="1"/>
        <c:tickLblPos val="nextTo"/>
        <c:crossAx val="121724288"/>
        <c:crosses val="autoZero"/>
        <c:crossBetween val="between"/>
      </c:valAx>
    </c:plotArea>
    <c:plotVisOnly val="1"/>
    <c:dispBlanksAs val="gap"/>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lang val="ru-RU"/>
  <c:chart>
    <c:title>
      <c:tx>
        <c:rich>
          <a:bodyPr/>
          <a:lstStyle/>
          <a:p>
            <a:pPr>
              <a:defRPr/>
            </a:pPr>
            <a:r>
              <a:rPr lang="ru-RU" b="0"/>
              <a:t>І</a:t>
            </a:r>
          </a:p>
        </c:rich>
      </c:tx>
      <c:layout>
        <c:manualLayout>
          <c:xMode val="edge"/>
          <c:yMode val="edge"/>
          <c:x val="2.8767133275007288E-2"/>
          <c:y val="0"/>
        </c:manualLayout>
      </c:layout>
    </c:title>
    <c:plotArea>
      <c:layout/>
      <c:barChart>
        <c:barDir val="col"/>
        <c:grouping val="clustered"/>
        <c:ser>
          <c:idx val="0"/>
          <c:order val="0"/>
          <c:tx>
            <c:strRef>
              <c:f>Лист1!$B$1</c:f>
              <c:strCache>
                <c:ptCount val="1"/>
                <c:pt idx="0">
                  <c:v>I</c:v>
                </c:pt>
              </c:strCache>
            </c:strRef>
          </c:tx>
          <c:dLbls>
            <c:showVal val="1"/>
          </c:dLbls>
          <c:cat>
            <c:strRef>
              <c:f>Лист1!$A$2:$A$6</c:f>
              <c:strCache>
                <c:ptCount val="5"/>
                <c:pt idx="0">
                  <c:v>акушерський анамнез</c:v>
                </c:pt>
                <c:pt idx="1">
                  <c:v>спосіб життя</c:v>
                </c:pt>
                <c:pt idx="2">
                  <c:v>анамнез життя</c:v>
                </c:pt>
                <c:pt idx="3">
                  <c:v>спадковість</c:v>
                </c:pt>
                <c:pt idx="4">
                  <c:v>стан здоров'я</c:v>
                </c:pt>
              </c:strCache>
            </c:strRef>
          </c:cat>
          <c:val>
            <c:numRef>
              <c:f>Лист1!$B$2:$B$6</c:f>
              <c:numCache>
                <c:formatCode>General</c:formatCode>
                <c:ptCount val="5"/>
                <c:pt idx="0">
                  <c:v>0.53</c:v>
                </c:pt>
                <c:pt idx="1">
                  <c:v>0.9</c:v>
                </c:pt>
                <c:pt idx="2">
                  <c:v>0.92</c:v>
                </c:pt>
                <c:pt idx="3">
                  <c:v>1.32</c:v>
                </c:pt>
                <c:pt idx="4">
                  <c:v>1.5</c:v>
                </c:pt>
              </c:numCache>
            </c:numRef>
          </c:val>
        </c:ser>
        <c:axId val="177591424"/>
        <c:axId val="177592960"/>
      </c:barChart>
      <c:catAx>
        <c:axId val="177591424"/>
        <c:scaling>
          <c:orientation val="minMax"/>
        </c:scaling>
        <c:axPos val="b"/>
        <c:numFmt formatCode="General" sourceLinked="1"/>
        <c:tickLblPos val="nextTo"/>
        <c:crossAx val="177592960"/>
        <c:crosses val="autoZero"/>
        <c:auto val="1"/>
        <c:lblAlgn val="ctr"/>
        <c:lblOffset val="100"/>
      </c:catAx>
      <c:valAx>
        <c:axId val="177592960"/>
        <c:scaling>
          <c:orientation val="minMax"/>
        </c:scaling>
        <c:axPos val="l"/>
        <c:majorGridlines/>
        <c:numFmt formatCode="General" sourceLinked="1"/>
        <c:tickLblPos val="nextTo"/>
        <c:crossAx val="177591424"/>
        <c:crosses val="autoZero"/>
        <c:crossBetween val="between"/>
      </c:valAx>
    </c:plotArea>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b="0"/>
              <a:t>І</a:t>
            </a:r>
          </a:p>
        </c:rich>
      </c:tx>
      <c:layout>
        <c:manualLayout>
          <c:xMode val="edge"/>
          <c:yMode val="edge"/>
          <c:x val="4.7031933508311481E-2"/>
          <c:y val="3.5294042790105798E-2"/>
        </c:manualLayout>
      </c:layout>
    </c:title>
    <c:plotArea>
      <c:layout/>
      <c:barChart>
        <c:barDir val="col"/>
        <c:grouping val="clustered"/>
        <c:ser>
          <c:idx val="0"/>
          <c:order val="0"/>
          <c:tx>
            <c:strRef>
              <c:f>Лист1!$B$1</c:f>
              <c:strCache>
                <c:ptCount val="1"/>
                <c:pt idx="0">
                  <c:v>Ряд 1</c:v>
                </c:pt>
              </c:strCache>
            </c:strRef>
          </c:tx>
          <c:dLbls>
            <c:showVal val="1"/>
          </c:dLbls>
          <c:cat>
            <c:strRef>
              <c:f>Лист1!$A$2:$A$7</c:f>
              <c:strCache>
                <c:ptCount val="6"/>
                <c:pt idx="0">
                  <c:v>акушерський анамнез</c:v>
                </c:pt>
                <c:pt idx="1">
                  <c:v>спосіб життя</c:v>
                </c:pt>
                <c:pt idx="2">
                  <c:v>анамнез життя</c:v>
                </c:pt>
                <c:pt idx="3">
                  <c:v>спадковість</c:v>
                </c:pt>
                <c:pt idx="4">
                  <c:v>стан здоров'я</c:v>
                </c:pt>
                <c:pt idx="5">
                  <c:v>стоматологічний статус</c:v>
                </c:pt>
              </c:strCache>
            </c:strRef>
          </c:cat>
          <c:val>
            <c:numRef>
              <c:f>Лист1!$B$2:$B$7</c:f>
              <c:numCache>
                <c:formatCode>General</c:formatCode>
                <c:ptCount val="6"/>
                <c:pt idx="0">
                  <c:v>0.53</c:v>
                </c:pt>
                <c:pt idx="1">
                  <c:v>0.9</c:v>
                </c:pt>
                <c:pt idx="2">
                  <c:v>0.92</c:v>
                </c:pt>
                <c:pt idx="3">
                  <c:v>1.32</c:v>
                </c:pt>
                <c:pt idx="4">
                  <c:v>1.5</c:v>
                </c:pt>
                <c:pt idx="5">
                  <c:v>1.6500000000000001</c:v>
                </c:pt>
              </c:numCache>
            </c:numRef>
          </c:val>
        </c:ser>
        <c:axId val="183666944"/>
        <c:axId val="183672832"/>
      </c:barChart>
      <c:catAx>
        <c:axId val="183666944"/>
        <c:scaling>
          <c:orientation val="minMax"/>
        </c:scaling>
        <c:axPos val="b"/>
        <c:numFmt formatCode="General" sourceLinked="1"/>
        <c:tickLblPos val="nextTo"/>
        <c:crossAx val="183672832"/>
        <c:crosses val="autoZero"/>
        <c:auto val="1"/>
        <c:lblAlgn val="ctr"/>
        <c:lblOffset val="100"/>
      </c:catAx>
      <c:valAx>
        <c:axId val="183672832"/>
        <c:scaling>
          <c:orientation val="minMax"/>
        </c:scaling>
        <c:axPos val="l"/>
        <c:majorGridlines/>
        <c:numFmt formatCode="General" sourceLinked="1"/>
        <c:tickLblPos val="nextTo"/>
        <c:crossAx val="183666944"/>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контроль</c:v>
                </c:pt>
              </c:strCache>
            </c:strRef>
          </c:tx>
          <c:dLbls>
            <c:showVal val="1"/>
          </c:dLbls>
          <c:cat>
            <c:strRef>
              <c:f>Лист1!$A$2:$A$5</c:f>
              <c:strCache>
                <c:ptCount val="2"/>
                <c:pt idx="0">
                  <c:v>локалізований пародонтит</c:v>
                </c:pt>
                <c:pt idx="1">
                  <c:v>Генералізований пародонтит І ступеню</c:v>
                </c:pt>
              </c:strCache>
            </c:strRef>
          </c:cat>
          <c:val>
            <c:numRef>
              <c:f>Лист1!$B$2:$B$5</c:f>
              <c:numCache>
                <c:formatCode>General</c:formatCode>
                <c:ptCount val="4"/>
                <c:pt idx="0">
                  <c:v>3.3</c:v>
                </c:pt>
                <c:pt idx="1">
                  <c:v>3.3</c:v>
                </c:pt>
              </c:numCache>
            </c:numRef>
          </c:val>
        </c:ser>
        <c:ser>
          <c:idx val="1"/>
          <c:order val="1"/>
          <c:tx>
            <c:strRef>
              <c:f>Лист1!$C$1</c:f>
              <c:strCache>
                <c:ptCount val="1"/>
                <c:pt idx="0">
                  <c:v>основна група</c:v>
                </c:pt>
              </c:strCache>
            </c:strRef>
          </c:tx>
          <c:dLbls>
            <c:dLbl>
              <c:idx val="0"/>
              <c:layout>
                <c:manualLayout>
                  <c:x val="3.0092592592592591E-2"/>
                  <c:y val="0"/>
                </c:manualLayout>
              </c:layout>
              <c:tx>
                <c:rich>
                  <a:bodyPr/>
                  <a:lstStyle/>
                  <a:p>
                    <a:pPr>
                      <a:defRPr/>
                    </a:pPr>
                    <a:r>
                      <a:rPr lang="en-US"/>
                      <a:t>10</a:t>
                    </a:r>
                    <a:r>
                      <a:rPr lang="uk-UA"/>
                      <a:t> </a:t>
                    </a:r>
                    <a:r>
                      <a:rPr lang="uk-UA" sz="995" b="0" i="0" u="none" strike="noStrike" baseline="0"/>
                      <a:t>(р</a:t>
                    </a:r>
                    <a:r>
                      <a:rPr lang="uk-UA" sz="995" b="0" i="0" u="none" strike="noStrike" baseline="0">
                        <a:latin typeface="Times New Roman"/>
                        <a:cs typeface="Times New Roman"/>
                      </a:rPr>
                      <a:t>&gt;</a:t>
                    </a:r>
                    <a:r>
                      <a:rPr lang="uk-UA" sz="995" b="0" i="0" u="none" strike="noStrike" baseline="0"/>
                      <a:t>0,05)</a:t>
                    </a:r>
                    <a:endParaRPr lang="en-US"/>
                  </a:p>
                </c:rich>
              </c:tx>
              <c:spPr/>
              <c:dLblPos val="outEnd"/>
            </c:dLbl>
            <c:dLbl>
              <c:idx val="1"/>
              <c:layout>
                <c:manualLayout>
                  <c:x val="9.9536672499271645E-2"/>
                  <c:y val="5.1587301587301577E-2"/>
                </c:manualLayout>
              </c:layout>
              <c:tx>
                <c:rich>
                  <a:bodyPr/>
                  <a:lstStyle/>
                  <a:p>
                    <a:pPr>
                      <a:defRPr/>
                    </a:pPr>
                    <a:r>
                      <a:rPr lang="en-US"/>
                      <a:t>13,3</a:t>
                    </a:r>
                    <a:r>
                      <a:rPr lang="uk-UA" sz="995" b="0" i="0" u="none" strike="noStrike" baseline="0"/>
                      <a:t>(р</a:t>
                    </a:r>
                    <a:r>
                      <a:rPr lang="uk-UA" sz="995" b="0" i="0" u="none" strike="noStrike" baseline="0">
                        <a:latin typeface="Times New Roman"/>
                        <a:cs typeface="Times New Roman"/>
                      </a:rPr>
                      <a:t>&gt;</a:t>
                    </a:r>
                    <a:r>
                      <a:rPr lang="uk-UA" sz="995" b="0" i="0" u="none" strike="noStrike" baseline="0"/>
                      <a:t>0,05)</a:t>
                    </a:r>
                    <a:endParaRPr lang="en-US"/>
                  </a:p>
                </c:rich>
              </c:tx>
              <c:spPr/>
              <c:dLblPos val="outEnd"/>
            </c:dLbl>
            <c:showVal val="1"/>
          </c:dLbls>
          <c:cat>
            <c:strRef>
              <c:f>Лист1!$A$2:$A$5</c:f>
              <c:strCache>
                <c:ptCount val="2"/>
                <c:pt idx="0">
                  <c:v>локалізований пародонтит</c:v>
                </c:pt>
                <c:pt idx="1">
                  <c:v>Генералізований пародонтит І ступеню</c:v>
                </c:pt>
              </c:strCache>
            </c:strRef>
          </c:cat>
          <c:val>
            <c:numRef>
              <c:f>Лист1!$C$2:$C$5</c:f>
              <c:numCache>
                <c:formatCode>General</c:formatCode>
                <c:ptCount val="4"/>
                <c:pt idx="0">
                  <c:v>10</c:v>
                </c:pt>
                <c:pt idx="1">
                  <c:v>13.3</c:v>
                </c:pt>
              </c:numCache>
            </c:numRef>
          </c:val>
        </c:ser>
        <c:ser>
          <c:idx val="2"/>
          <c:order val="2"/>
          <c:tx>
            <c:strRef>
              <c:f>Лист1!$D$1</c:f>
              <c:strCache>
                <c:ptCount val="1"/>
                <c:pt idx="0">
                  <c:v>Столбец1</c:v>
                </c:pt>
              </c:strCache>
            </c:strRef>
          </c:tx>
          <c:cat>
            <c:strRef>
              <c:f>Лист1!$A$2:$A$5</c:f>
              <c:strCache>
                <c:ptCount val="2"/>
                <c:pt idx="0">
                  <c:v>локалізований пародонтит</c:v>
                </c:pt>
                <c:pt idx="1">
                  <c:v>Генералізований пародонтит І ступеню</c:v>
                </c:pt>
              </c:strCache>
            </c:strRef>
          </c:cat>
          <c:val>
            <c:numRef>
              <c:f>Лист1!$D$2:$D$5</c:f>
              <c:numCache>
                <c:formatCode>General</c:formatCode>
                <c:ptCount val="4"/>
              </c:numCache>
            </c:numRef>
          </c:val>
        </c:ser>
        <c:axId val="117660288"/>
        <c:axId val="117691136"/>
      </c:barChart>
      <c:catAx>
        <c:axId val="117660288"/>
        <c:scaling>
          <c:orientation val="minMax"/>
        </c:scaling>
        <c:axPos val="b"/>
        <c:title>
          <c:tx>
            <c:rich>
              <a:bodyPr/>
              <a:lstStyle/>
              <a:p>
                <a:pPr>
                  <a:defRPr sz="998" b="1" i="0" u="none" strike="noStrike" baseline="0">
                    <a:solidFill>
                      <a:srgbClr val="000000"/>
                    </a:solidFill>
                    <a:latin typeface="Calibri"/>
                    <a:ea typeface="Calibri"/>
                    <a:cs typeface="Calibri"/>
                  </a:defRPr>
                </a:pPr>
                <a:r>
                  <a:t>Ступінь генералізації пародонтиту</a:t>
                </a:r>
              </a:p>
            </c:rich>
          </c:tx>
          <c:layout>
            <c:manualLayout>
              <c:xMode val="edge"/>
              <c:yMode val="edge"/>
              <c:x val="0.58412155797598453"/>
              <c:y val="0.73574451059471291"/>
            </c:manualLayout>
          </c:layout>
        </c:title>
        <c:numFmt formatCode="General" sourceLinked="1"/>
        <c:tickLblPos val="nextTo"/>
        <c:crossAx val="117691136"/>
        <c:crosses val="autoZero"/>
        <c:auto val="1"/>
        <c:lblAlgn val="ctr"/>
        <c:lblOffset val="100"/>
      </c:catAx>
      <c:valAx>
        <c:axId val="117691136"/>
        <c:scaling>
          <c:orientation val="minMax"/>
        </c:scaling>
        <c:axPos val="l"/>
        <c:majorGridlines/>
        <c:title>
          <c:tx>
            <c:rich>
              <a:bodyPr rot="0" vert="horz"/>
              <a:lstStyle/>
              <a:p>
                <a:pPr algn="ctr">
                  <a:defRPr sz="998" b="1" i="0" u="none" strike="noStrike" baseline="0">
                    <a:solidFill>
                      <a:srgbClr val="000000"/>
                    </a:solidFill>
                    <a:latin typeface="Calibri"/>
                    <a:ea typeface="Calibri"/>
                    <a:cs typeface="Calibri"/>
                  </a:defRPr>
                </a:pPr>
                <a:r>
                  <a:t>%</a:t>
                </a:r>
              </a:p>
            </c:rich>
          </c:tx>
          <c:layout>
            <c:manualLayout>
              <c:xMode val="edge"/>
              <c:yMode val="edge"/>
              <c:x val="2.564094122381045E-2"/>
              <c:y val="2.4277254977274197E-2"/>
            </c:manualLayout>
          </c:layout>
        </c:title>
        <c:numFmt formatCode="General" sourceLinked="1"/>
        <c:tickLblPos val="nextTo"/>
        <c:crossAx val="117660288"/>
        <c:crosses val="autoZero"/>
        <c:crossBetween val="between"/>
      </c:valAx>
    </c:plotArea>
    <c:legend>
      <c:legendPos val="r"/>
      <c:legendEntry>
        <c:idx val="2"/>
        <c:delete val="1"/>
      </c:legendEntry>
    </c:legend>
    <c:plotVisOnly val="1"/>
    <c:dispBlanksAs val="gap"/>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b="0"/>
              <a:t>І</a:t>
            </a:r>
          </a:p>
        </c:rich>
      </c:tx>
      <c:layout>
        <c:manualLayout>
          <c:xMode val="edge"/>
          <c:yMode val="edge"/>
          <c:x val="4.7031925887312878E-2"/>
          <c:y val="3.5294042790105798E-2"/>
        </c:manualLayout>
      </c:layout>
    </c:title>
    <c:plotArea>
      <c:layout/>
      <c:barChart>
        <c:barDir val="col"/>
        <c:grouping val="clustered"/>
        <c:ser>
          <c:idx val="0"/>
          <c:order val="0"/>
          <c:tx>
            <c:strRef>
              <c:f>Лист1!$B$1</c:f>
              <c:strCache>
                <c:ptCount val="1"/>
                <c:pt idx="0">
                  <c:v>Ряд 1</c:v>
                </c:pt>
              </c:strCache>
            </c:strRef>
          </c:tx>
          <c:dLbls>
            <c:showVal val="1"/>
          </c:dLbls>
          <c:cat>
            <c:strRef>
              <c:f>Лист1!$A$2:$A$8</c:f>
              <c:strCache>
                <c:ptCount val="7"/>
                <c:pt idx="0">
                  <c:v>акушерський анамнез</c:v>
                </c:pt>
                <c:pt idx="1">
                  <c:v>спосіб життя</c:v>
                </c:pt>
                <c:pt idx="2">
                  <c:v>анамнез життя</c:v>
                </c:pt>
                <c:pt idx="3">
                  <c:v>спадковість</c:v>
                </c:pt>
                <c:pt idx="4">
                  <c:v>стан здоров'я</c:v>
                </c:pt>
                <c:pt idx="5">
                  <c:v>стоматологічний статус</c:v>
                </c:pt>
                <c:pt idx="6">
                  <c:v>параклінічні показники</c:v>
                </c:pt>
              </c:strCache>
            </c:strRef>
          </c:cat>
          <c:val>
            <c:numRef>
              <c:f>Лист1!$B$2:$B$8</c:f>
              <c:numCache>
                <c:formatCode>General</c:formatCode>
                <c:ptCount val="7"/>
                <c:pt idx="0">
                  <c:v>0.53</c:v>
                </c:pt>
                <c:pt idx="1">
                  <c:v>0.9</c:v>
                </c:pt>
                <c:pt idx="2">
                  <c:v>0.92</c:v>
                </c:pt>
                <c:pt idx="3">
                  <c:v>1.32</c:v>
                </c:pt>
                <c:pt idx="4">
                  <c:v>1.5</c:v>
                </c:pt>
                <c:pt idx="5">
                  <c:v>1.6500000000000001</c:v>
                </c:pt>
                <c:pt idx="6">
                  <c:v>1.75</c:v>
                </c:pt>
              </c:numCache>
            </c:numRef>
          </c:val>
        </c:ser>
        <c:axId val="133983616"/>
        <c:axId val="183686272"/>
      </c:barChart>
      <c:catAx>
        <c:axId val="133983616"/>
        <c:scaling>
          <c:orientation val="minMax"/>
        </c:scaling>
        <c:axPos val="b"/>
        <c:numFmt formatCode="General" sourceLinked="1"/>
        <c:tickLblPos val="nextTo"/>
        <c:crossAx val="183686272"/>
        <c:crosses val="autoZero"/>
        <c:auto val="1"/>
        <c:lblAlgn val="ctr"/>
        <c:lblOffset val="100"/>
      </c:catAx>
      <c:valAx>
        <c:axId val="183686272"/>
        <c:scaling>
          <c:orientation val="minMax"/>
        </c:scaling>
        <c:axPos val="l"/>
        <c:majorGridlines/>
        <c:numFmt formatCode="General" sourceLinked="1"/>
        <c:tickLblPos val="nextTo"/>
        <c:crossAx val="133983616"/>
        <c:crosses val="autoZero"/>
        <c:crossBetween val="between"/>
      </c:valAx>
    </c:plotArea>
    <c:plotVisOnly val="1"/>
    <c:dispBlanksAs val="gap"/>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393"/>
              <a:t>%</a:t>
            </a:r>
          </a:p>
        </c:rich>
      </c:tx>
      <c:layout>
        <c:manualLayout>
          <c:xMode val="edge"/>
          <c:yMode val="edge"/>
          <c:x val="5.0688769167012003E-2"/>
          <c:y val="0.16666666666666666"/>
        </c:manualLayout>
      </c:layout>
    </c:title>
    <c:view3D>
      <c:depthPercent val="100"/>
      <c:rAngAx val="1"/>
    </c:view3D>
    <c:plotArea>
      <c:layout/>
      <c:bar3DChart>
        <c:barDir val="col"/>
        <c:grouping val="stacked"/>
        <c:ser>
          <c:idx val="0"/>
          <c:order val="0"/>
          <c:tx>
            <c:strRef>
              <c:f>Лист1!$B$1</c:f>
              <c:strCache>
                <c:ptCount val="1"/>
                <c:pt idx="0">
                  <c:v>Ряд 1</c:v>
                </c:pt>
              </c:strCache>
            </c:strRef>
          </c:tx>
          <c:dLbls>
            <c:dLbl>
              <c:idx val="0"/>
              <c:layout>
                <c:manualLayout>
                  <c:x val="6.7129629629629581E-2"/>
                  <c:y val="-0.21031746031746157"/>
                </c:manualLayout>
              </c:layout>
              <c:spPr/>
              <c:txPr>
                <a:bodyPr/>
                <a:lstStyle/>
                <a:p>
                  <a:pPr>
                    <a:defRPr/>
                  </a:pPr>
                  <a:endParaRPr lang="ru-RU"/>
                </a:p>
              </c:txPr>
              <c:showVal val="1"/>
            </c:dLbl>
            <c:dLbl>
              <c:idx val="1"/>
              <c:layout>
                <c:manualLayout>
                  <c:x val="6.9444444444444503E-2"/>
                  <c:y val="-0.19047619047619133"/>
                </c:manualLayout>
              </c:layout>
              <c:spPr/>
              <c:txPr>
                <a:bodyPr/>
                <a:lstStyle/>
                <a:p>
                  <a:pPr>
                    <a:defRPr/>
                  </a:pPr>
                  <a:endParaRPr lang="ru-RU"/>
                </a:p>
              </c:txPr>
              <c:showVal val="1"/>
            </c:dLbl>
            <c:dLbl>
              <c:idx val="2"/>
              <c:layout>
                <c:manualLayout>
                  <c:x val="5.7870370370370371E-2"/>
                  <c:y val="-0.25396825396825512"/>
                </c:manualLayout>
              </c:layout>
              <c:spPr/>
              <c:txPr>
                <a:bodyPr/>
                <a:lstStyle/>
                <a:p>
                  <a:pPr>
                    <a:defRPr/>
                  </a:pPr>
                  <a:endParaRPr lang="ru-RU"/>
                </a:p>
              </c:txPr>
              <c:showVal val="1"/>
            </c:dLbl>
            <c:showVal val="1"/>
          </c:dLbls>
          <c:cat>
            <c:strRef>
              <c:f>Лист1!$A$2:$A$4</c:f>
              <c:strCache>
                <c:ptCount val="3"/>
                <c:pt idx="0">
                  <c:v>висока інформативність</c:v>
                </c:pt>
                <c:pt idx="1">
                  <c:v>помірна інформативність</c:v>
                </c:pt>
                <c:pt idx="2">
                  <c:v>низька інформативність</c:v>
                </c:pt>
              </c:strCache>
            </c:strRef>
          </c:cat>
          <c:val>
            <c:numRef>
              <c:f>Лист1!$B$2:$B$4</c:f>
              <c:numCache>
                <c:formatCode>0.00</c:formatCode>
                <c:ptCount val="3"/>
                <c:pt idx="0">
                  <c:v>31.8</c:v>
                </c:pt>
                <c:pt idx="1">
                  <c:v>38.6</c:v>
                </c:pt>
                <c:pt idx="2">
                  <c:v>29.6</c:v>
                </c:pt>
              </c:numCache>
            </c:numRef>
          </c:val>
        </c:ser>
        <c:shape val="pyramid"/>
        <c:axId val="185060736"/>
        <c:axId val="185140352"/>
        <c:axId val="0"/>
      </c:bar3DChart>
      <c:catAx>
        <c:axId val="185060736"/>
        <c:scaling>
          <c:orientation val="minMax"/>
        </c:scaling>
        <c:axPos val="b"/>
        <c:numFmt formatCode="General" sourceLinked="1"/>
        <c:tickLblPos val="nextTo"/>
        <c:crossAx val="185140352"/>
        <c:crosses val="autoZero"/>
        <c:auto val="1"/>
        <c:lblAlgn val="ctr"/>
        <c:lblOffset val="100"/>
      </c:catAx>
      <c:valAx>
        <c:axId val="185140352"/>
        <c:scaling>
          <c:orientation val="minMax"/>
        </c:scaling>
        <c:axPos val="l"/>
        <c:majorGridlines/>
        <c:numFmt formatCode="0.00" sourceLinked="1"/>
        <c:tickLblPos val="nextTo"/>
        <c:crossAx val="185060736"/>
        <c:crosses val="autoZero"/>
        <c:crossBetween val="between"/>
      </c:valAx>
      <c:spPr>
        <a:noFill/>
        <a:ln w="25350">
          <a:noFill/>
        </a:ln>
      </c:spPr>
    </c:plotArea>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dLbls>
            <c:dLbl>
              <c:idx val="0"/>
              <c:tx>
                <c:rich>
                  <a:bodyPr/>
                  <a:lstStyle/>
                  <a:p>
                    <a:pPr>
                      <a:defRPr/>
                    </a:pPr>
                    <a:r>
                      <a:rPr lang="en-US"/>
                      <a:t>-9,2</a:t>
                    </a:r>
                  </a:p>
                </c:rich>
              </c:tx>
              <c:spPr/>
              <c:dLblPos val="outEnd"/>
            </c:dLbl>
            <c:delete val="1"/>
          </c:dLbls>
          <c:val>
            <c:numRef>
              <c:f>Лист1!$B$2</c:f>
              <c:numCache>
                <c:formatCode>General</c:formatCode>
                <c:ptCount val="1"/>
                <c:pt idx="0">
                  <c:v>9.2000000000000011</c:v>
                </c:pt>
              </c:numCache>
            </c:numRef>
          </c:val>
        </c:ser>
        <c:ser>
          <c:idx val="1"/>
          <c:order val="1"/>
          <c:dLbls>
            <c:dLbl>
              <c:idx val="0"/>
              <c:tx>
                <c:rich>
                  <a:bodyPr/>
                  <a:lstStyle/>
                  <a:p>
                    <a:pPr>
                      <a:defRPr/>
                    </a:pPr>
                    <a:r>
                      <a:rPr lang="en-US"/>
                      <a:t>-9,1</a:t>
                    </a:r>
                  </a:p>
                </c:rich>
              </c:tx>
              <c:spPr/>
            </c:dLbl>
            <c:showVal val="1"/>
          </c:dLbls>
          <c:val>
            <c:numRef>
              <c:f>Лист1!$C$2</c:f>
              <c:numCache>
                <c:formatCode>General</c:formatCode>
                <c:ptCount val="1"/>
                <c:pt idx="0">
                  <c:v>9.1</c:v>
                </c:pt>
              </c:numCache>
            </c:numRef>
          </c:val>
        </c:ser>
        <c:ser>
          <c:idx val="2"/>
          <c:order val="2"/>
          <c:dLbls>
            <c:dLbl>
              <c:idx val="0"/>
              <c:tx>
                <c:rich>
                  <a:bodyPr/>
                  <a:lstStyle/>
                  <a:p>
                    <a:pPr>
                      <a:defRPr/>
                    </a:pPr>
                    <a:r>
                      <a:rPr lang="en-US"/>
                      <a:t>-9,1</a:t>
                    </a:r>
                  </a:p>
                </c:rich>
              </c:tx>
              <c:spPr/>
            </c:dLbl>
            <c:showVal val="1"/>
          </c:dLbls>
          <c:val>
            <c:numRef>
              <c:f>Лист1!$D$2</c:f>
              <c:numCache>
                <c:formatCode>General</c:formatCode>
                <c:ptCount val="1"/>
                <c:pt idx="0">
                  <c:v>9.1</c:v>
                </c:pt>
              </c:numCache>
            </c:numRef>
          </c:val>
        </c:ser>
        <c:ser>
          <c:idx val="3"/>
          <c:order val="3"/>
          <c:dLbls>
            <c:dLbl>
              <c:idx val="0"/>
              <c:tx>
                <c:rich>
                  <a:bodyPr/>
                  <a:lstStyle/>
                  <a:p>
                    <a:pPr>
                      <a:defRPr/>
                    </a:pPr>
                    <a:r>
                      <a:rPr lang="en-US"/>
                      <a:t>-8,8</a:t>
                    </a:r>
                  </a:p>
                </c:rich>
              </c:tx>
              <c:spPr/>
            </c:dLbl>
            <c:showVal val="1"/>
          </c:dLbls>
          <c:val>
            <c:numRef>
              <c:f>Лист1!$E$2</c:f>
              <c:numCache>
                <c:formatCode>General</c:formatCode>
                <c:ptCount val="1"/>
                <c:pt idx="0">
                  <c:v>8.8000000000000007</c:v>
                </c:pt>
              </c:numCache>
            </c:numRef>
          </c:val>
        </c:ser>
        <c:ser>
          <c:idx val="4"/>
          <c:order val="4"/>
          <c:dLbls>
            <c:dLbl>
              <c:idx val="0"/>
              <c:tx>
                <c:rich>
                  <a:bodyPr/>
                  <a:lstStyle/>
                  <a:p>
                    <a:pPr>
                      <a:defRPr/>
                    </a:pPr>
                    <a:r>
                      <a:rPr lang="en-US"/>
                      <a:t>-6,1</a:t>
                    </a:r>
                  </a:p>
                </c:rich>
              </c:tx>
              <c:spPr/>
            </c:dLbl>
            <c:showVal val="1"/>
          </c:dLbls>
          <c:val>
            <c:numRef>
              <c:f>Лист1!$F$2</c:f>
              <c:numCache>
                <c:formatCode>General</c:formatCode>
                <c:ptCount val="1"/>
                <c:pt idx="0">
                  <c:v>6.1</c:v>
                </c:pt>
              </c:numCache>
            </c:numRef>
          </c:val>
        </c:ser>
        <c:ser>
          <c:idx val="5"/>
          <c:order val="5"/>
          <c:dLbls>
            <c:dLbl>
              <c:idx val="0"/>
              <c:tx>
                <c:rich>
                  <a:bodyPr/>
                  <a:lstStyle/>
                  <a:p>
                    <a:pPr>
                      <a:defRPr/>
                    </a:pPr>
                    <a:r>
                      <a:rPr lang="en-US"/>
                      <a:t>-4,8</a:t>
                    </a:r>
                  </a:p>
                </c:rich>
              </c:tx>
              <c:spPr/>
            </c:dLbl>
            <c:showVal val="1"/>
          </c:dLbls>
          <c:val>
            <c:numRef>
              <c:f>Лист1!$G$2</c:f>
              <c:numCache>
                <c:formatCode>General</c:formatCode>
                <c:ptCount val="1"/>
                <c:pt idx="0">
                  <c:v>4.8</c:v>
                </c:pt>
              </c:numCache>
            </c:numRef>
          </c:val>
        </c:ser>
        <c:ser>
          <c:idx val="6"/>
          <c:order val="6"/>
          <c:dLbls>
            <c:dLbl>
              <c:idx val="0"/>
              <c:tx>
                <c:rich>
                  <a:bodyPr/>
                  <a:lstStyle/>
                  <a:p>
                    <a:pPr>
                      <a:defRPr/>
                    </a:pPr>
                    <a:r>
                      <a:rPr lang="en-US"/>
                      <a:t>-4</a:t>
                    </a:r>
                  </a:p>
                </c:rich>
              </c:tx>
              <c:spPr/>
            </c:dLbl>
            <c:showVal val="1"/>
          </c:dLbls>
          <c:val>
            <c:numRef>
              <c:f>Лист1!$H$2</c:f>
              <c:numCache>
                <c:formatCode>General</c:formatCode>
                <c:ptCount val="1"/>
                <c:pt idx="0">
                  <c:v>4</c:v>
                </c:pt>
              </c:numCache>
            </c:numRef>
          </c:val>
        </c:ser>
        <c:ser>
          <c:idx val="7"/>
          <c:order val="7"/>
          <c:dLbls>
            <c:dLbl>
              <c:idx val="0"/>
              <c:tx>
                <c:rich>
                  <a:bodyPr/>
                  <a:lstStyle/>
                  <a:p>
                    <a:pPr>
                      <a:defRPr/>
                    </a:pPr>
                    <a:r>
                      <a:rPr lang="en-US"/>
                      <a:t>-3,8</a:t>
                    </a:r>
                  </a:p>
                </c:rich>
              </c:tx>
              <c:spPr/>
            </c:dLbl>
            <c:showVal val="1"/>
          </c:dLbls>
          <c:val>
            <c:numRef>
              <c:f>Лист1!$I$2</c:f>
              <c:numCache>
                <c:formatCode>General</c:formatCode>
                <c:ptCount val="1"/>
                <c:pt idx="0">
                  <c:v>3.8</c:v>
                </c:pt>
              </c:numCache>
            </c:numRef>
          </c:val>
        </c:ser>
        <c:ser>
          <c:idx val="8"/>
          <c:order val="8"/>
          <c:dLbls>
            <c:dLbl>
              <c:idx val="0"/>
              <c:tx>
                <c:rich>
                  <a:bodyPr/>
                  <a:lstStyle/>
                  <a:p>
                    <a:pPr>
                      <a:defRPr/>
                    </a:pPr>
                    <a:r>
                      <a:rPr lang="en-US"/>
                      <a:t>-3,8</a:t>
                    </a:r>
                  </a:p>
                </c:rich>
              </c:tx>
              <c:spPr/>
            </c:dLbl>
            <c:showVal val="1"/>
          </c:dLbls>
          <c:val>
            <c:numRef>
              <c:f>Лист1!$J$2</c:f>
              <c:numCache>
                <c:formatCode>General</c:formatCode>
                <c:ptCount val="1"/>
                <c:pt idx="0">
                  <c:v>3.8</c:v>
                </c:pt>
              </c:numCache>
            </c:numRef>
          </c:val>
        </c:ser>
        <c:ser>
          <c:idx val="9"/>
          <c:order val="9"/>
          <c:dLbls>
            <c:dLbl>
              <c:idx val="0"/>
              <c:tx>
                <c:rich>
                  <a:bodyPr/>
                  <a:lstStyle/>
                  <a:p>
                    <a:pPr>
                      <a:defRPr/>
                    </a:pPr>
                    <a:r>
                      <a:rPr lang="en-US"/>
                      <a:t>-2,3</a:t>
                    </a:r>
                  </a:p>
                </c:rich>
              </c:tx>
              <c:spPr/>
            </c:dLbl>
            <c:showVal val="1"/>
          </c:dLbls>
          <c:val>
            <c:numRef>
              <c:f>Лист1!$K$2</c:f>
              <c:numCache>
                <c:formatCode>General</c:formatCode>
                <c:ptCount val="1"/>
                <c:pt idx="0">
                  <c:v>2.2999999999999998</c:v>
                </c:pt>
              </c:numCache>
            </c:numRef>
          </c:val>
        </c:ser>
        <c:axId val="187808000"/>
        <c:axId val="187822080"/>
      </c:barChart>
      <c:catAx>
        <c:axId val="187808000"/>
        <c:scaling>
          <c:orientation val="minMax"/>
        </c:scaling>
        <c:axPos val="b"/>
        <c:numFmt formatCode="General" sourceLinked="1"/>
        <c:majorTickMark val="none"/>
        <c:tickLblPos val="nextTo"/>
        <c:crossAx val="187822080"/>
        <c:crosses val="autoZero"/>
        <c:auto val="1"/>
        <c:lblAlgn val="ctr"/>
        <c:lblOffset val="100"/>
      </c:catAx>
      <c:valAx>
        <c:axId val="187822080"/>
        <c:scaling>
          <c:orientation val="minMax"/>
        </c:scaling>
        <c:axPos val="l"/>
        <c:majorGridlines/>
        <c:title>
          <c:tx>
            <c:rich>
              <a:bodyPr rot="0" vert="horz"/>
              <a:lstStyle/>
              <a:p>
                <a:pPr algn="ctr">
                  <a:defRPr sz="998" b="1" i="0" u="none" strike="noStrike" baseline="0">
                    <a:solidFill>
                      <a:srgbClr val="000000"/>
                    </a:solidFill>
                    <a:latin typeface="Calibri"/>
                    <a:ea typeface="Calibri"/>
                    <a:cs typeface="Calibri"/>
                  </a:defRPr>
                </a:pPr>
                <a:r>
                  <a:t>ПК</a:t>
                </a:r>
              </a:p>
            </c:rich>
          </c:tx>
          <c:layout>
            <c:manualLayout>
              <c:xMode val="edge"/>
              <c:yMode val="edge"/>
              <c:x val="1.8845698865106657E-2"/>
              <c:y val="2.1485805653603668E-2"/>
            </c:manualLayout>
          </c:layout>
        </c:title>
        <c:numFmt formatCode="General" sourceLinked="1"/>
        <c:majorTickMark val="none"/>
        <c:tickLblPos val="nextTo"/>
        <c:crossAx val="187808000"/>
        <c:crosses val="autoZero"/>
        <c:crossBetween val="between"/>
      </c:valAx>
    </c:plotArea>
    <c:legend>
      <c:legendPos val="b"/>
      <c:layout>
        <c:manualLayout>
          <c:xMode val="edge"/>
          <c:yMode val="edge"/>
          <c:wMode val="edge"/>
          <c:hMode val="edge"/>
          <c:x val="5.2594543639791512E-2"/>
          <c:y val="0.85484538570609714"/>
          <c:w val="0.94277568296920644"/>
          <c:h val="1"/>
        </c:manualLayout>
      </c:layout>
    </c:legend>
    <c:plotVisOnly val="1"/>
    <c:dispBlanksAs val="gap"/>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hart>
    <c:view3D>
      <c:hPercent val="6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6.0952380952381174E-2"/>
          <c:y val="5.9859154929577482E-2"/>
          <c:w val="0.7466666666666667"/>
          <c:h val="0.82746478873239215"/>
        </c:manualLayout>
      </c:layout>
      <c:bar3DChart>
        <c:barDir val="col"/>
        <c:grouping val="clustered"/>
        <c:ser>
          <c:idx val="0"/>
          <c:order val="0"/>
          <c:tx>
            <c:strRef>
              <c:f>Sheet1!$A$2</c:f>
              <c:strCache>
                <c:ptCount val="1"/>
                <c:pt idx="0">
                  <c:v>основна група</c:v>
                </c:pt>
              </c:strCache>
            </c:strRef>
          </c:tx>
          <c:spPr>
            <a:solidFill>
              <a:srgbClr val="9999FF"/>
            </a:solidFill>
            <a:ln w="12698">
              <a:solidFill>
                <a:srgbClr val="000000"/>
              </a:solidFill>
              <a:prstDash val="solid"/>
            </a:ln>
          </c:spPr>
          <c:dLbls>
            <c:dLbl>
              <c:idx val="0"/>
              <c:layout>
                <c:manualLayout>
                  <c:x val="8.8453682095708686E-3"/>
                  <c:y val="-1.8208309977349409E-2"/>
                </c:manualLayout>
              </c:layout>
              <c:showVal val="1"/>
            </c:dLbl>
            <c:dLbl>
              <c:idx val="1"/>
              <c:layout>
                <c:manualLayout>
                  <c:x val="7.6612438370580347E-3"/>
                  <c:y val="-1.9146374308844603E-2"/>
                </c:manualLayout>
              </c:layout>
              <c:showVal val="1"/>
            </c:dLbl>
            <c:spPr>
              <a:noFill/>
              <a:ln w="25397">
                <a:noFill/>
              </a:ln>
            </c:spPr>
            <c:txPr>
              <a:bodyPr/>
              <a:lstStyle/>
              <a:p>
                <a:pPr>
                  <a:defRPr sz="1200" b="1" i="0" u="none" strike="noStrike" baseline="0">
                    <a:solidFill>
                      <a:srgbClr val="000000"/>
                    </a:solidFill>
                    <a:latin typeface="Calibri"/>
                    <a:ea typeface="Calibri"/>
                    <a:cs typeface="Calibri"/>
                  </a:defRPr>
                </a:pPr>
                <a:endParaRPr lang="ru-RU"/>
              </a:p>
            </c:txPr>
            <c:showVal val="1"/>
          </c:dLbls>
          <c:cat>
            <c:strRef>
              <c:f>Sheet1!$B$1:$E$1</c:f>
              <c:strCache>
                <c:ptCount val="2"/>
                <c:pt idx="0">
                  <c:v>легкий ступінь</c:v>
                </c:pt>
                <c:pt idx="1">
                  <c:v>середньотяжкий</c:v>
                </c:pt>
              </c:strCache>
            </c:strRef>
          </c:cat>
          <c:val>
            <c:numRef>
              <c:f>Sheet1!$B$2:$E$2</c:f>
              <c:numCache>
                <c:formatCode>General</c:formatCode>
                <c:ptCount val="4"/>
                <c:pt idx="0">
                  <c:v>71.400000000000006</c:v>
                </c:pt>
                <c:pt idx="1">
                  <c:v>28.6</c:v>
                </c:pt>
              </c:numCache>
            </c:numRef>
          </c:val>
        </c:ser>
        <c:ser>
          <c:idx val="1"/>
          <c:order val="1"/>
          <c:tx>
            <c:strRef>
              <c:f>Sheet1!$A$3</c:f>
              <c:strCache>
                <c:ptCount val="1"/>
                <c:pt idx="0">
                  <c:v>контроль</c:v>
                </c:pt>
              </c:strCache>
            </c:strRef>
          </c:tx>
          <c:spPr>
            <a:solidFill>
              <a:srgbClr val="993366"/>
            </a:solidFill>
            <a:ln w="12698">
              <a:solidFill>
                <a:srgbClr val="000000"/>
              </a:solidFill>
              <a:prstDash val="solid"/>
            </a:ln>
          </c:spPr>
          <c:dLbls>
            <c:dLbl>
              <c:idx val="0"/>
              <c:layout>
                <c:manualLayout>
                  <c:x val="9.8676751226994368E-3"/>
                  <c:y val="-1.0035971358710101E-2"/>
                </c:manualLayout>
              </c:layout>
              <c:showVal val="1"/>
            </c:dLbl>
            <c:dLbl>
              <c:idx val="1"/>
              <c:layout>
                <c:manualLayout>
                  <c:x val="8.6835507501864268E-3"/>
                  <c:y val="-2.027645940635691E-2"/>
                </c:manualLayout>
              </c:layout>
              <c:showVal val="1"/>
            </c:dLbl>
            <c:spPr>
              <a:noFill/>
              <a:ln w="25397">
                <a:noFill/>
              </a:ln>
            </c:spPr>
            <c:txPr>
              <a:bodyPr/>
              <a:lstStyle/>
              <a:p>
                <a:pPr>
                  <a:defRPr sz="1200" b="1" i="0" u="none" strike="noStrike" baseline="0">
                    <a:solidFill>
                      <a:srgbClr val="000000"/>
                    </a:solidFill>
                    <a:latin typeface="Calibri"/>
                    <a:ea typeface="Calibri"/>
                    <a:cs typeface="Calibri"/>
                  </a:defRPr>
                </a:pPr>
                <a:endParaRPr lang="ru-RU"/>
              </a:p>
            </c:txPr>
            <c:showVal val="1"/>
          </c:dLbls>
          <c:cat>
            <c:strRef>
              <c:f>Sheet1!$B$1:$E$1</c:f>
              <c:strCache>
                <c:ptCount val="2"/>
                <c:pt idx="0">
                  <c:v>легкий ступінь</c:v>
                </c:pt>
                <c:pt idx="1">
                  <c:v>середньотяжкий</c:v>
                </c:pt>
              </c:strCache>
            </c:strRef>
          </c:cat>
          <c:val>
            <c:numRef>
              <c:f>Sheet1!$B$3:$E$3</c:f>
              <c:numCache>
                <c:formatCode>General</c:formatCode>
                <c:ptCount val="4"/>
                <c:pt idx="0">
                  <c:v>38.5</c:v>
                </c:pt>
                <c:pt idx="1">
                  <c:v>61.5</c:v>
                </c:pt>
              </c:numCache>
            </c:numRef>
          </c:val>
        </c:ser>
        <c:dLbls>
          <c:showVal val="1"/>
        </c:dLbls>
        <c:gapDepth val="0"/>
        <c:shape val="box"/>
        <c:axId val="118450816"/>
        <c:axId val="118460800"/>
        <c:axId val="0"/>
      </c:bar3DChart>
      <c:catAx>
        <c:axId val="118450816"/>
        <c:scaling>
          <c:orientation val="minMax"/>
        </c:scaling>
        <c:axPos val="b"/>
        <c:numFmt formatCode="General" sourceLinked="1"/>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18460800"/>
        <c:crosses val="autoZero"/>
        <c:auto val="1"/>
        <c:lblAlgn val="ctr"/>
        <c:lblOffset val="100"/>
        <c:tickLblSkip val="2"/>
        <c:tickMarkSkip val="1"/>
      </c:catAx>
      <c:valAx>
        <c:axId val="118460800"/>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18450816"/>
        <c:crosses val="autoZero"/>
        <c:crossBetween val="between"/>
      </c:valAx>
      <c:spPr>
        <a:noFill/>
        <a:ln w="25396">
          <a:noFill/>
        </a:ln>
      </c:spPr>
    </c:plotArea>
    <c:legend>
      <c:legendPos val="r"/>
      <c:layout>
        <c:manualLayout>
          <c:xMode val="edge"/>
          <c:yMode val="edge"/>
          <c:wMode val="edge"/>
          <c:hMode val="edge"/>
          <c:x val="0.7504761334490988"/>
          <c:y val="0.41549295774647887"/>
          <c:w val="0.99238086684031401"/>
          <c:h val="0.5880281690140845"/>
        </c:manualLayout>
      </c:layout>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chart>
    <c:view3D>
      <c:hPercent val="67"/>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6.9767441860465351E-2"/>
          <c:y val="6.7692307692307704E-2"/>
          <c:w val="0.76028622540250468"/>
          <c:h val="0.84923076923076857"/>
        </c:manualLayout>
      </c:layout>
      <c:bar3DChart>
        <c:barDir val="col"/>
        <c:grouping val="clustered"/>
        <c:ser>
          <c:idx val="0"/>
          <c:order val="0"/>
          <c:tx>
            <c:strRef>
              <c:f>Sheet1!$A$2</c:f>
              <c:strCache>
                <c:ptCount val="1"/>
                <c:pt idx="0">
                  <c:v>6 міс</c:v>
                </c:pt>
              </c:strCache>
            </c:strRef>
          </c:tx>
          <c:spPr>
            <a:solidFill>
              <a:srgbClr val="9999FF"/>
            </a:solidFill>
            <a:ln w="12660">
              <a:solidFill>
                <a:srgbClr val="000000"/>
              </a:solidFill>
              <a:prstDash val="solid"/>
            </a:ln>
          </c:spPr>
          <c:dLbls>
            <c:dLbl>
              <c:idx val="0"/>
              <c:layout>
                <c:manualLayout>
                  <c:x val="8.8002900870797294E-3"/>
                  <c:y val="6.5548853836845311E-3"/>
                </c:manualLayout>
              </c:layout>
              <c:showVal val="1"/>
            </c:dLbl>
            <c:spPr>
              <a:noFill/>
              <a:ln w="25321">
                <a:noFill/>
              </a:ln>
            </c:spPr>
            <c:txPr>
              <a:bodyPr/>
              <a:lstStyle/>
              <a:p>
                <a:pPr>
                  <a:defRPr sz="1420" b="1" i="0" u="none" strike="noStrike" baseline="0">
                    <a:solidFill>
                      <a:srgbClr val="000000"/>
                    </a:solidFill>
                    <a:latin typeface="Calibri"/>
                    <a:ea typeface="Calibri"/>
                    <a:cs typeface="Calibri"/>
                  </a:defRPr>
                </a:pPr>
                <a:endParaRPr lang="ru-RU"/>
              </a:p>
            </c:txPr>
            <c:showVal val="1"/>
          </c:dLbls>
          <c:cat>
            <c:numRef>
              <c:f>Sheet1!$B$1:$E$1</c:f>
              <c:numCache>
                <c:formatCode>General</c:formatCode>
                <c:ptCount val="4"/>
              </c:numCache>
            </c:numRef>
          </c:cat>
          <c:val>
            <c:numRef>
              <c:f>Sheet1!$B$2:$E$2</c:f>
              <c:numCache>
                <c:formatCode>General</c:formatCode>
                <c:ptCount val="4"/>
                <c:pt idx="0">
                  <c:v>7.4</c:v>
                </c:pt>
              </c:numCache>
            </c:numRef>
          </c:val>
        </c:ser>
        <c:ser>
          <c:idx val="1"/>
          <c:order val="1"/>
          <c:tx>
            <c:strRef>
              <c:f>Sheet1!$A$3</c:f>
              <c:strCache>
                <c:ptCount val="1"/>
                <c:pt idx="0">
                  <c:v>12 міс</c:v>
                </c:pt>
              </c:strCache>
            </c:strRef>
          </c:tx>
          <c:spPr>
            <a:solidFill>
              <a:srgbClr val="993366"/>
            </a:solidFill>
            <a:ln w="12660">
              <a:solidFill>
                <a:srgbClr val="000000"/>
              </a:solidFill>
              <a:prstDash val="solid"/>
            </a:ln>
          </c:spPr>
          <c:dLbls>
            <c:dLbl>
              <c:idx val="0"/>
              <c:layout>
                <c:manualLayout>
                  <c:x val="6.2804567751224933E-3"/>
                  <c:y val="-1.7850114428925042E-2"/>
                </c:manualLayout>
              </c:layout>
              <c:showVal val="1"/>
            </c:dLbl>
            <c:spPr>
              <a:noFill/>
              <a:ln w="25321">
                <a:noFill/>
              </a:ln>
            </c:spPr>
            <c:txPr>
              <a:bodyPr/>
              <a:lstStyle/>
              <a:p>
                <a:pPr>
                  <a:defRPr sz="1420" b="1" i="0" u="none" strike="noStrike" baseline="0">
                    <a:solidFill>
                      <a:srgbClr val="000000"/>
                    </a:solidFill>
                    <a:latin typeface="Calibri"/>
                    <a:ea typeface="Calibri"/>
                    <a:cs typeface="Calibri"/>
                  </a:defRPr>
                </a:pPr>
                <a:endParaRPr lang="ru-RU"/>
              </a:p>
            </c:txPr>
            <c:showVal val="1"/>
          </c:dLbls>
          <c:cat>
            <c:numRef>
              <c:f>Sheet1!$B$1:$E$1</c:f>
              <c:numCache>
                <c:formatCode>General</c:formatCode>
                <c:ptCount val="4"/>
              </c:numCache>
            </c:numRef>
          </c:cat>
          <c:val>
            <c:numRef>
              <c:f>Sheet1!$B$3:$E$3</c:f>
              <c:numCache>
                <c:formatCode>General</c:formatCode>
                <c:ptCount val="4"/>
                <c:pt idx="0">
                  <c:v>15.9</c:v>
                </c:pt>
              </c:numCache>
            </c:numRef>
          </c:val>
        </c:ser>
        <c:ser>
          <c:idx val="2"/>
          <c:order val="2"/>
          <c:tx>
            <c:strRef>
              <c:f>Sheet1!$A$4</c:f>
              <c:strCache>
                <c:ptCount val="1"/>
                <c:pt idx="0">
                  <c:v>18 міс</c:v>
                </c:pt>
              </c:strCache>
            </c:strRef>
          </c:tx>
          <c:spPr>
            <a:solidFill>
              <a:srgbClr val="FFFFCC"/>
            </a:solidFill>
            <a:ln w="12660">
              <a:solidFill>
                <a:srgbClr val="000000"/>
              </a:solidFill>
              <a:prstDash val="solid"/>
            </a:ln>
          </c:spPr>
          <c:dLbls>
            <c:spPr>
              <a:noFill/>
              <a:ln w="25321">
                <a:noFill/>
              </a:ln>
            </c:spPr>
            <c:txPr>
              <a:bodyPr/>
              <a:lstStyle/>
              <a:p>
                <a:pPr>
                  <a:defRPr sz="1420" b="1" i="0" u="none" strike="noStrike" baseline="0">
                    <a:solidFill>
                      <a:srgbClr val="000000"/>
                    </a:solidFill>
                    <a:latin typeface="Calibri"/>
                    <a:ea typeface="Calibri"/>
                    <a:cs typeface="Calibri"/>
                  </a:defRPr>
                </a:pPr>
                <a:endParaRPr lang="ru-RU"/>
              </a:p>
            </c:txPr>
            <c:showVal val="1"/>
          </c:dLbls>
          <c:cat>
            <c:numRef>
              <c:f>Sheet1!$B$1:$E$1</c:f>
              <c:numCache>
                <c:formatCode>General</c:formatCode>
                <c:ptCount val="4"/>
              </c:numCache>
            </c:numRef>
          </c:cat>
          <c:val>
            <c:numRef>
              <c:f>Sheet1!$B$4:$E$4</c:f>
              <c:numCache>
                <c:formatCode>General</c:formatCode>
                <c:ptCount val="4"/>
                <c:pt idx="0">
                  <c:v>22.6</c:v>
                </c:pt>
              </c:numCache>
            </c:numRef>
          </c:val>
        </c:ser>
        <c:ser>
          <c:idx val="3"/>
          <c:order val="3"/>
          <c:tx>
            <c:strRef>
              <c:f>Sheet1!$A$5</c:f>
              <c:strCache>
                <c:ptCount val="1"/>
                <c:pt idx="0">
                  <c:v>24 міс</c:v>
                </c:pt>
              </c:strCache>
            </c:strRef>
          </c:tx>
          <c:spPr>
            <a:solidFill>
              <a:srgbClr val="CCFFFF"/>
            </a:solidFill>
            <a:ln w="12660">
              <a:solidFill>
                <a:srgbClr val="000000"/>
              </a:solidFill>
              <a:prstDash val="solid"/>
            </a:ln>
          </c:spPr>
          <c:dLbls>
            <c:spPr>
              <a:noFill/>
              <a:ln w="25321">
                <a:noFill/>
              </a:ln>
            </c:spPr>
            <c:txPr>
              <a:bodyPr/>
              <a:lstStyle/>
              <a:p>
                <a:pPr>
                  <a:defRPr sz="1420" b="1" i="0" u="none" strike="noStrike" baseline="0">
                    <a:solidFill>
                      <a:srgbClr val="000000"/>
                    </a:solidFill>
                    <a:latin typeface="Calibri"/>
                    <a:ea typeface="Calibri"/>
                    <a:cs typeface="Calibri"/>
                  </a:defRPr>
                </a:pPr>
                <a:endParaRPr lang="ru-RU"/>
              </a:p>
            </c:txPr>
            <c:showVal val="1"/>
          </c:dLbls>
          <c:cat>
            <c:numRef>
              <c:f>Sheet1!$B$1:$E$1</c:f>
              <c:numCache>
                <c:formatCode>General</c:formatCode>
                <c:ptCount val="4"/>
              </c:numCache>
            </c:numRef>
          </c:cat>
          <c:val>
            <c:numRef>
              <c:f>Sheet1!$B$5:$E$5</c:f>
              <c:numCache>
                <c:formatCode>General</c:formatCode>
                <c:ptCount val="4"/>
                <c:pt idx="0">
                  <c:v>30</c:v>
                </c:pt>
              </c:numCache>
            </c:numRef>
          </c:val>
        </c:ser>
        <c:gapDepth val="0"/>
        <c:shape val="box"/>
        <c:axId val="185184256"/>
        <c:axId val="185185792"/>
        <c:axId val="0"/>
      </c:bar3DChart>
      <c:catAx>
        <c:axId val="185184256"/>
        <c:scaling>
          <c:orientation val="minMax"/>
        </c:scaling>
        <c:axPos val="b"/>
        <c:numFmt formatCode="General" sourceLinked="1"/>
        <c:tickLblPos val="low"/>
        <c:spPr>
          <a:ln w="3166">
            <a:solidFill>
              <a:srgbClr val="000000"/>
            </a:solidFill>
            <a:prstDash val="solid"/>
          </a:ln>
        </c:spPr>
        <c:txPr>
          <a:bodyPr rot="0" vert="horz"/>
          <a:lstStyle/>
          <a:p>
            <a:pPr>
              <a:defRPr sz="1420" b="1" i="0" u="none" strike="noStrike" baseline="0">
                <a:solidFill>
                  <a:srgbClr val="000000"/>
                </a:solidFill>
                <a:latin typeface="Calibri"/>
                <a:ea typeface="Calibri"/>
                <a:cs typeface="Calibri"/>
              </a:defRPr>
            </a:pPr>
            <a:endParaRPr lang="ru-RU"/>
          </a:p>
        </c:txPr>
        <c:crossAx val="185185792"/>
        <c:crosses val="autoZero"/>
        <c:auto val="1"/>
        <c:lblAlgn val="ctr"/>
        <c:lblOffset val="100"/>
        <c:tickLblSkip val="1"/>
        <c:tickMarkSkip val="1"/>
      </c:catAx>
      <c:valAx>
        <c:axId val="185185792"/>
        <c:scaling>
          <c:orientation val="minMax"/>
        </c:scaling>
        <c:axPos val="l"/>
        <c:majorGridlines>
          <c:spPr>
            <a:ln w="3166">
              <a:solidFill>
                <a:srgbClr val="000000"/>
              </a:solidFill>
              <a:prstDash val="solid"/>
            </a:ln>
          </c:spPr>
        </c:majorGridlines>
        <c:numFmt formatCode="General" sourceLinked="1"/>
        <c:tickLblPos val="nextTo"/>
        <c:spPr>
          <a:ln w="3166">
            <a:solidFill>
              <a:srgbClr val="000000"/>
            </a:solidFill>
            <a:prstDash val="solid"/>
          </a:ln>
        </c:spPr>
        <c:txPr>
          <a:bodyPr rot="0" vert="horz"/>
          <a:lstStyle/>
          <a:p>
            <a:pPr>
              <a:defRPr sz="1420" b="1" i="0" u="none" strike="noStrike" baseline="0">
                <a:solidFill>
                  <a:srgbClr val="000000"/>
                </a:solidFill>
                <a:latin typeface="Calibri"/>
                <a:ea typeface="Calibri"/>
                <a:cs typeface="Calibri"/>
              </a:defRPr>
            </a:pPr>
            <a:endParaRPr lang="ru-RU"/>
          </a:p>
        </c:txPr>
        <c:crossAx val="185184256"/>
        <c:crosses val="autoZero"/>
        <c:crossBetween val="between"/>
      </c:valAx>
      <c:spPr>
        <a:noFill/>
        <a:ln w="25397">
          <a:noFill/>
        </a:ln>
      </c:spPr>
    </c:plotArea>
    <c:legend>
      <c:legendPos val="r"/>
      <c:layout>
        <c:manualLayout>
          <c:xMode val="edge"/>
          <c:yMode val="edge"/>
          <c:wMode val="edge"/>
          <c:hMode val="edge"/>
          <c:x val="0.84973172103487082"/>
          <c:y val="0.32615372152555011"/>
          <c:w val="0.99284439445069361"/>
          <c:h val="0.6738459544408808"/>
        </c:manualLayout>
      </c:layout>
      <c:spPr>
        <a:noFill/>
        <a:ln w="3166">
          <a:solidFill>
            <a:srgbClr val="000000"/>
          </a:solidFill>
          <a:prstDash val="solid"/>
        </a:ln>
      </c:spPr>
      <c:txPr>
        <a:bodyPr/>
        <a:lstStyle/>
        <a:p>
          <a:pPr>
            <a:defRPr sz="1306" b="1" i="0" u="none" strike="noStrike" baseline="0">
              <a:solidFill>
                <a:srgbClr val="000000"/>
              </a:solidFill>
              <a:latin typeface="Calibri"/>
              <a:ea typeface="Calibri"/>
              <a:cs typeface="Calibri"/>
            </a:defRPr>
          </a:pPr>
          <a:endParaRPr lang="ru-RU"/>
        </a:p>
      </c:txPr>
    </c:legend>
    <c:plotVisOnly val="1"/>
    <c:dispBlanksAs val="gap"/>
  </c:chart>
  <c:spPr>
    <a:noFill/>
    <a:ln>
      <a:noFill/>
    </a:ln>
  </c:spPr>
  <c:txPr>
    <a:bodyPr/>
    <a:lstStyle/>
    <a:p>
      <a:pPr>
        <a:defRPr sz="1420" b="1" i="0" u="none" strike="noStrike" baseline="0">
          <a:solidFill>
            <a:srgbClr val="000000"/>
          </a:solidFill>
          <a:latin typeface="Calibri"/>
          <a:ea typeface="Calibri"/>
          <a:cs typeface="Calibri"/>
        </a:defRPr>
      </a:pPr>
      <a:endParaRPr lang="ru-RU"/>
    </a:p>
  </c:txPr>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chart>
    <c:view3D>
      <c:hPercent val="67"/>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7.9591836734693902E-2"/>
          <c:y val="5.9880239520958237E-2"/>
          <c:w val="0.92040816326530617"/>
          <c:h val="0.74251497005988065"/>
        </c:manualLayout>
      </c:layout>
      <c:bar3DChart>
        <c:barDir val="col"/>
        <c:grouping val="clustered"/>
        <c:ser>
          <c:idx val="0"/>
          <c:order val="0"/>
          <c:tx>
            <c:strRef>
              <c:f>Sheet1!$A$2</c:f>
              <c:strCache>
                <c:ptCount val="1"/>
                <c:pt idx="0">
                  <c:v>основна група</c:v>
                </c:pt>
              </c:strCache>
            </c:strRef>
          </c:tx>
          <c:spPr>
            <a:solidFill>
              <a:srgbClr val="9999FF"/>
            </a:solidFill>
            <a:ln w="12697">
              <a:solidFill>
                <a:srgbClr val="000000"/>
              </a:solidFill>
              <a:prstDash val="solid"/>
            </a:ln>
          </c:spPr>
          <c:cat>
            <c:strRef>
              <c:f>Sheet1!$B$1:$E$1</c:f>
              <c:strCache>
                <c:ptCount val="3"/>
                <c:pt idx="0">
                  <c:v>норма</c:v>
                </c:pt>
                <c:pt idx="1">
                  <c:v>нестійкий ефект</c:v>
                </c:pt>
                <c:pt idx="2">
                  <c:v>збереження ПМФ</c:v>
                </c:pt>
              </c:strCache>
            </c:strRef>
          </c:cat>
          <c:val>
            <c:numRef>
              <c:f>Sheet1!$B$2:$E$2</c:f>
              <c:numCache>
                <c:formatCode>General</c:formatCode>
                <c:ptCount val="4"/>
                <c:pt idx="0">
                  <c:v>13.3</c:v>
                </c:pt>
                <c:pt idx="1">
                  <c:v>50</c:v>
                </c:pt>
                <c:pt idx="2">
                  <c:v>20</c:v>
                </c:pt>
              </c:numCache>
            </c:numRef>
          </c:val>
        </c:ser>
        <c:ser>
          <c:idx val="1"/>
          <c:order val="1"/>
          <c:tx>
            <c:strRef>
              <c:f>Sheet1!$A$3</c:f>
              <c:strCache>
                <c:ptCount val="1"/>
                <c:pt idx="0">
                  <c:v>Контроль</c:v>
                </c:pt>
              </c:strCache>
            </c:strRef>
          </c:tx>
          <c:spPr>
            <a:solidFill>
              <a:srgbClr val="993366"/>
            </a:solidFill>
            <a:ln w="12697">
              <a:solidFill>
                <a:srgbClr val="000000"/>
              </a:solidFill>
              <a:prstDash val="solid"/>
            </a:ln>
          </c:spPr>
          <c:cat>
            <c:strRef>
              <c:f>Sheet1!$B$1:$E$1</c:f>
              <c:strCache>
                <c:ptCount val="3"/>
                <c:pt idx="0">
                  <c:v>норма</c:v>
                </c:pt>
                <c:pt idx="1">
                  <c:v>нестійкий ефект</c:v>
                </c:pt>
                <c:pt idx="2">
                  <c:v>збереження ПМФ</c:v>
                </c:pt>
              </c:strCache>
            </c:strRef>
          </c:cat>
          <c:val>
            <c:numRef>
              <c:f>Sheet1!$B$3:$E$3</c:f>
              <c:numCache>
                <c:formatCode>General</c:formatCode>
                <c:ptCount val="4"/>
                <c:pt idx="0">
                  <c:v>30</c:v>
                </c:pt>
                <c:pt idx="1">
                  <c:v>30</c:v>
                </c:pt>
                <c:pt idx="2">
                  <c:v>56.7</c:v>
                </c:pt>
              </c:numCache>
            </c:numRef>
          </c:val>
        </c:ser>
        <c:gapDepth val="0"/>
        <c:shape val="box"/>
        <c:axId val="120465280"/>
        <c:axId val="120466816"/>
        <c:axId val="0"/>
      </c:bar3DChart>
      <c:catAx>
        <c:axId val="120465280"/>
        <c:scaling>
          <c:orientation val="minMax"/>
        </c:scaling>
        <c:axPos val="b"/>
        <c:numFmt formatCode="General" sourceLinked="1"/>
        <c:tickLblPos val="low"/>
        <c:spPr>
          <a:ln w="3174">
            <a:solidFill>
              <a:srgbClr val="000000"/>
            </a:solidFill>
            <a:prstDash val="solid"/>
          </a:ln>
        </c:spPr>
        <c:txPr>
          <a:bodyPr rot="0" vert="horz"/>
          <a:lstStyle/>
          <a:p>
            <a:pPr>
              <a:defRPr sz="1525" b="1" i="0" u="none" strike="noStrike" baseline="0">
                <a:solidFill>
                  <a:srgbClr val="000000"/>
                </a:solidFill>
                <a:latin typeface="Calibri"/>
                <a:ea typeface="Calibri"/>
                <a:cs typeface="Calibri"/>
              </a:defRPr>
            </a:pPr>
            <a:endParaRPr lang="ru-RU"/>
          </a:p>
        </c:txPr>
        <c:crossAx val="120466816"/>
        <c:crosses val="autoZero"/>
        <c:auto val="1"/>
        <c:lblAlgn val="ctr"/>
        <c:lblOffset val="100"/>
        <c:tickLblSkip val="2"/>
        <c:tickMarkSkip val="1"/>
      </c:catAx>
      <c:valAx>
        <c:axId val="120466816"/>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525" b="1" i="0" u="none" strike="noStrike" baseline="0">
                <a:solidFill>
                  <a:srgbClr val="000000"/>
                </a:solidFill>
                <a:latin typeface="Calibri"/>
                <a:ea typeface="Calibri"/>
                <a:cs typeface="Calibri"/>
              </a:defRPr>
            </a:pPr>
            <a:endParaRPr lang="ru-RU"/>
          </a:p>
        </c:txPr>
        <c:crossAx val="120465280"/>
        <c:crosses val="autoZero"/>
        <c:crossBetween val="between"/>
      </c:valAx>
      <c:spPr>
        <a:noFill/>
        <a:ln w="25395">
          <a:noFill/>
        </a:ln>
      </c:spPr>
    </c:plotArea>
    <c:legend>
      <c:legendPos val="r"/>
      <c:layout>
        <c:manualLayout>
          <c:xMode val="edge"/>
          <c:yMode val="edge"/>
          <c:wMode val="edge"/>
          <c:hMode val="edge"/>
          <c:x val="0.74081642233745182"/>
          <c:y val="0.84131736526946088"/>
          <c:w val="1"/>
          <c:h val="0.98802395209580862"/>
        </c:manualLayout>
      </c:layout>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bar3DChart>
        <c:barDir val="col"/>
        <c:grouping val="stacked"/>
        <c:ser>
          <c:idx val="0"/>
          <c:order val="0"/>
          <c:tx>
            <c:strRef>
              <c:f>Лист1!$B$1</c:f>
              <c:strCache>
                <c:ptCount val="1"/>
                <c:pt idx="0">
                  <c:v>Ряд 1</c:v>
                </c:pt>
              </c:strCache>
            </c:strRef>
          </c:tx>
          <c:dLbls>
            <c:dLbl>
              <c:idx val="0"/>
              <c:layout>
                <c:manualLayout>
                  <c:x val="9.2592592592593351E-3"/>
                  <c:y val="-0.36111111111111105"/>
                </c:manualLayout>
              </c:layout>
              <c:spPr/>
              <c:txPr>
                <a:bodyPr/>
                <a:lstStyle/>
                <a:p>
                  <a:pPr>
                    <a:defRPr/>
                  </a:pPr>
                  <a:endParaRPr lang="ru-RU"/>
                </a:p>
              </c:txPr>
              <c:showVal val="1"/>
            </c:dLbl>
            <c:dLbl>
              <c:idx val="1"/>
              <c:layout>
                <c:manualLayout>
                  <c:x val="4.1666666666666664E-2"/>
                  <c:y val="-0.40476190476190477"/>
                </c:manualLayout>
              </c:layout>
              <c:tx>
                <c:rich>
                  <a:bodyPr/>
                  <a:lstStyle/>
                  <a:p>
                    <a:pPr marL="0" marR="0" indent="0" algn="ctr" defTabSz="914400" rtl="0" eaLnBrk="1" fontAlgn="auto" latinLnBrk="0" hangingPunct="1">
                      <a:lnSpc>
                        <a:spcPct val="100000"/>
                      </a:lnSpc>
                      <a:spcBef>
                        <a:spcPts val="0"/>
                      </a:spcBef>
                      <a:spcAft>
                        <a:spcPts val="0"/>
                      </a:spcAft>
                      <a:buClrTx/>
                      <a:buSzTx/>
                      <a:buFontTx/>
                      <a:buNone/>
                      <a:tabLst/>
                      <a:defRPr sz="990" b="0" i="0" u="none" strike="noStrike" kern="1200" baseline="0">
                        <a:solidFill>
                          <a:sysClr val="windowText" lastClr="000000"/>
                        </a:solidFill>
                        <a:latin typeface="+mn-lt"/>
                        <a:ea typeface="+mn-ea"/>
                        <a:cs typeface="+mn-cs"/>
                      </a:defRPr>
                    </a:pPr>
                    <a:r>
                      <a:rPr lang="en-US"/>
                      <a:t>93,3</a:t>
                    </a:r>
                    <a:r>
                      <a:rPr lang="uk-UA"/>
                      <a:t> </a:t>
                    </a:r>
                    <a:r>
                      <a:rPr lang="uk-UA" sz="995"/>
                      <a:t>(р&gt;0,05)</a:t>
                    </a:r>
                    <a:endParaRPr lang="ru-RU" sz="1000"/>
                  </a:p>
                  <a:p>
                    <a:pPr marL="0" marR="0" indent="0" algn="ctr" defTabSz="914400" rtl="0" eaLnBrk="1" fontAlgn="auto" latinLnBrk="0" hangingPunct="1">
                      <a:lnSpc>
                        <a:spcPct val="100000"/>
                      </a:lnSpc>
                      <a:spcBef>
                        <a:spcPts val="0"/>
                      </a:spcBef>
                      <a:spcAft>
                        <a:spcPts val="0"/>
                      </a:spcAft>
                      <a:buClrTx/>
                      <a:buSzTx/>
                      <a:buFontTx/>
                      <a:buNone/>
                      <a:tabLst/>
                      <a:defRPr sz="990" b="0" i="0" u="none" strike="noStrike" kern="1200" baseline="0">
                        <a:solidFill>
                          <a:sysClr val="windowText" lastClr="000000"/>
                        </a:solidFill>
                        <a:latin typeface="+mn-lt"/>
                        <a:ea typeface="+mn-ea"/>
                        <a:cs typeface="+mn-cs"/>
                      </a:defRPr>
                    </a:pPr>
                    <a:endParaRPr lang="en-US"/>
                  </a:p>
                </c:rich>
              </c:tx>
              <c:spPr/>
            </c:dLbl>
            <c:showVal val="1"/>
          </c:dLbls>
          <c:cat>
            <c:strRef>
              <c:f>Лист1!$A$2:$A$5</c:f>
              <c:strCache>
                <c:ptCount val="2"/>
                <c:pt idx="0">
                  <c:v>Контрольна група</c:v>
                </c:pt>
                <c:pt idx="1">
                  <c:v>Основна група</c:v>
                </c:pt>
              </c:strCache>
            </c:strRef>
          </c:cat>
          <c:val>
            <c:numRef>
              <c:f>Лист1!$B$2:$B$5</c:f>
              <c:numCache>
                <c:formatCode>General</c:formatCode>
                <c:ptCount val="4"/>
                <c:pt idx="0">
                  <c:v>83.3</c:v>
                </c:pt>
                <c:pt idx="1">
                  <c:v>93.3</c:v>
                </c:pt>
              </c:numCache>
            </c:numRef>
          </c:val>
        </c:ser>
        <c:ser>
          <c:idx val="1"/>
          <c:order val="1"/>
          <c:tx>
            <c:strRef>
              <c:f>Лист1!$C$1</c:f>
              <c:strCache>
                <c:ptCount val="1"/>
                <c:pt idx="0">
                  <c:v>Столбец1</c:v>
                </c:pt>
              </c:strCache>
            </c:strRef>
          </c:tx>
          <c:cat>
            <c:strRef>
              <c:f>Лист1!$A$2:$A$5</c:f>
              <c:strCache>
                <c:ptCount val="2"/>
                <c:pt idx="0">
                  <c:v>Контрольна група</c:v>
                </c:pt>
                <c:pt idx="1">
                  <c:v>Основна група</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2"/>
                <c:pt idx="0">
                  <c:v>Контрольна група</c:v>
                </c:pt>
                <c:pt idx="1">
                  <c:v>Основна група</c:v>
                </c:pt>
              </c:strCache>
            </c:strRef>
          </c:cat>
          <c:val>
            <c:numRef>
              <c:f>Лист1!$D$2:$D$5</c:f>
              <c:numCache>
                <c:formatCode>General</c:formatCode>
                <c:ptCount val="4"/>
              </c:numCache>
            </c:numRef>
          </c:val>
        </c:ser>
        <c:shape val="pyramid"/>
        <c:axId val="118297728"/>
        <c:axId val="118299648"/>
        <c:axId val="0"/>
      </c:bar3DChart>
      <c:catAx>
        <c:axId val="118297728"/>
        <c:scaling>
          <c:orientation val="minMax"/>
        </c:scaling>
        <c:axPos val="b"/>
        <c:title>
          <c:tx>
            <c:rich>
              <a:bodyPr/>
              <a:lstStyle/>
              <a:p>
                <a:pPr>
                  <a:defRPr sz="998" b="1" i="0" u="none" strike="noStrike" baseline="0">
                    <a:solidFill>
                      <a:srgbClr val="000000"/>
                    </a:solidFill>
                    <a:latin typeface="Calibri"/>
                    <a:ea typeface="Calibri"/>
                    <a:cs typeface="Calibri"/>
                  </a:defRPr>
                </a:pPr>
                <a:r>
                  <a:t>Група</a:t>
                </a:r>
              </a:p>
            </c:rich>
          </c:tx>
          <c:layout>
            <c:manualLayout>
              <c:xMode val="edge"/>
              <c:yMode val="edge"/>
              <c:x val="0.83150376680730587"/>
              <c:y val="0.86073159276143141"/>
            </c:manualLayout>
          </c:layout>
        </c:title>
        <c:numFmt formatCode="General" sourceLinked="1"/>
        <c:tickLblPos val="nextTo"/>
        <c:crossAx val="118299648"/>
        <c:crosses val="autoZero"/>
        <c:auto val="1"/>
        <c:lblAlgn val="ctr"/>
        <c:lblOffset val="100"/>
      </c:catAx>
      <c:valAx>
        <c:axId val="118299648"/>
        <c:scaling>
          <c:orientation val="minMax"/>
          <c:max val="100"/>
          <c:min val="0"/>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a:t>
                </a:r>
              </a:p>
            </c:rich>
          </c:tx>
          <c:layout>
            <c:manualLayout>
              <c:xMode val="edge"/>
              <c:yMode val="edge"/>
              <c:x val="2.6406349376976359E-2"/>
              <c:y val="0.1056999585578119"/>
            </c:manualLayout>
          </c:layout>
        </c:title>
        <c:numFmt formatCode="General" sourceLinked="1"/>
        <c:tickLblPos val="nextTo"/>
        <c:crossAx val="118297728"/>
        <c:crosses val="autoZero"/>
        <c:crossBetween val="between"/>
      </c:valAx>
      <c:spPr>
        <a:noFill/>
        <a:ln w="25354">
          <a:noFill/>
        </a:ln>
      </c:spPr>
    </c:plotArea>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Контрольна група</c:v>
                </c:pt>
              </c:strCache>
            </c:strRef>
          </c:tx>
          <c:dLbls>
            <c:dLbl>
              <c:idx val="0"/>
              <c:layout>
                <c:manualLayout>
                  <c:x val="2.0833333333333412E-2"/>
                  <c:y val="-3.9682539682539802E-3"/>
                </c:manualLayout>
              </c:layout>
              <c:tx>
                <c:rich>
                  <a:bodyPr/>
                  <a:lstStyle/>
                  <a:p>
                    <a:pPr>
                      <a:defRPr/>
                    </a:pPr>
                    <a:r>
                      <a:rPr lang="en-US"/>
                      <a:t>60</a:t>
                    </a:r>
                    <a:r>
                      <a:rPr lang="uk-UA" sz="998" b="0" i="0" u="none" strike="noStrike" baseline="0"/>
                      <a:t>(р&lt;0,05)</a:t>
                    </a:r>
                    <a:endParaRPr lang="en-US"/>
                  </a:p>
                </c:rich>
              </c:tx>
              <c:spPr/>
              <c:dLblPos val="outEnd"/>
            </c:dLbl>
            <c:showVal val="1"/>
          </c:dLbls>
          <c:cat>
            <c:strRef>
              <c:f>Лист1!$A$2:$A$5</c:f>
              <c:strCache>
                <c:ptCount val="2"/>
                <c:pt idx="0">
                  <c:v>КПВ≤2,6</c:v>
                </c:pt>
                <c:pt idx="1">
                  <c:v>КПВ≥2,7</c:v>
                </c:pt>
              </c:strCache>
            </c:strRef>
          </c:cat>
          <c:val>
            <c:numRef>
              <c:f>Лист1!$B$2:$B$5</c:f>
              <c:numCache>
                <c:formatCode>General</c:formatCode>
                <c:ptCount val="4"/>
                <c:pt idx="0">
                  <c:v>60</c:v>
                </c:pt>
                <c:pt idx="1">
                  <c:v>40</c:v>
                </c:pt>
              </c:numCache>
            </c:numRef>
          </c:val>
        </c:ser>
        <c:ser>
          <c:idx val="1"/>
          <c:order val="1"/>
          <c:tx>
            <c:strRef>
              <c:f>Лист1!$C$1</c:f>
              <c:strCache>
                <c:ptCount val="1"/>
                <c:pt idx="0">
                  <c:v>Основна група</c:v>
                </c:pt>
              </c:strCache>
            </c:strRef>
          </c:tx>
          <c:dLbls>
            <c:dLbl>
              <c:idx val="1"/>
              <c:layout>
                <c:manualLayout>
                  <c:x val="2.7777777777778002E-2"/>
                  <c:y val="-3.9682539682539802E-3"/>
                </c:manualLayout>
              </c:layout>
              <c:tx>
                <c:rich>
                  <a:bodyPr/>
                  <a:lstStyle/>
                  <a:p>
                    <a:pPr>
                      <a:defRPr/>
                    </a:pPr>
                    <a:r>
                      <a:rPr lang="en-US"/>
                      <a:t>70</a:t>
                    </a:r>
                    <a:r>
                      <a:rPr lang="uk-UA"/>
                      <a:t> </a:t>
                    </a:r>
                    <a:r>
                      <a:rPr lang="uk-UA" sz="998" b="0" i="0" u="none" strike="noStrike" baseline="0"/>
                      <a:t>(р&lt;0,05)</a:t>
                    </a:r>
                    <a:endParaRPr lang="en-US"/>
                  </a:p>
                </c:rich>
              </c:tx>
              <c:spPr/>
              <c:dLblPos val="outEnd"/>
            </c:dLbl>
            <c:showVal val="1"/>
          </c:dLbls>
          <c:cat>
            <c:strRef>
              <c:f>Лист1!$A$2:$A$5</c:f>
              <c:strCache>
                <c:ptCount val="2"/>
                <c:pt idx="0">
                  <c:v>КПВ≤2,6</c:v>
                </c:pt>
                <c:pt idx="1">
                  <c:v>КПВ≥2,7</c:v>
                </c:pt>
              </c:strCache>
            </c:strRef>
          </c:cat>
          <c:val>
            <c:numRef>
              <c:f>Лист1!$C$2:$C$5</c:f>
              <c:numCache>
                <c:formatCode>General</c:formatCode>
                <c:ptCount val="4"/>
                <c:pt idx="0">
                  <c:v>30</c:v>
                </c:pt>
                <c:pt idx="1">
                  <c:v>70</c:v>
                </c:pt>
              </c:numCache>
            </c:numRef>
          </c:val>
        </c:ser>
        <c:ser>
          <c:idx val="2"/>
          <c:order val="2"/>
          <c:tx>
            <c:strRef>
              <c:f>Лист1!$D$1</c:f>
              <c:strCache>
                <c:ptCount val="1"/>
                <c:pt idx="0">
                  <c:v>Столбец1</c:v>
                </c:pt>
              </c:strCache>
            </c:strRef>
          </c:tx>
          <c:cat>
            <c:strRef>
              <c:f>Лист1!$A$2:$A$5</c:f>
              <c:strCache>
                <c:ptCount val="2"/>
                <c:pt idx="0">
                  <c:v>КПВ≤2,6</c:v>
                </c:pt>
                <c:pt idx="1">
                  <c:v>КПВ≥2,7</c:v>
                </c:pt>
              </c:strCache>
            </c:strRef>
          </c:cat>
          <c:val>
            <c:numRef>
              <c:f>Лист1!$D$2:$D$5</c:f>
              <c:numCache>
                <c:formatCode>General</c:formatCode>
                <c:ptCount val="4"/>
              </c:numCache>
            </c:numRef>
          </c:val>
        </c:ser>
        <c:axId val="117633408"/>
        <c:axId val="117635328"/>
      </c:barChart>
      <c:catAx>
        <c:axId val="117633408"/>
        <c:scaling>
          <c:orientation val="minMax"/>
        </c:scaling>
        <c:axPos val="b"/>
        <c:title>
          <c:tx>
            <c:rich>
              <a:bodyPr/>
              <a:lstStyle/>
              <a:p>
                <a:pPr>
                  <a:defRPr sz="998" b="1" i="0" u="none" strike="noStrike" baseline="0">
                    <a:solidFill>
                      <a:srgbClr val="000000"/>
                    </a:solidFill>
                    <a:latin typeface="Calibri"/>
                    <a:ea typeface="Calibri"/>
                    <a:cs typeface="Calibri"/>
                  </a:defRPr>
                </a:pPr>
                <a:r>
                  <a:t>Значення індексу інтенсивності карієсу</a:t>
                </a:r>
              </a:p>
            </c:rich>
          </c:tx>
          <c:layout>
            <c:manualLayout>
              <c:xMode val="edge"/>
              <c:yMode val="edge"/>
              <c:x val="0.52137565846227263"/>
              <c:y val="0.82030471800781002"/>
            </c:manualLayout>
          </c:layout>
        </c:title>
        <c:numFmt formatCode="General" sourceLinked="1"/>
        <c:tickLblPos val="nextTo"/>
        <c:crossAx val="117635328"/>
        <c:crosses val="autoZero"/>
        <c:auto val="1"/>
        <c:lblAlgn val="ctr"/>
        <c:lblOffset val="100"/>
      </c:catAx>
      <c:valAx>
        <c:axId val="117635328"/>
        <c:scaling>
          <c:orientation val="minMax"/>
        </c:scaling>
        <c:axPos val="l"/>
        <c:majorGridlines/>
        <c:title>
          <c:tx>
            <c:rich>
              <a:bodyPr rot="0" vert="horz"/>
              <a:lstStyle/>
              <a:p>
                <a:pPr algn="ctr">
                  <a:defRPr sz="998" b="1" i="0" u="none" strike="noStrike" baseline="0">
                    <a:solidFill>
                      <a:srgbClr val="000000"/>
                    </a:solidFill>
                    <a:latin typeface="Calibri"/>
                    <a:ea typeface="Calibri"/>
                    <a:cs typeface="Calibri"/>
                  </a:defRPr>
                </a:pPr>
                <a:r>
                  <a:t>%</a:t>
                </a:r>
              </a:p>
            </c:rich>
          </c:tx>
          <c:layout>
            <c:manualLayout>
              <c:xMode val="edge"/>
              <c:yMode val="edge"/>
              <c:x val="2.1052621918763649E-2"/>
              <c:y val="1.9595096344664241E-2"/>
            </c:manualLayout>
          </c:layout>
        </c:title>
        <c:numFmt formatCode="General" sourceLinked="1"/>
        <c:tickLblPos val="nextTo"/>
        <c:crossAx val="117633408"/>
        <c:crosses val="autoZero"/>
        <c:crossBetween val="between"/>
      </c:valAx>
    </c:plotArea>
    <c:legend>
      <c:legendPos val="r"/>
      <c:legendEntry>
        <c:idx val="2"/>
        <c:delete val="1"/>
      </c:legendEntry>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6.0152376786235064E-2"/>
          <c:y val="2.4216347956505492E-2"/>
          <c:w val="0.67579779090113945"/>
          <c:h val="0.75966597925259582"/>
        </c:manualLayout>
      </c:layout>
      <c:barChart>
        <c:barDir val="col"/>
        <c:grouping val="clustered"/>
        <c:ser>
          <c:idx val="0"/>
          <c:order val="0"/>
          <c:tx>
            <c:strRef>
              <c:f>Лист1!$B$1</c:f>
              <c:strCache>
                <c:ptCount val="1"/>
                <c:pt idx="0">
                  <c:v>контрольна група</c:v>
                </c:pt>
              </c:strCache>
            </c:strRef>
          </c:tx>
          <c:dLbls>
            <c:dLbl>
              <c:idx val="0"/>
              <c:layout>
                <c:manualLayout>
                  <c:x val="4.1666666666666664E-2"/>
                  <c:y val="0"/>
                </c:manualLayout>
              </c:layout>
              <c:tx>
                <c:rich>
                  <a:bodyPr/>
                  <a:lstStyle/>
                  <a:p>
                    <a:pPr>
                      <a:defRPr/>
                    </a:pPr>
                    <a:r>
                      <a:rPr lang="en-US"/>
                      <a:t>86,7</a:t>
                    </a:r>
                    <a:r>
                      <a:rPr lang="uk-UA"/>
                      <a:t> </a:t>
                    </a:r>
                    <a:r>
                      <a:rPr lang="uk-UA" sz="995" b="0" i="0" u="none" strike="noStrike" baseline="0"/>
                      <a:t>(р&lt;0,05)*</a:t>
                    </a:r>
                    <a:endParaRPr lang="en-US"/>
                  </a:p>
                </c:rich>
              </c:tx>
              <c:spPr/>
              <c:dLblPos val="outEnd"/>
            </c:dLbl>
            <c:showVal val="1"/>
          </c:dLbls>
          <c:cat>
            <c:strRef>
              <c:f>Лист1!$A$2:$A$5</c:f>
              <c:strCache>
                <c:ptCount val="2"/>
                <c:pt idx="0">
                  <c:v>легке і середньотяжке запалення</c:v>
                </c:pt>
                <c:pt idx="1">
                  <c:v>тяжке запалення</c:v>
                </c:pt>
              </c:strCache>
            </c:strRef>
          </c:cat>
          <c:val>
            <c:numRef>
              <c:f>Лист1!$B$2:$B$5</c:f>
              <c:numCache>
                <c:formatCode>General</c:formatCode>
                <c:ptCount val="4"/>
                <c:pt idx="0">
                  <c:v>86.7</c:v>
                </c:pt>
                <c:pt idx="1">
                  <c:v>13.3</c:v>
                </c:pt>
              </c:numCache>
            </c:numRef>
          </c:val>
        </c:ser>
        <c:ser>
          <c:idx val="1"/>
          <c:order val="1"/>
          <c:tx>
            <c:strRef>
              <c:f>Лист1!$C$1</c:f>
              <c:strCache>
                <c:ptCount val="1"/>
                <c:pt idx="0">
                  <c:v>основна група</c:v>
                </c:pt>
              </c:strCache>
            </c:strRef>
          </c:tx>
          <c:dLbls>
            <c:dLbl>
              <c:idx val="1"/>
              <c:layout>
                <c:manualLayout>
                  <c:x val="6.0185185185185085E-2"/>
                  <c:y val="0"/>
                </c:manualLayout>
              </c:layout>
              <c:tx>
                <c:rich>
                  <a:bodyPr/>
                  <a:lstStyle/>
                  <a:p>
                    <a:pPr>
                      <a:defRPr/>
                    </a:pPr>
                    <a:r>
                      <a:rPr lang="en-US"/>
                      <a:t>33,3</a:t>
                    </a:r>
                    <a:r>
                      <a:rPr lang="uk-UA"/>
                      <a:t> </a:t>
                    </a:r>
                    <a:r>
                      <a:rPr lang="uk-UA" sz="995" b="0" i="0" u="none" strike="noStrike" baseline="0"/>
                      <a:t>(р&lt;0,05)*</a:t>
                    </a:r>
                    <a:endParaRPr lang="en-US"/>
                  </a:p>
                </c:rich>
              </c:tx>
              <c:spPr/>
              <c:dLblPos val="outEnd"/>
            </c:dLbl>
            <c:showVal val="1"/>
          </c:dLbls>
          <c:cat>
            <c:strRef>
              <c:f>Лист1!$A$2:$A$5</c:f>
              <c:strCache>
                <c:ptCount val="2"/>
                <c:pt idx="0">
                  <c:v>легке і середньотяжке запалення</c:v>
                </c:pt>
                <c:pt idx="1">
                  <c:v>тяжке запалення</c:v>
                </c:pt>
              </c:strCache>
            </c:strRef>
          </c:cat>
          <c:val>
            <c:numRef>
              <c:f>Лист1!$C$2:$C$5</c:f>
              <c:numCache>
                <c:formatCode>General</c:formatCode>
                <c:ptCount val="4"/>
                <c:pt idx="0">
                  <c:v>66.7</c:v>
                </c:pt>
                <c:pt idx="1">
                  <c:v>33.300000000000004</c:v>
                </c:pt>
              </c:numCache>
            </c:numRef>
          </c:val>
        </c:ser>
        <c:ser>
          <c:idx val="2"/>
          <c:order val="2"/>
          <c:tx>
            <c:strRef>
              <c:f>Лист1!$D$1</c:f>
              <c:strCache>
                <c:ptCount val="1"/>
                <c:pt idx="0">
                  <c:v>Столбец1</c:v>
                </c:pt>
              </c:strCache>
            </c:strRef>
          </c:tx>
          <c:cat>
            <c:strRef>
              <c:f>Лист1!$A$2:$A$5</c:f>
              <c:strCache>
                <c:ptCount val="2"/>
                <c:pt idx="0">
                  <c:v>легке і середньотяжке запалення</c:v>
                </c:pt>
                <c:pt idx="1">
                  <c:v>тяжке запалення</c:v>
                </c:pt>
              </c:strCache>
            </c:strRef>
          </c:cat>
          <c:val>
            <c:numRef>
              <c:f>Лист1!$D$2:$D$5</c:f>
              <c:numCache>
                <c:formatCode>General</c:formatCode>
                <c:ptCount val="4"/>
              </c:numCache>
            </c:numRef>
          </c:val>
        </c:ser>
        <c:axId val="119539200"/>
        <c:axId val="119541120"/>
      </c:barChart>
      <c:catAx>
        <c:axId val="119539200"/>
        <c:scaling>
          <c:orientation val="minMax"/>
        </c:scaling>
        <c:axPos val="b"/>
        <c:title>
          <c:tx>
            <c:rich>
              <a:bodyPr/>
              <a:lstStyle/>
              <a:p>
                <a:pPr>
                  <a:defRPr sz="998" b="1" i="0" u="none" strike="noStrike" baseline="0">
                    <a:solidFill>
                      <a:srgbClr val="000000"/>
                    </a:solidFill>
                    <a:latin typeface="Calibri"/>
                    <a:ea typeface="Calibri"/>
                    <a:cs typeface="Calibri"/>
                  </a:defRPr>
                </a:pPr>
                <a:r>
                  <a:t>Ступінь тяжкості запалення</a:t>
                </a:r>
              </a:p>
            </c:rich>
          </c:tx>
          <c:layout>
            <c:manualLayout>
              <c:xMode val="edge"/>
              <c:yMode val="edge"/>
              <c:x val="0.55451913247686169"/>
              <c:y val="0.81567782554788049"/>
            </c:manualLayout>
          </c:layout>
        </c:title>
        <c:numFmt formatCode="General" sourceLinked="1"/>
        <c:tickLblPos val="nextTo"/>
        <c:crossAx val="119541120"/>
        <c:crosses val="autoZero"/>
        <c:auto val="1"/>
        <c:lblAlgn val="ctr"/>
        <c:lblOffset val="100"/>
      </c:catAx>
      <c:valAx>
        <c:axId val="119541120"/>
        <c:scaling>
          <c:orientation val="minMax"/>
        </c:scaling>
        <c:axPos val="l"/>
        <c:majorGridlines/>
        <c:title>
          <c:tx>
            <c:rich>
              <a:bodyPr rot="0" vert="horz"/>
              <a:lstStyle/>
              <a:p>
                <a:pPr algn="ctr">
                  <a:defRPr sz="998" b="1" i="0" u="none" strike="noStrike" baseline="0">
                    <a:solidFill>
                      <a:srgbClr val="000000"/>
                    </a:solidFill>
                    <a:latin typeface="Calibri"/>
                    <a:ea typeface="Calibri"/>
                    <a:cs typeface="Calibri"/>
                  </a:defRPr>
                </a:pPr>
                <a:r>
                  <a:t>%</a:t>
                </a:r>
              </a:p>
            </c:rich>
          </c:tx>
          <c:layout>
            <c:manualLayout>
              <c:xMode val="edge"/>
              <c:yMode val="edge"/>
              <c:x val="3.0516369664318276E-2"/>
              <c:y val="2.6668598940469872E-3"/>
            </c:manualLayout>
          </c:layout>
        </c:title>
        <c:numFmt formatCode="General" sourceLinked="1"/>
        <c:tickLblPos val="nextTo"/>
        <c:crossAx val="119539200"/>
        <c:crosses val="autoZero"/>
        <c:crossBetween val="between"/>
      </c:valAx>
    </c:plotArea>
    <c:legend>
      <c:legendPos val="r"/>
      <c:legendEntry>
        <c:idx val="2"/>
        <c:delete val="1"/>
      </c:legendEntry>
    </c:legend>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bar3DChart>
        <c:barDir val="col"/>
        <c:grouping val="stacked"/>
        <c:ser>
          <c:idx val="0"/>
          <c:order val="0"/>
          <c:tx>
            <c:strRef>
              <c:f>Лист1!$B$1</c:f>
              <c:strCache>
                <c:ptCount val="1"/>
                <c:pt idx="0">
                  <c:v>Ряд 1</c:v>
                </c:pt>
              </c:strCache>
            </c:strRef>
          </c:tx>
          <c:dLbls>
            <c:dLbl>
              <c:idx val="0"/>
              <c:layout>
                <c:manualLayout>
                  <c:x val="0"/>
                  <c:y val="-0.12232415902140679"/>
                </c:manualLayout>
              </c:layout>
              <c:spPr/>
              <c:txPr>
                <a:bodyPr/>
                <a:lstStyle/>
                <a:p>
                  <a:pPr>
                    <a:defRPr/>
                  </a:pPr>
                  <a:endParaRPr lang="ru-RU"/>
                </a:p>
              </c:txPr>
              <c:showVal val="1"/>
            </c:dLbl>
            <c:dLbl>
              <c:idx val="1"/>
              <c:layout>
                <c:manualLayout>
                  <c:x val="5.1643192488262678E-2"/>
                  <c:y val="-0.26503567787971488"/>
                </c:manualLayout>
              </c:layout>
              <c:spPr/>
              <c:txPr>
                <a:bodyPr/>
                <a:lstStyle/>
                <a:p>
                  <a:pPr>
                    <a:defRPr/>
                  </a:pPr>
                  <a:endParaRPr lang="ru-RU"/>
                </a:p>
              </c:txPr>
              <c:showVal val="1"/>
            </c:dLbl>
            <c:showVal val="1"/>
          </c:dLbls>
          <c:cat>
            <c:strRef>
              <c:f>Лист1!$A$2:$A$5</c:f>
              <c:strCache>
                <c:ptCount val="2"/>
                <c:pt idx="0">
                  <c:v>контрольна група</c:v>
                </c:pt>
                <c:pt idx="1">
                  <c:v>основна група</c:v>
                </c:pt>
              </c:strCache>
            </c:strRef>
          </c:cat>
          <c:val>
            <c:numRef>
              <c:f>Лист1!$B$2:$B$5</c:f>
              <c:numCache>
                <c:formatCode>General</c:formatCode>
                <c:ptCount val="4"/>
                <c:pt idx="0">
                  <c:v>6.7</c:v>
                </c:pt>
                <c:pt idx="1">
                  <c:v>19.899999999999999</c:v>
                </c:pt>
              </c:numCache>
            </c:numRef>
          </c:val>
        </c:ser>
        <c:ser>
          <c:idx val="1"/>
          <c:order val="1"/>
          <c:tx>
            <c:strRef>
              <c:f>Лист1!$C$1</c:f>
              <c:strCache>
                <c:ptCount val="1"/>
                <c:pt idx="0">
                  <c:v>Столбец1</c:v>
                </c:pt>
              </c:strCache>
            </c:strRef>
          </c:tx>
          <c:cat>
            <c:strRef>
              <c:f>Лист1!$A$2:$A$5</c:f>
              <c:strCache>
                <c:ptCount val="2"/>
                <c:pt idx="0">
                  <c:v>контрольна група</c:v>
                </c:pt>
                <c:pt idx="1">
                  <c:v>основна група</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2"/>
                <c:pt idx="0">
                  <c:v>контрольна група</c:v>
                </c:pt>
                <c:pt idx="1">
                  <c:v>основна група</c:v>
                </c:pt>
              </c:strCache>
            </c:strRef>
          </c:cat>
          <c:val>
            <c:numRef>
              <c:f>Лист1!$D$2:$D$5</c:f>
              <c:numCache>
                <c:formatCode>General</c:formatCode>
                <c:ptCount val="4"/>
              </c:numCache>
            </c:numRef>
          </c:val>
        </c:ser>
        <c:dLbls>
          <c:showVal val="1"/>
        </c:dLbls>
        <c:shape val="pyramid"/>
        <c:axId val="119616256"/>
        <c:axId val="119618176"/>
        <c:axId val="0"/>
      </c:bar3DChart>
      <c:catAx>
        <c:axId val="119616256"/>
        <c:scaling>
          <c:orientation val="minMax"/>
        </c:scaling>
        <c:axPos val="b"/>
        <c:title>
          <c:tx>
            <c:rich>
              <a:bodyPr/>
              <a:lstStyle/>
              <a:p>
                <a:pPr>
                  <a:defRPr sz="998" b="1" i="0" u="none" strike="noStrike" baseline="0">
                    <a:solidFill>
                      <a:srgbClr val="000000"/>
                    </a:solidFill>
                    <a:latin typeface="Calibri"/>
                    <a:ea typeface="Calibri"/>
                    <a:cs typeface="Calibri"/>
                  </a:defRPr>
                </a:pPr>
                <a:r>
                  <a:t>Група</a:t>
                </a:r>
              </a:p>
            </c:rich>
          </c:tx>
          <c:layout>
            <c:manualLayout>
              <c:xMode val="edge"/>
              <c:yMode val="edge"/>
              <c:x val="0.7893484367085698"/>
              <c:y val="0.79266927523630093"/>
            </c:manualLayout>
          </c:layout>
        </c:title>
        <c:numFmt formatCode="General" sourceLinked="1"/>
        <c:tickLblPos val="nextTo"/>
        <c:crossAx val="119618176"/>
        <c:crosses val="autoZero"/>
        <c:auto val="1"/>
        <c:lblAlgn val="ctr"/>
        <c:lblOffset val="100"/>
      </c:catAx>
      <c:valAx>
        <c:axId val="119618176"/>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a:t>
                </a:r>
              </a:p>
            </c:rich>
          </c:tx>
          <c:layout>
            <c:manualLayout>
              <c:xMode val="edge"/>
              <c:yMode val="edge"/>
              <c:x val="4.7869595247962429E-2"/>
              <c:y val="0.11613094375473007"/>
            </c:manualLayout>
          </c:layout>
        </c:title>
        <c:numFmt formatCode="General" sourceLinked="1"/>
        <c:tickLblPos val="nextTo"/>
        <c:crossAx val="119616256"/>
        <c:crosses val="autoZero"/>
        <c:crossBetween val="between"/>
      </c:valAx>
      <c:spPr>
        <a:noFill/>
        <a:ln w="25350">
          <a:noFill/>
        </a:ln>
      </c:spPr>
    </c:plotArea>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4.8254228638086906E-2"/>
          <c:y val="4.4057617797775436E-2"/>
          <c:w val="0.93756579906678328"/>
          <c:h val="0.85653105861767365"/>
        </c:manualLayout>
      </c:layout>
      <c:bar3DChart>
        <c:barDir val="col"/>
        <c:grouping val="stacked"/>
        <c:ser>
          <c:idx val="0"/>
          <c:order val="0"/>
          <c:tx>
            <c:strRef>
              <c:f>Лист1!$B$1</c:f>
              <c:strCache>
                <c:ptCount val="1"/>
                <c:pt idx="0">
                  <c:v>t</c:v>
                </c:pt>
              </c:strCache>
            </c:strRef>
          </c:tx>
          <c:dLbls>
            <c:dLbl>
              <c:idx val="0"/>
              <c:layout>
                <c:manualLayout>
                  <c:x val="9.2592592592593177E-3"/>
                  <c:y val="-0.32142857142857323"/>
                </c:manualLayout>
              </c:layout>
              <c:spPr/>
              <c:txPr>
                <a:bodyPr/>
                <a:lstStyle/>
                <a:p>
                  <a:pPr>
                    <a:defRPr/>
                  </a:pPr>
                  <a:endParaRPr lang="ru-RU"/>
                </a:p>
              </c:txPr>
              <c:showVal val="1"/>
            </c:dLbl>
            <c:dLbl>
              <c:idx val="1"/>
              <c:layout>
                <c:manualLayout>
                  <c:x val="1.1574074074074073E-2"/>
                  <c:y val="-0.37698412698412825"/>
                </c:manualLayout>
              </c:layout>
              <c:spPr/>
              <c:txPr>
                <a:bodyPr/>
                <a:lstStyle/>
                <a:p>
                  <a:pPr>
                    <a:defRPr/>
                  </a:pPr>
                  <a:endParaRPr lang="ru-RU"/>
                </a:p>
              </c:txPr>
              <c:showVal val="1"/>
            </c:dLbl>
            <c:showVal val="1"/>
          </c:dLbls>
          <c:cat>
            <c:strRef>
              <c:f>Лист1!$A$2:$A$5</c:f>
              <c:strCache>
                <c:ptCount val="2"/>
                <c:pt idx="0">
                  <c:v>контроль</c:v>
                </c:pt>
                <c:pt idx="1">
                  <c:v>основна група</c:v>
                </c:pt>
              </c:strCache>
            </c:strRef>
          </c:cat>
          <c:val>
            <c:numRef>
              <c:f>Лист1!$B$2:$B$5</c:f>
              <c:numCache>
                <c:formatCode>General</c:formatCode>
                <c:ptCount val="4"/>
                <c:pt idx="0">
                  <c:v>5.2</c:v>
                </c:pt>
                <c:pt idx="1">
                  <c:v>7.28</c:v>
                </c:pt>
              </c:numCache>
            </c:numRef>
          </c:val>
        </c:ser>
        <c:ser>
          <c:idx val="1"/>
          <c:order val="1"/>
          <c:tx>
            <c:strRef>
              <c:f>Лист1!$C$1</c:f>
              <c:strCache>
                <c:ptCount val="1"/>
                <c:pt idx="0">
                  <c:v>Столбец1</c:v>
                </c:pt>
              </c:strCache>
            </c:strRef>
          </c:tx>
          <c:cat>
            <c:strRef>
              <c:f>Лист1!$A$2:$A$5</c:f>
              <c:strCache>
                <c:ptCount val="2"/>
                <c:pt idx="0">
                  <c:v>контроль</c:v>
                </c:pt>
                <c:pt idx="1">
                  <c:v>основна група</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2"/>
                <c:pt idx="0">
                  <c:v>контроль</c:v>
                </c:pt>
                <c:pt idx="1">
                  <c:v>основна група</c:v>
                </c:pt>
              </c:strCache>
            </c:strRef>
          </c:cat>
          <c:val>
            <c:numRef>
              <c:f>Лист1!$D$2:$D$5</c:f>
              <c:numCache>
                <c:formatCode>General</c:formatCode>
                <c:ptCount val="4"/>
              </c:numCache>
            </c:numRef>
          </c:val>
        </c:ser>
        <c:shape val="pyramid"/>
        <c:axId val="120091776"/>
        <c:axId val="120093696"/>
        <c:axId val="0"/>
      </c:bar3DChart>
      <c:catAx>
        <c:axId val="120091776"/>
        <c:scaling>
          <c:orientation val="minMax"/>
        </c:scaling>
        <c:axPos val="b"/>
        <c:title>
          <c:tx>
            <c:rich>
              <a:bodyPr/>
              <a:lstStyle/>
              <a:p>
                <a:pPr>
                  <a:defRPr sz="998" b="1" i="0" u="none" strike="noStrike" baseline="0">
                    <a:solidFill>
                      <a:srgbClr val="000000"/>
                    </a:solidFill>
                    <a:latin typeface="Calibri"/>
                    <a:ea typeface="Calibri"/>
                    <a:cs typeface="Calibri"/>
                  </a:defRPr>
                </a:pPr>
                <a:r>
                  <a:t>Група</a:t>
                </a:r>
              </a:p>
            </c:rich>
          </c:tx>
          <c:layout>
            <c:manualLayout>
              <c:xMode val="edge"/>
              <c:yMode val="edge"/>
              <c:x val="0.82360190011459877"/>
              <c:y val="0.92250841344218504"/>
            </c:manualLayout>
          </c:layout>
        </c:title>
        <c:numFmt formatCode="General" sourceLinked="1"/>
        <c:tickLblPos val="nextTo"/>
        <c:crossAx val="120093696"/>
        <c:crosses val="autoZero"/>
        <c:auto val="1"/>
        <c:lblAlgn val="ctr"/>
        <c:lblOffset val="100"/>
      </c:catAx>
      <c:valAx>
        <c:axId val="120093696"/>
        <c:scaling>
          <c:orientation val="minMax"/>
        </c:scaling>
        <c:axPos val="l"/>
        <c:majorGridlines/>
        <c:title>
          <c:tx>
            <c:rich>
              <a:bodyPr rot="0" vert="horz"/>
              <a:lstStyle/>
              <a:p>
                <a:pPr algn="ctr">
                  <a:defRPr sz="998" b="1" i="0" u="none" strike="noStrike" baseline="0">
                    <a:solidFill>
                      <a:srgbClr val="000000"/>
                    </a:solidFill>
                    <a:latin typeface="Calibri"/>
                    <a:ea typeface="Calibri"/>
                    <a:cs typeface="Calibri"/>
                  </a:defRPr>
                </a:pPr>
                <a:r>
                  <a:t>t</a:t>
                </a:r>
              </a:p>
            </c:rich>
          </c:tx>
          <c:layout>
            <c:manualLayout>
              <c:xMode val="edge"/>
              <c:yMode val="edge"/>
              <c:x val="3.3311153007282539E-2"/>
              <c:y val="4.7508815999227093E-2"/>
            </c:manualLayout>
          </c:layout>
        </c:title>
        <c:numFmt formatCode="General" sourceLinked="1"/>
        <c:tickLblPos val="nextTo"/>
        <c:crossAx val="120091776"/>
        <c:crosses val="autoZero"/>
        <c:crossBetween val="between"/>
      </c:valAx>
      <c:spPr>
        <a:noFill/>
        <a:ln w="25350">
          <a:noFill/>
        </a:ln>
      </c:spPr>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bar3DChart>
        <c:barDir val="col"/>
        <c:grouping val="stacked"/>
        <c:ser>
          <c:idx val="0"/>
          <c:order val="0"/>
          <c:tx>
            <c:strRef>
              <c:f>Лист1!$B$1</c:f>
              <c:strCache>
                <c:ptCount val="1"/>
                <c:pt idx="0">
                  <c:v>І</c:v>
                </c:pt>
              </c:strCache>
            </c:strRef>
          </c:tx>
          <c:dLbls>
            <c:dLbl>
              <c:idx val="0"/>
              <c:layout>
                <c:manualLayout>
                  <c:x val="5.3240740740740741E-2"/>
                  <c:y val="-0.31746031746031883"/>
                </c:manualLayout>
              </c:layout>
              <c:spPr/>
              <c:txPr>
                <a:bodyPr/>
                <a:lstStyle/>
                <a:p>
                  <a:pPr>
                    <a:defRPr/>
                  </a:pPr>
                  <a:endParaRPr lang="ru-RU"/>
                </a:p>
              </c:txPr>
              <c:showVal val="1"/>
            </c:dLbl>
            <c:dLbl>
              <c:idx val="1"/>
              <c:layout>
                <c:manualLayout>
                  <c:x val="5.3240740740740741E-2"/>
                  <c:y val="-0.32539682539682857"/>
                </c:manualLayout>
              </c:layout>
              <c:spPr/>
              <c:txPr>
                <a:bodyPr/>
                <a:lstStyle/>
                <a:p>
                  <a:pPr>
                    <a:defRPr/>
                  </a:pPr>
                  <a:endParaRPr lang="ru-RU"/>
                </a:p>
              </c:txPr>
              <c:showVal val="1"/>
            </c:dLbl>
            <c:delete val="1"/>
          </c:dLbls>
          <c:cat>
            <c:strRef>
              <c:f>Лист1!$A$2:$A$5</c:f>
              <c:strCache>
                <c:ptCount val="2"/>
                <c:pt idx="0">
                  <c:v>акушерський анамнез</c:v>
                </c:pt>
                <c:pt idx="1">
                  <c:v>спадковість</c:v>
                </c:pt>
              </c:strCache>
            </c:strRef>
          </c:cat>
          <c:val>
            <c:numRef>
              <c:f>Лист1!$B$2:$B$5</c:f>
              <c:numCache>
                <c:formatCode>General</c:formatCode>
                <c:ptCount val="4"/>
                <c:pt idx="0">
                  <c:v>0.71000000000000019</c:v>
                </c:pt>
                <c:pt idx="1">
                  <c:v>0.71000000000000019</c:v>
                </c:pt>
              </c:numCache>
            </c:numRef>
          </c:val>
        </c:ser>
        <c:ser>
          <c:idx val="1"/>
          <c:order val="1"/>
          <c:tx>
            <c:strRef>
              <c:f>Лист1!$C$1</c:f>
              <c:strCache>
                <c:ptCount val="1"/>
                <c:pt idx="0">
                  <c:v>Столбец1</c:v>
                </c:pt>
              </c:strCache>
            </c:strRef>
          </c:tx>
          <c:cat>
            <c:strRef>
              <c:f>Лист1!$A$2:$A$5</c:f>
              <c:strCache>
                <c:ptCount val="2"/>
                <c:pt idx="0">
                  <c:v>акушерський анамнез</c:v>
                </c:pt>
                <c:pt idx="1">
                  <c:v>спадковість</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2"/>
                <c:pt idx="0">
                  <c:v>акушерський анамнез</c:v>
                </c:pt>
                <c:pt idx="1">
                  <c:v>спадковість</c:v>
                </c:pt>
              </c:strCache>
            </c:strRef>
          </c:cat>
          <c:val>
            <c:numRef>
              <c:f>Лист1!$D$2:$D$5</c:f>
              <c:numCache>
                <c:formatCode>General</c:formatCode>
                <c:ptCount val="4"/>
              </c:numCache>
            </c:numRef>
          </c:val>
        </c:ser>
        <c:shape val="pyramid"/>
        <c:axId val="120165888"/>
        <c:axId val="120167808"/>
        <c:axId val="0"/>
      </c:bar3DChart>
      <c:catAx>
        <c:axId val="120165888"/>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layout>
            <c:manualLayout>
              <c:xMode val="edge"/>
              <c:yMode val="edge"/>
              <c:x val="0.75994078594846948"/>
              <c:y val="0.77103348445080755"/>
            </c:manualLayout>
          </c:layout>
        </c:title>
        <c:numFmt formatCode="General" sourceLinked="1"/>
        <c:tickLblPos val="nextTo"/>
        <c:crossAx val="120167808"/>
        <c:crosses val="autoZero"/>
        <c:auto val="1"/>
        <c:lblAlgn val="ctr"/>
        <c:lblOffset val="100"/>
      </c:catAx>
      <c:valAx>
        <c:axId val="120167808"/>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9.5543688526823461E-2"/>
              <c:y val="3.6623558418834024E-2"/>
            </c:manualLayout>
          </c:layout>
        </c:title>
        <c:numFmt formatCode="General" sourceLinked="1"/>
        <c:tickLblPos val="nextTo"/>
        <c:crossAx val="120165888"/>
        <c:crosses val="autoZero"/>
        <c:crossBetween val="between"/>
      </c:valAx>
      <c:spPr>
        <a:noFill/>
        <a:ln w="25352">
          <a:noFill/>
        </a:ln>
      </c:spPr>
    </c:plotArea>
    <c:plotVisOnly val="1"/>
    <c:dispBlanksAs val="gap"/>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bar3DChart>
        <c:barDir val="col"/>
        <c:grouping val="stacked"/>
        <c:ser>
          <c:idx val="0"/>
          <c:order val="0"/>
          <c:tx>
            <c:strRef>
              <c:f>Лист1!$B$1</c:f>
              <c:strCache>
                <c:ptCount val="1"/>
                <c:pt idx="0">
                  <c:v>Ряд 1</c:v>
                </c:pt>
              </c:strCache>
            </c:strRef>
          </c:tx>
          <c:dLbls>
            <c:dLbl>
              <c:idx val="0"/>
              <c:layout>
                <c:manualLayout>
                  <c:x val="1.1574074074074073E-2"/>
                  <c:y val="-0.28968253968253982"/>
                </c:manualLayout>
              </c:layout>
              <c:spPr/>
              <c:txPr>
                <a:bodyPr/>
                <a:lstStyle/>
                <a:p>
                  <a:pPr>
                    <a:defRPr/>
                  </a:pPr>
                  <a:endParaRPr lang="ru-RU"/>
                </a:p>
              </c:txPr>
              <c:showVal val="1"/>
            </c:dLbl>
            <c:dLbl>
              <c:idx val="1"/>
              <c:layout>
                <c:manualLayout>
                  <c:x val="5.3240740740740741E-2"/>
                  <c:y val="-0.32539682539682829"/>
                </c:manualLayout>
              </c:layout>
              <c:spPr/>
              <c:txPr>
                <a:bodyPr/>
                <a:lstStyle/>
                <a:p>
                  <a:pPr>
                    <a:defRPr/>
                  </a:pPr>
                  <a:endParaRPr lang="ru-RU"/>
                </a:p>
              </c:txPr>
              <c:showVal val="1"/>
            </c:dLbl>
            <c:dLbl>
              <c:idx val="2"/>
              <c:layout>
                <c:manualLayout>
                  <c:x val="5.3240740740740741E-2"/>
                  <c:y val="-0.30952380952381148"/>
                </c:manualLayout>
              </c:layout>
              <c:spPr/>
              <c:txPr>
                <a:bodyPr/>
                <a:lstStyle/>
                <a:p>
                  <a:pPr>
                    <a:defRPr/>
                  </a:pPr>
                  <a:endParaRPr lang="ru-RU"/>
                </a:p>
              </c:txPr>
              <c:showVal val="1"/>
            </c:dLbl>
            <c:showVal val="1"/>
          </c:dLbls>
          <c:cat>
            <c:strRef>
              <c:f>Лист1!$A$2:$A$5</c:f>
              <c:strCache>
                <c:ptCount val="3"/>
                <c:pt idx="0">
                  <c:v>анамнез життя</c:v>
                </c:pt>
                <c:pt idx="1">
                  <c:v>акушерський анамнез</c:v>
                </c:pt>
                <c:pt idx="2">
                  <c:v>спадковість</c:v>
                </c:pt>
              </c:strCache>
            </c:strRef>
          </c:cat>
          <c:val>
            <c:numRef>
              <c:f>Лист1!$B$2:$B$5</c:f>
              <c:numCache>
                <c:formatCode>General</c:formatCode>
                <c:ptCount val="4"/>
                <c:pt idx="0">
                  <c:v>0.56000000000000005</c:v>
                </c:pt>
                <c:pt idx="1">
                  <c:v>0.71000000000000019</c:v>
                </c:pt>
                <c:pt idx="2">
                  <c:v>0.71000000000000019</c:v>
                </c:pt>
              </c:numCache>
            </c:numRef>
          </c:val>
        </c:ser>
        <c:ser>
          <c:idx val="1"/>
          <c:order val="1"/>
          <c:tx>
            <c:strRef>
              <c:f>Лист1!$C$1</c:f>
              <c:strCache>
                <c:ptCount val="1"/>
                <c:pt idx="0">
                  <c:v>Столбец1</c:v>
                </c:pt>
              </c:strCache>
            </c:strRef>
          </c:tx>
          <c:cat>
            <c:strRef>
              <c:f>Лист1!$A$2:$A$5</c:f>
              <c:strCache>
                <c:ptCount val="3"/>
                <c:pt idx="0">
                  <c:v>анамнез життя</c:v>
                </c:pt>
                <c:pt idx="1">
                  <c:v>акушерський анамнез</c:v>
                </c:pt>
                <c:pt idx="2">
                  <c:v>спадковість</c:v>
                </c:pt>
              </c:strCache>
            </c:strRef>
          </c:cat>
          <c:val>
            <c:numRef>
              <c:f>Лист1!$C$2:$C$5</c:f>
              <c:numCache>
                <c:formatCode>General</c:formatCode>
                <c:ptCount val="4"/>
              </c:numCache>
            </c:numRef>
          </c:val>
        </c:ser>
        <c:ser>
          <c:idx val="2"/>
          <c:order val="2"/>
          <c:tx>
            <c:strRef>
              <c:f>Лист1!$D$1</c:f>
              <c:strCache>
                <c:ptCount val="1"/>
                <c:pt idx="0">
                  <c:v>Столбец2</c:v>
                </c:pt>
              </c:strCache>
            </c:strRef>
          </c:tx>
          <c:cat>
            <c:strRef>
              <c:f>Лист1!$A$2:$A$5</c:f>
              <c:strCache>
                <c:ptCount val="3"/>
                <c:pt idx="0">
                  <c:v>анамнез життя</c:v>
                </c:pt>
                <c:pt idx="1">
                  <c:v>акушерський анамнез</c:v>
                </c:pt>
                <c:pt idx="2">
                  <c:v>спадковість</c:v>
                </c:pt>
              </c:strCache>
            </c:strRef>
          </c:cat>
          <c:val>
            <c:numRef>
              <c:f>Лист1!$D$2:$D$5</c:f>
              <c:numCache>
                <c:formatCode>General</c:formatCode>
                <c:ptCount val="4"/>
              </c:numCache>
            </c:numRef>
          </c:val>
        </c:ser>
        <c:shape val="pyramid"/>
        <c:axId val="120207616"/>
        <c:axId val="120258944"/>
        <c:axId val="0"/>
      </c:bar3DChart>
      <c:catAx>
        <c:axId val="120207616"/>
        <c:scaling>
          <c:orientation val="minMax"/>
        </c:scaling>
        <c:axPos val="b"/>
        <c:title>
          <c:tx>
            <c:rich>
              <a:bodyPr/>
              <a:lstStyle/>
              <a:p>
                <a:pPr>
                  <a:defRPr sz="998" b="1" i="0" u="none" strike="noStrike" baseline="0">
                    <a:solidFill>
                      <a:srgbClr val="000000"/>
                    </a:solidFill>
                    <a:latin typeface="Calibri"/>
                    <a:ea typeface="Calibri"/>
                    <a:cs typeface="Calibri"/>
                  </a:defRPr>
                </a:pPr>
                <a:r>
                  <a:t>Показник</a:t>
                </a:r>
              </a:p>
            </c:rich>
          </c:tx>
          <c:layout>
            <c:manualLayout>
              <c:xMode val="edge"/>
              <c:yMode val="edge"/>
              <c:x val="0.78541640324156559"/>
              <c:y val="0.76630152363030113"/>
            </c:manualLayout>
          </c:layout>
        </c:title>
        <c:numFmt formatCode="General" sourceLinked="1"/>
        <c:tickLblPos val="nextTo"/>
        <c:crossAx val="120258944"/>
        <c:crosses val="autoZero"/>
        <c:auto val="1"/>
        <c:lblAlgn val="ctr"/>
        <c:lblOffset val="100"/>
      </c:catAx>
      <c:valAx>
        <c:axId val="120258944"/>
        <c:scaling>
          <c:orientation val="minMax"/>
        </c:scaling>
        <c:axPos val="l"/>
        <c:majorGridlines/>
        <c:title>
          <c:tx>
            <c:rich>
              <a:bodyPr rot="0" vert="wordArtVert"/>
              <a:lstStyle/>
              <a:p>
                <a:pPr algn="ctr">
                  <a:defRPr sz="998" b="1" i="0" u="none" strike="noStrike" baseline="0">
                    <a:solidFill>
                      <a:srgbClr val="000000"/>
                    </a:solidFill>
                    <a:latin typeface="Calibri"/>
                    <a:ea typeface="Calibri"/>
                    <a:cs typeface="Calibri"/>
                  </a:defRPr>
                </a:pPr>
                <a:r>
                  <a:t>І</a:t>
                </a:r>
              </a:p>
            </c:rich>
          </c:tx>
          <c:layout>
            <c:manualLayout>
              <c:xMode val="edge"/>
              <c:yMode val="edge"/>
              <c:x val="0.12231986512634821"/>
              <c:y val="3.6676736162696642E-2"/>
            </c:manualLayout>
          </c:layout>
        </c:title>
        <c:numFmt formatCode="General" sourceLinked="1"/>
        <c:tickLblPos val="nextTo"/>
        <c:crossAx val="120207616"/>
        <c:crosses val="autoZero"/>
        <c:crossBetween val="between"/>
      </c:valAx>
      <c:spPr>
        <a:noFill/>
        <a:ln w="25347">
          <a:noFill/>
        </a:ln>
      </c:spPr>
    </c:plotArea>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TotalTime>
  <Pages>225</Pages>
  <Words>53047</Words>
  <Characters>302374</Characters>
  <Application>Microsoft Office Word</Application>
  <DocSecurity>0</DocSecurity>
  <Lines>2519</Lines>
  <Paragraphs>709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354712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Женя</dc:creator>
  <cp:lastModifiedBy>Женя</cp:lastModifiedBy>
  <cp:revision>2</cp:revision>
  <dcterms:created xsi:type="dcterms:W3CDTF">2019-09-15T22:48:00Z</dcterms:created>
  <dcterms:modified xsi:type="dcterms:W3CDTF">2019-09-15T22:48:00Z</dcterms:modified>
</cp:coreProperties>
</file>