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771" w:rsidRDefault="006F3771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POTENTIAL RISK FACTORS OF BRONCHIAL ASTHMA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DEVELOPMENT IN CHILDREN</w:t>
      </w:r>
    </w:p>
    <w:p w:rsidR="006F3771" w:rsidRPr="006F3771" w:rsidRDefault="006F3771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Polyakov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V.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1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Onikiienko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O.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2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Sirenko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I.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3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Marchenko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O.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3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Sukhanova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L.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3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6F3771" w:rsidRPr="006F3771" w:rsidRDefault="006F3771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1. Department of Pulmonology, Regional Children Clinical Hospital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, Ukraine</w:t>
      </w:r>
    </w:p>
    <w:p w:rsidR="006F3771" w:rsidRPr="006F3771" w:rsidRDefault="006F3771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2. Department of Pediatrics #1 and Neonatology,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National Medical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University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, Ukraine</w:t>
      </w:r>
    </w:p>
    <w:p w:rsidR="006F3771" w:rsidRPr="006F3771" w:rsidRDefault="006F3771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3. Department of Pediatric Pulmonology and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Phthisiatry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Medical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Academy of Postgraduate Education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, Ukraine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6F3771" w:rsidRPr="006F3771" w:rsidRDefault="006F3771" w:rsidP="006F3771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aim of the study was to study the influence of perinatal data and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comorbidity on the development of bronchial asthma (BA) in children.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Methods: We analyzed data (demographic and perinatal data, comorbidity) from 164 children who have had previous health care visits caused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by wheeze or cough, current wheeze, and chronic cough (cough without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colds or cough at night) at the age of 1 to 3 years. Among these, at the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age of 5 to 6 years, 44 patients (1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group) had BA, 120 children (2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group) without asthma. Asthma diagnosis was confirmed based on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GINA. The current study was approved by the Medical Ethics Committee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of the </w:t>
      </w:r>
      <w:proofErr w:type="spell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National Medical University and conducted in accordance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with the guidelines of the Declaration of Helsinki. The Fisher exact test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was used to compare characteristics of children with and without the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outcome. Odds ratio was calculated for assessment of risk factor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significance.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6F3771" w:rsidRPr="006F3771" w:rsidRDefault="006F3771" w:rsidP="006F3771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Results: The relative number of boys in the 1st group was significantly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higher than in the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(65.9% and 42.5%, p &lt;0.01). The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complicated course of pregnancy was found in 79.5% of patients of the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1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bookmarkStart w:id="0" w:name="_GoBack"/>
      <w:bookmarkEnd w:id="0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and 58.3% of children of the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(p &lt; 0.05). Pathological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first trimester of pregnancy was detected in 40.1% of cases in the 1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st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group, 17.5% in the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(p &lt; 0.01). The incidence of children with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early formula-feeding (who were on breastfeeding less than 6 months)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was significantly higher in the 1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(77.3%), compared with the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(45.0%) (</w:t>
      </w:r>
      <w:proofErr w:type="gram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proofErr w:type="gram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&lt; 0.001). The incidence of allergic rhinitis in children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was significantly higher in the 1st group (65.9%) compared to the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(5.8%) (</w:t>
      </w:r>
      <w:proofErr w:type="gram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proofErr w:type="gram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&lt; 0.001). The occurrence of gastrointestinal disease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among observed children was higher in the 1st group (20.5%) compared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to 2</w:t>
      </w:r>
      <w:r w:rsidRPr="006F3771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group (5.8%) (</w:t>
      </w:r>
      <w:proofErr w:type="gram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proofErr w:type="gram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&lt; 0.01).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6667D0" w:rsidRPr="006F3771" w:rsidRDefault="006F3771" w:rsidP="006F3771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Conclusion.</w:t>
      </w:r>
      <w:proofErr w:type="gramEnd"/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The development of BA in preschool children who presented to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primary care with recurrent wheeze or cough was associated with male sex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(OR 2.61 [95%CI 1.27–5.38]; p &lt; 0.05), complicated course of pregnancy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(OR 2.78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[95%CI 1.23–6.29]; p &lt; 0.005), first trimester pregnancy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pathology (OR 3.26 [95%CI 1.52–7.00]; p &lt; 0.01), early formula feeding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(OR 4.16 [95%CI 1.88–9.17]; p &lt; 0.001), allergic rhinitis (OR 31.21 [95%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CI 11.65–83.62]; p &lt; 0.001) and gastrointestinal disorders (OR 4.15 [95%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F3771">
        <w:rPr>
          <w:rFonts w:ascii="Times New Roman" w:hAnsi="Times New Roman" w:cs="Times New Roman"/>
          <w:color w:val="000000"/>
          <w:sz w:val="28"/>
          <w:szCs w:val="28"/>
          <w:lang w:val="en-US"/>
        </w:rPr>
        <w:t>CI 1.44–11.96]; p &lt; 0.001).</w:t>
      </w:r>
    </w:p>
    <w:sectPr w:rsidR="006667D0" w:rsidRPr="006F37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771"/>
    <w:rsid w:val="006667D0"/>
    <w:rsid w:val="006F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2016-09-16T14:18:00Z</dcterms:created>
  <dcterms:modified xsi:type="dcterms:W3CDTF">2016-09-16T14:27:00Z</dcterms:modified>
</cp:coreProperties>
</file>