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F73F4B">
        <w:rPr>
          <w:rFonts w:ascii="Times New Roman" w:hAnsi="Times New Roman" w:cs="Times New Roman"/>
          <w:i/>
          <w:iCs/>
          <w:lang w:val="en-US"/>
        </w:rPr>
        <w:t>Minukhina D., Grydneva O.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73F4B">
        <w:rPr>
          <w:rFonts w:ascii="Times New Roman" w:hAnsi="Times New Roman" w:cs="Times New Roman"/>
          <w:b/>
          <w:bCs/>
          <w:sz w:val="28"/>
          <w:szCs w:val="28"/>
          <w:lang w:val="en-US"/>
        </w:rPr>
        <w:t>PROGNOSTIC ROLE OF MARKERS OF ENDOTHELIAL DYSFUNCTION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73F4B">
        <w:rPr>
          <w:rFonts w:ascii="Times New Roman" w:hAnsi="Times New Roman" w:cs="Times New Roman"/>
          <w:b/>
          <w:bCs/>
          <w:sz w:val="28"/>
          <w:szCs w:val="28"/>
          <w:lang w:val="en-US"/>
        </w:rPr>
        <w:t>IN DIAGNOSING THE DEGREE OF ATHEROSCLEROTIC LESIONS OF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73F4B">
        <w:rPr>
          <w:rFonts w:ascii="Times New Roman" w:hAnsi="Times New Roman" w:cs="Times New Roman"/>
          <w:b/>
          <w:bCs/>
          <w:sz w:val="28"/>
          <w:szCs w:val="28"/>
          <w:lang w:val="en-US"/>
        </w:rPr>
        <w:t>CORONARY VESSELS IN PATIENTS WITH ACUTE MYOCARDIAL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73F4B">
        <w:rPr>
          <w:rFonts w:ascii="Times New Roman" w:hAnsi="Times New Roman" w:cs="Times New Roman"/>
          <w:b/>
          <w:bCs/>
          <w:sz w:val="28"/>
          <w:szCs w:val="28"/>
          <w:lang w:val="en-US"/>
        </w:rPr>
        <w:t>INFARCTIONWITH CORONARY STENTING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sz w:val="24"/>
          <w:szCs w:val="24"/>
          <w:lang w:val="en-US"/>
        </w:rPr>
        <w:t>Department of Internal Medicine No. 2, Clinical Immunology and Allergology named of Academic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sz w:val="24"/>
          <w:szCs w:val="24"/>
          <w:lang w:val="en-US"/>
        </w:rPr>
        <w:t>L.T. Malaya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prof. Babadzhan V.D.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F73F4B">
        <w:rPr>
          <w:rFonts w:ascii="Times New Roman" w:hAnsi="Times New Roman" w:cs="Times New Roman"/>
          <w:sz w:val="24"/>
          <w:szCs w:val="24"/>
          <w:lang w:val="en-US"/>
        </w:rPr>
        <w:t>Nowadays it is very important to evaluate the prognostic value of markers of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endothelial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disfunction, such as type 1 plasminogen activator inhibitor (IAP-1) and asymmetric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dimethylargrinine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(ADMA) in patients with coronary stenting with acute myocardial infarction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(AMI) and type </w:t>
      </w: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2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diabetes mellitus (type 2 DM) in the degree of development of atherosclerotic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hemodynamically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significant stenosis of coronary vessels.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130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patients were examined, among them 44 women (33.85%) and 86 men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(66.15%). All patients </w:t>
      </w: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were divided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into groups: the main - 73 patients with AMI with accompanying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type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2 DM (among them - 43 people, 30 women, mean age of patients 62.73 ± 1.39 years);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comparative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- 57 patients with type 2 diabetes without DM (43 men and 14 women, mean age 63.98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sz w:val="24"/>
          <w:szCs w:val="24"/>
          <w:lang w:val="en-US"/>
        </w:rPr>
        <w:t>± 1.47 years); Control group - 20 practically healthy persons (among them 10 men and 10 women,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sz w:val="24"/>
          <w:szCs w:val="24"/>
          <w:lang w:val="en-US"/>
        </w:rPr>
        <w:t>60</w:t>
      </w: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,85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± 1,37 years). All patients were performed coronary angiography. The content of ADMA and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IAP-1 </w:t>
      </w: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were established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by the immune enzyme method.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F73F4B">
        <w:rPr>
          <w:rFonts w:ascii="Times New Roman" w:hAnsi="Times New Roman" w:cs="Times New Roman"/>
          <w:sz w:val="24"/>
          <w:szCs w:val="24"/>
          <w:lang w:val="en-US"/>
        </w:rPr>
        <w:t>In patients with acute myocardial infarction, regardless of the presence or absence of type 2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diabetes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>, an increase in levels of IAP-1 and ADMA in comparison with the control group (p &lt;0.05)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is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observed. In assessing the prognostic role of IAP-1 and ADMA markers in predicting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hemodynamically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significant stenosis </w:t>
      </w:r>
      <w:r w:rsidRPr="00F73F4B">
        <w:rPr>
          <w:rFonts w:ascii="TimesNewRomanPSMT" w:eastAsia="TimesNewRomanPSMT" w:hAnsi="Times New Roman" w:cs="TimesNewRomanPSMT"/>
          <w:sz w:val="24"/>
          <w:szCs w:val="24"/>
          <w:lang w:val="en-US"/>
        </w:rPr>
        <w:t>(</w:t>
      </w:r>
      <w:r w:rsidRPr="00F73F4B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≥</w:t>
      </w:r>
      <w:r w:rsidRPr="00F73F4B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70%) </w:t>
      </w:r>
      <w:r w:rsidRPr="00F73F4B">
        <w:rPr>
          <w:rFonts w:ascii="Times New Roman" w:hAnsi="Times New Roman" w:cs="Times New Roman"/>
          <w:sz w:val="24"/>
          <w:szCs w:val="24"/>
          <w:lang w:val="en-US"/>
        </w:rPr>
        <w:t>using ROC-analysis, the sensitivity and specificity of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model were high and amounted to 78.57 and 100% respectively, the AUC of the ROC-curve was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sz w:val="24"/>
          <w:szCs w:val="24"/>
          <w:lang w:val="en-US"/>
        </w:rPr>
        <w:t>0.942 ± 0.028 (95% CI 0.861 - 0.983; p &lt;0.0001);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  <w:r w:rsidRPr="00F73F4B">
        <w:rPr>
          <w:rFonts w:ascii="Calibri" w:hAnsi="Calibri" w:cs="Calibri"/>
          <w:lang w:val="en-US"/>
        </w:rPr>
        <w:t>120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F73F4B">
        <w:rPr>
          <w:rFonts w:ascii="Times New Roman" w:hAnsi="Times New Roman" w:cs="Times New Roman"/>
          <w:sz w:val="24"/>
          <w:szCs w:val="24"/>
          <w:lang w:val="en-US"/>
        </w:rPr>
        <w:t>Determination of both levels of IAP-1 and ADMA are important in predicting</w:t>
      </w:r>
    </w:p>
    <w:p w:rsidR="00F73F4B" w:rsidRPr="00F73F4B" w:rsidRDefault="00F73F4B" w:rsidP="00F73F4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F73F4B">
        <w:rPr>
          <w:rFonts w:ascii="Times New Roman" w:hAnsi="Times New Roman" w:cs="Times New Roman"/>
          <w:sz w:val="24"/>
          <w:szCs w:val="24"/>
          <w:lang w:val="en-US"/>
        </w:rPr>
        <w:t>atherosclerotic hemodynamically significant stenosis of coronary vessels, which contributes to</w:t>
      </w:r>
    </w:p>
    <w:p w:rsidR="000159F7" w:rsidRPr="00F73F4B" w:rsidRDefault="00F73F4B" w:rsidP="00F73F4B">
      <w:pPr>
        <w:rPr>
          <w:lang w:val="en-US"/>
        </w:rPr>
      </w:pPr>
      <w:proofErr w:type="gramStart"/>
      <w:r w:rsidRPr="00F73F4B">
        <w:rPr>
          <w:rFonts w:ascii="Times New Roman" w:hAnsi="Times New Roman" w:cs="Times New Roman"/>
          <w:sz w:val="24"/>
          <w:szCs w:val="24"/>
          <w:lang w:val="en-US"/>
        </w:rPr>
        <w:t>preventing</w:t>
      </w:r>
      <w:proofErr w:type="gramEnd"/>
      <w:r w:rsidRPr="00F73F4B">
        <w:rPr>
          <w:rFonts w:ascii="Times New Roman" w:hAnsi="Times New Roman" w:cs="Times New Roman"/>
          <w:sz w:val="24"/>
          <w:szCs w:val="24"/>
          <w:lang w:val="en-US"/>
        </w:rPr>
        <w:t xml:space="preserve"> the development of complications of AMI.</w:t>
      </w:r>
      <w:bookmarkStart w:id="0" w:name="_GoBack"/>
      <w:bookmarkEnd w:id="0"/>
    </w:p>
    <w:sectPr w:rsidR="000159F7" w:rsidRPr="00F73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3F4B"/>
    <w:rsid w:val="001F000D"/>
    <w:rsid w:val="006F389D"/>
    <w:rsid w:val="00F7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EF7016-400E-4EAD-9D77-B0265DD60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2018-10-28T10:08:00Z</dcterms:created>
  <dcterms:modified xsi:type="dcterms:W3CDTF">2018-10-28T10:11:00Z</dcterms:modified>
</cp:coreProperties>
</file>