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F19" w:rsidRDefault="00916F19" w:rsidP="00916F1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 w:rsidRPr="00916F19">
        <w:rPr>
          <w:rFonts w:ascii="Times New Roman" w:eastAsia="Calibri" w:hAnsi="Times New Roman" w:cs="Times New Roman"/>
          <w:b/>
          <w:sz w:val="28"/>
          <w:lang w:val="uk-UA"/>
        </w:rPr>
        <w:t>СУЧАСНИЙ ПІДХІД ДО ЛІКУВАННЯ УРАЖЕНЬ НИРОК ПРИ ГЕМАТОЛОГІЧН</w:t>
      </w:r>
      <w:r>
        <w:rPr>
          <w:rFonts w:ascii="Times New Roman" w:eastAsia="Calibri" w:hAnsi="Times New Roman" w:cs="Times New Roman"/>
          <w:b/>
          <w:sz w:val="28"/>
          <w:lang w:val="uk-UA"/>
        </w:rPr>
        <w:t>ІЙ</w:t>
      </w:r>
      <w:r w:rsidRPr="00916F19">
        <w:rPr>
          <w:rFonts w:ascii="Times New Roman" w:eastAsia="Calibri" w:hAnsi="Times New Roman" w:cs="Times New Roman"/>
          <w:b/>
          <w:sz w:val="28"/>
          <w:lang w:val="uk-UA"/>
        </w:rPr>
        <w:t xml:space="preserve"> ПАТОЛОГІЇ</w:t>
      </w:r>
    </w:p>
    <w:p w:rsidR="00916F19" w:rsidRPr="00CB5553" w:rsidRDefault="00916F19" w:rsidP="00916F19">
      <w:pPr>
        <w:spacing w:after="0" w:line="360" w:lineRule="auto"/>
        <w:jc w:val="center"/>
        <w:rPr>
          <w:rFonts w:ascii="Times New Roman" w:eastAsia="Calibri" w:hAnsi="Times New Roman" w:cs="Times New Roman"/>
          <w:bCs/>
          <w:i/>
          <w:sz w:val="28"/>
          <w:lang w:val="uk-UA"/>
        </w:rPr>
      </w:pPr>
      <w:proofErr w:type="spellStart"/>
      <w:r w:rsidRPr="00194EE5">
        <w:rPr>
          <w:rFonts w:ascii="Times New Roman" w:eastAsia="Calibri" w:hAnsi="Times New Roman" w:cs="Times New Roman"/>
          <w:bCs/>
          <w:i/>
          <w:sz w:val="28"/>
          <w:lang w:val="uk-UA"/>
        </w:rPr>
        <w:t>Андон’єва</w:t>
      </w:r>
      <w:proofErr w:type="spellEnd"/>
      <w:r w:rsidRPr="00194EE5">
        <w:rPr>
          <w:rFonts w:ascii="Times New Roman" w:eastAsia="Calibri" w:hAnsi="Times New Roman" w:cs="Times New Roman"/>
          <w:bCs/>
          <w:i/>
          <w:sz w:val="28"/>
          <w:lang w:val="uk-UA"/>
        </w:rPr>
        <w:t xml:space="preserve"> Н. М.</w:t>
      </w:r>
      <w:r w:rsidRPr="00194EE5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 xml:space="preserve"> 1,2</w:t>
      </w:r>
      <w:r w:rsidRPr="00194EE5">
        <w:rPr>
          <w:rFonts w:ascii="Times New Roman" w:eastAsia="Calibri" w:hAnsi="Times New Roman" w:cs="Times New Roman"/>
          <w:bCs/>
          <w:i/>
          <w:sz w:val="28"/>
          <w:lang w:val="uk-UA"/>
        </w:rPr>
        <w:t>, Гуц О. А.</w:t>
      </w:r>
      <w:r w:rsidRPr="00194EE5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 xml:space="preserve"> 1,2</w:t>
      </w:r>
      <w:r w:rsidRPr="00194EE5">
        <w:rPr>
          <w:rFonts w:ascii="Times New Roman" w:eastAsia="Calibri" w:hAnsi="Times New Roman" w:cs="Times New Roman"/>
          <w:bCs/>
          <w:i/>
          <w:sz w:val="28"/>
          <w:lang w:val="uk-UA"/>
        </w:rPr>
        <w:t>, Дубовик М. Я.</w:t>
      </w:r>
      <w:r w:rsidRPr="00194EE5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 xml:space="preserve"> 1,2</w:t>
      </w:r>
      <w:r w:rsidRPr="00194EE5">
        <w:rPr>
          <w:rFonts w:ascii="Times New Roman" w:eastAsia="Calibri" w:hAnsi="Times New Roman" w:cs="Times New Roman"/>
          <w:bCs/>
          <w:i/>
          <w:sz w:val="28"/>
          <w:lang w:val="uk-UA"/>
        </w:rPr>
        <w:t>, Лісова Г. В.</w:t>
      </w:r>
      <w:r w:rsidRPr="00194EE5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 xml:space="preserve"> 1</w:t>
      </w:r>
      <w:r w:rsidRPr="00194EE5">
        <w:rPr>
          <w:rFonts w:ascii="Times New Roman" w:eastAsia="Calibri" w:hAnsi="Times New Roman" w:cs="Times New Roman"/>
          <w:bCs/>
          <w:i/>
          <w:sz w:val="28"/>
          <w:lang w:val="uk-UA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i/>
          <w:sz w:val="28"/>
          <w:lang w:val="uk-UA"/>
        </w:rPr>
        <w:t>Колупа</w:t>
      </w:r>
      <w:proofErr w:type="spellEnd"/>
      <w:r>
        <w:rPr>
          <w:rFonts w:ascii="Times New Roman" w:eastAsia="Calibri" w:hAnsi="Times New Roman" w:cs="Times New Roman"/>
          <w:bCs/>
          <w:i/>
          <w:sz w:val="28"/>
          <w:lang w:val="uk-UA"/>
        </w:rPr>
        <w:t>єв С. М.</w:t>
      </w:r>
      <w:r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>1,2</w:t>
      </w:r>
      <w:r>
        <w:rPr>
          <w:rFonts w:ascii="Times New Roman" w:eastAsia="Calibri" w:hAnsi="Times New Roman" w:cs="Times New Roman"/>
          <w:bCs/>
          <w:i/>
          <w:sz w:val="28"/>
          <w:lang w:val="uk-UA"/>
        </w:rPr>
        <w:t xml:space="preserve">, </w:t>
      </w:r>
      <w:proofErr w:type="spellStart"/>
      <w:r w:rsidRPr="00194EE5">
        <w:rPr>
          <w:rFonts w:ascii="Times New Roman" w:eastAsia="Calibri" w:hAnsi="Times New Roman" w:cs="Times New Roman"/>
          <w:bCs/>
          <w:i/>
          <w:sz w:val="28"/>
          <w:lang w:val="uk-UA"/>
        </w:rPr>
        <w:t>Грушка</w:t>
      </w:r>
      <w:proofErr w:type="spellEnd"/>
      <w:r w:rsidRPr="00194EE5">
        <w:rPr>
          <w:rFonts w:ascii="Times New Roman" w:eastAsia="Calibri" w:hAnsi="Times New Roman" w:cs="Times New Roman"/>
          <w:bCs/>
          <w:i/>
          <w:sz w:val="28"/>
          <w:lang w:val="uk-UA"/>
        </w:rPr>
        <w:t> М. А.</w:t>
      </w:r>
      <w:r w:rsidRPr="00194EE5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>1,2</w:t>
      </w:r>
      <w:r w:rsidRPr="00194EE5">
        <w:rPr>
          <w:rFonts w:ascii="Times New Roman" w:eastAsia="Calibri" w:hAnsi="Times New Roman" w:cs="Times New Roman"/>
          <w:bCs/>
          <w:i/>
          <w:sz w:val="28"/>
          <w:lang w:val="uk-UA"/>
        </w:rPr>
        <w:t xml:space="preserve">, </w:t>
      </w:r>
      <w:bookmarkStart w:id="0" w:name="_GoBack"/>
      <w:bookmarkEnd w:id="0"/>
      <w:proofErr w:type="spellStart"/>
      <w:r w:rsidRPr="00194EE5">
        <w:rPr>
          <w:rFonts w:ascii="Times New Roman" w:eastAsia="Calibri" w:hAnsi="Times New Roman" w:cs="Times New Roman"/>
          <w:bCs/>
          <w:i/>
          <w:sz w:val="28"/>
          <w:lang w:val="uk-UA"/>
        </w:rPr>
        <w:t>Валковська</w:t>
      </w:r>
      <w:proofErr w:type="spellEnd"/>
      <w:r w:rsidRPr="00194EE5">
        <w:rPr>
          <w:rFonts w:ascii="Times New Roman" w:eastAsia="Calibri" w:hAnsi="Times New Roman" w:cs="Times New Roman"/>
          <w:bCs/>
          <w:i/>
          <w:sz w:val="28"/>
          <w:lang w:val="uk-UA"/>
        </w:rPr>
        <w:t xml:space="preserve"> Т. Л.</w:t>
      </w:r>
      <w:r w:rsidRPr="00194EE5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 xml:space="preserve"> 1,2</w:t>
      </w:r>
      <w:r>
        <w:rPr>
          <w:rFonts w:ascii="Times New Roman" w:eastAsia="Calibri" w:hAnsi="Times New Roman" w:cs="Times New Roman"/>
          <w:bCs/>
          <w:i/>
          <w:sz w:val="28"/>
          <w:lang w:val="uk-UA"/>
        </w:rPr>
        <w:t xml:space="preserve">, </w:t>
      </w:r>
      <w:proofErr w:type="spellStart"/>
      <w:r w:rsidRPr="00CB5553">
        <w:rPr>
          <w:rFonts w:ascii="Times New Roman" w:eastAsia="Calibri" w:hAnsi="Times New Roman" w:cs="Times New Roman"/>
          <w:bCs/>
          <w:i/>
          <w:sz w:val="28"/>
          <w:lang w:val="uk-UA"/>
        </w:rPr>
        <w:t>Желєзнікова</w:t>
      </w:r>
      <w:proofErr w:type="spellEnd"/>
      <w:r w:rsidRPr="00CB5553">
        <w:rPr>
          <w:rFonts w:ascii="Times New Roman" w:eastAsia="Calibri" w:hAnsi="Times New Roman" w:cs="Times New Roman"/>
          <w:bCs/>
          <w:i/>
          <w:sz w:val="28"/>
          <w:lang w:val="uk-UA"/>
        </w:rPr>
        <w:t xml:space="preserve"> М. О.</w:t>
      </w:r>
      <w:r w:rsidRPr="00CB5553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>1,2</w:t>
      </w:r>
    </w:p>
    <w:p w:rsidR="00916F19" w:rsidRPr="00194EE5" w:rsidRDefault="00916F19" w:rsidP="00916F19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lang w:val="uk-UA"/>
        </w:rPr>
      </w:pPr>
      <w:r w:rsidRPr="00194EE5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>1</w:t>
      </w: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>Харківський національний медичний університет</w:t>
      </w:r>
    </w:p>
    <w:p w:rsidR="00916F19" w:rsidRDefault="00916F19" w:rsidP="00916F19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lang w:val="uk-UA"/>
        </w:rPr>
      </w:pPr>
      <w:r w:rsidRPr="00194EE5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>2</w:t>
      </w: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 xml:space="preserve">Обласний медичний клінічний центр урології, нефрології </w:t>
      </w:r>
      <w:proofErr w:type="spellStart"/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>ім. В. І. Шапо</w:t>
      </w:r>
      <w:proofErr w:type="spellEnd"/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>вала, м. Харків</w:t>
      </w:r>
    </w:p>
    <w:p w:rsidR="00916F19" w:rsidRDefault="00916F19" w:rsidP="00916F19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lang w:val="uk-UA"/>
        </w:rPr>
      </w:pPr>
    </w:p>
    <w:p w:rsidR="00916F19" w:rsidRPr="00916F19" w:rsidRDefault="00916F19" w:rsidP="00916F1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Ураження нирок при хворобах крові не тільки впливають на якість жи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ття та виживання хворих з </w:t>
      </w:r>
      <w:proofErr w:type="spellStart"/>
      <w:r>
        <w:rPr>
          <w:rFonts w:ascii="Times New Roman" w:eastAsia="Calibri" w:hAnsi="Times New Roman" w:cs="Times New Roman"/>
          <w:bCs/>
          <w:sz w:val="28"/>
          <w:lang w:val="uk-UA"/>
        </w:rPr>
        <w:t>мієло</w:t>
      </w:r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-</w:t>
      </w:r>
      <w:proofErr w:type="spellEnd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 та </w:t>
      </w:r>
      <w:proofErr w:type="spellStart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лімфопроліферативними</w:t>
      </w:r>
      <w:proofErr w:type="spellEnd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 захворюваннями, але і часто є першими, </w:t>
      </w:r>
      <w:proofErr w:type="spellStart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маніфестни</w:t>
      </w:r>
      <w:r>
        <w:rPr>
          <w:rFonts w:ascii="Times New Roman" w:eastAsia="Calibri" w:hAnsi="Times New Roman" w:cs="Times New Roman"/>
          <w:bCs/>
          <w:sz w:val="28"/>
          <w:lang w:val="uk-UA"/>
        </w:rPr>
        <w:t>ми</w:t>
      </w:r>
      <w:proofErr w:type="spellEnd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 ознаками даних захворювань. Найбільш поширеним захворюванням крові з таким ураження нирок є множинна мієлома.</w:t>
      </w:r>
    </w:p>
    <w:p w:rsidR="00916F19" w:rsidRDefault="00916F19" w:rsidP="00916F1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Множинна мієлома (ММ) - це злоякісна пухлина, морфологічним субстратом якої є плазматичні клітини, що продукують </w:t>
      </w:r>
      <w:proofErr w:type="spellStart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моноклональн</w:t>
      </w:r>
      <w:r>
        <w:rPr>
          <w:rFonts w:ascii="Times New Roman" w:eastAsia="Calibri" w:hAnsi="Times New Roman" w:cs="Times New Roman"/>
          <w:bCs/>
          <w:sz w:val="28"/>
          <w:lang w:val="uk-UA"/>
        </w:rPr>
        <w:t>и</w:t>
      </w:r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й</w:t>
      </w:r>
      <w:proofErr w:type="spellEnd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 імуноглобулін.  ММ становить приблизно 1% серед усіх злоякісних пухлин, 13% серед </w:t>
      </w:r>
      <w:proofErr w:type="spellStart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гемопоетичних</w:t>
      </w:r>
      <w:proofErr w:type="spellEnd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 пухлин.</w:t>
      </w:r>
      <w:r w:rsidR="009A1737"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Поширеність множинної мієломи (ММ) коливається від 0,5–1,0 у жителів Азії до 10-12 на 100 тис. осіб серед афроамериканців. В Україні захворюваність ММ становить 2,4 випадки на 100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 тис. осіб. </w:t>
      </w:r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ММ — хвороба літніх: менше 2 % хворих молодше 40 років, 15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 % пацієнтів молодше 60 років. </w:t>
      </w:r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На жаль, діагноз ММ часто несвоєчасний. У 35% хворих інтервал між появою симптомів і встановленням діагнозу становить більше 3 міс. і у 15 % - більше 6 міс.</w:t>
      </w:r>
    </w:p>
    <w:p w:rsidR="00916F19" w:rsidRPr="00916F19" w:rsidRDefault="00916F19" w:rsidP="00916F1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У структурі ураження нирок при ММ мієломна нефропатія (МН) становить 60-80%. У 10-20% випадків виявляють AL амілоїдоз, у 5-10% хворих діагностують хворобу депозитів легких ланцюгів (</w:t>
      </w:r>
      <w:r>
        <w:rPr>
          <w:rFonts w:ascii="Times New Roman" w:eastAsia="Calibri" w:hAnsi="Times New Roman" w:cs="Times New Roman"/>
          <w:bCs/>
          <w:sz w:val="28"/>
          <w:lang w:val="uk-UA"/>
        </w:rPr>
        <w:t>Х</w:t>
      </w:r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ДЛЦ).  Поряд з цим можливі рідкісні варіанти: </w:t>
      </w:r>
      <w:proofErr w:type="spellStart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парапротеїн-асоційований</w:t>
      </w:r>
      <w:proofErr w:type="spellEnd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 гломерулонефрит, </w:t>
      </w:r>
      <w:proofErr w:type="spellStart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імунотактоїдна</w:t>
      </w:r>
      <w:proofErr w:type="spellEnd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 нефропатія, хронічний </w:t>
      </w:r>
      <w:proofErr w:type="spellStart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тубулоінтерстиціальний</w:t>
      </w:r>
      <w:proofErr w:type="spellEnd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 нефрит, плазмоклітинна інфільтрація. </w:t>
      </w:r>
    </w:p>
    <w:p w:rsidR="00916F19" w:rsidRDefault="00916F19" w:rsidP="00916F1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916F19">
        <w:rPr>
          <w:rFonts w:ascii="Times New Roman" w:eastAsia="Calibri" w:hAnsi="Times New Roman" w:cs="Times New Roman"/>
          <w:bCs/>
          <w:sz w:val="28"/>
          <w:lang w:val="uk-UA"/>
        </w:rPr>
        <w:lastRenderedPageBreak/>
        <w:t xml:space="preserve">Мієломна нефропатія (синоніми циліндр-нефропатія, каст-нефропатія) — найбільш частий варіант ураження нирок при множинній мієломі (ММ), обумовлений секрецією і екскрецією з сечею моноклональних легких ланцюгів (білка </w:t>
      </w:r>
      <w:proofErr w:type="spellStart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Бенс-Джонса</w:t>
      </w:r>
      <w:proofErr w:type="spellEnd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), що характеризується утворенням білкових циліндрів в дистальному відділі канальців, розвитком тубулоинтерстициального запалення і фіброзу.</w:t>
      </w:r>
    </w:p>
    <w:p w:rsidR="00916F19" w:rsidRPr="00916F19" w:rsidRDefault="00916F19" w:rsidP="00916F1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Причина розвитку </w:t>
      </w:r>
      <w:proofErr w:type="spellStart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МН-секреція</w:t>
      </w:r>
      <w:proofErr w:type="spellEnd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 пухлинними плазматичними клітинами великої кількості моноклональних легких ланцюгів (ЛЦ), </w:t>
      </w:r>
      <w:proofErr w:type="spellStart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екскретова</w:t>
      </w:r>
      <w:r>
        <w:rPr>
          <w:rFonts w:ascii="Times New Roman" w:eastAsia="Calibri" w:hAnsi="Times New Roman" w:cs="Times New Roman"/>
          <w:bCs/>
          <w:sz w:val="28"/>
          <w:lang w:val="uk-UA"/>
        </w:rPr>
        <w:t>них</w:t>
      </w:r>
      <w:proofErr w:type="spellEnd"/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 в просвіт канальців нирок. </w:t>
      </w:r>
      <w:proofErr w:type="spellStart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Эндоцитоз</w:t>
      </w:r>
      <w:proofErr w:type="spellEnd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 ЛЦ клітинами проксимального канальця супроводжується активацією NF-κb, </w:t>
      </w:r>
      <w:proofErr w:type="spellStart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митоген-активованих</w:t>
      </w:r>
      <w:proofErr w:type="spellEnd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proofErr w:type="spellStart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протеїнкіназ</w:t>
      </w:r>
      <w:proofErr w:type="spellEnd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 і в</w:t>
      </w:r>
      <w:r w:rsidR="009A1737">
        <w:rPr>
          <w:rFonts w:ascii="Times New Roman" w:eastAsia="Calibri" w:hAnsi="Times New Roman" w:cs="Times New Roman"/>
          <w:bCs/>
          <w:sz w:val="28"/>
          <w:lang w:val="uk-UA"/>
        </w:rPr>
        <w:t>икид</w:t>
      </w:r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ом</w:t>
      </w:r>
      <w:r w:rsidR="009A1737"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proofErr w:type="spellStart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про</w:t>
      </w:r>
      <w:r w:rsidR="009A1737">
        <w:rPr>
          <w:rFonts w:ascii="Times New Roman" w:eastAsia="Calibri" w:hAnsi="Times New Roman" w:cs="Times New Roman"/>
          <w:bCs/>
          <w:sz w:val="28"/>
          <w:lang w:val="uk-UA"/>
        </w:rPr>
        <w:t>запальних</w:t>
      </w:r>
      <w:proofErr w:type="spellEnd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proofErr w:type="spellStart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цитокінів</w:t>
      </w:r>
      <w:proofErr w:type="spellEnd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 (</w:t>
      </w:r>
      <w:proofErr w:type="spellStart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інтерлейкіну</w:t>
      </w:r>
      <w:proofErr w:type="spellEnd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 6, </w:t>
      </w:r>
      <w:proofErr w:type="spellStart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інтерлейкіну</w:t>
      </w:r>
      <w:proofErr w:type="spellEnd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 8, </w:t>
      </w:r>
      <w:proofErr w:type="spellStart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туморнекротич</w:t>
      </w:r>
      <w:r w:rsidR="009A1737">
        <w:rPr>
          <w:rFonts w:ascii="Times New Roman" w:eastAsia="Calibri" w:hAnsi="Times New Roman" w:cs="Times New Roman"/>
          <w:bCs/>
          <w:sz w:val="28"/>
          <w:lang w:val="uk-UA"/>
        </w:rPr>
        <w:t>н</w:t>
      </w:r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ого</w:t>
      </w:r>
      <w:proofErr w:type="spellEnd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 фактора α, </w:t>
      </w:r>
      <w:proofErr w:type="spellStart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моноцитарного</w:t>
      </w:r>
      <w:proofErr w:type="spellEnd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proofErr w:type="spellStart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хемоаттрактивного</w:t>
      </w:r>
      <w:proofErr w:type="spellEnd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 протеїну 1), що призводить до формування інтерстиціального запалення і фіброзу. Досягаючи дистального відділу канальців, ЛЦ зв'язуються з білком </w:t>
      </w:r>
      <w:proofErr w:type="spellStart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Тамма-Хорсфалла</w:t>
      </w:r>
      <w:proofErr w:type="spellEnd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 і утворюють білкові циліндри.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Внаслідок </w:t>
      </w:r>
      <w:proofErr w:type="spellStart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внутрішньоканальцевої</w:t>
      </w:r>
      <w:proofErr w:type="spellEnd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 обструкції вміст канальців проникає в інтерстицій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. </w:t>
      </w:r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Цей процес супроводжується міграцією Т-лімфоцитів і макрофагів, викидом </w:t>
      </w:r>
      <w:proofErr w:type="spellStart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цитокінів</w:t>
      </w:r>
      <w:proofErr w:type="spellEnd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 (</w:t>
      </w:r>
      <w:proofErr w:type="spellStart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трансформуючого</w:t>
      </w:r>
      <w:proofErr w:type="spellEnd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 фактора росту-β, </w:t>
      </w:r>
      <w:proofErr w:type="spellStart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інтерлейкіну</w:t>
      </w:r>
      <w:proofErr w:type="spellEnd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 4, фактора некрозу пухлини-α), що індукують </w:t>
      </w:r>
      <w:proofErr w:type="spellStart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тубулоінтерстиціальне</w:t>
      </w:r>
      <w:proofErr w:type="spellEnd"/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 запалення і фіброз. </w:t>
      </w:r>
    </w:p>
    <w:p w:rsidR="00916F19" w:rsidRDefault="00916F19" w:rsidP="00916F1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Мієломна нефропатія у дебюті викликає гостре пошкодження нир</w:t>
      </w:r>
      <w:r>
        <w:rPr>
          <w:rFonts w:ascii="Times New Roman" w:eastAsia="Calibri" w:hAnsi="Times New Roman" w:cs="Times New Roman"/>
          <w:bCs/>
          <w:sz w:val="28"/>
          <w:lang w:val="uk-UA"/>
        </w:rPr>
        <w:t>ок</w:t>
      </w:r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, проте в подальшому (іноді протягом 2-3 міс) може сформуватися інтерстиціальний фіброз і ХНН.  При редукції ЛЦ в результаті </w:t>
      </w:r>
      <w:r w:rsidR="003F7963">
        <w:rPr>
          <w:rFonts w:ascii="Times New Roman" w:eastAsia="Calibri" w:hAnsi="Times New Roman" w:cs="Times New Roman"/>
          <w:bCs/>
          <w:sz w:val="28"/>
          <w:lang w:val="uk-UA"/>
        </w:rPr>
        <w:t>хіміотерапії (</w:t>
      </w:r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>ХТ</w:t>
      </w:r>
      <w:r w:rsidR="003F7963">
        <w:rPr>
          <w:rFonts w:ascii="Times New Roman" w:eastAsia="Calibri" w:hAnsi="Times New Roman" w:cs="Times New Roman"/>
          <w:bCs/>
          <w:sz w:val="28"/>
          <w:lang w:val="uk-UA"/>
        </w:rPr>
        <w:t>)</w:t>
      </w:r>
      <w:r w:rsidRPr="00916F19">
        <w:rPr>
          <w:rFonts w:ascii="Times New Roman" w:eastAsia="Calibri" w:hAnsi="Times New Roman" w:cs="Times New Roman"/>
          <w:bCs/>
          <w:sz w:val="28"/>
          <w:lang w:val="uk-UA"/>
        </w:rPr>
        <w:t xml:space="preserve"> білкові циліндри регресують, що призводить до поліпшення функції нирок. Ступінь оборотності ПН визначається наявністю і виразністю тубулоінтерстиціального фіброзу і ефективністю ХТ.</w:t>
      </w:r>
    </w:p>
    <w:p w:rsidR="003F7963" w:rsidRPr="003F7963" w:rsidRDefault="003F7963" w:rsidP="003F796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>Діагноз мієломної нефропа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тії встановлюється на підставі </w:t>
      </w:r>
    </w:p>
    <w:p w:rsidR="003F7963" w:rsidRPr="003F7963" w:rsidRDefault="003F7963" w:rsidP="003F796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 xml:space="preserve">наявності ММ і ПН </w:t>
      </w:r>
    </w:p>
    <w:p w:rsidR="003F7963" w:rsidRPr="003F7963" w:rsidRDefault="003F7963" w:rsidP="003F796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 xml:space="preserve">швидко прогресуючої ПН </w:t>
      </w:r>
    </w:p>
    <w:p w:rsidR="003F7963" w:rsidRPr="003F7963" w:rsidRDefault="003F7963" w:rsidP="003F796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 xml:space="preserve">канальцевого характеру протеїнурії </w:t>
      </w:r>
    </w:p>
    <w:p w:rsidR="003F7963" w:rsidRPr="003F7963" w:rsidRDefault="003F7963" w:rsidP="003F796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3F7963">
        <w:rPr>
          <w:rFonts w:ascii="Times New Roman" w:eastAsia="Calibri" w:hAnsi="Times New Roman" w:cs="Times New Roman"/>
          <w:bCs/>
          <w:sz w:val="28"/>
          <w:lang w:val="uk-UA"/>
        </w:rPr>
        <w:lastRenderedPageBreak/>
        <w:t xml:space="preserve">секреції моноклональних ЛЦ, що виявляється при </w:t>
      </w:r>
      <w:proofErr w:type="spellStart"/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>імунохімічному</w:t>
      </w:r>
      <w:proofErr w:type="spellEnd"/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 xml:space="preserve"> дослідженні крові і сечі </w:t>
      </w:r>
    </w:p>
    <w:p w:rsidR="003F7963" w:rsidRPr="003F7963" w:rsidRDefault="003F7963" w:rsidP="003F796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 xml:space="preserve">дослідження </w:t>
      </w:r>
      <w:proofErr w:type="spellStart"/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>біоптату</w:t>
      </w:r>
      <w:proofErr w:type="spellEnd"/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 xml:space="preserve"> нирки методом світлової та </w:t>
      </w:r>
      <w:proofErr w:type="spellStart"/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>імунофлуоресцентної</w:t>
      </w:r>
      <w:proofErr w:type="spellEnd"/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 xml:space="preserve"> мікроскопії.</w:t>
      </w:r>
    </w:p>
    <w:p w:rsidR="003F7963" w:rsidRPr="003F7963" w:rsidRDefault="003F7963" w:rsidP="003F796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 xml:space="preserve">Для МН характерна висока секреція моноклональних ЛЦ.  Секрецію моноклональних ЛЦ виявляють при дослідженні сироватки і сечі методом </w:t>
      </w:r>
      <w:proofErr w:type="spellStart"/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>імуноелектрофорезу</w:t>
      </w:r>
      <w:proofErr w:type="spellEnd"/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 xml:space="preserve"> та </w:t>
      </w:r>
      <w:proofErr w:type="spellStart"/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>імунофіксації</w:t>
      </w:r>
      <w:proofErr w:type="spellEnd"/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>.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 xml:space="preserve">Якщо зазначеними методами білок </w:t>
      </w:r>
      <w:proofErr w:type="spellStart"/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>Бенс-Джонса</w:t>
      </w:r>
      <w:proofErr w:type="spellEnd"/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 xml:space="preserve"> в сироватці не виявляється і вміст його в сечі становить менше 200 мг/добу, а також у пацієнтів з анурією доцільно використовувати кількісне визначення вільних ЛЦ сироватки та їх с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піввідношення (метод </w:t>
      </w:r>
      <w:proofErr w:type="spellStart"/>
      <w:r>
        <w:rPr>
          <w:rFonts w:ascii="Times New Roman" w:eastAsia="Calibri" w:hAnsi="Times New Roman" w:cs="Times New Roman"/>
          <w:bCs/>
          <w:sz w:val="28"/>
          <w:lang w:val="uk-UA"/>
        </w:rPr>
        <w:t>Freelite</w:t>
      </w:r>
      <w:proofErr w:type="spellEnd"/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). </w:t>
      </w:r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 xml:space="preserve">Ризик розвитку МН збільшується при концентрації моноклональних вільних ЛЦ в сироватці більше 500-1000 мг/ л, кількості білка </w:t>
      </w:r>
      <w:proofErr w:type="spellStart"/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>Бенс-Джонса</w:t>
      </w:r>
      <w:proofErr w:type="spellEnd"/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 xml:space="preserve"> в сечі більше 2 г / добу.</w:t>
      </w:r>
    </w:p>
    <w:p w:rsidR="003F7963" w:rsidRDefault="003F7963" w:rsidP="009A17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 xml:space="preserve">Диференціальну діагностику проводять, перш за все, з іншими варіантами ураження нирок при ММ, перш за все з AL - амілоїдозом і </w:t>
      </w:r>
      <w:r>
        <w:rPr>
          <w:rFonts w:ascii="Times New Roman" w:eastAsia="Calibri" w:hAnsi="Times New Roman" w:cs="Times New Roman"/>
          <w:bCs/>
          <w:sz w:val="28"/>
          <w:lang w:val="uk-UA"/>
        </w:rPr>
        <w:t>Х</w:t>
      </w:r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>ДЛЦ. При підозрі на AL-амілоїдоз для підтвердження діагнозу необхідно виконати біопсію підшкірно-жирової клітковини, слизової шлунково-кишкового тракту, кісткового мозку.  При негативних результатах виконують біопсію нирки.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 xml:space="preserve">Діагноз нефропатії внаслідок </w:t>
      </w:r>
      <w:r>
        <w:rPr>
          <w:rFonts w:ascii="Times New Roman" w:eastAsia="Calibri" w:hAnsi="Times New Roman" w:cs="Times New Roman"/>
          <w:bCs/>
          <w:sz w:val="28"/>
          <w:lang w:val="uk-UA"/>
        </w:rPr>
        <w:t>Х</w:t>
      </w:r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 xml:space="preserve">ДЛЦ встановлюють лише на підставі біопсії нирки. Характерною морфологічною ознакою, що виявляється при світловій мікроскопії, є </w:t>
      </w:r>
      <w:proofErr w:type="spellStart"/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>нодулярний</w:t>
      </w:r>
      <w:proofErr w:type="spellEnd"/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proofErr w:type="spellStart"/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>гломерулосклероз</w:t>
      </w:r>
      <w:proofErr w:type="spellEnd"/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>.</w:t>
      </w:r>
      <w:r w:rsidR="009A1737"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</w:p>
    <w:p w:rsidR="003F7963" w:rsidRPr="0055584A" w:rsidRDefault="003F7963" w:rsidP="00555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3F7963">
        <w:rPr>
          <w:rFonts w:ascii="Times New Roman" w:eastAsia="Calibri" w:hAnsi="Times New Roman" w:cs="Times New Roman"/>
          <w:bCs/>
          <w:sz w:val="28"/>
          <w:lang w:val="uk-UA"/>
        </w:rPr>
        <w:t>Індукційну хіміотерапію слід проводити в стаціонарі хворим М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М з </w:t>
      </w:r>
      <w:r w:rsidR="009A1737">
        <w:rPr>
          <w:rFonts w:ascii="Times New Roman" w:eastAsia="Calibri" w:hAnsi="Times New Roman" w:cs="Times New Roman"/>
          <w:bCs/>
          <w:sz w:val="28"/>
          <w:lang w:val="uk-UA"/>
        </w:rPr>
        <w:t>Н</w:t>
      </w:r>
      <w:r>
        <w:rPr>
          <w:rFonts w:ascii="Times New Roman" w:eastAsia="Calibri" w:hAnsi="Times New Roman" w:cs="Times New Roman"/>
          <w:bCs/>
          <w:sz w:val="28"/>
          <w:lang w:val="uk-UA"/>
        </w:rPr>
        <w:t>Н, у яких</w:t>
      </w:r>
      <w:r w:rsidR="0022233D">
        <w:rPr>
          <w:rFonts w:ascii="Times New Roman" w:eastAsia="Calibri" w:hAnsi="Times New Roman" w:cs="Times New Roman"/>
          <w:bCs/>
          <w:sz w:val="28"/>
          <w:lang w:val="uk-UA"/>
        </w:rPr>
        <w:t>: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 xml:space="preserve">ШКФ менше 50 </w:t>
      </w:r>
      <w:proofErr w:type="spellStart"/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>мл</w:t>
      </w:r>
      <w:proofErr w:type="spellEnd"/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>/</w:t>
      </w:r>
      <w:proofErr w:type="spellStart"/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>хв</w:t>
      </w:r>
      <w:proofErr w:type="spellEnd"/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 xml:space="preserve"> і вік старше 60 років</w:t>
      </w:r>
      <w:r w:rsidR="0055584A">
        <w:rPr>
          <w:rFonts w:ascii="Times New Roman" w:eastAsia="Calibri" w:hAnsi="Times New Roman" w:cs="Times New Roman"/>
          <w:bCs/>
          <w:sz w:val="28"/>
          <w:lang w:val="uk-UA"/>
        </w:rPr>
        <w:t>;</w:t>
      </w:r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 xml:space="preserve"> ШКФ менше 30 </w:t>
      </w:r>
      <w:proofErr w:type="spellStart"/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>мл</w:t>
      </w:r>
      <w:proofErr w:type="spellEnd"/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 xml:space="preserve"> / </w:t>
      </w:r>
      <w:proofErr w:type="spellStart"/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>хв</w:t>
      </w:r>
      <w:proofErr w:type="spellEnd"/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>; важкі супутні захворювання; важкий загальний стан.</w:t>
      </w:r>
    </w:p>
    <w:p w:rsidR="0055584A" w:rsidRDefault="0022233D" w:rsidP="00555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lang w:val="uk-UA"/>
        </w:rPr>
        <w:t>Надалі потрібна к</w:t>
      </w:r>
      <w:r w:rsidR="003F7963" w:rsidRPr="003F7963">
        <w:rPr>
          <w:rFonts w:ascii="Times New Roman" w:eastAsia="Calibri" w:hAnsi="Times New Roman" w:cs="Times New Roman"/>
          <w:bCs/>
          <w:sz w:val="28"/>
          <w:lang w:val="uk-UA"/>
        </w:rPr>
        <w:t>орекція факторів, що погіршують функцію нирок</w:t>
      </w:r>
      <w:r>
        <w:rPr>
          <w:rFonts w:ascii="Times New Roman" w:eastAsia="Calibri" w:hAnsi="Times New Roman" w:cs="Times New Roman"/>
          <w:bCs/>
          <w:sz w:val="28"/>
          <w:lang w:val="uk-UA"/>
        </w:rPr>
        <w:t>. Для усунення дегідратації с</w:t>
      </w:r>
      <w:r w:rsidR="003F7963" w:rsidRPr="003F7963">
        <w:rPr>
          <w:rFonts w:ascii="Times New Roman" w:eastAsia="Calibri" w:hAnsi="Times New Roman" w:cs="Times New Roman"/>
          <w:bCs/>
          <w:sz w:val="28"/>
          <w:lang w:val="uk-UA"/>
        </w:rPr>
        <w:t>лід викл</w:t>
      </w:r>
      <w:r>
        <w:rPr>
          <w:rFonts w:ascii="Times New Roman" w:eastAsia="Calibri" w:hAnsi="Times New Roman" w:cs="Times New Roman"/>
          <w:bCs/>
          <w:sz w:val="28"/>
          <w:lang w:val="uk-UA"/>
        </w:rPr>
        <w:t>ючити застосування діуретинів, п</w:t>
      </w:r>
      <w:r w:rsidR="003F7963" w:rsidRPr="003F7963">
        <w:rPr>
          <w:rFonts w:ascii="Times New Roman" w:eastAsia="Calibri" w:hAnsi="Times New Roman" w:cs="Times New Roman"/>
          <w:bCs/>
          <w:sz w:val="28"/>
          <w:lang w:val="uk-UA"/>
        </w:rPr>
        <w:t>ри відсутно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сті </w:t>
      </w:r>
      <w:proofErr w:type="spellStart"/>
      <w:r>
        <w:rPr>
          <w:rFonts w:ascii="Times New Roman" w:eastAsia="Calibri" w:hAnsi="Times New Roman" w:cs="Times New Roman"/>
          <w:bCs/>
          <w:sz w:val="28"/>
          <w:lang w:val="uk-UA"/>
        </w:rPr>
        <w:t>оліго</w:t>
      </w:r>
      <w:r w:rsidR="003F7963" w:rsidRPr="003F7963">
        <w:rPr>
          <w:rFonts w:ascii="Times New Roman" w:eastAsia="Calibri" w:hAnsi="Times New Roman" w:cs="Times New Roman"/>
          <w:bCs/>
          <w:sz w:val="28"/>
          <w:lang w:val="uk-UA"/>
        </w:rPr>
        <w:t>-</w:t>
      </w:r>
      <w:proofErr w:type="spellEnd"/>
      <w:r w:rsidR="003F7963" w:rsidRPr="003F7963">
        <w:rPr>
          <w:rFonts w:ascii="Times New Roman" w:eastAsia="Calibri" w:hAnsi="Times New Roman" w:cs="Times New Roman"/>
          <w:bCs/>
          <w:sz w:val="28"/>
          <w:lang w:val="uk-UA"/>
        </w:rPr>
        <w:t xml:space="preserve"> і анурії необхідне введення розчину 0,9% хлориду натрію не менше 3 л на добу.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proofErr w:type="spellStart"/>
      <w:r w:rsidR="003F7963" w:rsidRPr="003F7963">
        <w:rPr>
          <w:rFonts w:ascii="Times New Roman" w:eastAsia="Calibri" w:hAnsi="Times New Roman" w:cs="Times New Roman"/>
          <w:bCs/>
          <w:sz w:val="28"/>
          <w:lang w:val="uk-UA"/>
        </w:rPr>
        <w:t>Гіпервіскозний</w:t>
      </w:r>
      <w:proofErr w:type="spellEnd"/>
      <w:r w:rsidR="003F7963" w:rsidRPr="003F7963">
        <w:rPr>
          <w:rFonts w:ascii="Times New Roman" w:eastAsia="Calibri" w:hAnsi="Times New Roman" w:cs="Times New Roman"/>
          <w:bCs/>
          <w:sz w:val="28"/>
          <w:lang w:val="uk-UA"/>
        </w:rPr>
        <w:t xml:space="preserve"> синдром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 потребує</w:t>
      </w:r>
      <w:r w:rsidR="003F7963" w:rsidRPr="003F7963">
        <w:rPr>
          <w:rFonts w:ascii="Times New Roman" w:eastAsia="Calibri" w:hAnsi="Times New Roman" w:cs="Times New Roman"/>
          <w:bCs/>
          <w:sz w:val="28"/>
          <w:lang w:val="uk-UA"/>
        </w:rPr>
        <w:t xml:space="preserve"> виконання 1-3 сеансів </w:t>
      </w:r>
      <w:proofErr w:type="spellStart"/>
      <w:r w:rsidR="003F7963" w:rsidRPr="003F7963">
        <w:rPr>
          <w:rFonts w:ascii="Times New Roman" w:eastAsia="Calibri" w:hAnsi="Times New Roman" w:cs="Times New Roman"/>
          <w:bCs/>
          <w:sz w:val="28"/>
          <w:lang w:val="uk-UA"/>
        </w:rPr>
        <w:t>плазмаферезу</w:t>
      </w:r>
      <w:proofErr w:type="spellEnd"/>
      <w:r w:rsidR="003F7963" w:rsidRPr="003F7963">
        <w:rPr>
          <w:rFonts w:ascii="Times New Roman" w:eastAsia="Calibri" w:hAnsi="Times New Roman" w:cs="Times New Roman"/>
          <w:bCs/>
          <w:sz w:val="28"/>
          <w:lang w:val="uk-UA"/>
        </w:rPr>
        <w:t xml:space="preserve">, негайний початок ХТ. </w:t>
      </w:r>
      <w:r>
        <w:rPr>
          <w:rFonts w:ascii="Times New Roman" w:eastAsia="Calibri" w:hAnsi="Times New Roman" w:cs="Times New Roman"/>
          <w:bCs/>
          <w:sz w:val="28"/>
          <w:lang w:val="uk-UA"/>
        </w:rPr>
        <w:t>Необхідно виключення</w:t>
      </w:r>
      <w:r w:rsidR="003F7963" w:rsidRPr="003F7963">
        <w:rPr>
          <w:rFonts w:ascii="Times New Roman" w:eastAsia="Calibri" w:hAnsi="Times New Roman" w:cs="Times New Roman"/>
          <w:bCs/>
          <w:sz w:val="28"/>
          <w:lang w:val="uk-UA"/>
        </w:rPr>
        <w:t xml:space="preserve"> застосування </w:t>
      </w:r>
      <w:proofErr w:type="spellStart"/>
      <w:r w:rsidR="003F7963" w:rsidRPr="003F7963">
        <w:rPr>
          <w:rFonts w:ascii="Times New Roman" w:eastAsia="Calibri" w:hAnsi="Times New Roman" w:cs="Times New Roman"/>
          <w:bCs/>
          <w:sz w:val="28"/>
          <w:lang w:val="uk-UA"/>
        </w:rPr>
        <w:t>нефротоксичних</w:t>
      </w:r>
      <w:proofErr w:type="spellEnd"/>
      <w:r w:rsidR="003F7963" w:rsidRPr="003F7963">
        <w:rPr>
          <w:rFonts w:ascii="Times New Roman" w:eastAsia="Calibri" w:hAnsi="Times New Roman" w:cs="Times New Roman"/>
          <w:bCs/>
          <w:sz w:val="28"/>
          <w:lang w:val="uk-UA"/>
        </w:rPr>
        <w:t xml:space="preserve"> препаратів, в т. ч. </w:t>
      </w:r>
      <w:proofErr w:type="spellStart"/>
      <w:r w:rsidR="003F7963" w:rsidRPr="003F7963">
        <w:rPr>
          <w:rFonts w:ascii="Times New Roman" w:eastAsia="Calibri" w:hAnsi="Times New Roman" w:cs="Times New Roman"/>
          <w:bCs/>
          <w:sz w:val="28"/>
          <w:lang w:val="uk-UA"/>
        </w:rPr>
        <w:t>аміноглікозидів</w:t>
      </w:r>
      <w:proofErr w:type="spellEnd"/>
      <w:r w:rsidR="003F7963" w:rsidRPr="003F7963">
        <w:rPr>
          <w:rFonts w:ascii="Times New Roman" w:eastAsia="Calibri" w:hAnsi="Times New Roman" w:cs="Times New Roman"/>
          <w:bCs/>
          <w:sz w:val="28"/>
          <w:lang w:val="uk-UA"/>
        </w:rPr>
        <w:t xml:space="preserve">, </w:t>
      </w:r>
      <w:proofErr w:type="spellStart"/>
      <w:r w:rsidR="003F7963" w:rsidRPr="003F7963">
        <w:rPr>
          <w:rFonts w:ascii="Times New Roman" w:eastAsia="Calibri" w:hAnsi="Times New Roman" w:cs="Times New Roman"/>
          <w:bCs/>
          <w:sz w:val="28"/>
          <w:lang w:val="uk-UA"/>
        </w:rPr>
        <w:lastRenderedPageBreak/>
        <w:t>нестероїдних</w:t>
      </w:r>
      <w:proofErr w:type="spellEnd"/>
      <w:r w:rsidR="003F7963" w:rsidRPr="003F7963">
        <w:rPr>
          <w:rFonts w:ascii="Times New Roman" w:eastAsia="Calibri" w:hAnsi="Times New Roman" w:cs="Times New Roman"/>
          <w:bCs/>
          <w:sz w:val="28"/>
          <w:lang w:val="uk-UA"/>
        </w:rPr>
        <w:t xml:space="preserve"> протизапальних препаратів.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r w:rsidR="003F7963" w:rsidRPr="003F7963">
        <w:rPr>
          <w:rFonts w:ascii="Times New Roman" w:eastAsia="Calibri" w:hAnsi="Times New Roman" w:cs="Times New Roman"/>
          <w:bCs/>
          <w:sz w:val="28"/>
          <w:lang w:val="uk-UA"/>
        </w:rPr>
        <w:t>Корекція гіпотензивної терапії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 полягає у</w:t>
      </w:r>
      <w:r w:rsidR="003F7963" w:rsidRPr="003F7963">
        <w:rPr>
          <w:rFonts w:ascii="Times New Roman" w:eastAsia="Calibri" w:hAnsi="Times New Roman" w:cs="Times New Roman"/>
          <w:bCs/>
          <w:sz w:val="28"/>
          <w:lang w:val="uk-UA"/>
        </w:rPr>
        <w:t xml:space="preserve"> відмін</w:t>
      </w:r>
      <w:r>
        <w:rPr>
          <w:rFonts w:ascii="Times New Roman" w:eastAsia="Calibri" w:hAnsi="Times New Roman" w:cs="Times New Roman"/>
          <w:bCs/>
          <w:sz w:val="28"/>
          <w:lang w:val="uk-UA"/>
        </w:rPr>
        <w:t>і</w:t>
      </w:r>
      <w:r w:rsidR="003F7963" w:rsidRPr="003F7963">
        <w:rPr>
          <w:rFonts w:ascii="Times New Roman" w:eastAsia="Calibri" w:hAnsi="Times New Roman" w:cs="Times New Roman"/>
          <w:bCs/>
          <w:sz w:val="28"/>
          <w:lang w:val="uk-UA"/>
        </w:rPr>
        <w:t xml:space="preserve"> препаратів, що знижують </w:t>
      </w:r>
      <w:r>
        <w:rPr>
          <w:rFonts w:ascii="Times New Roman" w:eastAsia="Calibri" w:hAnsi="Times New Roman" w:cs="Times New Roman"/>
          <w:bCs/>
          <w:sz w:val="28"/>
          <w:lang w:val="uk-UA"/>
        </w:rPr>
        <w:t>Ш</w:t>
      </w:r>
      <w:r w:rsidR="003F7963" w:rsidRPr="003F7963">
        <w:rPr>
          <w:rFonts w:ascii="Times New Roman" w:eastAsia="Calibri" w:hAnsi="Times New Roman" w:cs="Times New Roman"/>
          <w:bCs/>
          <w:sz w:val="28"/>
          <w:lang w:val="uk-UA"/>
        </w:rPr>
        <w:t xml:space="preserve">КФ (інгібітори АПФ, блокатори рецепторів до </w:t>
      </w:r>
      <w:proofErr w:type="spellStart"/>
      <w:r w:rsidR="003F7963" w:rsidRPr="003F7963">
        <w:rPr>
          <w:rFonts w:ascii="Times New Roman" w:eastAsia="Calibri" w:hAnsi="Times New Roman" w:cs="Times New Roman"/>
          <w:bCs/>
          <w:sz w:val="28"/>
          <w:lang w:val="uk-UA"/>
        </w:rPr>
        <w:t>ангіотензину</w:t>
      </w:r>
      <w:proofErr w:type="spellEnd"/>
      <w:r w:rsidR="003F7963" w:rsidRPr="003F7963">
        <w:rPr>
          <w:rFonts w:ascii="Times New Roman" w:eastAsia="Calibri" w:hAnsi="Times New Roman" w:cs="Times New Roman"/>
          <w:bCs/>
          <w:sz w:val="28"/>
          <w:lang w:val="uk-UA"/>
        </w:rPr>
        <w:t>).</w:t>
      </w:r>
      <w:r w:rsidR="0055584A"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</w:p>
    <w:p w:rsidR="0022233D" w:rsidRDefault="0022233D" w:rsidP="00555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 xml:space="preserve">Для корекції </w:t>
      </w:r>
      <w:proofErr w:type="spellStart"/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>гіперкальціємії</w:t>
      </w:r>
      <w:proofErr w:type="spellEnd"/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 xml:space="preserve"> використовують </w:t>
      </w:r>
      <w:proofErr w:type="spellStart"/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>кальцитонін</w:t>
      </w:r>
      <w:proofErr w:type="spellEnd"/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 xml:space="preserve">, </w:t>
      </w:r>
      <w:proofErr w:type="spellStart"/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>бісфосфонати</w:t>
      </w:r>
      <w:proofErr w:type="spellEnd"/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 xml:space="preserve">, показано швидкий початок ХТ.  При діаліз залежної ПН гемодіаліз проводять з </w:t>
      </w:r>
      <w:proofErr w:type="spellStart"/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>безкальцієвим</w:t>
      </w:r>
      <w:proofErr w:type="spellEnd"/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 xml:space="preserve"> ко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нцентратом діалізного розчину. </w:t>
      </w:r>
      <w:proofErr w:type="spellStart"/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>Кальцитонін</w:t>
      </w:r>
      <w:proofErr w:type="spellEnd"/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 xml:space="preserve"> (лосося) вводять п/к в початковій дозі 4 МО/кг кожні 12 </w:t>
      </w:r>
      <w:proofErr w:type="spellStart"/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>год</w:t>
      </w:r>
      <w:proofErr w:type="spellEnd"/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 xml:space="preserve"> по контролем вмісту кальцію.  Можливе збільшення дози до 8 МО / кг кожні 12 год. </w:t>
      </w:r>
      <w:proofErr w:type="spellStart"/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>Бісфосфонати</w:t>
      </w:r>
      <w:proofErr w:type="spellEnd"/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 xml:space="preserve"> застосовують з корекцією дози залежно від </w:t>
      </w:r>
      <w:r>
        <w:rPr>
          <w:rFonts w:ascii="Times New Roman" w:eastAsia="Calibri" w:hAnsi="Times New Roman" w:cs="Times New Roman"/>
          <w:bCs/>
          <w:sz w:val="28"/>
          <w:lang w:val="uk-UA"/>
        </w:rPr>
        <w:t>Ш</w:t>
      </w:r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>КФ.</w:t>
      </w:r>
    </w:p>
    <w:p w:rsidR="0022233D" w:rsidRPr="0022233D" w:rsidRDefault="0022233D" w:rsidP="002223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При </w:t>
      </w:r>
      <w:proofErr w:type="spellStart"/>
      <w:r>
        <w:rPr>
          <w:rFonts w:ascii="Times New Roman" w:eastAsia="Calibri" w:hAnsi="Times New Roman" w:cs="Times New Roman"/>
          <w:bCs/>
          <w:sz w:val="28"/>
          <w:lang w:val="uk-UA"/>
        </w:rPr>
        <w:t>гіперкаліемії</w:t>
      </w:r>
      <w:proofErr w:type="spellEnd"/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 потрібна д</w:t>
      </w:r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 xml:space="preserve">ієта з виключенням продуктів з високим вмістом калію (овочі, фрукти, горіхи, сухофрукти, соки, компоти, гриби).  При відсутності </w:t>
      </w:r>
      <w:proofErr w:type="spellStart"/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>гіперкальціємії</w:t>
      </w:r>
      <w:proofErr w:type="spellEnd"/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 xml:space="preserve"> можливе внутрішньовенне введення хлориду або </w:t>
      </w:r>
      <w:proofErr w:type="spellStart"/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>глюконату</w:t>
      </w:r>
      <w:proofErr w:type="spellEnd"/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 xml:space="preserve"> кальцію. Для переміщення калію всередину клітин використовують глюкозу з інсуліном (250-500 </w:t>
      </w:r>
      <w:proofErr w:type="spellStart"/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>мл</w:t>
      </w:r>
      <w:proofErr w:type="spellEnd"/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 xml:space="preserve"> 10% розчину глюкози з простим інсуліном), корекцію метаболічного ацидозу. </w:t>
      </w:r>
    </w:p>
    <w:p w:rsidR="0022233D" w:rsidRDefault="0022233D" w:rsidP="002223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 xml:space="preserve">При вираженому метаболічному ацидозі (зниження </w:t>
      </w:r>
      <w:proofErr w:type="spellStart"/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>рН</w:t>
      </w:r>
      <w:proofErr w:type="spellEnd"/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 xml:space="preserve"> до 7,12 і нижче) необхідно внутрішньовенне введення 5% розчину бікарбонату натрію в об'ємі 200-400 </w:t>
      </w:r>
      <w:proofErr w:type="spellStart"/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>мл</w:t>
      </w:r>
      <w:proofErr w:type="spellEnd"/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 xml:space="preserve"> При хронічному метаболічному ацидозі (дефіцит основ більше 5 ммоль/л) призначають підстави </w:t>
      </w:r>
      <w:proofErr w:type="spellStart"/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>перорально</w:t>
      </w:r>
      <w:proofErr w:type="spellEnd"/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 xml:space="preserve"> (таблетки NaHCO3 або </w:t>
      </w:r>
      <w:proofErr w:type="spellStart"/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>ощелачивающее</w:t>
      </w:r>
      <w:proofErr w:type="spellEnd"/>
      <w:r w:rsidRPr="0022233D">
        <w:rPr>
          <w:rFonts w:ascii="Times New Roman" w:eastAsia="Calibri" w:hAnsi="Times New Roman" w:cs="Times New Roman"/>
          <w:bCs/>
          <w:sz w:val="28"/>
          <w:lang w:val="uk-UA"/>
        </w:rPr>
        <w:t xml:space="preserve"> пиття – 1 ч. л. соди на 1 л води/добу)</w:t>
      </w:r>
      <w:r w:rsidR="0055584A">
        <w:rPr>
          <w:rFonts w:ascii="Times New Roman" w:eastAsia="Calibri" w:hAnsi="Times New Roman" w:cs="Times New Roman"/>
          <w:bCs/>
          <w:sz w:val="28"/>
          <w:lang w:val="uk-UA"/>
        </w:rPr>
        <w:t>.</w:t>
      </w:r>
    </w:p>
    <w:p w:rsidR="0055584A" w:rsidRPr="0055584A" w:rsidRDefault="0055584A" w:rsidP="00555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>Показання</w:t>
      </w:r>
      <w:r>
        <w:rPr>
          <w:rFonts w:ascii="Times New Roman" w:eastAsia="Calibri" w:hAnsi="Times New Roman" w:cs="Times New Roman"/>
          <w:bCs/>
          <w:sz w:val="28"/>
          <w:lang w:val="uk-UA"/>
        </w:rPr>
        <w:t>ми</w:t>
      </w:r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 xml:space="preserve"> до початку замісної ниркової терапії (гемодіалізу або перитонеальному діалізу) 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є </w:t>
      </w:r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 xml:space="preserve">ШКФ менше 10 </w:t>
      </w:r>
      <w:proofErr w:type="spellStart"/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>мл</w:t>
      </w:r>
      <w:proofErr w:type="spellEnd"/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>/</w:t>
      </w:r>
      <w:proofErr w:type="spellStart"/>
      <w:r>
        <w:rPr>
          <w:rFonts w:ascii="Times New Roman" w:eastAsia="Calibri" w:hAnsi="Times New Roman" w:cs="Times New Roman"/>
          <w:bCs/>
          <w:sz w:val="28"/>
          <w:lang w:val="uk-UA"/>
        </w:rPr>
        <w:t>хв</w:t>
      </w:r>
      <w:proofErr w:type="spellEnd"/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, </w:t>
      </w:r>
      <w:proofErr w:type="spellStart"/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>некориговані</w:t>
      </w:r>
      <w:proofErr w:type="spellEnd"/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 xml:space="preserve"> консервативною терапією водно-електролітні порушення </w:t>
      </w:r>
    </w:p>
    <w:p w:rsidR="0055584A" w:rsidRPr="0055584A" w:rsidRDefault="0055584A" w:rsidP="00555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 xml:space="preserve">Ниркова недостатність при ММ </w:t>
      </w:r>
      <w:r>
        <w:rPr>
          <w:rFonts w:ascii="Times New Roman" w:eastAsia="Calibri" w:hAnsi="Times New Roman" w:cs="Times New Roman"/>
          <w:bCs/>
          <w:sz w:val="28"/>
          <w:lang w:val="uk-UA"/>
        </w:rPr>
        <w:t>–</w:t>
      </w:r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 xml:space="preserve"> показання до негайного початку ХТ, так як поліпшення функції нирок можливе лише при редукції пухлини.  При необхідності ХТ слід проводити одночасно з гемодіалізом або перитонеальним діалізом. У лікуванні ММ з ПН слід використовувати режими ХТ, які дозволяють досягти швидкого і максимального гематологічного відповіді.</w:t>
      </w:r>
    </w:p>
    <w:p w:rsidR="0055584A" w:rsidRDefault="0055584A" w:rsidP="00555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55584A">
        <w:rPr>
          <w:rFonts w:ascii="Times New Roman" w:eastAsia="Calibri" w:hAnsi="Times New Roman" w:cs="Times New Roman"/>
          <w:bCs/>
          <w:sz w:val="28"/>
          <w:lang w:val="uk-UA"/>
        </w:rPr>
        <w:lastRenderedPageBreak/>
        <w:t xml:space="preserve"> Терапією 1-ї лінії є трикомпонентні програми VCD (бортезоміб, </w:t>
      </w:r>
      <w:proofErr w:type="spellStart"/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>циклофосфамід</w:t>
      </w:r>
      <w:proofErr w:type="spellEnd"/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 xml:space="preserve">, дексаметазон) або PAD (бортезоміб, </w:t>
      </w:r>
      <w:proofErr w:type="spellStart"/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>адріабластин</w:t>
      </w:r>
      <w:proofErr w:type="spellEnd"/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 xml:space="preserve">, дексаметазон). Дози препаратів, що використовуються в цих програмах, не редукуються при </w:t>
      </w:r>
      <w:r>
        <w:rPr>
          <w:rFonts w:ascii="Times New Roman" w:eastAsia="Calibri" w:hAnsi="Times New Roman" w:cs="Times New Roman"/>
          <w:bCs/>
          <w:sz w:val="28"/>
          <w:lang w:val="uk-UA"/>
        </w:rPr>
        <w:t>Н</w:t>
      </w:r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>Н.</w:t>
      </w:r>
    </w:p>
    <w:p w:rsidR="0055584A" w:rsidRDefault="0055584A" w:rsidP="00555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lang w:val="uk-UA"/>
        </w:rPr>
        <w:t>Хворі ММ з діаліз-</w:t>
      </w:r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>залежно</w:t>
      </w:r>
      <w:r>
        <w:rPr>
          <w:rFonts w:ascii="Times New Roman" w:eastAsia="Calibri" w:hAnsi="Times New Roman" w:cs="Times New Roman"/>
          <w:bCs/>
          <w:sz w:val="28"/>
          <w:lang w:val="uk-UA"/>
        </w:rPr>
        <w:t>ю</w:t>
      </w:r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lang w:val="uk-UA"/>
        </w:rPr>
        <w:t>Н</w:t>
      </w:r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>Н характеризуються найгіршим прогнозом.  У цій категорії хворих відзначається найбільш висока рання летальність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 – </w:t>
      </w:r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>30-50%, зниження загальної виживаності. Проте, ранній початок інтенсивної ХТ дозволяє отримати ниркову відповідь і припинити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 проведення ГД у 25-29% хворих. </w:t>
      </w:r>
    </w:p>
    <w:p w:rsidR="0055584A" w:rsidRDefault="0055584A" w:rsidP="00555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 xml:space="preserve">При відсутності ниркової відповіді після двох курсів ХТ показано формування постійного судинного доступу-артеріовенозного анастомозу (в </w:t>
      </w:r>
      <w:proofErr w:type="spellStart"/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>міжкурсовій</w:t>
      </w:r>
      <w:proofErr w:type="spellEnd"/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 xml:space="preserve"> перерві).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>При досягненні повної ремісії або дуже хорошою часткової ремісії хворих віком до 65 років незалежно від функції нирок при відсутності протипоказань необхідно направляти в трансплантаційний центр.</w:t>
      </w:r>
    </w:p>
    <w:p w:rsidR="0055584A" w:rsidRDefault="0055584A" w:rsidP="00555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 xml:space="preserve">Рання діагностика ММ, в тому числі рецидивів захворювання, передбачає своєчасне початок ХХ, тим самим запобігаючи подальше пошкодження нирок. Слід зазначити важливість оцінки екскреції з сечею білка </w:t>
      </w:r>
      <w:proofErr w:type="spellStart"/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>Бенс-Джонса</w:t>
      </w:r>
      <w:proofErr w:type="spellEnd"/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 xml:space="preserve"> при діагностиці рецидиву. У 5-15% ММ відзначається в період рецидиву наростання секреції і екскреції тільки моноклональних легких ланцюгів без зміни вмісту цілих моноклональних імуноглобулінів. До профілактичних заходів відноситься адекватна гідратація з прийомом рідини не менше 3 л/день, неприпустимість застосування </w:t>
      </w:r>
      <w:proofErr w:type="spellStart"/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>нефротоксичних</w:t>
      </w:r>
      <w:proofErr w:type="spellEnd"/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 xml:space="preserve"> препаратів, </w:t>
      </w:r>
      <w:proofErr w:type="spellStart"/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>діуретиків</w:t>
      </w:r>
      <w:proofErr w:type="spellEnd"/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>.</w:t>
      </w:r>
    </w:p>
    <w:p w:rsidR="0055584A" w:rsidRDefault="0055584A" w:rsidP="00555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>Таким чином, лікування мієломної нефропатії є комплексною проблемою, яку необхідно вирішувати тільки спільними зус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иллями гематолога і нефролога. </w:t>
      </w:r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 xml:space="preserve">Ведення нефрологом хворих з МН має бути постійним, незважаючи на досягнення гематологічних </w:t>
      </w:r>
      <w:proofErr w:type="spellStart"/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>ремісій</w:t>
      </w:r>
      <w:proofErr w:type="spellEnd"/>
      <w:r w:rsidRPr="0055584A">
        <w:rPr>
          <w:rFonts w:ascii="Times New Roman" w:eastAsia="Calibri" w:hAnsi="Times New Roman" w:cs="Times New Roman"/>
          <w:bCs/>
          <w:sz w:val="28"/>
          <w:lang w:val="uk-UA"/>
        </w:rPr>
        <w:t xml:space="preserve"> і можливе тимчасове відновлення функції нирок.</w:t>
      </w:r>
    </w:p>
    <w:sectPr w:rsidR="00555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0564E"/>
    <w:multiLevelType w:val="hybridMultilevel"/>
    <w:tmpl w:val="6240B5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5F45A6B"/>
    <w:multiLevelType w:val="hybridMultilevel"/>
    <w:tmpl w:val="EDBE4D0E"/>
    <w:lvl w:ilvl="0" w:tplc="3300E5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6920EDC"/>
    <w:multiLevelType w:val="hybridMultilevel"/>
    <w:tmpl w:val="914EC8C8"/>
    <w:lvl w:ilvl="0" w:tplc="3300E5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300E5A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F6A4F68"/>
    <w:multiLevelType w:val="hybridMultilevel"/>
    <w:tmpl w:val="3B709522"/>
    <w:lvl w:ilvl="0" w:tplc="3300E5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7F80726"/>
    <w:multiLevelType w:val="hybridMultilevel"/>
    <w:tmpl w:val="DC1843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718A226C">
      <w:numFmt w:val="bullet"/>
      <w:lvlText w:val="-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9FB7357"/>
    <w:multiLevelType w:val="hybridMultilevel"/>
    <w:tmpl w:val="4776F924"/>
    <w:lvl w:ilvl="0" w:tplc="3300E5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FE7"/>
    <w:rsid w:val="0022233D"/>
    <w:rsid w:val="00362FE7"/>
    <w:rsid w:val="003F7963"/>
    <w:rsid w:val="0055584A"/>
    <w:rsid w:val="00916F19"/>
    <w:rsid w:val="009A1737"/>
    <w:rsid w:val="00BA1E0B"/>
    <w:rsid w:val="00D36310"/>
    <w:rsid w:val="00FF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F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F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F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F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1332</Words>
  <Characters>7595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</dc:creator>
  <cp:keywords/>
  <dc:description/>
  <cp:lastModifiedBy>78</cp:lastModifiedBy>
  <cp:revision>3</cp:revision>
  <dcterms:created xsi:type="dcterms:W3CDTF">2019-05-06T12:38:00Z</dcterms:created>
  <dcterms:modified xsi:type="dcterms:W3CDTF">2019-06-05T09:21:00Z</dcterms:modified>
</cp:coreProperties>
</file>