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6329" w:rsidRPr="004C6329" w:rsidRDefault="004C6329" w:rsidP="004C6329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C632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ВЛИЯНИЕ ВЫСОКОКАЛОРИЙНОГО РАЦИОНА ПИТАНИЯ НА МОРФОФУНКЦИОНАЛЬНОЕ СОСТОЯНИЕ ПЕЧЕНИ БЕРЕМЕННЫХ КРЫС</w:t>
      </w:r>
    </w:p>
    <w:p w:rsidR="004C6329" w:rsidRPr="004C6329" w:rsidRDefault="004C6329" w:rsidP="004C6329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4C632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Кузнецова М.А., Николаева О.В., </w:t>
      </w:r>
      <w:proofErr w:type="spellStart"/>
      <w:r w:rsidRPr="004C632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Сулхдост</w:t>
      </w:r>
      <w:proofErr w:type="spellEnd"/>
      <w:r w:rsidRPr="004C632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И.А.</w:t>
      </w:r>
    </w:p>
    <w:p w:rsidR="004C6329" w:rsidRPr="004C6329" w:rsidRDefault="004C6329" w:rsidP="004C6329">
      <w:pPr>
        <w:widowControl w:val="0"/>
        <w:autoSpaceDE w:val="0"/>
        <w:autoSpaceDN w:val="0"/>
        <w:adjustRightInd w:val="0"/>
        <w:ind w:firstLine="0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4C632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Харьковский национальный медицинский университет, </w:t>
      </w:r>
      <w:hyperlink r:id="rId5" w:history="1">
        <w:r w:rsidRPr="004C6329">
          <w:rPr>
            <w:rFonts w:ascii="Times New Roman" w:eastAsia="Times New Roman" w:hAnsi="Times New Roman" w:cs="Times New Roman"/>
            <w:i/>
            <w:color w:val="0000FF"/>
            <w:sz w:val="24"/>
            <w:szCs w:val="24"/>
            <w:u w:val="single"/>
            <w:lang w:val="en-US" w:eastAsia="ru-RU"/>
          </w:rPr>
          <w:t>meduniver</w:t>
        </w:r>
        <w:r w:rsidRPr="004C6329">
          <w:rPr>
            <w:rFonts w:ascii="Times New Roman" w:eastAsia="Times New Roman" w:hAnsi="Times New Roman" w:cs="Times New Roman"/>
            <w:i/>
            <w:color w:val="0000FF"/>
            <w:sz w:val="24"/>
            <w:szCs w:val="24"/>
            <w:u w:val="single"/>
            <w:lang w:eastAsia="ru-RU"/>
          </w:rPr>
          <w:t>@</w:t>
        </w:r>
        <w:r w:rsidRPr="004C6329">
          <w:rPr>
            <w:rFonts w:ascii="Times New Roman" w:eastAsia="Times New Roman" w:hAnsi="Times New Roman" w:cs="Times New Roman"/>
            <w:i/>
            <w:color w:val="0000FF"/>
            <w:sz w:val="24"/>
            <w:szCs w:val="24"/>
            <w:u w:val="single"/>
            <w:lang w:val="en-US" w:eastAsia="ru-RU"/>
          </w:rPr>
          <w:t>knmu</w:t>
        </w:r>
        <w:r w:rsidRPr="004C6329">
          <w:rPr>
            <w:rFonts w:ascii="Times New Roman" w:eastAsia="Times New Roman" w:hAnsi="Times New Roman" w:cs="Times New Roman"/>
            <w:i/>
            <w:color w:val="0000FF"/>
            <w:sz w:val="24"/>
            <w:szCs w:val="24"/>
            <w:u w:val="single"/>
            <w:lang w:eastAsia="ru-RU"/>
          </w:rPr>
          <w:t>.</w:t>
        </w:r>
        <w:r w:rsidRPr="004C6329">
          <w:rPr>
            <w:rFonts w:ascii="Times New Roman" w:eastAsia="Times New Roman" w:hAnsi="Times New Roman" w:cs="Times New Roman"/>
            <w:i/>
            <w:color w:val="0000FF"/>
            <w:sz w:val="24"/>
            <w:szCs w:val="24"/>
            <w:u w:val="single"/>
            <w:lang w:val="en-US" w:eastAsia="ru-RU"/>
          </w:rPr>
          <w:t>kharkov</w:t>
        </w:r>
        <w:r w:rsidRPr="004C6329">
          <w:rPr>
            <w:rFonts w:ascii="Times New Roman" w:eastAsia="Times New Roman" w:hAnsi="Times New Roman" w:cs="Times New Roman"/>
            <w:i/>
            <w:color w:val="0000FF"/>
            <w:sz w:val="24"/>
            <w:szCs w:val="24"/>
            <w:u w:val="single"/>
            <w:lang w:eastAsia="ru-RU"/>
          </w:rPr>
          <w:t>.</w:t>
        </w:r>
        <w:proofErr w:type="spellStart"/>
        <w:r w:rsidRPr="004C6329">
          <w:rPr>
            <w:rFonts w:ascii="Times New Roman" w:eastAsia="Times New Roman" w:hAnsi="Times New Roman" w:cs="Times New Roman"/>
            <w:i/>
            <w:color w:val="0000FF"/>
            <w:sz w:val="24"/>
            <w:szCs w:val="24"/>
            <w:u w:val="single"/>
            <w:lang w:val="en-US" w:eastAsia="ru-RU"/>
          </w:rPr>
          <w:t>ua</w:t>
        </w:r>
        <w:proofErr w:type="spellEnd"/>
      </w:hyperlink>
      <w:r w:rsidRPr="004C632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</w:p>
    <w:p w:rsidR="004C6329" w:rsidRPr="004C6329" w:rsidRDefault="004C6329" w:rsidP="004C6329">
      <w:pPr>
        <w:widowControl w:val="0"/>
        <w:autoSpaceDE w:val="0"/>
        <w:autoSpaceDN w:val="0"/>
        <w:adjustRightInd w:val="0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6329" w:rsidRPr="004C6329" w:rsidRDefault="004C6329" w:rsidP="004C6329">
      <w:pPr>
        <w:widowControl w:val="0"/>
        <w:autoSpaceDE w:val="0"/>
        <w:autoSpaceDN w:val="0"/>
        <w:adjustRightInd w:val="0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>Патология печени занимает важное место в структуре заболеваемости и смертности населения. Одной из причин поражения печени является отрицательное воздействие экзогенных патогенных факторов, к которым относится и высококалорийное питание с избытком жиров и углеводов. Его влияние на морфофункциональное состояние печени, особенно в период беременности, изучено недостаточно.</w:t>
      </w:r>
    </w:p>
    <w:p w:rsidR="004C6329" w:rsidRPr="004C6329" w:rsidRDefault="004C6329" w:rsidP="004C6329">
      <w:pPr>
        <w:widowControl w:val="0"/>
        <w:autoSpaceDE w:val="0"/>
        <w:autoSpaceDN w:val="0"/>
        <w:adjustRightInd w:val="0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632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Целью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исследования является изучение морфофункционального состояния печени беременных крыс, находившихся на высококалорийном рационе питания с избытком жиров и углеводов на протяжении всего периода беременности.</w:t>
      </w:r>
    </w:p>
    <w:p w:rsidR="004C6329" w:rsidRPr="004C6329" w:rsidRDefault="004C6329" w:rsidP="004C6329">
      <w:pPr>
        <w:widowControl w:val="0"/>
        <w:autoSpaceDE w:val="0"/>
        <w:autoSpaceDN w:val="0"/>
        <w:adjustRightInd w:val="0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632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Материалы и методы: 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Исследовано морфофункциональное состояние печени 7 самок популяции </w:t>
      </w:r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WAG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>/</w:t>
      </w:r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Sto</w:t>
      </w:r>
      <w:proofErr w:type="spellEnd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которые во время беременности получали высококалорийный рацион питания (основная группа) и 7 самок получавших стандартный рацион питания (группа контроля). Для этого </w:t>
      </w:r>
      <w:proofErr w:type="spellStart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>иммуногистохимическим</w:t>
      </w:r>
      <w:proofErr w:type="spellEnd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(ИГХ) методом выявляли экспрессию маркеров оксида азота: </w:t>
      </w:r>
      <w:proofErr w:type="gramStart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>эндотелиальной</w:t>
      </w:r>
      <w:proofErr w:type="gramEnd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>синтазы</w:t>
      </w:r>
      <w:proofErr w:type="spellEnd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оксида азота (</w:t>
      </w:r>
      <w:proofErr w:type="spellStart"/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eNOS</w:t>
      </w:r>
      <w:proofErr w:type="spellEnd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и </w:t>
      </w:r>
      <w:proofErr w:type="spellStart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индуцибельной</w:t>
      </w:r>
      <w:proofErr w:type="spellEnd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>синтазы</w:t>
      </w:r>
      <w:proofErr w:type="spellEnd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оксида азота (</w:t>
      </w:r>
      <w:proofErr w:type="spellStart"/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iNOS</w:t>
      </w:r>
      <w:proofErr w:type="spellEnd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). Использовали концентрированные </w:t>
      </w:r>
      <w:proofErr w:type="spellStart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поликлональные</w:t>
      </w:r>
      <w:proofErr w:type="spellEnd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кроличьи антитела (ПКАТ) фирмы </w:t>
      </w:r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Thermo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scientific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(Германия), </w:t>
      </w:r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Nitric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Oxide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Synthase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inducible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iNOS</w:t>
      </w:r>
      <w:proofErr w:type="spellEnd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</w:t>
      </w:r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Rabbit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Polyclonal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Antibody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разведении 1:100; </w:t>
      </w:r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Nitric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Oxide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Synthase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endothelial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eNOS</w:t>
      </w:r>
      <w:proofErr w:type="spellEnd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</w:t>
      </w:r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Rabbit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Polyclonal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Antibody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разведении 1:50. Для оценки ИГХ метки использовали качественную шкалу: позитивная или негативная реакция определялась по наличию или отсутствию коричневого окрашивания тканевых и клеточных культур.</w:t>
      </w:r>
    </w:p>
    <w:p w:rsidR="004C6329" w:rsidRPr="004C6329" w:rsidRDefault="004C6329" w:rsidP="004C6329">
      <w:pPr>
        <w:widowControl w:val="0"/>
        <w:autoSpaceDE w:val="0"/>
        <w:autoSpaceDN w:val="0"/>
        <w:adjustRightInd w:val="0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632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Результаты и обсуждение. 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печени крыс основной группы зафиксировано неравномерное, прерывистое распределение эндотелиальной </w:t>
      </w:r>
      <w:proofErr w:type="spellStart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>синтазы</w:t>
      </w:r>
      <w:proofErr w:type="spellEnd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eNOS</w:t>
      </w:r>
      <w:proofErr w:type="spellEnd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), при общей умеренной реакции маркера. Позитивная реакция </w:t>
      </w:r>
      <w:proofErr w:type="spellStart"/>
      <w:r w:rsidRPr="004C632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iNOS</w:t>
      </w:r>
      <w:proofErr w:type="spellEnd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ткани печени крыс основной группы выявлялась не только в макрофагах, но и в единичных </w:t>
      </w:r>
      <w:proofErr w:type="spellStart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>эндотелиоцитах</w:t>
      </w:r>
      <w:proofErr w:type="spellEnd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расширенных </w:t>
      </w:r>
      <w:proofErr w:type="spellStart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>синусоидов</w:t>
      </w:r>
      <w:proofErr w:type="spellEnd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клетках эндотелия центральной вены и в единичных разрозненных </w:t>
      </w:r>
      <w:proofErr w:type="spellStart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>гепатоцитах</w:t>
      </w:r>
      <w:proofErr w:type="spellEnd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Детальное исследование эндотелиальной выстилки капилляров, центральных вен и более крупных сосудов демонстрировало нарушение её целостности с формированием «голых» зон. Эти иммуноморфологические особенности свидетельствуют, о том, что повышенная алиментарная нагрузка на печень вызывает гиперфункцию </w:t>
      </w:r>
      <w:proofErr w:type="spellStart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>гепатоцитов</w:t>
      </w:r>
      <w:proofErr w:type="spellEnd"/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это в свою очередь приводит к умеренно выраженной 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эндотелиальной дисфункции, ведущей к потере функциональной активности паренхимы печени.</w:t>
      </w:r>
    </w:p>
    <w:p w:rsidR="004C6329" w:rsidRPr="004C6329" w:rsidRDefault="004C6329" w:rsidP="004C6329">
      <w:pPr>
        <w:widowControl w:val="0"/>
        <w:autoSpaceDE w:val="0"/>
        <w:autoSpaceDN w:val="0"/>
        <w:adjustRightInd w:val="0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632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Выводы. </w:t>
      </w:r>
      <w:r w:rsidRPr="004C6329">
        <w:rPr>
          <w:rFonts w:ascii="Times New Roman" w:eastAsia="Times New Roman" w:hAnsi="Times New Roman" w:cs="Times New Roman"/>
          <w:sz w:val="24"/>
          <w:szCs w:val="24"/>
          <w:lang w:eastAsia="ru-RU"/>
        </w:rPr>
        <w:t>Высококалорийное питание крыс во время беременности оказывает неблагоприятное действие на морфофункциональное состояние печени, что проявлялось неравномерным распределением маркеров эндотелиальной дисфункции в органе крыс основной группы, которые чередовались с участками выраженной экспрессии. Это свидетельствует о снижении морфофункциональной активности и может стать фактором риска развития органической патологии печени в будущем.</w:t>
      </w:r>
    </w:p>
    <w:p w:rsidR="0056200D" w:rsidRDefault="0056200D">
      <w:bookmarkStart w:id="0" w:name="_GoBack"/>
      <w:bookmarkEnd w:id="0"/>
    </w:p>
    <w:sectPr w:rsidR="005620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9E4"/>
    <w:rsid w:val="004C6329"/>
    <w:rsid w:val="0056200D"/>
    <w:rsid w:val="00852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eduniver@knmu.kharkov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455</Words>
  <Characters>2596</Characters>
  <Application>Microsoft Office Word</Application>
  <DocSecurity>0</DocSecurity>
  <Lines>21</Lines>
  <Paragraphs>6</Paragraphs>
  <ScaleCrop>false</ScaleCrop>
  <Company/>
  <LinksUpToDate>false</LinksUpToDate>
  <CharactersWithSpaces>3045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2018-11-20T10:52:00Z</dcterms:created>
  <dcterms:modified xsi:type="dcterms:W3CDTF">2018-11-20T10:53:00Z</dcterms:modified>
</cp:coreProperties>
</file>