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EFA" w:rsidRPr="005E0EFA" w:rsidRDefault="005E0EFA" w:rsidP="005E0EFA">
      <w:pPr>
        <w:spacing w:after="0" w:line="360" w:lineRule="auto"/>
        <w:rPr>
          <w:rFonts w:ascii="Times New Roman" w:hAnsi="Times New Roman"/>
          <w:b w:val="0"/>
          <w:szCs w:val="28"/>
          <w:lang w:val="uk-UA"/>
        </w:rPr>
      </w:pPr>
      <w:bookmarkStart w:id="0" w:name="_GoBack"/>
      <w:bookmarkEnd w:id="0"/>
      <w:proofErr w:type="spellStart"/>
      <w:r w:rsidRPr="005E0EFA">
        <w:rPr>
          <w:rFonts w:ascii="Times New Roman" w:hAnsi="Times New Roman"/>
          <w:b w:val="0"/>
          <w:szCs w:val="28"/>
          <w:lang w:val="uk-UA"/>
        </w:rPr>
        <w:t>Д.мед.н</w:t>
      </w:r>
      <w:proofErr w:type="spellEnd"/>
      <w:r w:rsidRPr="005E0EFA">
        <w:rPr>
          <w:rFonts w:ascii="Times New Roman" w:hAnsi="Times New Roman"/>
          <w:b w:val="0"/>
          <w:szCs w:val="28"/>
          <w:lang w:val="uk-UA"/>
        </w:rPr>
        <w:t xml:space="preserve">., проф. Кузьміна І.Ю., </w:t>
      </w:r>
      <w:proofErr w:type="spellStart"/>
      <w:r w:rsidRPr="005E0EFA">
        <w:rPr>
          <w:rFonts w:ascii="Times New Roman" w:hAnsi="Times New Roman"/>
          <w:b w:val="0"/>
          <w:szCs w:val="28"/>
          <w:lang w:val="uk-UA"/>
        </w:rPr>
        <w:t>к.мед.н</w:t>
      </w:r>
      <w:proofErr w:type="spellEnd"/>
      <w:r w:rsidRPr="005E0EFA">
        <w:rPr>
          <w:rFonts w:ascii="Times New Roman" w:hAnsi="Times New Roman"/>
          <w:b w:val="0"/>
          <w:szCs w:val="28"/>
          <w:lang w:val="uk-UA"/>
        </w:rPr>
        <w:t>., доц. Шутова Н.А.,</w:t>
      </w:r>
    </w:p>
    <w:p w:rsidR="005E0EFA" w:rsidRPr="00B83C7A" w:rsidRDefault="005E0EFA" w:rsidP="005E0EFA">
      <w:pPr>
        <w:spacing w:after="0" w:line="360" w:lineRule="auto"/>
        <w:jc w:val="center"/>
        <w:rPr>
          <w:rFonts w:ascii="Times New Roman" w:hAnsi="Times New Roman"/>
          <w:szCs w:val="28"/>
          <w:lang w:val="uk-UA"/>
        </w:rPr>
      </w:pPr>
      <w:r w:rsidRPr="00B83C7A">
        <w:rPr>
          <w:rFonts w:ascii="Times New Roman" w:hAnsi="Times New Roman"/>
          <w:szCs w:val="28"/>
          <w:lang w:val="uk-UA"/>
        </w:rPr>
        <w:t>СТАН СИСТЕМИ ГЕМОСТАЗУ, ВУГЛЕВОДНОГО ТА ЛІПІДНОГО ОБМІН</w:t>
      </w:r>
      <w:r>
        <w:rPr>
          <w:rFonts w:ascii="Times New Roman" w:hAnsi="Times New Roman"/>
          <w:szCs w:val="28"/>
          <w:lang w:val="uk-UA"/>
        </w:rPr>
        <w:t>ІВ</w:t>
      </w:r>
      <w:r w:rsidRPr="00B83C7A">
        <w:rPr>
          <w:rFonts w:ascii="Times New Roman" w:hAnsi="Times New Roman"/>
          <w:szCs w:val="28"/>
          <w:lang w:val="uk-UA"/>
        </w:rPr>
        <w:t xml:space="preserve"> ПРИ МЕТАБОЛІЧНОМУ СИНДРОМІ В ЕКСПЕРИМЕНТІ У ЩУРІВ</w:t>
      </w:r>
    </w:p>
    <w:p w:rsidR="005E0EFA" w:rsidRPr="005E0EFA" w:rsidRDefault="005E0EFA" w:rsidP="005E0EFA">
      <w:pPr>
        <w:spacing w:after="0" w:line="360" w:lineRule="auto"/>
        <w:jc w:val="center"/>
        <w:rPr>
          <w:rFonts w:ascii="Times New Roman" w:hAnsi="Times New Roman"/>
          <w:szCs w:val="28"/>
          <w:lang w:val="uk-UA"/>
        </w:rPr>
      </w:pPr>
      <w:r w:rsidRPr="005E0EFA">
        <w:rPr>
          <w:rFonts w:ascii="Times New Roman" w:hAnsi="Times New Roman"/>
          <w:szCs w:val="28"/>
          <w:lang w:val="uk-UA"/>
        </w:rPr>
        <w:t>Харківський національний медичний університет МОЗ України</w:t>
      </w:r>
    </w:p>
    <w:p w:rsidR="005E0EFA" w:rsidRPr="00B83C7A" w:rsidRDefault="005E0EFA" w:rsidP="005E0EFA">
      <w:pPr>
        <w:spacing w:after="0" w:line="360" w:lineRule="auto"/>
        <w:ind w:firstLine="709"/>
        <w:jc w:val="both"/>
        <w:textAlignment w:val="top"/>
        <w:rPr>
          <w:rFonts w:ascii="Times New Roman" w:hAnsi="Times New Roman"/>
          <w:color w:val="000000"/>
          <w:position w:val="0"/>
          <w:szCs w:val="28"/>
          <w:lang w:val="uk-UA" w:eastAsia="ru-RU"/>
        </w:rPr>
      </w:pPr>
    </w:p>
    <w:p w:rsidR="005E0EFA" w:rsidRPr="00B83C7A" w:rsidRDefault="005E0EFA" w:rsidP="005E0EFA">
      <w:pPr>
        <w:spacing w:after="0" w:line="360" w:lineRule="auto"/>
        <w:ind w:firstLine="709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 w:rsidRPr="00B83C7A">
        <w:rPr>
          <w:rFonts w:ascii="Times New Roman" w:hAnsi="Times New Roman"/>
          <w:color w:val="000000"/>
          <w:position w:val="0"/>
          <w:szCs w:val="28"/>
          <w:lang w:val="uk-UA" w:eastAsia="ru-RU"/>
        </w:rPr>
        <w:t>Вступ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.  Останнім часом різко збільшилося вживання в їжу висококалорійних продуктів, що містять надмірну кількість жирів і вуглеводів та призводять до зростання ожиріння, захворюваності на цукровий діабет, 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гіперхолестеринемії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, метаболічного синдрому (МС). </w:t>
      </w:r>
    </w:p>
    <w:p w:rsidR="005E0EFA" w:rsidRPr="00B83C7A" w:rsidRDefault="005E0EFA" w:rsidP="005E0EFA">
      <w:pPr>
        <w:spacing w:after="0" w:line="360" w:lineRule="auto"/>
        <w:ind w:firstLine="709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МС - це комплексне порушень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метаболізма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, що зачіпає вуглеводний та жировий обмін з розвитком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інсулінорезистентності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, гіперглікемії,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дисліпідемії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, артеріальної гіпертонії. Розвиток МС супроводжується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дисфункцією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системи гемостазу, що  проявляється в підвищенні адгезії і агрегації тромбоцитів, наявності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гіперфібриногенемії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, збільшенні активності плазмових факторів згортання крові. </w:t>
      </w:r>
    </w:p>
    <w:p w:rsidR="005E0EFA" w:rsidRPr="00B83C7A" w:rsidRDefault="005E0EFA" w:rsidP="005E0EFA">
      <w:pPr>
        <w:spacing w:after="0" w:line="360" w:lineRule="auto"/>
        <w:ind w:firstLine="709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 w:rsidRPr="00B83C7A">
        <w:rPr>
          <w:rFonts w:ascii="Times New Roman" w:hAnsi="Times New Roman"/>
          <w:color w:val="000000"/>
          <w:position w:val="0"/>
          <w:szCs w:val="28"/>
          <w:lang w:val="uk-UA" w:eastAsia="ru-RU"/>
        </w:rPr>
        <w:t xml:space="preserve">Ціль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— ви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вчити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 змін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и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параметрів системи гемостазу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, вуглеводного, ліпідного обмінів 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і метаболічни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х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порушен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ь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у щурів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на фоні розробленої експериментальної моделі МС. </w:t>
      </w:r>
    </w:p>
    <w:p w:rsidR="005E0EFA" w:rsidRPr="00B83C7A" w:rsidRDefault="005E0EFA" w:rsidP="005E0EF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b w:val="0"/>
          <w:szCs w:val="28"/>
          <w:lang w:val="uk-UA"/>
        </w:rPr>
      </w:pPr>
      <w:r w:rsidRPr="00B83C7A">
        <w:rPr>
          <w:rFonts w:ascii="Times New Roman" w:hAnsi="Times New Roman"/>
          <w:color w:val="000000"/>
          <w:position w:val="0"/>
          <w:szCs w:val="28"/>
          <w:lang w:val="uk-UA" w:eastAsia="ru-RU"/>
        </w:rPr>
        <w:t>Матеріали та методи.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Запропоновано модель експериментального МС у тварин. </w:t>
      </w:r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Моделювання МС здійснювалось шляхом призначення висококалорійної дієти (ВКД) та введенням шурам суспензію </w:t>
      </w:r>
      <w:proofErr w:type="spellStart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Бетаспану</w:t>
      </w:r>
      <w:proofErr w:type="spellEnd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 - депо підшкірно 1 раз на тиждень у дозі 20 </w:t>
      </w:r>
      <w:proofErr w:type="spellStart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мкг</w:t>
      </w:r>
      <w:proofErr w:type="spellEnd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/кг маси, що розчинена в 0,2 мл очищеної та стерилізованої оливкової олії, протягом 6 тижнів сумісно з  </w:t>
      </w:r>
      <w:proofErr w:type="spellStart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ауротіоглюкозою</w:t>
      </w:r>
      <w:proofErr w:type="spellEnd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, у дозі 10 </w:t>
      </w:r>
      <w:proofErr w:type="spellStart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мкг</w:t>
      </w:r>
      <w:proofErr w:type="spellEnd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/кг 1 раз на тиждень, </w:t>
      </w:r>
      <w:proofErr w:type="spellStart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інтраперитонеально</w:t>
      </w:r>
      <w:proofErr w:type="spellEnd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, протягом 6 тижнів (Патент на винахід №118945 від 25.03.2019, бюл.№6).</w:t>
      </w:r>
    </w:p>
    <w:p w:rsidR="005E0EFA" w:rsidRPr="00B83C7A" w:rsidRDefault="005E0EFA" w:rsidP="005E0EFA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 CYR" w:hAnsi="Times New Roman CYR" w:cs="Times New Roman CYR"/>
          <w:b w:val="0"/>
          <w:szCs w:val="28"/>
          <w:lang w:val="uk-UA"/>
        </w:rPr>
      </w:pPr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Експерименти проведені відповідно до етичних принципів,  схвалених  I Національним конгресом з біоетики (20.09.01 р, Київ, Україна) і узгодженими з положеннями "Європейської Конвенції про захист хребетних тварин, що використовуються для експериментальних та інших наукових </w:t>
      </w:r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lastRenderedPageBreak/>
        <w:t>цілей".</w:t>
      </w:r>
    </w:p>
    <w:p w:rsidR="005E0EFA" w:rsidRPr="00B83C7A" w:rsidRDefault="005E0EFA" w:rsidP="005E0EFA">
      <w:pPr>
        <w:spacing w:after="0" w:line="360" w:lineRule="auto"/>
        <w:ind w:firstLine="720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Для проведення експериментальних д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осліджен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ь були відібрані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30 </w:t>
      </w:r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білих щур</w:t>
      </w:r>
      <w:r>
        <w:rPr>
          <w:rFonts w:ascii="Times New Roman CYR" w:hAnsi="Times New Roman CYR" w:cs="Times New Roman CYR"/>
          <w:b w:val="0"/>
          <w:szCs w:val="28"/>
          <w:lang w:val="uk-UA"/>
        </w:rPr>
        <w:t>и</w:t>
      </w:r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-самц</w:t>
      </w:r>
      <w:r>
        <w:rPr>
          <w:rFonts w:ascii="Times New Roman CYR" w:hAnsi="Times New Roman CYR" w:cs="Times New Roman CYR"/>
          <w:b w:val="0"/>
          <w:szCs w:val="28"/>
          <w:lang w:val="uk-UA"/>
        </w:rPr>
        <w:t>я</w:t>
      </w:r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 популяції WAG / G </w:t>
      </w:r>
      <w:proofErr w:type="spellStart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Sto</w:t>
      </w:r>
      <w:proofErr w:type="spellEnd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, масою тіла до початку </w:t>
      </w:r>
      <w:r>
        <w:rPr>
          <w:rFonts w:ascii="Times New Roman CYR" w:hAnsi="Times New Roman CYR" w:cs="Times New Roman CYR"/>
          <w:b w:val="0"/>
          <w:szCs w:val="28"/>
          <w:lang w:val="uk-UA"/>
        </w:rPr>
        <w:t xml:space="preserve">експерименту </w:t>
      </w:r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300-</w:t>
      </w:r>
      <w:smartTag w:uri="urn:schemas-microsoft-com:office:smarttags" w:element="metricconverter">
        <w:smartTagPr>
          <w:attr w:name="ProductID" w:val="320 г"/>
        </w:smartTagPr>
        <w:r w:rsidRPr="00B83C7A">
          <w:rPr>
            <w:rFonts w:ascii="Times New Roman CYR" w:hAnsi="Times New Roman CYR" w:cs="Times New Roman CYR"/>
            <w:b w:val="0"/>
            <w:szCs w:val="28"/>
            <w:lang w:val="uk-UA"/>
          </w:rPr>
          <w:t>320 г</w:t>
        </w:r>
      </w:smartTag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 та віком 3 місяці,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що були розділені на дві групи. Щури дослідницької трупи (n = 15) протягом 6 тижнів знаходились на ВКД. Контрольну групу склали тварини (n = 15), що знаходилися на стандартній дієті з комбікорму. Після 6 тижнів утримання тварин на ВКД  визначали показники вуглеводного і ліпідного профілю, зміни маси тіла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, які порівнювали з показниками контрольної групи.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</w:p>
    <w:p w:rsidR="005E0EFA" w:rsidRPr="00B83C7A" w:rsidRDefault="005E0EFA" w:rsidP="005E0EFA">
      <w:pPr>
        <w:spacing w:after="0" w:line="360" w:lineRule="auto"/>
        <w:ind w:firstLine="720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На 43-й день експерименту здійснювали взяття крові з v.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jugularis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і змішування її з 3,8% цитратом натрію в співвідношенні 9: 1. У цільній крові вимірювали концентрацію глюкози. Для оцінки стану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судинно-тромбоцитарного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і плазмового гемостазу застосовувалися стандартні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коагулологічні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методи: визначення агрегації тромбоцитів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,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фібрінолітічної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активності плазми крові. Концентрацію загального холестерину (ЗХ), холестерину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ліпопротеїн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високої щільності (ХС-ЛПВЩ) і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трігліцерідов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у плазмі крові вимірювали ензиматичним колориметричним методом на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фотоелектроколоріметрі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АР-101 (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Арец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Японія). Концентрацію холестерину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ліпопротеїнів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низької щільності (ХС-ЛПНЩ) обчислювали за формулою: ХС-ЛПНЩ = ОХ-ХС-ЛПВЩ. Масу тіла тварин вимірювали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у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1-й день перед початком ВКД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та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через 6 тижнів експерименту. </w:t>
      </w:r>
    </w:p>
    <w:p w:rsidR="005E0EFA" w:rsidRPr="00B83C7A" w:rsidRDefault="005E0EFA" w:rsidP="005E0EFA">
      <w:pPr>
        <w:spacing w:after="0" w:line="360" w:lineRule="auto"/>
        <w:ind w:firstLine="720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Статистичну обробку даних проводили з використанням  критерію Стьюдента.</w:t>
      </w:r>
    </w:p>
    <w:p w:rsidR="005E0EFA" w:rsidRPr="00B83C7A" w:rsidRDefault="005E0EFA" w:rsidP="005E0EFA">
      <w:pPr>
        <w:spacing w:after="0" w:line="360" w:lineRule="auto"/>
        <w:ind w:firstLine="720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 w:rsidRPr="00B83C7A">
        <w:rPr>
          <w:rFonts w:ascii="Times New Roman" w:hAnsi="Times New Roman"/>
          <w:color w:val="000000"/>
          <w:position w:val="0"/>
          <w:szCs w:val="28"/>
          <w:lang w:val="uk-UA" w:eastAsia="ru-RU"/>
        </w:rPr>
        <w:t>Результати.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Експериментальне моделювання МС у щурів на фоні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ВКД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протягом 6 тижнів призводило до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суттєвих змін системи гемостазу, а саме,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порушення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судинно-тромбоцитарного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і плазмового гемостазу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на 25% та 32%,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агрегації тромбоцитів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на 43%.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Одночасно спостерігалося пригнічення фібринолізу на 32% у порівнянні з контролем.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При цьому, у щурів дослідницької групи розвивалася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гіперкоагуляція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: згортання крові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lastRenderedPageBreak/>
        <w:t xml:space="preserve">посилювалася на 25%, а рівень ендогенного гепарину знижувався на 30% в порівнянні з контролем. </w:t>
      </w:r>
    </w:p>
    <w:p w:rsidR="005E0EFA" w:rsidRDefault="005E0EFA" w:rsidP="005E0EFA">
      <w:pPr>
        <w:spacing w:after="0" w:line="360" w:lineRule="auto"/>
        <w:ind w:firstLine="720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Спостерігалось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підвищення концентрації глюкози в крові тварин на 65%, збільшення вмісту ОХ, ХС-ЛПНЩ і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тригліцеридів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на 30%, 150% і 135%, відповідно в порівнянні з контрольною групою. Також у щурів дослідної групи розвивалося ожиріння, оскільки приріст маси тіла був в 3,5 рази більше, ніж у контрольних тварин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.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</w:p>
    <w:p w:rsidR="005E0EFA" w:rsidRPr="000E1DC5" w:rsidRDefault="005E0EFA" w:rsidP="005E0EFA">
      <w:pPr>
        <w:spacing w:after="0" w:line="360" w:lineRule="auto"/>
        <w:ind w:firstLine="720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Розвиток виявлених порушень підтверджує </w:t>
      </w:r>
      <w:r w:rsidRPr="000E1DC5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ефективність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розробленої </w:t>
      </w:r>
      <w:r w:rsidRPr="000E1DC5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модел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і</w:t>
      </w:r>
      <w:r w:rsidRPr="000E1DC5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МС у тварин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та може бути використана для подальшого вивчення патогенезу цього захворювання та новим розробкам лікувальних та профілактичних заходів.</w:t>
      </w:r>
    </w:p>
    <w:p w:rsidR="005E0EFA" w:rsidRDefault="005E0EFA" w:rsidP="005E0EFA">
      <w:pPr>
        <w:spacing w:after="0" w:line="360" w:lineRule="auto"/>
        <w:ind w:firstLine="720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 w:rsidRPr="00B83C7A">
        <w:rPr>
          <w:rFonts w:ascii="Times New Roman" w:hAnsi="Times New Roman"/>
          <w:color w:val="000000"/>
          <w:position w:val="0"/>
          <w:szCs w:val="28"/>
          <w:lang w:val="uk-UA" w:eastAsia="ru-RU"/>
        </w:rPr>
        <w:t>Висновки.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При експериментальному моделюванні МС шляхом </w:t>
      </w:r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введенням шурам суспензію </w:t>
      </w:r>
      <w:proofErr w:type="spellStart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Бетаспану</w:t>
      </w:r>
      <w:proofErr w:type="spellEnd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 - депо підшкірно 1 раз на тиждень у дозі 20 </w:t>
      </w:r>
      <w:proofErr w:type="spellStart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мкг</w:t>
      </w:r>
      <w:proofErr w:type="spellEnd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/кг маси </w:t>
      </w:r>
      <w:proofErr w:type="spellStart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інтраперитонеально</w:t>
      </w:r>
      <w:proofErr w:type="spellEnd"/>
      <w:r>
        <w:rPr>
          <w:rFonts w:ascii="Times New Roman CYR" w:hAnsi="Times New Roman CYR" w:cs="Times New Roman CYR"/>
          <w:b w:val="0"/>
          <w:szCs w:val="28"/>
          <w:lang w:val="uk-UA"/>
        </w:rPr>
        <w:t>,</w:t>
      </w:r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 сумісно з  </w:t>
      </w:r>
      <w:proofErr w:type="spellStart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ауротіоглюкозою</w:t>
      </w:r>
      <w:proofErr w:type="spellEnd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, у дозі 10 </w:t>
      </w:r>
      <w:proofErr w:type="spellStart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мкг</w:t>
      </w:r>
      <w:proofErr w:type="spellEnd"/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>/кг 1 раз на тиждень</w:t>
      </w:r>
      <w:r>
        <w:rPr>
          <w:rFonts w:ascii="Times New Roman CYR" w:hAnsi="Times New Roman CYR" w:cs="Times New Roman CYR"/>
          <w:b w:val="0"/>
          <w:szCs w:val="28"/>
          <w:lang w:val="uk-UA"/>
        </w:rPr>
        <w:t xml:space="preserve"> </w:t>
      </w:r>
      <w:r w:rsidRPr="00B83C7A">
        <w:rPr>
          <w:rFonts w:ascii="Times New Roman CYR" w:hAnsi="Times New Roman CYR" w:cs="Times New Roman CYR"/>
          <w:b w:val="0"/>
          <w:szCs w:val="28"/>
          <w:lang w:val="uk-UA"/>
        </w:rPr>
        <w:t xml:space="preserve">протягом 6 тижнів </w:t>
      </w:r>
      <w:r>
        <w:rPr>
          <w:rFonts w:ascii="Times New Roman CYR" w:hAnsi="Times New Roman CYR" w:cs="Times New Roman CYR"/>
          <w:b w:val="0"/>
          <w:szCs w:val="28"/>
          <w:lang w:val="uk-UA"/>
        </w:rPr>
        <w:t xml:space="preserve">відбуваються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суттєві зміни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і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дисфункці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я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системи гемостазу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. Розвивається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пригнічення фібринолізу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, у порівнянні з контролем, порушення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судинно-тромбоцитарн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ого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і плазмов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ого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гемостазу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та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агрегації тромбоцитів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.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При цьому, у щурів розвивалася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ознаки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гіперкоагуляці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ї</w:t>
      </w:r>
      <w:proofErr w:type="spellEnd"/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, що </w:t>
      </w:r>
      <w:proofErr w:type="spellStart"/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пов</w:t>
      </w:r>
      <w:proofErr w:type="spellEnd"/>
      <w:r w:rsidRPr="000E1DC5">
        <w:rPr>
          <w:rFonts w:ascii="Times New Roman" w:hAnsi="Times New Roman"/>
          <w:b w:val="0"/>
          <w:color w:val="000000"/>
          <w:position w:val="0"/>
          <w:szCs w:val="28"/>
          <w:lang w:eastAsia="ru-RU"/>
        </w:rPr>
        <w:t>’</w:t>
      </w:r>
      <w:proofErr w:type="spellStart"/>
      <w:r w:rsidRPr="000E1DC5">
        <w:rPr>
          <w:rFonts w:ascii="Times New Roman" w:hAnsi="Times New Roman"/>
          <w:b w:val="0"/>
          <w:color w:val="000000"/>
          <w:position w:val="0"/>
          <w:szCs w:val="28"/>
          <w:lang w:eastAsia="ru-RU"/>
        </w:rPr>
        <w:t>язане</w:t>
      </w:r>
      <w:proofErr w:type="spellEnd"/>
      <w:r w:rsidRPr="000E1DC5">
        <w:rPr>
          <w:rFonts w:ascii="Times New Roman" w:hAnsi="Times New Roman"/>
          <w:b w:val="0"/>
          <w:color w:val="000000"/>
          <w:position w:val="0"/>
          <w:szCs w:val="28"/>
          <w:lang w:eastAsia="ru-RU"/>
        </w:rPr>
        <w:t xml:space="preserve"> з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посиленням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згортання крові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.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С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постеріга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ється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розвиток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гіперхолестерінемії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,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гіпертригліцеридемії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, гіперглікемії,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що призводить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значного підвищення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надлишков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ої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мас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и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тіла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у піддослідних тварин.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Все це сприяє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зростанн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ю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ожиріння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та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зни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женню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протизгортаюч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ого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потенціал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у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крові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,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розвитку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тромботичних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станів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.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</w:t>
      </w:r>
    </w:p>
    <w:p w:rsidR="005E0EFA" w:rsidRPr="00B83C7A" w:rsidRDefault="005E0EFA" w:rsidP="005E0EFA">
      <w:pPr>
        <w:spacing w:after="0" w:line="360" w:lineRule="auto"/>
        <w:ind w:firstLine="720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П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ри МС зменшується рівень ендогенного гепарину в плазмі,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що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сприяє розвитку </w:t>
      </w:r>
      <w:proofErr w:type="spellStart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тромботичних</w:t>
      </w:r>
      <w:proofErr w:type="spellEnd"/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 станів. </w:t>
      </w:r>
    </w:p>
    <w:p w:rsidR="005E0EFA" w:rsidRPr="00B83C7A" w:rsidRDefault="005E0EFA" w:rsidP="005E0EFA">
      <w:pPr>
        <w:spacing w:after="0" w:line="360" w:lineRule="auto"/>
        <w:ind w:firstLine="720"/>
        <w:jc w:val="both"/>
        <w:textAlignment w:val="top"/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</w:pP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Експериментальна модель метаболічних порушень у тварин відображає основні ознаки розвитку МС у людини і може бути використана </w:t>
      </w:r>
      <w:r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 xml:space="preserve">для вивчення патогенезу даного ускладнення та розуміння протікання деяких процесів порушення метаболізму  </w:t>
      </w:r>
      <w:r w:rsidRPr="00B83C7A">
        <w:rPr>
          <w:rFonts w:ascii="Times New Roman" w:hAnsi="Times New Roman"/>
          <w:b w:val="0"/>
          <w:color w:val="000000"/>
          <w:position w:val="0"/>
          <w:szCs w:val="28"/>
          <w:lang w:val="uk-UA" w:eastAsia="ru-RU"/>
        </w:rPr>
        <w:t>у клінічній практики.</w:t>
      </w:r>
    </w:p>
    <w:p w:rsidR="00E259DD" w:rsidRPr="005E0EFA" w:rsidRDefault="00E259DD">
      <w:pPr>
        <w:rPr>
          <w:lang w:val="uk-UA"/>
        </w:rPr>
      </w:pPr>
    </w:p>
    <w:sectPr w:rsidR="00E259DD" w:rsidRPr="005E0E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EFA"/>
    <w:rsid w:val="005E0EFA"/>
    <w:rsid w:val="00C76B98"/>
    <w:rsid w:val="00DF2BD7"/>
    <w:rsid w:val="00E25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0EF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0EF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806</Words>
  <Characters>4597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Виктор</cp:lastModifiedBy>
  <cp:revision>3</cp:revision>
  <dcterms:created xsi:type="dcterms:W3CDTF">2019-12-09T09:48:00Z</dcterms:created>
  <dcterms:modified xsi:type="dcterms:W3CDTF">2019-12-09T15:55:00Z</dcterms:modified>
</cp:coreProperties>
</file>